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B3975" w:rsidP="0089527F">
            <w:pPr>
              <w:pStyle w:val="Date"/>
              <w:framePr w:hSpace="0" w:wrap="auto" w:vAnchor="margin" w:hAnchor="text" w:yAlign="inline"/>
              <w:suppressOverlap w:val="0"/>
            </w:pPr>
            <w:r w:rsidRPr="0089527F">
              <w:t>November</w:t>
            </w:r>
            <w: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8B3975" w:rsidRDefault="0032583B" w:rsidP="0089527F">
            <w:pPr>
              <w:pStyle w:val="Title"/>
              <w:framePr w:hSpace="0" w:wrap="auto" w:vAnchor="margin" w:yAlign="inline"/>
            </w:pPr>
            <w:r w:rsidRPr="0089527F">
              <w:t>Australian</w:t>
            </w:r>
            <w:r w:rsidRPr="008B3975">
              <w:t xml:space="preserve"> Public Assessment Report for </w:t>
            </w:r>
            <w:proofErr w:type="spellStart"/>
            <w:r w:rsidR="008B3975" w:rsidRPr="008B3975">
              <w:rPr>
                <w:szCs w:val="22"/>
              </w:rPr>
              <w:t>Apixaban</w:t>
            </w:r>
            <w:proofErr w:type="spellEnd"/>
          </w:p>
        </w:tc>
      </w:tr>
      <w:tr w:rsidR="0032583B" w:rsidRPr="00B64760" w:rsidTr="0032583B">
        <w:tc>
          <w:tcPr>
            <w:tcW w:w="9079" w:type="dxa"/>
          </w:tcPr>
          <w:p w:rsidR="0032583B" w:rsidRPr="0089527F" w:rsidRDefault="0032583B" w:rsidP="0089527F">
            <w:pPr>
              <w:pStyle w:val="Subtitle"/>
              <w:framePr w:hSpace="0" w:wrap="auto" w:vAnchor="margin" w:yAlign="inline"/>
            </w:pPr>
            <w:r w:rsidRPr="008B3975">
              <w:t xml:space="preserve">Proprietary Product Name: </w:t>
            </w:r>
            <w:proofErr w:type="spellStart"/>
            <w:r w:rsidR="008B3975" w:rsidRPr="008B3975">
              <w:t>Eliquis</w:t>
            </w:r>
            <w:proofErr w:type="spellEnd"/>
          </w:p>
        </w:tc>
      </w:tr>
      <w:tr w:rsidR="0032583B" w:rsidRPr="00B64760" w:rsidTr="0032583B">
        <w:trPr>
          <w:trHeight w:val="486"/>
        </w:trPr>
        <w:tc>
          <w:tcPr>
            <w:tcW w:w="9079" w:type="dxa"/>
          </w:tcPr>
          <w:p w:rsidR="0032583B" w:rsidRPr="008B3975" w:rsidRDefault="0032583B" w:rsidP="0089527F">
            <w:pPr>
              <w:pStyle w:val="Subtitle"/>
              <w:framePr w:hSpace="0" w:wrap="auto" w:vAnchor="margin" w:yAlign="inline"/>
            </w:pPr>
            <w:r w:rsidRPr="008B3975">
              <w:t xml:space="preserve">Sponsor: </w:t>
            </w:r>
            <w:r w:rsidR="00CE7A3E" w:rsidRPr="00B84561">
              <w:t>Bristol-Myers Squibb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4C7F1F">
      <w:pPr>
        <w:pStyle w:val="ListBullet"/>
        <w:numPr>
          <w:ilvl w:val="0"/>
          <w:numId w:val="1"/>
        </w:numPr>
        <w:ind w:left="357" w:hanging="357"/>
      </w:pPr>
      <w:r w:rsidRPr="0089527F">
        <w:t xml:space="preserve">The Therapeutic Goods Administration (TGA) is </w:t>
      </w:r>
      <w:r w:rsidR="00E624A5" w:rsidRPr="0089527F">
        <w:t xml:space="preserve">part </w:t>
      </w:r>
      <w:r w:rsidRPr="0089527F">
        <w:t>of the Australian Government Department</w:t>
      </w:r>
      <w:r>
        <w:t xml:space="preserve"> of Health and is responsible for regulating medicines and medical devices.</w:t>
      </w:r>
    </w:p>
    <w:p w:rsidR="008E7846" w:rsidRDefault="00C80137" w:rsidP="0089527F">
      <w:pPr>
        <w:pStyle w:val="ListBullet"/>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w:t>
      </w:r>
      <w:r w:rsidR="008E7846" w:rsidRPr="0089527F">
        <w:t>acceptable</w:t>
      </w:r>
      <w:r w:rsidR="008E7846">
        <w:t xml:space="preserve"> standards of quality, safety and efficacy (performance) when necessary.</w:t>
      </w:r>
    </w:p>
    <w:p w:rsidR="008E7846" w:rsidRDefault="008E7846" w:rsidP="0089527F">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Default="008E7846" w:rsidP="0089527F">
      <w:pPr>
        <w:pStyle w:val="ListBullet"/>
      </w:pPr>
      <w:r>
        <w:t xml:space="preserve">The TGA relies on the public, healthcare professionals and industry to report problems with medicines or </w:t>
      </w:r>
      <w:r w:rsidRPr="0089527F">
        <w:t>medical</w:t>
      </w:r>
      <w:r>
        <w:t xml:space="preserve"> devices. TGA investigates reports received by it to determine any necessary regulatory action.</w:t>
      </w:r>
    </w:p>
    <w:p w:rsidR="00441C3F" w:rsidRDefault="008E7846" w:rsidP="0089527F">
      <w:pPr>
        <w:pStyle w:val="ListBullet"/>
      </w:pPr>
      <w:r>
        <w:t xml:space="preserve">To </w:t>
      </w:r>
      <w:r w:rsidRPr="0089527F">
        <w:t>report</w:t>
      </w:r>
      <w:r>
        <w:t xml:space="preserve">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EE4114">
      <w:pPr>
        <w:pStyle w:val="NonTOCHeading2"/>
      </w:pPr>
      <w:r>
        <w:t xml:space="preserve">About </w:t>
      </w:r>
      <w:proofErr w:type="spellStart"/>
      <w:r>
        <w:t>AusPARs</w:t>
      </w:r>
      <w:proofErr w:type="spellEnd"/>
    </w:p>
    <w:p w:rsidR="008E7846" w:rsidRPr="0089527F" w:rsidRDefault="008E7846" w:rsidP="0089527F">
      <w:pPr>
        <w:pStyle w:val="ListBullet"/>
      </w:pPr>
      <w:r>
        <w:t>An Australian Public Assessment Re</w:t>
      </w:r>
      <w:r w:rsidR="00133A1B">
        <w:t>port</w:t>
      </w:r>
      <w:r>
        <w:t xml:space="preserve"> (</w:t>
      </w:r>
      <w:proofErr w:type="spellStart"/>
      <w:r>
        <w:t>AusPAR</w:t>
      </w:r>
      <w:proofErr w:type="spellEnd"/>
      <w:r>
        <w:t xml:space="preserve">) provides information about the </w:t>
      </w:r>
      <w:r w:rsidRPr="0089527F">
        <w:t>evaluation of a prescription medicine and the considerations that led the TGA to approve or not approve a pr</w:t>
      </w:r>
      <w:r w:rsidR="00441C3F" w:rsidRPr="0089527F">
        <w:t>escription medicine submission.</w:t>
      </w:r>
    </w:p>
    <w:p w:rsidR="008E7846" w:rsidRPr="0089527F" w:rsidRDefault="008E7846" w:rsidP="0089527F">
      <w:pPr>
        <w:pStyle w:val="ListBullet"/>
      </w:pPr>
      <w:proofErr w:type="spellStart"/>
      <w:r w:rsidRPr="0089527F">
        <w:t>AusPARs</w:t>
      </w:r>
      <w:proofErr w:type="spellEnd"/>
      <w:r w:rsidRPr="0089527F">
        <w:t xml:space="preserve"> are prepared and published by the TGA.</w:t>
      </w:r>
    </w:p>
    <w:p w:rsidR="008E7846" w:rsidRPr="0089527F" w:rsidRDefault="008E7846" w:rsidP="0089527F">
      <w:pPr>
        <w:pStyle w:val="ListBullet"/>
      </w:pPr>
      <w:r w:rsidRPr="0089527F">
        <w:t xml:space="preserve">An </w:t>
      </w:r>
      <w:proofErr w:type="spellStart"/>
      <w:r w:rsidRPr="0089527F">
        <w:t>AusPAR</w:t>
      </w:r>
      <w:proofErr w:type="spellEnd"/>
      <w:r w:rsidRPr="0089527F">
        <w:t xml:space="preserve"> is prepared for submissions that relate to new chemical entities, generic medicines, major variations and extensions of indications.</w:t>
      </w:r>
    </w:p>
    <w:p w:rsidR="008E7846" w:rsidRPr="0089527F" w:rsidRDefault="008E7846" w:rsidP="0089527F">
      <w:pPr>
        <w:pStyle w:val="ListBullet"/>
      </w:pPr>
      <w:r w:rsidRPr="0089527F">
        <w:t xml:space="preserve">An </w:t>
      </w:r>
      <w:proofErr w:type="spellStart"/>
      <w:r w:rsidRPr="0089527F">
        <w:t>AusPAR</w:t>
      </w:r>
      <w:proofErr w:type="spellEnd"/>
      <w:r w:rsidRPr="0089527F">
        <w:t xml:space="preserve"> is a static document</w:t>
      </w:r>
      <w:r w:rsidR="00133A1B" w:rsidRPr="0089527F">
        <w:t>;</w:t>
      </w:r>
      <w:r w:rsidRPr="0089527F">
        <w:t xml:space="preserve"> it provide</w:t>
      </w:r>
      <w:r w:rsidR="00133A1B" w:rsidRPr="0089527F">
        <w:t>s</w:t>
      </w:r>
      <w:r w:rsidRPr="0089527F">
        <w:t xml:space="preserve"> information that relates to a submission at a particular point in time.</w:t>
      </w:r>
    </w:p>
    <w:p w:rsidR="00B452CE" w:rsidRDefault="008E7846" w:rsidP="0089527F">
      <w:pPr>
        <w:pStyle w:val="ListBullet"/>
      </w:pPr>
      <w:r w:rsidRPr="0089527F">
        <w:t xml:space="preserve">A new </w:t>
      </w:r>
      <w:proofErr w:type="spellStart"/>
      <w:r w:rsidRPr="0089527F">
        <w:t>AusPAR</w:t>
      </w:r>
      <w:proofErr w:type="spellEnd"/>
      <w:r w:rsidRPr="0089527F">
        <w:t xml:space="preserve"> will be developed to reflect changes to indications and/or major variations to a prescription medicine</w:t>
      </w:r>
      <w:r>
        <w:t xml:space="preserv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bookmarkStart w:id="2" w:name="_GoBack"/>
        <w:bookmarkEnd w:id="2"/>
        <w:p w:rsidR="00767DC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6386751" w:history="1">
            <w:r w:rsidR="00767DCA" w:rsidRPr="006F1F63">
              <w:rPr>
                <w:rStyle w:val="Hyperlink"/>
                <w:noProof/>
              </w:rPr>
              <w:t>Common abbreviations</w:t>
            </w:r>
            <w:r w:rsidR="00767DCA">
              <w:rPr>
                <w:noProof/>
                <w:webHidden/>
              </w:rPr>
              <w:tab/>
            </w:r>
            <w:r w:rsidR="00767DCA">
              <w:rPr>
                <w:noProof/>
                <w:webHidden/>
              </w:rPr>
              <w:fldChar w:fldCharType="begin"/>
            </w:r>
            <w:r w:rsidR="00767DCA">
              <w:rPr>
                <w:noProof/>
                <w:webHidden/>
              </w:rPr>
              <w:instrText xml:space="preserve"> PAGEREF _Toc436386751 \h </w:instrText>
            </w:r>
            <w:r w:rsidR="00767DCA">
              <w:rPr>
                <w:noProof/>
                <w:webHidden/>
              </w:rPr>
            </w:r>
            <w:r w:rsidR="00767DCA">
              <w:rPr>
                <w:noProof/>
                <w:webHidden/>
              </w:rPr>
              <w:fldChar w:fldCharType="separate"/>
            </w:r>
            <w:r w:rsidR="00767DCA">
              <w:rPr>
                <w:noProof/>
                <w:webHidden/>
              </w:rPr>
              <w:t>4</w:t>
            </w:r>
            <w:r w:rsidR="00767DCA">
              <w:rPr>
                <w:noProof/>
                <w:webHidden/>
              </w:rPr>
              <w:fldChar w:fldCharType="end"/>
            </w:r>
          </w:hyperlink>
        </w:p>
        <w:p w:rsidR="00767DCA" w:rsidRDefault="00767DCA">
          <w:pPr>
            <w:pStyle w:val="TOC2"/>
            <w:rPr>
              <w:rFonts w:asciiTheme="minorHAnsi" w:eastAsiaTheme="minorEastAsia" w:hAnsiTheme="minorHAnsi" w:cstheme="minorBidi"/>
              <w:b w:val="0"/>
              <w:noProof/>
              <w:sz w:val="22"/>
              <w:lang w:eastAsia="en-AU"/>
            </w:rPr>
          </w:pPr>
          <w:hyperlink w:anchor="_Toc436386752" w:history="1">
            <w:r w:rsidRPr="006F1F63">
              <w:rPr>
                <w:rStyle w:val="Hyperlink"/>
                <w:noProof/>
              </w:rPr>
              <w:t>I. Introduction to product submission</w:t>
            </w:r>
            <w:r>
              <w:rPr>
                <w:noProof/>
                <w:webHidden/>
              </w:rPr>
              <w:tab/>
            </w:r>
            <w:r>
              <w:rPr>
                <w:noProof/>
                <w:webHidden/>
              </w:rPr>
              <w:fldChar w:fldCharType="begin"/>
            </w:r>
            <w:r>
              <w:rPr>
                <w:noProof/>
                <w:webHidden/>
              </w:rPr>
              <w:instrText xml:space="preserve"> PAGEREF _Toc436386752 \h </w:instrText>
            </w:r>
            <w:r>
              <w:rPr>
                <w:noProof/>
                <w:webHidden/>
              </w:rPr>
            </w:r>
            <w:r>
              <w:rPr>
                <w:noProof/>
                <w:webHidden/>
              </w:rPr>
              <w:fldChar w:fldCharType="separate"/>
            </w:r>
            <w:r>
              <w:rPr>
                <w:noProof/>
                <w:webHidden/>
              </w:rPr>
              <w:t>7</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53" w:history="1">
            <w:r w:rsidRPr="006F1F63">
              <w:rPr>
                <w:rStyle w:val="Hyperlink"/>
                <w:noProof/>
              </w:rPr>
              <w:t>Submission</w:t>
            </w:r>
            <w:r w:rsidRPr="006F1F63">
              <w:rPr>
                <w:rStyle w:val="Hyperlink"/>
                <w:noProof/>
                <w:lang w:eastAsia="en-AU"/>
              </w:rPr>
              <w:t xml:space="preserve"> details</w:t>
            </w:r>
            <w:r>
              <w:rPr>
                <w:noProof/>
                <w:webHidden/>
              </w:rPr>
              <w:tab/>
            </w:r>
            <w:r>
              <w:rPr>
                <w:noProof/>
                <w:webHidden/>
              </w:rPr>
              <w:fldChar w:fldCharType="begin"/>
            </w:r>
            <w:r>
              <w:rPr>
                <w:noProof/>
                <w:webHidden/>
              </w:rPr>
              <w:instrText xml:space="preserve"> PAGEREF _Toc436386753 \h </w:instrText>
            </w:r>
            <w:r>
              <w:rPr>
                <w:noProof/>
                <w:webHidden/>
              </w:rPr>
            </w:r>
            <w:r>
              <w:rPr>
                <w:noProof/>
                <w:webHidden/>
              </w:rPr>
              <w:fldChar w:fldCharType="separate"/>
            </w:r>
            <w:r>
              <w:rPr>
                <w:noProof/>
                <w:webHidden/>
              </w:rPr>
              <w:t>7</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54" w:history="1">
            <w:r w:rsidRPr="006F1F63">
              <w:rPr>
                <w:rStyle w:val="Hyperlink"/>
                <w:noProof/>
              </w:rPr>
              <w:t>Product background</w:t>
            </w:r>
            <w:r>
              <w:rPr>
                <w:noProof/>
                <w:webHidden/>
              </w:rPr>
              <w:tab/>
            </w:r>
            <w:r>
              <w:rPr>
                <w:noProof/>
                <w:webHidden/>
              </w:rPr>
              <w:fldChar w:fldCharType="begin"/>
            </w:r>
            <w:r>
              <w:rPr>
                <w:noProof/>
                <w:webHidden/>
              </w:rPr>
              <w:instrText xml:space="preserve"> PAGEREF _Toc436386754 \h </w:instrText>
            </w:r>
            <w:r>
              <w:rPr>
                <w:noProof/>
                <w:webHidden/>
              </w:rPr>
            </w:r>
            <w:r>
              <w:rPr>
                <w:noProof/>
                <w:webHidden/>
              </w:rPr>
              <w:fldChar w:fldCharType="separate"/>
            </w:r>
            <w:r>
              <w:rPr>
                <w:noProof/>
                <w:webHidden/>
              </w:rPr>
              <w:t>8</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55" w:history="1">
            <w:r w:rsidRPr="006F1F63">
              <w:rPr>
                <w:rStyle w:val="Hyperlink"/>
                <w:noProof/>
              </w:rPr>
              <w:t>Regulatory status</w:t>
            </w:r>
            <w:r>
              <w:rPr>
                <w:noProof/>
                <w:webHidden/>
              </w:rPr>
              <w:tab/>
            </w:r>
            <w:r>
              <w:rPr>
                <w:noProof/>
                <w:webHidden/>
              </w:rPr>
              <w:fldChar w:fldCharType="begin"/>
            </w:r>
            <w:r>
              <w:rPr>
                <w:noProof/>
                <w:webHidden/>
              </w:rPr>
              <w:instrText xml:space="preserve"> PAGEREF _Toc436386755 \h </w:instrText>
            </w:r>
            <w:r>
              <w:rPr>
                <w:noProof/>
                <w:webHidden/>
              </w:rPr>
            </w:r>
            <w:r>
              <w:rPr>
                <w:noProof/>
                <w:webHidden/>
              </w:rPr>
              <w:fldChar w:fldCharType="separate"/>
            </w:r>
            <w:r>
              <w:rPr>
                <w:noProof/>
                <w:webHidden/>
              </w:rPr>
              <w:t>9</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56" w:history="1">
            <w:r w:rsidRPr="006F1F63">
              <w:rPr>
                <w:rStyle w:val="Hyperlink"/>
                <w:noProof/>
              </w:rPr>
              <w:t>Product Information</w:t>
            </w:r>
            <w:r>
              <w:rPr>
                <w:noProof/>
                <w:webHidden/>
              </w:rPr>
              <w:tab/>
            </w:r>
            <w:r>
              <w:rPr>
                <w:noProof/>
                <w:webHidden/>
              </w:rPr>
              <w:fldChar w:fldCharType="begin"/>
            </w:r>
            <w:r>
              <w:rPr>
                <w:noProof/>
                <w:webHidden/>
              </w:rPr>
              <w:instrText xml:space="preserve"> PAGEREF _Toc436386756 \h </w:instrText>
            </w:r>
            <w:r>
              <w:rPr>
                <w:noProof/>
                <w:webHidden/>
              </w:rPr>
            </w:r>
            <w:r>
              <w:rPr>
                <w:noProof/>
                <w:webHidden/>
              </w:rPr>
              <w:fldChar w:fldCharType="separate"/>
            </w:r>
            <w:r>
              <w:rPr>
                <w:noProof/>
                <w:webHidden/>
              </w:rPr>
              <w:t>11</w:t>
            </w:r>
            <w:r>
              <w:rPr>
                <w:noProof/>
                <w:webHidden/>
              </w:rPr>
              <w:fldChar w:fldCharType="end"/>
            </w:r>
          </w:hyperlink>
        </w:p>
        <w:p w:rsidR="00767DCA" w:rsidRDefault="00767DCA">
          <w:pPr>
            <w:pStyle w:val="TOC2"/>
            <w:rPr>
              <w:rFonts w:asciiTheme="minorHAnsi" w:eastAsiaTheme="minorEastAsia" w:hAnsiTheme="minorHAnsi" w:cstheme="minorBidi"/>
              <w:b w:val="0"/>
              <w:noProof/>
              <w:sz w:val="22"/>
              <w:lang w:eastAsia="en-AU"/>
            </w:rPr>
          </w:pPr>
          <w:hyperlink w:anchor="_Toc436386757" w:history="1">
            <w:r w:rsidRPr="006F1F63">
              <w:rPr>
                <w:rStyle w:val="Hyperlink"/>
                <w:noProof/>
              </w:rPr>
              <w:t>II. Quality findings</w:t>
            </w:r>
            <w:r>
              <w:rPr>
                <w:noProof/>
                <w:webHidden/>
              </w:rPr>
              <w:tab/>
            </w:r>
            <w:r>
              <w:rPr>
                <w:noProof/>
                <w:webHidden/>
              </w:rPr>
              <w:fldChar w:fldCharType="begin"/>
            </w:r>
            <w:r>
              <w:rPr>
                <w:noProof/>
                <w:webHidden/>
              </w:rPr>
              <w:instrText xml:space="preserve"> PAGEREF _Toc436386757 \h </w:instrText>
            </w:r>
            <w:r>
              <w:rPr>
                <w:noProof/>
                <w:webHidden/>
              </w:rPr>
            </w:r>
            <w:r>
              <w:rPr>
                <w:noProof/>
                <w:webHidden/>
              </w:rPr>
              <w:fldChar w:fldCharType="separate"/>
            </w:r>
            <w:r>
              <w:rPr>
                <w:noProof/>
                <w:webHidden/>
              </w:rPr>
              <w:t>11</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58" w:history="1">
            <w:r w:rsidRPr="006F1F63">
              <w:rPr>
                <w:rStyle w:val="Hyperlink"/>
                <w:noProof/>
              </w:rPr>
              <w:t>Introduction</w:t>
            </w:r>
            <w:r>
              <w:rPr>
                <w:noProof/>
                <w:webHidden/>
              </w:rPr>
              <w:tab/>
            </w:r>
            <w:r>
              <w:rPr>
                <w:noProof/>
                <w:webHidden/>
              </w:rPr>
              <w:fldChar w:fldCharType="begin"/>
            </w:r>
            <w:r>
              <w:rPr>
                <w:noProof/>
                <w:webHidden/>
              </w:rPr>
              <w:instrText xml:space="preserve"> PAGEREF _Toc436386758 \h </w:instrText>
            </w:r>
            <w:r>
              <w:rPr>
                <w:noProof/>
                <w:webHidden/>
              </w:rPr>
            </w:r>
            <w:r>
              <w:rPr>
                <w:noProof/>
                <w:webHidden/>
              </w:rPr>
              <w:fldChar w:fldCharType="separate"/>
            </w:r>
            <w:r>
              <w:rPr>
                <w:noProof/>
                <w:webHidden/>
              </w:rPr>
              <w:t>11</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59" w:history="1">
            <w:r w:rsidRPr="006F1F63">
              <w:rPr>
                <w:rStyle w:val="Hyperlink"/>
                <w:noProof/>
              </w:rPr>
              <w:t>Drug substance (active ingredient)</w:t>
            </w:r>
            <w:r>
              <w:rPr>
                <w:noProof/>
                <w:webHidden/>
              </w:rPr>
              <w:tab/>
            </w:r>
            <w:r>
              <w:rPr>
                <w:noProof/>
                <w:webHidden/>
              </w:rPr>
              <w:fldChar w:fldCharType="begin"/>
            </w:r>
            <w:r>
              <w:rPr>
                <w:noProof/>
                <w:webHidden/>
              </w:rPr>
              <w:instrText xml:space="preserve"> PAGEREF _Toc436386759 \h </w:instrText>
            </w:r>
            <w:r>
              <w:rPr>
                <w:noProof/>
                <w:webHidden/>
              </w:rPr>
            </w:r>
            <w:r>
              <w:rPr>
                <w:noProof/>
                <w:webHidden/>
              </w:rPr>
              <w:fldChar w:fldCharType="separate"/>
            </w:r>
            <w:r>
              <w:rPr>
                <w:noProof/>
                <w:webHidden/>
              </w:rPr>
              <w:t>11</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60" w:history="1">
            <w:r w:rsidRPr="006F1F63">
              <w:rPr>
                <w:rStyle w:val="Hyperlink"/>
                <w:noProof/>
              </w:rPr>
              <w:t>Quality summary and conclusions</w:t>
            </w:r>
            <w:r>
              <w:rPr>
                <w:noProof/>
                <w:webHidden/>
              </w:rPr>
              <w:tab/>
            </w:r>
            <w:r>
              <w:rPr>
                <w:noProof/>
                <w:webHidden/>
              </w:rPr>
              <w:fldChar w:fldCharType="begin"/>
            </w:r>
            <w:r>
              <w:rPr>
                <w:noProof/>
                <w:webHidden/>
              </w:rPr>
              <w:instrText xml:space="preserve"> PAGEREF _Toc436386760 \h </w:instrText>
            </w:r>
            <w:r>
              <w:rPr>
                <w:noProof/>
                <w:webHidden/>
              </w:rPr>
            </w:r>
            <w:r>
              <w:rPr>
                <w:noProof/>
                <w:webHidden/>
              </w:rPr>
              <w:fldChar w:fldCharType="separate"/>
            </w:r>
            <w:r>
              <w:rPr>
                <w:noProof/>
                <w:webHidden/>
              </w:rPr>
              <w:t>11</w:t>
            </w:r>
            <w:r>
              <w:rPr>
                <w:noProof/>
                <w:webHidden/>
              </w:rPr>
              <w:fldChar w:fldCharType="end"/>
            </w:r>
          </w:hyperlink>
        </w:p>
        <w:p w:rsidR="00767DCA" w:rsidRDefault="00767DCA">
          <w:pPr>
            <w:pStyle w:val="TOC2"/>
            <w:rPr>
              <w:rFonts w:asciiTheme="minorHAnsi" w:eastAsiaTheme="minorEastAsia" w:hAnsiTheme="minorHAnsi" w:cstheme="minorBidi"/>
              <w:b w:val="0"/>
              <w:noProof/>
              <w:sz w:val="22"/>
              <w:lang w:eastAsia="en-AU"/>
            </w:rPr>
          </w:pPr>
          <w:hyperlink w:anchor="_Toc436386761" w:history="1">
            <w:r w:rsidRPr="006F1F63">
              <w:rPr>
                <w:rStyle w:val="Hyperlink"/>
                <w:noProof/>
              </w:rPr>
              <w:t>III. Nonclinical findings</w:t>
            </w:r>
            <w:r>
              <w:rPr>
                <w:noProof/>
                <w:webHidden/>
              </w:rPr>
              <w:tab/>
            </w:r>
            <w:r>
              <w:rPr>
                <w:noProof/>
                <w:webHidden/>
              </w:rPr>
              <w:fldChar w:fldCharType="begin"/>
            </w:r>
            <w:r>
              <w:rPr>
                <w:noProof/>
                <w:webHidden/>
              </w:rPr>
              <w:instrText xml:space="preserve"> PAGEREF _Toc436386761 \h </w:instrText>
            </w:r>
            <w:r>
              <w:rPr>
                <w:noProof/>
                <w:webHidden/>
              </w:rPr>
            </w:r>
            <w:r>
              <w:rPr>
                <w:noProof/>
                <w:webHidden/>
              </w:rPr>
              <w:fldChar w:fldCharType="separate"/>
            </w:r>
            <w:r>
              <w:rPr>
                <w:noProof/>
                <w:webHidden/>
              </w:rPr>
              <w:t>11</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62" w:history="1">
            <w:r w:rsidRPr="006F1F63">
              <w:rPr>
                <w:rStyle w:val="Hyperlink"/>
                <w:noProof/>
              </w:rPr>
              <w:t>Introduction</w:t>
            </w:r>
            <w:r>
              <w:rPr>
                <w:noProof/>
                <w:webHidden/>
              </w:rPr>
              <w:tab/>
            </w:r>
            <w:r>
              <w:rPr>
                <w:noProof/>
                <w:webHidden/>
              </w:rPr>
              <w:fldChar w:fldCharType="begin"/>
            </w:r>
            <w:r>
              <w:rPr>
                <w:noProof/>
                <w:webHidden/>
              </w:rPr>
              <w:instrText xml:space="preserve"> PAGEREF _Toc436386762 \h </w:instrText>
            </w:r>
            <w:r>
              <w:rPr>
                <w:noProof/>
                <w:webHidden/>
              </w:rPr>
            </w:r>
            <w:r>
              <w:rPr>
                <w:noProof/>
                <w:webHidden/>
              </w:rPr>
              <w:fldChar w:fldCharType="separate"/>
            </w:r>
            <w:r>
              <w:rPr>
                <w:noProof/>
                <w:webHidden/>
              </w:rPr>
              <w:t>11</w:t>
            </w:r>
            <w:r>
              <w:rPr>
                <w:noProof/>
                <w:webHidden/>
              </w:rPr>
              <w:fldChar w:fldCharType="end"/>
            </w:r>
          </w:hyperlink>
        </w:p>
        <w:p w:rsidR="00767DCA" w:rsidRDefault="00767DCA">
          <w:pPr>
            <w:pStyle w:val="TOC2"/>
            <w:rPr>
              <w:rFonts w:asciiTheme="minorHAnsi" w:eastAsiaTheme="minorEastAsia" w:hAnsiTheme="minorHAnsi" w:cstheme="minorBidi"/>
              <w:b w:val="0"/>
              <w:noProof/>
              <w:sz w:val="22"/>
              <w:lang w:eastAsia="en-AU"/>
            </w:rPr>
          </w:pPr>
          <w:hyperlink w:anchor="_Toc436386763" w:history="1">
            <w:r w:rsidRPr="006F1F63">
              <w:rPr>
                <w:rStyle w:val="Hyperlink"/>
                <w:noProof/>
              </w:rPr>
              <w:t>IV. Clinical findings</w:t>
            </w:r>
            <w:r>
              <w:rPr>
                <w:noProof/>
                <w:webHidden/>
              </w:rPr>
              <w:tab/>
            </w:r>
            <w:r>
              <w:rPr>
                <w:noProof/>
                <w:webHidden/>
              </w:rPr>
              <w:fldChar w:fldCharType="begin"/>
            </w:r>
            <w:r>
              <w:rPr>
                <w:noProof/>
                <w:webHidden/>
              </w:rPr>
              <w:instrText xml:space="preserve"> PAGEREF _Toc436386763 \h </w:instrText>
            </w:r>
            <w:r>
              <w:rPr>
                <w:noProof/>
                <w:webHidden/>
              </w:rPr>
            </w:r>
            <w:r>
              <w:rPr>
                <w:noProof/>
                <w:webHidden/>
              </w:rPr>
              <w:fldChar w:fldCharType="separate"/>
            </w:r>
            <w:r>
              <w:rPr>
                <w:noProof/>
                <w:webHidden/>
              </w:rPr>
              <w:t>12</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64" w:history="1">
            <w:r w:rsidRPr="006F1F63">
              <w:rPr>
                <w:rStyle w:val="Hyperlink"/>
                <w:noProof/>
              </w:rPr>
              <w:t>Introduction</w:t>
            </w:r>
            <w:r>
              <w:rPr>
                <w:noProof/>
                <w:webHidden/>
              </w:rPr>
              <w:tab/>
            </w:r>
            <w:r>
              <w:rPr>
                <w:noProof/>
                <w:webHidden/>
              </w:rPr>
              <w:fldChar w:fldCharType="begin"/>
            </w:r>
            <w:r>
              <w:rPr>
                <w:noProof/>
                <w:webHidden/>
              </w:rPr>
              <w:instrText xml:space="preserve"> PAGEREF _Toc436386764 \h </w:instrText>
            </w:r>
            <w:r>
              <w:rPr>
                <w:noProof/>
                <w:webHidden/>
              </w:rPr>
            </w:r>
            <w:r>
              <w:rPr>
                <w:noProof/>
                <w:webHidden/>
              </w:rPr>
              <w:fldChar w:fldCharType="separate"/>
            </w:r>
            <w:r>
              <w:rPr>
                <w:noProof/>
                <w:webHidden/>
              </w:rPr>
              <w:t>12</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65" w:history="1">
            <w:r w:rsidRPr="006F1F63">
              <w:rPr>
                <w:rStyle w:val="Hyperlink"/>
                <w:noProof/>
              </w:rPr>
              <w:t>Pharmacokinetics</w:t>
            </w:r>
            <w:r>
              <w:rPr>
                <w:noProof/>
                <w:webHidden/>
              </w:rPr>
              <w:tab/>
            </w:r>
            <w:r>
              <w:rPr>
                <w:noProof/>
                <w:webHidden/>
              </w:rPr>
              <w:fldChar w:fldCharType="begin"/>
            </w:r>
            <w:r>
              <w:rPr>
                <w:noProof/>
                <w:webHidden/>
              </w:rPr>
              <w:instrText xml:space="preserve"> PAGEREF _Toc436386765 \h </w:instrText>
            </w:r>
            <w:r>
              <w:rPr>
                <w:noProof/>
                <w:webHidden/>
              </w:rPr>
            </w:r>
            <w:r>
              <w:rPr>
                <w:noProof/>
                <w:webHidden/>
              </w:rPr>
              <w:fldChar w:fldCharType="separate"/>
            </w:r>
            <w:r>
              <w:rPr>
                <w:noProof/>
                <w:webHidden/>
              </w:rPr>
              <w:t>13</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66" w:history="1">
            <w:r w:rsidRPr="006F1F63">
              <w:rPr>
                <w:rStyle w:val="Hyperlink"/>
                <w:noProof/>
              </w:rPr>
              <w:t>Pharmacodynamics</w:t>
            </w:r>
            <w:r>
              <w:rPr>
                <w:noProof/>
                <w:webHidden/>
              </w:rPr>
              <w:tab/>
            </w:r>
            <w:r>
              <w:rPr>
                <w:noProof/>
                <w:webHidden/>
              </w:rPr>
              <w:fldChar w:fldCharType="begin"/>
            </w:r>
            <w:r>
              <w:rPr>
                <w:noProof/>
                <w:webHidden/>
              </w:rPr>
              <w:instrText xml:space="preserve"> PAGEREF _Toc436386766 \h </w:instrText>
            </w:r>
            <w:r>
              <w:rPr>
                <w:noProof/>
                <w:webHidden/>
              </w:rPr>
            </w:r>
            <w:r>
              <w:rPr>
                <w:noProof/>
                <w:webHidden/>
              </w:rPr>
              <w:fldChar w:fldCharType="separate"/>
            </w:r>
            <w:r>
              <w:rPr>
                <w:noProof/>
                <w:webHidden/>
              </w:rPr>
              <w:t>15</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67" w:history="1">
            <w:r w:rsidRPr="006F1F63">
              <w:rPr>
                <w:rStyle w:val="Hyperlink"/>
                <w:noProof/>
              </w:rPr>
              <w:t>Dosage selection for the pivotal studies</w:t>
            </w:r>
            <w:r>
              <w:rPr>
                <w:noProof/>
                <w:webHidden/>
              </w:rPr>
              <w:tab/>
            </w:r>
            <w:r>
              <w:rPr>
                <w:noProof/>
                <w:webHidden/>
              </w:rPr>
              <w:fldChar w:fldCharType="begin"/>
            </w:r>
            <w:r>
              <w:rPr>
                <w:noProof/>
                <w:webHidden/>
              </w:rPr>
              <w:instrText xml:space="preserve"> PAGEREF _Toc436386767 \h </w:instrText>
            </w:r>
            <w:r>
              <w:rPr>
                <w:noProof/>
                <w:webHidden/>
              </w:rPr>
            </w:r>
            <w:r>
              <w:rPr>
                <w:noProof/>
                <w:webHidden/>
              </w:rPr>
              <w:fldChar w:fldCharType="separate"/>
            </w:r>
            <w:r>
              <w:rPr>
                <w:noProof/>
                <w:webHidden/>
              </w:rPr>
              <w:t>15</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68" w:history="1">
            <w:r w:rsidRPr="006F1F63">
              <w:rPr>
                <w:rStyle w:val="Hyperlink"/>
                <w:noProof/>
              </w:rPr>
              <w:t>Efficacy</w:t>
            </w:r>
            <w:r>
              <w:rPr>
                <w:noProof/>
                <w:webHidden/>
              </w:rPr>
              <w:tab/>
            </w:r>
            <w:r>
              <w:rPr>
                <w:noProof/>
                <w:webHidden/>
              </w:rPr>
              <w:fldChar w:fldCharType="begin"/>
            </w:r>
            <w:r>
              <w:rPr>
                <w:noProof/>
                <w:webHidden/>
              </w:rPr>
              <w:instrText xml:space="preserve"> PAGEREF _Toc436386768 \h </w:instrText>
            </w:r>
            <w:r>
              <w:rPr>
                <w:noProof/>
                <w:webHidden/>
              </w:rPr>
            </w:r>
            <w:r>
              <w:rPr>
                <w:noProof/>
                <w:webHidden/>
              </w:rPr>
              <w:fldChar w:fldCharType="separate"/>
            </w:r>
            <w:r>
              <w:rPr>
                <w:noProof/>
                <w:webHidden/>
              </w:rPr>
              <w:t>16</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69" w:history="1">
            <w:r w:rsidRPr="006F1F63">
              <w:rPr>
                <w:rStyle w:val="Hyperlink"/>
                <w:noProof/>
              </w:rPr>
              <w:t>Safety</w:t>
            </w:r>
            <w:r>
              <w:rPr>
                <w:noProof/>
                <w:webHidden/>
              </w:rPr>
              <w:tab/>
            </w:r>
            <w:r>
              <w:rPr>
                <w:noProof/>
                <w:webHidden/>
              </w:rPr>
              <w:fldChar w:fldCharType="begin"/>
            </w:r>
            <w:r>
              <w:rPr>
                <w:noProof/>
                <w:webHidden/>
              </w:rPr>
              <w:instrText xml:space="preserve"> PAGEREF _Toc436386769 \h </w:instrText>
            </w:r>
            <w:r>
              <w:rPr>
                <w:noProof/>
                <w:webHidden/>
              </w:rPr>
            </w:r>
            <w:r>
              <w:rPr>
                <w:noProof/>
                <w:webHidden/>
              </w:rPr>
              <w:fldChar w:fldCharType="separate"/>
            </w:r>
            <w:r>
              <w:rPr>
                <w:noProof/>
                <w:webHidden/>
              </w:rPr>
              <w:t>17</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70" w:history="1">
            <w:r w:rsidRPr="006F1F63">
              <w:rPr>
                <w:rStyle w:val="Hyperlink"/>
                <w:noProof/>
              </w:rPr>
              <w:t>First round benefit-risk assessment</w:t>
            </w:r>
            <w:r>
              <w:rPr>
                <w:noProof/>
                <w:webHidden/>
              </w:rPr>
              <w:tab/>
            </w:r>
            <w:r>
              <w:rPr>
                <w:noProof/>
                <w:webHidden/>
              </w:rPr>
              <w:fldChar w:fldCharType="begin"/>
            </w:r>
            <w:r>
              <w:rPr>
                <w:noProof/>
                <w:webHidden/>
              </w:rPr>
              <w:instrText xml:space="preserve"> PAGEREF _Toc436386770 \h </w:instrText>
            </w:r>
            <w:r>
              <w:rPr>
                <w:noProof/>
                <w:webHidden/>
              </w:rPr>
            </w:r>
            <w:r>
              <w:rPr>
                <w:noProof/>
                <w:webHidden/>
              </w:rPr>
              <w:fldChar w:fldCharType="separate"/>
            </w:r>
            <w:r>
              <w:rPr>
                <w:noProof/>
                <w:webHidden/>
              </w:rPr>
              <w:t>20</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71" w:history="1">
            <w:r w:rsidRPr="006F1F63">
              <w:rPr>
                <w:rStyle w:val="Hyperlink"/>
                <w:noProof/>
              </w:rPr>
              <w:t>Clinical questions</w:t>
            </w:r>
            <w:r>
              <w:rPr>
                <w:noProof/>
                <w:webHidden/>
              </w:rPr>
              <w:tab/>
            </w:r>
            <w:r>
              <w:rPr>
                <w:noProof/>
                <w:webHidden/>
              </w:rPr>
              <w:fldChar w:fldCharType="begin"/>
            </w:r>
            <w:r>
              <w:rPr>
                <w:noProof/>
                <w:webHidden/>
              </w:rPr>
              <w:instrText xml:space="preserve"> PAGEREF _Toc436386771 \h </w:instrText>
            </w:r>
            <w:r>
              <w:rPr>
                <w:noProof/>
                <w:webHidden/>
              </w:rPr>
            </w:r>
            <w:r>
              <w:rPr>
                <w:noProof/>
                <w:webHidden/>
              </w:rPr>
              <w:fldChar w:fldCharType="separate"/>
            </w:r>
            <w:r>
              <w:rPr>
                <w:noProof/>
                <w:webHidden/>
              </w:rPr>
              <w:t>21</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72" w:history="1">
            <w:r w:rsidRPr="006F1F63">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_Toc436386772 \h </w:instrText>
            </w:r>
            <w:r>
              <w:rPr>
                <w:noProof/>
                <w:webHidden/>
              </w:rPr>
            </w:r>
            <w:r>
              <w:rPr>
                <w:noProof/>
                <w:webHidden/>
              </w:rPr>
              <w:fldChar w:fldCharType="separate"/>
            </w:r>
            <w:r>
              <w:rPr>
                <w:noProof/>
                <w:webHidden/>
              </w:rPr>
              <w:t>23</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73" w:history="1">
            <w:r w:rsidRPr="006F1F63">
              <w:rPr>
                <w:rStyle w:val="Hyperlink"/>
                <w:noProof/>
              </w:rPr>
              <w:t>Second round benefit-risk assessment</w:t>
            </w:r>
            <w:r>
              <w:rPr>
                <w:noProof/>
                <w:webHidden/>
              </w:rPr>
              <w:tab/>
            </w:r>
            <w:r>
              <w:rPr>
                <w:noProof/>
                <w:webHidden/>
              </w:rPr>
              <w:fldChar w:fldCharType="begin"/>
            </w:r>
            <w:r>
              <w:rPr>
                <w:noProof/>
                <w:webHidden/>
              </w:rPr>
              <w:instrText xml:space="preserve"> PAGEREF _Toc436386773 \h </w:instrText>
            </w:r>
            <w:r>
              <w:rPr>
                <w:noProof/>
                <w:webHidden/>
              </w:rPr>
            </w:r>
            <w:r>
              <w:rPr>
                <w:noProof/>
                <w:webHidden/>
              </w:rPr>
              <w:fldChar w:fldCharType="separate"/>
            </w:r>
            <w:r>
              <w:rPr>
                <w:noProof/>
                <w:webHidden/>
              </w:rPr>
              <w:t>23</w:t>
            </w:r>
            <w:r>
              <w:rPr>
                <w:noProof/>
                <w:webHidden/>
              </w:rPr>
              <w:fldChar w:fldCharType="end"/>
            </w:r>
          </w:hyperlink>
        </w:p>
        <w:p w:rsidR="00767DCA" w:rsidRDefault="00767DCA">
          <w:pPr>
            <w:pStyle w:val="TOC2"/>
            <w:rPr>
              <w:rFonts w:asciiTheme="minorHAnsi" w:eastAsiaTheme="minorEastAsia" w:hAnsiTheme="minorHAnsi" w:cstheme="minorBidi"/>
              <w:b w:val="0"/>
              <w:noProof/>
              <w:sz w:val="22"/>
              <w:lang w:eastAsia="en-AU"/>
            </w:rPr>
          </w:pPr>
          <w:hyperlink w:anchor="_Toc436386774" w:history="1">
            <w:r w:rsidRPr="006F1F63">
              <w:rPr>
                <w:rStyle w:val="Hyperlink"/>
                <w:noProof/>
              </w:rPr>
              <w:t>V. Pharmacovigilance findings</w:t>
            </w:r>
            <w:r>
              <w:rPr>
                <w:noProof/>
                <w:webHidden/>
              </w:rPr>
              <w:tab/>
            </w:r>
            <w:r>
              <w:rPr>
                <w:noProof/>
                <w:webHidden/>
              </w:rPr>
              <w:fldChar w:fldCharType="begin"/>
            </w:r>
            <w:r>
              <w:rPr>
                <w:noProof/>
                <w:webHidden/>
              </w:rPr>
              <w:instrText xml:space="preserve"> PAGEREF _Toc436386774 \h </w:instrText>
            </w:r>
            <w:r>
              <w:rPr>
                <w:noProof/>
                <w:webHidden/>
              </w:rPr>
            </w:r>
            <w:r>
              <w:rPr>
                <w:noProof/>
                <w:webHidden/>
              </w:rPr>
              <w:fldChar w:fldCharType="separate"/>
            </w:r>
            <w:r>
              <w:rPr>
                <w:noProof/>
                <w:webHidden/>
              </w:rPr>
              <w:t>24</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75" w:history="1">
            <w:r w:rsidRPr="006F1F63">
              <w:rPr>
                <w:rStyle w:val="Hyperlink"/>
                <w:noProof/>
                <w:lang w:eastAsia="en-AU"/>
              </w:rPr>
              <w:t>Risk management plan</w:t>
            </w:r>
            <w:r>
              <w:rPr>
                <w:noProof/>
                <w:webHidden/>
              </w:rPr>
              <w:tab/>
            </w:r>
            <w:r>
              <w:rPr>
                <w:noProof/>
                <w:webHidden/>
              </w:rPr>
              <w:fldChar w:fldCharType="begin"/>
            </w:r>
            <w:r>
              <w:rPr>
                <w:noProof/>
                <w:webHidden/>
              </w:rPr>
              <w:instrText xml:space="preserve"> PAGEREF _Toc436386775 \h </w:instrText>
            </w:r>
            <w:r>
              <w:rPr>
                <w:noProof/>
                <w:webHidden/>
              </w:rPr>
            </w:r>
            <w:r>
              <w:rPr>
                <w:noProof/>
                <w:webHidden/>
              </w:rPr>
              <w:fldChar w:fldCharType="separate"/>
            </w:r>
            <w:r>
              <w:rPr>
                <w:noProof/>
                <w:webHidden/>
              </w:rPr>
              <w:t>24</w:t>
            </w:r>
            <w:r>
              <w:rPr>
                <w:noProof/>
                <w:webHidden/>
              </w:rPr>
              <w:fldChar w:fldCharType="end"/>
            </w:r>
          </w:hyperlink>
        </w:p>
        <w:p w:rsidR="00767DCA" w:rsidRDefault="00767DCA">
          <w:pPr>
            <w:pStyle w:val="TOC2"/>
            <w:rPr>
              <w:rFonts w:asciiTheme="minorHAnsi" w:eastAsiaTheme="minorEastAsia" w:hAnsiTheme="minorHAnsi" w:cstheme="minorBidi"/>
              <w:b w:val="0"/>
              <w:noProof/>
              <w:sz w:val="22"/>
              <w:lang w:eastAsia="en-AU"/>
            </w:rPr>
          </w:pPr>
          <w:hyperlink w:anchor="_Toc436386776" w:history="1">
            <w:r w:rsidRPr="006F1F63">
              <w:rPr>
                <w:rStyle w:val="Hyperlink"/>
                <w:noProof/>
              </w:rPr>
              <w:t>VI. Overall conclusion and risk/benefit assessment</w:t>
            </w:r>
            <w:r>
              <w:rPr>
                <w:noProof/>
                <w:webHidden/>
              </w:rPr>
              <w:tab/>
            </w:r>
            <w:r>
              <w:rPr>
                <w:noProof/>
                <w:webHidden/>
              </w:rPr>
              <w:fldChar w:fldCharType="begin"/>
            </w:r>
            <w:r>
              <w:rPr>
                <w:noProof/>
                <w:webHidden/>
              </w:rPr>
              <w:instrText xml:space="preserve"> PAGEREF _Toc436386776 \h </w:instrText>
            </w:r>
            <w:r>
              <w:rPr>
                <w:noProof/>
                <w:webHidden/>
              </w:rPr>
            </w:r>
            <w:r>
              <w:rPr>
                <w:noProof/>
                <w:webHidden/>
              </w:rPr>
              <w:fldChar w:fldCharType="separate"/>
            </w:r>
            <w:r>
              <w:rPr>
                <w:noProof/>
                <w:webHidden/>
              </w:rPr>
              <w:t>32</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77" w:history="1">
            <w:r w:rsidRPr="006F1F63">
              <w:rPr>
                <w:rStyle w:val="Hyperlink"/>
                <w:noProof/>
              </w:rPr>
              <w:t>Quality</w:t>
            </w:r>
            <w:r>
              <w:rPr>
                <w:noProof/>
                <w:webHidden/>
              </w:rPr>
              <w:tab/>
            </w:r>
            <w:r>
              <w:rPr>
                <w:noProof/>
                <w:webHidden/>
              </w:rPr>
              <w:fldChar w:fldCharType="begin"/>
            </w:r>
            <w:r>
              <w:rPr>
                <w:noProof/>
                <w:webHidden/>
              </w:rPr>
              <w:instrText xml:space="preserve"> PAGEREF _Toc436386777 \h </w:instrText>
            </w:r>
            <w:r>
              <w:rPr>
                <w:noProof/>
                <w:webHidden/>
              </w:rPr>
            </w:r>
            <w:r>
              <w:rPr>
                <w:noProof/>
                <w:webHidden/>
              </w:rPr>
              <w:fldChar w:fldCharType="separate"/>
            </w:r>
            <w:r>
              <w:rPr>
                <w:noProof/>
                <w:webHidden/>
              </w:rPr>
              <w:t>32</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78" w:history="1">
            <w:r w:rsidRPr="006F1F63">
              <w:rPr>
                <w:rStyle w:val="Hyperlink"/>
                <w:noProof/>
              </w:rPr>
              <w:t>Nonclinical</w:t>
            </w:r>
            <w:r>
              <w:rPr>
                <w:noProof/>
                <w:webHidden/>
              </w:rPr>
              <w:tab/>
            </w:r>
            <w:r>
              <w:rPr>
                <w:noProof/>
                <w:webHidden/>
              </w:rPr>
              <w:fldChar w:fldCharType="begin"/>
            </w:r>
            <w:r>
              <w:rPr>
                <w:noProof/>
                <w:webHidden/>
              </w:rPr>
              <w:instrText xml:space="preserve"> PAGEREF _Toc436386778 \h </w:instrText>
            </w:r>
            <w:r>
              <w:rPr>
                <w:noProof/>
                <w:webHidden/>
              </w:rPr>
            </w:r>
            <w:r>
              <w:rPr>
                <w:noProof/>
                <w:webHidden/>
              </w:rPr>
              <w:fldChar w:fldCharType="separate"/>
            </w:r>
            <w:r>
              <w:rPr>
                <w:noProof/>
                <w:webHidden/>
              </w:rPr>
              <w:t>33</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79" w:history="1">
            <w:r w:rsidRPr="006F1F63">
              <w:rPr>
                <w:rStyle w:val="Hyperlink"/>
                <w:noProof/>
              </w:rPr>
              <w:t>Clinical</w:t>
            </w:r>
            <w:r>
              <w:rPr>
                <w:noProof/>
                <w:webHidden/>
              </w:rPr>
              <w:tab/>
            </w:r>
            <w:r>
              <w:rPr>
                <w:noProof/>
                <w:webHidden/>
              </w:rPr>
              <w:fldChar w:fldCharType="begin"/>
            </w:r>
            <w:r>
              <w:rPr>
                <w:noProof/>
                <w:webHidden/>
              </w:rPr>
              <w:instrText xml:space="preserve"> PAGEREF _Toc436386779 \h </w:instrText>
            </w:r>
            <w:r>
              <w:rPr>
                <w:noProof/>
                <w:webHidden/>
              </w:rPr>
            </w:r>
            <w:r>
              <w:rPr>
                <w:noProof/>
                <w:webHidden/>
              </w:rPr>
              <w:fldChar w:fldCharType="separate"/>
            </w:r>
            <w:r>
              <w:rPr>
                <w:noProof/>
                <w:webHidden/>
              </w:rPr>
              <w:t>33</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80" w:history="1">
            <w:r w:rsidRPr="006F1F63">
              <w:rPr>
                <w:rStyle w:val="Hyperlink"/>
                <w:noProof/>
                <w:lang w:eastAsia="en-AU"/>
              </w:rPr>
              <w:t>Risk management plan</w:t>
            </w:r>
            <w:r>
              <w:rPr>
                <w:noProof/>
                <w:webHidden/>
              </w:rPr>
              <w:tab/>
            </w:r>
            <w:r>
              <w:rPr>
                <w:noProof/>
                <w:webHidden/>
              </w:rPr>
              <w:fldChar w:fldCharType="begin"/>
            </w:r>
            <w:r>
              <w:rPr>
                <w:noProof/>
                <w:webHidden/>
              </w:rPr>
              <w:instrText xml:space="preserve"> PAGEREF _Toc436386780 \h </w:instrText>
            </w:r>
            <w:r>
              <w:rPr>
                <w:noProof/>
                <w:webHidden/>
              </w:rPr>
            </w:r>
            <w:r>
              <w:rPr>
                <w:noProof/>
                <w:webHidden/>
              </w:rPr>
              <w:fldChar w:fldCharType="separate"/>
            </w:r>
            <w:r>
              <w:rPr>
                <w:noProof/>
                <w:webHidden/>
              </w:rPr>
              <w:t>44</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81" w:history="1">
            <w:r w:rsidRPr="006F1F63">
              <w:rPr>
                <w:rStyle w:val="Hyperlink"/>
                <w:noProof/>
              </w:rPr>
              <w:t>Risk-benefit analysis</w:t>
            </w:r>
            <w:r>
              <w:rPr>
                <w:noProof/>
                <w:webHidden/>
              </w:rPr>
              <w:tab/>
            </w:r>
            <w:r>
              <w:rPr>
                <w:noProof/>
                <w:webHidden/>
              </w:rPr>
              <w:fldChar w:fldCharType="begin"/>
            </w:r>
            <w:r>
              <w:rPr>
                <w:noProof/>
                <w:webHidden/>
              </w:rPr>
              <w:instrText xml:space="preserve"> PAGEREF _Toc436386781 \h </w:instrText>
            </w:r>
            <w:r>
              <w:rPr>
                <w:noProof/>
                <w:webHidden/>
              </w:rPr>
            </w:r>
            <w:r>
              <w:rPr>
                <w:noProof/>
                <w:webHidden/>
              </w:rPr>
              <w:fldChar w:fldCharType="separate"/>
            </w:r>
            <w:r>
              <w:rPr>
                <w:noProof/>
                <w:webHidden/>
              </w:rPr>
              <w:t>44</w:t>
            </w:r>
            <w:r>
              <w:rPr>
                <w:noProof/>
                <w:webHidden/>
              </w:rPr>
              <w:fldChar w:fldCharType="end"/>
            </w:r>
          </w:hyperlink>
        </w:p>
        <w:p w:rsidR="00767DCA" w:rsidRDefault="00767DCA">
          <w:pPr>
            <w:pStyle w:val="TOC3"/>
            <w:rPr>
              <w:rFonts w:asciiTheme="minorHAnsi" w:eastAsiaTheme="minorEastAsia" w:hAnsiTheme="minorHAnsi" w:cstheme="minorBidi"/>
              <w:noProof/>
              <w:lang w:eastAsia="en-AU"/>
            </w:rPr>
          </w:pPr>
          <w:hyperlink w:anchor="_Toc436386782" w:history="1">
            <w:r w:rsidRPr="006F1F63">
              <w:rPr>
                <w:rStyle w:val="Hyperlink"/>
                <w:noProof/>
              </w:rPr>
              <w:t>Outcome</w:t>
            </w:r>
            <w:r>
              <w:rPr>
                <w:noProof/>
                <w:webHidden/>
              </w:rPr>
              <w:tab/>
            </w:r>
            <w:r>
              <w:rPr>
                <w:noProof/>
                <w:webHidden/>
              </w:rPr>
              <w:fldChar w:fldCharType="begin"/>
            </w:r>
            <w:r>
              <w:rPr>
                <w:noProof/>
                <w:webHidden/>
              </w:rPr>
              <w:instrText xml:space="preserve"> PAGEREF _Toc436386782 \h </w:instrText>
            </w:r>
            <w:r>
              <w:rPr>
                <w:noProof/>
                <w:webHidden/>
              </w:rPr>
            </w:r>
            <w:r>
              <w:rPr>
                <w:noProof/>
                <w:webHidden/>
              </w:rPr>
              <w:fldChar w:fldCharType="separate"/>
            </w:r>
            <w:r>
              <w:rPr>
                <w:noProof/>
                <w:webHidden/>
              </w:rPr>
              <w:t>53</w:t>
            </w:r>
            <w:r>
              <w:rPr>
                <w:noProof/>
                <w:webHidden/>
              </w:rPr>
              <w:fldChar w:fldCharType="end"/>
            </w:r>
          </w:hyperlink>
        </w:p>
        <w:p w:rsidR="00767DCA" w:rsidRDefault="00767DCA">
          <w:pPr>
            <w:pStyle w:val="TOC2"/>
            <w:rPr>
              <w:rFonts w:asciiTheme="minorHAnsi" w:eastAsiaTheme="minorEastAsia" w:hAnsiTheme="minorHAnsi" w:cstheme="minorBidi"/>
              <w:b w:val="0"/>
              <w:noProof/>
              <w:sz w:val="22"/>
              <w:lang w:eastAsia="en-AU"/>
            </w:rPr>
          </w:pPr>
          <w:hyperlink w:anchor="_Toc436386783" w:history="1">
            <w:r w:rsidRPr="006F1F63">
              <w:rPr>
                <w:rStyle w:val="Hyperlink"/>
                <w:noProof/>
              </w:rPr>
              <w:t>Attachment 1. Product Information</w:t>
            </w:r>
            <w:r>
              <w:rPr>
                <w:noProof/>
                <w:webHidden/>
              </w:rPr>
              <w:tab/>
            </w:r>
            <w:r>
              <w:rPr>
                <w:noProof/>
                <w:webHidden/>
              </w:rPr>
              <w:fldChar w:fldCharType="begin"/>
            </w:r>
            <w:r>
              <w:rPr>
                <w:noProof/>
                <w:webHidden/>
              </w:rPr>
              <w:instrText xml:space="preserve"> PAGEREF _Toc436386783 \h </w:instrText>
            </w:r>
            <w:r>
              <w:rPr>
                <w:noProof/>
                <w:webHidden/>
              </w:rPr>
            </w:r>
            <w:r>
              <w:rPr>
                <w:noProof/>
                <w:webHidden/>
              </w:rPr>
              <w:fldChar w:fldCharType="separate"/>
            </w:r>
            <w:r>
              <w:rPr>
                <w:noProof/>
                <w:webHidden/>
              </w:rPr>
              <w:t>54</w:t>
            </w:r>
            <w:r>
              <w:rPr>
                <w:noProof/>
                <w:webHidden/>
              </w:rPr>
              <w:fldChar w:fldCharType="end"/>
            </w:r>
          </w:hyperlink>
        </w:p>
        <w:p w:rsidR="00767DCA" w:rsidRDefault="00767DCA">
          <w:pPr>
            <w:pStyle w:val="TOC2"/>
            <w:rPr>
              <w:rFonts w:asciiTheme="minorHAnsi" w:eastAsiaTheme="minorEastAsia" w:hAnsiTheme="minorHAnsi" w:cstheme="minorBidi"/>
              <w:b w:val="0"/>
              <w:noProof/>
              <w:sz w:val="22"/>
              <w:lang w:eastAsia="en-AU"/>
            </w:rPr>
          </w:pPr>
          <w:hyperlink w:anchor="_Toc436386784" w:history="1">
            <w:r w:rsidRPr="006F1F63">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_Toc436386784 \h </w:instrText>
            </w:r>
            <w:r>
              <w:rPr>
                <w:noProof/>
                <w:webHidden/>
              </w:rPr>
            </w:r>
            <w:r>
              <w:rPr>
                <w:noProof/>
                <w:webHidden/>
              </w:rPr>
              <w:fldChar w:fldCharType="separate"/>
            </w:r>
            <w:r>
              <w:rPr>
                <w:noProof/>
                <w:webHidden/>
              </w:rPr>
              <w:t>54</w:t>
            </w:r>
            <w:r>
              <w:rPr>
                <w:noProof/>
                <w:webHidden/>
              </w:rPr>
              <w:fldChar w:fldCharType="end"/>
            </w:r>
          </w:hyperlink>
        </w:p>
        <w:p w:rsidR="003A7F6C" w:rsidRPr="00767DCA" w:rsidRDefault="00DB6124" w:rsidP="00B811C6">
          <w:pPr>
            <w:pStyle w:val="TOC2"/>
            <w:rPr>
              <w:sz w:val="16"/>
            </w:rPr>
          </w:pPr>
          <w:r>
            <w:fldChar w:fldCharType="end"/>
          </w:r>
        </w:p>
      </w:sdtContent>
    </w:sdt>
    <w:bookmarkStart w:id="3" w:name="_Toc314842482" w:displacedByCustomXml="prev"/>
    <w:p w:rsidR="00FD119B" w:rsidRDefault="00441C3F" w:rsidP="00C90043">
      <w:pPr>
        <w:pStyle w:val="Heading2"/>
        <w:pageBreakBefore/>
      </w:pPr>
      <w:bookmarkStart w:id="4" w:name="_Toc351716269"/>
      <w:bookmarkStart w:id="5" w:name="_Toc351718881"/>
      <w:bookmarkStart w:id="6" w:name="_Toc355338616"/>
      <w:bookmarkStart w:id="7" w:name="_Toc356306144"/>
      <w:bookmarkStart w:id="8" w:name="_Toc436386751"/>
      <w:r>
        <w:lastRenderedPageBreak/>
        <w:t>Common</w:t>
      </w:r>
      <w:r w:rsidR="00FD119B" w:rsidRPr="00FD119B">
        <w:t xml:space="preserve"> </w:t>
      </w:r>
      <w:r w:rsidR="00FD119B" w:rsidRPr="00952967">
        <w:t>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917"/>
        <w:gridCol w:w="6803"/>
      </w:tblGrid>
      <w:tr w:rsidR="00D22674" w:rsidRPr="008F3FBC" w:rsidTr="00D22674">
        <w:trPr>
          <w:cnfStyle w:val="100000000000" w:firstRow="1" w:lastRow="0" w:firstColumn="0" w:lastColumn="0" w:oddVBand="0" w:evenVBand="0" w:oddHBand="0" w:evenHBand="0" w:firstRowFirstColumn="0" w:firstRowLastColumn="0" w:lastRowFirstColumn="0" w:lastRowLastColumn="0"/>
        </w:trPr>
        <w:tc>
          <w:tcPr>
            <w:tcW w:w="1917" w:type="dxa"/>
          </w:tcPr>
          <w:p w:rsidR="00D22674" w:rsidRPr="00D22674" w:rsidRDefault="00D22674" w:rsidP="00952967">
            <w:pPr>
              <w:keepNext w:val="0"/>
            </w:pPr>
            <w:r w:rsidRPr="00D22674">
              <w:t>Abbreviation</w:t>
            </w:r>
          </w:p>
        </w:tc>
        <w:tc>
          <w:tcPr>
            <w:tcW w:w="6803" w:type="dxa"/>
          </w:tcPr>
          <w:p w:rsidR="00D22674" w:rsidRPr="00D22674" w:rsidRDefault="00D22674" w:rsidP="00952967">
            <w:r w:rsidRPr="00D22674">
              <w:t>Meaning</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AE</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Adverse event</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ALT</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Alanine aminotransferase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proofErr w:type="spellStart"/>
            <w:r w:rsidRPr="00D22674">
              <w:rPr>
                <w:rFonts w:asciiTheme="minorHAnsi" w:hAnsiTheme="minorHAnsi"/>
                <w:sz w:val="20"/>
                <w:szCs w:val="20"/>
              </w:rPr>
              <w:t>aPTT</w:t>
            </w:r>
            <w:proofErr w:type="spellEnd"/>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Activated partial thromboplastin time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ASA</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Acetylsalicylic acid</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AST</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Aspartate aminotransferase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AUC</w:t>
            </w:r>
            <w:r w:rsidRPr="00D22674">
              <w:rPr>
                <w:rFonts w:asciiTheme="minorHAnsi" w:hAnsiTheme="minorHAnsi"/>
                <w:sz w:val="20"/>
                <w:szCs w:val="20"/>
                <w:vertAlign w:val="subscript"/>
              </w:rPr>
              <w:t>0-inf</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Area under the curve from time 0 to infinity</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AXA</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 xml:space="preserve">Anti-factor </w:t>
            </w:r>
            <w:proofErr w:type="spellStart"/>
            <w:r w:rsidRPr="00D22674">
              <w:rPr>
                <w:rFonts w:asciiTheme="minorHAnsi" w:hAnsiTheme="minorHAnsi"/>
                <w:sz w:val="20"/>
                <w:szCs w:val="20"/>
              </w:rPr>
              <w:t>Xa</w:t>
            </w:r>
            <w:proofErr w:type="spellEnd"/>
            <w:r w:rsidRPr="00D22674">
              <w:rPr>
                <w:rFonts w:asciiTheme="minorHAnsi" w:hAnsiTheme="minorHAnsi"/>
                <w:sz w:val="20"/>
                <w:szCs w:val="20"/>
              </w:rPr>
              <w:t xml:space="preserve"> activity</w:t>
            </w:r>
          </w:p>
        </w:tc>
      </w:tr>
      <w:tr w:rsidR="00D22674" w:rsidRPr="008F3FBC" w:rsidTr="00D22674">
        <w:tc>
          <w:tcPr>
            <w:tcW w:w="1917" w:type="dxa"/>
          </w:tcPr>
          <w:p w:rsidR="00D22674" w:rsidRPr="00D22674" w:rsidRDefault="00EE5994" w:rsidP="001B05E0">
            <w:pPr>
              <w:autoSpaceDE w:val="0"/>
              <w:autoSpaceDN w:val="0"/>
              <w:adjustRightInd w:val="0"/>
              <w:rPr>
                <w:rFonts w:asciiTheme="minorHAnsi" w:hAnsiTheme="minorHAnsi"/>
                <w:sz w:val="20"/>
                <w:szCs w:val="20"/>
              </w:rPr>
            </w:pPr>
            <w:r>
              <w:rPr>
                <w:rFonts w:asciiTheme="minorHAnsi" w:hAnsiTheme="minorHAnsi"/>
                <w:sz w:val="20"/>
                <w:szCs w:val="20"/>
              </w:rPr>
              <w:t>BD</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Twice daily</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BMS</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Bristol-Myers Squibb</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lang w:val="en-US" w:eastAsia="en-US"/>
              </w:rPr>
            </w:pPr>
            <w:r w:rsidRPr="00D22674">
              <w:rPr>
                <w:rFonts w:asciiTheme="minorHAnsi" w:hAnsiTheme="minorHAnsi"/>
                <w:sz w:val="20"/>
                <w:szCs w:val="20"/>
                <w:lang w:val="en-US" w:eastAsia="en-US"/>
              </w:rPr>
              <w:t>BMS-562247</w:t>
            </w:r>
          </w:p>
        </w:tc>
        <w:tc>
          <w:tcPr>
            <w:tcW w:w="6803" w:type="dxa"/>
          </w:tcPr>
          <w:p w:rsidR="00D22674" w:rsidRPr="00D22674" w:rsidRDefault="00D22674" w:rsidP="001B05E0">
            <w:pPr>
              <w:autoSpaceDE w:val="0"/>
              <w:autoSpaceDN w:val="0"/>
              <w:adjustRightInd w:val="0"/>
              <w:rPr>
                <w:rFonts w:asciiTheme="minorHAnsi" w:hAnsiTheme="minorHAnsi"/>
                <w:sz w:val="20"/>
                <w:szCs w:val="20"/>
                <w:lang w:val="en-US" w:eastAsia="en-US"/>
              </w:rPr>
            </w:pPr>
            <w:proofErr w:type="spellStart"/>
            <w:r w:rsidRPr="00D22674">
              <w:rPr>
                <w:rFonts w:asciiTheme="minorHAnsi" w:hAnsiTheme="minorHAnsi"/>
                <w:sz w:val="20"/>
                <w:szCs w:val="20"/>
                <w:lang w:val="en-US" w:eastAsia="en-US"/>
              </w:rPr>
              <w:t>Apixaban</w:t>
            </w:r>
            <w:proofErr w:type="spellEnd"/>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lang w:val="en-US" w:eastAsia="en-US"/>
              </w:rPr>
            </w:pPr>
            <w:r w:rsidRPr="00D22674">
              <w:rPr>
                <w:rFonts w:asciiTheme="minorHAnsi" w:hAnsiTheme="minorHAnsi"/>
                <w:sz w:val="20"/>
                <w:szCs w:val="20"/>
                <w:lang w:val="en-US" w:eastAsia="en-US"/>
              </w:rPr>
              <w:t>BMS-730823</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lang w:val="en-US" w:eastAsia="en-US"/>
              </w:rPr>
              <w:t xml:space="preserve">Major metabolite of </w:t>
            </w:r>
            <w:proofErr w:type="spellStart"/>
            <w:r w:rsidRPr="00D22674">
              <w:rPr>
                <w:rFonts w:asciiTheme="minorHAnsi" w:hAnsiTheme="minorHAnsi"/>
                <w:sz w:val="20"/>
                <w:szCs w:val="20"/>
                <w:lang w:val="en-US" w:eastAsia="en-US"/>
              </w:rPr>
              <w:t>apixaban</w:t>
            </w:r>
            <w:proofErr w:type="spellEnd"/>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BUN</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Blood urea nitrogen</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CBC</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Complete blood cell count</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CI</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Confidence interval</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CIAC</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Central Independent Adjudication Committee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CK</w:t>
            </w:r>
          </w:p>
        </w:tc>
        <w:tc>
          <w:tcPr>
            <w:tcW w:w="6803" w:type="dxa"/>
          </w:tcPr>
          <w:p w:rsidR="00D22674" w:rsidRPr="00D22674" w:rsidRDefault="00D22674" w:rsidP="001B05E0">
            <w:pPr>
              <w:autoSpaceDE w:val="0"/>
              <w:autoSpaceDN w:val="0"/>
              <w:adjustRightInd w:val="0"/>
              <w:rPr>
                <w:rFonts w:asciiTheme="minorHAnsi" w:hAnsiTheme="minorHAnsi"/>
                <w:sz w:val="20"/>
                <w:szCs w:val="20"/>
              </w:rPr>
            </w:pPr>
            <w:proofErr w:type="spellStart"/>
            <w:r w:rsidRPr="00D22674">
              <w:rPr>
                <w:rFonts w:asciiTheme="minorHAnsi" w:hAnsiTheme="minorHAnsi"/>
                <w:sz w:val="20"/>
                <w:szCs w:val="20"/>
              </w:rPr>
              <w:t>Creatine</w:t>
            </w:r>
            <w:proofErr w:type="spellEnd"/>
            <w:r w:rsidRPr="00D22674">
              <w:rPr>
                <w:rFonts w:asciiTheme="minorHAnsi" w:hAnsiTheme="minorHAnsi"/>
                <w:sz w:val="20"/>
                <w:szCs w:val="20"/>
              </w:rPr>
              <w:t xml:space="preserve"> kinase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eastAsia="TimesNewRoman" w:hAnsiTheme="minorHAnsi"/>
                <w:sz w:val="20"/>
                <w:szCs w:val="20"/>
              </w:rPr>
            </w:pPr>
            <w:r w:rsidRPr="00D22674">
              <w:rPr>
                <w:rFonts w:asciiTheme="minorHAnsi" w:eastAsia="TimesNewRoman" w:hAnsiTheme="minorHAnsi"/>
                <w:sz w:val="20"/>
                <w:szCs w:val="20"/>
              </w:rPr>
              <w:t>CL</w:t>
            </w:r>
          </w:p>
        </w:tc>
        <w:tc>
          <w:tcPr>
            <w:tcW w:w="6803" w:type="dxa"/>
          </w:tcPr>
          <w:p w:rsidR="00D22674" w:rsidRPr="00D22674" w:rsidRDefault="00D22674" w:rsidP="001B05E0">
            <w:pPr>
              <w:autoSpaceDE w:val="0"/>
              <w:autoSpaceDN w:val="0"/>
              <w:adjustRightInd w:val="0"/>
              <w:rPr>
                <w:rFonts w:asciiTheme="minorHAnsi" w:eastAsia="TimesNewRoman" w:hAnsiTheme="minorHAnsi"/>
                <w:sz w:val="20"/>
                <w:szCs w:val="20"/>
              </w:rPr>
            </w:pPr>
            <w:r w:rsidRPr="00D22674">
              <w:rPr>
                <w:rFonts w:asciiTheme="minorHAnsi" w:eastAsia="TimesNewRoman" w:hAnsiTheme="minorHAnsi"/>
                <w:sz w:val="20"/>
                <w:szCs w:val="20"/>
              </w:rPr>
              <w:t>Clearance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eastAsia="TimesNewRoman" w:hAnsiTheme="minorHAnsi"/>
                <w:sz w:val="20"/>
                <w:szCs w:val="20"/>
              </w:rPr>
            </w:pPr>
            <w:r w:rsidRPr="00D22674">
              <w:rPr>
                <w:rFonts w:asciiTheme="minorHAnsi" w:eastAsia="TimesNewRoman" w:hAnsiTheme="minorHAnsi"/>
                <w:sz w:val="20"/>
                <w:szCs w:val="20"/>
                <w:lang w:val="en-US" w:eastAsia="en-US"/>
              </w:rPr>
              <w:t>CL</w:t>
            </w:r>
            <w:r w:rsidRPr="00D22674">
              <w:rPr>
                <w:rFonts w:asciiTheme="minorHAnsi" w:eastAsia="TimesNewRoman" w:hAnsiTheme="minorHAnsi"/>
                <w:sz w:val="20"/>
                <w:szCs w:val="20"/>
                <w:vertAlign w:val="subscript"/>
                <w:lang w:val="en-US" w:eastAsia="en-US"/>
              </w:rPr>
              <w:t>NR</w:t>
            </w:r>
          </w:p>
        </w:tc>
        <w:tc>
          <w:tcPr>
            <w:tcW w:w="6803" w:type="dxa"/>
          </w:tcPr>
          <w:p w:rsidR="00D22674" w:rsidRPr="00D22674" w:rsidRDefault="00D22674" w:rsidP="001B05E0">
            <w:pPr>
              <w:autoSpaceDE w:val="0"/>
              <w:autoSpaceDN w:val="0"/>
              <w:adjustRightInd w:val="0"/>
              <w:rPr>
                <w:rFonts w:asciiTheme="minorHAnsi" w:eastAsia="TimesNewRoman" w:hAnsiTheme="minorHAnsi"/>
                <w:sz w:val="20"/>
                <w:szCs w:val="20"/>
              </w:rPr>
            </w:pPr>
            <w:r w:rsidRPr="00D22674">
              <w:rPr>
                <w:rFonts w:asciiTheme="minorHAnsi" w:eastAsia="TimesNewRoman" w:hAnsiTheme="minorHAnsi"/>
                <w:sz w:val="20"/>
                <w:szCs w:val="20"/>
              </w:rPr>
              <w:t>Non-renal clearance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eastAsia="TimesNewRoman" w:hAnsiTheme="minorHAnsi"/>
                <w:sz w:val="20"/>
                <w:szCs w:val="20"/>
              </w:rPr>
            </w:pPr>
            <w:r w:rsidRPr="00D22674">
              <w:rPr>
                <w:rFonts w:asciiTheme="minorHAnsi" w:eastAsia="TimesNewRoman" w:hAnsiTheme="minorHAnsi"/>
                <w:sz w:val="20"/>
                <w:szCs w:val="20"/>
                <w:lang w:val="en-US" w:eastAsia="en-US"/>
              </w:rPr>
              <w:t>CL</w:t>
            </w:r>
            <w:r w:rsidRPr="00D22674">
              <w:rPr>
                <w:rFonts w:asciiTheme="minorHAnsi" w:eastAsia="TimesNewRoman" w:hAnsiTheme="minorHAnsi"/>
                <w:sz w:val="20"/>
                <w:szCs w:val="20"/>
                <w:vertAlign w:val="subscript"/>
                <w:lang w:val="en-US" w:eastAsia="en-US"/>
              </w:rPr>
              <w:t>R</w:t>
            </w:r>
          </w:p>
        </w:tc>
        <w:tc>
          <w:tcPr>
            <w:tcW w:w="6803" w:type="dxa"/>
          </w:tcPr>
          <w:p w:rsidR="00D22674" w:rsidRPr="00D22674" w:rsidRDefault="00D22674" w:rsidP="001B05E0">
            <w:pPr>
              <w:autoSpaceDE w:val="0"/>
              <w:autoSpaceDN w:val="0"/>
              <w:adjustRightInd w:val="0"/>
              <w:rPr>
                <w:rFonts w:asciiTheme="minorHAnsi" w:eastAsia="TimesNewRoman" w:hAnsiTheme="minorHAnsi"/>
                <w:sz w:val="20"/>
                <w:szCs w:val="20"/>
              </w:rPr>
            </w:pPr>
            <w:r w:rsidRPr="00D22674">
              <w:rPr>
                <w:rFonts w:asciiTheme="minorHAnsi" w:eastAsia="TimesNewRoman" w:hAnsiTheme="minorHAnsi"/>
                <w:sz w:val="20"/>
                <w:szCs w:val="20"/>
              </w:rPr>
              <w:t>Renal clearance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eastAsia="TimesNewRoman" w:hAnsiTheme="minorHAnsi"/>
                <w:sz w:val="20"/>
                <w:szCs w:val="20"/>
              </w:rPr>
            </w:pPr>
            <w:proofErr w:type="spellStart"/>
            <w:r w:rsidRPr="00D22674">
              <w:rPr>
                <w:rFonts w:asciiTheme="minorHAnsi" w:eastAsia="TimesNewRoman" w:hAnsiTheme="minorHAnsi"/>
                <w:sz w:val="20"/>
                <w:szCs w:val="20"/>
              </w:rPr>
              <w:t>CrCl</w:t>
            </w:r>
            <w:proofErr w:type="spellEnd"/>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eastAsia="TimesNewRoman" w:hAnsiTheme="minorHAnsi"/>
                <w:sz w:val="20"/>
                <w:szCs w:val="20"/>
              </w:rPr>
              <w:t>Creatinine clearance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CRF</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Case report form</w:t>
            </w:r>
          </w:p>
        </w:tc>
      </w:tr>
      <w:tr w:rsidR="00D22674" w:rsidRPr="008F3FBC" w:rsidTr="00D22674">
        <w:tc>
          <w:tcPr>
            <w:tcW w:w="1917" w:type="dxa"/>
          </w:tcPr>
          <w:p w:rsidR="00D22674" w:rsidRPr="00D22674" w:rsidRDefault="00D22674" w:rsidP="001B05E0">
            <w:pPr>
              <w:autoSpaceDE w:val="0"/>
              <w:autoSpaceDN w:val="0"/>
              <w:adjustRightInd w:val="0"/>
              <w:rPr>
                <w:rFonts w:asciiTheme="minorHAnsi" w:eastAsia="TimesNewRoman" w:hAnsiTheme="minorHAnsi"/>
                <w:sz w:val="20"/>
                <w:szCs w:val="20"/>
                <w:lang w:val="en-US" w:eastAsia="en-US"/>
              </w:rPr>
            </w:pPr>
            <w:r w:rsidRPr="00D22674">
              <w:rPr>
                <w:rFonts w:asciiTheme="minorHAnsi" w:eastAsia="TimesNewRoman" w:hAnsiTheme="minorHAnsi"/>
                <w:sz w:val="20"/>
                <w:szCs w:val="20"/>
                <w:lang w:val="en-US" w:eastAsia="en-US"/>
              </w:rPr>
              <w:t>CRNMB</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eastAsia="TimesNewRoman" w:hAnsiTheme="minorHAnsi"/>
                <w:sz w:val="20"/>
                <w:szCs w:val="20"/>
                <w:lang w:val="en-US" w:eastAsia="en-US"/>
              </w:rPr>
              <w:t>Clinically relevant non-major bleeding</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CUS</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Compression ultrasound</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D5W</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5% dextrose in water</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DAE</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Discontinuation due to adverse event</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lastRenderedPageBreak/>
              <w:t>DBP</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Diastolic Blood Pressure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DSMB</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Data Safety Monitoring Board</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DVT</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Deep vein thrombosis</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F</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Bioavailability</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F1.2</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Prothrombin fragment F1.2</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FSH</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Follicle-stimulating hormone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proofErr w:type="spellStart"/>
            <w:r w:rsidRPr="00D22674">
              <w:rPr>
                <w:rFonts w:asciiTheme="minorHAnsi" w:hAnsiTheme="minorHAnsi"/>
                <w:sz w:val="20"/>
                <w:szCs w:val="20"/>
              </w:rPr>
              <w:t>FXa</w:t>
            </w:r>
            <w:proofErr w:type="spellEnd"/>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 xml:space="preserve">Factor </w:t>
            </w:r>
            <w:proofErr w:type="spellStart"/>
            <w:r w:rsidRPr="00D22674">
              <w:rPr>
                <w:rFonts w:asciiTheme="minorHAnsi" w:hAnsiTheme="minorHAnsi"/>
                <w:sz w:val="20"/>
                <w:szCs w:val="20"/>
              </w:rPr>
              <w:t>Xa</w:t>
            </w:r>
            <w:proofErr w:type="spellEnd"/>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GCP</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Good Clinical Practice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proofErr w:type="spellStart"/>
            <w:r w:rsidRPr="00D22674">
              <w:rPr>
                <w:rFonts w:asciiTheme="minorHAnsi" w:hAnsiTheme="minorHAnsi"/>
                <w:sz w:val="20"/>
                <w:szCs w:val="20"/>
              </w:rPr>
              <w:t>Hb</w:t>
            </w:r>
            <w:proofErr w:type="spellEnd"/>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Haemoglobin</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HCG</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Human chorionic gonadotropin</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HIV</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Human immunodeficiency virus</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ICAC</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eastAsia="TimesNewRoman" w:hAnsiTheme="minorHAnsi"/>
                <w:sz w:val="20"/>
                <w:szCs w:val="20"/>
              </w:rPr>
              <w:t>Independent Central Adjudication Committee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ICH</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International Conference on Harmonization</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INR</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International normalized ratio</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IVRS</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Interactive Voice Response System</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proofErr w:type="spellStart"/>
            <w:r w:rsidRPr="00D22674">
              <w:rPr>
                <w:rFonts w:asciiTheme="minorHAnsi" w:eastAsia="TimesNewRoman" w:hAnsiTheme="minorHAnsi"/>
                <w:sz w:val="20"/>
                <w:szCs w:val="20"/>
                <w:lang w:val="en-US" w:eastAsia="en-US"/>
              </w:rPr>
              <w:t>k</w:t>
            </w:r>
            <w:r w:rsidRPr="00D22674">
              <w:rPr>
                <w:rFonts w:asciiTheme="minorHAnsi" w:eastAsia="TimesNewRoman" w:hAnsiTheme="minorHAnsi"/>
                <w:sz w:val="20"/>
                <w:szCs w:val="20"/>
                <w:vertAlign w:val="subscript"/>
                <w:lang w:val="en-US" w:eastAsia="en-US"/>
              </w:rPr>
              <w:t>a</w:t>
            </w:r>
            <w:proofErr w:type="spellEnd"/>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Absorption rate constant</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LMWH</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Low molecular weight heparin</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MB</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Major bleeding</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proofErr w:type="spellStart"/>
            <w:r w:rsidRPr="00D22674">
              <w:rPr>
                <w:rFonts w:asciiTheme="minorHAnsi" w:hAnsiTheme="minorHAnsi"/>
                <w:sz w:val="20"/>
                <w:szCs w:val="20"/>
              </w:rPr>
              <w:t>MedDRA</w:t>
            </w:r>
            <w:proofErr w:type="spellEnd"/>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Medical Dictionary for Regulatory Activities</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proofErr w:type="spellStart"/>
            <w:r w:rsidRPr="00D22674">
              <w:rPr>
                <w:rFonts w:asciiTheme="minorHAnsi" w:hAnsiTheme="minorHAnsi"/>
                <w:sz w:val="20"/>
                <w:szCs w:val="20"/>
              </w:rPr>
              <w:t>mPT</w:t>
            </w:r>
            <w:proofErr w:type="spellEnd"/>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Modified prothrombin time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NSAID</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Nonsteroidal anti-inflammatory drug</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PD</w:t>
            </w:r>
          </w:p>
        </w:tc>
        <w:tc>
          <w:tcPr>
            <w:tcW w:w="6803" w:type="dxa"/>
          </w:tcPr>
          <w:p w:rsidR="00D22674" w:rsidRPr="00D22674" w:rsidRDefault="00D22674" w:rsidP="001B05E0">
            <w:pPr>
              <w:autoSpaceDE w:val="0"/>
              <w:autoSpaceDN w:val="0"/>
              <w:adjustRightInd w:val="0"/>
              <w:rPr>
                <w:rFonts w:asciiTheme="minorHAnsi" w:hAnsiTheme="minorHAnsi"/>
                <w:sz w:val="20"/>
                <w:szCs w:val="20"/>
              </w:rPr>
            </w:pPr>
            <w:proofErr w:type="spellStart"/>
            <w:r w:rsidRPr="00D22674">
              <w:rPr>
                <w:rFonts w:asciiTheme="minorHAnsi" w:hAnsiTheme="minorHAnsi"/>
                <w:sz w:val="20"/>
                <w:szCs w:val="20"/>
              </w:rPr>
              <w:t>Pharmacodynamic</w:t>
            </w:r>
            <w:proofErr w:type="spellEnd"/>
            <w:r w:rsidRPr="00D22674">
              <w:rPr>
                <w:rFonts w:asciiTheme="minorHAnsi" w:hAnsiTheme="minorHAnsi"/>
                <w:sz w:val="20"/>
                <w:szCs w:val="20"/>
              </w:rPr>
              <w:t>(s)</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PE</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Pulmonary embolism</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p-</w:t>
            </w:r>
            <w:proofErr w:type="spellStart"/>
            <w:r w:rsidRPr="00D22674">
              <w:rPr>
                <w:rFonts w:asciiTheme="minorHAnsi" w:hAnsiTheme="minorHAnsi"/>
                <w:sz w:val="20"/>
                <w:szCs w:val="20"/>
              </w:rPr>
              <w:t>gp</w:t>
            </w:r>
            <w:proofErr w:type="spellEnd"/>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p-glycoprotein</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PK</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Pharmacokinetic(s)</w:t>
            </w:r>
          </w:p>
        </w:tc>
      </w:tr>
      <w:tr w:rsidR="00D22674" w:rsidRPr="008F3FBC" w:rsidTr="00D22674">
        <w:tc>
          <w:tcPr>
            <w:tcW w:w="1917" w:type="dxa"/>
          </w:tcPr>
          <w:p w:rsidR="00D22674" w:rsidRPr="00D22674" w:rsidRDefault="00D22674" w:rsidP="001B05E0">
            <w:pPr>
              <w:rPr>
                <w:rFonts w:asciiTheme="minorHAnsi" w:hAnsiTheme="minorHAnsi"/>
                <w:sz w:val="20"/>
                <w:szCs w:val="20"/>
              </w:rPr>
            </w:pPr>
            <w:r w:rsidRPr="00D22674">
              <w:rPr>
                <w:rFonts w:asciiTheme="minorHAnsi" w:hAnsiTheme="minorHAnsi"/>
                <w:sz w:val="20"/>
                <w:szCs w:val="20"/>
              </w:rPr>
              <w:t>PLS</w:t>
            </w:r>
          </w:p>
        </w:tc>
        <w:tc>
          <w:tcPr>
            <w:tcW w:w="6803" w:type="dxa"/>
          </w:tcPr>
          <w:p w:rsidR="00D22674" w:rsidRPr="00D22674" w:rsidRDefault="00D22674" w:rsidP="001B05E0">
            <w:pPr>
              <w:rPr>
                <w:rFonts w:asciiTheme="minorHAnsi" w:hAnsiTheme="minorHAnsi"/>
                <w:sz w:val="20"/>
                <w:szCs w:val="20"/>
              </w:rPr>
            </w:pPr>
            <w:r w:rsidRPr="00D22674">
              <w:rPr>
                <w:rFonts w:asciiTheme="minorHAnsi" w:hAnsiTheme="minorHAnsi"/>
                <w:sz w:val="20"/>
                <w:szCs w:val="20"/>
              </w:rPr>
              <w:t>Perfusion lung scan</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QD</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Once daily</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lastRenderedPageBreak/>
              <w:t>SAE</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Serious adverse event</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SAP</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Statistical Analysis Plan</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SBP</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Systolic Blood Pressure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SMC</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Study Management Committee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SSRI</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Selective serotonin reuptake inhibitor</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TAT</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Thrombin-</w:t>
            </w:r>
            <w:proofErr w:type="spellStart"/>
            <w:r w:rsidRPr="00D22674">
              <w:rPr>
                <w:rFonts w:asciiTheme="minorHAnsi" w:hAnsiTheme="minorHAnsi"/>
                <w:sz w:val="20"/>
                <w:szCs w:val="20"/>
              </w:rPr>
              <w:t>antithrombin</w:t>
            </w:r>
            <w:proofErr w:type="spellEnd"/>
            <w:r w:rsidRPr="00D22674">
              <w:rPr>
                <w:rFonts w:asciiTheme="minorHAnsi" w:hAnsiTheme="minorHAnsi"/>
                <w:sz w:val="20"/>
                <w:szCs w:val="20"/>
              </w:rPr>
              <w:t xml:space="preserve"> III complex</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TEAE</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Treatment emergent adverse event</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TC</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Treatment compliance</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UFH</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Unfractionated heparin</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ULN</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Upper limit of normal</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VKA</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Vitamin K antagonist</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VTE</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Venous thromboembolism</w:t>
            </w:r>
          </w:p>
        </w:tc>
      </w:tr>
      <w:tr w:rsidR="00D22674" w:rsidRPr="008F3FBC" w:rsidTr="00D22674">
        <w:tc>
          <w:tcPr>
            <w:tcW w:w="1917"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WBC</w:t>
            </w:r>
          </w:p>
        </w:tc>
        <w:tc>
          <w:tcPr>
            <w:tcW w:w="6803" w:type="dxa"/>
          </w:tcPr>
          <w:p w:rsidR="00D22674" w:rsidRPr="00D22674" w:rsidRDefault="00D22674" w:rsidP="001B05E0">
            <w:pPr>
              <w:autoSpaceDE w:val="0"/>
              <w:autoSpaceDN w:val="0"/>
              <w:adjustRightInd w:val="0"/>
              <w:rPr>
                <w:rFonts w:asciiTheme="minorHAnsi" w:hAnsiTheme="minorHAnsi"/>
                <w:sz w:val="20"/>
                <w:szCs w:val="20"/>
              </w:rPr>
            </w:pPr>
            <w:r w:rsidRPr="00D22674">
              <w:rPr>
                <w:rFonts w:asciiTheme="minorHAnsi" w:hAnsiTheme="minorHAnsi"/>
                <w:sz w:val="20"/>
                <w:szCs w:val="20"/>
              </w:rPr>
              <w:t>White blood cell</w:t>
            </w:r>
          </w:p>
        </w:tc>
      </w:tr>
      <w:tr w:rsidR="00D22674" w:rsidRPr="008F3FBC" w:rsidTr="00D22674">
        <w:tc>
          <w:tcPr>
            <w:tcW w:w="1917" w:type="dxa"/>
          </w:tcPr>
          <w:p w:rsidR="00D22674" w:rsidRPr="00D22674" w:rsidRDefault="00D22674" w:rsidP="001B05E0">
            <w:pPr>
              <w:rPr>
                <w:rFonts w:asciiTheme="minorHAnsi" w:hAnsiTheme="minorHAnsi"/>
                <w:sz w:val="20"/>
                <w:szCs w:val="20"/>
              </w:rPr>
            </w:pPr>
            <w:r w:rsidRPr="00D22674">
              <w:rPr>
                <w:rFonts w:asciiTheme="minorHAnsi" w:hAnsiTheme="minorHAnsi"/>
                <w:sz w:val="20"/>
                <w:szCs w:val="20"/>
              </w:rPr>
              <w:t>WOCBP</w:t>
            </w:r>
          </w:p>
        </w:tc>
        <w:tc>
          <w:tcPr>
            <w:tcW w:w="6803" w:type="dxa"/>
          </w:tcPr>
          <w:p w:rsidR="00D22674" w:rsidRPr="00D22674" w:rsidRDefault="00D22674" w:rsidP="001B05E0">
            <w:pPr>
              <w:rPr>
                <w:rFonts w:asciiTheme="minorHAnsi" w:hAnsiTheme="minorHAnsi"/>
                <w:sz w:val="20"/>
                <w:szCs w:val="20"/>
              </w:rPr>
            </w:pPr>
            <w:r w:rsidRPr="00D22674">
              <w:rPr>
                <w:rFonts w:asciiTheme="minorHAnsi" w:hAnsiTheme="minorHAnsi"/>
                <w:sz w:val="20"/>
                <w:szCs w:val="20"/>
              </w:rPr>
              <w:t>Women of childbearing potential</w:t>
            </w:r>
          </w:p>
        </w:tc>
      </w:tr>
      <w:tr w:rsidR="00D22674" w:rsidRPr="008F3FBC" w:rsidTr="00D22674">
        <w:tc>
          <w:tcPr>
            <w:tcW w:w="1917" w:type="dxa"/>
          </w:tcPr>
          <w:p w:rsidR="00D22674" w:rsidRPr="00D22674" w:rsidRDefault="00D22674" w:rsidP="001B05E0">
            <w:pPr>
              <w:rPr>
                <w:rFonts w:asciiTheme="minorHAnsi" w:hAnsiTheme="minorHAnsi"/>
                <w:sz w:val="20"/>
                <w:szCs w:val="20"/>
              </w:rPr>
            </w:pPr>
            <w:r w:rsidRPr="00D22674">
              <w:rPr>
                <w:rFonts w:asciiTheme="minorHAnsi" w:hAnsiTheme="minorHAnsi"/>
                <w:sz w:val="20"/>
                <w:szCs w:val="20"/>
              </w:rPr>
              <w:t>%CV</w:t>
            </w:r>
          </w:p>
        </w:tc>
        <w:tc>
          <w:tcPr>
            <w:tcW w:w="6803" w:type="dxa"/>
          </w:tcPr>
          <w:p w:rsidR="00D22674" w:rsidRPr="00D22674" w:rsidRDefault="00D22674" w:rsidP="001B05E0">
            <w:pPr>
              <w:rPr>
                <w:rFonts w:asciiTheme="minorHAnsi" w:hAnsiTheme="minorHAnsi"/>
                <w:sz w:val="20"/>
                <w:szCs w:val="20"/>
              </w:rPr>
            </w:pPr>
            <w:r w:rsidRPr="00D22674">
              <w:rPr>
                <w:rFonts w:asciiTheme="minorHAnsi" w:hAnsiTheme="minorHAnsi"/>
                <w:sz w:val="20"/>
                <w:szCs w:val="20"/>
              </w:rPr>
              <w:t>Coefficient of variability expressed as a percentage</w:t>
            </w:r>
          </w:p>
        </w:tc>
      </w:tr>
      <w:tr w:rsidR="00D22674" w:rsidRPr="008F3FBC" w:rsidTr="00D22674">
        <w:tc>
          <w:tcPr>
            <w:tcW w:w="1917" w:type="dxa"/>
          </w:tcPr>
          <w:p w:rsidR="00D22674" w:rsidRPr="00D22674" w:rsidRDefault="00D22674" w:rsidP="001B05E0">
            <w:pPr>
              <w:rPr>
                <w:rFonts w:asciiTheme="minorHAnsi" w:hAnsiTheme="minorHAnsi"/>
                <w:sz w:val="20"/>
                <w:szCs w:val="20"/>
              </w:rPr>
            </w:pPr>
            <w:r w:rsidRPr="00D22674">
              <w:rPr>
                <w:rFonts w:asciiTheme="minorHAnsi" w:hAnsiTheme="minorHAnsi"/>
                <w:sz w:val="20"/>
                <w:szCs w:val="20"/>
              </w:rPr>
              <w:t>%DEV</w:t>
            </w:r>
          </w:p>
        </w:tc>
        <w:tc>
          <w:tcPr>
            <w:tcW w:w="6803" w:type="dxa"/>
          </w:tcPr>
          <w:p w:rsidR="00D22674" w:rsidRPr="00D22674" w:rsidRDefault="00D22674" w:rsidP="001B05E0">
            <w:pPr>
              <w:rPr>
                <w:rFonts w:asciiTheme="minorHAnsi" w:hAnsiTheme="minorHAnsi"/>
                <w:sz w:val="20"/>
                <w:szCs w:val="20"/>
              </w:rPr>
            </w:pPr>
            <w:r w:rsidRPr="00D22674">
              <w:rPr>
                <w:rFonts w:asciiTheme="minorHAnsi" w:hAnsiTheme="minorHAnsi"/>
                <w:sz w:val="20"/>
                <w:szCs w:val="20"/>
              </w:rPr>
              <w:t>Percentage deviation from the nominal value</w:t>
            </w:r>
          </w:p>
        </w:tc>
      </w:tr>
    </w:tbl>
    <w:p w:rsidR="008E7846" w:rsidRDefault="00F53C07" w:rsidP="00952967">
      <w:pPr>
        <w:pStyle w:val="Heading2"/>
        <w:pageBreakBefore/>
      </w:pPr>
      <w:bookmarkStart w:id="9" w:name="_Toc436386752"/>
      <w:r>
        <w:lastRenderedPageBreak/>
        <w:t>I.</w:t>
      </w:r>
      <w:r w:rsidR="008E7846">
        <w:t xml:space="preserve"> Introduction to product submission</w:t>
      </w:r>
      <w:bookmarkEnd w:id="0"/>
      <w:bookmarkEnd w:id="3"/>
      <w:bookmarkEnd w:id="9"/>
    </w:p>
    <w:p w:rsidR="008E7846" w:rsidRDefault="008E7846" w:rsidP="00952967">
      <w:pPr>
        <w:pStyle w:val="Heading3"/>
        <w:rPr>
          <w:lang w:eastAsia="en-AU"/>
        </w:rPr>
      </w:pPr>
      <w:bookmarkStart w:id="10" w:name="_Toc247691502"/>
      <w:bookmarkStart w:id="11" w:name="_Toc314842483"/>
      <w:bookmarkStart w:id="12" w:name="_Toc436386753"/>
      <w:r w:rsidRPr="00952967">
        <w:t>Submission</w:t>
      </w:r>
      <w:r>
        <w:rPr>
          <w:lang w:eastAsia="en-AU"/>
        </w:rPr>
        <w:t xml:space="preserve">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B3975" w:rsidP="001B5C90">
            <w:r>
              <w:t>Extension of indications</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4C7F1F">
            <w:r w:rsidRPr="003D1E62">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4C7F1F" w:rsidP="001B5C90">
            <w:r>
              <w:t>15 May 2015</w:t>
            </w:r>
          </w:p>
        </w:tc>
      </w:tr>
      <w:tr w:rsidR="00ED2922" w:rsidRPr="003D1E62" w:rsidTr="0089635C">
        <w:trPr>
          <w:trHeight w:hRule="exact" w:val="454"/>
        </w:trPr>
        <w:tc>
          <w:tcPr>
            <w:tcW w:w="2907" w:type="dxa"/>
          </w:tcPr>
          <w:p w:rsidR="00ED2922" w:rsidRPr="008452C0" w:rsidRDefault="00ED2922" w:rsidP="001B5C90">
            <w:pPr>
              <w:rPr>
                <w:i/>
              </w:rPr>
            </w:pPr>
            <w:r w:rsidRPr="008452C0">
              <w:rPr>
                <w:i/>
              </w:rPr>
              <w:t>Date of entry onto ARTG</w:t>
            </w:r>
          </w:p>
        </w:tc>
        <w:tc>
          <w:tcPr>
            <w:tcW w:w="6590" w:type="dxa"/>
          </w:tcPr>
          <w:p w:rsidR="00ED2922" w:rsidRPr="004C7F1F" w:rsidRDefault="008452C0" w:rsidP="008452C0">
            <w:pPr>
              <w:rPr>
                <w:i/>
                <w:highlight w:val="yellow"/>
              </w:rPr>
            </w:pPr>
            <w:r>
              <w:t xml:space="preserve">21 </w:t>
            </w:r>
            <w:r w:rsidRPr="00137BB0">
              <w:t>July 2011</w:t>
            </w:r>
            <w:r>
              <w:t xml:space="preserve"> (2.5 mg) </w:t>
            </w:r>
            <w:r w:rsidRPr="008F536C">
              <w:t>and 2 May 2013 (5 mg)</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952967">
            <w:pPr>
              <w:rPr>
                <w:i/>
              </w:rPr>
            </w:pPr>
            <w:r>
              <w:rPr>
                <w:i/>
              </w:rPr>
              <w:t>Active ingredient:</w:t>
            </w:r>
          </w:p>
        </w:tc>
        <w:tc>
          <w:tcPr>
            <w:tcW w:w="6307" w:type="dxa"/>
          </w:tcPr>
          <w:p w:rsidR="008E7846" w:rsidRPr="00487162" w:rsidRDefault="008B3975" w:rsidP="00E45619">
            <w:proofErr w:type="spellStart"/>
            <w:r>
              <w:rPr>
                <w:rFonts w:asciiTheme="minorHAnsi" w:hAnsiTheme="minorHAnsi"/>
              </w:rPr>
              <w:t>Apixaban</w:t>
            </w:r>
            <w:proofErr w:type="spellEnd"/>
          </w:p>
        </w:tc>
      </w:tr>
      <w:tr w:rsidR="008E7846" w:rsidRPr="00487162" w:rsidTr="00BF1190">
        <w:tc>
          <w:tcPr>
            <w:tcW w:w="2907" w:type="dxa"/>
          </w:tcPr>
          <w:p w:rsidR="008E7846" w:rsidRPr="00487162" w:rsidRDefault="008E7846" w:rsidP="00952967">
            <w:pPr>
              <w:rPr>
                <w:i/>
              </w:rPr>
            </w:pPr>
            <w:r w:rsidRPr="00487162">
              <w:rPr>
                <w:i/>
              </w:rPr>
              <w:t>Product</w:t>
            </w:r>
            <w:r w:rsidR="001B5C90">
              <w:rPr>
                <w:i/>
              </w:rPr>
              <w:t xml:space="preserve"> name:</w:t>
            </w:r>
          </w:p>
        </w:tc>
        <w:tc>
          <w:tcPr>
            <w:tcW w:w="6307" w:type="dxa"/>
          </w:tcPr>
          <w:p w:rsidR="008E7846" w:rsidRPr="00487162" w:rsidRDefault="008B3975" w:rsidP="00E45619">
            <w:proofErr w:type="spellStart"/>
            <w:r>
              <w:rPr>
                <w:rFonts w:asciiTheme="minorHAnsi" w:hAnsiTheme="minorHAnsi"/>
              </w:rPr>
              <w:t>Eliquis</w:t>
            </w:r>
            <w:proofErr w:type="spellEnd"/>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465E1" w:rsidRPr="004C7F1F" w:rsidRDefault="008465E1" w:rsidP="00952967">
            <w:pPr>
              <w:rPr>
                <w:b/>
              </w:rPr>
            </w:pPr>
            <w:r>
              <w:rPr>
                <w:rFonts w:asciiTheme="minorHAnsi" w:hAnsiTheme="minorHAnsi"/>
              </w:rPr>
              <w:t>Bristol-Myers Squibb Australia Pty Ltd</w:t>
            </w:r>
            <w:r w:rsidR="00952967">
              <w:rPr>
                <w:rFonts w:asciiTheme="minorHAnsi" w:hAnsiTheme="minorHAnsi"/>
              </w:rPr>
              <w:br/>
            </w:r>
            <w:r>
              <w:rPr>
                <w:rFonts w:asciiTheme="minorHAnsi" w:hAnsiTheme="minorHAnsi"/>
              </w:rPr>
              <w:t>4 Nexus Court, Mulgrave</w:t>
            </w:r>
            <w:r>
              <w:rPr>
                <w:rFonts w:asciiTheme="minorHAnsi" w:hAnsiTheme="minorHAnsi"/>
              </w:rPr>
              <w:br/>
              <w:t>Victoria 3170</w:t>
            </w:r>
          </w:p>
        </w:tc>
      </w:tr>
      <w:tr w:rsidR="008E7846" w:rsidRPr="00487162" w:rsidTr="00BF1190">
        <w:tc>
          <w:tcPr>
            <w:tcW w:w="2907" w:type="dxa"/>
          </w:tcPr>
          <w:p w:rsidR="008E7846" w:rsidRPr="00487162" w:rsidRDefault="001B5C90" w:rsidP="00952967">
            <w:pPr>
              <w:rPr>
                <w:i/>
              </w:rPr>
            </w:pPr>
            <w:r>
              <w:rPr>
                <w:i/>
              </w:rPr>
              <w:t>Dose form:</w:t>
            </w:r>
          </w:p>
        </w:tc>
        <w:tc>
          <w:tcPr>
            <w:tcW w:w="6307" w:type="dxa"/>
          </w:tcPr>
          <w:p w:rsidR="008E7846" w:rsidRPr="00487162" w:rsidRDefault="008B3975" w:rsidP="00E45619">
            <w:r>
              <w:t>Film coated tablet</w:t>
            </w:r>
          </w:p>
        </w:tc>
      </w:tr>
      <w:tr w:rsidR="008E7846" w:rsidRPr="00487162" w:rsidTr="00BF1190">
        <w:tc>
          <w:tcPr>
            <w:tcW w:w="2907" w:type="dxa"/>
          </w:tcPr>
          <w:p w:rsidR="008E7846" w:rsidRPr="00487162" w:rsidRDefault="008E7846" w:rsidP="00952967">
            <w:pPr>
              <w:rPr>
                <w:i/>
              </w:rPr>
            </w:pPr>
            <w:r w:rsidRPr="00487162">
              <w:rPr>
                <w:i/>
              </w:rPr>
              <w:t>Strength</w:t>
            </w:r>
            <w:r w:rsidR="00952967">
              <w:rPr>
                <w:i/>
              </w:rPr>
              <w:t>s</w:t>
            </w:r>
            <w:r w:rsidRPr="00487162">
              <w:rPr>
                <w:i/>
              </w:rPr>
              <w:t>:</w:t>
            </w:r>
          </w:p>
        </w:tc>
        <w:tc>
          <w:tcPr>
            <w:tcW w:w="6307" w:type="dxa"/>
          </w:tcPr>
          <w:p w:rsidR="008E7846" w:rsidRPr="00487162" w:rsidRDefault="008B3975" w:rsidP="008B3975">
            <w:r>
              <w:rPr>
                <w:rFonts w:asciiTheme="minorHAnsi" w:hAnsiTheme="minorHAnsi"/>
              </w:rPr>
              <w:t>2.5 mg</w:t>
            </w:r>
            <w:r w:rsidR="00127885">
              <w:rPr>
                <w:rFonts w:asciiTheme="minorHAnsi" w:hAnsiTheme="minorHAnsi"/>
              </w:rPr>
              <w:t xml:space="preserve"> </w:t>
            </w:r>
            <w:r w:rsidR="00952967">
              <w:rPr>
                <w:rFonts w:asciiTheme="minorHAnsi" w:hAnsiTheme="minorHAnsi"/>
              </w:rPr>
              <w:t>and 5 mg</w:t>
            </w:r>
          </w:p>
        </w:tc>
      </w:tr>
      <w:tr w:rsidR="008E7846" w:rsidRPr="00487162" w:rsidTr="00BF1190">
        <w:tc>
          <w:tcPr>
            <w:tcW w:w="2907" w:type="dxa"/>
          </w:tcPr>
          <w:p w:rsidR="008E7846" w:rsidRPr="00487162" w:rsidRDefault="008E7846" w:rsidP="00F718CE">
            <w:pPr>
              <w:rPr>
                <w:i/>
              </w:rPr>
            </w:pPr>
            <w:r w:rsidRPr="00487162">
              <w:rPr>
                <w:i/>
              </w:rPr>
              <w:t>Container:</w:t>
            </w:r>
          </w:p>
        </w:tc>
        <w:tc>
          <w:tcPr>
            <w:tcW w:w="6307" w:type="dxa"/>
          </w:tcPr>
          <w:p w:rsidR="008E7846" w:rsidRPr="00487162" w:rsidRDefault="008B3975" w:rsidP="008452C0">
            <w:r>
              <w:t>Blister packs</w:t>
            </w:r>
          </w:p>
        </w:tc>
      </w:tr>
      <w:tr w:rsidR="008E7846" w:rsidRPr="00487162" w:rsidTr="00BF1190">
        <w:tc>
          <w:tcPr>
            <w:tcW w:w="2907" w:type="dxa"/>
          </w:tcPr>
          <w:p w:rsidR="008E7846" w:rsidRPr="00487162" w:rsidRDefault="008E7846" w:rsidP="00F718CE">
            <w:pPr>
              <w:rPr>
                <w:i/>
              </w:rPr>
            </w:pPr>
            <w:r w:rsidRPr="00487162">
              <w:rPr>
                <w:i/>
              </w:rPr>
              <w:t>Pack sizes:</w:t>
            </w:r>
          </w:p>
        </w:tc>
        <w:tc>
          <w:tcPr>
            <w:tcW w:w="6307" w:type="dxa"/>
          </w:tcPr>
          <w:p w:rsidR="008E7846" w:rsidRPr="008F536C" w:rsidRDefault="008F536C" w:rsidP="008452C0">
            <w:r w:rsidRPr="008F536C">
              <w:t xml:space="preserve">2.5 mg: </w:t>
            </w:r>
            <w:r w:rsidR="008452C0" w:rsidRPr="008F536C">
              <w:t xml:space="preserve">10, </w:t>
            </w:r>
            <w:r w:rsidRPr="008F536C">
              <w:t xml:space="preserve">14, </w:t>
            </w:r>
            <w:r w:rsidR="008452C0" w:rsidRPr="008F536C">
              <w:t xml:space="preserve">20, 30, 60 or 100 tablets </w:t>
            </w:r>
          </w:p>
          <w:p w:rsidR="008F536C" w:rsidRPr="008F536C" w:rsidRDefault="008F536C" w:rsidP="008F536C">
            <w:r w:rsidRPr="008F536C">
              <w:t>5 mg: 14, 20, 56, 60, 100, 112, 120 or 168 tablets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4C7F1F" w:rsidRDefault="004C7F1F" w:rsidP="004C7F1F">
            <w:pPr>
              <w:rPr>
                <w:i/>
              </w:rPr>
            </w:pPr>
            <w:proofErr w:type="spellStart"/>
            <w:r>
              <w:rPr>
                <w:i/>
              </w:rPr>
              <w:t>Eliquis</w:t>
            </w:r>
            <w:proofErr w:type="spellEnd"/>
            <w:r>
              <w:rPr>
                <w:i/>
              </w:rPr>
              <w:t xml:space="preserve"> is Indicated for the treatment of deep vein thrombosis (DV</w:t>
            </w:r>
            <w:r w:rsidR="008465E1">
              <w:rPr>
                <w:i/>
              </w:rPr>
              <w:t>T)</w:t>
            </w:r>
            <w:r>
              <w:rPr>
                <w:i/>
              </w:rPr>
              <w:t xml:space="preserve"> and pulmonary embolism (PE) in adult patients.</w:t>
            </w:r>
          </w:p>
          <w:p w:rsidR="008E7846" w:rsidRPr="004C7F1F" w:rsidRDefault="004C7F1F" w:rsidP="00E45619">
            <w:pPr>
              <w:rPr>
                <w:i/>
              </w:rPr>
            </w:pPr>
            <w:proofErr w:type="spellStart"/>
            <w:r>
              <w:rPr>
                <w:i/>
              </w:rPr>
              <w:t>Eliquis</w:t>
            </w:r>
            <w:proofErr w:type="spellEnd"/>
            <w:r>
              <w:rPr>
                <w:i/>
              </w:rPr>
              <w:t xml:space="preserve"> is indicated for the prevention of recurrent DVT and PE in adul</w:t>
            </w:r>
            <w:r w:rsidR="00832431">
              <w:rPr>
                <w:i/>
              </w:rPr>
              <w:t>t patients.</w:t>
            </w:r>
          </w:p>
        </w:tc>
      </w:tr>
      <w:tr w:rsidR="008E7846" w:rsidRPr="00487162" w:rsidTr="00BF1190">
        <w:tc>
          <w:tcPr>
            <w:tcW w:w="2907" w:type="dxa"/>
          </w:tcPr>
          <w:p w:rsidR="008E7846" w:rsidRPr="00487162" w:rsidRDefault="008E7846" w:rsidP="00832431">
            <w:pPr>
              <w:rPr>
                <w:i/>
              </w:rPr>
            </w:pPr>
            <w:r w:rsidRPr="00487162">
              <w:rPr>
                <w:i/>
              </w:rPr>
              <w:t>Route of administration:</w:t>
            </w:r>
          </w:p>
        </w:tc>
        <w:tc>
          <w:tcPr>
            <w:tcW w:w="6307" w:type="dxa"/>
          </w:tcPr>
          <w:p w:rsidR="008E7846" w:rsidRPr="00487162" w:rsidRDefault="004C7F1F" w:rsidP="00E45619">
            <w:r>
              <w:t>Oral (PO)</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4C7F1F" w:rsidRPr="00127885" w:rsidRDefault="004C7F1F" w:rsidP="00127885">
            <w:pPr>
              <w:rPr>
                <w:i/>
              </w:rPr>
            </w:pPr>
            <w:r w:rsidRPr="00127885">
              <w:rPr>
                <w:i/>
              </w:rPr>
              <w:t>Treatment of DVT and PE</w:t>
            </w:r>
          </w:p>
          <w:p w:rsidR="004C7F1F" w:rsidRPr="00127885" w:rsidRDefault="00127885" w:rsidP="00127885">
            <w:r w:rsidRPr="00127885">
              <w:t>The recommended</w:t>
            </w:r>
            <w:r w:rsidR="004C7F1F" w:rsidRPr="00127885">
              <w:t xml:space="preserve"> dose of </w:t>
            </w:r>
            <w:proofErr w:type="spellStart"/>
            <w:r w:rsidRPr="00127885">
              <w:t>Eliquis</w:t>
            </w:r>
            <w:proofErr w:type="spellEnd"/>
            <w:r w:rsidRPr="00127885">
              <w:t xml:space="preserve"> </w:t>
            </w:r>
            <w:r w:rsidR="004C7F1F" w:rsidRPr="00127885">
              <w:t xml:space="preserve">is 10 </w:t>
            </w:r>
            <w:r w:rsidRPr="00127885">
              <w:t>m</w:t>
            </w:r>
            <w:r w:rsidR="004C7F1F" w:rsidRPr="00127885">
              <w:t xml:space="preserve">g taken </w:t>
            </w:r>
            <w:r w:rsidRPr="00127885">
              <w:t>or</w:t>
            </w:r>
            <w:r w:rsidR="004C7F1F" w:rsidRPr="00127885">
              <w:t>ally twice daily for 7 days, followed</w:t>
            </w:r>
            <w:r w:rsidRPr="00127885">
              <w:t xml:space="preserve"> </w:t>
            </w:r>
            <w:r w:rsidR="004C7F1F" w:rsidRPr="00127885">
              <w:t xml:space="preserve">by 5 </w:t>
            </w:r>
            <w:r w:rsidRPr="00127885">
              <w:t>m</w:t>
            </w:r>
            <w:r w:rsidR="004C7F1F" w:rsidRPr="00127885">
              <w:t>g taken orally twice daily</w:t>
            </w:r>
            <w:r>
              <w:t>.</w:t>
            </w:r>
          </w:p>
          <w:p w:rsidR="004C7F1F" w:rsidRPr="00127885" w:rsidRDefault="004C7F1F" w:rsidP="00127885">
            <w:pPr>
              <w:rPr>
                <w:i/>
              </w:rPr>
            </w:pPr>
            <w:r w:rsidRPr="00127885">
              <w:rPr>
                <w:i/>
              </w:rPr>
              <w:t>Prevention of Recurrent DVT and PE</w:t>
            </w:r>
          </w:p>
          <w:p w:rsidR="008E7846" w:rsidRPr="00487162" w:rsidRDefault="004C7F1F" w:rsidP="00127885">
            <w:r w:rsidRPr="00127885">
              <w:t>The reco</w:t>
            </w:r>
            <w:r w:rsidR="00127885" w:rsidRPr="00127885">
              <w:t>mmended</w:t>
            </w:r>
            <w:r w:rsidRPr="00127885">
              <w:t xml:space="preserve"> dose of </w:t>
            </w:r>
            <w:proofErr w:type="spellStart"/>
            <w:r w:rsidR="00127885" w:rsidRPr="00127885">
              <w:t>Eliquis</w:t>
            </w:r>
            <w:proofErr w:type="spellEnd"/>
            <w:r w:rsidR="00127885" w:rsidRPr="00127885">
              <w:t xml:space="preserve"> </w:t>
            </w:r>
            <w:r w:rsidRPr="00127885">
              <w:t xml:space="preserve">is 2.5 </w:t>
            </w:r>
            <w:r w:rsidR="00127885" w:rsidRPr="00127885">
              <w:t>m</w:t>
            </w:r>
            <w:r w:rsidRPr="00127885">
              <w:t>g taken orally twice daily after at least 6</w:t>
            </w:r>
            <w:r w:rsidR="00127885" w:rsidRPr="00127885">
              <w:t xml:space="preserve"> m</w:t>
            </w:r>
            <w:r w:rsidRPr="00127885">
              <w:t>onths</w:t>
            </w:r>
            <w:r w:rsidR="00127885" w:rsidRPr="00127885">
              <w:t xml:space="preserve"> </w:t>
            </w:r>
            <w:r w:rsidRPr="00127885">
              <w:t>of treatment for DVT or PE</w:t>
            </w:r>
            <w:r w:rsidR="00127885">
              <w:t>.</w:t>
            </w:r>
          </w:p>
        </w:tc>
      </w:tr>
      <w:tr w:rsidR="008E7846" w:rsidRPr="00487162" w:rsidTr="00BF1190">
        <w:tc>
          <w:tcPr>
            <w:tcW w:w="2907" w:type="dxa"/>
          </w:tcPr>
          <w:p w:rsidR="008E7846" w:rsidRPr="008452C0" w:rsidRDefault="008E7846" w:rsidP="00832431">
            <w:pPr>
              <w:rPr>
                <w:i/>
              </w:rPr>
            </w:pPr>
            <w:r w:rsidRPr="008452C0">
              <w:rPr>
                <w:i/>
              </w:rPr>
              <w:t xml:space="preserve">ARTG </w:t>
            </w:r>
            <w:r w:rsidR="001B5C90" w:rsidRPr="008452C0">
              <w:rPr>
                <w:i/>
              </w:rPr>
              <w:t>n</w:t>
            </w:r>
            <w:r w:rsidRPr="008452C0">
              <w:rPr>
                <w:i/>
              </w:rPr>
              <w:t>umbers</w:t>
            </w:r>
            <w:r w:rsidR="001B5C90" w:rsidRPr="008452C0">
              <w:rPr>
                <w:i/>
              </w:rPr>
              <w:t>:</w:t>
            </w:r>
          </w:p>
        </w:tc>
        <w:tc>
          <w:tcPr>
            <w:tcW w:w="6307" w:type="dxa"/>
          </w:tcPr>
          <w:p w:rsidR="008E7846" w:rsidRPr="008452C0" w:rsidRDefault="008452C0" w:rsidP="008452C0">
            <w:r w:rsidRPr="008F536C">
              <w:t>193474 (5 mg) and 172244 (2.5 mg)</w:t>
            </w:r>
          </w:p>
        </w:tc>
      </w:tr>
    </w:tbl>
    <w:p w:rsidR="008E7846" w:rsidRDefault="008E7846" w:rsidP="00C965C1">
      <w:pPr>
        <w:pStyle w:val="Heading3"/>
      </w:pPr>
      <w:bookmarkStart w:id="13" w:name="_Toc247691503"/>
      <w:bookmarkStart w:id="14" w:name="_Toc314842484"/>
      <w:bookmarkStart w:id="15" w:name="_Toc436386754"/>
      <w:r w:rsidRPr="00C965C1">
        <w:lastRenderedPageBreak/>
        <w:t>Product</w:t>
      </w:r>
      <w:r>
        <w:t xml:space="preserve"> background</w:t>
      </w:r>
      <w:bookmarkEnd w:id="13"/>
      <w:bookmarkEnd w:id="14"/>
      <w:bookmarkEnd w:id="15"/>
    </w:p>
    <w:p w:rsidR="008B3975" w:rsidRDefault="00940A89" w:rsidP="00C965C1">
      <w:pPr>
        <w:rPr>
          <w:rFonts w:eastAsia="MS Mincho"/>
        </w:rPr>
      </w:pPr>
      <w:r w:rsidRPr="00127885">
        <w:t xml:space="preserve">This </w:t>
      </w:r>
      <w:proofErr w:type="spellStart"/>
      <w:r w:rsidRPr="00127885">
        <w:t>AusPAR</w:t>
      </w:r>
      <w:proofErr w:type="spellEnd"/>
      <w:r w:rsidRPr="00127885">
        <w:t xml:space="preserve"> describes the application by </w:t>
      </w:r>
      <w:r w:rsidR="00A075E1" w:rsidRPr="003B67DE">
        <w:t>Pfizer Australia Pty Ltd, on behalf of Bristol-Myers Squibb Australia Pty Ltd</w:t>
      </w:r>
      <w:r w:rsidR="008452C0">
        <w:t xml:space="preserve"> (t</w:t>
      </w:r>
      <w:r w:rsidR="00A075E1" w:rsidRPr="003B67DE">
        <w:t xml:space="preserve">he </w:t>
      </w:r>
      <w:r w:rsidR="00A075E1">
        <w:t>s</w:t>
      </w:r>
      <w:r w:rsidR="00A075E1" w:rsidRPr="003B67DE">
        <w:t xml:space="preserve">ponsor), </w:t>
      </w:r>
      <w:r w:rsidR="008B3995">
        <w:t xml:space="preserve"> </w:t>
      </w:r>
      <w:r w:rsidR="00A075E1" w:rsidRPr="003B67DE">
        <w:t xml:space="preserve">to </w:t>
      </w:r>
      <w:r w:rsidR="00A075E1" w:rsidRPr="003B67DE">
        <w:rPr>
          <w:rFonts w:eastAsia="MS Mincho"/>
        </w:rPr>
        <w:t xml:space="preserve">extend the indications of </w:t>
      </w:r>
      <w:proofErr w:type="spellStart"/>
      <w:r w:rsidR="00A075E1">
        <w:rPr>
          <w:rFonts w:eastAsia="MS Mincho"/>
        </w:rPr>
        <w:t>Eliquis</w:t>
      </w:r>
      <w:proofErr w:type="spellEnd"/>
      <w:r w:rsidR="00A075E1" w:rsidRPr="003B67DE">
        <w:rPr>
          <w:rFonts w:eastAsia="MS Mincho"/>
          <w:vertAlign w:val="superscript"/>
        </w:rPr>
        <w:t xml:space="preserve">® </w:t>
      </w:r>
      <w:r w:rsidR="00A075E1" w:rsidRPr="003B67DE">
        <w:rPr>
          <w:rFonts w:eastAsia="MS Mincho"/>
        </w:rPr>
        <w:t>(</w:t>
      </w:r>
      <w:proofErr w:type="spellStart"/>
      <w:r w:rsidR="008F536C">
        <w:rPr>
          <w:rFonts w:eastAsia="MS Mincho"/>
        </w:rPr>
        <w:t>a</w:t>
      </w:r>
      <w:r w:rsidR="00A075E1" w:rsidRPr="003B67DE">
        <w:rPr>
          <w:rFonts w:eastAsia="MS Mincho"/>
        </w:rPr>
        <w:t>pixaban</w:t>
      </w:r>
      <w:proofErr w:type="spellEnd"/>
      <w:r w:rsidR="00A075E1" w:rsidRPr="003B67DE">
        <w:rPr>
          <w:rFonts w:eastAsia="MS Mincho"/>
        </w:rPr>
        <w:t>) to include the treatment and prevention of d</w:t>
      </w:r>
      <w:r w:rsidR="00A075E1" w:rsidRPr="003B67DE">
        <w:t xml:space="preserve">eep vein thrombosis (DVT) and pulmonary embolism </w:t>
      </w:r>
      <w:r w:rsidR="00C965C1">
        <w:rPr>
          <w:rFonts w:eastAsia="MS Mincho"/>
        </w:rPr>
        <w:t>(PE).</w:t>
      </w:r>
    </w:p>
    <w:p w:rsidR="008452C0" w:rsidRDefault="008452C0" w:rsidP="00C965C1">
      <w:r>
        <w:t xml:space="preserve">Currently </w:t>
      </w:r>
      <w:proofErr w:type="spellStart"/>
      <w:r>
        <w:t>Eliquis</w:t>
      </w:r>
      <w:proofErr w:type="spellEnd"/>
      <w:r>
        <w:t xml:space="preserve"> is approved for the following:</w:t>
      </w:r>
    </w:p>
    <w:p w:rsidR="008452C0" w:rsidRPr="00657A92" w:rsidRDefault="008452C0" w:rsidP="008452C0">
      <w:pPr>
        <w:ind w:left="720"/>
        <w:rPr>
          <w:i/>
        </w:rPr>
      </w:pPr>
      <w:proofErr w:type="spellStart"/>
      <w:r w:rsidRPr="00657A92">
        <w:rPr>
          <w:i/>
        </w:rPr>
        <w:t>Eliquis</w:t>
      </w:r>
      <w:proofErr w:type="spellEnd"/>
      <w:r w:rsidRPr="00657A92">
        <w:rPr>
          <w:i/>
        </w:rPr>
        <w:t xml:space="preserve"> is indicated for the prevention of venous thromboembolic events in adult </w:t>
      </w:r>
      <w:r w:rsidR="008F536C">
        <w:rPr>
          <w:i/>
        </w:rPr>
        <w:t>patients</w:t>
      </w:r>
      <w:r w:rsidR="008F536C" w:rsidRPr="00657A92">
        <w:rPr>
          <w:i/>
        </w:rPr>
        <w:t xml:space="preserve"> </w:t>
      </w:r>
      <w:r w:rsidRPr="00657A92">
        <w:rPr>
          <w:i/>
        </w:rPr>
        <w:t>who have undergone elective total hip or total knee replacement surgery.</w:t>
      </w:r>
    </w:p>
    <w:p w:rsidR="008452C0" w:rsidRDefault="008452C0" w:rsidP="008452C0">
      <w:pPr>
        <w:ind w:left="720"/>
        <w:rPr>
          <w:i/>
        </w:rPr>
      </w:pPr>
      <w:proofErr w:type="spellStart"/>
      <w:r w:rsidRPr="00657A92">
        <w:rPr>
          <w:i/>
        </w:rPr>
        <w:t>Eliquis</w:t>
      </w:r>
      <w:proofErr w:type="spellEnd"/>
      <w:r w:rsidRPr="00657A92">
        <w:rPr>
          <w:i/>
        </w:rPr>
        <w:t xml:space="preserve"> is indicated for the prevention of stroke and systemic embolism in </w:t>
      </w:r>
      <w:r w:rsidR="008F536C">
        <w:rPr>
          <w:i/>
        </w:rPr>
        <w:t>patients</w:t>
      </w:r>
      <w:r w:rsidR="008F536C" w:rsidRPr="00657A92">
        <w:rPr>
          <w:i/>
        </w:rPr>
        <w:t xml:space="preserve"> </w:t>
      </w:r>
      <w:r w:rsidRPr="00657A92">
        <w:rPr>
          <w:i/>
        </w:rPr>
        <w:t>with non-valvular atrial fibrillation and at least one add</w:t>
      </w:r>
      <w:r w:rsidR="00C965C1">
        <w:rPr>
          <w:i/>
        </w:rPr>
        <w:t>itional risk factor for stroke.</w:t>
      </w:r>
    </w:p>
    <w:p w:rsidR="008452C0" w:rsidRDefault="008452C0" w:rsidP="00C965C1">
      <w:pPr>
        <w:rPr>
          <w:rFonts w:asciiTheme="minorHAnsi" w:hAnsiTheme="minorHAnsi"/>
        </w:rPr>
      </w:pPr>
      <w:r>
        <w:t>The sponsor has proposed the following new indications:</w:t>
      </w:r>
    </w:p>
    <w:p w:rsidR="008452C0" w:rsidRPr="00657A92" w:rsidRDefault="008452C0" w:rsidP="008452C0">
      <w:pPr>
        <w:ind w:left="720"/>
        <w:jc w:val="both"/>
        <w:rPr>
          <w:rFonts w:asciiTheme="minorHAnsi" w:hAnsiTheme="minorHAnsi"/>
          <w:i/>
        </w:rPr>
      </w:pPr>
      <w:proofErr w:type="spellStart"/>
      <w:r w:rsidRPr="00657A92">
        <w:rPr>
          <w:rFonts w:asciiTheme="minorHAnsi" w:hAnsiTheme="minorHAnsi"/>
          <w:i/>
        </w:rPr>
        <w:t>Eliquis</w:t>
      </w:r>
      <w:proofErr w:type="spellEnd"/>
      <w:r w:rsidRPr="00657A92">
        <w:rPr>
          <w:rFonts w:asciiTheme="minorHAnsi" w:hAnsiTheme="minorHAnsi"/>
          <w:i/>
        </w:rPr>
        <w:t xml:space="preserve"> is indicated for the treatment of deep vein thrombosis (DVT) and pulmonary embolism (PE).</w:t>
      </w:r>
    </w:p>
    <w:p w:rsidR="008452C0" w:rsidRPr="00657A92" w:rsidRDefault="008452C0" w:rsidP="008452C0">
      <w:pPr>
        <w:ind w:left="720"/>
        <w:jc w:val="both"/>
        <w:rPr>
          <w:rFonts w:asciiTheme="minorHAnsi" w:hAnsiTheme="minorHAnsi"/>
          <w:i/>
        </w:rPr>
      </w:pPr>
      <w:proofErr w:type="spellStart"/>
      <w:r w:rsidRPr="00657A92">
        <w:rPr>
          <w:rFonts w:asciiTheme="minorHAnsi" w:hAnsiTheme="minorHAnsi"/>
          <w:i/>
        </w:rPr>
        <w:t>Eliquis</w:t>
      </w:r>
      <w:proofErr w:type="spellEnd"/>
      <w:r w:rsidRPr="00657A92">
        <w:rPr>
          <w:rFonts w:asciiTheme="minorHAnsi" w:hAnsiTheme="minorHAnsi"/>
          <w:i/>
        </w:rPr>
        <w:t xml:space="preserve"> is indicated for the prevention of recurrent DVT and PE.</w:t>
      </w:r>
    </w:p>
    <w:p w:rsidR="008E7846" w:rsidRPr="00127885" w:rsidRDefault="008B3975" w:rsidP="00C965C1">
      <w:r w:rsidRPr="00127885">
        <w:t xml:space="preserve">The sponsor has </w:t>
      </w:r>
      <w:r w:rsidR="00A075E1" w:rsidRPr="00127885">
        <w:t xml:space="preserve">also </w:t>
      </w:r>
      <w:r w:rsidRPr="00127885">
        <w:t>proposed a new pack size of 28 x 5</w:t>
      </w:r>
      <w:r w:rsidR="008452C0">
        <w:t xml:space="preserve"> </w:t>
      </w:r>
      <w:r w:rsidRPr="00127885">
        <w:t>mg tablets, presented in a seven day/night blister pack</w:t>
      </w:r>
      <w:r w:rsidR="00137BB0">
        <w:t>.</w:t>
      </w:r>
    </w:p>
    <w:p w:rsidR="00137BB0" w:rsidRDefault="00137BB0" w:rsidP="00C965C1">
      <w:proofErr w:type="spellStart"/>
      <w:r w:rsidRPr="00C8420A">
        <w:rPr>
          <w:lang w:val="en-US"/>
        </w:rPr>
        <w:t>Apixaban</w:t>
      </w:r>
      <w:proofErr w:type="spellEnd"/>
      <w:r w:rsidRPr="00C8420A">
        <w:rPr>
          <w:lang w:val="en-US"/>
        </w:rPr>
        <w:t xml:space="preserve"> is an oral, reversible, direct and highly selective inhibitor of factor </w:t>
      </w:r>
      <w:proofErr w:type="spellStart"/>
      <w:r w:rsidRPr="00C8420A">
        <w:rPr>
          <w:lang w:val="en-US"/>
        </w:rPr>
        <w:t>Xa</w:t>
      </w:r>
      <w:proofErr w:type="spellEnd"/>
      <w:r w:rsidRPr="00C8420A">
        <w:rPr>
          <w:lang w:val="en-US"/>
        </w:rPr>
        <w:t xml:space="preserve"> (</w:t>
      </w:r>
      <w:proofErr w:type="spellStart"/>
      <w:r w:rsidRPr="00C8420A">
        <w:rPr>
          <w:lang w:val="en-US"/>
        </w:rPr>
        <w:t>FXa</w:t>
      </w:r>
      <w:proofErr w:type="spellEnd"/>
      <w:r w:rsidRPr="00C8420A">
        <w:rPr>
          <w:lang w:val="en-US"/>
        </w:rPr>
        <w:t xml:space="preserve">). </w:t>
      </w:r>
      <w:r w:rsidRPr="00127885">
        <w:t xml:space="preserve">It does not require </w:t>
      </w:r>
      <w:proofErr w:type="spellStart"/>
      <w:r w:rsidRPr="00127885">
        <w:t>antithrombin</w:t>
      </w:r>
      <w:proofErr w:type="spellEnd"/>
      <w:r w:rsidRPr="00127885">
        <w:t xml:space="preserve"> III for antithrombotic activity</w:t>
      </w:r>
      <w:r>
        <w:t xml:space="preserve"> and</w:t>
      </w:r>
      <w:r w:rsidRPr="00C8420A">
        <w:rPr>
          <w:lang w:val="en-US"/>
        </w:rPr>
        <w:t xml:space="preserve"> inhibits free and clot</w:t>
      </w:r>
      <w:r>
        <w:rPr>
          <w:lang w:val="en-US"/>
        </w:rPr>
        <w:t xml:space="preserve"> </w:t>
      </w:r>
      <w:r w:rsidRPr="00C8420A">
        <w:rPr>
          <w:lang w:val="en-US"/>
        </w:rPr>
        <w:t xml:space="preserve">bound </w:t>
      </w:r>
      <w:proofErr w:type="spellStart"/>
      <w:r w:rsidRPr="00C8420A">
        <w:rPr>
          <w:lang w:val="en-US"/>
        </w:rPr>
        <w:t>FXa</w:t>
      </w:r>
      <w:proofErr w:type="spellEnd"/>
      <w:r w:rsidRPr="00C8420A">
        <w:rPr>
          <w:lang w:val="en-US"/>
        </w:rPr>
        <w:t xml:space="preserve"> and </w:t>
      </w:r>
      <w:proofErr w:type="spellStart"/>
      <w:r w:rsidRPr="00C8420A">
        <w:rPr>
          <w:lang w:val="en-US"/>
        </w:rPr>
        <w:t>prothrombinase</w:t>
      </w:r>
      <w:proofErr w:type="spellEnd"/>
      <w:r w:rsidRPr="00C8420A">
        <w:rPr>
          <w:lang w:val="en-US"/>
        </w:rPr>
        <w:t xml:space="preserve"> activity. It inhibits thrombin generation and thrombus </w:t>
      </w:r>
      <w:r>
        <w:rPr>
          <w:lang w:val="en-US"/>
        </w:rPr>
        <w:t>development. Although it has no</w:t>
      </w:r>
      <w:r w:rsidRPr="00C8420A">
        <w:rPr>
          <w:lang w:val="en-US"/>
        </w:rPr>
        <w:t xml:space="preserve"> direct effect on platelet aggregation it inhibits platelet aggregation induced by thrombin.</w:t>
      </w:r>
      <w:r>
        <w:rPr>
          <w:lang w:val="en-US"/>
        </w:rPr>
        <w:t xml:space="preserve"> </w:t>
      </w:r>
      <w:r>
        <w:t>S</w:t>
      </w:r>
      <w:r w:rsidRPr="00127885">
        <w:t xml:space="preserve">tudies of </w:t>
      </w:r>
      <w:proofErr w:type="spellStart"/>
      <w:r w:rsidRPr="00127885">
        <w:t>apixaban</w:t>
      </w:r>
      <w:proofErr w:type="spellEnd"/>
      <w:r w:rsidRPr="00127885">
        <w:t xml:space="preserve"> in animal models have demonstrated antithrombotic efficacy in the prevention of arterial and venous thrombosis at doses that caused negligible prolongation of prothrombin time and bleeding time in rabbits and dogs but more than </w:t>
      </w:r>
      <w:r>
        <w:t xml:space="preserve">two </w:t>
      </w:r>
      <w:r w:rsidRPr="00127885">
        <w:t>fold increases in prothrombin time and bleeding time in rats.</w:t>
      </w:r>
    </w:p>
    <w:p w:rsidR="008B3975" w:rsidRPr="00C8420A" w:rsidRDefault="008B3975" w:rsidP="00C965C1">
      <w:pPr>
        <w:rPr>
          <w:bCs/>
          <w:smallCaps/>
          <w:spacing w:val="5"/>
        </w:rPr>
      </w:pPr>
      <w:r w:rsidRPr="00C8420A">
        <w:t>Venous thromboembolic disease is relatively common. Based on Australian Institute of Health and Welfare (AIHW) hospital separation data, in 2008 there were an estimated 1</w:t>
      </w:r>
      <w:r w:rsidRPr="00DB6C72">
        <w:t xml:space="preserve">4,716 cases of VTE (70 cases per 100,000 Australians); 5,466 in males and 9,250 </w:t>
      </w:r>
      <w:r w:rsidRPr="008452C0">
        <w:t>females</w:t>
      </w:r>
      <w:r w:rsidR="008452C0">
        <w:t>.</w:t>
      </w:r>
      <w:r w:rsidR="00DB6C72" w:rsidRPr="008452C0">
        <w:rPr>
          <w:rStyle w:val="FootnoteReference"/>
          <w:rFonts w:asciiTheme="minorHAnsi" w:hAnsiTheme="minorHAnsi"/>
          <w:bCs/>
          <w:smallCaps/>
          <w:spacing w:val="5"/>
        </w:rPr>
        <w:footnoteReference w:id="1"/>
      </w:r>
      <w:r w:rsidRPr="008452C0">
        <w:rPr>
          <w:rStyle w:val="BookTitle"/>
          <w:rFonts w:asciiTheme="minorHAnsi" w:hAnsiTheme="minorHAnsi"/>
        </w:rPr>
        <w:t xml:space="preserve"> </w:t>
      </w:r>
      <w:r w:rsidRPr="008452C0">
        <w:t>Of those</w:t>
      </w:r>
      <w:r w:rsidRPr="00DB6C72">
        <w:t xml:space="preserve"> 43% of the VTE events occurred in people aged 15 </w:t>
      </w:r>
      <w:r w:rsidR="00657A92" w:rsidRPr="00DB6C72">
        <w:t>to</w:t>
      </w:r>
      <w:r w:rsidRPr="00DB6C72">
        <w:t xml:space="preserve"> 64 years, 22%</w:t>
      </w:r>
      <w:r w:rsidRPr="00C8420A">
        <w:t xml:space="preserve"> were aged 65</w:t>
      </w:r>
      <w:r w:rsidR="00657A92">
        <w:t xml:space="preserve"> to </w:t>
      </w:r>
      <w:r w:rsidRPr="00C8420A">
        <w:t xml:space="preserve">74 years, 24.1% were aged 75 </w:t>
      </w:r>
      <w:r w:rsidR="00657A92">
        <w:t>to</w:t>
      </w:r>
      <w:r w:rsidRPr="00C8420A">
        <w:t xml:space="preserve"> 84 years and 10.7% were aged ≥ 85 years. </w:t>
      </w:r>
      <w:r>
        <w:t>VTE had an estimated</w:t>
      </w:r>
      <w:r w:rsidRPr="00C8420A">
        <w:t xml:space="preserve"> cost of $1.72 </w:t>
      </w:r>
      <w:r w:rsidRPr="00657A92">
        <w:t xml:space="preserve">billion (0.15% of </w:t>
      </w:r>
      <w:r w:rsidR="00657A92" w:rsidRPr="00657A92">
        <w:t>Gross Domestic Product (</w:t>
      </w:r>
      <w:r w:rsidRPr="00657A92">
        <w:t>GDP</w:t>
      </w:r>
      <w:r w:rsidR="00657A92" w:rsidRPr="00657A92">
        <w:t>)</w:t>
      </w:r>
      <w:r w:rsidRPr="00657A92">
        <w:t>). The authors of the report note their estimate of the prevalence of disease was conservative and lower that the estimates per 100,</w:t>
      </w:r>
      <w:r w:rsidRPr="00C8420A">
        <w:t>000 population in the U</w:t>
      </w:r>
      <w:r w:rsidR="00137BB0">
        <w:t>nited Kingdom (U</w:t>
      </w:r>
      <w:r w:rsidRPr="00C8420A">
        <w:t>K</w:t>
      </w:r>
      <w:r w:rsidR="00137BB0">
        <w:t>)</w:t>
      </w:r>
      <w:r w:rsidRPr="00C8420A">
        <w:t xml:space="preserve"> (1.5 times higher) and the US</w:t>
      </w:r>
      <w:r w:rsidR="00137BB0">
        <w:t>A</w:t>
      </w:r>
      <w:r w:rsidRPr="00C8420A">
        <w:t xml:space="preserve"> (4 times higher).</w:t>
      </w:r>
    </w:p>
    <w:p w:rsidR="008B3975" w:rsidRPr="00C8420A" w:rsidRDefault="008B3975" w:rsidP="00FD26C1">
      <w:proofErr w:type="spellStart"/>
      <w:r w:rsidRPr="00C8420A">
        <w:t>Rivaroxaban</w:t>
      </w:r>
      <w:proofErr w:type="spellEnd"/>
      <w:r>
        <w:t xml:space="preserve"> (</w:t>
      </w:r>
      <w:proofErr w:type="spellStart"/>
      <w:r>
        <w:t>Xarelto</w:t>
      </w:r>
      <w:proofErr w:type="spellEnd"/>
      <w:r>
        <w:t xml:space="preserve">, Bayer Australia Pty Ltd), </w:t>
      </w:r>
      <w:r w:rsidRPr="00C8420A">
        <w:t xml:space="preserve">another </w:t>
      </w:r>
      <w:proofErr w:type="spellStart"/>
      <w:r w:rsidRPr="00C8420A">
        <w:t>FXa</w:t>
      </w:r>
      <w:proofErr w:type="spellEnd"/>
      <w:r w:rsidRPr="00C8420A">
        <w:t xml:space="preserve"> inhibitor</w:t>
      </w:r>
      <w:r>
        <w:t xml:space="preserve"> is also</w:t>
      </w:r>
      <w:r w:rsidRPr="00C8420A">
        <w:t xml:space="preserve"> registered in Australia for the </w:t>
      </w:r>
      <w:r w:rsidR="00FD26C1">
        <w:t>‘</w:t>
      </w:r>
      <w:r w:rsidRPr="008452C0">
        <w:rPr>
          <w:i/>
        </w:rPr>
        <w:t>Treatment of deep vein thrombosis (DVT) and pulmonary embolism (PE) and for the prevention of recurrent DVT and PE</w:t>
      </w:r>
      <w:r w:rsidRPr="00C8420A">
        <w:t>.</w:t>
      </w:r>
      <w:r w:rsidR="00FD26C1">
        <w:t>’</w:t>
      </w:r>
    </w:p>
    <w:p w:rsidR="008B3975" w:rsidRDefault="008B3975" w:rsidP="00C965C1">
      <w:r>
        <w:t xml:space="preserve">There are no current recommendations for laboratory monitoring for subjects taking the new oral anticoagulant medications. These drugs have been developed and approved without laboratory monitoring to guide dose adjustment, to predict subjects at risk of thrombosis/thromboembolism or bleeding, or to assist in the management of bleeding emergencies, overdose and the situations where subjects may require emergency surgeries or procedures. There has been considerable local and international interest in this issue and the sponsor was requested to comment on the evidence it holds regarding </w:t>
      </w:r>
      <w:r>
        <w:lastRenderedPageBreak/>
        <w:t xml:space="preserve">the utility of laboratory monitoring, and possible therapeutic dose (or anti </w:t>
      </w:r>
      <w:proofErr w:type="spellStart"/>
      <w:r>
        <w:t>FXa</w:t>
      </w:r>
      <w:proofErr w:type="spellEnd"/>
      <w:r>
        <w:t xml:space="preserve"> range). The sponsor indicated that it was unable to identify threshold levels of </w:t>
      </w:r>
      <w:proofErr w:type="spellStart"/>
      <w:r>
        <w:t>apixaban</w:t>
      </w:r>
      <w:proofErr w:type="spellEnd"/>
      <w:r>
        <w:t xml:space="preserve"> exposure or anti </w:t>
      </w:r>
      <w:proofErr w:type="spellStart"/>
      <w:r>
        <w:t>FXa</w:t>
      </w:r>
      <w:proofErr w:type="spellEnd"/>
      <w:r>
        <w:t xml:space="preserve"> that would predict efficacy or safety outcomes to define a therapeutic range, and that it did not have any clinical evidence to support routine laboratory monitoring. It noted other regulatory agencies had requested the provision of similar information. To date no agency has recommended routine laboratory monitoring for </w:t>
      </w:r>
      <w:proofErr w:type="spellStart"/>
      <w:r>
        <w:t>apixaban</w:t>
      </w:r>
      <w:proofErr w:type="spellEnd"/>
      <w:r>
        <w:t xml:space="preserve"> or required a study to define and/or validate a therapeutic range. The issue of laboratory monitoring of patients taking the new oral anticoagulants has been discussed by the Advisory Committee on the Safety of Medicines (ACSOM) and is a subject of consideration by the TGA.</w:t>
      </w:r>
    </w:p>
    <w:p w:rsidR="008452C0" w:rsidRDefault="008452C0" w:rsidP="00FE124B">
      <w:r>
        <w:t>The following guidance relate to the application:</w:t>
      </w:r>
    </w:p>
    <w:p w:rsidR="008452C0" w:rsidRPr="00B75453" w:rsidRDefault="008452C0" w:rsidP="00FE124B">
      <w:pPr>
        <w:pStyle w:val="ListBullet"/>
      </w:pPr>
      <w:r w:rsidRPr="00B75453">
        <w:t>EMA Guideline on clinical investigation of medicinal products for the treatment of venous thromboembolic disease (CPMP/EWP/563/98).</w:t>
      </w:r>
    </w:p>
    <w:p w:rsidR="008452C0" w:rsidRPr="00B75453" w:rsidRDefault="008452C0" w:rsidP="00FE124B">
      <w:pPr>
        <w:pStyle w:val="ListBullet"/>
      </w:pPr>
      <w:r w:rsidRPr="00B75453">
        <w:t xml:space="preserve">Guideline </w:t>
      </w:r>
      <w:r w:rsidR="00B75453" w:rsidRPr="00FE124B">
        <w:t>o</w:t>
      </w:r>
      <w:r w:rsidRPr="00FE124B">
        <w:t>n</w:t>
      </w:r>
      <w:r w:rsidRPr="00B75453">
        <w:t xml:space="preserve"> Clinical Investigation </w:t>
      </w:r>
      <w:proofErr w:type="gramStart"/>
      <w:r w:rsidRPr="00B75453">
        <w:t>Of</w:t>
      </w:r>
      <w:proofErr w:type="gramEnd"/>
      <w:r w:rsidRPr="00B75453">
        <w:t xml:space="preserve"> Medicinal Products For Prophylaxis Of High Intra- And Post-Operative Venous Thromboembolic Risk (CPMP/EWP/707/98).</w:t>
      </w:r>
    </w:p>
    <w:p w:rsidR="008452C0" w:rsidRPr="00FE124B" w:rsidRDefault="008452C0" w:rsidP="00FE124B">
      <w:pPr>
        <w:pStyle w:val="ListBullet"/>
      </w:pPr>
      <w:r w:rsidRPr="00FE124B">
        <w:t xml:space="preserve">Guideline </w:t>
      </w:r>
      <w:r w:rsidR="00B75453" w:rsidRPr="00FE124B">
        <w:t>o</w:t>
      </w:r>
      <w:r w:rsidRPr="00FE124B">
        <w:t xml:space="preserve">n Clinical Investigation </w:t>
      </w:r>
      <w:proofErr w:type="gramStart"/>
      <w:r w:rsidRPr="00FE124B">
        <w:t>Of</w:t>
      </w:r>
      <w:proofErr w:type="gramEnd"/>
      <w:r w:rsidRPr="00FE124B">
        <w:t xml:space="preserve"> Medicinal Products For The Prophylaxis Of Venous Thromboembolic Risk In Non-Surgical Patients (CPMP/EWP/6235/04).</w:t>
      </w:r>
    </w:p>
    <w:p w:rsidR="008452C0" w:rsidRPr="00B75453" w:rsidRDefault="008452C0" w:rsidP="00FE124B">
      <w:pPr>
        <w:pStyle w:val="ListBullet"/>
      </w:pPr>
      <w:r w:rsidRPr="00FE124B">
        <w:t>Points To Consider</w:t>
      </w:r>
      <w:r w:rsidRPr="00B75453">
        <w:t xml:space="preserve"> When Switching Between Superiority And Non-Inferiority (CPMP/EWP/482/99).</w:t>
      </w:r>
    </w:p>
    <w:p w:rsidR="008E7846" w:rsidRPr="00FE124B" w:rsidRDefault="00386150" w:rsidP="00FE124B">
      <w:pPr>
        <w:pStyle w:val="Heading3"/>
      </w:pPr>
      <w:bookmarkStart w:id="16" w:name="_Toc314842485"/>
      <w:bookmarkStart w:id="17" w:name="_Toc247691504"/>
      <w:bookmarkStart w:id="18" w:name="_Toc436386755"/>
      <w:r>
        <w:t>Regulatory s</w:t>
      </w:r>
      <w:r w:rsidR="008E7846">
        <w:t>tatus</w:t>
      </w:r>
      <w:bookmarkEnd w:id="16"/>
      <w:bookmarkEnd w:id="17"/>
      <w:bookmarkEnd w:id="18"/>
    </w:p>
    <w:p w:rsidR="00137BB0" w:rsidRPr="00137BB0" w:rsidRDefault="00137BB0" w:rsidP="00FE124B">
      <w:bookmarkStart w:id="19" w:name="_Toc247691505"/>
      <w:bookmarkStart w:id="20" w:name="_Toc314842486"/>
      <w:proofErr w:type="spellStart"/>
      <w:r w:rsidRPr="00137BB0">
        <w:t>Apixaban</w:t>
      </w:r>
      <w:proofErr w:type="spellEnd"/>
      <w:r w:rsidRPr="00137BB0">
        <w:t xml:space="preserve"> was first approved in Australia in July 2011 for the indication:</w:t>
      </w:r>
    </w:p>
    <w:p w:rsidR="00137BB0" w:rsidRPr="00137BB0" w:rsidRDefault="00137BB0" w:rsidP="00137BB0">
      <w:pPr>
        <w:ind w:left="720"/>
        <w:rPr>
          <w:i/>
        </w:rPr>
      </w:pPr>
      <w:proofErr w:type="spellStart"/>
      <w:r w:rsidRPr="00137BB0">
        <w:rPr>
          <w:i/>
        </w:rPr>
        <w:t>Eliquis</w:t>
      </w:r>
      <w:proofErr w:type="spellEnd"/>
      <w:r w:rsidRPr="00137BB0">
        <w:rPr>
          <w:i/>
        </w:rPr>
        <w:t xml:space="preserve"> is indicated for the prevention of venous thromboembolic events (VTE) in adult </w:t>
      </w:r>
      <w:r w:rsidR="00A4152B">
        <w:rPr>
          <w:i/>
        </w:rPr>
        <w:t>patients</w:t>
      </w:r>
      <w:r w:rsidR="00A4152B" w:rsidRPr="00137BB0">
        <w:rPr>
          <w:i/>
        </w:rPr>
        <w:t xml:space="preserve"> </w:t>
      </w:r>
      <w:r w:rsidRPr="00137BB0">
        <w:rPr>
          <w:i/>
        </w:rPr>
        <w:t xml:space="preserve">who have undergone elective total hip or </w:t>
      </w:r>
      <w:r w:rsidR="00FE124B">
        <w:rPr>
          <w:i/>
        </w:rPr>
        <w:t>total knee replacement surgery.</w:t>
      </w:r>
    </w:p>
    <w:p w:rsidR="00137BB0" w:rsidRPr="00137BB0" w:rsidRDefault="00137BB0" w:rsidP="00FE124B">
      <w:r w:rsidRPr="00137BB0">
        <w:t>It was approved in 2013 for the indication:</w:t>
      </w:r>
    </w:p>
    <w:p w:rsidR="00137BB0" w:rsidRPr="00137BB0" w:rsidRDefault="00137BB0" w:rsidP="00137BB0">
      <w:pPr>
        <w:ind w:left="720"/>
        <w:rPr>
          <w:i/>
        </w:rPr>
      </w:pPr>
      <w:proofErr w:type="spellStart"/>
      <w:r w:rsidRPr="00137BB0">
        <w:rPr>
          <w:i/>
        </w:rPr>
        <w:t>Eliquis</w:t>
      </w:r>
      <w:proofErr w:type="spellEnd"/>
      <w:r w:rsidRPr="00137BB0">
        <w:rPr>
          <w:i/>
        </w:rPr>
        <w:t xml:space="preserve"> is indicated for the prevention of stroke and systemic embolism in adult </w:t>
      </w:r>
      <w:r w:rsidR="00A4152B">
        <w:rPr>
          <w:i/>
        </w:rPr>
        <w:t>patients</w:t>
      </w:r>
      <w:r w:rsidR="00A4152B" w:rsidRPr="00137BB0">
        <w:rPr>
          <w:i/>
        </w:rPr>
        <w:t xml:space="preserve"> </w:t>
      </w:r>
      <w:r w:rsidRPr="00137BB0">
        <w:rPr>
          <w:i/>
        </w:rPr>
        <w:t>with non-valvular atrial fibrillation and at least one additional risk factor for stroke.</w:t>
      </w:r>
    </w:p>
    <w:p w:rsidR="00137BB0" w:rsidRDefault="00940A89" w:rsidP="00FE124B">
      <w:r w:rsidRPr="00940A89">
        <w:t xml:space="preserve">At the time the TGA considered this application, </w:t>
      </w:r>
      <w:proofErr w:type="spellStart"/>
      <w:r w:rsidR="00137BB0">
        <w:t>Apixaban</w:t>
      </w:r>
      <w:proofErr w:type="spellEnd"/>
      <w:r w:rsidR="00137BB0">
        <w:t xml:space="preserve"> had also been </w:t>
      </w:r>
      <w:r w:rsidR="00137BB0" w:rsidRPr="00C8420A">
        <w:t xml:space="preserve">approved internationally </w:t>
      </w:r>
      <w:r w:rsidR="00137BB0">
        <w:t>in the European Union (EU), USA and Canada (for see details below in Table 1).</w:t>
      </w:r>
    </w:p>
    <w:p w:rsidR="00137BB0" w:rsidRDefault="00137BB0" w:rsidP="00FE124B">
      <w:pPr>
        <w:pStyle w:val="TableTitle"/>
      </w:pPr>
      <w:r>
        <w:t xml:space="preserve">Table 1: International </w:t>
      </w:r>
      <w:r w:rsidRPr="00FE124B">
        <w:t>regulatory</w:t>
      </w:r>
      <w:r>
        <w:t xml:space="preserve"> status</w:t>
      </w:r>
    </w:p>
    <w:tbl>
      <w:tblPr>
        <w:tblStyle w:val="TableTGAblue"/>
        <w:tblW w:w="8897" w:type="dxa"/>
        <w:tblLook w:val="04A0" w:firstRow="1" w:lastRow="0" w:firstColumn="1" w:lastColumn="0" w:noHBand="0" w:noVBand="1"/>
      </w:tblPr>
      <w:tblGrid>
        <w:gridCol w:w="1526"/>
        <w:gridCol w:w="1417"/>
        <w:gridCol w:w="5954"/>
      </w:tblGrid>
      <w:tr w:rsidR="00FE124B" w:rsidTr="00E433EA">
        <w:trPr>
          <w:cnfStyle w:val="100000000000" w:firstRow="1" w:lastRow="0" w:firstColumn="0" w:lastColumn="0" w:oddVBand="0" w:evenVBand="0" w:oddHBand="0" w:evenHBand="0" w:firstRowFirstColumn="0" w:firstRowLastColumn="0" w:lastRowFirstColumn="0" w:lastRowLastColumn="0"/>
        </w:trPr>
        <w:tc>
          <w:tcPr>
            <w:tcW w:w="1526" w:type="dxa"/>
          </w:tcPr>
          <w:p w:rsidR="00FE124B" w:rsidRPr="00E433EA" w:rsidRDefault="00FE124B" w:rsidP="00E433EA">
            <w:pPr>
              <w:ind w:left="0" w:right="34"/>
              <w:rPr>
                <w:sz w:val="20"/>
                <w:szCs w:val="20"/>
              </w:rPr>
            </w:pPr>
            <w:r w:rsidRPr="00E433EA">
              <w:rPr>
                <w:sz w:val="20"/>
                <w:szCs w:val="20"/>
              </w:rPr>
              <w:t>Approval date</w:t>
            </w:r>
          </w:p>
        </w:tc>
        <w:tc>
          <w:tcPr>
            <w:tcW w:w="1417" w:type="dxa"/>
          </w:tcPr>
          <w:p w:rsidR="00FE124B" w:rsidRPr="00E433EA" w:rsidRDefault="00E433EA" w:rsidP="00E433EA">
            <w:pPr>
              <w:ind w:left="0" w:right="34"/>
              <w:rPr>
                <w:sz w:val="20"/>
                <w:szCs w:val="20"/>
              </w:rPr>
            </w:pPr>
            <w:r w:rsidRPr="00E433EA">
              <w:rPr>
                <w:sz w:val="20"/>
                <w:szCs w:val="20"/>
              </w:rPr>
              <w:t>Approval date</w:t>
            </w:r>
          </w:p>
        </w:tc>
        <w:tc>
          <w:tcPr>
            <w:tcW w:w="5954" w:type="dxa"/>
          </w:tcPr>
          <w:p w:rsidR="00FE124B" w:rsidRPr="00E433EA" w:rsidRDefault="00E433EA" w:rsidP="00E433EA">
            <w:pPr>
              <w:ind w:left="0" w:right="34"/>
              <w:rPr>
                <w:sz w:val="20"/>
                <w:szCs w:val="20"/>
              </w:rPr>
            </w:pPr>
            <w:r w:rsidRPr="00E433EA">
              <w:rPr>
                <w:sz w:val="20"/>
                <w:szCs w:val="20"/>
              </w:rPr>
              <w:t>Indications</w:t>
            </w:r>
          </w:p>
        </w:tc>
      </w:tr>
      <w:tr w:rsidR="00FE124B" w:rsidTr="00E433EA">
        <w:tc>
          <w:tcPr>
            <w:tcW w:w="1526" w:type="dxa"/>
          </w:tcPr>
          <w:p w:rsidR="00FE124B" w:rsidRPr="00E433EA" w:rsidRDefault="00E433EA" w:rsidP="00E433EA">
            <w:pPr>
              <w:ind w:left="0" w:right="34"/>
              <w:rPr>
                <w:sz w:val="20"/>
                <w:szCs w:val="20"/>
              </w:rPr>
            </w:pPr>
            <w:r w:rsidRPr="00E433EA">
              <w:rPr>
                <w:sz w:val="20"/>
                <w:szCs w:val="20"/>
              </w:rPr>
              <w:t>EU</w:t>
            </w:r>
          </w:p>
        </w:tc>
        <w:tc>
          <w:tcPr>
            <w:tcW w:w="1417" w:type="dxa"/>
          </w:tcPr>
          <w:p w:rsidR="00FE124B" w:rsidRPr="00E433EA" w:rsidRDefault="00E433EA" w:rsidP="00E433EA">
            <w:pPr>
              <w:ind w:left="0" w:right="34"/>
              <w:rPr>
                <w:sz w:val="20"/>
                <w:szCs w:val="20"/>
              </w:rPr>
            </w:pPr>
            <w:r w:rsidRPr="00E433EA">
              <w:rPr>
                <w:sz w:val="20"/>
                <w:szCs w:val="20"/>
              </w:rPr>
              <w:t>18 May 2011</w:t>
            </w:r>
          </w:p>
        </w:tc>
        <w:tc>
          <w:tcPr>
            <w:tcW w:w="5954" w:type="dxa"/>
          </w:tcPr>
          <w:p w:rsidR="00E433EA" w:rsidRPr="00E433EA" w:rsidRDefault="00E433EA" w:rsidP="00E433EA">
            <w:pPr>
              <w:ind w:left="0" w:right="34"/>
              <w:rPr>
                <w:sz w:val="20"/>
                <w:szCs w:val="20"/>
              </w:rPr>
            </w:pPr>
            <w:r w:rsidRPr="00E433EA">
              <w:rPr>
                <w:sz w:val="20"/>
                <w:szCs w:val="20"/>
              </w:rPr>
              <w:t>Prevention of venous thromboembolic events (VTE) in adult patients who have undergone elective hip or knee replacement surgery.</w:t>
            </w:r>
          </w:p>
          <w:p w:rsidR="00E433EA" w:rsidRPr="00E433EA" w:rsidRDefault="00E433EA" w:rsidP="00E433EA">
            <w:pPr>
              <w:ind w:left="0" w:right="34"/>
              <w:rPr>
                <w:sz w:val="20"/>
                <w:szCs w:val="20"/>
              </w:rPr>
            </w:pPr>
            <w:r w:rsidRPr="00E433EA">
              <w:rPr>
                <w:sz w:val="20"/>
                <w:szCs w:val="20"/>
              </w:rPr>
              <w:t>Prevention of stroke and systemic embolism in adult patients with non-valvular atrial fibrillation (NVAF), with one or more risk factors, such as prior stroke or transient ischaemic attack (TIA); age ≥ 75 years; hypertension; diabetes mellitus; symptomatic heart failure (NYHA Class ≥ II).</w:t>
            </w:r>
          </w:p>
          <w:p w:rsidR="00FE124B" w:rsidRPr="00E433EA" w:rsidRDefault="00E433EA" w:rsidP="00E433EA">
            <w:pPr>
              <w:ind w:left="0" w:right="34"/>
              <w:rPr>
                <w:sz w:val="20"/>
                <w:szCs w:val="20"/>
              </w:rPr>
            </w:pPr>
            <w:r w:rsidRPr="00E433EA">
              <w:rPr>
                <w:sz w:val="20"/>
                <w:szCs w:val="20"/>
              </w:rPr>
              <w:t>Treatment of deep vein thrombosis (DVT) and pulmonary embolism (PE), and prevention of recurrent DVT and PE in adults.</w:t>
            </w:r>
          </w:p>
        </w:tc>
      </w:tr>
      <w:tr w:rsidR="00FE124B" w:rsidTr="00E433EA">
        <w:tc>
          <w:tcPr>
            <w:tcW w:w="1526" w:type="dxa"/>
          </w:tcPr>
          <w:p w:rsidR="00FE124B" w:rsidRPr="00E433EA" w:rsidRDefault="00E433EA" w:rsidP="00E433EA">
            <w:pPr>
              <w:ind w:left="0" w:right="34"/>
              <w:rPr>
                <w:sz w:val="20"/>
                <w:szCs w:val="20"/>
              </w:rPr>
            </w:pPr>
            <w:r w:rsidRPr="00E433EA">
              <w:rPr>
                <w:sz w:val="20"/>
                <w:szCs w:val="20"/>
              </w:rPr>
              <w:lastRenderedPageBreak/>
              <w:t>USA</w:t>
            </w:r>
          </w:p>
        </w:tc>
        <w:tc>
          <w:tcPr>
            <w:tcW w:w="1417" w:type="dxa"/>
          </w:tcPr>
          <w:p w:rsidR="00FE124B" w:rsidRPr="00E433EA" w:rsidRDefault="00E433EA" w:rsidP="00E433EA">
            <w:pPr>
              <w:ind w:left="0" w:right="34"/>
              <w:rPr>
                <w:sz w:val="20"/>
                <w:szCs w:val="20"/>
              </w:rPr>
            </w:pPr>
            <w:r w:rsidRPr="00E433EA">
              <w:rPr>
                <w:sz w:val="20"/>
                <w:szCs w:val="20"/>
              </w:rPr>
              <w:t>28 December 2012</w:t>
            </w:r>
          </w:p>
        </w:tc>
        <w:tc>
          <w:tcPr>
            <w:tcW w:w="5954" w:type="dxa"/>
          </w:tcPr>
          <w:p w:rsidR="00E433EA" w:rsidRPr="00E433EA" w:rsidRDefault="00E433EA" w:rsidP="00E433EA">
            <w:pPr>
              <w:ind w:left="34" w:right="34"/>
              <w:rPr>
                <w:sz w:val="20"/>
                <w:szCs w:val="20"/>
              </w:rPr>
            </w:pPr>
            <w:proofErr w:type="spellStart"/>
            <w:r w:rsidRPr="00E433EA">
              <w:rPr>
                <w:sz w:val="20"/>
                <w:szCs w:val="20"/>
              </w:rPr>
              <w:t>Eliquis</w:t>
            </w:r>
            <w:proofErr w:type="spellEnd"/>
            <w:r w:rsidRPr="00E433EA">
              <w:rPr>
                <w:sz w:val="20"/>
                <w:szCs w:val="20"/>
              </w:rPr>
              <w:t>® (</w:t>
            </w:r>
            <w:proofErr w:type="spellStart"/>
            <w:r w:rsidRPr="00E433EA">
              <w:rPr>
                <w:sz w:val="20"/>
                <w:szCs w:val="20"/>
              </w:rPr>
              <w:t>apixaban</w:t>
            </w:r>
            <w:proofErr w:type="spellEnd"/>
            <w:r w:rsidRPr="00E433EA">
              <w:rPr>
                <w:sz w:val="20"/>
                <w:szCs w:val="20"/>
              </w:rPr>
              <w:t xml:space="preserve">) is indicated to reduce the risk of stroke and systemic embolism in patients with </w:t>
            </w:r>
            <w:proofErr w:type="spellStart"/>
            <w:r w:rsidRPr="00E433EA">
              <w:rPr>
                <w:sz w:val="20"/>
                <w:szCs w:val="20"/>
              </w:rPr>
              <w:t>n</w:t>
            </w:r>
            <w:r>
              <w:rPr>
                <w:sz w:val="20"/>
                <w:szCs w:val="20"/>
              </w:rPr>
              <w:t>onvalvular</w:t>
            </w:r>
            <w:proofErr w:type="spellEnd"/>
            <w:r>
              <w:rPr>
                <w:sz w:val="20"/>
                <w:szCs w:val="20"/>
              </w:rPr>
              <w:t xml:space="preserve"> atrial fibrillation.</w:t>
            </w:r>
          </w:p>
          <w:p w:rsidR="00E433EA" w:rsidRPr="00E433EA" w:rsidRDefault="00E433EA" w:rsidP="00E433EA">
            <w:pPr>
              <w:ind w:left="34" w:right="34"/>
              <w:rPr>
                <w:sz w:val="20"/>
                <w:szCs w:val="20"/>
              </w:rPr>
            </w:pPr>
            <w:proofErr w:type="spellStart"/>
            <w:r w:rsidRPr="00E433EA">
              <w:rPr>
                <w:sz w:val="20"/>
                <w:szCs w:val="20"/>
              </w:rPr>
              <w:t>Eliquis</w:t>
            </w:r>
            <w:proofErr w:type="spellEnd"/>
            <w:r w:rsidRPr="00E433EA">
              <w:rPr>
                <w:sz w:val="20"/>
                <w:szCs w:val="20"/>
              </w:rPr>
              <w:t xml:space="preserve"> is indicated for the prophylaxis of deep vein thrombosis (DVT), which may lead to pulmonary embolism (PE), in patients who have undergone h</w:t>
            </w:r>
            <w:r>
              <w:rPr>
                <w:sz w:val="20"/>
                <w:szCs w:val="20"/>
              </w:rPr>
              <w:t>ip or knee replacement surgery.</w:t>
            </w:r>
          </w:p>
          <w:p w:rsidR="00E433EA" w:rsidRPr="00E433EA" w:rsidRDefault="00E433EA" w:rsidP="00E433EA">
            <w:pPr>
              <w:ind w:left="34" w:right="34"/>
              <w:rPr>
                <w:sz w:val="20"/>
                <w:szCs w:val="20"/>
              </w:rPr>
            </w:pPr>
            <w:proofErr w:type="spellStart"/>
            <w:r w:rsidRPr="00E433EA">
              <w:rPr>
                <w:sz w:val="20"/>
                <w:szCs w:val="20"/>
              </w:rPr>
              <w:t>Eliquis</w:t>
            </w:r>
            <w:proofErr w:type="spellEnd"/>
            <w:r w:rsidRPr="00E433EA">
              <w:rPr>
                <w:sz w:val="20"/>
                <w:szCs w:val="20"/>
              </w:rPr>
              <w:t xml:space="preserve"> is indi</w:t>
            </w:r>
            <w:r>
              <w:rPr>
                <w:sz w:val="20"/>
                <w:szCs w:val="20"/>
              </w:rPr>
              <w:t>cated for the treatment of DVT.</w:t>
            </w:r>
          </w:p>
          <w:p w:rsidR="00E433EA" w:rsidRPr="00E433EA" w:rsidRDefault="00E433EA" w:rsidP="00E433EA">
            <w:pPr>
              <w:ind w:left="34" w:right="34"/>
              <w:rPr>
                <w:sz w:val="20"/>
                <w:szCs w:val="20"/>
              </w:rPr>
            </w:pPr>
            <w:proofErr w:type="spellStart"/>
            <w:r w:rsidRPr="00E433EA">
              <w:rPr>
                <w:sz w:val="20"/>
                <w:szCs w:val="20"/>
              </w:rPr>
              <w:t>Eliquis</w:t>
            </w:r>
            <w:proofErr w:type="spellEnd"/>
            <w:r w:rsidRPr="00E433EA">
              <w:rPr>
                <w:sz w:val="20"/>
                <w:szCs w:val="20"/>
              </w:rPr>
              <w:t xml:space="preserve"> is indicated for the</w:t>
            </w:r>
            <w:r>
              <w:rPr>
                <w:sz w:val="20"/>
                <w:szCs w:val="20"/>
              </w:rPr>
              <w:t xml:space="preserve"> treatment of PE.</w:t>
            </w:r>
          </w:p>
          <w:p w:rsidR="00FE124B" w:rsidRPr="00E433EA" w:rsidRDefault="00E433EA" w:rsidP="00E433EA">
            <w:pPr>
              <w:ind w:left="34" w:right="34"/>
              <w:rPr>
                <w:sz w:val="20"/>
                <w:szCs w:val="20"/>
              </w:rPr>
            </w:pPr>
            <w:proofErr w:type="spellStart"/>
            <w:r w:rsidRPr="00E433EA">
              <w:rPr>
                <w:sz w:val="20"/>
                <w:szCs w:val="20"/>
              </w:rPr>
              <w:t>Eliquis</w:t>
            </w:r>
            <w:proofErr w:type="spellEnd"/>
            <w:r w:rsidRPr="00E433EA">
              <w:rPr>
                <w:sz w:val="20"/>
                <w:szCs w:val="20"/>
              </w:rPr>
              <w:t xml:space="preserve"> is indicated to reduce the risk of recurrent DVT and PE following initial therapy.</w:t>
            </w:r>
          </w:p>
        </w:tc>
      </w:tr>
      <w:tr w:rsidR="008C4754" w:rsidTr="00E433EA">
        <w:tc>
          <w:tcPr>
            <w:tcW w:w="1526" w:type="dxa"/>
          </w:tcPr>
          <w:p w:rsidR="008C4754" w:rsidRPr="008C4754" w:rsidRDefault="008C4754" w:rsidP="008C4754">
            <w:pPr>
              <w:ind w:left="0" w:right="34"/>
              <w:rPr>
                <w:sz w:val="20"/>
                <w:szCs w:val="20"/>
              </w:rPr>
            </w:pPr>
            <w:r w:rsidRPr="008C4754">
              <w:rPr>
                <w:sz w:val="20"/>
                <w:szCs w:val="20"/>
              </w:rPr>
              <w:t>Canada</w:t>
            </w:r>
          </w:p>
        </w:tc>
        <w:tc>
          <w:tcPr>
            <w:tcW w:w="1417" w:type="dxa"/>
          </w:tcPr>
          <w:p w:rsidR="008C4754" w:rsidRPr="008C4754" w:rsidRDefault="008C4754" w:rsidP="008C4754">
            <w:pPr>
              <w:ind w:left="0" w:right="34"/>
              <w:rPr>
                <w:sz w:val="20"/>
                <w:szCs w:val="20"/>
              </w:rPr>
            </w:pPr>
            <w:r>
              <w:rPr>
                <w:sz w:val="20"/>
                <w:szCs w:val="20"/>
              </w:rPr>
              <w:t>16 December 2011</w:t>
            </w:r>
          </w:p>
        </w:tc>
        <w:tc>
          <w:tcPr>
            <w:tcW w:w="5954" w:type="dxa"/>
          </w:tcPr>
          <w:p w:rsidR="008C4754" w:rsidRDefault="008C4754" w:rsidP="008C4754">
            <w:pPr>
              <w:ind w:left="0" w:right="34"/>
              <w:rPr>
                <w:sz w:val="20"/>
                <w:szCs w:val="20"/>
              </w:rPr>
            </w:pPr>
            <w:proofErr w:type="spellStart"/>
            <w:r w:rsidRPr="008C4754">
              <w:rPr>
                <w:sz w:val="20"/>
                <w:szCs w:val="20"/>
              </w:rPr>
              <w:t>Eliqu</w:t>
            </w:r>
            <w:r>
              <w:rPr>
                <w:sz w:val="20"/>
                <w:szCs w:val="20"/>
              </w:rPr>
              <w:t>is</w:t>
            </w:r>
            <w:proofErr w:type="spellEnd"/>
            <w:r>
              <w:rPr>
                <w:sz w:val="20"/>
                <w:szCs w:val="20"/>
              </w:rPr>
              <w:t xml:space="preserve"> (</w:t>
            </w:r>
            <w:proofErr w:type="spellStart"/>
            <w:r>
              <w:rPr>
                <w:sz w:val="20"/>
                <w:szCs w:val="20"/>
              </w:rPr>
              <w:t>apixaban</w:t>
            </w:r>
            <w:proofErr w:type="spellEnd"/>
            <w:r>
              <w:rPr>
                <w:sz w:val="20"/>
                <w:szCs w:val="20"/>
              </w:rPr>
              <w:t>) is indicated for:</w:t>
            </w:r>
          </w:p>
          <w:p w:rsidR="008C4754" w:rsidRPr="008C4754" w:rsidRDefault="008C4754" w:rsidP="008C4754">
            <w:pPr>
              <w:pStyle w:val="ListBullet"/>
              <w:rPr>
                <w:sz w:val="20"/>
                <w:szCs w:val="20"/>
              </w:rPr>
            </w:pPr>
            <w:proofErr w:type="gramStart"/>
            <w:r w:rsidRPr="008C4754">
              <w:rPr>
                <w:sz w:val="20"/>
                <w:szCs w:val="20"/>
              </w:rPr>
              <w:t>the</w:t>
            </w:r>
            <w:proofErr w:type="gramEnd"/>
            <w:r w:rsidRPr="008C4754">
              <w:rPr>
                <w:sz w:val="20"/>
                <w:szCs w:val="20"/>
              </w:rPr>
              <w:t xml:space="preserve"> prevention of venous thromboembolic events (VTE) in adult patients who have undergone elective knee or </w:t>
            </w:r>
            <w:r w:rsidR="004C57B4">
              <w:rPr>
                <w:sz w:val="20"/>
                <w:szCs w:val="20"/>
              </w:rPr>
              <w:t>hip replacement surgery.</w:t>
            </w:r>
          </w:p>
          <w:p w:rsidR="008C4754" w:rsidRPr="008C4754" w:rsidRDefault="008C4754" w:rsidP="008C4754">
            <w:pPr>
              <w:pStyle w:val="ListBullet"/>
              <w:rPr>
                <w:sz w:val="20"/>
                <w:szCs w:val="20"/>
              </w:rPr>
            </w:pPr>
            <w:proofErr w:type="gramStart"/>
            <w:r w:rsidRPr="008C4754">
              <w:rPr>
                <w:sz w:val="20"/>
                <w:szCs w:val="20"/>
              </w:rPr>
              <w:t>the</w:t>
            </w:r>
            <w:proofErr w:type="gramEnd"/>
            <w:r w:rsidRPr="008C4754">
              <w:rPr>
                <w:sz w:val="20"/>
                <w:szCs w:val="20"/>
              </w:rPr>
              <w:t xml:space="preserve"> prevention of stroke and systemic embolism in pat</w:t>
            </w:r>
            <w:r w:rsidR="004C57B4">
              <w:rPr>
                <w:sz w:val="20"/>
                <w:szCs w:val="20"/>
              </w:rPr>
              <w:t>ients with atrial fibrillation.</w:t>
            </w:r>
          </w:p>
          <w:p w:rsidR="008C4754" w:rsidRPr="008C4754" w:rsidRDefault="008C4754" w:rsidP="008C4754">
            <w:pPr>
              <w:pStyle w:val="ListBullet"/>
            </w:pPr>
            <w:proofErr w:type="gramStart"/>
            <w:r w:rsidRPr="008C4754">
              <w:rPr>
                <w:sz w:val="20"/>
                <w:szCs w:val="20"/>
              </w:rPr>
              <w:t>the</w:t>
            </w:r>
            <w:proofErr w:type="gramEnd"/>
            <w:r w:rsidRPr="008C4754">
              <w:rPr>
                <w:sz w:val="20"/>
                <w:szCs w:val="20"/>
              </w:rPr>
              <w:t xml:space="preserve"> treatment of venous thromboembolic events (deep vein thrombosis [DVT], pulmonary embolism [PE]) and prevention of recurrent DVT and PE.</w:t>
            </w:r>
          </w:p>
        </w:tc>
      </w:tr>
      <w:tr w:rsidR="00A274E1" w:rsidTr="00E433EA">
        <w:tc>
          <w:tcPr>
            <w:tcW w:w="1526" w:type="dxa"/>
          </w:tcPr>
          <w:p w:rsidR="00A274E1" w:rsidRPr="00A274E1" w:rsidRDefault="00A274E1" w:rsidP="00A274E1">
            <w:pPr>
              <w:ind w:left="0" w:right="34"/>
              <w:rPr>
                <w:sz w:val="20"/>
                <w:szCs w:val="20"/>
              </w:rPr>
            </w:pPr>
            <w:r w:rsidRPr="00A274E1">
              <w:rPr>
                <w:sz w:val="20"/>
                <w:szCs w:val="20"/>
              </w:rPr>
              <w:t>New Zealand</w:t>
            </w:r>
          </w:p>
        </w:tc>
        <w:tc>
          <w:tcPr>
            <w:tcW w:w="1417" w:type="dxa"/>
          </w:tcPr>
          <w:p w:rsidR="00A274E1" w:rsidRPr="00A274E1" w:rsidRDefault="00A274E1" w:rsidP="00A274E1">
            <w:pPr>
              <w:ind w:left="0" w:right="34"/>
              <w:rPr>
                <w:sz w:val="20"/>
                <w:szCs w:val="20"/>
              </w:rPr>
            </w:pPr>
            <w:r w:rsidRPr="00A274E1">
              <w:rPr>
                <w:sz w:val="20"/>
                <w:szCs w:val="20"/>
              </w:rPr>
              <w:t>27 June 2013</w:t>
            </w:r>
          </w:p>
        </w:tc>
        <w:tc>
          <w:tcPr>
            <w:tcW w:w="5954" w:type="dxa"/>
          </w:tcPr>
          <w:p w:rsidR="00A274E1" w:rsidRDefault="00A274E1" w:rsidP="00A274E1">
            <w:pPr>
              <w:ind w:left="34" w:right="0"/>
              <w:rPr>
                <w:sz w:val="20"/>
                <w:szCs w:val="20"/>
              </w:rPr>
            </w:pPr>
            <w:proofErr w:type="spellStart"/>
            <w:r w:rsidRPr="00A274E1">
              <w:rPr>
                <w:sz w:val="20"/>
                <w:szCs w:val="20"/>
              </w:rPr>
              <w:t>Eliquis</w:t>
            </w:r>
            <w:proofErr w:type="spellEnd"/>
            <w:r w:rsidRPr="00A274E1">
              <w:rPr>
                <w:sz w:val="20"/>
                <w:szCs w:val="20"/>
              </w:rPr>
              <w:t xml:space="preserve"> is indicated for the prevention of venous thromboembolic events (VTE) in adult patients who have undergone elective total hip or </w:t>
            </w:r>
            <w:r>
              <w:rPr>
                <w:sz w:val="20"/>
                <w:szCs w:val="20"/>
              </w:rPr>
              <w:t>total knee replacement surgery.</w:t>
            </w:r>
          </w:p>
          <w:p w:rsidR="00F041FC" w:rsidRPr="00A274E1" w:rsidRDefault="00F041FC" w:rsidP="00A274E1">
            <w:pPr>
              <w:ind w:left="34" w:right="0"/>
              <w:rPr>
                <w:sz w:val="20"/>
                <w:szCs w:val="20"/>
              </w:rPr>
            </w:pPr>
            <w:proofErr w:type="spellStart"/>
            <w:r w:rsidRPr="00F041FC">
              <w:rPr>
                <w:sz w:val="20"/>
                <w:szCs w:val="20"/>
              </w:rPr>
              <w:t>Eliquis</w:t>
            </w:r>
            <w:proofErr w:type="spellEnd"/>
            <w:r w:rsidRPr="00F041FC">
              <w:rPr>
                <w:sz w:val="20"/>
                <w:szCs w:val="20"/>
              </w:rPr>
              <w:t xml:space="preserve"> is indicated for the prevention of stroke and systemic embolism in patients with non-valvular atrial fibrillation with at least one additional risk factor for stroke.</w:t>
            </w:r>
          </w:p>
        </w:tc>
      </w:tr>
      <w:tr w:rsidR="00A274E1" w:rsidTr="00E433EA">
        <w:tc>
          <w:tcPr>
            <w:tcW w:w="1526" w:type="dxa"/>
          </w:tcPr>
          <w:p w:rsidR="00A274E1" w:rsidRPr="008C4754" w:rsidRDefault="00F041FC" w:rsidP="00A274E1">
            <w:pPr>
              <w:ind w:left="0" w:right="34"/>
              <w:rPr>
                <w:sz w:val="20"/>
                <w:szCs w:val="20"/>
              </w:rPr>
            </w:pPr>
            <w:r w:rsidRPr="00F041FC">
              <w:rPr>
                <w:sz w:val="20"/>
                <w:szCs w:val="20"/>
              </w:rPr>
              <w:t>Switzerland</w:t>
            </w:r>
          </w:p>
        </w:tc>
        <w:tc>
          <w:tcPr>
            <w:tcW w:w="1417" w:type="dxa"/>
          </w:tcPr>
          <w:p w:rsidR="00A274E1" w:rsidRPr="008C4754" w:rsidRDefault="00F041FC" w:rsidP="00A274E1">
            <w:pPr>
              <w:ind w:left="0" w:right="34"/>
              <w:rPr>
                <w:sz w:val="20"/>
                <w:szCs w:val="20"/>
              </w:rPr>
            </w:pPr>
            <w:r w:rsidRPr="00F041FC">
              <w:rPr>
                <w:sz w:val="20"/>
                <w:szCs w:val="20"/>
              </w:rPr>
              <w:t>26 August 2011</w:t>
            </w:r>
          </w:p>
        </w:tc>
        <w:tc>
          <w:tcPr>
            <w:tcW w:w="5954" w:type="dxa"/>
          </w:tcPr>
          <w:p w:rsidR="00F041FC" w:rsidRPr="00F041FC" w:rsidRDefault="00F041FC" w:rsidP="00F041FC">
            <w:pPr>
              <w:ind w:left="0" w:right="34"/>
              <w:rPr>
                <w:sz w:val="20"/>
                <w:szCs w:val="20"/>
              </w:rPr>
            </w:pPr>
            <w:r w:rsidRPr="00F041FC">
              <w:rPr>
                <w:sz w:val="20"/>
                <w:szCs w:val="20"/>
              </w:rPr>
              <w:t>Prevention of venous thromboembolic events in adult patients who have undergone elective h</w:t>
            </w:r>
            <w:r>
              <w:rPr>
                <w:sz w:val="20"/>
                <w:szCs w:val="20"/>
              </w:rPr>
              <w:t>ip or knee replacement surgery.</w:t>
            </w:r>
          </w:p>
          <w:p w:rsidR="00A274E1" w:rsidRPr="008C4754" w:rsidRDefault="00F041FC" w:rsidP="00F041FC">
            <w:pPr>
              <w:ind w:left="0" w:right="34"/>
              <w:rPr>
                <w:sz w:val="20"/>
                <w:szCs w:val="20"/>
              </w:rPr>
            </w:pPr>
            <w:r w:rsidRPr="00F041FC">
              <w:rPr>
                <w:sz w:val="20"/>
                <w:szCs w:val="20"/>
              </w:rPr>
              <w:t xml:space="preserve">Prevention of stroke and systemic embolism in adult patients with </w:t>
            </w:r>
            <w:proofErr w:type="spellStart"/>
            <w:r w:rsidRPr="00F041FC">
              <w:rPr>
                <w:sz w:val="20"/>
                <w:szCs w:val="20"/>
              </w:rPr>
              <w:t>nonvalvular</w:t>
            </w:r>
            <w:proofErr w:type="spellEnd"/>
            <w:r w:rsidRPr="00F041FC">
              <w:rPr>
                <w:sz w:val="20"/>
                <w:szCs w:val="20"/>
              </w:rPr>
              <w:t xml:space="preserve"> atrial fibrillation.</w:t>
            </w:r>
          </w:p>
        </w:tc>
      </w:tr>
      <w:tr w:rsidR="00F041FC" w:rsidTr="00E433EA">
        <w:tc>
          <w:tcPr>
            <w:tcW w:w="1526" w:type="dxa"/>
          </w:tcPr>
          <w:p w:rsidR="00F041FC" w:rsidRPr="008C4754" w:rsidRDefault="00F041FC" w:rsidP="00F041FC">
            <w:pPr>
              <w:ind w:left="0" w:right="-108"/>
              <w:rPr>
                <w:sz w:val="20"/>
                <w:szCs w:val="20"/>
              </w:rPr>
            </w:pPr>
            <w:r w:rsidRPr="00F041FC">
              <w:rPr>
                <w:sz w:val="20"/>
                <w:szCs w:val="20"/>
              </w:rPr>
              <w:t>Singapore</w:t>
            </w:r>
          </w:p>
        </w:tc>
        <w:tc>
          <w:tcPr>
            <w:tcW w:w="1417" w:type="dxa"/>
          </w:tcPr>
          <w:p w:rsidR="00F041FC" w:rsidRPr="008C4754" w:rsidRDefault="00F041FC" w:rsidP="00F041FC">
            <w:pPr>
              <w:ind w:left="0" w:right="-108"/>
              <w:rPr>
                <w:sz w:val="20"/>
                <w:szCs w:val="20"/>
              </w:rPr>
            </w:pPr>
            <w:r w:rsidRPr="00F041FC">
              <w:rPr>
                <w:sz w:val="20"/>
                <w:szCs w:val="20"/>
              </w:rPr>
              <w:t>24 December 2012</w:t>
            </w:r>
          </w:p>
        </w:tc>
        <w:tc>
          <w:tcPr>
            <w:tcW w:w="5954" w:type="dxa"/>
          </w:tcPr>
          <w:p w:rsidR="00F041FC" w:rsidRPr="00F041FC" w:rsidRDefault="00F041FC" w:rsidP="00F041FC">
            <w:pPr>
              <w:ind w:left="0" w:right="0"/>
              <w:rPr>
                <w:sz w:val="20"/>
                <w:szCs w:val="20"/>
              </w:rPr>
            </w:pPr>
            <w:r w:rsidRPr="00F041FC">
              <w:rPr>
                <w:sz w:val="20"/>
                <w:szCs w:val="20"/>
              </w:rPr>
              <w:t>Prevention of venous thromboembolic events (VTE) in adult patients who have undergone elective hip or knee replacement surgery.</w:t>
            </w:r>
          </w:p>
          <w:p w:rsidR="00F041FC" w:rsidRPr="00F041FC" w:rsidRDefault="00F041FC" w:rsidP="00F041FC">
            <w:pPr>
              <w:ind w:left="0" w:right="0"/>
              <w:rPr>
                <w:sz w:val="20"/>
                <w:szCs w:val="20"/>
              </w:rPr>
            </w:pPr>
            <w:r w:rsidRPr="00F041FC">
              <w:rPr>
                <w:sz w:val="20"/>
                <w:szCs w:val="20"/>
              </w:rPr>
              <w:t>Prevention of stroke and systemic embolism in adult patients with non-valvular atrial fibrillation (NVAF), with one or more risk factors, such as prior stroke or transient ischaemic attack (TIA); age ≥ 75 years; hypertension; diabetes mellitus; symptomatic h</w:t>
            </w:r>
            <w:r>
              <w:rPr>
                <w:sz w:val="20"/>
                <w:szCs w:val="20"/>
              </w:rPr>
              <w:t>eart failure (NYHA Class ≥ II).</w:t>
            </w:r>
          </w:p>
          <w:p w:rsidR="00F041FC" w:rsidRPr="008C4754" w:rsidRDefault="00F041FC" w:rsidP="00F041FC">
            <w:pPr>
              <w:ind w:left="0" w:right="0"/>
              <w:rPr>
                <w:sz w:val="20"/>
                <w:szCs w:val="20"/>
              </w:rPr>
            </w:pPr>
            <w:r w:rsidRPr="00F041FC">
              <w:rPr>
                <w:sz w:val="20"/>
                <w:szCs w:val="20"/>
              </w:rPr>
              <w:t>Treatment of deep vein thrombosis (DVT) and pulmonary embolism (PE), and prevention of recurrent DVT and PE in adults.</w:t>
            </w:r>
          </w:p>
        </w:tc>
      </w:tr>
    </w:tbl>
    <w:p w:rsidR="008E7846" w:rsidRDefault="008E7846" w:rsidP="00285E77">
      <w:pPr>
        <w:pStyle w:val="Heading3"/>
      </w:pPr>
      <w:bookmarkStart w:id="21" w:name="_Toc436386756"/>
      <w:r w:rsidRPr="00285E77">
        <w:lastRenderedPageBreak/>
        <w:t>Product</w:t>
      </w:r>
      <w:r>
        <w:t xml:space="preserve"> Information</w:t>
      </w:r>
      <w:bookmarkEnd w:id="19"/>
      <w:bookmarkEnd w:id="20"/>
      <w:bookmarkEnd w:id="21"/>
    </w:p>
    <w:p w:rsidR="00940A89" w:rsidRDefault="00940A89" w:rsidP="00940A89">
      <w:pPr>
        <w:rPr>
          <w:b/>
          <w:bCs/>
        </w:rPr>
      </w:pPr>
      <w:bookmarkStart w:id="22" w:name="_Toc247691506"/>
      <w:bookmarkStart w:id="23"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D775D6">
      <w:pPr>
        <w:pStyle w:val="Heading2"/>
      </w:pPr>
      <w:bookmarkStart w:id="24" w:name="_Toc436386757"/>
      <w:r>
        <w:t>II. Quality</w:t>
      </w:r>
      <w:bookmarkEnd w:id="1"/>
      <w:r>
        <w:t xml:space="preserve"> </w:t>
      </w:r>
      <w:r w:rsidRPr="00D775D6">
        <w:t>findings</w:t>
      </w:r>
      <w:bookmarkEnd w:id="22"/>
      <w:bookmarkEnd w:id="23"/>
      <w:bookmarkEnd w:id="24"/>
    </w:p>
    <w:p w:rsidR="00940A89" w:rsidRDefault="00940A89" w:rsidP="00D775D6">
      <w:pPr>
        <w:pStyle w:val="Heading3"/>
      </w:pPr>
      <w:bookmarkStart w:id="25" w:name="_Toc247691507"/>
      <w:bookmarkStart w:id="26" w:name="_Toc314842488"/>
      <w:bookmarkStart w:id="27" w:name="_Toc436386758"/>
      <w:r w:rsidRPr="00D775D6">
        <w:t>Introduction</w:t>
      </w:r>
      <w:bookmarkEnd w:id="27"/>
    </w:p>
    <w:p w:rsidR="00907946" w:rsidRPr="007D5935" w:rsidRDefault="00907946" w:rsidP="00A075E1">
      <w:r w:rsidRPr="007D5935">
        <w:t>The application and the supporting data relating to the proposed additional labels and</w:t>
      </w:r>
      <w:r w:rsidR="00C87D8E">
        <w:t xml:space="preserve"> </w:t>
      </w:r>
      <w:r w:rsidRPr="007D5935">
        <w:t xml:space="preserve">consequential changes to the PI have been assessed and checked for compliance, as applicable, with Australian legislation and requirements for new medicines and in accordance with </w:t>
      </w:r>
      <w:proofErr w:type="spellStart"/>
      <w:r w:rsidRPr="007D5935">
        <w:t>pharmacopoeial</w:t>
      </w:r>
      <w:proofErr w:type="spellEnd"/>
      <w:r w:rsidRPr="007D5935">
        <w:t xml:space="preserve"> standards and the technical guidelines adopted by the TGA.</w:t>
      </w:r>
    </w:p>
    <w:p w:rsidR="008E7846" w:rsidRDefault="008E7846" w:rsidP="00940A89">
      <w:pPr>
        <w:pStyle w:val="Heading3"/>
      </w:pPr>
      <w:bookmarkStart w:id="28" w:name="_Toc436386759"/>
      <w:r w:rsidRPr="008751DC">
        <w:t xml:space="preserve">Drug </w:t>
      </w:r>
      <w:r>
        <w:t>s</w:t>
      </w:r>
      <w:r w:rsidRPr="008751DC">
        <w:t>ubstance</w:t>
      </w:r>
      <w:r>
        <w:t xml:space="preserve"> (active ingredient)</w:t>
      </w:r>
      <w:bookmarkEnd w:id="25"/>
      <w:bookmarkEnd w:id="26"/>
      <w:bookmarkEnd w:id="28"/>
    </w:p>
    <w:p w:rsidR="00657A92" w:rsidRPr="00F5421E" w:rsidRDefault="00F5421E" w:rsidP="00F5421E">
      <w:proofErr w:type="spellStart"/>
      <w:r w:rsidRPr="00F5421E">
        <w:t>Apixaban</w:t>
      </w:r>
      <w:proofErr w:type="spellEnd"/>
      <w:r w:rsidRPr="00F5421E">
        <w:t xml:space="preserve"> is prepared in a purely synthetic multiple step process. It is achiral and of the Biopharmaceutics Classification System (BCS) Class III (high solubility low permeability).</w:t>
      </w:r>
      <w:r>
        <w:rPr>
          <w:rStyle w:val="FootnoteReference"/>
        </w:rPr>
        <w:footnoteReference w:id="2"/>
      </w:r>
      <w:r w:rsidRPr="00F5421E">
        <w:t xml:space="preserve"> </w:t>
      </w:r>
      <w:proofErr w:type="spellStart"/>
      <w:r w:rsidR="00657A92" w:rsidRPr="00F5421E">
        <w:t>Apixaban</w:t>
      </w:r>
      <w:proofErr w:type="spellEnd"/>
      <w:r w:rsidR="00657A92" w:rsidRPr="00F5421E">
        <w:t xml:space="preserve"> has the following structural formula (Figure 1):</w:t>
      </w:r>
    </w:p>
    <w:p w:rsidR="00657A92" w:rsidRDefault="00657A92" w:rsidP="00D775D6">
      <w:pPr>
        <w:pStyle w:val="FigureTitle"/>
      </w:pPr>
      <w:r>
        <w:rPr>
          <w:lang w:val="en-US"/>
        </w:rPr>
        <w:t xml:space="preserve">Figure 1: Chemical structure of </w:t>
      </w:r>
      <w:proofErr w:type="spellStart"/>
      <w:r>
        <w:rPr>
          <w:lang w:val="en-US"/>
        </w:rPr>
        <w:t>apaxiban</w:t>
      </w:r>
      <w:proofErr w:type="spellEnd"/>
    </w:p>
    <w:p w:rsidR="00657A92" w:rsidRDefault="00657A92" w:rsidP="00657A92">
      <w:r>
        <w:rPr>
          <w:rFonts w:ascii="Times New Roman" w:hAnsi="Times New Roman"/>
          <w:noProof/>
          <w:sz w:val="24"/>
          <w:lang w:eastAsia="en-AU"/>
        </w:rPr>
        <w:drawing>
          <wp:inline distT="0" distB="0" distL="0" distR="0" wp14:anchorId="71F432B8" wp14:editId="404AABBD">
            <wp:extent cx="2240629" cy="1413163"/>
            <wp:effectExtent l="0" t="0" r="7620" b="0"/>
            <wp:docPr id="1" name="Picture 1" descr="Figure 1: Chemical structure of apaxi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50842"/>
                    <a:stretch/>
                  </pic:blipFill>
                  <pic:spPr bwMode="auto">
                    <a:xfrm>
                      <a:off x="0" y="0"/>
                      <a:ext cx="2242185" cy="1414145"/>
                    </a:xfrm>
                    <a:prstGeom prst="rect">
                      <a:avLst/>
                    </a:prstGeom>
                    <a:noFill/>
                    <a:ln>
                      <a:noFill/>
                    </a:ln>
                    <a:extLst>
                      <a:ext uri="{53640926-AAD7-44D8-BBD7-CCE9431645EC}">
                        <a14:shadowObscured xmlns:a14="http://schemas.microsoft.com/office/drawing/2010/main"/>
                      </a:ext>
                    </a:extLst>
                  </pic:spPr>
                </pic:pic>
              </a:graphicData>
            </a:graphic>
          </wp:inline>
        </w:drawing>
      </w:r>
    </w:p>
    <w:p w:rsidR="008E7846" w:rsidRPr="008751DC" w:rsidRDefault="008E7846" w:rsidP="00D775D6">
      <w:pPr>
        <w:pStyle w:val="Heading3"/>
      </w:pPr>
      <w:bookmarkStart w:id="29" w:name="_Toc247691509"/>
      <w:bookmarkStart w:id="30" w:name="_Toc314842493"/>
      <w:bookmarkStart w:id="31" w:name="_Toc436386760"/>
      <w:r w:rsidRPr="00D775D6">
        <w:t>Quality</w:t>
      </w:r>
      <w:r>
        <w:t xml:space="preserve"> s</w:t>
      </w:r>
      <w:r w:rsidRPr="008751DC">
        <w:t>ummary</w:t>
      </w:r>
      <w:r>
        <w:t xml:space="preserve"> and conclusions</w:t>
      </w:r>
      <w:bookmarkEnd w:id="29"/>
      <w:bookmarkEnd w:id="30"/>
      <w:bookmarkEnd w:id="31"/>
    </w:p>
    <w:p w:rsidR="00657A92" w:rsidRPr="00907946" w:rsidRDefault="00657A92" w:rsidP="00657A92">
      <w:r w:rsidRPr="007D5935">
        <w:t xml:space="preserve">Notwithstanding the acceptability of the new indications and associated dosing regimens, there are no outstanding issues with respect to the </w:t>
      </w:r>
      <w:r w:rsidR="00A075E1">
        <w:t>labelling and PI</w:t>
      </w:r>
      <w:r w:rsidRPr="007D5935">
        <w:t xml:space="preserve"> </w:t>
      </w:r>
      <w:r w:rsidR="00A075E1">
        <w:t xml:space="preserve">and Consumer Medicine Information (CMI) </w:t>
      </w:r>
      <w:r w:rsidRPr="007D5935">
        <w:t>aspects.</w:t>
      </w:r>
    </w:p>
    <w:p w:rsidR="008E7846" w:rsidRDefault="008E7846" w:rsidP="008E7846">
      <w:pPr>
        <w:pStyle w:val="Heading2"/>
      </w:pPr>
      <w:bookmarkStart w:id="32" w:name="_Toc196046439"/>
      <w:bookmarkStart w:id="33" w:name="_Toc247691510"/>
      <w:bookmarkStart w:id="34" w:name="_Toc314842494"/>
      <w:bookmarkStart w:id="35" w:name="_Toc436386761"/>
      <w:r>
        <w:t>III. Nonclinical</w:t>
      </w:r>
      <w:bookmarkEnd w:id="32"/>
      <w:r>
        <w:t xml:space="preserve"> findings</w:t>
      </w:r>
      <w:bookmarkEnd w:id="33"/>
      <w:bookmarkEnd w:id="34"/>
      <w:bookmarkEnd w:id="35"/>
    </w:p>
    <w:p w:rsidR="008E7846" w:rsidRPr="00A075E1" w:rsidRDefault="008E7846" w:rsidP="00A075E1">
      <w:pPr>
        <w:pStyle w:val="Heading3"/>
      </w:pPr>
      <w:bookmarkStart w:id="36" w:name="_Toc247691511"/>
      <w:bookmarkStart w:id="37" w:name="_Toc314842495"/>
      <w:bookmarkStart w:id="38" w:name="_Toc436386762"/>
      <w:r>
        <w:t>Introduction</w:t>
      </w:r>
      <w:bookmarkEnd w:id="36"/>
      <w:bookmarkEnd w:id="37"/>
      <w:bookmarkEnd w:id="38"/>
    </w:p>
    <w:p w:rsidR="00907946" w:rsidRPr="003B67DE" w:rsidRDefault="00907946" w:rsidP="00B75453">
      <w:r w:rsidRPr="003B67DE">
        <w:t>In support of the proposed changes, the sponsor submitted a series of pharmacological and pharmacokinetics studies.</w:t>
      </w:r>
    </w:p>
    <w:p w:rsidR="00907946" w:rsidRPr="003B67DE" w:rsidRDefault="00A075E1" w:rsidP="00A075E1">
      <w:pPr>
        <w:pStyle w:val="Heading4"/>
        <w:rPr>
          <w:snapToGrid w:val="0"/>
        </w:rPr>
      </w:pPr>
      <w:r>
        <w:rPr>
          <w:snapToGrid w:val="0"/>
        </w:rPr>
        <w:lastRenderedPageBreak/>
        <w:t>Nonclinical a</w:t>
      </w:r>
      <w:r w:rsidR="00907946" w:rsidRPr="003B67DE">
        <w:rPr>
          <w:snapToGrid w:val="0"/>
        </w:rPr>
        <w:t xml:space="preserve">ssessment and </w:t>
      </w:r>
      <w:r>
        <w:rPr>
          <w:snapToGrid w:val="0"/>
        </w:rPr>
        <w:t>c</w:t>
      </w:r>
      <w:r w:rsidR="00907946" w:rsidRPr="003B67DE">
        <w:rPr>
          <w:snapToGrid w:val="0"/>
        </w:rPr>
        <w:t>onclusion</w:t>
      </w:r>
    </w:p>
    <w:p w:rsidR="00907946" w:rsidRPr="003B67DE" w:rsidRDefault="00907946" w:rsidP="00B75453">
      <w:pPr>
        <w:rPr>
          <w:snapToGrid w:val="0"/>
        </w:rPr>
      </w:pPr>
      <w:r w:rsidRPr="003B67DE">
        <w:rPr>
          <w:snapToGrid w:val="0"/>
        </w:rPr>
        <w:t xml:space="preserve">Activated charcoal reduced exposure to </w:t>
      </w:r>
      <w:proofErr w:type="spellStart"/>
      <w:r w:rsidRPr="003B67DE">
        <w:rPr>
          <w:snapToGrid w:val="0"/>
        </w:rPr>
        <w:t>apixaban</w:t>
      </w:r>
      <w:proofErr w:type="spellEnd"/>
      <w:r w:rsidRPr="003B67DE">
        <w:rPr>
          <w:snapToGrid w:val="0"/>
        </w:rPr>
        <w:t xml:space="preserve"> in dog and rat studies. The use of activated charcoal also resulted in an increased excretion of </w:t>
      </w:r>
      <w:proofErr w:type="spellStart"/>
      <w:r w:rsidRPr="003B67DE">
        <w:rPr>
          <w:snapToGrid w:val="0"/>
        </w:rPr>
        <w:t>apixaban</w:t>
      </w:r>
      <w:proofErr w:type="spellEnd"/>
      <w:r w:rsidRPr="003B67DE">
        <w:rPr>
          <w:snapToGrid w:val="0"/>
        </w:rPr>
        <w:t xml:space="preserve"> in f</w:t>
      </w:r>
      <w:r w:rsidR="00A075E1">
        <w:rPr>
          <w:snapToGrid w:val="0"/>
        </w:rPr>
        <w:t>a</w:t>
      </w:r>
      <w:r w:rsidRPr="003B67DE">
        <w:rPr>
          <w:snapToGrid w:val="0"/>
        </w:rPr>
        <w:t xml:space="preserve">eces at the expense of urine. Based on the findings, the sponsor suggests a putative role for activated charcoal in the management of </w:t>
      </w:r>
      <w:proofErr w:type="spellStart"/>
      <w:r w:rsidRPr="003B67DE">
        <w:rPr>
          <w:snapToGrid w:val="0"/>
        </w:rPr>
        <w:t>apixaban</w:t>
      </w:r>
      <w:proofErr w:type="spellEnd"/>
      <w:r w:rsidRPr="003B67DE">
        <w:rPr>
          <w:snapToGrid w:val="0"/>
        </w:rPr>
        <w:t xml:space="preserve"> overdose in humans.</w:t>
      </w:r>
    </w:p>
    <w:p w:rsidR="00907946" w:rsidRPr="003B67DE" w:rsidRDefault="00907946" w:rsidP="00B75453">
      <w:pPr>
        <w:rPr>
          <w:snapToGrid w:val="0"/>
        </w:rPr>
      </w:pPr>
      <w:r w:rsidRPr="003B67DE">
        <w:rPr>
          <w:snapToGrid w:val="0"/>
        </w:rPr>
        <w:t>A h</w:t>
      </w:r>
      <w:r w:rsidR="004E1994">
        <w:rPr>
          <w:snapToGrid w:val="0"/>
        </w:rPr>
        <w:t>a</w:t>
      </w:r>
      <w:r w:rsidRPr="003B67DE">
        <w:rPr>
          <w:snapToGrid w:val="0"/>
        </w:rPr>
        <w:t xml:space="preserve">emodialysis study in dogs demonstrated that </w:t>
      </w:r>
      <w:proofErr w:type="spellStart"/>
      <w:r w:rsidRPr="003B67DE">
        <w:rPr>
          <w:snapToGrid w:val="0"/>
        </w:rPr>
        <w:t>apixaban</w:t>
      </w:r>
      <w:proofErr w:type="spellEnd"/>
      <w:r w:rsidRPr="003B67DE">
        <w:rPr>
          <w:snapToGrid w:val="0"/>
        </w:rPr>
        <w:t xml:space="preserve"> is dialyzable, resulting in lower (but not statistically significant) </w:t>
      </w:r>
      <w:r w:rsidR="004E1994">
        <w:rPr>
          <w:snapToGrid w:val="0"/>
        </w:rPr>
        <w:t>peak plasma concentrations (</w:t>
      </w:r>
      <w:proofErr w:type="spellStart"/>
      <w:r w:rsidRPr="003B67DE">
        <w:rPr>
          <w:snapToGrid w:val="0"/>
        </w:rPr>
        <w:t>C</w:t>
      </w:r>
      <w:r w:rsidRPr="003B67DE">
        <w:rPr>
          <w:snapToGrid w:val="0"/>
          <w:vertAlign w:val="subscript"/>
        </w:rPr>
        <w:t>max</w:t>
      </w:r>
      <w:proofErr w:type="spellEnd"/>
      <w:r w:rsidR="004E1994">
        <w:rPr>
          <w:snapToGrid w:val="0"/>
        </w:rPr>
        <w:t xml:space="preserve">) </w:t>
      </w:r>
      <w:r w:rsidRPr="003B67DE">
        <w:rPr>
          <w:snapToGrid w:val="0"/>
        </w:rPr>
        <w:t xml:space="preserve">values during dialysis but no effect on plasma </w:t>
      </w:r>
      <w:r w:rsidR="004E1994">
        <w:rPr>
          <w:snapToGrid w:val="0"/>
        </w:rPr>
        <w:t>exposure (area under the plasma concentration versus time curve (</w:t>
      </w:r>
      <w:r w:rsidRPr="003B67DE">
        <w:rPr>
          <w:snapToGrid w:val="0"/>
        </w:rPr>
        <w:t>AUC</w:t>
      </w:r>
      <w:r w:rsidR="004E1994">
        <w:rPr>
          <w:snapToGrid w:val="0"/>
        </w:rPr>
        <w:t>))</w:t>
      </w:r>
      <w:r w:rsidRPr="003B67DE">
        <w:rPr>
          <w:snapToGrid w:val="0"/>
        </w:rPr>
        <w:t>. A more extensive study needs to be conducted before any clinical significance can be concluded.</w:t>
      </w:r>
    </w:p>
    <w:p w:rsidR="00907946" w:rsidRPr="003B67DE" w:rsidRDefault="00907946" w:rsidP="00B75453">
      <w:pPr>
        <w:rPr>
          <w:snapToGrid w:val="0"/>
        </w:rPr>
      </w:pPr>
      <w:r w:rsidRPr="003B67DE">
        <w:rPr>
          <w:snapToGrid w:val="0"/>
        </w:rPr>
        <w:t>No P-glycoprotein (P-</w:t>
      </w:r>
      <w:proofErr w:type="spellStart"/>
      <w:r w:rsidRPr="003B67DE">
        <w:rPr>
          <w:snapToGrid w:val="0"/>
        </w:rPr>
        <w:t>gp</w:t>
      </w:r>
      <w:proofErr w:type="spellEnd"/>
      <w:r w:rsidRPr="003B67DE">
        <w:rPr>
          <w:snapToGrid w:val="0"/>
        </w:rPr>
        <w:t xml:space="preserve">) inhibition by </w:t>
      </w:r>
      <w:proofErr w:type="spellStart"/>
      <w:r w:rsidRPr="003B67DE">
        <w:rPr>
          <w:snapToGrid w:val="0"/>
        </w:rPr>
        <w:t>apixaban</w:t>
      </w:r>
      <w:proofErr w:type="spellEnd"/>
      <w:r w:rsidRPr="003B67DE">
        <w:rPr>
          <w:snapToGrid w:val="0"/>
        </w:rPr>
        <w:t xml:space="preserve"> was observed fo</w:t>
      </w:r>
      <w:r w:rsidR="00D775D6">
        <w:rPr>
          <w:snapToGrid w:val="0"/>
        </w:rPr>
        <w:t>r concentrations up to 54.7 µM.</w:t>
      </w:r>
    </w:p>
    <w:p w:rsidR="00907946" w:rsidRPr="003B67DE" w:rsidRDefault="00907946" w:rsidP="00B75453">
      <w:pPr>
        <w:rPr>
          <w:snapToGrid w:val="0"/>
        </w:rPr>
      </w:pPr>
      <w:r w:rsidRPr="003B67DE">
        <w:rPr>
          <w:snapToGrid w:val="0"/>
        </w:rPr>
        <w:t xml:space="preserve">The major excretory pathways for unchanged and metabolised </w:t>
      </w:r>
      <w:proofErr w:type="spellStart"/>
      <w:r w:rsidRPr="003B67DE">
        <w:rPr>
          <w:snapToGrid w:val="0"/>
        </w:rPr>
        <w:t>apixaban</w:t>
      </w:r>
      <w:proofErr w:type="spellEnd"/>
      <w:r w:rsidRPr="003B67DE">
        <w:rPr>
          <w:snapToGrid w:val="0"/>
        </w:rPr>
        <w:t xml:space="preserve"> included urine, f</w:t>
      </w:r>
      <w:r w:rsidR="004E1994">
        <w:rPr>
          <w:snapToGrid w:val="0"/>
        </w:rPr>
        <w:t>a</w:t>
      </w:r>
      <w:r w:rsidRPr="003B67DE">
        <w:rPr>
          <w:snapToGrid w:val="0"/>
        </w:rPr>
        <w:t>eces and bile in rats (</w:t>
      </w:r>
      <w:r w:rsidRPr="003B67DE">
        <w:t>WT</w:t>
      </w:r>
      <w:r w:rsidRPr="003B67DE">
        <w:rPr>
          <w:rFonts w:eastAsiaTheme="minorHAnsi"/>
        </w:rPr>
        <w:t xml:space="preserve">, </w:t>
      </w:r>
      <w:proofErr w:type="spellStart"/>
      <w:r w:rsidRPr="003B67DE">
        <w:t>Pgp</w:t>
      </w:r>
      <w:proofErr w:type="spellEnd"/>
      <w:r w:rsidRPr="003B67DE">
        <w:t>-KO and BCRP-</w:t>
      </w:r>
      <w:r w:rsidR="004E1994">
        <w:t xml:space="preserve"> breeds</w:t>
      </w:r>
      <w:r w:rsidRPr="003B67DE">
        <w:rPr>
          <w:snapToGrid w:val="0"/>
        </w:rPr>
        <w:t xml:space="preserve">) and dog. The excretion studies also indicated that </w:t>
      </w:r>
      <w:r w:rsidRPr="003B67DE">
        <w:rPr>
          <w:szCs w:val="18"/>
        </w:rPr>
        <w:t xml:space="preserve">intestinal excretion and </w:t>
      </w:r>
      <w:proofErr w:type="spellStart"/>
      <w:r w:rsidRPr="003B67DE">
        <w:rPr>
          <w:szCs w:val="18"/>
        </w:rPr>
        <w:t>enteroenteric</w:t>
      </w:r>
      <w:proofErr w:type="spellEnd"/>
      <w:r w:rsidRPr="003B67DE">
        <w:rPr>
          <w:szCs w:val="18"/>
        </w:rPr>
        <w:t xml:space="preserve"> recirculation are facilitated by intestinal efflux transporters</w:t>
      </w:r>
      <w:r w:rsidR="00D775D6">
        <w:rPr>
          <w:szCs w:val="18"/>
        </w:rPr>
        <w:t>.</w:t>
      </w:r>
    </w:p>
    <w:p w:rsidR="00907946" w:rsidRPr="003B67DE" w:rsidRDefault="00907946" w:rsidP="00B75453">
      <w:pPr>
        <w:rPr>
          <w:snapToGrid w:val="0"/>
        </w:rPr>
      </w:pPr>
      <w:r w:rsidRPr="003B67DE">
        <w:rPr>
          <w:snapToGrid w:val="0"/>
        </w:rPr>
        <w:t xml:space="preserve">While no specific nonclinical studies pertaining to the efficacy of </w:t>
      </w:r>
      <w:proofErr w:type="spellStart"/>
      <w:r w:rsidRPr="003B67DE">
        <w:rPr>
          <w:snapToGrid w:val="0"/>
        </w:rPr>
        <w:t>apixaban</w:t>
      </w:r>
      <w:proofErr w:type="spellEnd"/>
      <w:r w:rsidRPr="003B67DE">
        <w:rPr>
          <w:snapToGrid w:val="0"/>
        </w:rPr>
        <w:t xml:space="preserve"> on </w:t>
      </w:r>
      <w:r w:rsidRPr="003B67DE">
        <w:rPr>
          <w:rFonts w:eastAsiaTheme="minorHAnsi"/>
          <w:kern w:val="2"/>
        </w:rPr>
        <w:t xml:space="preserve">DVT and </w:t>
      </w:r>
      <w:r w:rsidRPr="003B67DE">
        <w:rPr>
          <w:kern w:val="2"/>
        </w:rPr>
        <w:t>PE were submitted; the sponsor notes that efficacy was demonstrated in the two pivotal phase three clinical studies.</w:t>
      </w:r>
    </w:p>
    <w:p w:rsidR="00907946" w:rsidRDefault="00907946" w:rsidP="00B75453">
      <w:r w:rsidRPr="003B67DE">
        <w:t>The newly submitted nonclinical data raised no new safety concerns</w:t>
      </w:r>
      <w:r>
        <w:t>.</w:t>
      </w:r>
    </w:p>
    <w:p w:rsidR="00907946" w:rsidRPr="003B67DE" w:rsidRDefault="00907946" w:rsidP="00B75453">
      <w:r>
        <w:t>T</w:t>
      </w:r>
      <w:r w:rsidRPr="003B67DE">
        <w:t xml:space="preserve">here are no nonclinical objections to the proposed extension of </w:t>
      </w:r>
      <w:r>
        <w:t>i</w:t>
      </w:r>
      <w:r w:rsidR="00D775D6">
        <w:t>ndications.</w:t>
      </w:r>
    </w:p>
    <w:p w:rsidR="008E7846" w:rsidRPr="00254787" w:rsidRDefault="008E7846" w:rsidP="008E7846">
      <w:pPr>
        <w:pStyle w:val="Heading2"/>
      </w:pPr>
      <w:bookmarkStart w:id="39" w:name="_Toc196046462"/>
      <w:bookmarkStart w:id="40" w:name="_Toc247691516"/>
      <w:bookmarkStart w:id="41" w:name="_Toc314842500"/>
      <w:bookmarkStart w:id="42" w:name="_Toc163441353"/>
      <w:bookmarkStart w:id="43" w:name="_Toc163441348"/>
      <w:bookmarkStart w:id="44" w:name="_Toc436386763"/>
      <w:r>
        <w:t xml:space="preserve">IV. </w:t>
      </w:r>
      <w:r w:rsidRPr="00254787">
        <w:t>Clinical</w:t>
      </w:r>
      <w:bookmarkEnd w:id="39"/>
      <w:r>
        <w:t xml:space="preserve"> </w:t>
      </w:r>
      <w:r w:rsidR="003A7F6C">
        <w:t>f</w:t>
      </w:r>
      <w:r>
        <w:t>indings</w:t>
      </w:r>
      <w:bookmarkEnd w:id="40"/>
      <w:bookmarkEnd w:id="41"/>
      <w:bookmarkEnd w:id="44"/>
    </w:p>
    <w:p w:rsidR="00C80137" w:rsidRDefault="00C80137" w:rsidP="00D425BB">
      <w:bookmarkStart w:id="4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6" w:name="_Toc247691517"/>
      <w:bookmarkStart w:id="47" w:name="_Toc314842501"/>
      <w:bookmarkStart w:id="48" w:name="_Toc436386764"/>
      <w:r w:rsidRPr="00254787">
        <w:t>Introduction</w:t>
      </w:r>
      <w:bookmarkEnd w:id="45"/>
      <w:bookmarkEnd w:id="46"/>
      <w:bookmarkEnd w:id="47"/>
      <w:bookmarkEnd w:id="48"/>
    </w:p>
    <w:p w:rsidR="00605AD4" w:rsidRPr="004E1994" w:rsidRDefault="00605AD4" w:rsidP="00C932F0">
      <w:pPr>
        <w:pStyle w:val="Heading4"/>
      </w:pPr>
      <w:bookmarkStart w:id="49" w:name="_Toc196046464"/>
      <w:bookmarkStart w:id="50" w:name="_Toc247691518"/>
      <w:bookmarkStart w:id="51" w:name="_Toc314842502"/>
      <w:r w:rsidRPr="00605AD4">
        <w:t xml:space="preserve">Clinical </w:t>
      </w:r>
      <w:r w:rsidR="00C932F0" w:rsidRPr="00C932F0">
        <w:t>r</w:t>
      </w:r>
      <w:r w:rsidRPr="00C932F0">
        <w:t>ationale</w:t>
      </w:r>
    </w:p>
    <w:p w:rsidR="001B05E0" w:rsidRDefault="001B05E0" w:rsidP="004E1994">
      <w:pPr>
        <w:rPr>
          <w:szCs w:val="24"/>
        </w:rPr>
      </w:pPr>
      <w:r>
        <w:t xml:space="preserve">The </w:t>
      </w:r>
      <w:r w:rsidR="004E1994">
        <w:t>s</w:t>
      </w:r>
      <w:r>
        <w:t>ponsor provides the following information in the Clinical Overview:</w:t>
      </w:r>
    </w:p>
    <w:p w:rsidR="001B05E0" w:rsidRPr="004E1994" w:rsidRDefault="00FD26C1" w:rsidP="00C17865">
      <w:pPr>
        <w:ind w:left="709"/>
        <w:rPr>
          <w:i/>
        </w:rPr>
      </w:pPr>
      <w:r>
        <w:rPr>
          <w:lang w:val="en-NZ" w:eastAsia="en-NZ"/>
        </w:rPr>
        <w:t>‘</w:t>
      </w:r>
      <w:r w:rsidR="001B05E0" w:rsidRPr="004E1994">
        <w:rPr>
          <w:i/>
          <w:lang w:val="en-NZ" w:eastAsia="en-NZ"/>
        </w:rPr>
        <w:t xml:space="preserve">PE is the most serious complication of DVT, as the </w:t>
      </w:r>
      <w:proofErr w:type="spellStart"/>
      <w:r w:rsidR="001B05E0" w:rsidRPr="004E1994">
        <w:rPr>
          <w:i/>
          <w:lang w:val="en-NZ" w:eastAsia="en-NZ"/>
        </w:rPr>
        <w:t>embolised</w:t>
      </w:r>
      <w:proofErr w:type="spellEnd"/>
      <w:r w:rsidR="001B05E0" w:rsidRPr="004E1994">
        <w:rPr>
          <w:i/>
          <w:lang w:val="en-NZ" w:eastAsia="en-NZ"/>
        </w:rPr>
        <w:t xml:space="preserve"> blood clot lodges in the lung vasculature and obstructs blood flow through the lungs.</w:t>
      </w:r>
      <w:r w:rsidR="00127885" w:rsidRPr="004E1994">
        <w:rPr>
          <w:i/>
          <w:lang w:val="en-NZ" w:eastAsia="en-NZ"/>
        </w:rPr>
        <w:t xml:space="preserve"> </w:t>
      </w:r>
      <w:r w:rsidR="001B05E0" w:rsidRPr="004E1994">
        <w:rPr>
          <w:i/>
          <w:lang w:val="en-NZ" w:eastAsia="en-NZ"/>
        </w:rPr>
        <w:t>This reduces oxygenation of the blood and increases mechanical strain on the heart, leading to cardiopulmonary compromise, which has a high risk of death. If a large thrombus acutely obstructs the pulmonary vasculature, sudden death is a common outcome, with approximately 300,000 deaths reported annually in the US, a number that exceeds that of deaths from myocardial infarction (MI) (170,000/year) and stroke (158,000/year)</w:t>
      </w:r>
      <w:r w:rsidRPr="004E1994">
        <w:rPr>
          <w:i/>
          <w:lang w:val="en-NZ" w:eastAsia="en-NZ"/>
        </w:rPr>
        <w:t>’</w:t>
      </w:r>
    </w:p>
    <w:p w:rsidR="001B05E0" w:rsidRPr="004E1994" w:rsidRDefault="001B05E0" w:rsidP="00C17865">
      <w:pPr>
        <w:ind w:left="709"/>
        <w:rPr>
          <w:i/>
          <w:kern w:val="16"/>
          <w:lang w:eastAsia="en-AU"/>
        </w:rPr>
      </w:pPr>
      <w:r w:rsidRPr="004E1994">
        <w:rPr>
          <w:i/>
          <w:lang w:val="en-NZ" w:eastAsia="en-NZ"/>
        </w:rPr>
        <w:t>In comparison with subjects who have experienced a provoked VTE (e.g. after surgery)</w:t>
      </w:r>
      <w:r w:rsidR="004E1994">
        <w:rPr>
          <w:i/>
          <w:lang w:val="en-NZ" w:eastAsia="en-NZ"/>
        </w:rPr>
        <w:t>.</w:t>
      </w:r>
      <w:r w:rsidRPr="004E1994">
        <w:rPr>
          <w:i/>
          <w:lang w:val="en-NZ" w:eastAsia="en-NZ"/>
        </w:rPr>
        <w:t xml:space="preserve"> </w:t>
      </w:r>
      <w:r w:rsidR="00FD26C1" w:rsidRPr="004E1994">
        <w:rPr>
          <w:i/>
          <w:lang w:val="en-NZ" w:eastAsia="en-NZ"/>
        </w:rPr>
        <w:t>‘</w:t>
      </w:r>
      <w:r w:rsidRPr="004E1994">
        <w:rPr>
          <w:i/>
          <w:lang w:val="en-NZ" w:eastAsia="en-NZ"/>
        </w:rPr>
        <w:t>The rate of recurrent VTE is higher in unprovoked VTE, 10% reported after 1 year compared to only 1% after 1 year in provoked VTE.</w:t>
      </w:r>
      <w:r w:rsidR="00FD26C1" w:rsidRPr="004E1994">
        <w:rPr>
          <w:i/>
          <w:lang w:val="en-NZ" w:eastAsia="en-NZ"/>
        </w:rPr>
        <w:t>’</w:t>
      </w:r>
    </w:p>
    <w:p w:rsidR="001B05E0" w:rsidRPr="004E1994" w:rsidRDefault="001B05E0" w:rsidP="00C17865">
      <w:pPr>
        <w:ind w:left="709"/>
        <w:rPr>
          <w:i/>
          <w:kern w:val="16"/>
          <w:lang w:eastAsia="en-AU"/>
        </w:rPr>
      </w:pPr>
      <w:r w:rsidRPr="004E1994">
        <w:rPr>
          <w:i/>
          <w:color w:val="000000"/>
          <w:lang w:val="en-NZ" w:eastAsia="en-NZ"/>
        </w:rPr>
        <w:t xml:space="preserve">In studies for the indication of </w:t>
      </w:r>
      <w:r w:rsidRPr="004E1994">
        <w:rPr>
          <w:i/>
        </w:rPr>
        <w:t>prevention of recurrent DVT and PE</w:t>
      </w:r>
      <w:r w:rsidRPr="004E1994">
        <w:rPr>
          <w:i/>
          <w:color w:val="000000"/>
          <w:lang w:val="en-NZ" w:eastAsia="en-NZ"/>
        </w:rPr>
        <w:t xml:space="preserve"> </w:t>
      </w:r>
      <w:r w:rsidR="00FD26C1" w:rsidRPr="004E1994">
        <w:rPr>
          <w:i/>
          <w:color w:val="000000"/>
          <w:lang w:val="en-NZ" w:eastAsia="en-NZ"/>
        </w:rPr>
        <w:t>‘</w:t>
      </w:r>
      <w:r w:rsidRPr="004E1994">
        <w:rPr>
          <w:i/>
          <w:color w:val="000000"/>
          <w:lang w:val="en-NZ" w:eastAsia="en-NZ"/>
        </w:rPr>
        <w:t>Subjects who discontinued active anticoagulant treatment (placebo arm) experienced symptomatic VTE recurrence rates of 7.1% (EINSTEIN EXT) and 8.8% (AMPLIFY EXT) over 12 months of study duration.</w:t>
      </w:r>
      <w:r w:rsidR="00FD26C1" w:rsidRPr="004E1994">
        <w:rPr>
          <w:i/>
          <w:color w:val="000000"/>
          <w:lang w:val="en-NZ" w:eastAsia="en-NZ"/>
        </w:rPr>
        <w:t>’</w:t>
      </w:r>
    </w:p>
    <w:p w:rsidR="001B05E0" w:rsidRDefault="001B05E0" w:rsidP="004E1994">
      <w:r>
        <w:t xml:space="preserve">The </w:t>
      </w:r>
      <w:r w:rsidR="004E1994">
        <w:t>s</w:t>
      </w:r>
      <w:r>
        <w:t>ponsor has summed up the clinical rationale in the Clinical Overview with:</w:t>
      </w:r>
    </w:p>
    <w:p w:rsidR="001B05E0" w:rsidRPr="004E1994" w:rsidRDefault="00FD26C1" w:rsidP="00C17865">
      <w:pPr>
        <w:ind w:left="709"/>
        <w:rPr>
          <w:i/>
          <w:lang w:val="en-US"/>
        </w:rPr>
      </w:pPr>
      <w:r w:rsidRPr="004E1994">
        <w:rPr>
          <w:i/>
          <w:lang w:val="en-US"/>
        </w:rPr>
        <w:lastRenderedPageBreak/>
        <w:t>‘</w:t>
      </w:r>
      <w:r w:rsidR="001B05E0" w:rsidRPr="004E1994">
        <w:rPr>
          <w:i/>
          <w:lang w:val="en-US"/>
        </w:rPr>
        <w:t>Because bleeding is an important barrier to the use of long-term anticoagulation therapy for prevention of recurrent VTE in patients with unprovoked VTE, there remains an unmet medical need for this large group of patients.</w:t>
      </w:r>
    </w:p>
    <w:p w:rsidR="001B05E0" w:rsidRPr="004E1994" w:rsidRDefault="001B05E0" w:rsidP="00C17865">
      <w:pPr>
        <w:ind w:left="709"/>
        <w:rPr>
          <w:i/>
          <w:lang w:val="en-US"/>
        </w:rPr>
      </w:pPr>
      <w:r w:rsidRPr="004E1994">
        <w:rPr>
          <w:i/>
          <w:lang w:val="en-US"/>
        </w:rPr>
        <w:t xml:space="preserve">For VTE treatment, </w:t>
      </w:r>
      <w:proofErr w:type="spellStart"/>
      <w:r w:rsidRPr="004E1994">
        <w:rPr>
          <w:i/>
          <w:lang w:val="en-US"/>
        </w:rPr>
        <w:t>apixaban</w:t>
      </w:r>
      <w:proofErr w:type="spellEnd"/>
      <w:r w:rsidRPr="004E1994">
        <w:rPr>
          <w:i/>
          <w:lang w:val="en-US"/>
        </w:rPr>
        <w:t xml:space="preserve"> has demonstrated efficacy that was non-inferior to enoxaparin/warfarin, and bleeding across all categories (unlike with </w:t>
      </w:r>
      <w:proofErr w:type="spellStart"/>
      <w:r w:rsidRPr="004E1994">
        <w:rPr>
          <w:i/>
          <w:lang w:val="en-US"/>
        </w:rPr>
        <w:t>rivaroxaban</w:t>
      </w:r>
      <w:proofErr w:type="spellEnd"/>
      <w:r w:rsidRPr="004E1994">
        <w:rPr>
          <w:i/>
          <w:lang w:val="en-US"/>
        </w:rPr>
        <w:t>) that was significantly less frequent, including a 69% risk reduction in MB.</w:t>
      </w:r>
      <w:r w:rsidR="00127885" w:rsidRPr="004E1994">
        <w:rPr>
          <w:i/>
          <w:lang w:val="en-US"/>
        </w:rPr>
        <w:t xml:space="preserve"> </w:t>
      </w:r>
      <w:r w:rsidRPr="004E1994">
        <w:rPr>
          <w:i/>
          <w:lang w:val="en-US"/>
        </w:rPr>
        <w:t xml:space="preserve">In preventing a recurrent DVT or PE, </w:t>
      </w:r>
      <w:proofErr w:type="spellStart"/>
      <w:r w:rsidRPr="004E1994">
        <w:rPr>
          <w:i/>
          <w:lang w:val="en-US"/>
        </w:rPr>
        <w:t>apixaban</w:t>
      </w:r>
      <w:proofErr w:type="spellEnd"/>
      <w:r w:rsidRPr="004E1994">
        <w:rPr>
          <w:i/>
          <w:lang w:val="en-US"/>
        </w:rPr>
        <w:t xml:space="preserve"> was markedly superior to placebo in subjects with both unprovoked and provoked VTE, with a minimal increase in bleeding for the 2.5 mg </w:t>
      </w:r>
      <w:r w:rsidR="00EE5994">
        <w:rPr>
          <w:i/>
          <w:lang w:val="en-US"/>
        </w:rPr>
        <w:t>BD</w:t>
      </w:r>
      <w:r w:rsidRPr="004E1994">
        <w:rPr>
          <w:i/>
          <w:lang w:val="en-US"/>
        </w:rPr>
        <w:t xml:space="preserve"> dose compared to placebo.</w:t>
      </w:r>
    </w:p>
    <w:p w:rsidR="001B05E0" w:rsidRDefault="001B05E0" w:rsidP="00C17865">
      <w:pPr>
        <w:ind w:left="709"/>
        <w:rPr>
          <w:kern w:val="16"/>
          <w:lang w:eastAsia="en-AU"/>
        </w:rPr>
      </w:pPr>
      <w:r w:rsidRPr="004E1994">
        <w:rPr>
          <w:i/>
          <w:lang w:val="en-US"/>
        </w:rPr>
        <w:t xml:space="preserve">The data from the </w:t>
      </w:r>
      <w:proofErr w:type="spellStart"/>
      <w:r w:rsidRPr="004E1994">
        <w:rPr>
          <w:i/>
          <w:lang w:val="en-US"/>
        </w:rPr>
        <w:t>apixaban</w:t>
      </w:r>
      <w:proofErr w:type="spellEnd"/>
      <w:r w:rsidRPr="004E1994">
        <w:rPr>
          <w:i/>
          <w:lang w:val="en-US"/>
        </w:rPr>
        <w:t xml:space="preserve"> VTE treatment clinical development program has demonstrated that it fills the recognized unmet medical need for treating and preventing recurrent VTE.</w:t>
      </w:r>
      <w:r w:rsidR="00FD26C1">
        <w:rPr>
          <w:lang w:val="en-US"/>
        </w:rPr>
        <w:t>’</w:t>
      </w:r>
    </w:p>
    <w:p w:rsidR="00605AD4" w:rsidRDefault="00605AD4" w:rsidP="004E1994">
      <w:pPr>
        <w:pStyle w:val="Heading4"/>
      </w:pPr>
      <w:r w:rsidRPr="00605AD4">
        <w:t>Contents of the clinical dossier</w:t>
      </w:r>
    </w:p>
    <w:p w:rsidR="001B05E0" w:rsidRDefault="001B05E0" w:rsidP="004E1994">
      <w:pPr>
        <w:pStyle w:val="Heading5"/>
      </w:pPr>
      <w:bookmarkStart w:id="52" w:name="_Toc407734446"/>
      <w:bookmarkStart w:id="53" w:name="_Toc290846234"/>
      <w:r>
        <w:t>Scope of the clinical dossier</w:t>
      </w:r>
      <w:bookmarkEnd w:id="52"/>
      <w:bookmarkEnd w:id="53"/>
    </w:p>
    <w:p w:rsidR="001B05E0" w:rsidRDefault="001B05E0" w:rsidP="00C87D8E">
      <w:pPr>
        <w:rPr>
          <w:szCs w:val="24"/>
        </w:rPr>
      </w:pPr>
      <w:r>
        <w:t>The submission contained the following clinical information:</w:t>
      </w:r>
    </w:p>
    <w:p w:rsidR="001B05E0" w:rsidRDefault="001B05E0" w:rsidP="005A374D">
      <w:pPr>
        <w:pStyle w:val="ListBullet"/>
      </w:pPr>
      <w:r>
        <w:t xml:space="preserve">Five clinical pharmacology studies, </w:t>
      </w:r>
      <w:r w:rsidRPr="005A374D">
        <w:t>including</w:t>
      </w:r>
      <w:r>
        <w:t xml:space="preserve"> five that provided pharmacokinetic data and one that provided </w:t>
      </w:r>
      <w:proofErr w:type="spellStart"/>
      <w:r>
        <w:t>pharmacodynamic</w:t>
      </w:r>
      <w:proofErr w:type="spellEnd"/>
      <w:r>
        <w:t xml:space="preserve"> data.</w:t>
      </w:r>
    </w:p>
    <w:p w:rsidR="001B05E0" w:rsidRDefault="001B05E0" w:rsidP="004E1994">
      <w:pPr>
        <w:pStyle w:val="ListBullet"/>
      </w:pPr>
      <w:r>
        <w:t>There were three studies evaluating the taste properties of oral formulations over a two year period (Study CV185061, Study CV185083 and Study CV185105)</w:t>
      </w:r>
    </w:p>
    <w:p w:rsidR="001B05E0" w:rsidRDefault="001B05E0" w:rsidP="004E1994">
      <w:pPr>
        <w:pStyle w:val="ListBullet"/>
      </w:pPr>
      <w:r>
        <w:t xml:space="preserve">One population pharmacokinetic/ </w:t>
      </w:r>
      <w:proofErr w:type="spellStart"/>
      <w:r>
        <w:t>pharmacodynamic</w:t>
      </w:r>
      <w:proofErr w:type="spellEnd"/>
      <w:r>
        <w:t xml:space="preserve"> analyses.</w:t>
      </w:r>
    </w:p>
    <w:p w:rsidR="001B05E0" w:rsidRDefault="001B05E0" w:rsidP="004E1994">
      <w:pPr>
        <w:pStyle w:val="ListBullet"/>
      </w:pPr>
      <w:r>
        <w:t>Two pivotal efficacy/safety studies.</w:t>
      </w:r>
    </w:p>
    <w:p w:rsidR="001B05E0" w:rsidRDefault="001B05E0" w:rsidP="004E1994">
      <w:pPr>
        <w:pStyle w:val="ListBullet"/>
      </w:pPr>
      <w:r>
        <w:t>One dose-finding study.</w:t>
      </w:r>
    </w:p>
    <w:p w:rsidR="00605AD4" w:rsidRDefault="00605AD4" w:rsidP="004E1994">
      <w:pPr>
        <w:pStyle w:val="Heading5"/>
      </w:pPr>
      <w:r w:rsidRPr="00605AD4">
        <w:t>Paediatric data</w:t>
      </w:r>
    </w:p>
    <w:p w:rsidR="001B05E0" w:rsidRDefault="001B05E0" w:rsidP="004E1994">
      <w:pPr>
        <w:rPr>
          <w:szCs w:val="24"/>
        </w:rPr>
      </w:pPr>
      <w:r>
        <w:t>The submission did not include paediatric data.</w:t>
      </w:r>
    </w:p>
    <w:p w:rsidR="001B05E0" w:rsidRDefault="001B05E0" w:rsidP="004E1994">
      <w:r>
        <w:t>A Paediatric Investigation Plan has been approved in the EU.</w:t>
      </w:r>
      <w:r w:rsidR="00127885">
        <w:t xml:space="preserve"> </w:t>
      </w:r>
      <w:r>
        <w:t>The plan provides for pharmacokinetic, efficacy and safety studies in the paediatric population.</w:t>
      </w:r>
      <w:r w:rsidR="00127885">
        <w:t xml:space="preserve"> </w:t>
      </w:r>
      <w:r>
        <w:t>There is also provision for a liquid formulation.</w:t>
      </w:r>
      <w:r w:rsidR="00127885">
        <w:t xml:space="preserve"> </w:t>
      </w:r>
      <w:r>
        <w:t>However, the studies in children have been deferred until May 2015 at the earliest.</w:t>
      </w:r>
    </w:p>
    <w:p w:rsidR="001B05E0" w:rsidRDefault="001B05E0" w:rsidP="004E1994">
      <w:r>
        <w:t>In the US</w:t>
      </w:r>
      <w:r w:rsidR="004E1994">
        <w:t>A</w:t>
      </w:r>
      <w:r>
        <w:t xml:space="preserve">, the </w:t>
      </w:r>
      <w:r w:rsidR="004E1994">
        <w:t>s</w:t>
      </w:r>
      <w:r>
        <w:t>ponsor has full waivers</w:t>
      </w:r>
      <w:r w:rsidR="005A374D">
        <w:t xml:space="preserve"> for the following indications:</w:t>
      </w:r>
    </w:p>
    <w:p w:rsidR="001B05E0" w:rsidRDefault="001B05E0" w:rsidP="004E1994">
      <w:pPr>
        <w:pStyle w:val="ListBullet"/>
        <w:rPr>
          <w:lang w:val="en-US"/>
        </w:rPr>
      </w:pPr>
      <w:r>
        <w:rPr>
          <w:lang w:val="en-US"/>
        </w:rPr>
        <w:t>Stroke prevention in non-</w:t>
      </w:r>
      <w:proofErr w:type="spellStart"/>
      <w:r>
        <w:rPr>
          <w:lang w:val="en-US"/>
        </w:rPr>
        <w:t>valvular</w:t>
      </w:r>
      <w:proofErr w:type="spellEnd"/>
      <w:r>
        <w:rPr>
          <w:lang w:val="en-US"/>
        </w:rPr>
        <w:t xml:space="preserve"> atrial fibrillation</w:t>
      </w:r>
      <w:r w:rsidR="00A56835">
        <w:rPr>
          <w:lang w:val="en-US"/>
        </w:rPr>
        <w:t>.</w:t>
      </w:r>
    </w:p>
    <w:p w:rsidR="001B05E0" w:rsidRDefault="001B05E0" w:rsidP="005A374D">
      <w:pPr>
        <w:pStyle w:val="ListBullet"/>
        <w:rPr>
          <w:kern w:val="16"/>
          <w:lang w:eastAsia="en-AU"/>
        </w:rPr>
      </w:pPr>
      <w:r>
        <w:rPr>
          <w:lang w:val="en-US"/>
        </w:rPr>
        <w:t xml:space="preserve">VTE </w:t>
      </w:r>
      <w:r w:rsidRPr="005A374D">
        <w:t>prevention</w:t>
      </w:r>
      <w:r>
        <w:rPr>
          <w:lang w:val="en-US"/>
        </w:rPr>
        <w:t xml:space="preserve"> in hip or knee replacement surgery</w:t>
      </w:r>
      <w:r w:rsidR="00A56835">
        <w:rPr>
          <w:lang w:val="en-US"/>
        </w:rPr>
        <w:t>.</w:t>
      </w:r>
    </w:p>
    <w:p w:rsidR="00605AD4" w:rsidRDefault="00605AD4" w:rsidP="004E1994">
      <w:pPr>
        <w:pStyle w:val="Heading5"/>
      </w:pPr>
      <w:r w:rsidRPr="00605AD4">
        <w:t>Good clinical practice</w:t>
      </w:r>
    </w:p>
    <w:p w:rsidR="001B05E0" w:rsidRDefault="004E1994" w:rsidP="004E1994">
      <w:pPr>
        <w:rPr>
          <w:szCs w:val="24"/>
        </w:rPr>
      </w:pPr>
      <w:bookmarkStart w:id="54" w:name="_Toc241374282"/>
      <w:r>
        <w:t>Good Clinical Practice (</w:t>
      </w:r>
      <w:r w:rsidR="001B05E0">
        <w:t>GCP</w:t>
      </w:r>
      <w:r>
        <w:t>)</w:t>
      </w:r>
      <w:r w:rsidR="001B05E0">
        <w:t xml:space="preserve"> appears to have been adhered to for all the clinical studies reported in the submission.</w:t>
      </w:r>
    </w:p>
    <w:p w:rsidR="008E7846" w:rsidRPr="004E1994" w:rsidRDefault="008E7846" w:rsidP="004E1994">
      <w:pPr>
        <w:pStyle w:val="Heading3"/>
      </w:pPr>
      <w:bookmarkStart w:id="55" w:name="_Toc436386765"/>
      <w:bookmarkEnd w:id="54"/>
      <w:r w:rsidRPr="00254787">
        <w:t>Pharmacokinetics</w:t>
      </w:r>
      <w:bookmarkEnd w:id="42"/>
      <w:bookmarkEnd w:id="49"/>
      <w:bookmarkEnd w:id="50"/>
      <w:bookmarkEnd w:id="51"/>
      <w:bookmarkEnd w:id="55"/>
    </w:p>
    <w:p w:rsidR="001B05E0" w:rsidRDefault="001B05E0" w:rsidP="004E1994">
      <w:pPr>
        <w:pStyle w:val="Heading4"/>
      </w:pPr>
      <w:bookmarkStart w:id="56" w:name="_Ref271018934"/>
      <w:bookmarkStart w:id="57" w:name="_Ref271018924"/>
      <w:bookmarkStart w:id="58" w:name="_Ref271017296"/>
      <w:bookmarkStart w:id="59" w:name="_Toc407734450"/>
      <w:bookmarkStart w:id="60" w:name="_Toc290846238"/>
      <w:bookmarkStart w:id="61" w:name="_Toc272414614"/>
      <w:r>
        <w:t>Studies</w:t>
      </w:r>
      <w:bookmarkEnd w:id="56"/>
      <w:bookmarkEnd w:id="57"/>
      <w:bookmarkEnd w:id="58"/>
      <w:r>
        <w:t xml:space="preserve"> providing pharmacokinetic data</w:t>
      </w:r>
      <w:bookmarkEnd w:id="59"/>
      <w:bookmarkEnd w:id="60"/>
      <w:bookmarkEnd w:id="61"/>
    </w:p>
    <w:p w:rsidR="001B05E0" w:rsidRDefault="00A56835" w:rsidP="004E1994">
      <w:pPr>
        <w:rPr>
          <w:szCs w:val="24"/>
        </w:rPr>
      </w:pPr>
      <w:r>
        <w:t xml:space="preserve">Table </w:t>
      </w:r>
      <w:r w:rsidR="00C87D8E">
        <w:t>1</w:t>
      </w:r>
      <w:r w:rsidR="001B05E0">
        <w:t xml:space="preserve"> shows the studies relating to each pharmacokinetic topic and the location of each study summary.</w:t>
      </w:r>
    </w:p>
    <w:p w:rsidR="001B05E0" w:rsidRDefault="001B05E0" w:rsidP="005A374D">
      <w:pPr>
        <w:pStyle w:val="TableTitle"/>
      </w:pPr>
      <w:bookmarkStart w:id="62" w:name="_Ref272426277"/>
      <w:bookmarkStart w:id="63" w:name="_Toc397246713"/>
      <w:bookmarkStart w:id="64" w:name="_Toc290888900"/>
      <w:r>
        <w:lastRenderedPageBreak/>
        <w:t xml:space="preserve">Table </w:t>
      </w:r>
      <w:r w:rsidR="00767DCA">
        <w:fldChar w:fldCharType="begin"/>
      </w:r>
      <w:r w:rsidR="00767DCA">
        <w:instrText xml:space="preserve"> SEQ Table \* ARABIC </w:instrText>
      </w:r>
      <w:r w:rsidR="00767DCA">
        <w:fldChar w:fldCharType="separate"/>
      </w:r>
      <w:r w:rsidR="00B84561">
        <w:rPr>
          <w:noProof/>
        </w:rPr>
        <w:t>1</w:t>
      </w:r>
      <w:r w:rsidR="00767DCA">
        <w:rPr>
          <w:noProof/>
        </w:rPr>
        <w:fldChar w:fldCharType="end"/>
      </w:r>
      <w:bookmarkEnd w:id="62"/>
      <w:r w:rsidR="00F47EAE">
        <w:t>:</w:t>
      </w:r>
      <w:r>
        <w:t xml:space="preserve"> </w:t>
      </w:r>
      <w:r w:rsidRPr="005A374D">
        <w:t>Submitted</w:t>
      </w:r>
      <w:r>
        <w:t xml:space="preserve"> pharmacokinetic studies.</w:t>
      </w:r>
      <w:bookmarkEnd w:id="63"/>
      <w:bookmarkEnd w:id="64"/>
    </w:p>
    <w:tbl>
      <w:tblPr>
        <w:tblStyle w:val="TableTGAblue"/>
        <w:tblW w:w="7473" w:type="dxa"/>
        <w:tblLayout w:type="fixed"/>
        <w:tblLook w:val="04A0" w:firstRow="1" w:lastRow="0" w:firstColumn="1" w:lastColumn="0" w:noHBand="0" w:noVBand="1"/>
      </w:tblPr>
      <w:tblGrid>
        <w:gridCol w:w="2518"/>
        <w:gridCol w:w="2831"/>
        <w:gridCol w:w="2124"/>
      </w:tblGrid>
      <w:tr w:rsidR="00A56835" w:rsidTr="005A374D">
        <w:trPr>
          <w:cnfStyle w:val="100000000000" w:firstRow="1" w:lastRow="0" w:firstColumn="0" w:lastColumn="0" w:oddVBand="0" w:evenVBand="0" w:oddHBand="0" w:evenHBand="0" w:firstRowFirstColumn="0" w:firstRowLastColumn="0" w:lastRowFirstColumn="0" w:lastRowLastColumn="0"/>
        </w:trPr>
        <w:tc>
          <w:tcPr>
            <w:tcW w:w="2518" w:type="dxa"/>
            <w:hideMark/>
          </w:tcPr>
          <w:p w:rsidR="00A56835" w:rsidRPr="005A374D" w:rsidRDefault="00A56835" w:rsidP="005A374D">
            <w:pPr>
              <w:rPr>
                <w:sz w:val="20"/>
                <w:szCs w:val="20"/>
              </w:rPr>
            </w:pPr>
            <w:r w:rsidRPr="005A374D">
              <w:rPr>
                <w:sz w:val="20"/>
                <w:szCs w:val="20"/>
              </w:rPr>
              <w:t>PK topic</w:t>
            </w:r>
          </w:p>
        </w:tc>
        <w:tc>
          <w:tcPr>
            <w:tcW w:w="2831" w:type="dxa"/>
            <w:hideMark/>
          </w:tcPr>
          <w:p w:rsidR="00A56835" w:rsidRPr="005A374D" w:rsidRDefault="00A56835" w:rsidP="005A374D">
            <w:pPr>
              <w:rPr>
                <w:sz w:val="20"/>
                <w:szCs w:val="20"/>
              </w:rPr>
            </w:pPr>
            <w:r w:rsidRPr="005A374D">
              <w:rPr>
                <w:sz w:val="20"/>
                <w:szCs w:val="20"/>
              </w:rPr>
              <w:t>Subtopic</w:t>
            </w:r>
          </w:p>
        </w:tc>
        <w:tc>
          <w:tcPr>
            <w:tcW w:w="2124" w:type="dxa"/>
            <w:hideMark/>
          </w:tcPr>
          <w:p w:rsidR="00A56835" w:rsidRPr="005A374D" w:rsidRDefault="00A56835" w:rsidP="005A374D">
            <w:pPr>
              <w:rPr>
                <w:sz w:val="20"/>
                <w:szCs w:val="20"/>
              </w:rPr>
            </w:pPr>
            <w:r w:rsidRPr="005A374D">
              <w:rPr>
                <w:sz w:val="20"/>
                <w:szCs w:val="20"/>
              </w:rPr>
              <w:t>Study ID</w:t>
            </w:r>
          </w:p>
        </w:tc>
      </w:tr>
      <w:tr w:rsidR="00A56835" w:rsidTr="005A374D">
        <w:tc>
          <w:tcPr>
            <w:tcW w:w="2518" w:type="dxa"/>
            <w:vMerge w:val="restart"/>
          </w:tcPr>
          <w:p w:rsidR="00A56835" w:rsidRPr="005A374D" w:rsidRDefault="00A56835" w:rsidP="005A374D">
            <w:pPr>
              <w:ind w:left="0" w:right="32"/>
              <w:rPr>
                <w:sz w:val="20"/>
                <w:szCs w:val="20"/>
              </w:rPr>
            </w:pPr>
          </w:p>
        </w:tc>
        <w:tc>
          <w:tcPr>
            <w:tcW w:w="2831" w:type="dxa"/>
            <w:vMerge w:val="restart"/>
            <w:hideMark/>
          </w:tcPr>
          <w:p w:rsidR="00A56835" w:rsidRPr="005A374D" w:rsidRDefault="00A56835" w:rsidP="005A374D">
            <w:pPr>
              <w:ind w:left="0" w:right="32"/>
              <w:rPr>
                <w:sz w:val="20"/>
                <w:szCs w:val="20"/>
              </w:rPr>
            </w:pPr>
            <w:r w:rsidRPr="005A374D">
              <w:rPr>
                <w:sz w:val="20"/>
                <w:szCs w:val="20"/>
              </w:rPr>
              <w:t>Bioequivalence - Single dose</w:t>
            </w:r>
          </w:p>
        </w:tc>
        <w:tc>
          <w:tcPr>
            <w:tcW w:w="2124" w:type="dxa"/>
            <w:hideMark/>
          </w:tcPr>
          <w:p w:rsidR="00A56835" w:rsidRPr="005A374D" w:rsidRDefault="00A56835" w:rsidP="005A374D">
            <w:pPr>
              <w:ind w:left="0" w:right="32"/>
              <w:rPr>
                <w:sz w:val="20"/>
                <w:szCs w:val="20"/>
              </w:rPr>
            </w:pPr>
            <w:r w:rsidRPr="005A374D">
              <w:rPr>
                <w:sz w:val="20"/>
                <w:szCs w:val="20"/>
              </w:rPr>
              <w:t>Study B0661007</w:t>
            </w:r>
          </w:p>
        </w:tc>
      </w:tr>
      <w:tr w:rsidR="00A56835" w:rsidTr="005A374D">
        <w:tc>
          <w:tcPr>
            <w:tcW w:w="2518" w:type="dxa"/>
            <w:vMerge/>
            <w:hideMark/>
          </w:tcPr>
          <w:p w:rsidR="00A56835" w:rsidRPr="005A374D" w:rsidRDefault="00A56835" w:rsidP="005A374D">
            <w:pPr>
              <w:ind w:left="0" w:right="32"/>
              <w:rPr>
                <w:kern w:val="16"/>
                <w:sz w:val="20"/>
                <w:szCs w:val="20"/>
              </w:rPr>
            </w:pPr>
          </w:p>
        </w:tc>
        <w:tc>
          <w:tcPr>
            <w:tcW w:w="2831" w:type="dxa"/>
            <w:vMerge/>
          </w:tcPr>
          <w:p w:rsidR="00A56835" w:rsidRPr="005A374D" w:rsidRDefault="00A56835" w:rsidP="005A374D">
            <w:pPr>
              <w:ind w:left="0" w:right="32"/>
              <w:rPr>
                <w:sz w:val="20"/>
                <w:szCs w:val="20"/>
              </w:rPr>
            </w:pPr>
          </w:p>
        </w:tc>
        <w:tc>
          <w:tcPr>
            <w:tcW w:w="2124" w:type="dxa"/>
            <w:hideMark/>
          </w:tcPr>
          <w:p w:rsidR="00A56835" w:rsidRPr="005A374D" w:rsidRDefault="00A56835" w:rsidP="005A374D">
            <w:pPr>
              <w:ind w:left="0" w:right="32"/>
              <w:rPr>
                <w:sz w:val="20"/>
                <w:szCs w:val="20"/>
              </w:rPr>
            </w:pPr>
            <w:r w:rsidRPr="005A374D">
              <w:rPr>
                <w:sz w:val="20"/>
                <w:szCs w:val="20"/>
              </w:rPr>
              <w:t>Study CV185111</w:t>
            </w:r>
          </w:p>
        </w:tc>
      </w:tr>
      <w:tr w:rsidR="00A56835" w:rsidTr="005A374D">
        <w:tc>
          <w:tcPr>
            <w:tcW w:w="2518" w:type="dxa"/>
            <w:vMerge/>
            <w:hideMark/>
          </w:tcPr>
          <w:p w:rsidR="00A56835" w:rsidRPr="005A374D" w:rsidRDefault="00A56835" w:rsidP="005A374D">
            <w:pPr>
              <w:ind w:left="0" w:right="32"/>
              <w:rPr>
                <w:kern w:val="16"/>
                <w:sz w:val="20"/>
                <w:szCs w:val="20"/>
              </w:rPr>
            </w:pPr>
          </w:p>
        </w:tc>
        <w:tc>
          <w:tcPr>
            <w:tcW w:w="2831" w:type="dxa"/>
            <w:vMerge w:val="restart"/>
            <w:hideMark/>
          </w:tcPr>
          <w:p w:rsidR="00A56835" w:rsidRPr="005A374D" w:rsidRDefault="00A56835" w:rsidP="005A374D">
            <w:pPr>
              <w:ind w:left="0" w:right="32"/>
              <w:rPr>
                <w:sz w:val="20"/>
                <w:szCs w:val="20"/>
              </w:rPr>
            </w:pPr>
            <w:r w:rsidRPr="005A374D">
              <w:rPr>
                <w:sz w:val="20"/>
                <w:szCs w:val="20"/>
              </w:rPr>
              <w:t>Food effect</w:t>
            </w:r>
          </w:p>
        </w:tc>
        <w:tc>
          <w:tcPr>
            <w:tcW w:w="2124" w:type="dxa"/>
            <w:hideMark/>
          </w:tcPr>
          <w:p w:rsidR="00A56835" w:rsidRPr="005A374D" w:rsidRDefault="00A56835" w:rsidP="005A374D">
            <w:pPr>
              <w:ind w:left="0" w:right="32"/>
              <w:rPr>
                <w:sz w:val="20"/>
                <w:szCs w:val="20"/>
              </w:rPr>
            </w:pPr>
            <w:r w:rsidRPr="005A374D">
              <w:rPr>
                <w:sz w:val="20"/>
                <w:szCs w:val="20"/>
              </w:rPr>
              <w:t>Study B0661019</w:t>
            </w:r>
          </w:p>
        </w:tc>
      </w:tr>
      <w:tr w:rsidR="00A56835" w:rsidTr="005A374D">
        <w:tc>
          <w:tcPr>
            <w:tcW w:w="2518" w:type="dxa"/>
            <w:vMerge/>
            <w:hideMark/>
          </w:tcPr>
          <w:p w:rsidR="00A56835" w:rsidRPr="005A374D" w:rsidRDefault="00A56835" w:rsidP="005A374D">
            <w:pPr>
              <w:ind w:left="0" w:right="32"/>
              <w:rPr>
                <w:kern w:val="16"/>
                <w:sz w:val="20"/>
                <w:szCs w:val="20"/>
              </w:rPr>
            </w:pPr>
          </w:p>
        </w:tc>
        <w:tc>
          <w:tcPr>
            <w:tcW w:w="2831" w:type="dxa"/>
            <w:vMerge/>
          </w:tcPr>
          <w:p w:rsidR="00A56835" w:rsidRPr="005A374D" w:rsidRDefault="00A56835" w:rsidP="005A374D">
            <w:pPr>
              <w:ind w:left="0" w:right="32"/>
              <w:rPr>
                <w:sz w:val="20"/>
                <w:szCs w:val="20"/>
              </w:rPr>
            </w:pPr>
          </w:p>
        </w:tc>
        <w:tc>
          <w:tcPr>
            <w:tcW w:w="2124" w:type="dxa"/>
            <w:hideMark/>
          </w:tcPr>
          <w:p w:rsidR="00A56835" w:rsidRPr="005A374D" w:rsidRDefault="00A56835" w:rsidP="005A374D">
            <w:pPr>
              <w:ind w:left="0" w:right="32"/>
              <w:rPr>
                <w:sz w:val="20"/>
                <w:szCs w:val="20"/>
              </w:rPr>
            </w:pPr>
            <w:r w:rsidRPr="005A374D">
              <w:rPr>
                <w:sz w:val="20"/>
                <w:szCs w:val="20"/>
              </w:rPr>
              <w:t>Study CV185091</w:t>
            </w:r>
          </w:p>
        </w:tc>
      </w:tr>
      <w:tr w:rsidR="00A56835" w:rsidTr="005A374D">
        <w:tc>
          <w:tcPr>
            <w:tcW w:w="2518" w:type="dxa"/>
            <w:hideMark/>
          </w:tcPr>
          <w:p w:rsidR="00A56835" w:rsidRPr="005A374D" w:rsidRDefault="00A56835" w:rsidP="005A374D">
            <w:pPr>
              <w:ind w:left="0" w:right="32"/>
              <w:rPr>
                <w:b/>
                <w:sz w:val="20"/>
                <w:szCs w:val="20"/>
              </w:rPr>
            </w:pPr>
            <w:r w:rsidRPr="005A374D">
              <w:rPr>
                <w:b/>
                <w:sz w:val="20"/>
                <w:szCs w:val="20"/>
              </w:rPr>
              <w:t>PK interactions</w:t>
            </w:r>
          </w:p>
        </w:tc>
        <w:tc>
          <w:tcPr>
            <w:tcW w:w="2831" w:type="dxa"/>
            <w:hideMark/>
          </w:tcPr>
          <w:p w:rsidR="00A56835" w:rsidRPr="005A374D" w:rsidRDefault="00A56835" w:rsidP="005A374D">
            <w:pPr>
              <w:ind w:left="0" w:right="32"/>
              <w:rPr>
                <w:sz w:val="20"/>
                <w:szCs w:val="20"/>
              </w:rPr>
            </w:pPr>
            <w:proofErr w:type="spellStart"/>
            <w:r w:rsidRPr="005A374D">
              <w:rPr>
                <w:sz w:val="20"/>
                <w:szCs w:val="20"/>
              </w:rPr>
              <w:t>Prasugrel</w:t>
            </w:r>
            <w:proofErr w:type="spellEnd"/>
          </w:p>
        </w:tc>
        <w:tc>
          <w:tcPr>
            <w:tcW w:w="2124" w:type="dxa"/>
            <w:hideMark/>
          </w:tcPr>
          <w:p w:rsidR="00A56835" w:rsidRPr="005A374D" w:rsidRDefault="00A56835" w:rsidP="005A374D">
            <w:pPr>
              <w:ind w:left="0" w:right="32"/>
              <w:rPr>
                <w:sz w:val="20"/>
                <w:szCs w:val="20"/>
              </w:rPr>
            </w:pPr>
            <w:r w:rsidRPr="005A374D">
              <w:rPr>
                <w:sz w:val="20"/>
                <w:szCs w:val="20"/>
              </w:rPr>
              <w:t>CV185073</w:t>
            </w:r>
          </w:p>
        </w:tc>
      </w:tr>
      <w:tr w:rsidR="00A56835" w:rsidTr="005A374D">
        <w:tc>
          <w:tcPr>
            <w:tcW w:w="2518" w:type="dxa"/>
            <w:hideMark/>
          </w:tcPr>
          <w:p w:rsidR="00A56835" w:rsidRPr="005A374D" w:rsidRDefault="00A56835" w:rsidP="005A374D">
            <w:pPr>
              <w:ind w:left="0" w:right="32"/>
              <w:rPr>
                <w:b/>
                <w:sz w:val="20"/>
                <w:szCs w:val="20"/>
              </w:rPr>
            </w:pPr>
            <w:r w:rsidRPr="005A374D">
              <w:rPr>
                <w:b/>
                <w:sz w:val="20"/>
                <w:szCs w:val="20"/>
              </w:rPr>
              <w:t>Population PK analyses</w:t>
            </w:r>
          </w:p>
        </w:tc>
        <w:tc>
          <w:tcPr>
            <w:tcW w:w="2831" w:type="dxa"/>
            <w:hideMark/>
          </w:tcPr>
          <w:p w:rsidR="00A56835" w:rsidRPr="005A374D" w:rsidRDefault="00A56835" w:rsidP="005A374D">
            <w:pPr>
              <w:ind w:left="0" w:right="32"/>
              <w:rPr>
                <w:sz w:val="20"/>
                <w:szCs w:val="20"/>
              </w:rPr>
            </w:pPr>
            <w:r w:rsidRPr="005A374D">
              <w:rPr>
                <w:sz w:val="20"/>
                <w:szCs w:val="20"/>
              </w:rPr>
              <w:t>Target population</w:t>
            </w:r>
          </w:p>
        </w:tc>
        <w:tc>
          <w:tcPr>
            <w:tcW w:w="2124" w:type="dxa"/>
            <w:hideMark/>
          </w:tcPr>
          <w:p w:rsidR="00A56835" w:rsidRPr="005A374D" w:rsidRDefault="00A56835" w:rsidP="005A374D">
            <w:pPr>
              <w:ind w:left="0" w:right="32"/>
              <w:rPr>
                <w:sz w:val="20"/>
                <w:szCs w:val="20"/>
              </w:rPr>
            </w:pPr>
            <w:r w:rsidRPr="005A374D">
              <w:rPr>
                <w:sz w:val="20"/>
                <w:szCs w:val="20"/>
              </w:rPr>
              <w:t>Study PMAR-00312</w:t>
            </w:r>
          </w:p>
        </w:tc>
      </w:tr>
    </w:tbl>
    <w:p w:rsidR="001B05E0" w:rsidRDefault="001B05E0" w:rsidP="00A56835">
      <w:r>
        <w:t>None of the pharmacokinetic studies had deficiencies that excluded their results from consideration.</w:t>
      </w:r>
    </w:p>
    <w:p w:rsidR="00605AD4" w:rsidRDefault="00605AD4" w:rsidP="00A56835">
      <w:pPr>
        <w:pStyle w:val="Heading4"/>
      </w:pPr>
      <w:r>
        <w:t>Evaluator’s conclusions on pharmacokinetics</w:t>
      </w:r>
    </w:p>
    <w:p w:rsidR="001B05E0" w:rsidRDefault="001B05E0" w:rsidP="00A56835">
      <w:pPr>
        <w:rPr>
          <w:szCs w:val="24"/>
        </w:rPr>
      </w:pPr>
      <w:r>
        <w:t>The submission contained data relating to the development of a liquid formulation as part of a Paediatric Investigation plan.</w:t>
      </w:r>
      <w:r w:rsidR="00127885">
        <w:t xml:space="preserve"> </w:t>
      </w:r>
      <w:r>
        <w:t>The data indicate that the liquid formulation is suitable for both oral and nasogastric administration and is bioequivalent to the commercially available tablets.</w:t>
      </w:r>
      <w:r w:rsidR="00127885">
        <w:t xml:space="preserve"> </w:t>
      </w:r>
      <w:r>
        <w:t>Food affects the bioavailability of the potential liquid formulation and this should be considered should there be an application to register that formulation.</w:t>
      </w:r>
      <w:r w:rsidR="00127885">
        <w:t xml:space="preserve"> </w:t>
      </w:r>
      <w:r>
        <w:t>The bioavailability of the 5 mg tablet also appears to be decreased by food and this should be considered along with any other data the Sponsor has previously submitted with regard to that formulation.</w:t>
      </w:r>
    </w:p>
    <w:p w:rsidR="001B05E0" w:rsidRDefault="001B05E0" w:rsidP="00A56835">
      <w:bookmarkStart w:id="65" w:name="_Toc397246728"/>
      <w:proofErr w:type="spellStart"/>
      <w:r>
        <w:t>Apixaban</w:t>
      </w:r>
      <w:proofErr w:type="spellEnd"/>
      <w:r>
        <w:t xml:space="preserve"> bioavailability was unaltered by concomitant </w:t>
      </w:r>
      <w:proofErr w:type="spellStart"/>
      <w:r>
        <w:t>prasugrel</w:t>
      </w:r>
      <w:proofErr w:type="spellEnd"/>
      <w:r>
        <w:t>.</w:t>
      </w:r>
      <w:bookmarkEnd w:id="65"/>
    </w:p>
    <w:p w:rsidR="001B05E0" w:rsidRPr="00F47EAE" w:rsidRDefault="001B05E0" w:rsidP="00A56835">
      <w:r w:rsidRPr="00F47EAE">
        <w:t xml:space="preserve">The population </w:t>
      </w:r>
      <w:r w:rsidR="00A56835" w:rsidRPr="00F47EAE">
        <w:t>P</w:t>
      </w:r>
      <w:r w:rsidRPr="00F47EAE">
        <w:t>K study described the following covariate effects:</w:t>
      </w:r>
    </w:p>
    <w:p w:rsidR="001B05E0" w:rsidRPr="00F47EAE" w:rsidRDefault="001B05E0" w:rsidP="00A56835">
      <w:pPr>
        <w:pStyle w:val="ListBullet"/>
        <w:rPr>
          <w:lang w:val="en-US"/>
        </w:rPr>
      </w:pPr>
      <w:r w:rsidRPr="00F47EAE">
        <w:rPr>
          <w:lang w:val="en-US"/>
        </w:rPr>
        <w:t xml:space="preserve">Administration of </w:t>
      </w:r>
      <w:proofErr w:type="spellStart"/>
      <w:r w:rsidRPr="00F47EAE">
        <w:rPr>
          <w:lang w:val="en-US"/>
        </w:rPr>
        <w:t>apixaban</w:t>
      </w:r>
      <w:proofErr w:type="spellEnd"/>
      <w:r w:rsidRPr="00F47EAE">
        <w:rPr>
          <w:lang w:val="en-US"/>
        </w:rPr>
        <w:t xml:space="preserve"> in the evening resulted in a 46% decrease in </w:t>
      </w:r>
      <w:r w:rsidR="00210471">
        <w:rPr>
          <w:lang w:val="en-US"/>
        </w:rPr>
        <w:t>a</w:t>
      </w:r>
      <w:proofErr w:type="spellStart"/>
      <w:r w:rsidR="00210471" w:rsidRPr="00D22674">
        <w:rPr>
          <w:rFonts w:asciiTheme="minorHAnsi" w:hAnsiTheme="minorHAnsi"/>
          <w:sz w:val="20"/>
          <w:szCs w:val="20"/>
        </w:rPr>
        <w:t>bsorption</w:t>
      </w:r>
      <w:proofErr w:type="spellEnd"/>
      <w:r w:rsidR="00210471" w:rsidRPr="00D22674">
        <w:rPr>
          <w:rFonts w:asciiTheme="minorHAnsi" w:hAnsiTheme="minorHAnsi"/>
          <w:sz w:val="20"/>
          <w:szCs w:val="20"/>
        </w:rPr>
        <w:t xml:space="preserve"> rate constant</w:t>
      </w:r>
      <w:r w:rsidR="00210471" w:rsidRPr="00F47EAE">
        <w:rPr>
          <w:lang w:val="en-US"/>
        </w:rPr>
        <w:t xml:space="preserve"> </w:t>
      </w:r>
      <w:r w:rsidR="00210471">
        <w:rPr>
          <w:lang w:val="en-US"/>
        </w:rPr>
        <w:t>(</w:t>
      </w:r>
      <w:proofErr w:type="spellStart"/>
      <w:r w:rsidRPr="00F47EAE">
        <w:rPr>
          <w:lang w:val="en-US"/>
        </w:rPr>
        <w:t>k</w:t>
      </w:r>
      <w:r w:rsidRPr="00F47EAE">
        <w:rPr>
          <w:vertAlign w:val="subscript"/>
          <w:lang w:val="en-US"/>
        </w:rPr>
        <w:t>a</w:t>
      </w:r>
      <w:proofErr w:type="spellEnd"/>
      <w:r w:rsidR="00210471">
        <w:rPr>
          <w:lang w:val="en-US"/>
        </w:rPr>
        <w:t xml:space="preserve">) </w:t>
      </w:r>
      <w:r w:rsidRPr="00F47EAE">
        <w:rPr>
          <w:lang w:val="en-US"/>
        </w:rPr>
        <w:t>relative to administration in the morning or afternoon</w:t>
      </w:r>
      <w:r w:rsidR="00EE5994" w:rsidRPr="00F47EAE">
        <w:rPr>
          <w:lang w:val="en-US"/>
        </w:rPr>
        <w:t>.</w:t>
      </w:r>
    </w:p>
    <w:p w:rsidR="001B05E0" w:rsidRPr="00F47EAE" w:rsidRDefault="00EE5994" w:rsidP="00A56835">
      <w:pPr>
        <w:pStyle w:val="ListBullet"/>
        <w:rPr>
          <w:lang w:val="en-US"/>
        </w:rPr>
      </w:pPr>
      <w:r w:rsidRPr="00F47EAE">
        <w:rPr>
          <w:lang w:val="en-US"/>
        </w:rPr>
        <w:t>Apparent total renal clearance following oral administration (</w:t>
      </w:r>
      <w:r w:rsidR="001B05E0" w:rsidRPr="00F47EAE">
        <w:rPr>
          <w:lang w:val="en-US"/>
        </w:rPr>
        <w:t>CL</w:t>
      </w:r>
      <w:r w:rsidR="001B05E0" w:rsidRPr="00F47EAE">
        <w:rPr>
          <w:vertAlign w:val="subscript"/>
          <w:lang w:val="en-US"/>
        </w:rPr>
        <w:t>R</w:t>
      </w:r>
      <w:r w:rsidR="001B05E0" w:rsidRPr="00F47EAE">
        <w:rPr>
          <w:lang w:val="en-US"/>
        </w:rPr>
        <w:t>/F</w:t>
      </w:r>
      <w:r w:rsidRPr="00F47EAE">
        <w:rPr>
          <w:lang w:val="en-US"/>
        </w:rPr>
        <w:t>)</w:t>
      </w:r>
      <w:r w:rsidR="001B05E0" w:rsidRPr="00F47EAE">
        <w:rPr>
          <w:lang w:val="en-US"/>
        </w:rPr>
        <w:t xml:space="preserve"> accounted for approximately 42% of the total clearance and increased with increasing </w:t>
      </w:r>
      <w:r w:rsidRPr="00F47EAE">
        <w:rPr>
          <w:lang w:val="en-US"/>
        </w:rPr>
        <w:t xml:space="preserve">creatinine clearance </w:t>
      </w:r>
      <w:r w:rsidR="00F47EAE" w:rsidRPr="00F47EAE">
        <w:rPr>
          <w:lang w:val="en-US"/>
        </w:rPr>
        <w:t xml:space="preserve">rate </w:t>
      </w:r>
      <w:r w:rsidRPr="00F47EAE">
        <w:rPr>
          <w:lang w:val="en-US"/>
        </w:rPr>
        <w:t>(</w:t>
      </w:r>
      <w:proofErr w:type="spellStart"/>
      <w:r w:rsidR="001B05E0" w:rsidRPr="00F47EAE">
        <w:rPr>
          <w:lang w:val="en-US"/>
        </w:rPr>
        <w:t>cCrCL</w:t>
      </w:r>
      <w:proofErr w:type="spellEnd"/>
      <w:r w:rsidRPr="00F47EAE">
        <w:rPr>
          <w:lang w:val="en-US"/>
        </w:rPr>
        <w:t>)</w:t>
      </w:r>
      <w:r w:rsidR="001B05E0" w:rsidRPr="00F47EAE">
        <w:rPr>
          <w:lang w:val="en-US"/>
        </w:rPr>
        <w:t xml:space="preserve"> up to a breakpoint of 150 mL/min with a linear relationship</w:t>
      </w:r>
      <w:r w:rsidR="007F3460">
        <w:rPr>
          <w:lang w:val="en-US"/>
        </w:rPr>
        <w:t>.</w:t>
      </w:r>
    </w:p>
    <w:p w:rsidR="001B05E0" w:rsidRPr="00F47EAE" w:rsidRDefault="00F47EAE" w:rsidP="00A56835">
      <w:pPr>
        <w:pStyle w:val="ListBullet"/>
        <w:rPr>
          <w:lang w:val="en-US"/>
        </w:rPr>
      </w:pPr>
      <w:r w:rsidRPr="00F47EAE">
        <w:rPr>
          <w:rFonts w:asciiTheme="minorHAnsi" w:eastAsia="TimesNewRoman" w:hAnsiTheme="minorHAnsi"/>
          <w:sz w:val="20"/>
          <w:szCs w:val="20"/>
        </w:rPr>
        <w:t>Non-renal clearance</w:t>
      </w:r>
      <w:r w:rsidRPr="00F47EAE">
        <w:rPr>
          <w:lang w:val="en-US"/>
        </w:rPr>
        <w:t xml:space="preserve"> following oral administration (</w:t>
      </w:r>
      <w:r w:rsidR="001B05E0" w:rsidRPr="00F47EAE">
        <w:rPr>
          <w:lang w:val="en-US"/>
        </w:rPr>
        <w:t>CL</w:t>
      </w:r>
      <w:r w:rsidR="001B05E0" w:rsidRPr="00F47EAE">
        <w:rPr>
          <w:vertAlign w:val="subscript"/>
          <w:lang w:val="en-US"/>
        </w:rPr>
        <w:t>NR</w:t>
      </w:r>
      <w:r w:rsidR="001B05E0" w:rsidRPr="00F47EAE">
        <w:rPr>
          <w:lang w:val="en-US"/>
        </w:rPr>
        <w:t>/F</w:t>
      </w:r>
      <w:r w:rsidRPr="00F47EAE">
        <w:rPr>
          <w:lang w:val="en-US"/>
        </w:rPr>
        <w:t>)</w:t>
      </w:r>
      <w:r w:rsidR="001B05E0" w:rsidRPr="00F47EAE">
        <w:rPr>
          <w:lang w:val="en-US"/>
        </w:rPr>
        <w:t xml:space="preserve"> was reduced in older (</w:t>
      </w:r>
      <w:r w:rsidR="00EE5994" w:rsidRPr="00F47EAE">
        <w:rPr>
          <w:lang w:val="en-US"/>
        </w:rPr>
        <w:t>for example,</w:t>
      </w:r>
      <w:r w:rsidR="001B05E0" w:rsidRPr="00F47EAE">
        <w:rPr>
          <w:lang w:val="en-US"/>
        </w:rPr>
        <w:t xml:space="preserve"> a 40</w:t>
      </w:r>
      <w:r w:rsidR="00EE5994" w:rsidRPr="00F47EAE">
        <w:rPr>
          <w:lang w:val="en-US"/>
        </w:rPr>
        <w:t xml:space="preserve"> </w:t>
      </w:r>
      <w:r w:rsidR="001B05E0" w:rsidRPr="00F47EAE">
        <w:rPr>
          <w:lang w:val="en-US"/>
        </w:rPr>
        <w:t>year old and 80</w:t>
      </w:r>
      <w:r w:rsidR="00EE5994" w:rsidRPr="00F47EAE">
        <w:rPr>
          <w:lang w:val="en-US"/>
        </w:rPr>
        <w:t xml:space="preserve"> </w:t>
      </w:r>
      <w:r w:rsidR="001B05E0" w:rsidRPr="00F47EAE">
        <w:rPr>
          <w:lang w:val="en-US"/>
        </w:rPr>
        <w:t>year old male VTE treatment subject would have 11% higher and 7% lower CL</w:t>
      </w:r>
      <w:r w:rsidR="001B05E0" w:rsidRPr="00F47EAE">
        <w:rPr>
          <w:vertAlign w:val="subscript"/>
          <w:lang w:val="en-US"/>
        </w:rPr>
        <w:t>NR</w:t>
      </w:r>
      <w:r w:rsidR="001B05E0" w:rsidRPr="00F47EAE">
        <w:rPr>
          <w:lang w:val="en-US"/>
        </w:rPr>
        <w:t>/F relative to a reference VTE treatment male subject who is 60 years old; resulting in 7% higher and 4% lower CL/F, respectively</w:t>
      </w:r>
      <w:r w:rsidR="00EE5994" w:rsidRPr="00F47EAE">
        <w:rPr>
          <w:lang w:val="en-US"/>
        </w:rPr>
        <w:t>.</w:t>
      </w:r>
    </w:p>
    <w:p w:rsidR="001B05E0" w:rsidRPr="00F47EAE" w:rsidRDefault="001B05E0" w:rsidP="00A56835">
      <w:pPr>
        <w:pStyle w:val="ListBullet"/>
        <w:rPr>
          <w:lang w:val="en-US"/>
        </w:rPr>
      </w:pPr>
      <w:r w:rsidRPr="00F47EAE">
        <w:rPr>
          <w:lang w:val="en-US"/>
        </w:rPr>
        <w:t>Female subjects had 22.3% lower CL</w:t>
      </w:r>
      <w:r w:rsidRPr="00F47EAE">
        <w:rPr>
          <w:vertAlign w:val="subscript"/>
          <w:lang w:val="en-US"/>
        </w:rPr>
        <w:t>NR</w:t>
      </w:r>
      <w:r w:rsidRPr="00F47EAE">
        <w:rPr>
          <w:lang w:val="en-US"/>
        </w:rPr>
        <w:t xml:space="preserve">/F relative to male subjects, resulting in </w:t>
      </w:r>
      <w:r w:rsidR="00210471">
        <w:rPr>
          <w:lang w:val="en-US"/>
        </w:rPr>
        <w:t xml:space="preserve">a </w:t>
      </w:r>
      <w:r w:rsidRPr="00F47EAE">
        <w:rPr>
          <w:lang w:val="en-US"/>
        </w:rPr>
        <w:t xml:space="preserve">13% </w:t>
      </w:r>
      <w:proofErr w:type="gramStart"/>
      <w:r w:rsidRPr="00F47EAE">
        <w:rPr>
          <w:lang w:val="en-US"/>
        </w:rPr>
        <w:t>lower</w:t>
      </w:r>
      <w:proofErr w:type="gramEnd"/>
      <w:r w:rsidRPr="00F47EAE">
        <w:rPr>
          <w:lang w:val="en-US"/>
        </w:rPr>
        <w:t xml:space="preserve"> CL/F</w:t>
      </w:r>
      <w:r w:rsidR="00EE5994" w:rsidRPr="00F47EAE">
        <w:rPr>
          <w:lang w:val="en-US"/>
        </w:rPr>
        <w:t>.</w:t>
      </w:r>
    </w:p>
    <w:p w:rsidR="001B05E0" w:rsidRPr="00F47EAE" w:rsidRDefault="001B05E0" w:rsidP="00A56835">
      <w:pPr>
        <w:pStyle w:val="ListBullet"/>
        <w:rPr>
          <w:lang w:val="en-US"/>
        </w:rPr>
      </w:pPr>
      <w:r w:rsidRPr="00F47EAE">
        <w:rPr>
          <w:lang w:val="en-US"/>
        </w:rPr>
        <w:t>Asian race and concomitant use of strong or moderate CYP3A4/p-</w:t>
      </w:r>
      <w:proofErr w:type="spellStart"/>
      <w:r w:rsidRPr="00F47EAE">
        <w:rPr>
          <w:lang w:val="en-US"/>
        </w:rPr>
        <w:t>gp</w:t>
      </w:r>
      <w:proofErr w:type="spellEnd"/>
      <w:r w:rsidRPr="00F47EAE">
        <w:rPr>
          <w:lang w:val="en-US"/>
        </w:rPr>
        <w:t xml:space="preserve"> inhibitors resulted in decreases of 16.8% and 20.3% in CL/F, respectively</w:t>
      </w:r>
      <w:r w:rsidR="00EE5994" w:rsidRPr="00F47EAE">
        <w:rPr>
          <w:lang w:val="en-US"/>
        </w:rPr>
        <w:t>.</w:t>
      </w:r>
    </w:p>
    <w:p w:rsidR="001B05E0" w:rsidRPr="00F47EAE" w:rsidRDefault="001B05E0" w:rsidP="00A56835">
      <w:pPr>
        <w:pStyle w:val="ListBullet"/>
        <w:rPr>
          <w:rFonts w:eastAsia="Times New Roman"/>
          <w:kern w:val="16"/>
          <w:lang w:eastAsia="en-AU"/>
        </w:rPr>
      </w:pPr>
      <w:r w:rsidRPr="00F47EAE">
        <w:rPr>
          <w:lang w:val="en-US"/>
        </w:rPr>
        <w:t xml:space="preserve">The effect of baseline body weight on </w:t>
      </w:r>
      <w:r w:rsidR="00F47EAE" w:rsidRPr="00F47EAE">
        <w:rPr>
          <w:lang w:val="en-US"/>
        </w:rPr>
        <w:t xml:space="preserve">apparent total </w:t>
      </w:r>
      <w:r w:rsidR="00EE5994" w:rsidRPr="00F47EAE">
        <w:rPr>
          <w:lang w:val="en-US"/>
        </w:rPr>
        <w:t xml:space="preserve">volume of distribution </w:t>
      </w:r>
      <w:r w:rsidR="00F47EAE" w:rsidRPr="00F47EAE">
        <w:rPr>
          <w:lang w:val="en-US"/>
        </w:rPr>
        <w:t xml:space="preserve">following oral administration </w:t>
      </w:r>
      <w:r w:rsidR="00EE5994" w:rsidRPr="00F47EAE">
        <w:rPr>
          <w:lang w:val="en-US"/>
        </w:rPr>
        <w:t>(</w:t>
      </w:r>
      <w:proofErr w:type="spellStart"/>
      <w:r w:rsidRPr="00F47EAE">
        <w:rPr>
          <w:lang w:val="en-US"/>
        </w:rPr>
        <w:t>V</w:t>
      </w:r>
      <w:r w:rsidRPr="00F47EAE">
        <w:rPr>
          <w:vertAlign w:val="subscript"/>
          <w:lang w:val="en-US"/>
        </w:rPr>
        <w:t>c</w:t>
      </w:r>
      <w:proofErr w:type="spellEnd"/>
      <w:r w:rsidRPr="00F47EAE">
        <w:rPr>
          <w:lang w:val="en-US"/>
        </w:rPr>
        <w:t>/F</w:t>
      </w:r>
      <w:r w:rsidR="00EE5994" w:rsidRPr="00F47EAE">
        <w:rPr>
          <w:lang w:val="en-US"/>
        </w:rPr>
        <w:t>)</w:t>
      </w:r>
      <w:r w:rsidRPr="00F47EAE">
        <w:rPr>
          <w:lang w:val="en-US"/>
        </w:rPr>
        <w:t xml:space="preserve"> was less than directly proportional, with a 24% reduction for a 50 kg subject and a 20% increase for a 120 kg subject relative to the reference subject with a body weight of 85 kg</w:t>
      </w:r>
      <w:r w:rsidR="00F47EAE">
        <w:rPr>
          <w:lang w:val="en-US"/>
        </w:rPr>
        <w:t>.</w:t>
      </w:r>
    </w:p>
    <w:p w:rsidR="008E7846" w:rsidRDefault="008E7846" w:rsidP="008E7846">
      <w:pPr>
        <w:pStyle w:val="Heading3"/>
      </w:pPr>
      <w:bookmarkStart w:id="66" w:name="_Toc196046481"/>
      <w:bookmarkStart w:id="67" w:name="_Toc247691520"/>
      <w:bookmarkStart w:id="68" w:name="_Toc314842503"/>
      <w:bookmarkStart w:id="69" w:name="_Toc436386766"/>
      <w:r w:rsidRPr="00254787">
        <w:lastRenderedPageBreak/>
        <w:t>Pharmacodynamics</w:t>
      </w:r>
      <w:bookmarkEnd w:id="43"/>
      <w:bookmarkEnd w:id="66"/>
      <w:bookmarkEnd w:id="67"/>
      <w:bookmarkEnd w:id="68"/>
      <w:bookmarkEnd w:id="69"/>
    </w:p>
    <w:p w:rsidR="00605AD4" w:rsidRPr="00F47EAE" w:rsidRDefault="00605AD4" w:rsidP="00F47EAE">
      <w:pPr>
        <w:pStyle w:val="Heading4"/>
      </w:pPr>
      <w:r>
        <w:t xml:space="preserve">Studies providing </w:t>
      </w:r>
      <w:proofErr w:type="spellStart"/>
      <w:r>
        <w:t>pharmacodynamic</w:t>
      </w:r>
      <w:proofErr w:type="spellEnd"/>
      <w:r>
        <w:t xml:space="preserve"> data</w:t>
      </w:r>
    </w:p>
    <w:p w:rsidR="001B05E0" w:rsidRDefault="001B05E0" w:rsidP="00F47EAE">
      <w:pPr>
        <w:rPr>
          <w:szCs w:val="24"/>
        </w:rPr>
      </w:pPr>
      <w:r>
        <w:t xml:space="preserve">Table 2 shows the studies relating to each </w:t>
      </w:r>
      <w:proofErr w:type="spellStart"/>
      <w:r>
        <w:t>pharmacodynamic</w:t>
      </w:r>
      <w:proofErr w:type="spellEnd"/>
      <w:r>
        <w:t xml:space="preserve"> topic.</w:t>
      </w:r>
    </w:p>
    <w:p w:rsidR="001B05E0" w:rsidRDefault="001B05E0" w:rsidP="007F3460">
      <w:pPr>
        <w:pStyle w:val="TableTitle"/>
      </w:pPr>
      <w:bookmarkStart w:id="70" w:name="_Ref269985397"/>
      <w:bookmarkStart w:id="71" w:name="_Toc397246731"/>
      <w:bookmarkStart w:id="72" w:name="_Toc290888902"/>
      <w:proofErr w:type="gramStart"/>
      <w:r>
        <w:t>Table 2</w:t>
      </w:r>
      <w:bookmarkEnd w:id="70"/>
      <w:r>
        <w:t>.</w:t>
      </w:r>
      <w:proofErr w:type="gramEnd"/>
      <w:r>
        <w:t xml:space="preserve"> </w:t>
      </w:r>
      <w:proofErr w:type="gramStart"/>
      <w:r w:rsidRPr="007F3460">
        <w:t>Submitted</w:t>
      </w:r>
      <w:r>
        <w:t xml:space="preserve"> </w:t>
      </w:r>
      <w:proofErr w:type="spellStart"/>
      <w:r>
        <w:t>pharmacodynamic</w:t>
      </w:r>
      <w:proofErr w:type="spellEnd"/>
      <w:r>
        <w:t xml:space="preserve"> studies.</w:t>
      </w:r>
      <w:bookmarkEnd w:id="71"/>
      <w:bookmarkEnd w:id="72"/>
      <w:proofErr w:type="gramEnd"/>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126"/>
        <w:gridCol w:w="2268"/>
      </w:tblGrid>
      <w:tr w:rsidR="00F47EAE" w:rsidTr="007F3460">
        <w:tc>
          <w:tcPr>
            <w:tcW w:w="3544" w:type="dxa"/>
            <w:tcBorders>
              <w:top w:val="single" w:sz="4" w:space="0" w:color="auto"/>
              <w:left w:val="single" w:sz="4" w:space="0" w:color="auto"/>
              <w:bottom w:val="single" w:sz="4" w:space="0" w:color="auto"/>
              <w:right w:val="single" w:sz="4" w:space="0" w:color="auto"/>
            </w:tcBorders>
            <w:shd w:val="clear" w:color="auto" w:fill="0070C0"/>
            <w:hideMark/>
          </w:tcPr>
          <w:p w:rsidR="00F47EAE" w:rsidRPr="007F3460" w:rsidRDefault="00F47EAE" w:rsidP="007F3460">
            <w:pPr>
              <w:rPr>
                <w:b/>
                <w:color w:val="FFFFFF" w:themeColor="background1"/>
                <w:sz w:val="20"/>
                <w:szCs w:val="20"/>
              </w:rPr>
            </w:pPr>
            <w:r w:rsidRPr="007F3460">
              <w:rPr>
                <w:b/>
                <w:color w:val="FFFFFF" w:themeColor="background1"/>
                <w:sz w:val="20"/>
                <w:szCs w:val="20"/>
              </w:rPr>
              <w:t>PD Interactions</w:t>
            </w:r>
          </w:p>
        </w:tc>
        <w:tc>
          <w:tcPr>
            <w:tcW w:w="2126" w:type="dxa"/>
            <w:tcBorders>
              <w:top w:val="single" w:sz="4" w:space="0" w:color="auto"/>
              <w:left w:val="single" w:sz="4" w:space="0" w:color="auto"/>
              <w:bottom w:val="single" w:sz="4" w:space="0" w:color="auto"/>
              <w:right w:val="nil"/>
            </w:tcBorders>
            <w:hideMark/>
          </w:tcPr>
          <w:p w:rsidR="00F47EAE" w:rsidRPr="007F3460" w:rsidRDefault="00F47EAE" w:rsidP="007F3460">
            <w:pPr>
              <w:rPr>
                <w:sz w:val="20"/>
                <w:szCs w:val="20"/>
              </w:rPr>
            </w:pPr>
            <w:proofErr w:type="spellStart"/>
            <w:r w:rsidRPr="007F3460">
              <w:rPr>
                <w:sz w:val="20"/>
                <w:szCs w:val="20"/>
              </w:rPr>
              <w:t>Prasugrel</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F47EAE" w:rsidRPr="007F3460" w:rsidRDefault="00F47EAE" w:rsidP="007F3460">
            <w:pPr>
              <w:rPr>
                <w:sz w:val="20"/>
                <w:szCs w:val="20"/>
              </w:rPr>
            </w:pPr>
            <w:r w:rsidRPr="007F3460">
              <w:rPr>
                <w:sz w:val="20"/>
                <w:szCs w:val="20"/>
              </w:rPr>
              <w:t>CV185073</w:t>
            </w:r>
          </w:p>
        </w:tc>
      </w:tr>
      <w:tr w:rsidR="00F47EAE" w:rsidTr="007F3460">
        <w:tc>
          <w:tcPr>
            <w:tcW w:w="3544" w:type="dxa"/>
            <w:tcBorders>
              <w:top w:val="single" w:sz="4" w:space="0" w:color="auto"/>
              <w:left w:val="single" w:sz="4" w:space="0" w:color="auto"/>
              <w:bottom w:val="single" w:sz="4" w:space="0" w:color="auto"/>
              <w:right w:val="single" w:sz="4" w:space="0" w:color="auto"/>
            </w:tcBorders>
            <w:shd w:val="clear" w:color="auto" w:fill="0070C0"/>
            <w:hideMark/>
          </w:tcPr>
          <w:p w:rsidR="00F47EAE" w:rsidRPr="007F3460" w:rsidRDefault="00F47EAE" w:rsidP="007F3460">
            <w:pPr>
              <w:rPr>
                <w:b/>
                <w:color w:val="FFFFFF" w:themeColor="background1"/>
                <w:sz w:val="20"/>
                <w:szCs w:val="20"/>
              </w:rPr>
            </w:pPr>
            <w:r w:rsidRPr="007F3460">
              <w:rPr>
                <w:b/>
                <w:color w:val="FFFFFF" w:themeColor="background1"/>
                <w:sz w:val="20"/>
                <w:szCs w:val="20"/>
              </w:rPr>
              <w:t>Population PD and PK-PD analyses</w:t>
            </w:r>
          </w:p>
        </w:tc>
        <w:tc>
          <w:tcPr>
            <w:tcW w:w="2126" w:type="dxa"/>
            <w:tcBorders>
              <w:top w:val="single" w:sz="4" w:space="0" w:color="auto"/>
              <w:left w:val="single" w:sz="4" w:space="0" w:color="auto"/>
              <w:bottom w:val="single" w:sz="4" w:space="0" w:color="auto"/>
              <w:right w:val="nil"/>
            </w:tcBorders>
            <w:hideMark/>
          </w:tcPr>
          <w:p w:rsidR="00F47EAE" w:rsidRPr="007F3460" w:rsidRDefault="00F47EAE" w:rsidP="007F3460">
            <w:pPr>
              <w:rPr>
                <w:sz w:val="20"/>
                <w:szCs w:val="20"/>
              </w:rPr>
            </w:pPr>
            <w:r w:rsidRPr="007F3460">
              <w:rPr>
                <w:sz w:val="20"/>
                <w:szCs w:val="20"/>
              </w:rPr>
              <w:t>Target population</w:t>
            </w:r>
          </w:p>
        </w:tc>
        <w:tc>
          <w:tcPr>
            <w:tcW w:w="2268" w:type="dxa"/>
            <w:tcBorders>
              <w:top w:val="single" w:sz="4" w:space="0" w:color="auto"/>
              <w:left w:val="single" w:sz="4" w:space="0" w:color="auto"/>
              <w:bottom w:val="single" w:sz="4" w:space="0" w:color="auto"/>
              <w:right w:val="single" w:sz="4" w:space="0" w:color="auto"/>
            </w:tcBorders>
            <w:hideMark/>
          </w:tcPr>
          <w:p w:rsidR="00F47EAE" w:rsidRPr="007F3460" w:rsidRDefault="00F47EAE" w:rsidP="007F3460">
            <w:pPr>
              <w:rPr>
                <w:sz w:val="20"/>
                <w:szCs w:val="20"/>
              </w:rPr>
            </w:pPr>
            <w:r w:rsidRPr="007F3460">
              <w:rPr>
                <w:sz w:val="20"/>
                <w:szCs w:val="20"/>
              </w:rPr>
              <w:t>Study PMAR-00312</w:t>
            </w:r>
          </w:p>
        </w:tc>
      </w:tr>
    </w:tbl>
    <w:p w:rsidR="001B05E0" w:rsidRDefault="001B05E0" w:rsidP="007F3460">
      <w:r>
        <w:t xml:space="preserve">None of the </w:t>
      </w:r>
      <w:proofErr w:type="spellStart"/>
      <w:r>
        <w:t>pharmacodynamic</w:t>
      </w:r>
      <w:proofErr w:type="spellEnd"/>
      <w:r>
        <w:t xml:space="preserve"> studies had deficiencies that excluded their results from consideration.</w:t>
      </w:r>
    </w:p>
    <w:p w:rsidR="00605AD4" w:rsidRDefault="00605AD4" w:rsidP="007F3460">
      <w:pPr>
        <w:pStyle w:val="Heading4"/>
      </w:pPr>
      <w:r w:rsidRPr="007F3460">
        <w:t>Evaluator’s</w:t>
      </w:r>
      <w:r>
        <w:t xml:space="preserve"> conclusions on pharmacodynamics</w:t>
      </w:r>
    </w:p>
    <w:p w:rsidR="001B05E0" w:rsidRDefault="001B05E0" w:rsidP="007F3460">
      <w:pPr>
        <w:rPr>
          <w:szCs w:val="24"/>
        </w:rPr>
      </w:pPr>
      <w:r>
        <w:t xml:space="preserve">The </w:t>
      </w:r>
      <w:r w:rsidR="00F47EAE">
        <w:t>s</w:t>
      </w:r>
      <w:r>
        <w:t xml:space="preserve">ponsor has developed a valid model to explain the plasma concentration response relationship for </w:t>
      </w:r>
      <w:r w:rsidR="00C87D8E">
        <w:t>a</w:t>
      </w:r>
      <w:proofErr w:type="spellStart"/>
      <w:r w:rsidR="00C87D8E" w:rsidRPr="00C8420A">
        <w:rPr>
          <w:lang w:val="en-US"/>
        </w:rPr>
        <w:t>pixaban</w:t>
      </w:r>
      <w:proofErr w:type="spellEnd"/>
      <w:r w:rsidR="00C87D8E">
        <w:t xml:space="preserve"> </w:t>
      </w:r>
      <w:r>
        <w:t>in the dose range proposed for the treatment of VTE and prevention of recurrent VTE.</w:t>
      </w:r>
      <w:r w:rsidR="00127885">
        <w:t xml:space="preserve"> </w:t>
      </w:r>
      <w:r>
        <w:t>This model has been used to generate the data presented in Table 1 of the Product Information document.</w:t>
      </w:r>
      <w:r w:rsidR="00127885">
        <w:t xml:space="preserve"> </w:t>
      </w:r>
      <w:r>
        <w:t>The data generated in Table 1 are a product of both the model and the patient characteristics.</w:t>
      </w:r>
      <w:r w:rsidR="00127885">
        <w:t xml:space="preserve"> </w:t>
      </w:r>
      <w:r>
        <w:t>Hence there would be expected to be some variability in the distributions of the parameters, especially since they are presented at median, 5</w:t>
      </w:r>
      <w:r>
        <w:rPr>
          <w:vertAlign w:val="superscript"/>
        </w:rPr>
        <w:t>th</w:t>
      </w:r>
      <w:r>
        <w:t xml:space="preserve"> and 95</w:t>
      </w:r>
      <w:r>
        <w:rPr>
          <w:vertAlign w:val="superscript"/>
        </w:rPr>
        <w:t>th</w:t>
      </w:r>
      <w:r>
        <w:t xml:space="preserve"> centiles.</w:t>
      </w:r>
      <w:r w:rsidR="00127885">
        <w:t xml:space="preserve"> </w:t>
      </w:r>
      <w:r>
        <w:t xml:space="preserve">However, there was less variability in the </w:t>
      </w:r>
      <w:proofErr w:type="spellStart"/>
      <w:r>
        <w:t>pharmacodynamic</w:t>
      </w:r>
      <w:proofErr w:type="spellEnd"/>
      <w:r>
        <w:t xml:space="preserve"> outcome variables.</w:t>
      </w:r>
      <w:r w:rsidR="00127885">
        <w:t xml:space="preserve"> </w:t>
      </w:r>
      <w:r>
        <w:t xml:space="preserve">In the opinion of the </w:t>
      </w:r>
      <w:r w:rsidR="00C87D8E">
        <w:t>clinical e</w:t>
      </w:r>
      <w:r>
        <w:t>valuator, the data as presented in Table 1 is preferable to a version that did not give an indication of the variability.</w:t>
      </w:r>
    </w:p>
    <w:p w:rsidR="001B05E0" w:rsidRDefault="001B05E0" w:rsidP="007F3460">
      <w:r>
        <w:t xml:space="preserve">The </w:t>
      </w:r>
      <w:r w:rsidR="00C87D8E">
        <w:t>s</w:t>
      </w:r>
      <w:r>
        <w:t xml:space="preserve">ponsor has also demonstrated no clinically relevant PD interaction with </w:t>
      </w:r>
      <w:proofErr w:type="spellStart"/>
      <w:r>
        <w:t>prasugrel</w:t>
      </w:r>
      <w:proofErr w:type="spellEnd"/>
      <w:r>
        <w:t xml:space="preserve"> at the dose ranges used in clinical practice.</w:t>
      </w:r>
    </w:p>
    <w:p w:rsidR="008E7846" w:rsidRDefault="00605AD4" w:rsidP="007F3460">
      <w:pPr>
        <w:pStyle w:val="Heading3"/>
      </w:pPr>
      <w:bookmarkStart w:id="73" w:name="_Toc436386767"/>
      <w:r>
        <w:t xml:space="preserve">Dosage selection for the </w:t>
      </w:r>
      <w:r w:rsidRPr="007F3460">
        <w:t>pivotal</w:t>
      </w:r>
      <w:r>
        <w:t xml:space="preserve"> </w:t>
      </w:r>
      <w:r w:rsidRPr="007F3460">
        <w:t>studies</w:t>
      </w:r>
      <w:bookmarkEnd w:id="73"/>
    </w:p>
    <w:p w:rsidR="00B75453" w:rsidRDefault="00B75453" w:rsidP="007F3460">
      <w:r w:rsidRPr="003B1DE9">
        <w:t>Study CV185017 was an open label, ra</w:t>
      </w:r>
      <w:r>
        <w:t>ndomised, parallel group Phase II</w:t>
      </w:r>
      <w:r w:rsidRPr="003B1DE9">
        <w:t xml:space="preserve"> study in subjects with acute proximal or extensive calf-vein thrombosis, comparing three dose levels of </w:t>
      </w:r>
      <w:proofErr w:type="spellStart"/>
      <w:r w:rsidRPr="003B1DE9">
        <w:t>apixaban</w:t>
      </w:r>
      <w:proofErr w:type="spellEnd"/>
      <w:r w:rsidRPr="003B1DE9">
        <w:t xml:space="preserve"> with conventional therapy (LMWH or </w:t>
      </w:r>
      <w:proofErr w:type="spellStart"/>
      <w:r w:rsidRPr="003B1DE9">
        <w:t>fondip</w:t>
      </w:r>
      <w:r>
        <w:t>arinux</w:t>
      </w:r>
      <w:proofErr w:type="spellEnd"/>
      <w:r>
        <w:t xml:space="preserve"> and VKA). </w:t>
      </w:r>
      <w:r w:rsidRPr="003B1DE9">
        <w:t>The study was conducted at 64 centres in 11 countries from D</w:t>
      </w:r>
      <w:r>
        <w:t>ecember 2005 to February 2007.</w:t>
      </w:r>
    </w:p>
    <w:p w:rsidR="001B05E0" w:rsidRDefault="001B05E0" w:rsidP="007F3460">
      <w:pPr>
        <w:pStyle w:val="Heading4"/>
      </w:pPr>
      <w:bookmarkStart w:id="74" w:name="_Toc407734476"/>
      <w:r>
        <w:t>Evaluator’s conclusions on dose finding for treatment of deep vein thrombosis (DVT) and pulmonary embolism (</w:t>
      </w:r>
      <w:r w:rsidRPr="007F3460">
        <w:t>PE</w:t>
      </w:r>
      <w:r>
        <w:t>)</w:t>
      </w:r>
      <w:bookmarkEnd w:id="74"/>
    </w:p>
    <w:p w:rsidR="001B05E0" w:rsidRDefault="001B05E0" w:rsidP="00C87D8E">
      <w:pPr>
        <w:rPr>
          <w:szCs w:val="24"/>
        </w:rPr>
      </w:pPr>
      <w:r>
        <w:t>There are some issues with the dose finding study.</w:t>
      </w:r>
      <w:r w:rsidR="00127885">
        <w:t xml:space="preserve"> </w:t>
      </w:r>
      <w:r>
        <w:t>The definition of symptomatic PE was not included in the protocol.</w:t>
      </w:r>
      <w:r w:rsidR="00127885">
        <w:t xml:space="preserve"> </w:t>
      </w:r>
      <w:r>
        <w:t xml:space="preserve">The comparator group included subjects treated with </w:t>
      </w:r>
      <w:proofErr w:type="spellStart"/>
      <w:r>
        <w:t>tinzaparin</w:t>
      </w:r>
      <w:proofErr w:type="spellEnd"/>
      <w:r>
        <w:t>, which is not available in Australia.</w:t>
      </w:r>
      <w:r w:rsidR="00127885">
        <w:t xml:space="preserve"> </w:t>
      </w:r>
      <w:r>
        <w:t xml:space="preserve">However, in the opinion of the </w:t>
      </w:r>
      <w:r w:rsidR="00C87D8E">
        <w:t>clinical e</w:t>
      </w:r>
      <w:r>
        <w:t>valuator, these issues do not detract from the value of the study as a dose finding study.</w:t>
      </w:r>
    </w:p>
    <w:p w:rsidR="001B05E0" w:rsidRDefault="001B05E0" w:rsidP="00C87D8E">
      <w:r>
        <w:t xml:space="preserve">All three dosing </w:t>
      </w:r>
      <w:proofErr w:type="spellStart"/>
      <w:r>
        <w:t>apixaban</w:t>
      </w:r>
      <w:proofErr w:type="spellEnd"/>
      <w:r>
        <w:t xml:space="preserve"> regimens had similar efficacy.</w:t>
      </w:r>
      <w:r w:rsidR="00127885">
        <w:t xml:space="preserve"> </w:t>
      </w:r>
      <w:r>
        <w:t xml:space="preserve">For convenience of dosing, the 20 mg once daily would have been the most advantageous dosing regimen to take into Phase </w:t>
      </w:r>
      <w:r w:rsidR="00C87D8E">
        <w:t>III</w:t>
      </w:r>
      <w:r>
        <w:t>.</w:t>
      </w:r>
      <w:r w:rsidR="00127885">
        <w:t xml:space="preserve"> </w:t>
      </w:r>
      <w:r>
        <w:t>However, this would have been a different dosing strategy compared to the dosing regimens for the currently approved indications (once daily as opposed to twice daily).</w:t>
      </w:r>
    </w:p>
    <w:p w:rsidR="001B05E0" w:rsidRDefault="001B05E0" w:rsidP="007F3460">
      <w:r>
        <w:t xml:space="preserve">The dosing regimen actually taken into the Phase </w:t>
      </w:r>
      <w:r w:rsidR="00C87D8E">
        <w:t>III</w:t>
      </w:r>
      <w:r>
        <w:t xml:space="preserve"> study was: </w:t>
      </w:r>
      <w:proofErr w:type="spellStart"/>
      <w:r>
        <w:t>Apixaban</w:t>
      </w:r>
      <w:proofErr w:type="spellEnd"/>
      <w:r>
        <w:t xml:space="preserve"> 10 mg twice daily for 7 days, then 5 mg twice daily; placebo warfarin and enoxaparin.</w:t>
      </w:r>
    </w:p>
    <w:p w:rsidR="008E7846" w:rsidRPr="00254787" w:rsidRDefault="008E7846" w:rsidP="007F3460">
      <w:pPr>
        <w:pStyle w:val="Heading3"/>
      </w:pPr>
      <w:bookmarkStart w:id="75" w:name="_Toc163441372"/>
      <w:bookmarkStart w:id="76" w:name="_Toc196046485"/>
      <w:bookmarkStart w:id="77" w:name="_Toc247691521"/>
      <w:bookmarkStart w:id="78" w:name="_Toc314842504"/>
      <w:bookmarkStart w:id="79" w:name="_Toc436386768"/>
      <w:r w:rsidRPr="007F3460">
        <w:lastRenderedPageBreak/>
        <w:t>Efficacy</w:t>
      </w:r>
      <w:bookmarkEnd w:id="75"/>
      <w:bookmarkEnd w:id="76"/>
      <w:bookmarkEnd w:id="77"/>
      <w:bookmarkEnd w:id="78"/>
      <w:bookmarkEnd w:id="79"/>
    </w:p>
    <w:p w:rsidR="00605AD4" w:rsidRDefault="00605AD4" w:rsidP="007F3460">
      <w:pPr>
        <w:pStyle w:val="Heading4"/>
      </w:pPr>
      <w:bookmarkStart w:id="80" w:name="_Toc184439992"/>
      <w:bookmarkStart w:id="81" w:name="_Toc184440279"/>
      <w:bookmarkStart w:id="82" w:name="_Toc184444657"/>
      <w:bookmarkStart w:id="83" w:name="_Toc196046487"/>
      <w:r w:rsidRPr="00F5421E">
        <w:t xml:space="preserve">Studies </w:t>
      </w:r>
      <w:r w:rsidRPr="007F3460">
        <w:t>providing</w:t>
      </w:r>
      <w:r w:rsidRPr="00F5421E">
        <w:t xml:space="preserve"> efficacy data</w:t>
      </w:r>
    </w:p>
    <w:p w:rsidR="00F5421E" w:rsidRDefault="00F5421E" w:rsidP="007F3460">
      <w:r>
        <w:t>Two pivotal efficacy/safety studies were submitted:</w:t>
      </w:r>
    </w:p>
    <w:p w:rsidR="00F5421E" w:rsidRDefault="00F5421E" w:rsidP="007F3460">
      <w:pPr>
        <w:pStyle w:val="ListBullet"/>
      </w:pPr>
      <w:bookmarkStart w:id="84" w:name="_Ref271040927"/>
      <w:bookmarkStart w:id="85" w:name="_Ref271040932"/>
      <w:bookmarkStart w:id="86" w:name="_Toc272414653"/>
      <w:bookmarkStart w:id="87" w:name="_Toc290846275"/>
      <w:bookmarkStart w:id="88" w:name="_Toc407734480"/>
      <w:r w:rsidRPr="00EC0EB7">
        <w:t>Study CV185056</w:t>
      </w:r>
      <w:bookmarkEnd w:id="84"/>
      <w:bookmarkEnd w:id="85"/>
      <w:bookmarkEnd w:id="86"/>
      <w:bookmarkEnd w:id="87"/>
      <w:bookmarkEnd w:id="88"/>
      <w:r>
        <w:t xml:space="preserve"> investigating the </w:t>
      </w:r>
      <w:bookmarkStart w:id="89" w:name="_Toc407734478"/>
      <w:bookmarkStart w:id="90" w:name="_Toc432676148"/>
      <w:r>
        <w:t>t</w:t>
      </w:r>
      <w:r w:rsidRPr="00EC0EB7">
        <w:t xml:space="preserve">reatment of deep vein thrombosis (DVT) and pulmonary </w:t>
      </w:r>
      <w:r w:rsidRPr="007F3460">
        <w:t>embolism</w:t>
      </w:r>
      <w:r w:rsidRPr="00EC0EB7">
        <w:t xml:space="preserve"> (PE)</w:t>
      </w:r>
      <w:bookmarkEnd w:id="89"/>
      <w:bookmarkEnd w:id="90"/>
      <w:r>
        <w:t xml:space="preserve"> and </w:t>
      </w:r>
      <w:bookmarkStart w:id="91" w:name="_Toc407734485"/>
    </w:p>
    <w:p w:rsidR="00F5421E" w:rsidRPr="00EC0EB7" w:rsidRDefault="00F5421E" w:rsidP="007F3460">
      <w:pPr>
        <w:pStyle w:val="ListBullet"/>
      </w:pPr>
      <w:r w:rsidRPr="007F3460">
        <w:t>Study</w:t>
      </w:r>
      <w:r w:rsidRPr="00870819">
        <w:t xml:space="preserve"> CV185057</w:t>
      </w:r>
      <w:bookmarkEnd w:id="91"/>
      <w:r>
        <w:t xml:space="preserve"> investigating the </w:t>
      </w:r>
      <w:bookmarkStart w:id="92" w:name="_Toc407734483"/>
      <w:bookmarkStart w:id="93" w:name="_Toc432676149"/>
      <w:r>
        <w:t>p</w:t>
      </w:r>
      <w:r w:rsidRPr="00870819">
        <w:t>revention of recurrent DVT and PE</w:t>
      </w:r>
      <w:bookmarkEnd w:id="92"/>
      <w:bookmarkEnd w:id="93"/>
      <w:r>
        <w:t>.</w:t>
      </w:r>
    </w:p>
    <w:p w:rsidR="00FD1E09" w:rsidRDefault="00605AD4" w:rsidP="007F3460">
      <w:pPr>
        <w:pStyle w:val="Heading4"/>
      </w:pPr>
      <w:r w:rsidRPr="00C87D8E">
        <w:t xml:space="preserve">Evaluator’s </w:t>
      </w:r>
      <w:r w:rsidRPr="007F3460">
        <w:t>conclusions</w:t>
      </w:r>
      <w:r w:rsidRPr="00C87D8E">
        <w:t xml:space="preserve"> on efficacy</w:t>
      </w:r>
      <w:r w:rsidR="00C87D8E" w:rsidRPr="00C87D8E">
        <w:t xml:space="preserve"> </w:t>
      </w:r>
      <w:bookmarkStart w:id="94" w:name="_Toc407734482"/>
    </w:p>
    <w:p w:rsidR="001B05E0" w:rsidRPr="00C87D8E" w:rsidRDefault="00FD1E09" w:rsidP="00FD1E09">
      <w:pPr>
        <w:pStyle w:val="Heading5"/>
      </w:pPr>
      <w:r>
        <w:t>F</w:t>
      </w:r>
      <w:r w:rsidR="001B05E0" w:rsidRPr="00C87D8E">
        <w:t>or treatment of deep vein thrombosis (DVT) and pulmonary embolism (PE)</w:t>
      </w:r>
      <w:bookmarkEnd w:id="94"/>
    </w:p>
    <w:p w:rsidR="001B05E0" w:rsidRDefault="001B05E0" w:rsidP="00C87D8E">
      <w:r>
        <w:t xml:space="preserve">Non-inferiority was demonstrated for </w:t>
      </w:r>
      <w:proofErr w:type="spellStart"/>
      <w:r>
        <w:t>apixaban</w:t>
      </w:r>
      <w:proofErr w:type="spellEnd"/>
      <w:r>
        <w:t xml:space="preserve"> in comparison with conventional treatment according to the predefined criteria.</w:t>
      </w:r>
      <w:r w:rsidR="00127885">
        <w:t xml:space="preserve"> </w:t>
      </w:r>
      <w:r>
        <w:t xml:space="preserve">There were 59 events in the </w:t>
      </w:r>
      <w:proofErr w:type="spellStart"/>
      <w:r>
        <w:t>apixaban</w:t>
      </w:r>
      <w:proofErr w:type="spellEnd"/>
      <w:r>
        <w:t xml:space="preserve"> population and 71 in the enoxaparin/warfarin.</w:t>
      </w:r>
      <w:r w:rsidR="00127885">
        <w:t xml:space="preserve"> </w:t>
      </w:r>
      <w:r>
        <w:t xml:space="preserve">The </w:t>
      </w:r>
      <w:r w:rsidR="00337D03">
        <w:t>relative risk (</w:t>
      </w:r>
      <w:r>
        <w:t>RR</w:t>
      </w:r>
      <w:r w:rsidR="00337D03">
        <w:t>)</w:t>
      </w:r>
      <w:r>
        <w:t xml:space="preserve"> (95% </w:t>
      </w:r>
      <w:r w:rsidR="00C87D8E">
        <w:t>confidence interval (</w:t>
      </w:r>
      <w:r>
        <w:t>CI</w:t>
      </w:r>
      <w:r w:rsidR="00C87D8E">
        <w:t>)</w:t>
      </w:r>
      <w:r>
        <w:t>) for the primary efficacy outcome measure in the per-protocol population was 0.6611 (0.4243 to 1.0301) with the upper 95% CI being &lt;1.8 (the criterion for non-inferiority.</w:t>
      </w:r>
      <w:r w:rsidR="00127885">
        <w:t xml:space="preserve"> </w:t>
      </w:r>
      <w:r>
        <w:t>In the primary efficacy population (used as a sensitivity analysis) the RR (95% CI) was 0.8390 (0.2965 to 1.1802), and the risk difference (95% CI) was -0.0044 (-0.0128 to 0.0040).</w:t>
      </w:r>
      <w:r w:rsidR="00127885">
        <w:t xml:space="preserve"> </w:t>
      </w:r>
      <w:r>
        <w:t xml:space="preserve">The secondary outcome measures were also supportive for similar efficacy of </w:t>
      </w:r>
      <w:proofErr w:type="spellStart"/>
      <w:r>
        <w:t>apixaban</w:t>
      </w:r>
      <w:proofErr w:type="spellEnd"/>
      <w:r>
        <w:t xml:space="preserve"> and conventional treatment.</w:t>
      </w:r>
    </w:p>
    <w:p w:rsidR="00C87D8E" w:rsidRDefault="001B05E0" w:rsidP="00C87D8E">
      <w:pPr>
        <w:rPr>
          <w:rFonts w:eastAsia="TimesNewRoman"/>
        </w:rPr>
      </w:pPr>
      <w:r>
        <w:rPr>
          <w:rFonts w:eastAsia="TimesNewRoman"/>
        </w:rPr>
        <w:t xml:space="preserve">The study design conformed </w:t>
      </w:r>
      <w:r w:rsidR="00C87D8E">
        <w:rPr>
          <w:rFonts w:eastAsia="TimesNewRoman"/>
        </w:rPr>
        <w:t>to</w:t>
      </w:r>
      <w:r>
        <w:rPr>
          <w:rFonts w:eastAsia="TimesNewRoman"/>
        </w:rPr>
        <w:t xml:space="preserve"> EMA guidance.</w:t>
      </w:r>
    </w:p>
    <w:p w:rsidR="001B05E0" w:rsidRDefault="001B05E0" w:rsidP="00C87D8E">
      <w:pPr>
        <w:rPr>
          <w:rFonts w:eastAsia="TimesNewRoman"/>
        </w:rPr>
      </w:pPr>
      <w:r>
        <w:rPr>
          <w:rFonts w:eastAsia="TimesNewRoman"/>
        </w:rPr>
        <w:t>The study population included appropriate at-risk groups and also included elderly subjects.</w:t>
      </w:r>
      <w:r w:rsidR="00127885">
        <w:rPr>
          <w:rFonts w:eastAsia="TimesNewRoman"/>
        </w:rPr>
        <w:t xml:space="preserve"> </w:t>
      </w:r>
      <w:r>
        <w:rPr>
          <w:rFonts w:eastAsia="TimesNewRoman"/>
        </w:rPr>
        <w:t>The comparator treatment was the accepted standard of care and dosing for enoxaparin was within commonly accepted treatment guidelines (</w:t>
      </w:r>
      <w:proofErr w:type="spellStart"/>
      <w:r>
        <w:rPr>
          <w:rFonts w:eastAsia="TimesNewRoman"/>
        </w:rPr>
        <w:t>Clexane</w:t>
      </w:r>
      <w:proofErr w:type="spellEnd"/>
      <w:r>
        <w:rPr>
          <w:rFonts w:eastAsia="TimesNewRoman"/>
        </w:rPr>
        <w:t>® Australian approved Product Information).</w:t>
      </w:r>
      <w:r w:rsidR="00127885">
        <w:rPr>
          <w:rFonts w:eastAsia="TimesNewRoman"/>
        </w:rPr>
        <w:t xml:space="preserve"> </w:t>
      </w:r>
      <w:r>
        <w:rPr>
          <w:rFonts w:eastAsia="TimesNewRoman"/>
        </w:rPr>
        <w:t>However, some treatment guidelines preferentially recommend 1.5 mg/kg once daily for the initial management of DVT and PE (New Zealand Formulary and the British National Formulary).</w:t>
      </w:r>
      <w:r w:rsidR="00127885">
        <w:rPr>
          <w:rFonts w:eastAsia="TimesNewRoman"/>
        </w:rPr>
        <w:t xml:space="preserve"> </w:t>
      </w:r>
      <w:r>
        <w:rPr>
          <w:rFonts w:eastAsia="TimesNewRoman"/>
        </w:rPr>
        <w:t xml:space="preserve">The </w:t>
      </w:r>
      <w:r w:rsidR="00C87D8E">
        <w:rPr>
          <w:rFonts w:eastAsia="TimesNewRoman"/>
        </w:rPr>
        <w:t>clinical e</w:t>
      </w:r>
      <w:r>
        <w:rPr>
          <w:rFonts w:eastAsia="TimesNewRoman"/>
        </w:rPr>
        <w:t>valuator does not consider that this would have affected the results of the trial.</w:t>
      </w:r>
      <w:r w:rsidR="00127885">
        <w:rPr>
          <w:rFonts w:eastAsia="TimesNewRoman"/>
        </w:rPr>
        <w:t xml:space="preserve"> </w:t>
      </w:r>
      <w:r>
        <w:rPr>
          <w:rFonts w:eastAsia="TimesNewRoman"/>
        </w:rPr>
        <w:t xml:space="preserve">The warfarin dosing recommendations and the proportion of subjects within therapeutic </w:t>
      </w:r>
      <w:r w:rsidR="00C87D8E">
        <w:rPr>
          <w:rFonts w:eastAsia="TimesNewRoman"/>
        </w:rPr>
        <w:t>international normalized ratio (</w:t>
      </w:r>
      <w:r>
        <w:rPr>
          <w:rFonts w:eastAsia="TimesNewRoman"/>
        </w:rPr>
        <w:t>INR</w:t>
      </w:r>
      <w:r w:rsidR="00C87D8E">
        <w:rPr>
          <w:rFonts w:eastAsia="TimesNewRoman"/>
        </w:rPr>
        <w:t>)</w:t>
      </w:r>
      <w:r>
        <w:rPr>
          <w:rFonts w:eastAsia="TimesNewRoman"/>
        </w:rPr>
        <w:t xml:space="preserve"> in the warfarin group (61%) was consistent with other clinical trials in this population and with the general population of patients treated with warfarin in Australia.</w:t>
      </w:r>
      <w:r w:rsidR="00EE3E81">
        <w:rPr>
          <w:rStyle w:val="FootnoteReference"/>
          <w:rFonts w:eastAsia="TimesNewRoman"/>
        </w:rPr>
        <w:footnoteReference w:id="3"/>
      </w:r>
      <w:r w:rsidR="00127885">
        <w:rPr>
          <w:rFonts w:eastAsia="TimesNewRoman"/>
        </w:rPr>
        <w:t xml:space="preserve"> </w:t>
      </w:r>
      <w:r>
        <w:rPr>
          <w:rFonts w:eastAsia="TimesNewRoman"/>
        </w:rPr>
        <w:t>The outcome measures we</w:t>
      </w:r>
      <w:r w:rsidR="00C87D8E">
        <w:rPr>
          <w:rFonts w:eastAsia="TimesNewRoman"/>
        </w:rPr>
        <w:t>re in accordance with guidance</w:t>
      </w:r>
      <w:r>
        <w:rPr>
          <w:lang w:val="en-US"/>
        </w:rPr>
        <w:t>.</w:t>
      </w:r>
      <w:r w:rsidR="00C87D8E">
        <w:rPr>
          <w:rStyle w:val="FootnoteReference"/>
          <w:lang w:val="en-US"/>
        </w:rPr>
        <w:footnoteReference w:id="4"/>
      </w:r>
      <w:r w:rsidR="00127885">
        <w:rPr>
          <w:lang w:val="en-US"/>
        </w:rPr>
        <w:t xml:space="preserve"> </w:t>
      </w:r>
      <w:r>
        <w:rPr>
          <w:rFonts w:eastAsia="TimesNewRoman"/>
        </w:rPr>
        <w:t>The margin for non-inferiority was clinically relevant and was adhered to in the analysis.</w:t>
      </w:r>
      <w:r w:rsidR="00127885">
        <w:rPr>
          <w:rFonts w:eastAsia="TimesNewRoman"/>
        </w:rPr>
        <w:t xml:space="preserve"> </w:t>
      </w:r>
      <w:r>
        <w:rPr>
          <w:rFonts w:eastAsia="TimesNewRoman"/>
        </w:rPr>
        <w:t>The statistical procedures were appropriate.</w:t>
      </w:r>
      <w:r w:rsidR="00127885">
        <w:rPr>
          <w:rFonts w:eastAsia="TimesNewRoman"/>
        </w:rPr>
        <w:t xml:space="preserve"> </w:t>
      </w:r>
      <w:r>
        <w:rPr>
          <w:rFonts w:eastAsia="TimesNewRoman"/>
        </w:rPr>
        <w:t>The subgroup analysis was extensive and included clinically relevant groupings.</w:t>
      </w:r>
      <w:r w:rsidR="00127885">
        <w:rPr>
          <w:rFonts w:eastAsia="TimesNewRoman"/>
        </w:rPr>
        <w:t xml:space="preserve"> </w:t>
      </w:r>
      <w:r>
        <w:rPr>
          <w:rFonts w:eastAsia="TimesNewRoman"/>
        </w:rPr>
        <w:t>The non-inferiority margin (</w:t>
      </w:r>
      <w:r>
        <w:t xml:space="preserve">the upper 95% CI for the RR being &lt;1.8 and a risk difference &lt;0.035) was clinically meaningful (representing a &lt;80% increase in risk), and the results were comfortably within this margin (the upper 95% CI being 1.0301, </w:t>
      </w:r>
      <w:r w:rsidR="00C87D8E">
        <w:t>that is,</w:t>
      </w:r>
      <w:r>
        <w:t xml:space="preserve"> &lt;4% increase in risk and &lt;0.5% increase in incidence).</w:t>
      </w:r>
    </w:p>
    <w:p w:rsidR="001B05E0" w:rsidRDefault="001B05E0" w:rsidP="00C87D8E">
      <w:pPr>
        <w:rPr>
          <w:rFonts w:eastAsia="TimesNewRoman"/>
        </w:rPr>
      </w:pPr>
      <w:r>
        <w:rPr>
          <w:rFonts w:eastAsia="TimesNewRoman"/>
        </w:rPr>
        <w:t xml:space="preserve">In the opinion of the </w:t>
      </w:r>
      <w:r w:rsidR="00C87D8E">
        <w:rPr>
          <w:rFonts w:eastAsia="TimesNewRoman"/>
        </w:rPr>
        <w:t>clinical e</w:t>
      </w:r>
      <w:r>
        <w:rPr>
          <w:rFonts w:eastAsia="TimesNewRoman"/>
        </w:rPr>
        <w:t>valuator, the inclusion of the Kaplan Meier plot for</w:t>
      </w:r>
      <w:r w:rsidR="00337D03">
        <w:rPr>
          <w:rFonts w:eastAsia="TimesNewRoman"/>
        </w:rPr>
        <w:t xml:space="preserve"> time to first DVT or PE or VTE </w:t>
      </w:r>
      <w:r>
        <w:rPr>
          <w:rFonts w:eastAsia="TimesNewRoman"/>
        </w:rPr>
        <w:t>related death in the PI is appropriate because it presents primary outcome measure in a manner that informs prescribers of the magnitude, timing and durability of the treatment effect.</w:t>
      </w:r>
    </w:p>
    <w:p w:rsidR="001B05E0" w:rsidRDefault="00FD1E09" w:rsidP="007F3460">
      <w:pPr>
        <w:pStyle w:val="Heading5"/>
      </w:pPr>
      <w:bookmarkStart w:id="95" w:name="_Toc407734487"/>
      <w:bookmarkStart w:id="96" w:name="_Toc290846282"/>
      <w:bookmarkStart w:id="97" w:name="_Toc272414657"/>
      <w:bookmarkStart w:id="98" w:name="_Ref271126605"/>
      <w:r>
        <w:lastRenderedPageBreak/>
        <w:t>F</w:t>
      </w:r>
      <w:r w:rsidR="001B05E0">
        <w:t xml:space="preserve">or </w:t>
      </w:r>
      <w:r w:rsidR="001B05E0" w:rsidRPr="007F3460">
        <w:rPr>
          <w:rFonts w:eastAsia="TimesNewRoman"/>
        </w:rPr>
        <w:t>p</w:t>
      </w:r>
      <w:r w:rsidR="001B05E0" w:rsidRPr="007F3460">
        <w:t>revention</w:t>
      </w:r>
      <w:r w:rsidR="001B05E0">
        <w:t xml:space="preserve"> of recurrent DVT and PE</w:t>
      </w:r>
      <w:bookmarkEnd w:id="95"/>
      <w:bookmarkEnd w:id="96"/>
      <w:bookmarkEnd w:id="97"/>
      <w:bookmarkEnd w:id="98"/>
    </w:p>
    <w:p w:rsidR="001B05E0" w:rsidRDefault="001B05E0" w:rsidP="007F3460">
      <w:r>
        <w:t xml:space="preserve">Both </w:t>
      </w:r>
      <w:proofErr w:type="spellStart"/>
      <w:r>
        <w:t>apixaban</w:t>
      </w:r>
      <w:proofErr w:type="spellEnd"/>
      <w:r>
        <w:t xml:space="preserve"> treatment regimens were superior to placebo with no apparent difference in efficacy between the </w:t>
      </w:r>
      <w:proofErr w:type="spellStart"/>
      <w:r>
        <w:t>apixaban</w:t>
      </w:r>
      <w:proofErr w:type="spellEnd"/>
      <w:r>
        <w:t xml:space="preserve"> doses.</w:t>
      </w:r>
      <w:r w:rsidR="00127885">
        <w:t xml:space="preserve"> </w:t>
      </w:r>
      <w:r>
        <w:t xml:space="preserve">There were 19 events in the </w:t>
      </w:r>
      <w:proofErr w:type="spellStart"/>
      <w:r>
        <w:t>apixaban</w:t>
      </w:r>
      <w:proofErr w:type="spellEnd"/>
      <w:r>
        <w:t xml:space="preserve"> 2.5 mg group, 14 in the 5 mg and 77 in the placebo.</w:t>
      </w:r>
      <w:r w:rsidR="00127885">
        <w:t xml:space="preserve"> </w:t>
      </w:r>
      <w:r>
        <w:t xml:space="preserve">In addition, there were 13 imputed events in the </w:t>
      </w:r>
      <w:proofErr w:type="spellStart"/>
      <w:r>
        <w:t>apixaban</w:t>
      </w:r>
      <w:proofErr w:type="spellEnd"/>
      <w:r>
        <w:t xml:space="preserve"> 2.5 mg group, 20 in the 5 mg and 19 in the placebo.</w:t>
      </w:r>
      <w:r w:rsidR="00127885">
        <w:t xml:space="preserve"> </w:t>
      </w:r>
      <w:r>
        <w:t xml:space="preserve">The RR (95% CI) compared to placebo for </w:t>
      </w:r>
      <w:proofErr w:type="spellStart"/>
      <w:r>
        <w:t>apixaban</w:t>
      </w:r>
      <w:proofErr w:type="spellEnd"/>
      <w:r>
        <w:t xml:space="preserve"> 2.5 mg was 0.3283 (0.2225 to 0.4844) and for </w:t>
      </w:r>
      <w:proofErr w:type="spellStart"/>
      <w:r>
        <w:t>apixaban</w:t>
      </w:r>
      <w:proofErr w:type="spellEnd"/>
      <w:r>
        <w:t xml:space="preserve"> 5 mg was 0.3615 (0.2475 to 0.5281).</w:t>
      </w:r>
      <w:r w:rsidR="00127885">
        <w:t xml:space="preserve"> </w:t>
      </w:r>
      <w:r>
        <w:t xml:space="preserve">The Risk difference (95% CI) compared to placebo was -0.0779 (-0.1032 to -0.0526) for </w:t>
      </w:r>
      <w:proofErr w:type="spellStart"/>
      <w:r>
        <w:t>apixaban</w:t>
      </w:r>
      <w:proofErr w:type="spellEnd"/>
      <w:r>
        <w:t xml:space="preserve"> 2.5 mg and -0.0740 (-0.0997 to -0.0482) for </w:t>
      </w:r>
      <w:proofErr w:type="spellStart"/>
      <w:r>
        <w:t>apixaban</w:t>
      </w:r>
      <w:proofErr w:type="spellEnd"/>
      <w:r>
        <w:t xml:space="preserve"> 5 mg.</w:t>
      </w:r>
      <w:r w:rsidR="00127885">
        <w:t xml:space="preserve"> </w:t>
      </w:r>
      <w:r>
        <w:t>All these hypothesis tests were significant to p &lt;0.0001.</w:t>
      </w:r>
      <w:r w:rsidR="00127885">
        <w:t xml:space="preserve"> </w:t>
      </w:r>
      <w:r>
        <w:t>The secondary efficacy outcome measures were also supportive of superiority.</w:t>
      </w:r>
    </w:p>
    <w:p w:rsidR="00337D03" w:rsidRDefault="001B05E0" w:rsidP="00337D03">
      <w:pPr>
        <w:rPr>
          <w:rFonts w:eastAsia="TimesNewRoman"/>
        </w:rPr>
      </w:pPr>
      <w:r>
        <w:rPr>
          <w:rFonts w:eastAsia="TimesNewRoman"/>
        </w:rPr>
        <w:t xml:space="preserve">The study design conformed </w:t>
      </w:r>
      <w:r w:rsidR="00337D03">
        <w:rPr>
          <w:rFonts w:eastAsia="TimesNewRoman"/>
        </w:rPr>
        <w:t>to</w:t>
      </w:r>
      <w:r>
        <w:rPr>
          <w:rFonts w:eastAsia="TimesNewRoman"/>
        </w:rPr>
        <w:t xml:space="preserve"> EMA guidance.</w:t>
      </w:r>
    </w:p>
    <w:p w:rsidR="001B05E0" w:rsidRPr="001B05E0" w:rsidRDefault="001B05E0" w:rsidP="007F3460">
      <w:r>
        <w:t>The study population included appropriate at-risk groups and also included elderly subjects.</w:t>
      </w:r>
      <w:r w:rsidR="00127885">
        <w:t xml:space="preserve"> </w:t>
      </w:r>
      <w:r>
        <w:t xml:space="preserve">The comparator treatment was placebo which is appropriate because </w:t>
      </w:r>
      <w:r w:rsidR="00FD26C1">
        <w:t>‘</w:t>
      </w:r>
      <w:r>
        <w:t>no treatment</w:t>
      </w:r>
      <w:r w:rsidR="00FD26C1">
        <w:t>’</w:t>
      </w:r>
      <w:r>
        <w:t xml:space="preserve"> is an accepted standard of care.</w:t>
      </w:r>
      <w:r w:rsidR="00127885">
        <w:t xml:space="preserve"> </w:t>
      </w:r>
      <w:r>
        <w:t>The outcome measures were in accordance with guidance.</w:t>
      </w:r>
      <w:r w:rsidR="00127885">
        <w:t xml:space="preserve"> </w:t>
      </w:r>
      <w:r>
        <w:t>The statistical procedures were appropriate.</w:t>
      </w:r>
      <w:r w:rsidR="00127885">
        <w:t xml:space="preserve"> </w:t>
      </w:r>
      <w:r>
        <w:t>The subgroup analysis was extensive and included clinically relevant groupings.</w:t>
      </w:r>
    </w:p>
    <w:p w:rsidR="008E7846" w:rsidRPr="002E238E" w:rsidRDefault="008E7846" w:rsidP="008E7846">
      <w:pPr>
        <w:pStyle w:val="Heading3"/>
      </w:pPr>
      <w:bookmarkStart w:id="99" w:name="_Toc163441378"/>
      <w:bookmarkStart w:id="100" w:name="_Toc196046495"/>
      <w:bookmarkStart w:id="101" w:name="_Toc247691522"/>
      <w:bookmarkStart w:id="102" w:name="_Toc314842505"/>
      <w:bookmarkStart w:id="103" w:name="_Toc436386769"/>
      <w:bookmarkEnd w:id="80"/>
      <w:bookmarkEnd w:id="81"/>
      <w:bookmarkEnd w:id="82"/>
      <w:bookmarkEnd w:id="83"/>
      <w:r w:rsidRPr="002E238E">
        <w:t>Safety</w:t>
      </w:r>
      <w:bookmarkEnd w:id="99"/>
      <w:bookmarkEnd w:id="100"/>
      <w:bookmarkEnd w:id="101"/>
      <w:bookmarkEnd w:id="102"/>
      <w:bookmarkEnd w:id="103"/>
    </w:p>
    <w:p w:rsidR="00605AD4" w:rsidRDefault="00605AD4" w:rsidP="007F3460">
      <w:pPr>
        <w:pStyle w:val="Heading4"/>
      </w:pPr>
      <w:bookmarkStart w:id="104" w:name="_Toc247691524"/>
      <w:bookmarkStart w:id="105" w:name="_Toc314842508"/>
      <w:bookmarkStart w:id="106" w:name="_Toc196046504"/>
      <w:bookmarkStart w:id="107" w:name="_Toc163441390"/>
      <w:r w:rsidRPr="007F3460">
        <w:t>Studies</w:t>
      </w:r>
      <w:r w:rsidRPr="00605AD4">
        <w:t xml:space="preserve"> providing safety data</w:t>
      </w:r>
    </w:p>
    <w:p w:rsidR="001B05E0" w:rsidRDefault="001B05E0" w:rsidP="007F3460">
      <w:pPr>
        <w:rPr>
          <w:szCs w:val="24"/>
        </w:rPr>
      </w:pPr>
      <w:bookmarkStart w:id="108" w:name="_Ref268776745"/>
      <w:r>
        <w:t>The following studies provided evaluable safety data:</w:t>
      </w:r>
    </w:p>
    <w:p w:rsidR="001B05E0" w:rsidRDefault="001B05E0" w:rsidP="00957B3E">
      <w:pPr>
        <w:pStyle w:val="Heading5"/>
      </w:pPr>
      <w:r>
        <w:t>Pivotal efficacy studies</w:t>
      </w:r>
      <w:bookmarkEnd w:id="108"/>
    </w:p>
    <w:p w:rsidR="001B05E0" w:rsidRDefault="001B05E0" w:rsidP="00957B3E">
      <w:r>
        <w:t>In the pivotal efficacy studies, the following safety data were collected:</w:t>
      </w:r>
    </w:p>
    <w:p w:rsidR="001B05E0" w:rsidRDefault="001B05E0" w:rsidP="007F3460">
      <w:pPr>
        <w:pStyle w:val="ListBullet"/>
      </w:pPr>
      <w:r>
        <w:t xml:space="preserve">Major or </w:t>
      </w:r>
      <w:r w:rsidR="00957B3E">
        <w:t xml:space="preserve">clinically relevant </w:t>
      </w:r>
      <w:r w:rsidR="00957B3E" w:rsidRPr="007F3460">
        <w:t>non</w:t>
      </w:r>
      <w:r w:rsidR="00957B3E">
        <w:t xml:space="preserve"> major bleeding (</w:t>
      </w:r>
      <w:r>
        <w:t>CRNMB</w:t>
      </w:r>
      <w:r w:rsidR="00957B3E">
        <w:t>)</w:t>
      </w:r>
      <w:r>
        <w:t xml:space="preserve"> during the treatment period</w:t>
      </w:r>
    </w:p>
    <w:p w:rsidR="001B05E0" w:rsidRDefault="00957B3E" w:rsidP="00957B3E">
      <w:pPr>
        <w:pStyle w:val="ListBullet"/>
      </w:pPr>
      <w:r>
        <w:t>Adverse events (</w:t>
      </w:r>
      <w:r w:rsidR="001B05E0">
        <w:t>AEs</w:t>
      </w:r>
      <w:r>
        <w:t>)</w:t>
      </w:r>
      <w:r w:rsidR="001B05E0">
        <w:t xml:space="preserve">, laboratory tests, vital signs and </w:t>
      </w:r>
      <w:r>
        <w:t>electrocardiograms (</w:t>
      </w:r>
      <w:r w:rsidR="001B05E0">
        <w:t>ECGs</w:t>
      </w:r>
      <w:r>
        <w:t>)</w:t>
      </w:r>
      <w:r w:rsidR="001B05E0">
        <w:t>.</w:t>
      </w:r>
    </w:p>
    <w:p w:rsidR="001B05E0" w:rsidRDefault="001B05E0" w:rsidP="00957B3E">
      <w:pPr>
        <w:pStyle w:val="Heading5"/>
      </w:pPr>
      <w:r>
        <w:t>Pivotal studies that assessed safety as a primary outcome</w:t>
      </w:r>
    </w:p>
    <w:p w:rsidR="001B05E0" w:rsidRDefault="001B05E0" w:rsidP="00957B3E">
      <w:bookmarkStart w:id="109" w:name="_Toc397246756"/>
      <w:r>
        <w:t>There were no pivotal studies that assessed safety alone as the primary outcome.</w:t>
      </w:r>
      <w:bookmarkEnd w:id="109"/>
    </w:p>
    <w:p w:rsidR="001B05E0" w:rsidRDefault="001B05E0" w:rsidP="00957B3E">
      <w:pPr>
        <w:pStyle w:val="Heading5"/>
      </w:pPr>
      <w:r>
        <w:t>Dose-response and non-pivotal efficacy studies</w:t>
      </w:r>
    </w:p>
    <w:p w:rsidR="001B05E0" w:rsidRDefault="001B05E0" w:rsidP="00957B3E">
      <w:r>
        <w:t>The dose-response study provided safety data, as follows:</w:t>
      </w:r>
    </w:p>
    <w:p w:rsidR="001B05E0" w:rsidRDefault="001B05E0" w:rsidP="00957B3E">
      <w:pPr>
        <w:pStyle w:val="ListBullet"/>
      </w:pPr>
      <w:r>
        <w:t>Major and CRNMB.</w:t>
      </w:r>
    </w:p>
    <w:p w:rsidR="001B05E0" w:rsidRDefault="001B05E0" w:rsidP="00957B3E">
      <w:pPr>
        <w:pStyle w:val="ListBullet"/>
      </w:pPr>
      <w:r>
        <w:t>AEs, clinical laboratory evaluations and vital signs.</w:t>
      </w:r>
    </w:p>
    <w:p w:rsidR="001B05E0" w:rsidRDefault="001B05E0" w:rsidP="00957B3E">
      <w:pPr>
        <w:pStyle w:val="Heading5"/>
      </w:pPr>
      <w:r>
        <w:t>Other studies evaluable for safety only</w:t>
      </w:r>
    </w:p>
    <w:p w:rsidR="001B05E0" w:rsidRDefault="001B05E0" w:rsidP="00957B3E">
      <w:r>
        <w:t>Clinical pharmacology studies</w:t>
      </w:r>
      <w:r w:rsidR="00B75453">
        <w:t xml:space="preserve"> provided</w:t>
      </w:r>
      <w:r>
        <w:t>:</w:t>
      </w:r>
    </w:p>
    <w:p w:rsidR="001B05E0" w:rsidRDefault="001B05E0" w:rsidP="00957B3E">
      <w:pPr>
        <w:pStyle w:val="ListBullet"/>
      </w:pPr>
      <w:r>
        <w:t>AEs, clinical laboratory tests and ECGs</w:t>
      </w:r>
    </w:p>
    <w:p w:rsidR="001B05E0" w:rsidRDefault="001B05E0" w:rsidP="00957B3E">
      <w:pPr>
        <w:pStyle w:val="Heading5"/>
        <w:rPr>
          <w:sz w:val="24"/>
        </w:rPr>
      </w:pPr>
      <w:bookmarkStart w:id="110" w:name="_Ref269204367"/>
      <w:bookmarkStart w:id="111" w:name="_Toc407734490"/>
      <w:bookmarkStart w:id="112" w:name="_Toc290846285"/>
      <w:bookmarkStart w:id="113" w:name="_Toc272414660"/>
      <w:bookmarkStart w:id="114" w:name="_Ref271195841"/>
      <w:bookmarkStart w:id="115" w:name="_Ref271195835"/>
      <w:r>
        <w:t>Pivotal studies that assessed safety as a primary outcome</w:t>
      </w:r>
      <w:bookmarkEnd w:id="110"/>
      <w:bookmarkEnd w:id="111"/>
      <w:bookmarkEnd w:id="112"/>
      <w:bookmarkEnd w:id="113"/>
      <w:bookmarkEnd w:id="114"/>
      <w:bookmarkEnd w:id="115"/>
    </w:p>
    <w:p w:rsidR="001B05E0" w:rsidRDefault="001B05E0" w:rsidP="00957B3E">
      <w:pPr>
        <w:rPr>
          <w:szCs w:val="24"/>
        </w:rPr>
      </w:pPr>
      <w:r>
        <w:t>There were no pivotal studies that assessed safety alone as the primary outcome.</w:t>
      </w:r>
    </w:p>
    <w:p w:rsidR="00605AD4" w:rsidRDefault="00605AD4" w:rsidP="00605AD4">
      <w:pPr>
        <w:pStyle w:val="Heading4"/>
      </w:pPr>
      <w:r w:rsidRPr="00605AD4">
        <w:t>Patient exposure</w:t>
      </w:r>
    </w:p>
    <w:p w:rsidR="001B05E0" w:rsidRDefault="001B05E0" w:rsidP="00B75453">
      <w:pPr>
        <w:rPr>
          <w:szCs w:val="24"/>
        </w:rPr>
      </w:pPr>
      <w:r>
        <w:t xml:space="preserve">In Study CV185017 there were 128 subjects exposed to </w:t>
      </w:r>
      <w:proofErr w:type="spellStart"/>
      <w:r>
        <w:t>apixaban</w:t>
      </w:r>
      <w:proofErr w:type="spellEnd"/>
      <w:r>
        <w:t xml:space="preserve"> 5 mg twice daily, 133 to 10 mg twice daily and 124 to 20 mg once daily, for up to 12 weeks.</w:t>
      </w:r>
    </w:p>
    <w:p w:rsidR="001B05E0" w:rsidRDefault="001B05E0" w:rsidP="00B75453">
      <w:r>
        <w:t xml:space="preserve">In Study CV185056 there were 2676 subjects exposed to </w:t>
      </w:r>
      <w:proofErr w:type="spellStart"/>
      <w:r>
        <w:t>apixaban</w:t>
      </w:r>
      <w:proofErr w:type="spellEnd"/>
      <w:r>
        <w:t>, with 244 exposed for more than 172 days.</w:t>
      </w:r>
      <w:r w:rsidR="00127885">
        <w:t xml:space="preserve"> </w:t>
      </w:r>
      <w:r>
        <w:t>The median duration of exposure was 168 days.</w:t>
      </w:r>
    </w:p>
    <w:p w:rsidR="001B05E0" w:rsidRPr="001B05E0" w:rsidRDefault="001B05E0" w:rsidP="00B75453">
      <w:r>
        <w:lastRenderedPageBreak/>
        <w:t xml:space="preserve">In Study CV185057 there were 840 subjects exposed to </w:t>
      </w:r>
      <w:proofErr w:type="spellStart"/>
      <w:r>
        <w:t>apixaban</w:t>
      </w:r>
      <w:proofErr w:type="spellEnd"/>
      <w:r>
        <w:t xml:space="preserve"> 2.5 mg twice daily; with 58 (6.9%) exposed for &gt;367 days and the median exposure was 360 days.</w:t>
      </w:r>
      <w:r w:rsidR="00127885">
        <w:t xml:space="preserve"> </w:t>
      </w:r>
      <w:r>
        <w:t xml:space="preserve">There were 811 subjects exposed to </w:t>
      </w:r>
      <w:proofErr w:type="spellStart"/>
      <w:r>
        <w:t>apixaban</w:t>
      </w:r>
      <w:proofErr w:type="spellEnd"/>
      <w:r>
        <w:t xml:space="preserve"> 5 mg twice daily; with 38 (4.7%) exposed for &gt;367 days and the median exposure was 360 days.</w:t>
      </w:r>
    </w:p>
    <w:p w:rsidR="00605AD4" w:rsidRDefault="00605AD4" w:rsidP="00605AD4">
      <w:pPr>
        <w:pStyle w:val="Heading4"/>
      </w:pPr>
      <w:r w:rsidRPr="00605AD4">
        <w:t>Safety issues with the potential for major regulatory impact</w:t>
      </w:r>
    </w:p>
    <w:p w:rsidR="001B05E0" w:rsidRDefault="001B05E0" w:rsidP="00957B3E">
      <w:pPr>
        <w:pStyle w:val="Heading5"/>
      </w:pPr>
      <w:bookmarkStart w:id="116" w:name="_Toc407734506"/>
      <w:r>
        <w:t>Bleeding related adverse events</w:t>
      </w:r>
      <w:bookmarkEnd w:id="116"/>
    </w:p>
    <w:p w:rsidR="001B05E0" w:rsidRDefault="001B05E0" w:rsidP="00B75453">
      <w:pPr>
        <w:rPr>
          <w:szCs w:val="24"/>
        </w:rPr>
      </w:pPr>
      <w:r>
        <w:t xml:space="preserve">In Study CV185017 bleeding AEs were reported in 15 (11.7) % subjects in the 5 mg twice daily group, 17 (12.8%) in the 10 mg twice daily, 13 (10.5%) in </w:t>
      </w:r>
      <w:r w:rsidRPr="00FD1E09">
        <w:t xml:space="preserve">the 20 mg once daily and 24 (19.0%) in the </w:t>
      </w:r>
      <w:r w:rsidR="00FD1E09" w:rsidRPr="00FD1E09">
        <w:t>Long-term low-molecular-weight heparin (</w:t>
      </w:r>
      <w:r w:rsidRPr="00FD1E09">
        <w:t>LMWH</w:t>
      </w:r>
      <w:r w:rsidR="00FD1E09" w:rsidRPr="00FD1E09">
        <w:t>)</w:t>
      </w:r>
      <w:r w:rsidRPr="00FD1E09">
        <w:t>/</w:t>
      </w:r>
      <w:r w:rsidR="00FD1E09" w:rsidRPr="00FD1E09">
        <w:t xml:space="preserve"> vitamin K antagonist (</w:t>
      </w:r>
      <w:r w:rsidRPr="00FD1E09">
        <w:t>VKA</w:t>
      </w:r>
      <w:r w:rsidR="00FD1E09" w:rsidRPr="00FD1E09">
        <w:t>)</w:t>
      </w:r>
      <w:r w:rsidRPr="00FD1E09">
        <w:t xml:space="preserve"> group.</w:t>
      </w:r>
      <w:r w:rsidR="00127885" w:rsidRPr="00FD1E09">
        <w:t xml:space="preserve"> </w:t>
      </w:r>
      <w:r w:rsidRPr="00FD1E09">
        <w:t>Adjudicated bleeding events were reported in 14 (10.9) % subjects</w:t>
      </w:r>
      <w:r>
        <w:t xml:space="preserve"> in the 5 mg twice daily group, 17 (12.8%) in the 10 mg twice daily, 13 (10.5%) in the 20 mg once daily and 20 (15.9%) in the LMWH/VKA group.</w:t>
      </w:r>
      <w:r w:rsidR="00127885">
        <w:t xml:space="preserve"> </w:t>
      </w:r>
      <w:r>
        <w:t>Adjudicated major bleeding events were reported in one (0.8) % subjects in the 5 mg twice daily group, none (0.0%) in the 10 mg twice daily, one (0.8%) in the 20 mg once daily and none (0.0%) in the LMWH/VKA group.</w:t>
      </w:r>
      <w:r w:rsidR="00127885">
        <w:t xml:space="preserve"> </w:t>
      </w:r>
      <w:r>
        <w:t>There was one major bleeding episode in the 5 mg group (bloody pleural effusion), one in the 20 mg (intracerebral bleed) and none in the LMWH/VKA.</w:t>
      </w:r>
      <w:r w:rsidR="00127885">
        <w:t xml:space="preserve"> </w:t>
      </w:r>
      <w:r>
        <w:t>There were no reports of intraocular haemorrhage.</w:t>
      </w:r>
      <w:r w:rsidR="00127885">
        <w:t xml:space="preserve"> </w:t>
      </w:r>
      <w:r>
        <w:t>Major bleeding or CRNMB was reported in 11 (8.6) % subjects in the 5 mg twice daily group, six (4.5%) in the 10 mg twice daily, nine (7.3%) in the 20 mg once daily and 10 (7.9%) in the LMWH/VKA group.</w:t>
      </w:r>
      <w:r w:rsidR="00127885">
        <w:t xml:space="preserve"> </w:t>
      </w:r>
      <w:r>
        <w:t>The event rate (95% CI) for major bleeding or CRNMB was 8.6 (4.4 to 14.9) % for 5 mg twice daily, 4.5 (1.7 to 9.6) % for 10 mg twice daily, 7.3 (3.4 to 13.3) % for 20 mg once daily and 7.9 (3.9 to 14.1) % for LMWH/VKA.</w:t>
      </w:r>
      <w:r w:rsidR="00127885">
        <w:t xml:space="preserve"> </w:t>
      </w:r>
      <w:r>
        <w:t>The most common bleeding related AEs were haematuria, haematoma and epistaxis.</w:t>
      </w:r>
    </w:p>
    <w:p w:rsidR="001B05E0" w:rsidRDefault="001B05E0" w:rsidP="00B75453">
      <w:r>
        <w:t xml:space="preserve">In Study CV185056, bleeding AEs were reported in 415 (15.5%) subjects in the </w:t>
      </w:r>
      <w:proofErr w:type="spellStart"/>
      <w:r>
        <w:t>apixaban</w:t>
      </w:r>
      <w:proofErr w:type="spellEnd"/>
      <w:r>
        <w:t xml:space="preserve"> group and 695 (25.8%) in the </w:t>
      </w:r>
      <w:r w:rsidR="00045951">
        <w:t>enoxaparin/warfarin</w:t>
      </w:r>
      <w:r>
        <w:t>.</w:t>
      </w:r>
      <w:r w:rsidR="00127885">
        <w:t xml:space="preserve"> </w:t>
      </w:r>
      <w:r>
        <w:t xml:space="preserve">The commonest bleeding related AEs were: </w:t>
      </w:r>
      <w:r>
        <w:rPr>
          <w:rFonts w:eastAsia="TimesNewRoman"/>
        </w:rPr>
        <w:t xml:space="preserve">epistaxis 77 (2.9%) subjects in the </w:t>
      </w:r>
      <w:proofErr w:type="spellStart"/>
      <w:r>
        <w:rPr>
          <w:rFonts w:eastAsia="TimesNewRoman"/>
        </w:rPr>
        <w:t>apixaban</w:t>
      </w:r>
      <w:proofErr w:type="spellEnd"/>
      <w:r>
        <w:rPr>
          <w:rFonts w:eastAsia="TimesNewRoman"/>
        </w:rPr>
        <w:t xml:space="preserve"> group and 146 (5.4%) in the </w:t>
      </w:r>
      <w:r w:rsidR="00045951">
        <w:rPr>
          <w:rFonts w:eastAsia="TimesNewRoman"/>
        </w:rPr>
        <w:t>enoxaparin/warfarin</w:t>
      </w:r>
      <w:r>
        <w:rPr>
          <w:rFonts w:eastAsia="TimesNewRoman"/>
        </w:rPr>
        <w:t xml:space="preserve">; contusion, 49 (1.8%) subjects in the </w:t>
      </w:r>
      <w:proofErr w:type="spellStart"/>
      <w:r>
        <w:rPr>
          <w:rFonts w:eastAsia="TimesNewRoman"/>
        </w:rPr>
        <w:t>apixaban</w:t>
      </w:r>
      <w:proofErr w:type="spellEnd"/>
      <w:r>
        <w:rPr>
          <w:rFonts w:eastAsia="TimesNewRoman"/>
        </w:rPr>
        <w:t xml:space="preserve"> group and 97 (3.6%) in the </w:t>
      </w:r>
      <w:r w:rsidR="00045951">
        <w:rPr>
          <w:rFonts w:eastAsia="TimesNewRoman"/>
        </w:rPr>
        <w:t>enoxaparin/warfarin</w:t>
      </w:r>
      <w:r>
        <w:rPr>
          <w:rFonts w:eastAsia="TimesNewRoman"/>
        </w:rPr>
        <w:t xml:space="preserve">; haematuria, 46 (1.7%) subjects in the </w:t>
      </w:r>
      <w:proofErr w:type="spellStart"/>
      <w:r>
        <w:rPr>
          <w:rFonts w:eastAsia="TimesNewRoman"/>
        </w:rPr>
        <w:t>apixaban</w:t>
      </w:r>
      <w:proofErr w:type="spellEnd"/>
      <w:r>
        <w:rPr>
          <w:rFonts w:eastAsia="TimesNewRoman"/>
        </w:rPr>
        <w:t xml:space="preserve"> group and 106 (3.9%) in the </w:t>
      </w:r>
      <w:r w:rsidR="00045951">
        <w:rPr>
          <w:rFonts w:eastAsia="TimesNewRoman"/>
        </w:rPr>
        <w:t>enoxaparin/warfarin</w:t>
      </w:r>
      <w:r>
        <w:rPr>
          <w:rFonts w:eastAsia="TimesNewRoman"/>
        </w:rPr>
        <w:t xml:space="preserve">; menorrhagia 38 (1.4%) subjects in the </w:t>
      </w:r>
      <w:proofErr w:type="spellStart"/>
      <w:r>
        <w:rPr>
          <w:rFonts w:eastAsia="TimesNewRoman"/>
        </w:rPr>
        <w:t>apixaban</w:t>
      </w:r>
      <w:proofErr w:type="spellEnd"/>
      <w:r>
        <w:rPr>
          <w:rFonts w:eastAsia="TimesNewRoman"/>
        </w:rPr>
        <w:t xml:space="preserve"> group and 30 (1.1%) in the </w:t>
      </w:r>
      <w:r w:rsidR="00045951">
        <w:rPr>
          <w:rFonts w:eastAsia="TimesNewRoman"/>
        </w:rPr>
        <w:t>enoxaparin/warfarin</w:t>
      </w:r>
      <w:r>
        <w:rPr>
          <w:rFonts w:eastAsia="TimesNewRoman"/>
        </w:rPr>
        <w:t xml:space="preserve">; and haematoma 35 (1.3%) subjects in the </w:t>
      </w:r>
      <w:proofErr w:type="spellStart"/>
      <w:r>
        <w:rPr>
          <w:rFonts w:eastAsia="TimesNewRoman"/>
        </w:rPr>
        <w:t>apixaban</w:t>
      </w:r>
      <w:proofErr w:type="spellEnd"/>
      <w:r>
        <w:rPr>
          <w:rFonts w:eastAsia="TimesNewRoman"/>
        </w:rPr>
        <w:t xml:space="preserve"> group and 76 (2.8%) in the </w:t>
      </w:r>
      <w:r w:rsidR="00045951">
        <w:rPr>
          <w:rFonts w:eastAsia="TimesNewRoman"/>
        </w:rPr>
        <w:t>enoxaparin/warfarin</w:t>
      </w:r>
      <w:r>
        <w:rPr>
          <w:rFonts w:eastAsia="TimesNewRoman"/>
        </w:rPr>
        <w:t>.</w:t>
      </w:r>
      <w:r w:rsidR="00127885">
        <w:rPr>
          <w:rFonts w:eastAsia="TimesNewRoman"/>
        </w:rPr>
        <w:t xml:space="preserve"> </w:t>
      </w:r>
      <w:r>
        <w:rPr>
          <w:rFonts w:eastAsia="TimesNewRoman"/>
        </w:rPr>
        <w:t xml:space="preserve">Superiority was achieved for </w:t>
      </w:r>
      <w:proofErr w:type="spellStart"/>
      <w:r>
        <w:rPr>
          <w:rFonts w:eastAsia="TimesNewRoman"/>
        </w:rPr>
        <w:t>apixaban</w:t>
      </w:r>
      <w:proofErr w:type="spellEnd"/>
      <w:r>
        <w:rPr>
          <w:rFonts w:eastAsia="TimesNewRoman"/>
        </w:rPr>
        <w:t xml:space="preserve"> over standard </w:t>
      </w:r>
      <w:r w:rsidR="00045951">
        <w:rPr>
          <w:rFonts w:eastAsia="TimesNewRoman"/>
        </w:rPr>
        <w:t>enoxaparin/warfarin</w:t>
      </w:r>
      <w:r>
        <w:rPr>
          <w:rFonts w:eastAsia="TimesNewRoman"/>
        </w:rPr>
        <w:t xml:space="preserve"> treatment in adjudicated major bleeding: RR (95% CI) 0.3070 (0.1728 to 0.5452) p &lt;0.0001.</w:t>
      </w:r>
      <w:r w:rsidR="00127885">
        <w:rPr>
          <w:rFonts w:eastAsia="TimesNewRoman"/>
        </w:rPr>
        <w:t xml:space="preserve"> </w:t>
      </w:r>
      <w:r>
        <w:rPr>
          <w:rFonts w:eastAsia="TimesNewRoman"/>
        </w:rPr>
        <w:t xml:space="preserve">There were three subjects with intracranial bleeds in the </w:t>
      </w:r>
      <w:proofErr w:type="spellStart"/>
      <w:r>
        <w:rPr>
          <w:rFonts w:eastAsia="TimesNewRoman"/>
        </w:rPr>
        <w:t>apixaban</w:t>
      </w:r>
      <w:proofErr w:type="spellEnd"/>
      <w:r>
        <w:rPr>
          <w:rFonts w:eastAsia="TimesNewRoman"/>
        </w:rPr>
        <w:t xml:space="preserve"> group and six in the </w:t>
      </w:r>
      <w:r w:rsidR="00045951">
        <w:rPr>
          <w:rFonts w:eastAsia="TimesNewRoman"/>
        </w:rPr>
        <w:t>enoxaparin/warfarin</w:t>
      </w:r>
      <w:r>
        <w:rPr>
          <w:rFonts w:eastAsia="TimesNewRoman"/>
        </w:rPr>
        <w:t>.</w:t>
      </w:r>
      <w:r w:rsidR="00127885">
        <w:rPr>
          <w:rFonts w:eastAsia="TimesNewRoman"/>
        </w:rPr>
        <w:t xml:space="preserve"> </w:t>
      </w:r>
      <w:r>
        <w:rPr>
          <w:rFonts w:eastAsia="TimesNewRoman"/>
        </w:rPr>
        <w:t xml:space="preserve">There were no subjects with intraocular bleeds in the </w:t>
      </w:r>
      <w:proofErr w:type="spellStart"/>
      <w:r>
        <w:rPr>
          <w:rFonts w:eastAsia="TimesNewRoman"/>
        </w:rPr>
        <w:t>apixaban</w:t>
      </w:r>
      <w:proofErr w:type="spellEnd"/>
      <w:r>
        <w:rPr>
          <w:rFonts w:eastAsia="TimesNewRoman"/>
        </w:rPr>
        <w:t xml:space="preserve"> group and two in the </w:t>
      </w:r>
      <w:r w:rsidR="00045951">
        <w:rPr>
          <w:rFonts w:eastAsia="TimesNewRoman"/>
        </w:rPr>
        <w:t>enoxaparin/warfarin</w:t>
      </w:r>
      <w:r>
        <w:rPr>
          <w:rFonts w:eastAsia="TimesNewRoman"/>
        </w:rPr>
        <w:t>.</w:t>
      </w:r>
      <w:r w:rsidR="00127885">
        <w:rPr>
          <w:rFonts w:eastAsia="TimesNewRoman"/>
        </w:rPr>
        <w:t xml:space="preserve"> </w:t>
      </w:r>
      <w:r>
        <w:rPr>
          <w:rFonts w:eastAsia="TimesNewRoman"/>
        </w:rPr>
        <w:t xml:space="preserve">There were six subjects with gastrointestinal bleeds in the </w:t>
      </w:r>
      <w:proofErr w:type="spellStart"/>
      <w:r>
        <w:rPr>
          <w:rFonts w:eastAsia="TimesNewRoman"/>
        </w:rPr>
        <w:t>apixaban</w:t>
      </w:r>
      <w:proofErr w:type="spellEnd"/>
      <w:r>
        <w:rPr>
          <w:rFonts w:eastAsia="TimesNewRoman"/>
        </w:rPr>
        <w:t xml:space="preserve"> group and 17 in the </w:t>
      </w:r>
      <w:r w:rsidR="00045951">
        <w:rPr>
          <w:rFonts w:eastAsia="TimesNewRoman"/>
        </w:rPr>
        <w:t>enoxaparin/warfarin</w:t>
      </w:r>
      <w:r>
        <w:rPr>
          <w:rFonts w:eastAsia="TimesNewRoman"/>
        </w:rPr>
        <w:t>.</w:t>
      </w:r>
    </w:p>
    <w:p w:rsidR="001B05E0" w:rsidRDefault="001B05E0" w:rsidP="00B75453">
      <w:r>
        <w:t>In Study CV185057</w:t>
      </w:r>
      <w:r w:rsidR="00957B3E">
        <w:t>,</w:t>
      </w:r>
      <w:r>
        <w:t xml:space="preserve"> bleeding AEs were reported in 99 (11.8%) subjects in the </w:t>
      </w:r>
      <w:proofErr w:type="spellStart"/>
      <w:r>
        <w:t>apixaban</w:t>
      </w:r>
      <w:proofErr w:type="spellEnd"/>
      <w:r>
        <w:t xml:space="preserve"> 2.5 mg group, 124 (15.3%) in the </w:t>
      </w:r>
      <w:proofErr w:type="spellStart"/>
      <w:r>
        <w:t>apixaban</w:t>
      </w:r>
      <w:proofErr w:type="spellEnd"/>
      <w:r>
        <w:t xml:space="preserve"> 5 mg, and 78 (9.4%) in the placebo.</w:t>
      </w:r>
      <w:r w:rsidR="00127885">
        <w:t xml:space="preserve"> </w:t>
      </w:r>
      <w:r>
        <w:t xml:space="preserve">The commonest bleeding AE was epistaxis: </w:t>
      </w:r>
      <w:r>
        <w:rPr>
          <w:rFonts w:eastAsia="TimesNewRoman"/>
        </w:rPr>
        <w:t xml:space="preserve">13 (1.5%) subjects in the </w:t>
      </w:r>
      <w:proofErr w:type="spellStart"/>
      <w:r>
        <w:rPr>
          <w:rFonts w:eastAsia="TimesNewRoman"/>
        </w:rPr>
        <w:t>apixaban</w:t>
      </w:r>
      <w:proofErr w:type="spellEnd"/>
      <w:r>
        <w:rPr>
          <w:rFonts w:eastAsia="TimesNewRoman"/>
        </w:rPr>
        <w:t xml:space="preserve"> 2.5 mg group, 29 (3.6%) in the 5 mg and eight (1.0%) in the placebo.</w:t>
      </w:r>
      <w:r w:rsidR="00127885">
        <w:rPr>
          <w:rFonts w:eastAsia="TimesNewRoman"/>
        </w:rPr>
        <w:t xml:space="preserve"> </w:t>
      </w:r>
      <w:r>
        <w:rPr>
          <w:rFonts w:eastAsia="TimesNewRoman"/>
        </w:rPr>
        <w:t xml:space="preserve">Gastrointestinal bleeds were reported in 22 (2.6%) subjects in the </w:t>
      </w:r>
      <w:proofErr w:type="spellStart"/>
      <w:r>
        <w:rPr>
          <w:rFonts w:eastAsia="TimesNewRoman"/>
        </w:rPr>
        <w:t>apixaban</w:t>
      </w:r>
      <w:proofErr w:type="spellEnd"/>
      <w:r>
        <w:rPr>
          <w:rFonts w:eastAsia="TimesNewRoman"/>
        </w:rPr>
        <w:t xml:space="preserve"> 2.5 mg group, 29 (3.6%) in the 5 mg and 13 (1.6%) in the placebo.</w:t>
      </w:r>
      <w:r w:rsidR="00127885">
        <w:rPr>
          <w:rFonts w:eastAsia="TimesNewRoman"/>
        </w:rPr>
        <w:t xml:space="preserve"> </w:t>
      </w:r>
      <w:r>
        <w:rPr>
          <w:rFonts w:eastAsia="TimesNewRoman"/>
        </w:rPr>
        <w:t>There were no reports of intracranial haemorrhage.</w:t>
      </w:r>
      <w:r w:rsidR="00127885">
        <w:rPr>
          <w:rFonts w:eastAsia="TimesNewRoman"/>
        </w:rPr>
        <w:t xml:space="preserve"> </w:t>
      </w:r>
      <w:r>
        <w:rPr>
          <w:rFonts w:eastAsia="TimesNewRoman"/>
        </w:rPr>
        <w:t xml:space="preserve">There were two reports of intraocular haemorrhage in the </w:t>
      </w:r>
      <w:proofErr w:type="spellStart"/>
      <w:r>
        <w:rPr>
          <w:rFonts w:eastAsia="TimesNewRoman"/>
        </w:rPr>
        <w:t>apixaban</w:t>
      </w:r>
      <w:proofErr w:type="spellEnd"/>
      <w:r>
        <w:rPr>
          <w:rFonts w:eastAsia="TimesNewRoman"/>
        </w:rPr>
        <w:t xml:space="preserve"> 2.5 mg group, none in the 5 mg and one in the placebo.</w:t>
      </w:r>
      <w:r w:rsidR="00127885">
        <w:rPr>
          <w:rFonts w:eastAsia="TimesNewRoman"/>
        </w:rPr>
        <w:t xml:space="preserve"> </w:t>
      </w:r>
      <w:r>
        <w:t xml:space="preserve">In the follow-up period bleeding </w:t>
      </w:r>
      <w:r w:rsidR="00957B3E">
        <w:t>treatment-emergent AEs (</w:t>
      </w:r>
      <w:r>
        <w:t>TEAEs</w:t>
      </w:r>
      <w:r w:rsidR="00957B3E">
        <w:t>)</w:t>
      </w:r>
      <w:r>
        <w:t xml:space="preserve"> were reported in six (0.7%) subjects in the </w:t>
      </w:r>
      <w:proofErr w:type="spellStart"/>
      <w:r>
        <w:t>apixaban</w:t>
      </w:r>
      <w:proofErr w:type="spellEnd"/>
      <w:r>
        <w:t xml:space="preserve"> 2.5 mg group, six (0.7%) in the </w:t>
      </w:r>
      <w:proofErr w:type="spellStart"/>
      <w:r>
        <w:t>apixaban</w:t>
      </w:r>
      <w:proofErr w:type="spellEnd"/>
      <w:r>
        <w:t xml:space="preserve"> 5 mg, and nine (1.1%) in the placebo.</w:t>
      </w:r>
    </w:p>
    <w:p w:rsidR="001B05E0" w:rsidRDefault="001B05E0" w:rsidP="00957B3E">
      <w:pPr>
        <w:pStyle w:val="Heading5"/>
        <w:rPr>
          <w:sz w:val="24"/>
        </w:rPr>
      </w:pPr>
      <w:bookmarkStart w:id="117" w:name="_Toc407734507"/>
      <w:r>
        <w:t>Neurological and cardiovascular events of special interest</w:t>
      </w:r>
      <w:bookmarkEnd w:id="117"/>
    </w:p>
    <w:p w:rsidR="001B05E0" w:rsidRDefault="001B05E0" w:rsidP="00B75453">
      <w:pPr>
        <w:rPr>
          <w:szCs w:val="24"/>
        </w:rPr>
      </w:pPr>
      <w:r>
        <w:t xml:space="preserve">In Study CV185056, neurological AEs were reported in 70 (2.6%) subjects in the </w:t>
      </w:r>
      <w:proofErr w:type="spellStart"/>
      <w:r>
        <w:t>apixaban</w:t>
      </w:r>
      <w:proofErr w:type="spellEnd"/>
      <w:r>
        <w:t xml:space="preserve"> group and 85 (3.2%) in the </w:t>
      </w:r>
      <w:r w:rsidR="00045951">
        <w:t>enoxaparin/warfarin</w:t>
      </w:r>
      <w:r>
        <w:t>.</w:t>
      </w:r>
      <w:r w:rsidR="00127885">
        <w:t xml:space="preserve"> </w:t>
      </w:r>
      <w:r>
        <w:t xml:space="preserve">The most commonly reported </w:t>
      </w:r>
      <w:r>
        <w:lastRenderedPageBreak/>
        <w:t xml:space="preserve">neurological AE was paraesthesia, reported in 20 (0.7%) subjects in the </w:t>
      </w:r>
      <w:proofErr w:type="spellStart"/>
      <w:r>
        <w:t>apixaban</w:t>
      </w:r>
      <w:proofErr w:type="spellEnd"/>
      <w:r>
        <w:t xml:space="preserve"> group and 40 (1.5%) in the </w:t>
      </w:r>
      <w:r w:rsidR="00045951">
        <w:t>enoxaparin/warfarin</w:t>
      </w:r>
      <w:r>
        <w:t>.</w:t>
      </w:r>
      <w:r w:rsidR="00127885">
        <w:t xml:space="preserve"> </w:t>
      </w:r>
      <w:r>
        <w:t>Other events of special interest were uncommon and there was no significant increase in relative risk for a</w:t>
      </w:r>
      <w:r w:rsidR="00714430">
        <w:t>ny of the events</w:t>
      </w:r>
      <w:r>
        <w:t>.</w:t>
      </w:r>
    </w:p>
    <w:p w:rsidR="001B05E0" w:rsidRPr="001B05E0" w:rsidRDefault="00714430" w:rsidP="00B75453">
      <w:r>
        <w:t xml:space="preserve">In Study CV185057 </w:t>
      </w:r>
      <w:r w:rsidR="001B05E0">
        <w:t xml:space="preserve">neurological TEAEs were reported in 23 (3.0%) subjects in the </w:t>
      </w:r>
      <w:proofErr w:type="spellStart"/>
      <w:r w:rsidR="001B05E0">
        <w:t>apixaban</w:t>
      </w:r>
      <w:proofErr w:type="spellEnd"/>
      <w:r w:rsidR="001B05E0">
        <w:t xml:space="preserve"> 2.5 mg group, 21 (2.6%) in the </w:t>
      </w:r>
      <w:proofErr w:type="spellStart"/>
      <w:r w:rsidR="001B05E0">
        <w:t>apixaban</w:t>
      </w:r>
      <w:proofErr w:type="spellEnd"/>
      <w:r w:rsidR="001B05E0">
        <w:t xml:space="preserve"> 5 mg, and 26 (3.1%</w:t>
      </w:r>
      <w:r>
        <w:t>) in the placebo</w:t>
      </w:r>
      <w:r w:rsidR="001B05E0">
        <w:t>.</w:t>
      </w:r>
      <w:r w:rsidR="00127885">
        <w:t xml:space="preserve"> </w:t>
      </w:r>
      <w:r w:rsidR="001B05E0">
        <w:t>There was no increase in the risk of thrombotic events or thrombocytopen</w:t>
      </w:r>
      <w:r>
        <w:t xml:space="preserve">ia with </w:t>
      </w:r>
      <w:proofErr w:type="spellStart"/>
      <w:r>
        <w:t>apixaban</w:t>
      </w:r>
      <w:proofErr w:type="spellEnd"/>
      <w:r w:rsidR="001B05E0">
        <w:t>.</w:t>
      </w:r>
    </w:p>
    <w:p w:rsidR="00605AD4" w:rsidRDefault="00605AD4" w:rsidP="00605AD4">
      <w:pPr>
        <w:pStyle w:val="Heading4"/>
      </w:pPr>
      <w:r w:rsidRPr="00605AD4">
        <w:t>Post</w:t>
      </w:r>
      <w:r w:rsidR="00511CAF">
        <w:t>-</w:t>
      </w:r>
      <w:r w:rsidRPr="00605AD4">
        <w:t>marketing data</w:t>
      </w:r>
    </w:p>
    <w:p w:rsidR="001B05E0" w:rsidRDefault="001B05E0" w:rsidP="00714430">
      <w:pPr>
        <w:rPr>
          <w:szCs w:val="24"/>
        </w:rPr>
      </w:pPr>
      <w:r>
        <w:t>No post-marketing data were included in the submission.</w:t>
      </w:r>
    </w:p>
    <w:p w:rsidR="00605AD4" w:rsidRPr="00605AD4" w:rsidRDefault="00605AD4" w:rsidP="00605AD4">
      <w:pPr>
        <w:pStyle w:val="Heading4"/>
      </w:pPr>
      <w:r w:rsidRPr="00605AD4">
        <w:t>Evaluator’s conclusions on safety</w:t>
      </w:r>
    </w:p>
    <w:p w:rsidR="001B05E0" w:rsidRDefault="001B05E0" w:rsidP="00B75453">
      <w:pPr>
        <w:rPr>
          <w:szCs w:val="24"/>
        </w:rPr>
      </w:pPr>
      <w:proofErr w:type="spellStart"/>
      <w:r>
        <w:t>Apixaban</w:t>
      </w:r>
      <w:proofErr w:type="spellEnd"/>
      <w:r>
        <w:t xml:space="preserve"> has a similar adverse effects profile to </w:t>
      </w:r>
      <w:r w:rsidR="00045951">
        <w:t>enoxaparin/warfarin</w:t>
      </w:r>
      <w:r>
        <w:t xml:space="preserve"> but appears to have a decreased risk of bleeding related AEs with the dose regimen intended for the proposed new indications.</w:t>
      </w:r>
      <w:r w:rsidR="00127885">
        <w:t xml:space="preserve"> </w:t>
      </w:r>
      <w:r>
        <w:t xml:space="preserve">Overall in Study CV185056, TEAEs were reported in 1795 (67.1%) subjects in the </w:t>
      </w:r>
      <w:proofErr w:type="spellStart"/>
      <w:r>
        <w:t>apixaban</w:t>
      </w:r>
      <w:proofErr w:type="spellEnd"/>
      <w:r>
        <w:t xml:space="preserve"> group and 1923 (71.5%) in the enoxaparin/warfarin.</w:t>
      </w:r>
      <w:r w:rsidR="00127885">
        <w:t xml:space="preserve"> </w:t>
      </w:r>
      <w:r>
        <w:t xml:space="preserve">Death was reported in 37 (1.4%) subjects in the </w:t>
      </w:r>
      <w:proofErr w:type="spellStart"/>
      <w:r>
        <w:t>apixaban</w:t>
      </w:r>
      <w:proofErr w:type="spellEnd"/>
      <w:r>
        <w:t xml:space="preserve"> group and 44 (1.6%) in the enoxaparin/warfarin.</w:t>
      </w:r>
      <w:r w:rsidR="00127885">
        <w:t xml:space="preserve"> </w:t>
      </w:r>
      <w:r w:rsidR="00714430">
        <w:t>Serious AEs (</w:t>
      </w:r>
      <w:r>
        <w:t>SAEs</w:t>
      </w:r>
      <w:r w:rsidR="00714430">
        <w:t>)</w:t>
      </w:r>
      <w:r>
        <w:t xml:space="preserve"> were reported in 417 (15.6%) subjects in the </w:t>
      </w:r>
      <w:proofErr w:type="spellStart"/>
      <w:r>
        <w:t>apixaban</w:t>
      </w:r>
      <w:proofErr w:type="spellEnd"/>
      <w:r>
        <w:t xml:space="preserve"> group and 410 (15.2%) in the </w:t>
      </w:r>
      <w:r w:rsidR="00045951">
        <w:t>enoxaparin/warfarin</w:t>
      </w:r>
      <w:r>
        <w:t>.</w:t>
      </w:r>
    </w:p>
    <w:p w:rsidR="001B05E0" w:rsidRDefault="001B05E0" w:rsidP="00B75453">
      <w:r>
        <w:t xml:space="preserve">In comparison with placebo, when used for </w:t>
      </w:r>
      <w:r>
        <w:rPr>
          <w:rFonts w:eastAsia="TimesNewRoman"/>
        </w:rPr>
        <w:t>p</w:t>
      </w:r>
      <w:r>
        <w:t xml:space="preserve">revention of recurrent DVT and PE, </w:t>
      </w:r>
      <w:proofErr w:type="spellStart"/>
      <w:r>
        <w:t>apixaban</w:t>
      </w:r>
      <w:proofErr w:type="spellEnd"/>
      <w:r>
        <w:t xml:space="preserve"> had a similar overall rate of AEs in comparison with placebo but there were more bleeding related AEs with </w:t>
      </w:r>
      <w:proofErr w:type="spellStart"/>
      <w:r>
        <w:t>apixaban</w:t>
      </w:r>
      <w:proofErr w:type="spellEnd"/>
      <w:r>
        <w:t xml:space="preserve"> and more VTE with placebo.</w:t>
      </w:r>
      <w:r w:rsidR="00127885">
        <w:t xml:space="preserve"> </w:t>
      </w:r>
      <w:r>
        <w:t>In Study CV185057</w:t>
      </w:r>
      <w:r w:rsidR="00714430">
        <w:t>,</w:t>
      </w:r>
      <w:r>
        <w:t xml:space="preserve"> TEAEs were reported in 596 (71.0%) subjects in the </w:t>
      </w:r>
      <w:proofErr w:type="spellStart"/>
      <w:r>
        <w:t>apixaban</w:t>
      </w:r>
      <w:proofErr w:type="spellEnd"/>
      <w:r>
        <w:t xml:space="preserve"> 2.5 mg group, 542 (66.8%) in the </w:t>
      </w:r>
      <w:proofErr w:type="spellStart"/>
      <w:r>
        <w:t>apixaban</w:t>
      </w:r>
      <w:proofErr w:type="spellEnd"/>
      <w:r>
        <w:t xml:space="preserve"> 5 mg, and 606 (73.4%) in the placebo.</w:t>
      </w:r>
      <w:r w:rsidR="00127885">
        <w:t xml:space="preserve"> </w:t>
      </w:r>
      <w:r>
        <w:t xml:space="preserve">Death was reported for three (0.4%) subjects in the </w:t>
      </w:r>
      <w:proofErr w:type="spellStart"/>
      <w:r>
        <w:t>apixaban</w:t>
      </w:r>
      <w:proofErr w:type="spellEnd"/>
      <w:r>
        <w:t xml:space="preserve"> 2.5 mg group, four (0.5%) in the </w:t>
      </w:r>
      <w:proofErr w:type="spellStart"/>
      <w:r>
        <w:t>apixaban</w:t>
      </w:r>
      <w:proofErr w:type="spellEnd"/>
      <w:r>
        <w:t xml:space="preserve"> 5 mg, and ten (1.2%) in the placebo.</w:t>
      </w:r>
      <w:r w:rsidR="00127885">
        <w:t xml:space="preserve"> </w:t>
      </w:r>
      <w:r>
        <w:t xml:space="preserve">SAEs were reported in 112 (13.3%) subjects in the </w:t>
      </w:r>
      <w:proofErr w:type="spellStart"/>
      <w:r>
        <w:t>apixaban</w:t>
      </w:r>
      <w:proofErr w:type="spellEnd"/>
      <w:r>
        <w:t xml:space="preserve"> 2.5 mg group, 107 (13.2%) in the </w:t>
      </w:r>
      <w:proofErr w:type="spellStart"/>
      <w:r>
        <w:t>apixaban</w:t>
      </w:r>
      <w:proofErr w:type="spellEnd"/>
      <w:r>
        <w:t xml:space="preserve"> 5 mg, and 158 (19.1%) in the placebo.</w:t>
      </w:r>
      <w:r w:rsidR="00127885">
        <w:t xml:space="preserve"> </w:t>
      </w:r>
      <w:r>
        <w:t xml:space="preserve">DVT was reported as a SAE for </w:t>
      </w:r>
      <w:r>
        <w:rPr>
          <w:rFonts w:eastAsia="TimesNewRoman"/>
        </w:rPr>
        <w:t xml:space="preserve">three (0.4%) subjects in the </w:t>
      </w:r>
      <w:proofErr w:type="spellStart"/>
      <w:r>
        <w:rPr>
          <w:rFonts w:eastAsia="TimesNewRoman"/>
        </w:rPr>
        <w:t>apixaban</w:t>
      </w:r>
      <w:proofErr w:type="spellEnd"/>
      <w:r>
        <w:rPr>
          <w:rFonts w:eastAsia="TimesNewRoman"/>
        </w:rPr>
        <w:t xml:space="preserve"> 2.5 mg group, nine (1.1%) in the 5 mg and 40 (4.8%) in the placebo; and </w:t>
      </w:r>
      <w:r>
        <w:t xml:space="preserve">PE was reported as a SAE for </w:t>
      </w:r>
      <w:r>
        <w:rPr>
          <w:rFonts w:eastAsia="TimesNewRoman"/>
        </w:rPr>
        <w:t xml:space="preserve">five (0.6%) subjects in the </w:t>
      </w:r>
      <w:proofErr w:type="spellStart"/>
      <w:r>
        <w:rPr>
          <w:rFonts w:eastAsia="TimesNewRoman"/>
        </w:rPr>
        <w:t>apixaban</w:t>
      </w:r>
      <w:proofErr w:type="spellEnd"/>
      <w:r>
        <w:rPr>
          <w:rFonts w:eastAsia="TimesNewRoman"/>
        </w:rPr>
        <w:t xml:space="preserve"> 2.5 mg group, three (0.3%) in the 5 mg and 20 (2.4%) in the placebo.</w:t>
      </w:r>
    </w:p>
    <w:p w:rsidR="001B05E0" w:rsidRDefault="001B05E0" w:rsidP="00B75453">
      <w:pPr>
        <w:rPr>
          <w:rFonts w:eastAsia="TimesNewRoman"/>
        </w:rPr>
      </w:pPr>
      <w:r>
        <w:t xml:space="preserve">Bleeding related AEs occurred at a lesser frequency with </w:t>
      </w:r>
      <w:proofErr w:type="spellStart"/>
      <w:r>
        <w:t>apixaban</w:t>
      </w:r>
      <w:proofErr w:type="spellEnd"/>
      <w:r>
        <w:t xml:space="preserve">, using the dosing regimen intended for treatment of DVT and pulmonary embolism PE, in comparison with </w:t>
      </w:r>
      <w:r w:rsidR="00045951">
        <w:t>enoxaparin/warfarin</w:t>
      </w:r>
      <w:r>
        <w:t>.</w:t>
      </w:r>
      <w:r w:rsidR="00127885">
        <w:t xml:space="preserve"> </w:t>
      </w:r>
      <w:r>
        <w:t xml:space="preserve">In Study CV185056, bleeding AEs were reported in 415 (15.5%) subjects in the </w:t>
      </w:r>
      <w:proofErr w:type="spellStart"/>
      <w:r>
        <w:t>apixaban</w:t>
      </w:r>
      <w:proofErr w:type="spellEnd"/>
      <w:r>
        <w:t xml:space="preserve"> group and 695 (25.8%) in the enoxaparin/warfarin.</w:t>
      </w:r>
      <w:r w:rsidR="00127885">
        <w:t xml:space="preserve"> </w:t>
      </w:r>
      <w:r>
        <w:rPr>
          <w:rFonts w:eastAsia="TimesNewRoman"/>
        </w:rPr>
        <w:t xml:space="preserve">Superiority was achieved for </w:t>
      </w:r>
      <w:proofErr w:type="spellStart"/>
      <w:r>
        <w:rPr>
          <w:rFonts w:eastAsia="TimesNewRoman"/>
        </w:rPr>
        <w:t>apixaban</w:t>
      </w:r>
      <w:proofErr w:type="spellEnd"/>
      <w:r>
        <w:rPr>
          <w:rFonts w:eastAsia="TimesNewRoman"/>
        </w:rPr>
        <w:t xml:space="preserve"> over standard enoxaparin/warfarin treatment in adjudicated major bleeding: RR (95% CI) 0.3070 (0.1728 to 0.5452) p &lt;0.0001.</w:t>
      </w:r>
    </w:p>
    <w:p w:rsidR="001B05E0" w:rsidRDefault="001B05E0" w:rsidP="00B75453">
      <w:pPr>
        <w:rPr>
          <w:rFonts w:eastAsia="TimesNewRoman"/>
        </w:rPr>
      </w:pPr>
      <w:r>
        <w:rPr>
          <w:rFonts w:eastAsia="TimesNewRoman"/>
        </w:rPr>
        <w:t>There was clearly an increased risk of bleeding related AEs in comparison with placebo, but this risk was less than the increased risk of VTE in the placebo group.</w:t>
      </w:r>
    </w:p>
    <w:p w:rsidR="001B05E0" w:rsidRDefault="001B05E0" w:rsidP="00B75453">
      <w:pPr>
        <w:rPr>
          <w:rFonts w:eastAsia="Times New Roman"/>
        </w:rPr>
      </w:pPr>
      <w:r>
        <w:t xml:space="preserve">In the opinion of the </w:t>
      </w:r>
      <w:r w:rsidR="00714430">
        <w:t>clinical e</w:t>
      </w:r>
      <w:r>
        <w:t xml:space="preserve">valuator, the pattern of bleeding related adverse events is consistent with that observed with the currently approved indications for </w:t>
      </w:r>
      <w:proofErr w:type="spellStart"/>
      <w:r>
        <w:t>apixaban</w:t>
      </w:r>
      <w:proofErr w:type="spellEnd"/>
      <w:r>
        <w:t>.</w:t>
      </w:r>
    </w:p>
    <w:p w:rsidR="001B05E0" w:rsidRDefault="001B05E0" w:rsidP="00B75453">
      <w:r>
        <w:rPr>
          <w:rFonts w:eastAsia="TimesNewRoman"/>
        </w:rPr>
        <w:t xml:space="preserve">The </w:t>
      </w:r>
      <w:r w:rsidR="00714430">
        <w:rPr>
          <w:rFonts w:eastAsia="TimesNewRoman"/>
        </w:rPr>
        <w:t>s</w:t>
      </w:r>
      <w:r>
        <w:rPr>
          <w:rFonts w:eastAsia="TimesNewRoman"/>
        </w:rPr>
        <w:t>ponsor has stated in the PI that no dose adjustment is required in the elderly.</w:t>
      </w:r>
      <w:r w:rsidR="00127885">
        <w:rPr>
          <w:rFonts w:eastAsia="TimesNewRoman"/>
        </w:rPr>
        <w:t xml:space="preserve"> </w:t>
      </w:r>
      <w:r>
        <w:rPr>
          <w:rFonts w:eastAsia="TimesNewRoman"/>
        </w:rPr>
        <w:t>This statement is supported by the data.</w:t>
      </w:r>
    </w:p>
    <w:p w:rsidR="00605AD4" w:rsidRPr="00605AD4" w:rsidRDefault="007F3460" w:rsidP="00605AD4">
      <w:pPr>
        <w:pStyle w:val="Heading3"/>
        <w:rPr>
          <w:rFonts w:eastAsia="Cambria"/>
        </w:rPr>
      </w:pPr>
      <w:bookmarkStart w:id="118" w:name="_Toc436386770"/>
      <w:r>
        <w:rPr>
          <w:rFonts w:eastAsia="Cambria"/>
        </w:rPr>
        <w:lastRenderedPageBreak/>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118"/>
    </w:p>
    <w:p w:rsidR="001B05E0" w:rsidRDefault="001B05E0" w:rsidP="00714430">
      <w:pPr>
        <w:pStyle w:val="Heading4"/>
      </w:pPr>
      <w:bookmarkStart w:id="119" w:name="_Toc407734513"/>
      <w:bookmarkStart w:id="120" w:name="_Toc290846331"/>
      <w:bookmarkStart w:id="121" w:name="_Toc272414693"/>
      <w:bookmarkStart w:id="122" w:name="_Ref272160836"/>
      <w:bookmarkStart w:id="123" w:name="_Toc241374331"/>
      <w:bookmarkStart w:id="124" w:name="_Toc236802592"/>
      <w:r>
        <w:t>First round assessment of benefits</w:t>
      </w:r>
      <w:bookmarkEnd w:id="119"/>
      <w:bookmarkEnd w:id="120"/>
      <w:bookmarkEnd w:id="121"/>
      <w:bookmarkEnd w:id="122"/>
      <w:bookmarkEnd w:id="123"/>
      <w:bookmarkEnd w:id="124"/>
    </w:p>
    <w:p w:rsidR="001B05E0" w:rsidRDefault="001B05E0" w:rsidP="00714430">
      <w:pPr>
        <w:pStyle w:val="Heading5"/>
      </w:pPr>
      <w:bookmarkStart w:id="125" w:name="_Toc407734514"/>
      <w:r>
        <w:t>Benefits for treatment DVT and PE</w:t>
      </w:r>
      <w:bookmarkEnd w:id="125"/>
    </w:p>
    <w:p w:rsidR="001B05E0" w:rsidRDefault="001B05E0" w:rsidP="00714430">
      <w:pPr>
        <w:rPr>
          <w:szCs w:val="24"/>
        </w:rPr>
      </w:pPr>
      <w:r>
        <w:t xml:space="preserve">Non-inferiority was demonstrated for </w:t>
      </w:r>
      <w:proofErr w:type="spellStart"/>
      <w:r>
        <w:t>apixaban</w:t>
      </w:r>
      <w:proofErr w:type="spellEnd"/>
      <w:r>
        <w:t xml:space="preserve"> in comparison with conventional treatment according to the predefined criteria.</w:t>
      </w:r>
      <w:r w:rsidR="00127885">
        <w:t xml:space="preserve"> </w:t>
      </w:r>
      <w:r>
        <w:t>There were 59 events (</w:t>
      </w:r>
      <w:r>
        <w:rPr>
          <w:rFonts w:eastAsia="TimesNewRoman"/>
        </w:rPr>
        <w:t xml:space="preserve">symptomatic, recurrent VTE [nonfatal DVT or nonfatal PE] or VTE-related death) </w:t>
      </w:r>
      <w:r>
        <w:t xml:space="preserve">in the </w:t>
      </w:r>
      <w:proofErr w:type="spellStart"/>
      <w:r>
        <w:t>apixaban</w:t>
      </w:r>
      <w:proofErr w:type="spellEnd"/>
      <w:r>
        <w:t xml:space="preserve"> population and 71 in the </w:t>
      </w:r>
      <w:r w:rsidR="00045951">
        <w:t>enoxaparin/warfarin</w:t>
      </w:r>
      <w:r>
        <w:t>.</w:t>
      </w:r>
      <w:r w:rsidR="00127885">
        <w:t xml:space="preserve"> </w:t>
      </w:r>
      <w:r>
        <w:t>The RR (95% CI) for the primary efficacy outcome measure in the per-protocol population was 0.6611 (0.4243 to 1.0301) with the upper 95% CI being &lt;1.8 (the criterion for non-inferiority).</w:t>
      </w:r>
      <w:r w:rsidR="00127885">
        <w:t xml:space="preserve"> </w:t>
      </w:r>
      <w:r>
        <w:t>In the primary efficacy population the RR (95% CI) was 0.8390 (0.2965 to 1.1802), and the risk difference (95% CI) was -0.0044 (-0.0128 to 0.0040).</w:t>
      </w:r>
      <w:r w:rsidR="00127885">
        <w:t xml:space="preserve"> </w:t>
      </w:r>
      <w:r>
        <w:t xml:space="preserve">The secondary outcome measures were also supportive for similar efficacy of </w:t>
      </w:r>
      <w:proofErr w:type="spellStart"/>
      <w:r>
        <w:t>apixaban</w:t>
      </w:r>
      <w:proofErr w:type="spellEnd"/>
      <w:r>
        <w:t xml:space="preserve"> and conventional treatment.</w:t>
      </w:r>
    </w:p>
    <w:p w:rsidR="001B05E0" w:rsidRDefault="001B05E0" w:rsidP="00714430">
      <w:pPr>
        <w:pStyle w:val="Heading5"/>
        <w:rPr>
          <w:sz w:val="24"/>
        </w:rPr>
      </w:pPr>
      <w:bookmarkStart w:id="126" w:name="_Toc407734515"/>
      <w:r>
        <w:t xml:space="preserve">Benefits for </w:t>
      </w:r>
      <w:r>
        <w:rPr>
          <w:rFonts w:eastAsia="TimesNewRoman"/>
        </w:rPr>
        <w:t>p</w:t>
      </w:r>
      <w:r>
        <w:t>revention of recurrent DVT and PE</w:t>
      </w:r>
      <w:bookmarkEnd w:id="126"/>
    </w:p>
    <w:p w:rsidR="001B05E0" w:rsidRDefault="001B05E0" w:rsidP="00714430">
      <w:pPr>
        <w:rPr>
          <w:szCs w:val="24"/>
        </w:rPr>
      </w:pPr>
      <w:r>
        <w:t xml:space="preserve">Both </w:t>
      </w:r>
      <w:proofErr w:type="spellStart"/>
      <w:r>
        <w:t>apixaban</w:t>
      </w:r>
      <w:proofErr w:type="spellEnd"/>
      <w:r>
        <w:t xml:space="preserve"> treatment regimens were superior to placebo with no apparent difference in efficacy between the </w:t>
      </w:r>
      <w:proofErr w:type="spellStart"/>
      <w:r>
        <w:t>apixaban</w:t>
      </w:r>
      <w:proofErr w:type="spellEnd"/>
      <w:r>
        <w:t xml:space="preserve"> doses.</w:t>
      </w:r>
      <w:r w:rsidR="00127885">
        <w:t xml:space="preserve"> </w:t>
      </w:r>
      <w:r>
        <w:t>There were 19 events (</w:t>
      </w:r>
      <w:r>
        <w:rPr>
          <w:rFonts w:eastAsia="TimesNewRoman"/>
          <w:lang w:val="en-US"/>
        </w:rPr>
        <w:t>symptomatic, recurrent VTE [nonfatal DVT or nonfatal PE] or all-cause death)</w:t>
      </w:r>
      <w:r>
        <w:rPr>
          <w:lang w:val="en-US"/>
        </w:rPr>
        <w:t xml:space="preserve"> </w:t>
      </w:r>
      <w:r>
        <w:t xml:space="preserve">in the </w:t>
      </w:r>
      <w:proofErr w:type="spellStart"/>
      <w:r>
        <w:t>apixaban</w:t>
      </w:r>
      <w:proofErr w:type="spellEnd"/>
      <w:r>
        <w:t xml:space="preserve"> 2.5 mg group, 14 in the 5 mg and 77 in the placebo.</w:t>
      </w:r>
      <w:r w:rsidR="00127885">
        <w:t xml:space="preserve"> </w:t>
      </w:r>
      <w:r>
        <w:t xml:space="preserve">In addition, there were 13 imputed events in the </w:t>
      </w:r>
      <w:proofErr w:type="spellStart"/>
      <w:r>
        <w:t>apixaban</w:t>
      </w:r>
      <w:proofErr w:type="spellEnd"/>
      <w:r>
        <w:t xml:space="preserve"> 2.5 mg group, 20 in the 5 mg and 19 in the placebo.</w:t>
      </w:r>
      <w:r w:rsidR="00127885">
        <w:t xml:space="preserve"> </w:t>
      </w:r>
      <w:r>
        <w:t xml:space="preserve">The RR (95% CI) compared to placebo for </w:t>
      </w:r>
      <w:proofErr w:type="spellStart"/>
      <w:r>
        <w:t>apixaban</w:t>
      </w:r>
      <w:proofErr w:type="spellEnd"/>
      <w:r>
        <w:t xml:space="preserve"> 2.5 mg was 0.3283 (0.2225 to 0.4844) and for </w:t>
      </w:r>
      <w:proofErr w:type="spellStart"/>
      <w:r>
        <w:t>apixaban</w:t>
      </w:r>
      <w:proofErr w:type="spellEnd"/>
      <w:r>
        <w:t xml:space="preserve"> 5 mg was 0.3615 (0.2475 to 0.5281).</w:t>
      </w:r>
      <w:r w:rsidR="00127885">
        <w:t xml:space="preserve"> </w:t>
      </w:r>
      <w:r>
        <w:t>The Risk difference (95% CI) compared to placebo was -0.0779 (</w:t>
      </w:r>
      <w:r w:rsidR="00714430">
        <w:noBreakHyphen/>
      </w:r>
      <w:r>
        <w:t xml:space="preserve">0.1032 to -0.0526) for </w:t>
      </w:r>
      <w:proofErr w:type="spellStart"/>
      <w:r>
        <w:t>apixaban</w:t>
      </w:r>
      <w:proofErr w:type="spellEnd"/>
      <w:r>
        <w:t xml:space="preserve"> 2.5 mg and -0.0740 (-0.0997 to -0.0482) for </w:t>
      </w:r>
      <w:proofErr w:type="spellStart"/>
      <w:r>
        <w:t>apixaban</w:t>
      </w:r>
      <w:proofErr w:type="spellEnd"/>
      <w:r>
        <w:t xml:space="preserve"> 5 mg.</w:t>
      </w:r>
      <w:r w:rsidR="00127885">
        <w:t xml:space="preserve"> </w:t>
      </w:r>
      <w:r>
        <w:t>All these hypothesis tests were significant to p &lt;0.0001.</w:t>
      </w:r>
      <w:r w:rsidR="00127885">
        <w:t xml:space="preserve"> </w:t>
      </w:r>
      <w:r>
        <w:t>The secondary efficacy outcome measures were also supportive of superiority.</w:t>
      </w:r>
    </w:p>
    <w:p w:rsidR="001B05E0" w:rsidRDefault="001B05E0" w:rsidP="00714430">
      <w:pPr>
        <w:rPr>
          <w:rFonts w:eastAsia="TimesNewRoman"/>
        </w:rPr>
      </w:pPr>
      <w:r>
        <w:rPr>
          <w:rFonts w:eastAsia="TimesNewRoman"/>
        </w:rPr>
        <w:t xml:space="preserve">The </w:t>
      </w:r>
      <w:r w:rsidR="00714430">
        <w:rPr>
          <w:rFonts w:eastAsia="TimesNewRoman"/>
        </w:rPr>
        <w:t>s</w:t>
      </w:r>
      <w:r>
        <w:rPr>
          <w:rFonts w:eastAsia="TimesNewRoman"/>
        </w:rPr>
        <w:t>ponsor has chosen the lower dose regimen to be recommended in clinical practice.</w:t>
      </w:r>
      <w:r w:rsidR="00127885">
        <w:rPr>
          <w:rFonts w:eastAsia="TimesNewRoman"/>
        </w:rPr>
        <w:t xml:space="preserve"> </w:t>
      </w:r>
      <w:r>
        <w:rPr>
          <w:rFonts w:eastAsia="TimesNewRoman"/>
        </w:rPr>
        <w:t xml:space="preserve">In the opinion of the </w:t>
      </w:r>
      <w:r w:rsidR="00714430">
        <w:rPr>
          <w:rFonts w:eastAsia="TimesNewRoman"/>
        </w:rPr>
        <w:t>clinical e</w:t>
      </w:r>
      <w:r>
        <w:rPr>
          <w:rFonts w:eastAsia="TimesNewRoman"/>
        </w:rPr>
        <w:t xml:space="preserve">valuator this is appropriate as it minimises exposure to </w:t>
      </w:r>
      <w:proofErr w:type="spellStart"/>
      <w:r>
        <w:rPr>
          <w:rFonts w:eastAsia="TimesNewRoman"/>
        </w:rPr>
        <w:t>apixaban</w:t>
      </w:r>
      <w:proofErr w:type="spellEnd"/>
      <w:r>
        <w:rPr>
          <w:rFonts w:eastAsia="TimesNewRoman"/>
        </w:rPr>
        <w:t xml:space="preserve"> without compromising efficacy.</w:t>
      </w:r>
    </w:p>
    <w:p w:rsidR="001B05E0" w:rsidRDefault="001B05E0" w:rsidP="00714430">
      <w:pPr>
        <w:pStyle w:val="Heading4"/>
        <w:rPr>
          <w:sz w:val="24"/>
        </w:rPr>
      </w:pPr>
      <w:bookmarkStart w:id="127" w:name="_Toc407734516"/>
      <w:bookmarkStart w:id="128" w:name="_Toc290846332"/>
      <w:bookmarkStart w:id="129" w:name="_Toc272414694"/>
      <w:bookmarkStart w:id="130" w:name="_Ref272160964"/>
      <w:bookmarkStart w:id="131" w:name="_Toc241374334"/>
      <w:bookmarkStart w:id="132" w:name="_Toc236802596"/>
      <w:r>
        <w:t>First round assessment of risks</w:t>
      </w:r>
      <w:bookmarkEnd w:id="127"/>
      <w:bookmarkEnd w:id="128"/>
      <w:bookmarkEnd w:id="129"/>
      <w:bookmarkEnd w:id="130"/>
      <w:bookmarkEnd w:id="131"/>
      <w:bookmarkEnd w:id="132"/>
    </w:p>
    <w:p w:rsidR="001B05E0" w:rsidRDefault="001B05E0" w:rsidP="00714430">
      <w:pPr>
        <w:rPr>
          <w:szCs w:val="24"/>
        </w:rPr>
      </w:pPr>
      <w:r>
        <w:t xml:space="preserve">When used for the treatment of DVT and PE </w:t>
      </w:r>
      <w:proofErr w:type="spellStart"/>
      <w:r>
        <w:t>apixaban</w:t>
      </w:r>
      <w:proofErr w:type="spellEnd"/>
      <w:r>
        <w:t xml:space="preserve"> has a similar adverse effects profile to enoxaparin/warfarin but appears to have a decreased risk of bleeding related AEs with the dose regimen intended for the proposed new indications.</w:t>
      </w:r>
      <w:r w:rsidR="00127885">
        <w:t xml:space="preserve"> </w:t>
      </w:r>
      <w:r>
        <w:t>Overall,</w:t>
      </w:r>
      <w:r w:rsidR="00714430">
        <w:t xml:space="preserve"> in Study CV185056</w:t>
      </w:r>
      <w:r>
        <w:t xml:space="preserve">, TEAEs were reported in 1795 (67.1%) subjects in the </w:t>
      </w:r>
      <w:proofErr w:type="spellStart"/>
      <w:r>
        <w:t>apixaban</w:t>
      </w:r>
      <w:proofErr w:type="spellEnd"/>
      <w:r>
        <w:t xml:space="preserve"> group and 1923 (71.5%) in the enoxaparin/warfarin.</w:t>
      </w:r>
      <w:r w:rsidR="00127885">
        <w:t xml:space="preserve"> </w:t>
      </w:r>
      <w:r>
        <w:t xml:space="preserve">Death was reported in 37 (1.4%) subjects in the </w:t>
      </w:r>
      <w:proofErr w:type="spellStart"/>
      <w:r>
        <w:t>apixaban</w:t>
      </w:r>
      <w:proofErr w:type="spellEnd"/>
      <w:r>
        <w:t xml:space="preserve"> group and 44 (1.6%) in the </w:t>
      </w:r>
      <w:r w:rsidR="00045951">
        <w:t>enoxaparin/warfarin</w:t>
      </w:r>
      <w:r>
        <w:t>.</w:t>
      </w:r>
      <w:r w:rsidR="00127885">
        <w:t xml:space="preserve"> </w:t>
      </w:r>
      <w:r>
        <w:t xml:space="preserve">SAEs were reported in 417 (15.6%) subjects in the </w:t>
      </w:r>
      <w:proofErr w:type="spellStart"/>
      <w:r>
        <w:t>apixaban</w:t>
      </w:r>
      <w:proofErr w:type="spellEnd"/>
      <w:r>
        <w:t xml:space="preserve"> group and 410 (15.2%) in the </w:t>
      </w:r>
      <w:r w:rsidR="00045951">
        <w:t>enoxaparin/warfarin</w:t>
      </w:r>
      <w:r>
        <w:t>.</w:t>
      </w:r>
    </w:p>
    <w:p w:rsidR="001B05E0" w:rsidRDefault="001B05E0" w:rsidP="00714430">
      <w:r>
        <w:t xml:space="preserve">In comparison with placebo, when used for </w:t>
      </w:r>
      <w:r>
        <w:rPr>
          <w:rFonts w:eastAsia="TimesNewRoman"/>
        </w:rPr>
        <w:t>p</w:t>
      </w:r>
      <w:r>
        <w:t xml:space="preserve">revention of recurrent DVT and PE, </w:t>
      </w:r>
      <w:proofErr w:type="spellStart"/>
      <w:r>
        <w:t>apixaban</w:t>
      </w:r>
      <w:proofErr w:type="spellEnd"/>
      <w:r>
        <w:t xml:space="preserve"> had a similar overall rate of AEs in comparison with placebo but there were more bleeding related AEs with </w:t>
      </w:r>
      <w:proofErr w:type="spellStart"/>
      <w:r>
        <w:t>apixaban</w:t>
      </w:r>
      <w:proofErr w:type="spellEnd"/>
      <w:r>
        <w:t xml:space="preserve"> and more VTE with placebo.</w:t>
      </w:r>
      <w:r w:rsidR="00127885">
        <w:t xml:space="preserve"> </w:t>
      </w:r>
      <w:r>
        <w:t>In Study CV185057</w:t>
      </w:r>
      <w:r w:rsidR="00714430">
        <w:t>,</w:t>
      </w:r>
      <w:r>
        <w:t xml:space="preserve"> TEAEs were reported in 596 (71.0%) subjects in the </w:t>
      </w:r>
      <w:proofErr w:type="spellStart"/>
      <w:r>
        <w:t>apixaban</w:t>
      </w:r>
      <w:proofErr w:type="spellEnd"/>
      <w:r>
        <w:t xml:space="preserve"> 2.5 mg group, 542 (66.8%) in the </w:t>
      </w:r>
      <w:proofErr w:type="spellStart"/>
      <w:r>
        <w:t>apixaban</w:t>
      </w:r>
      <w:proofErr w:type="spellEnd"/>
      <w:r>
        <w:t xml:space="preserve"> 5 mg, and 606 (73.4%) in the placebo.</w:t>
      </w:r>
      <w:r w:rsidR="00127885">
        <w:t xml:space="preserve"> </w:t>
      </w:r>
      <w:r>
        <w:t xml:space="preserve">Death was reported for three (0.4%) subjects in the </w:t>
      </w:r>
      <w:proofErr w:type="spellStart"/>
      <w:r>
        <w:t>apixaban</w:t>
      </w:r>
      <w:proofErr w:type="spellEnd"/>
      <w:r>
        <w:t xml:space="preserve"> 2.5 mg group, four (0.5%) in the </w:t>
      </w:r>
      <w:proofErr w:type="spellStart"/>
      <w:r>
        <w:t>apixaban</w:t>
      </w:r>
      <w:proofErr w:type="spellEnd"/>
      <w:r>
        <w:t xml:space="preserve"> 5 mg, and ten (1.2%) in the placebo.</w:t>
      </w:r>
      <w:r w:rsidR="00127885">
        <w:t xml:space="preserve"> </w:t>
      </w:r>
      <w:r>
        <w:t xml:space="preserve">SAEs were reported in 112 (13.3%) subjects in the </w:t>
      </w:r>
      <w:proofErr w:type="spellStart"/>
      <w:r>
        <w:t>apixaban</w:t>
      </w:r>
      <w:proofErr w:type="spellEnd"/>
      <w:r>
        <w:t xml:space="preserve"> 2.5 mg group, 107 (13.2%) in the </w:t>
      </w:r>
      <w:proofErr w:type="spellStart"/>
      <w:r>
        <w:t>apixaban</w:t>
      </w:r>
      <w:proofErr w:type="spellEnd"/>
      <w:r>
        <w:t xml:space="preserve"> 5 mg, and 158 (19.1%) in the placebo.</w:t>
      </w:r>
      <w:r w:rsidR="00127885">
        <w:t xml:space="preserve"> </w:t>
      </w:r>
      <w:r>
        <w:t xml:space="preserve">DVT was reported as a SAE for </w:t>
      </w:r>
      <w:r>
        <w:rPr>
          <w:rFonts w:eastAsia="TimesNewRoman"/>
        </w:rPr>
        <w:t xml:space="preserve">three (0.4%) subjects in the </w:t>
      </w:r>
      <w:proofErr w:type="spellStart"/>
      <w:r>
        <w:rPr>
          <w:rFonts w:eastAsia="TimesNewRoman"/>
        </w:rPr>
        <w:t>apixaban</w:t>
      </w:r>
      <w:proofErr w:type="spellEnd"/>
      <w:r>
        <w:rPr>
          <w:rFonts w:eastAsia="TimesNewRoman"/>
        </w:rPr>
        <w:t xml:space="preserve"> 2.5 mg group, nine (1.1%) in the 5 mg and 40 (4.8%) in the placebo; and </w:t>
      </w:r>
      <w:r>
        <w:t xml:space="preserve">PE was reported as a SAE for </w:t>
      </w:r>
      <w:r>
        <w:rPr>
          <w:rFonts w:eastAsia="TimesNewRoman"/>
        </w:rPr>
        <w:t xml:space="preserve">five (0.6%) subjects in the </w:t>
      </w:r>
      <w:proofErr w:type="spellStart"/>
      <w:r>
        <w:rPr>
          <w:rFonts w:eastAsia="TimesNewRoman"/>
        </w:rPr>
        <w:t>apixaban</w:t>
      </w:r>
      <w:proofErr w:type="spellEnd"/>
      <w:r>
        <w:rPr>
          <w:rFonts w:eastAsia="TimesNewRoman"/>
        </w:rPr>
        <w:t xml:space="preserve"> 2.5 mg group, three (0.3%) in the 5 mg and 20 (2.4%) in the placebo.</w:t>
      </w:r>
    </w:p>
    <w:p w:rsidR="001B05E0" w:rsidRDefault="001B05E0" w:rsidP="00714430">
      <w:r>
        <w:t xml:space="preserve">The previously identified risks with </w:t>
      </w:r>
      <w:proofErr w:type="spellStart"/>
      <w:r>
        <w:t>apixaban</w:t>
      </w:r>
      <w:proofErr w:type="spellEnd"/>
      <w:r>
        <w:t xml:space="preserve"> are bleeding related AEs and potentially hepatic AEs.</w:t>
      </w:r>
      <w:r w:rsidR="00127885">
        <w:t xml:space="preserve"> </w:t>
      </w:r>
      <w:r>
        <w:t>Other than these risks, the profile of AEs indicated by the PI and from Study CV185057 is similar to that of placebo</w:t>
      </w:r>
      <w:r>
        <w:rPr>
          <w:rFonts w:eastAsia="TimesNewRoman"/>
        </w:rPr>
        <w:t>.</w:t>
      </w:r>
      <w:r w:rsidR="00127885">
        <w:rPr>
          <w:rFonts w:eastAsia="TimesNewRoman"/>
        </w:rPr>
        <w:t xml:space="preserve"> </w:t>
      </w:r>
      <w:r>
        <w:t>With regard the proposed new indications:</w:t>
      </w:r>
    </w:p>
    <w:p w:rsidR="001B05E0" w:rsidRDefault="001B05E0" w:rsidP="00714430">
      <w:pPr>
        <w:pStyle w:val="ListBullet"/>
        <w:rPr>
          <w:rFonts w:eastAsia="TimesNewRoman"/>
        </w:rPr>
      </w:pPr>
      <w:r>
        <w:lastRenderedPageBreak/>
        <w:t xml:space="preserve">Bleeding related AEs occurred at a lesser frequency with </w:t>
      </w:r>
      <w:proofErr w:type="spellStart"/>
      <w:r>
        <w:t>apixaban</w:t>
      </w:r>
      <w:proofErr w:type="spellEnd"/>
      <w:r>
        <w:t xml:space="preserve">, using the dosing regimen intended for treatment of DVT and pulmonary embolism PE, in comparison with </w:t>
      </w:r>
      <w:r w:rsidR="00045951">
        <w:t>enoxaparin/warfarin</w:t>
      </w:r>
      <w:r>
        <w:t>.</w:t>
      </w:r>
      <w:r w:rsidR="00127885">
        <w:t xml:space="preserve"> </w:t>
      </w:r>
      <w:r>
        <w:t>In Study CV185056</w:t>
      </w:r>
      <w:r w:rsidR="00714430">
        <w:t>,</w:t>
      </w:r>
      <w:r>
        <w:t xml:space="preserve"> bleeding AEs were reported in 415 (15.5%) subjects in the </w:t>
      </w:r>
      <w:proofErr w:type="spellStart"/>
      <w:r>
        <w:t>apixaban</w:t>
      </w:r>
      <w:proofErr w:type="spellEnd"/>
      <w:r>
        <w:t xml:space="preserve"> group and 695 (25.8%) in the enoxaparin/warfarin.</w:t>
      </w:r>
      <w:r w:rsidR="00127885">
        <w:t xml:space="preserve"> </w:t>
      </w:r>
      <w:r>
        <w:rPr>
          <w:rFonts w:eastAsia="TimesNewRoman"/>
        </w:rPr>
        <w:t xml:space="preserve">Superiority was achieved for </w:t>
      </w:r>
      <w:proofErr w:type="spellStart"/>
      <w:r>
        <w:rPr>
          <w:rFonts w:eastAsia="TimesNewRoman"/>
        </w:rPr>
        <w:t>apixaban</w:t>
      </w:r>
      <w:proofErr w:type="spellEnd"/>
      <w:r>
        <w:rPr>
          <w:rFonts w:eastAsia="TimesNewRoman"/>
        </w:rPr>
        <w:t xml:space="preserve"> over standard </w:t>
      </w:r>
      <w:r w:rsidR="00045951">
        <w:rPr>
          <w:rFonts w:eastAsia="TimesNewRoman"/>
        </w:rPr>
        <w:t>enoxaparin/warfarin</w:t>
      </w:r>
      <w:r>
        <w:rPr>
          <w:rFonts w:eastAsia="TimesNewRoman"/>
        </w:rPr>
        <w:t xml:space="preserve"> treatment in adjudicated major bleeding: RR (95% CI) 0.3070 (0.1728 to 0.5452) p &lt;0.0001.</w:t>
      </w:r>
    </w:p>
    <w:p w:rsidR="001B05E0" w:rsidRDefault="001B05E0" w:rsidP="00714430">
      <w:pPr>
        <w:pStyle w:val="ListBullet"/>
        <w:rPr>
          <w:rFonts w:eastAsia="Times New Roman"/>
        </w:rPr>
      </w:pPr>
      <w:r>
        <w:rPr>
          <w:rFonts w:eastAsia="TimesNewRoman"/>
        </w:rPr>
        <w:t>When used for the prevention of recurrent DVT and PE, there was clearly an increased risk of bleeding related AEs in comparison with placebo but this risk was less than the increased risk of VTE in the placebo group.</w:t>
      </w:r>
    </w:p>
    <w:p w:rsidR="001B05E0" w:rsidRDefault="001B05E0" w:rsidP="00714430">
      <w:r>
        <w:t>The risks of intracranial, gastrointestinal and intraocular bleeds appear to be similar to that identified in the RMP.</w:t>
      </w:r>
    </w:p>
    <w:p w:rsidR="001B05E0" w:rsidRDefault="001B05E0" w:rsidP="00714430">
      <w:r>
        <w:t>Elevation of liver enzymes and hepatic AEs appear to occur at a lesser rate than for warfarin.</w:t>
      </w:r>
      <w:r w:rsidR="00127885">
        <w:t xml:space="preserve"> </w:t>
      </w:r>
      <w:r>
        <w:t xml:space="preserve">However, it is not clear whether these AEs are more common with </w:t>
      </w:r>
      <w:proofErr w:type="spellStart"/>
      <w:r>
        <w:t>apixaban</w:t>
      </w:r>
      <w:proofErr w:type="spellEnd"/>
      <w:r>
        <w:t xml:space="preserve"> than with placebo.</w:t>
      </w:r>
      <w:r w:rsidR="00127885">
        <w:t xml:space="preserve"> </w:t>
      </w:r>
      <w:r>
        <w:t xml:space="preserve">In the opinion of the </w:t>
      </w:r>
      <w:r w:rsidR="00714430">
        <w:t>clinical e</w:t>
      </w:r>
      <w:r>
        <w:t xml:space="preserve">valuator, it is appropriate that liver injury should remain an Important Potential Risk in the </w:t>
      </w:r>
      <w:r w:rsidR="00714430">
        <w:t>Risk Management Plan (</w:t>
      </w:r>
      <w:r>
        <w:t>RMP</w:t>
      </w:r>
      <w:r w:rsidR="00714430">
        <w:t>)</w:t>
      </w:r>
      <w:r>
        <w:t>.</w:t>
      </w:r>
    </w:p>
    <w:p w:rsidR="001B05E0" w:rsidRDefault="001B05E0" w:rsidP="00714430">
      <w:r>
        <w:t>Although not identified in the clinical data, issues that may arise in clinical practice include lack of practical laboratory methods for monitoring effect, lack of an antidote to reverse effect in an emergency, lack of guidelines for switching to alternative treatments, and the potential for decreased adherence to a twice daily dosing regimen compared to a once daily regimen.</w:t>
      </w:r>
    </w:p>
    <w:p w:rsidR="001B05E0" w:rsidRDefault="001B05E0" w:rsidP="00714430">
      <w:pPr>
        <w:pStyle w:val="Heading4"/>
        <w:rPr>
          <w:sz w:val="24"/>
        </w:rPr>
      </w:pPr>
      <w:bookmarkStart w:id="133" w:name="_Toc407734517"/>
      <w:bookmarkStart w:id="134" w:name="_Toc290846333"/>
      <w:bookmarkStart w:id="135" w:name="_Toc272414695"/>
      <w:bookmarkStart w:id="136" w:name="_Toc241374335"/>
      <w:bookmarkStart w:id="137" w:name="_Toc236802597"/>
      <w:r>
        <w:t>First round assessment of benefit-risk balance</w:t>
      </w:r>
      <w:bookmarkEnd w:id="133"/>
      <w:bookmarkEnd w:id="134"/>
      <w:bookmarkEnd w:id="135"/>
      <w:bookmarkEnd w:id="136"/>
      <w:bookmarkEnd w:id="137"/>
    </w:p>
    <w:p w:rsidR="001B05E0" w:rsidRDefault="001B05E0" w:rsidP="00714430">
      <w:pPr>
        <w:rPr>
          <w:szCs w:val="24"/>
        </w:rPr>
      </w:pPr>
      <w:r>
        <w:t xml:space="preserve">The benefit-risk balance of </w:t>
      </w:r>
      <w:proofErr w:type="spellStart"/>
      <w:r w:rsidR="00657A92">
        <w:rPr>
          <w:bCs/>
          <w:lang w:val="en-US"/>
        </w:rPr>
        <w:t>Eliquis</w:t>
      </w:r>
      <w:proofErr w:type="spellEnd"/>
      <w:r>
        <w:t xml:space="preserve"> (</w:t>
      </w:r>
      <w:proofErr w:type="spellStart"/>
      <w:r>
        <w:t>apixaban</w:t>
      </w:r>
      <w:proofErr w:type="spellEnd"/>
      <w:r>
        <w:t>), given the proposed usage, is favourable.</w:t>
      </w:r>
      <w:r w:rsidR="00127885">
        <w:t xml:space="preserve"> </w:t>
      </w:r>
      <w:r>
        <w:t xml:space="preserve">For the treatment of DVT and PE, </w:t>
      </w:r>
      <w:proofErr w:type="spellStart"/>
      <w:r>
        <w:t>apixaban</w:t>
      </w:r>
      <w:proofErr w:type="spellEnd"/>
      <w:r>
        <w:t xml:space="preserve"> has similar efficacy to enoxaparin/warfarin but a lower risk of bleeding related AEs.</w:t>
      </w:r>
      <w:r w:rsidR="00127885">
        <w:t xml:space="preserve"> </w:t>
      </w:r>
      <w:r>
        <w:t xml:space="preserve">For the prevention of recurrent DVT and PE, the reduction in DVT, PE and all-cause death with </w:t>
      </w:r>
      <w:proofErr w:type="spellStart"/>
      <w:r>
        <w:t>apixaban</w:t>
      </w:r>
      <w:proofErr w:type="spellEnd"/>
      <w:r>
        <w:t xml:space="preserve"> more than compensates for the increased risk of bleeding related AEs.</w:t>
      </w:r>
      <w:r w:rsidR="00127885">
        <w:t xml:space="preserve"> </w:t>
      </w:r>
      <w:r>
        <w:t xml:space="preserve">The </w:t>
      </w:r>
      <w:r>
        <w:rPr>
          <w:rFonts w:eastAsia="MS Mincho"/>
        </w:rPr>
        <w:t>extended treatment of recurrent VTE is justified by the reduction in risk of DVT and PE in the treated population.</w:t>
      </w:r>
    </w:p>
    <w:p w:rsidR="00605AD4" w:rsidRPr="00B5554A" w:rsidRDefault="007F3460" w:rsidP="00B5554A">
      <w:pPr>
        <w:pStyle w:val="Heading4"/>
      </w:pPr>
      <w:r>
        <w:t>First r</w:t>
      </w:r>
      <w:r w:rsidR="00605AD4" w:rsidRPr="00605AD4">
        <w:t xml:space="preserve">ound </w:t>
      </w:r>
      <w:r>
        <w:t>r</w:t>
      </w:r>
      <w:r w:rsidR="00605AD4" w:rsidRPr="00605AD4">
        <w:t xml:space="preserve">ecommendation </w:t>
      </w:r>
      <w:r>
        <w:t>r</w:t>
      </w:r>
      <w:r w:rsidR="00605AD4" w:rsidRPr="00605AD4">
        <w:t xml:space="preserve">egarding </w:t>
      </w:r>
      <w:r>
        <w:t>a</w:t>
      </w:r>
      <w:r w:rsidR="00605AD4" w:rsidRPr="00605AD4">
        <w:t>uthorisation</w:t>
      </w:r>
    </w:p>
    <w:p w:rsidR="001B05E0" w:rsidRDefault="001B05E0" w:rsidP="00B5554A">
      <w:r>
        <w:t xml:space="preserve">The </w:t>
      </w:r>
      <w:r w:rsidR="00B5554A">
        <w:t>clinical e</w:t>
      </w:r>
      <w:r>
        <w:t xml:space="preserve">valuator has no objection to the approval of </w:t>
      </w:r>
      <w:proofErr w:type="spellStart"/>
      <w:r w:rsidR="00657A92">
        <w:t>Eliquis</w:t>
      </w:r>
      <w:proofErr w:type="spellEnd"/>
      <w:r>
        <w:t xml:space="preserve"> (</w:t>
      </w:r>
      <w:proofErr w:type="spellStart"/>
      <w:r>
        <w:t>a</w:t>
      </w:r>
      <w:r w:rsidR="00A4152B">
        <w:t>p</w:t>
      </w:r>
      <w:r>
        <w:t>ixaban</w:t>
      </w:r>
      <w:proofErr w:type="spellEnd"/>
      <w:r>
        <w:t>) for the following additional indications:</w:t>
      </w:r>
    </w:p>
    <w:p w:rsidR="001B05E0" w:rsidRPr="00B5554A" w:rsidRDefault="00657A92" w:rsidP="00B5554A">
      <w:pPr>
        <w:ind w:left="720"/>
        <w:rPr>
          <w:i/>
        </w:rPr>
      </w:pPr>
      <w:proofErr w:type="spellStart"/>
      <w:r w:rsidRPr="00B5554A">
        <w:rPr>
          <w:i/>
        </w:rPr>
        <w:t>Eliquis</w:t>
      </w:r>
      <w:proofErr w:type="spellEnd"/>
      <w:r w:rsidR="001B05E0" w:rsidRPr="00B5554A">
        <w:rPr>
          <w:i/>
        </w:rPr>
        <w:t xml:space="preserve"> is indicated for the treatment of deep vein thrombosis (DVT) </w:t>
      </w:r>
      <w:r w:rsidR="001D299F">
        <w:rPr>
          <w:i/>
        </w:rPr>
        <w:t>and pulmonary embolism (PE).</w:t>
      </w:r>
    </w:p>
    <w:p w:rsidR="001B05E0" w:rsidRPr="00B5554A" w:rsidRDefault="00657A92" w:rsidP="00B5554A">
      <w:pPr>
        <w:ind w:left="720"/>
        <w:rPr>
          <w:i/>
        </w:rPr>
      </w:pPr>
      <w:bookmarkStart w:id="138" w:name="_Toc397246787"/>
      <w:proofErr w:type="spellStart"/>
      <w:r w:rsidRPr="00B5554A">
        <w:rPr>
          <w:i/>
        </w:rPr>
        <w:t>Eliquis</w:t>
      </w:r>
      <w:proofErr w:type="spellEnd"/>
      <w:r w:rsidR="001B05E0" w:rsidRPr="00B5554A">
        <w:rPr>
          <w:i/>
        </w:rPr>
        <w:t xml:space="preserve"> is indicated for the prevention of recurrent DVT and PE.</w:t>
      </w:r>
      <w:bookmarkEnd w:id="138"/>
    </w:p>
    <w:p w:rsidR="001B05E0" w:rsidRDefault="001B05E0" w:rsidP="00B5554A">
      <w:r>
        <w:t xml:space="preserve">However, there are some subgroups of patients not included in the pivotal studies to </w:t>
      </w:r>
      <w:proofErr w:type="gramStart"/>
      <w:r>
        <w:t>whom</w:t>
      </w:r>
      <w:proofErr w:type="gramEnd"/>
      <w:r>
        <w:t xml:space="preserve"> the results could not be extrapolated</w:t>
      </w:r>
      <w:r w:rsidR="006C692A">
        <w:t>. C</w:t>
      </w:r>
      <w:r>
        <w:t xml:space="preserve">onsideration should be given to excluding these patients from treatment with </w:t>
      </w:r>
      <w:proofErr w:type="spellStart"/>
      <w:r>
        <w:t>apixaban</w:t>
      </w:r>
      <w:proofErr w:type="spellEnd"/>
      <w:r>
        <w:t>.</w:t>
      </w:r>
      <w:r w:rsidR="00127885">
        <w:t xml:space="preserve"> </w:t>
      </w:r>
      <w:r>
        <w:t xml:space="preserve">These patients include: </w:t>
      </w:r>
      <w:proofErr w:type="spellStart"/>
      <w:r>
        <w:t>haemodynamically</w:t>
      </w:r>
      <w:proofErr w:type="spellEnd"/>
      <w:r>
        <w:t xml:space="preserve"> unstable patients, patients with massive PE, patients with multiple DVT/PE or patients with an underlying pro-coagulant disorder.</w:t>
      </w:r>
    </w:p>
    <w:p w:rsidR="00605AD4" w:rsidRPr="00605AD4" w:rsidRDefault="001D299F" w:rsidP="00605AD4">
      <w:pPr>
        <w:pStyle w:val="Heading3"/>
        <w:rPr>
          <w:rFonts w:eastAsia="Cambria"/>
        </w:rPr>
      </w:pPr>
      <w:bookmarkStart w:id="139" w:name="_Toc436386771"/>
      <w:r>
        <w:rPr>
          <w:rFonts w:eastAsia="Cambria"/>
        </w:rPr>
        <w:t>Clinical q</w:t>
      </w:r>
      <w:r w:rsidR="00605AD4" w:rsidRPr="00605AD4">
        <w:rPr>
          <w:rFonts w:eastAsia="Cambria"/>
        </w:rPr>
        <w:t>uestions</w:t>
      </w:r>
      <w:bookmarkEnd w:id="139"/>
    </w:p>
    <w:p w:rsidR="001B05E0" w:rsidRDefault="001B05E0" w:rsidP="00B5554A">
      <w:pPr>
        <w:pStyle w:val="Heading4"/>
      </w:pPr>
      <w:bookmarkStart w:id="140" w:name="_Toc407734526"/>
      <w:bookmarkStart w:id="141" w:name="_Toc290846342"/>
      <w:bookmarkStart w:id="142" w:name="_Toc272414702"/>
      <w:r>
        <w:t>Pharmacokinetics</w:t>
      </w:r>
      <w:bookmarkEnd w:id="140"/>
      <w:bookmarkEnd w:id="141"/>
      <w:bookmarkEnd w:id="142"/>
    </w:p>
    <w:p w:rsidR="001B05E0" w:rsidRDefault="001B05E0" w:rsidP="00B5554A">
      <w:pPr>
        <w:pStyle w:val="Numberbullet0"/>
        <w:rPr>
          <w:szCs w:val="24"/>
        </w:rPr>
      </w:pPr>
      <w:r>
        <w:t>With regard to the effect of food on the bioavailability of the 5 mg tablet demonstrat</w:t>
      </w:r>
      <w:r w:rsidR="00B5554A">
        <w:t>ed in Study CV185111, does the s</w:t>
      </w:r>
      <w:r>
        <w:t>ponsor have any additional information that demonstrates no effect of food on the bioavailability of this formulation?</w:t>
      </w:r>
    </w:p>
    <w:p w:rsidR="001B05E0" w:rsidRDefault="001B05E0" w:rsidP="00B5554A">
      <w:pPr>
        <w:pStyle w:val="Heading4"/>
        <w:rPr>
          <w:sz w:val="24"/>
        </w:rPr>
      </w:pPr>
      <w:bookmarkStart w:id="143" w:name="_Toc407734527"/>
      <w:bookmarkStart w:id="144" w:name="_Toc290846343"/>
      <w:bookmarkStart w:id="145" w:name="_Toc272414703"/>
      <w:r>
        <w:lastRenderedPageBreak/>
        <w:t>Pharmacodynamics</w:t>
      </w:r>
      <w:bookmarkEnd w:id="143"/>
      <w:bookmarkEnd w:id="144"/>
      <w:bookmarkEnd w:id="145"/>
    </w:p>
    <w:p w:rsidR="001B05E0" w:rsidRDefault="001B05E0" w:rsidP="00B5554A">
      <w:pPr>
        <w:pStyle w:val="Numberbullet0"/>
        <w:rPr>
          <w:szCs w:val="24"/>
        </w:rPr>
      </w:pPr>
      <w:r>
        <w:t xml:space="preserve">Please provide summary tabulations for the results of </w:t>
      </w:r>
      <w:r w:rsidR="00B5554A">
        <w:t>activated partial thromboplastin time (</w:t>
      </w:r>
      <w:proofErr w:type="spellStart"/>
      <w:r>
        <w:t>aPTT</w:t>
      </w:r>
      <w:proofErr w:type="spellEnd"/>
      <w:r w:rsidR="00B5554A">
        <w:t>)</w:t>
      </w:r>
      <w:r>
        <w:t xml:space="preserve"> from Study CV185073.</w:t>
      </w:r>
      <w:r w:rsidR="00127885">
        <w:t xml:space="preserve"> </w:t>
      </w:r>
      <w:r>
        <w:t xml:space="preserve">The tabulations should include mean, median, </w:t>
      </w:r>
      <w:r w:rsidR="00B5554A">
        <w:t>standard deviation (</w:t>
      </w:r>
      <w:r>
        <w:t>SD</w:t>
      </w:r>
      <w:r w:rsidR="00B5554A">
        <w:t>)</w:t>
      </w:r>
      <w:r>
        <w:t>, minimum, maximum, for Day 1, Day 6 and for change from baseline for each of the study groups.</w:t>
      </w:r>
    </w:p>
    <w:p w:rsidR="001B05E0" w:rsidRDefault="001B05E0" w:rsidP="00B5554A">
      <w:pPr>
        <w:pStyle w:val="Heading4"/>
        <w:rPr>
          <w:sz w:val="24"/>
        </w:rPr>
      </w:pPr>
      <w:bookmarkStart w:id="146" w:name="_Toc407734528"/>
      <w:bookmarkStart w:id="147" w:name="_Toc290846344"/>
      <w:bookmarkStart w:id="148" w:name="_Toc272414704"/>
      <w:r>
        <w:t>Efficacy</w:t>
      </w:r>
      <w:bookmarkEnd w:id="146"/>
      <w:bookmarkEnd w:id="147"/>
      <w:bookmarkEnd w:id="148"/>
    </w:p>
    <w:p w:rsidR="001B05E0" w:rsidRDefault="001B05E0" w:rsidP="00B5554A">
      <w:pPr>
        <w:pStyle w:val="Numberbullet0"/>
        <w:rPr>
          <w:szCs w:val="24"/>
        </w:rPr>
      </w:pPr>
      <w:r>
        <w:t xml:space="preserve">Were the formulations of </w:t>
      </w:r>
      <w:proofErr w:type="spellStart"/>
      <w:r>
        <w:t>apixaban</w:t>
      </w:r>
      <w:proofErr w:type="spellEnd"/>
      <w:r>
        <w:t xml:space="preserve"> and comparator used in the pivotal studies the same as those available in Australia?</w:t>
      </w:r>
    </w:p>
    <w:p w:rsidR="001B05E0" w:rsidRDefault="001B05E0" w:rsidP="00B5554A">
      <w:pPr>
        <w:pStyle w:val="Numberbullet0"/>
      </w:pPr>
      <w:bookmarkStart w:id="149" w:name="_Toc397246798"/>
      <w:r>
        <w:t>What proportion of patients in Study CV185057 with DVT also had a PE?</w:t>
      </w:r>
      <w:bookmarkEnd w:id="149"/>
    </w:p>
    <w:p w:rsidR="001B05E0" w:rsidRDefault="001B05E0" w:rsidP="00B5554A">
      <w:pPr>
        <w:pStyle w:val="Numberbullet0"/>
      </w:pPr>
      <w:r>
        <w:t>Please clarify and list the symptoms used to define symptomatic DVT and PE.</w:t>
      </w:r>
    </w:p>
    <w:p w:rsidR="001B05E0" w:rsidRDefault="001B05E0" w:rsidP="00B5554A">
      <w:pPr>
        <w:pStyle w:val="Numberbullet0"/>
      </w:pPr>
      <w:r>
        <w:t xml:space="preserve">Please explain why </w:t>
      </w:r>
      <w:proofErr w:type="spellStart"/>
      <w:r>
        <w:t>apixaban</w:t>
      </w:r>
      <w:proofErr w:type="spellEnd"/>
      <w:r>
        <w:t xml:space="preserve"> should not undergo routine, initial or intermittent laboratory monitoring either by plasma concentration monitoring or by using anticoagulation assays such as anti-factor </w:t>
      </w:r>
      <w:proofErr w:type="spellStart"/>
      <w:r>
        <w:t>Xa</w:t>
      </w:r>
      <w:proofErr w:type="spellEnd"/>
      <w:r>
        <w:t xml:space="preserve"> for the proposed indications or populations:</w:t>
      </w:r>
    </w:p>
    <w:p w:rsidR="001B05E0" w:rsidRDefault="001B05E0" w:rsidP="00B5554A">
      <w:pPr>
        <w:pStyle w:val="Numberbullet2"/>
      </w:pPr>
      <w:r>
        <w:t xml:space="preserve">Discuss if there are any special circumstances/populations where laboratory monitoring could be beneficial, </w:t>
      </w:r>
      <w:r w:rsidR="00B5554A">
        <w:t>such as</w:t>
      </w:r>
      <w:r>
        <w:t xml:space="preserve"> the peri-operative setting, acute coronary syndrome (where interventions such </w:t>
      </w:r>
      <w:r w:rsidRPr="00B5554A">
        <w:t xml:space="preserve">as </w:t>
      </w:r>
      <w:r w:rsidR="00B5554A" w:rsidRPr="00B5554A">
        <w:t xml:space="preserve">Percutaneous coronary intervention (PCI </w:t>
      </w:r>
      <w:r w:rsidRPr="00B5554A">
        <w:t>or the administration of thrombolytic agents are under consideration), in the event of bleeding or recurrent thr</w:t>
      </w:r>
      <w:r>
        <w:t>ombosis, elderly patients, deteriorating hepatic or renal function, when parenteral anticoagulants are considered, concomitant use of potentially interacting medications, in the event of overdose or to assess possible poor compliance?</w:t>
      </w:r>
    </w:p>
    <w:p w:rsidR="001B05E0" w:rsidRDefault="001B05E0" w:rsidP="00B5554A">
      <w:pPr>
        <w:pStyle w:val="Numberbullet2"/>
      </w:pPr>
      <w:r>
        <w:t xml:space="preserve">Discuss whether new patients or patients switching to </w:t>
      </w:r>
      <w:proofErr w:type="spellStart"/>
      <w:r>
        <w:t>apixaban</w:t>
      </w:r>
      <w:proofErr w:type="spellEnd"/>
      <w:r>
        <w:t xml:space="preserve"> could benefit from laboratory monitoring.</w:t>
      </w:r>
    </w:p>
    <w:p w:rsidR="001B05E0" w:rsidRDefault="001B05E0" w:rsidP="00B5554A">
      <w:pPr>
        <w:pStyle w:val="Numberbullet2"/>
      </w:pPr>
      <w:r>
        <w:t xml:space="preserve">Discuss whether any changes to the </w:t>
      </w:r>
      <w:r w:rsidR="00B5554A">
        <w:t>PI</w:t>
      </w:r>
      <w:r>
        <w:t xml:space="preserve"> are proposed as a result of the above?</w:t>
      </w:r>
    </w:p>
    <w:p w:rsidR="001B05E0" w:rsidRDefault="001B05E0" w:rsidP="00B5554A">
      <w:pPr>
        <w:pStyle w:val="Numberbullet0"/>
      </w:pPr>
      <w:r>
        <w:t xml:space="preserve">Has there been any modelling or analysis of </w:t>
      </w:r>
      <w:proofErr w:type="spellStart"/>
      <w:r>
        <w:t>apixaban</w:t>
      </w:r>
      <w:proofErr w:type="spellEnd"/>
      <w:r>
        <w:t xml:space="preserve"> plasma concentrations or anticoagulation assay results in the proposed indications or populations to:</w:t>
      </w:r>
    </w:p>
    <w:p w:rsidR="001B05E0" w:rsidRDefault="001B05E0" w:rsidP="00B5554A">
      <w:pPr>
        <w:pStyle w:val="Numberbullet2"/>
      </w:pPr>
      <w:r>
        <w:t>Investigate the potential role for any laboratory monitoring?</w:t>
      </w:r>
    </w:p>
    <w:p w:rsidR="001B05E0" w:rsidRDefault="001B05E0" w:rsidP="00B5554A">
      <w:pPr>
        <w:pStyle w:val="Numberbullet2"/>
      </w:pPr>
      <w:r>
        <w:t xml:space="preserve">Investigate a potentially improved efficacy and/or safety profile for </w:t>
      </w:r>
      <w:proofErr w:type="spellStart"/>
      <w:r>
        <w:t>apixaban</w:t>
      </w:r>
      <w:proofErr w:type="spellEnd"/>
      <w:r>
        <w:t>, or dose adjustment?</w:t>
      </w:r>
    </w:p>
    <w:p w:rsidR="001B05E0" w:rsidRDefault="001B05E0" w:rsidP="00B5554A">
      <w:pPr>
        <w:pStyle w:val="Numberbullet2"/>
      </w:pPr>
      <w:r>
        <w:t>If there has been any modelling or analysis undertaken for the above questions, please submit the reports to the TGA.</w:t>
      </w:r>
    </w:p>
    <w:p w:rsidR="001B05E0" w:rsidRDefault="001B05E0" w:rsidP="00B5554A">
      <w:pPr>
        <w:pStyle w:val="Numberbullet0"/>
      </w:pPr>
      <w:r>
        <w:t>Have there been any discussions with the FDA, EMA or Health Canada regarding</w:t>
      </w:r>
      <w:r w:rsidR="00B5554A">
        <w:t xml:space="preserve"> the</w:t>
      </w:r>
      <w:r>
        <w:t xml:space="preserve"> laboratory monitoring of </w:t>
      </w:r>
      <w:proofErr w:type="spellStart"/>
      <w:r>
        <w:t>apixaban</w:t>
      </w:r>
      <w:proofErr w:type="spellEnd"/>
      <w:r>
        <w:t xml:space="preserve"> in relation to the new indications proposed?</w:t>
      </w:r>
    </w:p>
    <w:p w:rsidR="001B05E0" w:rsidRDefault="001B05E0" w:rsidP="00B5554A">
      <w:pPr>
        <w:pStyle w:val="Numberbullet0"/>
      </w:pPr>
      <w:r>
        <w:t xml:space="preserve">Are there any clinical trials completed, underway or being proposed or discussed for </w:t>
      </w:r>
      <w:proofErr w:type="spellStart"/>
      <w:r>
        <w:t>apixaban</w:t>
      </w:r>
      <w:proofErr w:type="spellEnd"/>
      <w:r>
        <w:t xml:space="preserve"> that include laboratory monitoring as part of the study design, </w:t>
      </w:r>
      <w:r w:rsidR="00B5554A">
        <w:t>for example</w:t>
      </w:r>
      <w:r>
        <w:t xml:space="preserve"> trials that compare monitored </w:t>
      </w:r>
      <w:proofErr w:type="spellStart"/>
      <w:r>
        <w:t>apixaban</w:t>
      </w:r>
      <w:proofErr w:type="spellEnd"/>
      <w:r>
        <w:t xml:space="preserve"> with unmonitored </w:t>
      </w:r>
      <w:proofErr w:type="spellStart"/>
      <w:r>
        <w:t>apixaban</w:t>
      </w:r>
      <w:proofErr w:type="spellEnd"/>
      <w:r>
        <w:t xml:space="preserve"> or with warfarin?</w:t>
      </w:r>
    </w:p>
    <w:p w:rsidR="001B05E0" w:rsidRDefault="001B05E0" w:rsidP="00B5554A">
      <w:pPr>
        <w:pStyle w:val="Numberbullet0"/>
      </w:pPr>
      <w:r>
        <w:t xml:space="preserve">Is the sponsor proposing to include further information in the Product Information for </w:t>
      </w:r>
      <w:proofErr w:type="spellStart"/>
      <w:r>
        <w:t>apixaban</w:t>
      </w:r>
      <w:proofErr w:type="spellEnd"/>
      <w:r>
        <w:t xml:space="preserve"> regarding plasma concentrations, or anticoagulant activity that may be associated with an increased risk of bleeding, or regarding a therapeutic range, or any form of laboratory monitoring in relation to the proposed indications?</w:t>
      </w:r>
    </w:p>
    <w:p w:rsidR="001B05E0" w:rsidRDefault="001B05E0" w:rsidP="00B5554A">
      <w:pPr>
        <w:pStyle w:val="Heading4"/>
        <w:rPr>
          <w:sz w:val="24"/>
        </w:rPr>
      </w:pPr>
      <w:bookmarkStart w:id="150" w:name="_Toc407734529"/>
      <w:bookmarkStart w:id="151" w:name="_Toc290846345"/>
      <w:bookmarkStart w:id="152" w:name="_Toc272414705"/>
      <w:r>
        <w:lastRenderedPageBreak/>
        <w:t>Safety</w:t>
      </w:r>
      <w:bookmarkEnd w:id="150"/>
      <w:bookmarkEnd w:id="151"/>
      <w:bookmarkEnd w:id="152"/>
    </w:p>
    <w:p w:rsidR="001B05E0" w:rsidRPr="00FD1E09" w:rsidRDefault="001B05E0" w:rsidP="00FD1E09">
      <w:pPr>
        <w:pStyle w:val="Numberbullet0"/>
        <w:rPr>
          <w:szCs w:val="24"/>
        </w:rPr>
      </w:pPr>
      <w:r>
        <w:t xml:space="preserve">In Study CV185056 did any of the four subjects in the </w:t>
      </w:r>
      <w:proofErr w:type="spellStart"/>
      <w:r>
        <w:t>apixaban</w:t>
      </w:r>
      <w:proofErr w:type="spellEnd"/>
      <w:r>
        <w:t xml:space="preserve"> group with </w:t>
      </w:r>
      <w:r w:rsidR="00B5554A">
        <w:t>alanine aminotransferase (</w:t>
      </w:r>
      <w:r>
        <w:t>ALT</w:t>
      </w:r>
      <w:r w:rsidR="00B5554A">
        <w:t>)</w:t>
      </w:r>
      <w:r>
        <w:t xml:space="preserve"> or </w:t>
      </w:r>
      <w:r w:rsidR="00B5554A">
        <w:t>aspartate aminotransferase (</w:t>
      </w:r>
      <w:r>
        <w:t>AST</w:t>
      </w:r>
      <w:r w:rsidR="00B5554A">
        <w:t>)</w:t>
      </w:r>
      <w:r>
        <w:t xml:space="preserve"> &gt;3</w:t>
      </w:r>
      <w:r w:rsidR="00B5554A">
        <w:t xml:space="preserve"> times the upper limit of normal (</w:t>
      </w:r>
      <w:r>
        <w:t>ULN</w:t>
      </w:r>
      <w:r w:rsidR="00B5554A">
        <w:t>)</w:t>
      </w:r>
      <w:r>
        <w:t xml:space="preserve"> and total bilirubin &gt;2</w:t>
      </w:r>
      <w:r w:rsidR="00B5554A">
        <w:t xml:space="preserve"> times the </w:t>
      </w:r>
      <w:r>
        <w:t xml:space="preserve">ULN on the same date fulfil the criteria for </w:t>
      </w:r>
      <w:proofErr w:type="spellStart"/>
      <w:r>
        <w:t>Hy’s</w:t>
      </w:r>
      <w:proofErr w:type="spellEnd"/>
      <w:r>
        <w:t xml:space="preserve"> Law?</w:t>
      </w:r>
      <w:r w:rsidR="00127885">
        <w:t xml:space="preserve"> </w:t>
      </w:r>
      <w:r>
        <w:t>What other medical conditions or concomitant treatments would have explained these abnormalities in these individual subjects?</w:t>
      </w:r>
    </w:p>
    <w:p w:rsidR="001B05E0" w:rsidRDefault="001B05E0" w:rsidP="00FD1E09">
      <w:pPr>
        <w:pStyle w:val="Numberbullet0"/>
      </w:pPr>
      <w:r>
        <w:t>Please provide an update on the progress of the drug development program for the antidote.</w:t>
      </w:r>
    </w:p>
    <w:p w:rsidR="00605AD4" w:rsidRPr="00605AD4" w:rsidRDefault="003E5DD0" w:rsidP="00605AD4">
      <w:pPr>
        <w:pStyle w:val="Heading3"/>
        <w:rPr>
          <w:rFonts w:eastAsia="Cambria"/>
        </w:rPr>
      </w:pPr>
      <w:bookmarkStart w:id="153" w:name="_Toc436386772"/>
      <w:r>
        <w:rPr>
          <w:rFonts w:eastAsia="Cambria"/>
        </w:rPr>
        <w:t>Second r</w:t>
      </w:r>
      <w:r w:rsidR="00605AD4" w:rsidRPr="00605AD4">
        <w:rPr>
          <w:rFonts w:eastAsia="Cambria"/>
        </w:rPr>
        <w:t xml:space="preserve">ound </w:t>
      </w:r>
      <w:r>
        <w:rPr>
          <w:rFonts w:eastAsia="Cambria"/>
        </w:rPr>
        <w:t>e</w:t>
      </w:r>
      <w:r w:rsidR="00605AD4" w:rsidRPr="00605AD4">
        <w:rPr>
          <w:rFonts w:eastAsia="Cambria"/>
        </w:rPr>
        <w:t>valuation of clinical data submitted in response to questions</w:t>
      </w:r>
      <w:bookmarkEnd w:id="153"/>
    </w:p>
    <w:p w:rsidR="00605AD4" w:rsidRPr="00605AD4" w:rsidRDefault="00B5554A" w:rsidP="00605AD4">
      <w:r>
        <w:t xml:space="preserve">Details of </w:t>
      </w:r>
      <w:r w:rsidR="006C692A">
        <w:t>t</w:t>
      </w:r>
      <w:r>
        <w:t>he sponsor’s re</w:t>
      </w:r>
      <w:r w:rsidR="006C692A">
        <w:t>s</w:t>
      </w:r>
      <w:r>
        <w:t>pon</w:t>
      </w:r>
      <w:r w:rsidR="006C692A">
        <w:t>s</w:t>
      </w:r>
      <w:r>
        <w:t xml:space="preserve">es and the clinical evaluator’s comments on these responses are detailed in Attachment 2 Extract from the Clinical </w:t>
      </w:r>
      <w:r w:rsidR="006C692A">
        <w:t>evaluation report.</w:t>
      </w:r>
    </w:p>
    <w:p w:rsidR="00605AD4" w:rsidRPr="00605AD4" w:rsidRDefault="003E5DD0" w:rsidP="00546154">
      <w:pPr>
        <w:pStyle w:val="Heading3"/>
        <w:rPr>
          <w:rFonts w:eastAsia="Cambria"/>
        </w:rPr>
      </w:pPr>
      <w:bookmarkStart w:id="154" w:name="_Toc436386773"/>
      <w:r>
        <w:rPr>
          <w:rFonts w:eastAsia="Cambria"/>
        </w:rPr>
        <w:t>Second r</w:t>
      </w:r>
      <w:r w:rsidR="00605AD4" w:rsidRPr="00605AD4">
        <w:rPr>
          <w:rFonts w:eastAsia="Cambria"/>
        </w:rPr>
        <w:t xml:space="preserve">ound </w:t>
      </w:r>
      <w:r>
        <w:rPr>
          <w:rFonts w:eastAsia="Cambria"/>
        </w:rPr>
        <w:t>benefit-risk a</w:t>
      </w:r>
      <w:r w:rsidR="00605AD4" w:rsidRPr="00605AD4">
        <w:rPr>
          <w:rFonts w:eastAsia="Cambria"/>
        </w:rPr>
        <w:t>ssessment</w:t>
      </w:r>
      <w:bookmarkEnd w:id="154"/>
    </w:p>
    <w:p w:rsidR="001B05E0" w:rsidRDefault="001B05E0" w:rsidP="006C692A">
      <w:pPr>
        <w:pStyle w:val="Heading4"/>
      </w:pPr>
      <w:bookmarkStart w:id="155" w:name="_Toc407734533"/>
      <w:bookmarkStart w:id="156" w:name="_Toc290888886"/>
      <w:bookmarkStart w:id="157" w:name="_Toc290846349"/>
      <w:bookmarkStart w:id="158" w:name="_Toc272414709"/>
      <w:r>
        <w:t>Second round assessment of benefits</w:t>
      </w:r>
      <w:bookmarkEnd w:id="155"/>
      <w:bookmarkEnd w:id="156"/>
      <w:bookmarkEnd w:id="157"/>
      <w:bookmarkEnd w:id="158"/>
    </w:p>
    <w:p w:rsidR="001B05E0" w:rsidRDefault="001B05E0" w:rsidP="006C692A">
      <w:pPr>
        <w:rPr>
          <w:szCs w:val="24"/>
        </w:rPr>
      </w:pPr>
      <w:r>
        <w:t xml:space="preserve">After consideration of the responses to clinical questions, the benefits of </w:t>
      </w:r>
      <w:proofErr w:type="spellStart"/>
      <w:r>
        <w:t>apixaban</w:t>
      </w:r>
      <w:proofErr w:type="spellEnd"/>
      <w:r>
        <w:t xml:space="preserve"> in the proposed usage are unchanged from those identified in </w:t>
      </w:r>
      <w:r w:rsidR="006C692A">
        <w:t>the First round evaluation</w:t>
      </w:r>
      <w:r>
        <w:t>.</w:t>
      </w:r>
    </w:p>
    <w:p w:rsidR="001B05E0" w:rsidRDefault="001B05E0" w:rsidP="006C692A">
      <w:pPr>
        <w:pStyle w:val="Heading4"/>
        <w:rPr>
          <w:sz w:val="24"/>
        </w:rPr>
      </w:pPr>
      <w:bookmarkStart w:id="159" w:name="_Toc407734534"/>
      <w:bookmarkStart w:id="160" w:name="_Toc290888887"/>
      <w:bookmarkStart w:id="161" w:name="_Toc290846350"/>
      <w:bookmarkStart w:id="162" w:name="_Toc272414710"/>
      <w:r>
        <w:t>Second round assessment of risks</w:t>
      </w:r>
      <w:bookmarkEnd w:id="159"/>
      <w:bookmarkEnd w:id="160"/>
      <w:bookmarkEnd w:id="161"/>
      <w:bookmarkEnd w:id="162"/>
    </w:p>
    <w:p w:rsidR="001B05E0" w:rsidRDefault="001B05E0" w:rsidP="006C692A">
      <w:pPr>
        <w:rPr>
          <w:szCs w:val="24"/>
        </w:rPr>
      </w:pPr>
      <w:r>
        <w:t xml:space="preserve">After consideration of the responses to clinical questions, the risks of </w:t>
      </w:r>
      <w:proofErr w:type="spellStart"/>
      <w:r>
        <w:t>apixaban</w:t>
      </w:r>
      <w:proofErr w:type="spellEnd"/>
      <w:r>
        <w:t xml:space="preserve"> in the proposed usage in addition to those identified in </w:t>
      </w:r>
      <w:r w:rsidR="006C692A">
        <w:t>in the First round evaluation</w:t>
      </w:r>
      <w:r>
        <w:t xml:space="preserve"> are: drug induced liver injury.</w:t>
      </w:r>
      <w:r w:rsidR="00127885">
        <w:t xml:space="preserve"> </w:t>
      </w:r>
      <w:r>
        <w:t xml:space="preserve">The </w:t>
      </w:r>
      <w:r w:rsidR="006C692A">
        <w:t xml:space="preserve">additional </w:t>
      </w:r>
      <w:r>
        <w:t xml:space="preserve">data </w:t>
      </w:r>
      <w:r w:rsidR="006C692A">
        <w:t>submitted</w:t>
      </w:r>
      <w:r>
        <w:t xml:space="preserve"> </w:t>
      </w:r>
      <w:r w:rsidR="006C692A">
        <w:t xml:space="preserve">in response to the TGA’s request for further information included </w:t>
      </w:r>
      <w:r>
        <w:t>one case of drug induced liver injury.</w:t>
      </w:r>
      <w:r w:rsidR="00127885">
        <w:t xml:space="preserve"> </w:t>
      </w:r>
      <w:r>
        <w:t xml:space="preserve">In the opinion of the </w:t>
      </w:r>
      <w:r w:rsidR="006C692A">
        <w:t>clinical e</w:t>
      </w:r>
      <w:r>
        <w:t xml:space="preserve">valuator, transient elevation of liver enzymes should be listed as an important identified risk for all indications of </w:t>
      </w:r>
      <w:proofErr w:type="spellStart"/>
      <w:r>
        <w:t>apixaban</w:t>
      </w:r>
      <w:proofErr w:type="spellEnd"/>
      <w:r>
        <w:t>.</w:t>
      </w:r>
      <w:r w:rsidR="00127885">
        <w:t xml:space="preserve"> </w:t>
      </w:r>
      <w:r>
        <w:t>It is also appropriate that liver injury remains an Important Potential Risk.</w:t>
      </w:r>
    </w:p>
    <w:p w:rsidR="001B05E0" w:rsidRDefault="001B05E0" w:rsidP="006C692A">
      <w:pPr>
        <w:pStyle w:val="Heading4"/>
        <w:rPr>
          <w:sz w:val="24"/>
        </w:rPr>
      </w:pPr>
      <w:bookmarkStart w:id="163" w:name="_Toc407734535"/>
      <w:bookmarkStart w:id="164" w:name="_Toc290888888"/>
      <w:bookmarkStart w:id="165" w:name="_Toc290846351"/>
      <w:bookmarkStart w:id="166" w:name="_Toc272414711"/>
      <w:r>
        <w:t>Second round assessment of benefit-risk balance</w:t>
      </w:r>
      <w:bookmarkEnd w:id="163"/>
      <w:bookmarkEnd w:id="164"/>
      <w:bookmarkEnd w:id="165"/>
      <w:bookmarkEnd w:id="166"/>
    </w:p>
    <w:p w:rsidR="001B05E0" w:rsidRDefault="001B05E0" w:rsidP="006C692A">
      <w:pPr>
        <w:rPr>
          <w:szCs w:val="24"/>
        </w:rPr>
      </w:pPr>
      <w:r>
        <w:t xml:space="preserve">The risk-benefit balance remains the same as that stated in </w:t>
      </w:r>
      <w:r w:rsidR="006C692A">
        <w:t>in the First round evaluation</w:t>
      </w:r>
      <w:r>
        <w:t>.</w:t>
      </w:r>
      <w:r w:rsidR="00127885">
        <w:t xml:space="preserve"> </w:t>
      </w:r>
      <w:r>
        <w:t xml:space="preserve">The benefit-risk balance of </w:t>
      </w:r>
      <w:proofErr w:type="spellStart"/>
      <w:r w:rsidR="00657A92">
        <w:rPr>
          <w:bCs/>
          <w:lang w:val="en-US"/>
        </w:rPr>
        <w:t>Eliquis</w:t>
      </w:r>
      <w:proofErr w:type="spellEnd"/>
      <w:r>
        <w:t xml:space="preserve"> (</w:t>
      </w:r>
      <w:proofErr w:type="spellStart"/>
      <w:r>
        <w:t>apixaban</w:t>
      </w:r>
      <w:proofErr w:type="spellEnd"/>
      <w:r>
        <w:t>), given the proposed usage, is favourable.</w:t>
      </w:r>
      <w:r w:rsidR="00127885">
        <w:t xml:space="preserve"> </w:t>
      </w:r>
      <w:r>
        <w:t xml:space="preserve">For the treatment of DVT and PE, </w:t>
      </w:r>
      <w:proofErr w:type="spellStart"/>
      <w:r>
        <w:t>apixaban</w:t>
      </w:r>
      <w:proofErr w:type="spellEnd"/>
      <w:r>
        <w:t xml:space="preserve"> has similar efficacy to enoxaparin/warfarin but a lower risk of bleeding related AEs.</w:t>
      </w:r>
      <w:r w:rsidR="00127885">
        <w:t xml:space="preserve"> </w:t>
      </w:r>
      <w:r>
        <w:t xml:space="preserve">For the prevention of recurrent DVT and PE, the reduction in DVT, PE and all-cause death with </w:t>
      </w:r>
      <w:proofErr w:type="spellStart"/>
      <w:r>
        <w:t>apixaban</w:t>
      </w:r>
      <w:proofErr w:type="spellEnd"/>
      <w:r>
        <w:t xml:space="preserve"> more than compensates for the increased risk of bleeding related AEs.</w:t>
      </w:r>
      <w:r w:rsidR="00127885">
        <w:t xml:space="preserve"> </w:t>
      </w:r>
      <w:r>
        <w:t xml:space="preserve">The </w:t>
      </w:r>
      <w:r>
        <w:rPr>
          <w:rFonts w:eastAsia="MS Mincho"/>
        </w:rPr>
        <w:t>extended treatment of recurrent VTE is justified by the reduction in risk of DVT and PE in the treated population.</w:t>
      </w:r>
    </w:p>
    <w:p w:rsidR="001B05E0" w:rsidRDefault="006C692A" w:rsidP="006C692A">
      <w:pPr>
        <w:pStyle w:val="Heading4"/>
      </w:pPr>
      <w:bookmarkStart w:id="167" w:name="_Toc407734536"/>
      <w:bookmarkStart w:id="168" w:name="_Toc290888889"/>
      <w:bookmarkStart w:id="169" w:name="_Toc290846352"/>
      <w:bookmarkStart w:id="170" w:name="_Toc272414713"/>
      <w:bookmarkStart w:id="171" w:name="_Ref272160677"/>
      <w:r>
        <w:t>Second round recommendation regarding authorisation</w:t>
      </w:r>
      <w:bookmarkEnd w:id="167"/>
      <w:bookmarkEnd w:id="168"/>
      <w:bookmarkEnd w:id="169"/>
      <w:bookmarkEnd w:id="170"/>
      <w:bookmarkEnd w:id="171"/>
    </w:p>
    <w:p w:rsidR="001B05E0" w:rsidRDefault="001B05E0" w:rsidP="006C692A">
      <w:r>
        <w:t xml:space="preserve">The </w:t>
      </w:r>
      <w:r w:rsidR="006C692A">
        <w:t>clinical e</w:t>
      </w:r>
      <w:r>
        <w:t xml:space="preserve">valuator has no objection to the approval of </w:t>
      </w:r>
      <w:proofErr w:type="spellStart"/>
      <w:r w:rsidR="00657A92">
        <w:t>Eliquis</w:t>
      </w:r>
      <w:proofErr w:type="spellEnd"/>
      <w:r>
        <w:t xml:space="preserve"> (</w:t>
      </w:r>
      <w:proofErr w:type="spellStart"/>
      <w:r>
        <w:t>apixaban</w:t>
      </w:r>
      <w:proofErr w:type="spellEnd"/>
      <w:r>
        <w:t>) for the following additional indications:</w:t>
      </w:r>
    </w:p>
    <w:p w:rsidR="001B05E0" w:rsidRPr="006C692A" w:rsidRDefault="00657A92" w:rsidP="006C692A">
      <w:pPr>
        <w:ind w:left="720"/>
        <w:rPr>
          <w:i/>
        </w:rPr>
      </w:pPr>
      <w:proofErr w:type="spellStart"/>
      <w:r w:rsidRPr="006C692A">
        <w:rPr>
          <w:i/>
        </w:rPr>
        <w:t>Eliquis</w:t>
      </w:r>
      <w:proofErr w:type="spellEnd"/>
      <w:r w:rsidR="001B05E0" w:rsidRPr="006C692A">
        <w:rPr>
          <w:i/>
        </w:rPr>
        <w:t xml:space="preserve"> is indicated for the treatment of deep vein thrombosis (DV</w:t>
      </w:r>
      <w:r w:rsidR="00D22DCC">
        <w:rPr>
          <w:i/>
        </w:rPr>
        <w:t>T) and pulmonary embolism (PE).</w:t>
      </w:r>
    </w:p>
    <w:p w:rsidR="001B05E0" w:rsidRPr="006C692A" w:rsidRDefault="00657A92" w:rsidP="006C692A">
      <w:pPr>
        <w:ind w:left="720"/>
        <w:rPr>
          <w:i/>
        </w:rPr>
      </w:pPr>
      <w:proofErr w:type="spellStart"/>
      <w:r w:rsidRPr="006C692A">
        <w:rPr>
          <w:i/>
        </w:rPr>
        <w:t>Eliquis</w:t>
      </w:r>
      <w:proofErr w:type="spellEnd"/>
      <w:r w:rsidR="001B05E0" w:rsidRPr="006C692A">
        <w:rPr>
          <w:i/>
        </w:rPr>
        <w:t xml:space="preserve"> is indicated for the prev</w:t>
      </w:r>
      <w:r w:rsidR="00D22DCC">
        <w:rPr>
          <w:i/>
        </w:rPr>
        <w:t>ention of recurrent DVT and PE.</w:t>
      </w:r>
    </w:p>
    <w:p w:rsidR="001B05E0" w:rsidRDefault="001B05E0" w:rsidP="006C692A">
      <w:r>
        <w:t xml:space="preserve">However, there are some subgroups of patients not included in the pivotal studies to </w:t>
      </w:r>
      <w:proofErr w:type="gramStart"/>
      <w:r>
        <w:t>whom</w:t>
      </w:r>
      <w:proofErr w:type="gramEnd"/>
      <w:r>
        <w:t xml:space="preserve"> the results could not be extrapolated</w:t>
      </w:r>
      <w:r w:rsidR="006C692A">
        <w:t>. C</w:t>
      </w:r>
      <w:r>
        <w:t xml:space="preserve">onsideration should be given to excluding these patients from treatment with </w:t>
      </w:r>
      <w:proofErr w:type="spellStart"/>
      <w:r>
        <w:t>apixaban</w:t>
      </w:r>
      <w:proofErr w:type="spellEnd"/>
      <w:r>
        <w:t>.</w:t>
      </w:r>
      <w:r w:rsidR="00127885">
        <w:t xml:space="preserve"> </w:t>
      </w:r>
      <w:r>
        <w:t xml:space="preserve">These patients include: </w:t>
      </w:r>
      <w:proofErr w:type="spellStart"/>
      <w:r>
        <w:t>haemodynamically</w:t>
      </w:r>
      <w:proofErr w:type="spellEnd"/>
      <w:r>
        <w:t xml:space="preserve"> </w:t>
      </w:r>
      <w:r>
        <w:lastRenderedPageBreak/>
        <w:t>unstable patients, patients with massive PE, patients with multiple DVT/PE or patients with an underlying pro-coagulant disorder.</w:t>
      </w:r>
    </w:p>
    <w:p w:rsidR="008E7846" w:rsidRPr="00E41208" w:rsidRDefault="008E7846" w:rsidP="00546154">
      <w:pPr>
        <w:pStyle w:val="Heading2"/>
      </w:pPr>
      <w:bookmarkStart w:id="172" w:name="_Toc436386774"/>
      <w:r w:rsidRPr="00E41208">
        <w:t xml:space="preserve">V. Pharmacovigilance </w:t>
      </w:r>
      <w:r>
        <w:t>f</w:t>
      </w:r>
      <w:r w:rsidRPr="00E41208">
        <w:t>indings</w:t>
      </w:r>
      <w:bookmarkEnd w:id="104"/>
      <w:bookmarkEnd w:id="105"/>
      <w:bookmarkEnd w:id="172"/>
    </w:p>
    <w:p w:rsidR="008E7846" w:rsidRDefault="00386150" w:rsidP="008E7846">
      <w:pPr>
        <w:pStyle w:val="Heading3"/>
        <w:rPr>
          <w:lang w:eastAsia="en-AU"/>
        </w:rPr>
      </w:pPr>
      <w:bookmarkStart w:id="173" w:name="_Toc247691526"/>
      <w:bookmarkStart w:id="174" w:name="_Toc314842509"/>
      <w:bookmarkStart w:id="175" w:name="_Toc436386775"/>
      <w:r>
        <w:rPr>
          <w:lang w:eastAsia="en-AU"/>
        </w:rPr>
        <w:t>Risk m</w:t>
      </w:r>
      <w:r w:rsidR="008E7846">
        <w:rPr>
          <w:lang w:eastAsia="en-AU"/>
        </w:rPr>
        <w:t xml:space="preserve">anagement </w:t>
      </w:r>
      <w:r>
        <w:rPr>
          <w:lang w:eastAsia="en-AU"/>
        </w:rPr>
        <w:t>p</w:t>
      </w:r>
      <w:r w:rsidR="008E7846">
        <w:rPr>
          <w:lang w:eastAsia="en-AU"/>
        </w:rPr>
        <w:t>lan</w:t>
      </w:r>
      <w:bookmarkEnd w:id="173"/>
      <w:bookmarkEnd w:id="174"/>
      <w:bookmarkEnd w:id="175"/>
    </w:p>
    <w:p w:rsidR="001B05E0" w:rsidRDefault="001B05E0" w:rsidP="006C692A">
      <w:pPr>
        <w:rPr>
          <w:rFonts w:asciiTheme="minorHAnsi" w:hAnsiTheme="minorHAnsi"/>
        </w:rPr>
      </w:pPr>
      <w:r>
        <w:rPr>
          <w:rFonts w:asciiTheme="minorHAnsi" w:hAnsiTheme="minorHAnsi"/>
        </w:rPr>
        <w:t xml:space="preserve">For this submission the sponsor has provided the </w:t>
      </w:r>
      <w:proofErr w:type="spellStart"/>
      <w:r>
        <w:rPr>
          <w:rFonts w:asciiTheme="minorHAnsi" w:hAnsiTheme="minorHAnsi"/>
        </w:rPr>
        <w:t>apixaban</w:t>
      </w:r>
      <w:proofErr w:type="spellEnd"/>
      <w:r>
        <w:rPr>
          <w:rFonts w:asciiTheme="minorHAnsi" w:hAnsiTheme="minorHAnsi"/>
        </w:rPr>
        <w:t xml:space="preserve"> EU-RMP (version 12, document date 21 October 2013</w:t>
      </w:r>
      <w:r w:rsidR="00210471">
        <w:rPr>
          <w:rFonts w:asciiTheme="minorHAnsi" w:hAnsiTheme="minorHAnsi"/>
        </w:rPr>
        <w:t xml:space="preserve"> with</w:t>
      </w:r>
      <w:r>
        <w:rPr>
          <w:rFonts w:asciiTheme="minorHAnsi" w:hAnsiTheme="minorHAnsi"/>
        </w:rPr>
        <w:t xml:space="preserve"> data lock point 17 May 2013) and an Australia specific annex (ASA) (version 5, document date 17 March 2014).</w:t>
      </w:r>
      <w:r w:rsidR="00127885">
        <w:rPr>
          <w:rFonts w:asciiTheme="minorHAnsi" w:hAnsiTheme="minorHAnsi"/>
        </w:rPr>
        <w:t xml:space="preserve"> </w:t>
      </w:r>
      <w:r>
        <w:rPr>
          <w:rFonts w:asciiTheme="minorHAnsi" w:hAnsiTheme="minorHAnsi"/>
        </w:rPr>
        <w:t>This format replaces the Core Company RMP (CCRMP) evaluated for the las</w:t>
      </w:r>
      <w:r w:rsidR="006C692A">
        <w:rPr>
          <w:rFonts w:asciiTheme="minorHAnsi" w:hAnsiTheme="minorHAnsi"/>
        </w:rPr>
        <w:t xml:space="preserve">t submission </w:t>
      </w:r>
      <w:r>
        <w:rPr>
          <w:rFonts w:asciiTheme="minorHAnsi" w:hAnsiTheme="minorHAnsi"/>
        </w:rPr>
        <w:t>for th</w:t>
      </w:r>
      <w:r w:rsidRPr="006C692A">
        <w:t xml:space="preserve">e </w:t>
      </w:r>
      <w:r w:rsidR="006C692A" w:rsidRPr="006C692A">
        <w:t>non</w:t>
      </w:r>
      <w:r w:rsidR="00B75453">
        <w:t>-</w:t>
      </w:r>
      <w:r w:rsidR="006C692A" w:rsidRPr="006C692A">
        <w:t xml:space="preserve">valvular atrial fibrillation (NVAF) </w:t>
      </w:r>
      <w:r w:rsidR="00D22DCC">
        <w:t>indication.</w:t>
      </w:r>
    </w:p>
    <w:p w:rsidR="001B05E0" w:rsidRDefault="001B05E0" w:rsidP="004A4B93">
      <w:r>
        <w:t>The evaluator notes that provision of the EU-RMP and ASA is the TGA’s preferred option as described in the RMP Questions and Answers document.</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6C692A">
        <w:rPr>
          <w:lang w:eastAsia="en-AU"/>
        </w:rPr>
        <w:t>cerns which are shown at Table 3</w:t>
      </w:r>
      <w:r>
        <w:rPr>
          <w:lang w:eastAsia="en-AU"/>
        </w:rPr>
        <w:t>.</w:t>
      </w:r>
    </w:p>
    <w:p w:rsidR="006C692A" w:rsidRDefault="006C692A" w:rsidP="006C692A">
      <w:pPr>
        <w:pStyle w:val="TableTitle"/>
        <w:rPr>
          <w:lang w:eastAsia="en-AU"/>
        </w:rPr>
      </w:pPr>
      <w:r>
        <w:rPr>
          <w:lang w:eastAsia="en-AU"/>
        </w:rPr>
        <w:t>Table 3: Summary on Ongoing safety concerns</w:t>
      </w:r>
    </w:p>
    <w:tbl>
      <w:tblPr>
        <w:tblStyle w:val="TableGrid"/>
        <w:tblW w:w="0" w:type="auto"/>
        <w:tblInd w:w="108" w:type="dxa"/>
        <w:tblLook w:val="04A0" w:firstRow="1" w:lastRow="0" w:firstColumn="1" w:lastColumn="0" w:noHBand="0" w:noVBand="1"/>
      </w:tblPr>
      <w:tblGrid>
        <w:gridCol w:w="3544"/>
        <w:gridCol w:w="5068"/>
      </w:tblGrid>
      <w:tr w:rsidR="001B05E0" w:rsidRPr="005D1003" w:rsidTr="00FD1E09">
        <w:tc>
          <w:tcPr>
            <w:tcW w:w="3544" w:type="dxa"/>
            <w:tcBorders>
              <w:top w:val="single" w:sz="4" w:space="0" w:color="auto"/>
              <w:left w:val="single" w:sz="4" w:space="0" w:color="auto"/>
              <w:bottom w:val="single" w:sz="4" w:space="0" w:color="auto"/>
              <w:right w:val="single" w:sz="4" w:space="0" w:color="auto"/>
            </w:tcBorders>
            <w:shd w:val="clear" w:color="auto" w:fill="0070C0"/>
            <w:hideMark/>
          </w:tcPr>
          <w:p w:rsidR="001B05E0" w:rsidRPr="00D22DCC" w:rsidRDefault="001B05E0" w:rsidP="00D22DCC">
            <w:pPr>
              <w:rPr>
                <w:rFonts w:cs="Arial"/>
                <w:b/>
                <w:color w:val="FFFFFF" w:themeColor="background1"/>
                <w:lang w:eastAsia="en-US"/>
              </w:rPr>
            </w:pPr>
            <w:r w:rsidRPr="00D22DCC">
              <w:rPr>
                <w:b/>
                <w:color w:val="FFFFFF" w:themeColor="background1"/>
              </w:rPr>
              <w:t>Important identified risk (VTE prevention, AF, VTE Treatment and Prevention of Recurrent VTE)</w:t>
            </w:r>
          </w:p>
        </w:tc>
        <w:tc>
          <w:tcPr>
            <w:tcW w:w="5068" w:type="dxa"/>
            <w:tcBorders>
              <w:top w:val="single" w:sz="4" w:space="0" w:color="auto"/>
              <w:left w:val="single" w:sz="4" w:space="0" w:color="auto"/>
              <w:bottom w:val="single" w:sz="4" w:space="0" w:color="auto"/>
              <w:right w:val="single" w:sz="4" w:space="0" w:color="auto"/>
            </w:tcBorders>
            <w:hideMark/>
          </w:tcPr>
          <w:p w:rsidR="001B05E0" w:rsidRPr="005D1003" w:rsidRDefault="001B05E0" w:rsidP="00D22DCC">
            <w:pPr>
              <w:pStyle w:val="ListBullet"/>
              <w:rPr>
                <w:lang w:eastAsia="en-US"/>
              </w:rPr>
            </w:pPr>
            <w:r w:rsidRPr="005D1003">
              <w:t>Bleeding</w:t>
            </w:r>
          </w:p>
        </w:tc>
      </w:tr>
      <w:tr w:rsidR="001B05E0" w:rsidRPr="005D1003" w:rsidTr="00FD1E09">
        <w:tc>
          <w:tcPr>
            <w:tcW w:w="3544" w:type="dxa"/>
            <w:tcBorders>
              <w:top w:val="single" w:sz="4" w:space="0" w:color="auto"/>
              <w:left w:val="single" w:sz="4" w:space="0" w:color="auto"/>
              <w:bottom w:val="single" w:sz="4" w:space="0" w:color="auto"/>
              <w:right w:val="single" w:sz="4" w:space="0" w:color="auto"/>
            </w:tcBorders>
            <w:shd w:val="clear" w:color="auto" w:fill="0070C0"/>
            <w:hideMark/>
          </w:tcPr>
          <w:p w:rsidR="001B05E0" w:rsidRPr="00D22DCC" w:rsidRDefault="001B05E0" w:rsidP="00D22DCC">
            <w:pPr>
              <w:rPr>
                <w:rFonts w:cs="Arial"/>
                <w:b/>
                <w:color w:val="FFFFFF" w:themeColor="background1"/>
                <w:lang w:eastAsia="en-US"/>
              </w:rPr>
            </w:pPr>
            <w:r w:rsidRPr="00D22DCC">
              <w:rPr>
                <w:b/>
                <w:color w:val="FFFFFF" w:themeColor="background1"/>
              </w:rPr>
              <w:t>Important identified risk (VTE prevention)</w:t>
            </w:r>
          </w:p>
        </w:tc>
        <w:tc>
          <w:tcPr>
            <w:tcW w:w="5068" w:type="dxa"/>
            <w:tcBorders>
              <w:top w:val="single" w:sz="4" w:space="0" w:color="auto"/>
              <w:left w:val="single" w:sz="4" w:space="0" w:color="auto"/>
              <w:bottom w:val="single" w:sz="4" w:space="0" w:color="auto"/>
              <w:right w:val="single" w:sz="4" w:space="0" w:color="auto"/>
            </w:tcBorders>
            <w:hideMark/>
          </w:tcPr>
          <w:p w:rsidR="001B05E0" w:rsidRPr="005D1003" w:rsidRDefault="001B05E0" w:rsidP="00D22DCC">
            <w:pPr>
              <w:pStyle w:val="ListBullet"/>
              <w:rPr>
                <w:lang w:eastAsia="en-US"/>
              </w:rPr>
            </w:pPr>
            <w:r w:rsidRPr="005D1003">
              <w:t>Transient elevation of liver tests</w:t>
            </w:r>
          </w:p>
        </w:tc>
      </w:tr>
      <w:tr w:rsidR="001B05E0" w:rsidRPr="005D1003" w:rsidTr="00FD1E09">
        <w:tc>
          <w:tcPr>
            <w:tcW w:w="3544" w:type="dxa"/>
            <w:tcBorders>
              <w:top w:val="single" w:sz="4" w:space="0" w:color="auto"/>
              <w:left w:val="single" w:sz="4" w:space="0" w:color="auto"/>
              <w:bottom w:val="single" w:sz="4" w:space="0" w:color="auto"/>
              <w:right w:val="single" w:sz="4" w:space="0" w:color="auto"/>
            </w:tcBorders>
            <w:shd w:val="clear" w:color="auto" w:fill="0070C0"/>
            <w:hideMark/>
          </w:tcPr>
          <w:p w:rsidR="001B05E0" w:rsidRPr="00D22DCC" w:rsidRDefault="001B05E0" w:rsidP="00D22DCC">
            <w:pPr>
              <w:rPr>
                <w:rFonts w:cs="Arial"/>
                <w:b/>
                <w:color w:val="FFFFFF" w:themeColor="background1"/>
                <w:lang w:eastAsia="en-US"/>
              </w:rPr>
            </w:pPr>
            <w:r w:rsidRPr="00D22DCC">
              <w:rPr>
                <w:b/>
                <w:color w:val="FFFFFF" w:themeColor="background1"/>
              </w:rPr>
              <w:t>Important potential risk (AF, VTE Treatment and Prevention of Recurrent VTE)</w:t>
            </w:r>
          </w:p>
        </w:tc>
        <w:tc>
          <w:tcPr>
            <w:tcW w:w="5068" w:type="dxa"/>
            <w:tcBorders>
              <w:top w:val="single" w:sz="4" w:space="0" w:color="auto"/>
              <w:left w:val="single" w:sz="4" w:space="0" w:color="auto"/>
              <w:bottom w:val="single" w:sz="4" w:space="0" w:color="auto"/>
              <w:right w:val="single" w:sz="4" w:space="0" w:color="auto"/>
            </w:tcBorders>
            <w:hideMark/>
          </w:tcPr>
          <w:p w:rsidR="001B05E0" w:rsidRPr="005D1003" w:rsidRDefault="001B05E0" w:rsidP="00D22DCC">
            <w:pPr>
              <w:pStyle w:val="ListBullet"/>
              <w:rPr>
                <w:lang w:eastAsia="en-US"/>
              </w:rPr>
            </w:pPr>
            <w:r w:rsidRPr="005D1003">
              <w:t>Liver Injury</w:t>
            </w:r>
          </w:p>
        </w:tc>
      </w:tr>
      <w:tr w:rsidR="001B05E0" w:rsidRPr="005D1003" w:rsidTr="00FD1E09">
        <w:tc>
          <w:tcPr>
            <w:tcW w:w="3544" w:type="dxa"/>
            <w:tcBorders>
              <w:top w:val="single" w:sz="4" w:space="0" w:color="auto"/>
              <w:left w:val="single" w:sz="4" w:space="0" w:color="auto"/>
              <w:bottom w:val="single" w:sz="4" w:space="0" w:color="auto"/>
              <w:right w:val="single" w:sz="4" w:space="0" w:color="auto"/>
            </w:tcBorders>
            <w:shd w:val="clear" w:color="auto" w:fill="0070C0"/>
            <w:hideMark/>
          </w:tcPr>
          <w:p w:rsidR="001B05E0" w:rsidRPr="00D22DCC" w:rsidRDefault="001B05E0" w:rsidP="00D22DCC">
            <w:pPr>
              <w:rPr>
                <w:rFonts w:cs="Arial"/>
                <w:b/>
                <w:color w:val="FFFFFF" w:themeColor="background1"/>
                <w:lang w:eastAsia="en-US"/>
              </w:rPr>
            </w:pPr>
            <w:r w:rsidRPr="00D22DCC">
              <w:rPr>
                <w:b/>
                <w:color w:val="FFFFFF" w:themeColor="background1"/>
              </w:rPr>
              <w:t>Missing information</w:t>
            </w:r>
          </w:p>
        </w:tc>
        <w:tc>
          <w:tcPr>
            <w:tcW w:w="5068" w:type="dxa"/>
            <w:tcBorders>
              <w:top w:val="single" w:sz="4" w:space="0" w:color="auto"/>
              <w:left w:val="single" w:sz="4" w:space="0" w:color="auto"/>
              <w:bottom w:val="single" w:sz="4" w:space="0" w:color="auto"/>
              <w:right w:val="single" w:sz="4" w:space="0" w:color="auto"/>
            </w:tcBorders>
            <w:hideMark/>
          </w:tcPr>
          <w:p w:rsidR="001B05E0" w:rsidRPr="005D1003" w:rsidRDefault="001B05E0" w:rsidP="00D22DCC">
            <w:pPr>
              <w:pStyle w:val="ListBullet"/>
              <w:rPr>
                <w:lang w:eastAsia="en-US"/>
              </w:rPr>
            </w:pPr>
            <w:r w:rsidRPr="005D1003">
              <w:t>Paediatrics</w:t>
            </w:r>
          </w:p>
          <w:p w:rsidR="001B05E0" w:rsidRPr="005D1003" w:rsidRDefault="001B05E0" w:rsidP="00D22DCC">
            <w:pPr>
              <w:pStyle w:val="ListBullet"/>
            </w:pPr>
            <w:r w:rsidRPr="005D1003">
              <w:t>Pregnant or lactating women</w:t>
            </w:r>
          </w:p>
          <w:p w:rsidR="001B05E0" w:rsidRPr="005D1003" w:rsidRDefault="001B05E0" w:rsidP="00D22DCC">
            <w:pPr>
              <w:pStyle w:val="ListBullet"/>
            </w:pPr>
            <w:r w:rsidRPr="005D1003">
              <w:t>Severe hepatic impairment</w:t>
            </w:r>
          </w:p>
          <w:p w:rsidR="001B05E0" w:rsidRPr="005D1003" w:rsidRDefault="001B05E0" w:rsidP="00D22DCC">
            <w:pPr>
              <w:pStyle w:val="ListBullet"/>
            </w:pPr>
            <w:r w:rsidRPr="005D1003">
              <w:t>Severe renal impairment</w:t>
            </w:r>
          </w:p>
          <w:p w:rsidR="001B05E0" w:rsidRPr="005D1003" w:rsidRDefault="001B05E0" w:rsidP="00D22DCC">
            <w:pPr>
              <w:pStyle w:val="ListBullet"/>
            </w:pPr>
            <w:r w:rsidRPr="005D1003">
              <w:t>Black/African American population</w:t>
            </w:r>
          </w:p>
          <w:p w:rsidR="001B05E0" w:rsidRPr="005D1003" w:rsidRDefault="001B05E0" w:rsidP="00D22DCC">
            <w:pPr>
              <w:pStyle w:val="ListBullet"/>
            </w:pPr>
            <w:r w:rsidRPr="005D1003">
              <w:t>Hip fracture surgery</w:t>
            </w:r>
          </w:p>
          <w:p w:rsidR="001B05E0" w:rsidRPr="005D1003" w:rsidRDefault="001B05E0" w:rsidP="00D22DCC">
            <w:pPr>
              <w:pStyle w:val="ListBullet"/>
            </w:pPr>
            <w:r w:rsidRPr="005D1003">
              <w:t>AF with valvular disease</w:t>
            </w:r>
          </w:p>
          <w:p w:rsidR="001B05E0" w:rsidRPr="005D1003" w:rsidRDefault="001B05E0" w:rsidP="00D22DCC">
            <w:pPr>
              <w:pStyle w:val="ListBullet"/>
            </w:pPr>
            <w:r w:rsidRPr="005D1003">
              <w:t>Patients with prosthetic heart valve</w:t>
            </w:r>
          </w:p>
          <w:p w:rsidR="001B05E0" w:rsidRPr="005D1003" w:rsidRDefault="001B05E0" w:rsidP="00D22DCC">
            <w:pPr>
              <w:pStyle w:val="ListBullet"/>
            </w:pPr>
            <w:proofErr w:type="spellStart"/>
            <w:r w:rsidRPr="005D1003">
              <w:t>Haemodynamically</w:t>
            </w:r>
            <w:proofErr w:type="spellEnd"/>
            <w:r w:rsidRPr="005D1003">
              <w:t xml:space="preserve"> unstable PE patients</w:t>
            </w:r>
          </w:p>
          <w:p w:rsidR="001B05E0" w:rsidRPr="005D1003" w:rsidRDefault="001B05E0" w:rsidP="00D22DCC">
            <w:pPr>
              <w:pStyle w:val="ListBullet"/>
            </w:pPr>
            <w:r w:rsidRPr="005D1003">
              <w:t>Non-Caucasian and non-Asian ethnicity</w:t>
            </w:r>
          </w:p>
          <w:p w:rsidR="001B05E0" w:rsidRPr="005D1003" w:rsidRDefault="001B05E0" w:rsidP="00D22DCC">
            <w:pPr>
              <w:pStyle w:val="ListBullet"/>
              <w:rPr>
                <w:lang w:eastAsia="en-US"/>
              </w:rPr>
            </w:pPr>
            <w:r w:rsidRPr="005D1003">
              <w:t>Off-label use</w:t>
            </w:r>
          </w:p>
        </w:tc>
      </w:tr>
    </w:tbl>
    <w:p w:rsidR="001B05E0" w:rsidRPr="005D1003" w:rsidRDefault="001B05E0" w:rsidP="00D22DCC">
      <w:pPr>
        <w:pageBreakBefore/>
        <w:rPr>
          <w:rFonts w:cs="Arial"/>
        </w:rPr>
      </w:pPr>
      <w:r w:rsidRPr="005D1003">
        <w:lastRenderedPageBreak/>
        <w:t>The ASA includes additional safety concerns not listed in the EU-RMP as follows:</w:t>
      </w:r>
    </w:p>
    <w:tbl>
      <w:tblPr>
        <w:tblStyle w:val="TableGrid"/>
        <w:tblW w:w="0" w:type="auto"/>
        <w:tblInd w:w="108" w:type="dxa"/>
        <w:tblLook w:val="04A0" w:firstRow="1" w:lastRow="0" w:firstColumn="1" w:lastColumn="0" w:noHBand="0" w:noVBand="1"/>
      </w:tblPr>
      <w:tblGrid>
        <w:gridCol w:w="3544"/>
        <w:gridCol w:w="5068"/>
      </w:tblGrid>
      <w:tr w:rsidR="001B05E0" w:rsidRPr="005D1003" w:rsidTr="00FD1E09">
        <w:tc>
          <w:tcPr>
            <w:tcW w:w="3544" w:type="dxa"/>
            <w:tcBorders>
              <w:top w:val="single" w:sz="4" w:space="0" w:color="auto"/>
              <w:left w:val="single" w:sz="4" w:space="0" w:color="auto"/>
              <w:bottom w:val="single" w:sz="4" w:space="0" w:color="auto"/>
              <w:right w:val="single" w:sz="4" w:space="0" w:color="auto"/>
            </w:tcBorders>
            <w:shd w:val="clear" w:color="auto" w:fill="0070C0"/>
            <w:hideMark/>
          </w:tcPr>
          <w:p w:rsidR="001B05E0" w:rsidRPr="005D1003" w:rsidRDefault="001B05E0">
            <w:pPr>
              <w:adjustRightInd w:val="0"/>
              <w:snapToGrid w:val="0"/>
              <w:spacing w:before="180" w:after="180"/>
              <w:jc w:val="both"/>
              <w:rPr>
                <w:rFonts w:asciiTheme="minorHAnsi" w:hAnsiTheme="minorHAnsi" w:cs="Arial"/>
                <w:b/>
                <w:color w:val="FFFFFF" w:themeColor="background1"/>
                <w:sz w:val="20"/>
                <w:szCs w:val="20"/>
                <w:lang w:eastAsia="en-US"/>
              </w:rPr>
            </w:pPr>
            <w:r w:rsidRPr="005D1003">
              <w:rPr>
                <w:rFonts w:asciiTheme="minorHAnsi" w:hAnsiTheme="minorHAnsi"/>
                <w:b/>
                <w:color w:val="FFFFFF" w:themeColor="background1"/>
                <w:sz w:val="20"/>
                <w:szCs w:val="20"/>
              </w:rPr>
              <w:t>Important potential risks</w:t>
            </w:r>
          </w:p>
        </w:tc>
        <w:tc>
          <w:tcPr>
            <w:tcW w:w="5068" w:type="dxa"/>
            <w:tcBorders>
              <w:top w:val="single" w:sz="4" w:space="0" w:color="auto"/>
              <w:left w:val="single" w:sz="4" w:space="0" w:color="auto"/>
              <w:bottom w:val="single" w:sz="4" w:space="0" w:color="auto"/>
              <w:right w:val="single" w:sz="4" w:space="0" w:color="auto"/>
            </w:tcBorders>
            <w:hideMark/>
          </w:tcPr>
          <w:p w:rsidR="001B05E0" w:rsidRPr="005D1003" w:rsidRDefault="001B05E0" w:rsidP="00D22DCC">
            <w:pPr>
              <w:pStyle w:val="ListBullet"/>
              <w:rPr>
                <w:lang w:eastAsia="en-US"/>
              </w:rPr>
            </w:pPr>
            <w:r w:rsidRPr="005D1003">
              <w:t>GI Bleeding in those ≥ 80 years for AF</w:t>
            </w:r>
          </w:p>
          <w:p w:rsidR="001B05E0" w:rsidRPr="005D1003" w:rsidRDefault="001B05E0" w:rsidP="00D22DCC">
            <w:pPr>
              <w:pStyle w:val="ListBullet"/>
              <w:rPr>
                <w:lang w:eastAsia="en-US"/>
              </w:rPr>
            </w:pPr>
            <w:r w:rsidRPr="005D1003">
              <w:t>Ocular bleeding in those ≥ 80 years for AF</w:t>
            </w:r>
          </w:p>
        </w:tc>
      </w:tr>
      <w:tr w:rsidR="001B05E0" w:rsidRPr="005D1003" w:rsidTr="00FD1E09">
        <w:tc>
          <w:tcPr>
            <w:tcW w:w="3544" w:type="dxa"/>
            <w:tcBorders>
              <w:top w:val="single" w:sz="4" w:space="0" w:color="auto"/>
              <w:left w:val="single" w:sz="4" w:space="0" w:color="auto"/>
              <w:bottom w:val="single" w:sz="4" w:space="0" w:color="auto"/>
              <w:right w:val="single" w:sz="4" w:space="0" w:color="auto"/>
            </w:tcBorders>
            <w:shd w:val="clear" w:color="auto" w:fill="0070C0"/>
            <w:hideMark/>
          </w:tcPr>
          <w:p w:rsidR="001B05E0" w:rsidRPr="005D1003" w:rsidRDefault="001B05E0">
            <w:pPr>
              <w:adjustRightInd w:val="0"/>
              <w:snapToGrid w:val="0"/>
              <w:spacing w:before="180" w:after="180"/>
              <w:jc w:val="both"/>
              <w:rPr>
                <w:rFonts w:asciiTheme="minorHAnsi" w:hAnsiTheme="minorHAnsi" w:cs="Arial"/>
                <w:b/>
                <w:color w:val="FFFFFF" w:themeColor="background1"/>
                <w:sz w:val="20"/>
                <w:szCs w:val="20"/>
                <w:lang w:eastAsia="en-US"/>
              </w:rPr>
            </w:pPr>
            <w:r w:rsidRPr="005D1003">
              <w:rPr>
                <w:rFonts w:asciiTheme="minorHAnsi" w:hAnsiTheme="minorHAnsi"/>
                <w:b/>
                <w:color w:val="FFFFFF" w:themeColor="background1"/>
                <w:sz w:val="20"/>
                <w:szCs w:val="20"/>
              </w:rPr>
              <w:t>Missing information</w:t>
            </w:r>
          </w:p>
        </w:tc>
        <w:tc>
          <w:tcPr>
            <w:tcW w:w="5068" w:type="dxa"/>
            <w:tcBorders>
              <w:top w:val="single" w:sz="4" w:space="0" w:color="auto"/>
              <w:left w:val="single" w:sz="4" w:space="0" w:color="auto"/>
              <w:bottom w:val="single" w:sz="4" w:space="0" w:color="auto"/>
              <w:right w:val="single" w:sz="4" w:space="0" w:color="auto"/>
            </w:tcBorders>
            <w:hideMark/>
          </w:tcPr>
          <w:p w:rsidR="001B05E0" w:rsidRPr="005D1003" w:rsidRDefault="001B05E0" w:rsidP="00D22DCC">
            <w:pPr>
              <w:pStyle w:val="ListBullet"/>
              <w:rPr>
                <w:lang w:eastAsia="en-US"/>
              </w:rPr>
            </w:pPr>
            <w:r w:rsidRPr="005D1003">
              <w:t>Management of severe bleeding</w:t>
            </w:r>
          </w:p>
          <w:p w:rsidR="001B05E0" w:rsidRPr="005D1003" w:rsidRDefault="001B05E0" w:rsidP="00D22DCC">
            <w:pPr>
              <w:pStyle w:val="ListBullet"/>
            </w:pPr>
            <w:r w:rsidRPr="005D1003">
              <w:t xml:space="preserve">Use in the very elderly (≥75 years) for </w:t>
            </w:r>
            <w:proofErr w:type="spellStart"/>
            <w:r w:rsidRPr="005D1003">
              <w:t>VTEp</w:t>
            </w:r>
            <w:proofErr w:type="spellEnd"/>
          </w:p>
          <w:p w:rsidR="001B05E0" w:rsidRPr="005D1003" w:rsidRDefault="001B05E0" w:rsidP="00D22DCC">
            <w:pPr>
              <w:pStyle w:val="ListBullet"/>
              <w:rPr>
                <w:lang w:eastAsia="en-US"/>
              </w:rPr>
            </w:pPr>
            <w:r w:rsidRPr="005D1003">
              <w:t>Overdose/Coagulation monitoring</w:t>
            </w:r>
          </w:p>
        </w:tc>
      </w:tr>
    </w:tbl>
    <w:p w:rsidR="001B05E0" w:rsidRDefault="001B05E0" w:rsidP="004A4B93">
      <w:pPr>
        <w:rPr>
          <w:rFonts w:cs="Arial"/>
        </w:rPr>
      </w:pPr>
      <w:r>
        <w:t>The above safety concerns were included in the ASA based on TGA requirements resulting from previous evaluations.</w:t>
      </w:r>
      <w:r w:rsidR="00127885">
        <w:t xml:space="preserve"> </w:t>
      </w:r>
      <w:r>
        <w:t>The sponsor has provided the following statement in the ASA regarding these additions:</w:t>
      </w:r>
    </w:p>
    <w:p w:rsidR="001B05E0" w:rsidRPr="004A4B93" w:rsidRDefault="00511CAF" w:rsidP="00C17865">
      <w:pPr>
        <w:ind w:left="709"/>
        <w:rPr>
          <w:i/>
        </w:rPr>
      </w:pPr>
      <w:r w:rsidRPr="004A4B93">
        <w:rPr>
          <w:i/>
        </w:rPr>
        <w:t>The s</w:t>
      </w:r>
      <w:r w:rsidR="001B05E0" w:rsidRPr="004A4B93">
        <w:rPr>
          <w:i/>
        </w:rPr>
        <w:t>ponsor wishes to clarify that it does not consider these additions to represent activities that are necessary to ensure patient safety and proper use of the product based on available evidence.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1B05E0" w:rsidRDefault="001B05E0" w:rsidP="004A4B93">
      <w:r>
        <w:t>Routine pharmacovigilance is proposed to monitor the specified important identified and potential risks and missing information.</w:t>
      </w:r>
      <w:r w:rsidR="00127885">
        <w:t xml:space="preserve"> </w:t>
      </w:r>
      <w:r w:rsidR="00B917B2">
        <w:t>Two</w:t>
      </w:r>
      <w:r>
        <w:t xml:space="preserve"> drug utilisation studies are ongoing in Sweden and the Netherlands.</w:t>
      </w:r>
      <w:r w:rsidR="00127885">
        <w:t xml:space="preserve"> </w:t>
      </w:r>
      <w:r>
        <w:t>No other additional pharmacovigilance activitie</w:t>
      </w:r>
      <w:r w:rsidR="00B917B2">
        <w:t>s are proposed</w:t>
      </w:r>
      <w:r>
        <w:t>.</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1B05E0" w:rsidRDefault="001B05E0" w:rsidP="004A4B93">
      <w:bookmarkStart w:id="176" w:name="_Toc247691527"/>
      <w:r>
        <w:t>The proposed risk minimisation plan includes routine activities (product labelling) to mitigate the specified risks.</w:t>
      </w:r>
      <w:r w:rsidR="00127885">
        <w:t xml:space="preserve"> </w:t>
      </w:r>
      <w:r>
        <w:t>A patient and healthcare professional educational program is proposed as additional risk minimisation for the important identified an</w:t>
      </w:r>
      <w:r w:rsidR="00B917B2">
        <w:t>d potential risks</w:t>
      </w:r>
      <w:r w:rsidR="004A4B93">
        <w:t>.</w:t>
      </w:r>
    </w:p>
    <w:p w:rsidR="006F25B8" w:rsidRDefault="006F25B8" w:rsidP="004A4B93">
      <w:pPr>
        <w:pStyle w:val="Heading4"/>
        <w:rPr>
          <w:lang w:eastAsia="en-AU"/>
        </w:rPr>
      </w:pPr>
      <w:r w:rsidRPr="004A4B93">
        <w:t>Reconciliation</w:t>
      </w:r>
      <w:r w:rsidRPr="006F25B8">
        <w:rPr>
          <w:lang w:eastAsia="en-AU"/>
        </w:rPr>
        <w:t xml:space="preserve"> of is</w:t>
      </w:r>
      <w:r w:rsidR="004A4B93">
        <w:rPr>
          <w:lang w:eastAsia="en-AU"/>
        </w:rPr>
        <w:t>sues outlined in the RMP report</w:t>
      </w:r>
    </w:p>
    <w:p w:rsidR="006F25B8" w:rsidRDefault="006F25B8" w:rsidP="006F25B8">
      <w:pPr>
        <w:rPr>
          <w:lang w:eastAsia="en-AU"/>
        </w:rPr>
      </w:pPr>
      <w:r>
        <w:rPr>
          <w:lang w:eastAsia="en-AU"/>
        </w:rPr>
        <w:t xml:space="preserve">Table </w:t>
      </w:r>
      <w:r w:rsidR="00B917B2">
        <w:rPr>
          <w:lang w:eastAsia="en-AU"/>
        </w:rPr>
        <w:t>4</w:t>
      </w:r>
      <w:r>
        <w:rPr>
          <w:lang w:eastAsia="en-AU"/>
        </w:rPr>
        <w:t xml:space="preserve"> summarises the first round evaluation of the RMP, the sponsor’s responses to issues raised by the </w:t>
      </w:r>
      <w:r w:rsidR="00B917B2">
        <w:rPr>
          <w:lang w:eastAsia="en-AU"/>
        </w:rPr>
        <w:t>RMP evaluator</w:t>
      </w:r>
      <w:r>
        <w:rPr>
          <w:lang w:eastAsia="en-AU"/>
        </w:rPr>
        <w:t xml:space="preserve"> and the evaluat</w:t>
      </w:r>
      <w:r w:rsidR="001B05E0">
        <w:rPr>
          <w:lang w:eastAsia="en-AU"/>
        </w:rPr>
        <w:t>ion of the sponsor’s responses.</w:t>
      </w:r>
    </w:p>
    <w:tbl>
      <w:tblPr>
        <w:tblStyle w:val="TableTGAblue"/>
        <w:tblW w:w="5000" w:type="pct"/>
        <w:jc w:val="center"/>
        <w:tblLook w:val="04A0" w:firstRow="1" w:lastRow="0" w:firstColumn="1" w:lastColumn="0" w:noHBand="0" w:noVBand="1"/>
      </w:tblPr>
      <w:tblGrid>
        <w:gridCol w:w="3088"/>
        <w:gridCol w:w="3087"/>
        <w:gridCol w:w="2545"/>
      </w:tblGrid>
      <w:tr w:rsidR="001B05E0" w:rsidTr="001B05E0">
        <w:trPr>
          <w:cnfStyle w:val="100000000000" w:firstRow="1" w:lastRow="0" w:firstColumn="0" w:lastColumn="0" w:oddVBand="0" w:evenVBand="0" w:oddHBand="0" w:evenHBand="0" w:firstRowFirstColumn="0" w:firstRowLastColumn="0" w:lastRowFirstColumn="0" w:lastRowLastColumn="0"/>
          <w:jc w:val="center"/>
        </w:trPr>
        <w:tc>
          <w:tcPr>
            <w:tcW w:w="1714" w:type="pct"/>
            <w:noWrap/>
            <w:hideMark/>
          </w:tcPr>
          <w:p w:rsidR="001B05E0" w:rsidRPr="004A4B93" w:rsidRDefault="001B05E0" w:rsidP="004A4B93">
            <w:pPr>
              <w:ind w:left="0" w:right="0"/>
              <w:rPr>
                <w:rFonts w:eastAsia="MS Mincho"/>
                <w:sz w:val="20"/>
                <w:szCs w:val="20"/>
              </w:rPr>
            </w:pPr>
            <w:r w:rsidRPr="004A4B93">
              <w:rPr>
                <w:sz w:val="20"/>
                <w:szCs w:val="20"/>
              </w:rPr>
              <w:t>Recommendation in RMP evaluation report</w:t>
            </w:r>
          </w:p>
        </w:tc>
        <w:tc>
          <w:tcPr>
            <w:tcW w:w="2300" w:type="pct"/>
            <w:noWrap/>
          </w:tcPr>
          <w:p w:rsidR="001B05E0" w:rsidRPr="004A4B93" w:rsidRDefault="001B05E0" w:rsidP="004A4B93">
            <w:pPr>
              <w:ind w:left="0" w:right="0"/>
              <w:rPr>
                <w:rFonts w:eastAsia="MS Mincho"/>
                <w:sz w:val="20"/>
                <w:szCs w:val="20"/>
              </w:rPr>
            </w:pPr>
            <w:r w:rsidRPr="004A4B93">
              <w:rPr>
                <w:sz w:val="20"/>
                <w:szCs w:val="20"/>
              </w:rPr>
              <w:t>Sponsor’s response (or summary of the response)</w:t>
            </w:r>
          </w:p>
        </w:tc>
        <w:tc>
          <w:tcPr>
            <w:tcW w:w="985" w:type="pct"/>
            <w:noWrap/>
            <w:hideMark/>
          </w:tcPr>
          <w:p w:rsidR="001B05E0" w:rsidRPr="004A4B93" w:rsidRDefault="001B05E0" w:rsidP="004A4B93">
            <w:pPr>
              <w:ind w:left="0" w:right="0"/>
              <w:rPr>
                <w:rFonts w:eastAsia="MS Mincho"/>
                <w:sz w:val="20"/>
                <w:szCs w:val="20"/>
              </w:rPr>
            </w:pPr>
            <w:r w:rsidRPr="004A4B93">
              <w:rPr>
                <w:sz w:val="20"/>
                <w:szCs w:val="20"/>
              </w:rPr>
              <w:t>RMP evaluator’s comment</w:t>
            </w:r>
          </w:p>
        </w:tc>
      </w:tr>
      <w:tr w:rsidR="001B05E0"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7908EB" w:rsidRDefault="001B05E0" w:rsidP="005E3B3A">
            <w:pPr>
              <w:pStyle w:val="Numberbullet0"/>
              <w:numPr>
                <w:ilvl w:val="0"/>
                <w:numId w:val="32"/>
              </w:numPr>
              <w:ind w:right="0"/>
              <w:rPr>
                <w:rFonts w:eastAsia="MS Mincho"/>
                <w:sz w:val="20"/>
                <w:szCs w:val="20"/>
              </w:rPr>
            </w:pPr>
            <w:r w:rsidRPr="007908EB">
              <w:rPr>
                <w:sz w:val="20"/>
                <w:szCs w:val="20"/>
              </w:rPr>
              <w:t>Safety considerations may be raised by the nonclinical and clinical evaluators through the consolidated section 31 request and/or the Nonclinical and Clinical Evaluation Reports respectively.</w:t>
            </w:r>
            <w:r w:rsidR="00127885" w:rsidRPr="007908EB">
              <w:rPr>
                <w:sz w:val="20"/>
                <w:szCs w:val="20"/>
              </w:rPr>
              <w:t xml:space="preserve"> </w:t>
            </w:r>
            <w:r w:rsidRPr="007908EB">
              <w:rPr>
                <w:sz w:val="20"/>
                <w:szCs w:val="20"/>
              </w:rPr>
              <w:t>It is important to ensure that the information provided in response to these include</w:t>
            </w:r>
            <w:r w:rsidR="00210471" w:rsidRPr="007908EB">
              <w:rPr>
                <w:sz w:val="20"/>
                <w:szCs w:val="20"/>
              </w:rPr>
              <w:t>s</w:t>
            </w:r>
            <w:r w:rsidRPr="007908EB">
              <w:rPr>
                <w:sz w:val="20"/>
                <w:szCs w:val="20"/>
              </w:rPr>
              <w:t xml:space="preserve"> a consideration of the relevance for the Risk Management Plan, and any specific information needed to address this issue in the RMP.</w:t>
            </w:r>
            <w:r w:rsidR="00127885" w:rsidRPr="007908EB">
              <w:rPr>
                <w:sz w:val="20"/>
                <w:szCs w:val="20"/>
              </w:rPr>
              <w:t xml:space="preserve"> </w:t>
            </w:r>
            <w:r w:rsidRPr="007908EB">
              <w:rPr>
                <w:bCs/>
                <w:sz w:val="20"/>
                <w:szCs w:val="20"/>
              </w:rPr>
              <w:t xml:space="preserve">For any safety </w:t>
            </w:r>
            <w:r w:rsidRPr="007908EB">
              <w:rPr>
                <w:bCs/>
                <w:sz w:val="20"/>
                <w:szCs w:val="20"/>
              </w:rPr>
              <w:lastRenderedPageBreak/>
              <w:t xml:space="preserve">considerations so raised, </w:t>
            </w:r>
            <w:r w:rsidRPr="007908EB">
              <w:rPr>
                <w:sz w:val="20"/>
                <w:szCs w:val="20"/>
              </w:rPr>
              <w:t>the sponsor should</w:t>
            </w:r>
            <w:r w:rsidRPr="007908EB">
              <w:rPr>
                <w:bCs/>
                <w:sz w:val="20"/>
                <w:szCs w:val="20"/>
              </w:rPr>
              <w:t xml:space="preserve"> provide information that is relevant and necessary to address the issue in the RMP.</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7908EB" w:rsidRDefault="001B05E0" w:rsidP="007908EB">
            <w:pPr>
              <w:ind w:left="31" w:right="0"/>
              <w:rPr>
                <w:rFonts w:eastAsia="MS Mincho"/>
                <w:sz w:val="20"/>
                <w:szCs w:val="20"/>
              </w:rPr>
            </w:pPr>
            <w:r w:rsidRPr="007908EB">
              <w:rPr>
                <w:sz w:val="20"/>
                <w:szCs w:val="20"/>
              </w:rPr>
              <w:lastRenderedPageBreak/>
              <w:t>No specific response provided.</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7908EB" w:rsidRDefault="00E8383D" w:rsidP="007908EB">
            <w:pPr>
              <w:ind w:left="31" w:right="0"/>
              <w:rPr>
                <w:rFonts w:eastAsia="MS Mincho"/>
                <w:sz w:val="20"/>
                <w:szCs w:val="20"/>
              </w:rPr>
            </w:pPr>
            <w:r w:rsidRPr="007908EB">
              <w:rPr>
                <w:sz w:val="20"/>
                <w:szCs w:val="20"/>
              </w:rPr>
              <w:t>Not applicable (</w:t>
            </w:r>
            <w:r w:rsidR="001B05E0" w:rsidRPr="007908EB">
              <w:rPr>
                <w:sz w:val="20"/>
                <w:szCs w:val="20"/>
              </w:rPr>
              <w:t>n/a</w:t>
            </w:r>
            <w:r w:rsidRPr="007908EB">
              <w:rPr>
                <w:sz w:val="20"/>
                <w:szCs w:val="20"/>
              </w:rPr>
              <w:t>).</w:t>
            </w:r>
          </w:p>
        </w:tc>
      </w:tr>
      <w:tr w:rsidR="001B05E0"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5E3B3A" w:rsidRDefault="001B05E0" w:rsidP="005E3B3A">
            <w:pPr>
              <w:pStyle w:val="Numberbullet0"/>
              <w:ind w:right="37"/>
              <w:rPr>
                <w:rFonts w:asciiTheme="minorHAnsi" w:eastAsia="MS Mincho" w:hAnsiTheme="minorHAnsi" w:cstheme="minorHAnsi"/>
                <w:i/>
                <w:sz w:val="20"/>
                <w:szCs w:val="20"/>
              </w:rPr>
            </w:pPr>
            <w:r w:rsidRPr="005E3B3A">
              <w:rPr>
                <w:sz w:val="20"/>
                <w:szCs w:val="20"/>
              </w:rPr>
              <w:lastRenderedPageBreak/>
              <w:t>It is noted that a dose reduction from 5</w:t>
            </w:r>
            <w:r w:rsidR="00E8383D" w:rsidRPr="005E3B3A">
              <w:rPr>
                <w:sz w:val="20"/>
                <w:szCs w:val="20"/>
              </w:rPr>
              <w:t xml:space="preserve"> </w:t>
            </w:r>
            <w:r w:rsidRPr="005E3B3A">
              <w:rPr>
                <w:sz w:val="20"/>
                <w:szCs w:val="20"/>
              </w:rPr>
              <w:t>mg twice daily to 2.5</w:t>
            </w:r>
            <w:r w:rsidR="005D1003" w:rsidRPr="005E3B3A">
              <w:rPr>
                <w:sz w:val="20"/>
                <w:szCs w:val="20"/>
              </w:rPr>
              <w:t xml:space="preserve"> </w:t>
            </w:r>
            <w:r w:rsidRPr="005E3B3A">
              <w:rPr>
                <w:sz w:val="20"/>
                <w:szCs w:val="20"/>
              </w:rPr>
              <w:t>mg twice daily is recommended for the non-valvular atrial fibrillation (NVAF) indication in patients with at least two of the following: ≥</w:t>
            </w:r>
            <w:r w:rsidR="00E8383D" w:rsidRPr="005E3B3A">
              <w:rPr>
                <w:sz w:val="20"/>
                <w:szCs w:val="20"/>
              </w:rPr>
              <w:t xml:space="preserve"> </w:t>
            </w:r>
            <w:r w:rsidRPr="005E3B3A">
              <w:rPr>
                <w:sz w:val="20"/>
                <w:szCs w:val="20"/>
              </w:rPr>
              <w:t>80 years, body weight ≤</w:t>
            </w:r>
            <w:r w:rsidR="00E8383D" w:rsidRPr="005E3B3A">
              <w:rPr>
                <w:sz w:val="20"/>
                <w:szCs w:val="20"/>
              </w:rPr>
              <w:t xml:space="preserve"> </w:t>
            </w:r>
            <w:r w:rsidRPr="005E3B3A">
              <w:rPr>
                <w:sz w:val="20"/>
                <w:szCs w:val="20"/>
              </w:rPr>
              <w:t>60</w:t>
            </w:r>
            <w:r w:rsidR="005D1003" w:rsidRPr="005E3B3A">
              <w:rPr>
                <w:sz w:val="20"/>
                <w:szCs w:val="20"/>
              </w:rPr>
              <w:t xml:space="preserve"> </w:t>
            </w:r>
            <w:r w:rsidRPr="005E3B3A">
              <w:rPr>
                <w:sz w:val="20"/>
                <w:szCs w:val="20"/>
              </w:rPr>
              <w:t>kg or serum creatinine ≥</w:t>
            </w:r>
            <w:r w:rsidR="00E8383D" w:rsidRPr="005E3B3A">
              <w:rPr>
                <w:sz w:val="20"/>
                <w:szCs w:val="20"/>
              </w:rPr>
              <w:t xml:space="preserve"> </w:t>
            </w:r>
            <w:proofErr w:type="gramStart"/>
            <w:r w:rsidRPr="005E3B3A">
              <w:rPr>
                <w:sz w:val="20"/>
                <w:szCs w:val="20"/>
              </w:rPr>
              <w:t>133</w:t>
            </w:r>
            <w:r w:rsidR="005D1003" w:rsidRPr="005E3B3A">
              <w:rPr>
                <w:sz w:val="20"/>
                <w:szCs w:val="20"/>
              </w:rPr>
              <w:t xml:space="preserve"> </w:t>
            </w:r>
            <w:r w:rsidRPr="005E3B3A">
              <w:rPr>
                <w:sz w:val="20"/>
                <w:szCs w:val="20"/>
              </w:rPr>
              <w:t>µ</w:t>
            </w:r>
            <w:proofErr w:type="spellStart"/>
            <w:r w:rsidRPr="005E3B3A">
              <w:rPr>
                <w:sz w:val="20"/>
                <w:szCs w:val="20"/>
              </w:rPr>
              <w:t>mol</w:t>
            </w:r>
            <w:proofErr w:type="spellEnd"/>
            <w:r w:rsidRPr="005E3B3A">
              <w:rPr>
                <w:sz w:val="20"/>
                <w:szCs w:val="20"/>
              </w:rPr>
              <w:t>/L.</w:t>
            </w:r>
            <w:proofErr w:type="gramEnd"/>
            <w:r w:rsidR="00127885" w:rsidRPr="005E3B3A">
              <w:rPr>
                <w:sz w:val="20"/>
                <w:szCs w:val="20"/>
              </w:rPr>
              <w:t xml:space="preserve"> </w:t>
            </w:r>
            <w:r w:rsidRPr="005E3B3A">
              <w:rPr>
                <w:sz w:val="20"/>
                <w:szCs w:val="20"/>
              </w:rPr>
              <w:t>No dose reduction is recommended for the proposed indications in these situations.</w:t>
            </w:r>
            <w:r w:rsidR="00127885" w:rsidRPr="005E3B3A">
              <w:rPr>
                <w:sz w:val="20"/>
                <w:szCs w:val="20"/>
              </w:rPr>
              <w:t xml:space="preserve"> </w:t>
            </w:r>
            <w:r w:rsidRPr="005E3B3A">
              <w:rPr>
                <w:sz w:val="20"/>
                <w:szCs w:val="20"/>
              </w:rPr>
              <w:t>This disparity is highlighted to the Delegate.</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5E3B3A" w:rsidRDefault="001B05E0" w:rsidP="005E3B3A">
            <w:pPr>
              <w:ind w:left="31" w:right="0"/>
              <w:rPr>
                <w:i/>
                <w:sz w:val="20"/>
                <w:szCs w:val="20"/>
              </w:rPr>
            </w:pPr>
            <w:r w:rsidRPr="005E3B3A">
              <w:rPr>
                <w:i/>
                <w:sz w:val="20"/>
                <w:szCs w:val="20"/>
              </w:rPr>
              <w:t xml:space="preserve">In discussing the recommendation for appropriate dosing, evaluation of the population receiving therapy is of critical importance. Venous Thromboembolism (VTE) and Non-Valvular Atrial Fibrillation (NVAF) are different clinical situations, with different patient populations that lead to different risk-benefit considerations. As justified below, the </w:t>
            </w:r>
            <w:r w:rsidR="00E8383D" w:rsidRPr="005E3B3A">
              <w:rPr>
                <w:i/>
                <w:sz w:val="20"/>
                <w:szCs w:val="20"/>
              </w:rPr>
              <w:t>s</w:t>
            </w:r>
            <w:r w:rsidRPr="005E3B3A">
              <w:rPr>
                <w:i/>
                <w:sz w:val="20"/>
                <w:szCs w:val="20"/>
              </w:rPr>
              <w:t>ponsor maintains that the posology should match what was studied in our program because a highly favo</w:t>
            </w:r>
            <w:r w:rsidR="00E8383D" w:rsidRPr="005E3B3A">
              <w:rPr>
                <w:i/>
                <w:sz w:val="20"/>
                <w:szCs w:val="20"/>
              </w:rPr>
              <w:t>u</w:t>
            </w:r>
            <w:r w:rsidRPr="005E3B3A">
              <w:rPr>
                <w:i/>
                <w:sz w:val="20"/>
                <w:szCs w:val="20"/>
              </w:rPr>
              <w:t>rable benefit-risk profile was demonstrated in both trials with this posology and because of the clinical importance of not under dosing patients with active clots and/or a high risk of recurrent VTE.</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5E3B3A" w:rsidRDefault="001B05E0" w:rsidP="005E3B3A">
            <w:pPr>
              <w:ind w:left="62" w:right="-1"/>
              <w:rPr>
                <w:rFonts w:eastAsia="MS Mincho"/>
                <w:sz w:val="20"/>
                <w:szCs w:val="20"/>
              </w:rPr>
            </w:pPr>
            <w:r w:rsidRPr="005E3B3A">
              <w:rPr>
                <w:sz w:val="20"/>
                <w:szCs w:val="20"/>
              </w:rPr>
              <w:t>Notwithstanding the justification provided, the disparity in dose reduction instructions between indications is subject to approval by the Delegate.</w:t>
            </w:r>
          </w:p>
        </w:tc>
      </w:tr>
      <w:tr w:rsidR="001B05E0"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5E3B3A" w:rsidRDefault="001B05E0" w:rsidP="005E3B3A">
            <w:pPr>
              <w:pStyle w:val="Numberbullet0"/>
              <w:ind w:right="0"/>
              <w:rPr>
                <w:rFonts w:cstheme="minorHAnsi"/>
                <w:sz w:val="20"/>
                <w:szCs w:val="20"/>
              </w:rPr>
            </w:pPr>
            <w:r w:rsidRPr="005E3B3A">
              <w:rPr>
                <w:sz w:val="20"/>
                <w:szCs w:val="20"/>
              </w:rPr>
              <w:t>The approved VTE prevention indication specifies for use in an adult population only.</w:t>
            </w:r>
            <w:r w:rsidR="00127885" w:rsidRPr="005E3B3A">
              <w:rPr>
                <w:sz w:val="20"/>
                <w:szCs w:val="20"/>
              </w:rPr>
              <w:t xml:space="preserve"> </w:t>
            </w:r>
            <w:r w:rsidRPr="005E3B3A">
              <w:rPr>
                <w:sz w:val="20"/>
                <w:szCs w:val="20"/>
              </w:rPr>
              <w:t xml:space="preserve">It is highlighted to the Delegate that this qualification is missing in the proposed indications even though there exists potential for off-label use in a paediatric population and </w:t>
            </w:r>
            <w:proofErr w:type="spellStart"/>
            <w:r w:rsidRPr="005E3B3A">
              <w:rPr>
                <w:sz w:val="20"/>
                <w:szCs w:val="20"/>
              </w:rPr>
              <w:t>apixaban</w:t>
            </w:r>
            <w:proofErr w:type="spellEnd"/>
            <w:r w:rsidRPr="005E3B3A">
              <w:rPr>
                <w:sz w:val="20"/>
                <w:szCs w:val="20"/>
              </w:rPr>
              <w:t xml:space="preserve"> is not recommended for paediatric use.</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ind w:left="31" w:right="0"/>
              <w:rPr>
                <w:rFonts w:eastAsia="MS Mincho"/>
                <w:i/>
                <w:sz w:val="20"/>
                <w:szCs w:val="20"/>
              </w:rPr>
            </w:pPr>
            <w:r w:rsidRPr="00375A96">
              <w:rPr>
                <w:i/>
                <w:sz w:val="20"/>
                <w:szCs w:val="20"/>
              </w:rPr>
              <w:t xml:space="preserve">The </w:t>
            </w:r>
            <w:r w:rsidR="00E8383D" w:rsidRPr="00375A96">
              <w:rPr>
                <w:i/>
                <w:sz w:val="20"/>
                <w:szCs w:val="20"/>
              </w:rPr>
              <w:t>s</w:t>
            </w:r>
            <w:r w:rsidRPr="00375A96">
              <w:rPr>
                <w:i/>
                <w:sz w:val="20"/>
                <w:szCs w:val="20"/>
              </w:rPr>
              <w:t>ponsor has updated the Product Information to specify the use in adult population only.</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ind w:left="31" w:right="0"/>
              <w:rPr>
                <w:rFonts w:eastAsia="MS Mincho"/>
                <w:sz w:val="20"/>
                <w:szCs w:val="20"/>
              </w:rPr>
            </w:pPr>
            <w:r w:rsidRPr="00375A96">
              <w:rPr>
                <w:sz w:val="20"/>
                <w:szCs w:val="20"/>
              </w:rPr>
              <w:t>This is acceptable from a RMP standpoint.</w:t>
            </w:r>
          </w:p>
        </w:tc>
      </w:tr>
      <w:tr w:rsidR="001B05E0"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5E3B3A" w:rsidRDefault="001B05E0" w:rsidP="005E3B3A">
            <w:pPr>
              <w:pStyle w:val="Numberbullet0"/>
              <w:ind w:right="37"/>
              <w:rPr>
                <w:rFonts w:eastAsia="Times New Roman"/>
                <w:sz w:val="20"/>
                <w:szCs w:val="20"/>
              </w:rPr>
            </w:pPr>
            <w:r w:rsidRPr="005E3B3A">
              <w:rPr>
                <w:sz w:val="20"/>
                <w:szCs w:val="20"/>
              </w:rPr>
              <w:t xml:space="preserve">The sponsor is requested to confirm why the important identified risk </w:t>
            </w:r>
            <w:r w:rsidRPr="005E3B3A">
              <w:rPr>
                <w:i/>
                <w:sz w:val="20"/>
                <w:szCs w:val="20"/>
              </w:rPr>
              <w:t xml:space="preserve">Transient elevation of liver tests </w:t>
            </w:r>
            <w:r w:rsidRPr="005E3B3A">
              <w:rPr>
                <w:sz w:val="20"/>
                <w:szCs w:val="20"/>
              </w:rPr>
              <w:t>still</w:t>
            </w:r>
            <w:r w:rsidRPr="005E3B3A">
              <w:rPr>
                <w:i/>
                <w:sz w:val="20"/>
                <w:szCs w:val="20"/>
              </w:rPr>
              <w:t xml:space="preserve"> </w:t>
            </w:r>
            <w:r w:rsidRPr="005E3B3A">
              <w:rPr>
                <w:sz w:val="20"/>
                <w:szCs w:val="20"/>
              </w:rPr>
              <w:t>remains only attributed to the VTE prevention indication.</w:t>
            </w:r>
            <w:r w:rsidR="00127885" w:rsidRPr="005E3B3A">
              <w:rPr>
                <w:sz w:val="20"/>
                <w:szCs w:val="20"/>
              </w:rPr>
              <w:t xml:space="preserve"> </w:t>
            </w:r>
            <w:r w:rsidRPr="005E3B3A">
              <w:rPr>
                <w:sz w:val="20"/>
                <w:szCs w:val="20"/>
              </w:rPr>
              <w:t xml:space="preserve">It is noted the following </w:t>
            </w:r>
            <w:r w:rsidR="005E3B3A" w:rsidRPr="005E3B3A">
              <w:rPr>
                <w:sz w:val="20"/>
                <w:szCs w:val="20"/>
              </w:rPr>
              <w:t>statement appears in the EU-RMP.</w:t>
            </w:r>
          </w:p>
          <w:p w:rsidR="001B05E0" w:rsidRPr="005E3B3A" w:rsidRDefault="001B05E0" w:rsidP="005E3B3A">
            <w:pPr>
              <w:pStyle w:val="Numberbullet0"/>
              <w:numPr>
                <w:ilvl w:val="0"/>
                <w:numId w:val="0"/>
              </w:numPr>
              <w:ind w:left="425" w:right="37"/>
              <w:rPr>
                <w:rFonts w:cs="TimesNewRoman"/>
                <w:i/>
                <w:sz w:val="20"/>
                <w:szCs w:val="20"/>
              </w:rPr>
            </w:pPr>
            <w:r w:rsidRPr="005E3B3A">
              <w:rPr>
                <w:rFonts w:cs="TimesNewRoman"/>
                <w:i/>
                <w:sz w:val="20"/>
                <w:szCs w:val="20"/>
              </w:rPr>
              <w:t xml:space="preserve">Typically transient, asymptomatic, perioperative </w:t>
            </w:r>
            <w:r w:rsidRPr="005E3B3A">
              <w:rPr>
                <w:rFonts w:cs="TimesNewRoman"/>
                <w:i/>
                <w:sz w:val="20"/>
                <w:szCs w:val="20"/>
              </w:rPr>
              <w:lastRenderedPageBreak/>
              <w:t>elevations of LFTs were reported, with most elevations resolving on blinded study drug or after discontinuation for the AF and VTE treatment Phase 3 studies.</w:t>
            </w:r>
          </w:p>
          <w:p w:rsidR="001B05E0" w:rsidRPr="00E8383D" w:rsidRDefault="001B05E0" w:rsidP="005E3B3A">
            <w:pPr>
              <w:pStyle w:val="Numberbullet0"/>
              <w:numPr>
                <w:ilvl w:val="0"/>
                <w:numId w:val="0"/>
              </w:numPr>
              <w:ind w:left="425" w:right="37"/>
              <w:rPr>
                <w:rFonts w:cstheme="minorHAnsi"/>
              </w:rPr>
            </w:pPr>
            <w:r w:rsidRPr="005E3B3A">
              <w:rPr>
                <w:rFonts w:cs="TimesNewRoman"/>
                <w:sz w:val="20"/>
                <w:szCs w:val="20"/>
              </w:rPr>
              <w:t>Given this statement it is recommended</w:t>
            </w:r>
            <w:r w:rsidR="005E3B3A">
              <w:rPr>
                <w:rFonts w:cs="TimesNewRoman"/>
                <w:sz w:val="20"/>
                <w:szCs w:val="20"/>
              </w:rPr>
              <w:t xml:space="preserve"> </w:t>
            </w:r>
            <w:r w:rsidRPr="005E3B3A">
              <w:rPr>
                <w:rFonts w:cs="TimesNewRoman"/>
                <w:sz w:val="20"/>
                <w:szCs w:val="20"/>
              </w:rPr>
              <w:t xml:space="preserve">that the identified risk </w:t>
            </w:r>
            <w:r w:rsidRPr="005E3B3A">
              <w:rPr>
                <w:rFonts w:cs="TimesNewRoman"/>
                <w:i/>
                <w:sz w:val="20"/>
                <w:szCs w:val="20"/>
              </w:rPr>
              <w:t>Transient elevation of liver tests</w:t>
            </w:r>
            <w:r w:rsidRPr="005E3B3A">
              <w:rPr>
                <w:rFonts w:cs="TimesNewRoman"/>
                <w:sz w:val="20"/>
                <w:szCs w:val="20"/>
              </w:rPr>
              <w:t xml:space="preserve"> is amended to incorporate all indications.</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5E3B3A" w:rsidRDefault="001B05E0" w:rsidP="005E3B3A">
            <w:pPr>
              <w:ind w:left="31" w:right="0"/>
              <w:rPr>
                <w:rFonts w:cs="TimesNewRoman"/>
                <w:i/>
                <w:sz w:val="20"/>
                <w:szCs w:val="20"/>
              </w:rPr>
            </w:pPr>
            <w:r w:rsidRPr="005E3B3A">
              <w:rPr>
                <w:rFonts w:cs="TimesNewRoman"/>
                <w:i/>
                <w:sz w:val="20"/>
                <w:szCs w:val="20"/>
              </w:rPr>
              <w:lastRenderedPageBreak/>
              <w:t xml:space="preserve">Please note the statement from the RMP that is quoted in the question above should read </w:t>
            </w:r>
            <w:r w:rsidR="00FD26C1" w:rsidRPr="005E3B3A">
              <w:rPr>
                <w:rFonts w:cs="TimesNewRoman"/>
                <w:i/>
                <w:sz w:val="20"/>
                <w:szCs w:val="20"/>
              </w:rPr>
              <w:t>‘</w:t>
            </w:r>
            <w:r w:rsidRPr="005E3B3A">
              <w:rPr>
                <w:i/>
                <w:sz w:val="20"/>
                <w:szCs w:val="20"/>
              </w:rPr>
              <w:t xml:space="preserve">Typically transient, asymptomatic, </w:t>
            </w:r>
            <w:r w:rsidRPr="005E3B3A">
              <w:rPr>
                <w:i/>
                <w:strike/>
                <w:sz w:val="20"/>
                <w:szCs w:val="20"/>
              </w:rPr>
              <w:t>perioperative</w:t>
            </w:r>
            <w:r w:rsidRPr="005E3B3A">
              <w:rPr>
                <w:i/>
                <w:sz w:val="20"/>
                <w:szCs w:val="20"/>
              </w:rPr>
              <w:t xml:space="preserve"> elevations of LFTs were reported, with</w:t>
            </w:r>
            <w:r w:rsidRPr="005E3B3A">
              <w:rPr>
                <w:rFonts w:cs="TimesNewRoman"/>
                <w:i/>
                <w:sz w:val="20"/>
                <w:szCs w:val="20"/>
              </w:rPr>
              <w:t xml:space="preserve"> </w:t>
            </w:r>
            <w:r w:rsidRPr="005E3B3A">
              <w:rPr>
                <w:i/>
                <w:sz w:val="20"/>
                <w:szCs w:val="20"/>
              </w:rPr>
              <w:t>most elevations resolving on blinded study drug or after discontinuation for the AF and VTE</w:t>
            </w:r>
            <w:r w:rsidRPr="005E3B3A">
              <w:rPr>
                <w:rFonts w:cs="TimesNewRoman"/>
                <w:i/>
                <w:sz w:val="20"/>
                <w:szCs w:val="20"/>
              </w:rPr>
              <w:t xml:space="preserve"> </w:t>
            </w:r>
            <w:r w:rsidRPr="005E3B3A">
              <w:rPr>
                <w:i/>
                <w:sz w:val="20"/>
                <w:szCs w:val="20"/>
              </w:rPr>
              <w:t>treatment Phase 3 studies</w:t>
            </w:r>
            <w:r w:rsidR="00FD26C1" w:rsidRPr="005E3B3A">
              <w:rPr>
                <w:rFonts w:cs="TimesNewRoman"/>
                <w:i/>
                <w:sz w:val="20"/>
                <w:szCs w:val="20"/>
              </w:rPr>
              <w:t>’</w:t>
            </w:r>
            <w:r w:rsidRPr="005E3B3A">
              <w:rPr>
                <w:rFonts w:cs="TimesNewRoman"/>
                <w:i/>
                <w:sz w:val="20"/>
                <w:szCs w:val="20"/>
              </w:rPr>
              <w:t>. The error will be corrected.</w:t>
            </w:r>
          </w:p>
          <w:p w:rsidR="001B05E0" w:rsidRPr="005E3B3A" w:rsidRDefault="001B05E0" w:rsidP="005E3B3A">
            <w:pPr>
              <w:ind w:left="31" w:right="0"/>
              <w:rPr>
                <w:sz w:val="20"/>
                <w:szCs w:val="20"/>
              </w:rPr>
            </w:pPr>
            <w:r w:rsidRPr="005E3B3A">
              <w:rPr>
                <w:sz w:val="20"/>
                <w:szCs w:val="20"/>
              </w:rPr>
              <w:lastRenderedPageBreak/>
              <w:t>The sponsor has provided justification against incorporating all indications for the identified risk ‘transient elevation of liver tests’, arguing that such transient elevations were considered to be related to surgical factors.</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5E3B3A" w:rsidRDefault="001B05E0" w:rsidP="005E3B3A">
            <w:pPr>
              <w:ind w:left="31" w:right="0"/>
              <w:rPr>
                <w:rFonts w:eastAsia="MS Mincho"/>
                <w:sz w:val="20"/>
                <w:szCs w:val="20"/>
              </w:rPr>
            </w:pPr>
            <w:r w:rsidRPr="005E3B3A">
              <w:rPr>
                <w:sz w:val="20"/>
                <w:szCs w:val="20"/>
              </w:rPr>
              <w:lastRenderedPageBreak/>
              <w:t>The sponsor’s</w:t>
            </w:r>
            <w:r w:rsidR="005E3B3A" w:rsidRPr="005E3B3A">
              <w:rPr>
                <w:sz w:val="20"/>
                <w:szCs w:val="20"/>
              </w:rPr>
              <w:t xml:space="preserve"> justification is not accepted.</w:t>
            </w:r>
          </w:p>
          <w:p w:rsidR="001B05E0" w:rsidRPr="005E3B3A" w:rsidRDefault="001B05E0" w:rsidP="005E3B3A">
            <w:pPr>
              <w:ind w:left="31" w:right="0"/>
              <w:rPr>
                <w:sz w:val="20"/>
                <w:szCs w:val="20"/>
              </w:rPr>
            </w:pPr>
            <w:r w:rsidRPr="005E3B3A">
              <w:rPr>
                <w:sz w:val="20"/>
                <w:szCs w:val="20"/>
              </w:rPr>
              <w:t xml:space="preserve">This recommendation is maintained to the Delegate and supported by a separate recommendation in the </w:t>
            </w:r>
            <w:r w:rsidR="00E8383D" w:rsidRPr="005E3B3A">
              <w:rPr>
                <w:sz w:val="20"/>
                <w:szCs w:val="20"/>
              </w:rPr>
              <w:t xml:space="preserve">second </w:t>
            </w:r>
            <w:r w:rsidRPr="005E3B3A">
              <w:rPr>
                <w:sz w:val="20"/>
                <w:szCs w:val="20"/>
              </w:rPr>
              <w:t>round clinical evaluation report.</w:t>
            </w:r>
          </w:p>
          <w:p w:rsidR="001B05E0" w:rsidRPr="005E3B3A" w:rsidRDefault="001B05E0" w:rsidP="005E3B3A">
            <w:pPr>
              <w:ind w:left="31" w:right="0"/>
              <w:rPr>
                <w:sz w:val="20"/>
                <w:szCs w:val="20"/>
              </w:rPr>
            </w:pPr>
            <w:r w:rsidRPr="005E3B3A">
              <w:rPr>
                <w:sz w:val="20"/>
                <w:szCs w:val="20"/>
              </w:rPr>
              <w:t xml:space="preserve">Currently ‘liver function test abnormal’ is listed in the PI as an adverse event </w:t>
            </w:r>
            <w:r w:rsidRPr="005E3B3A">
              <w:rPr>
                <w:sz w:val="20"/>
                <w:szCs w:val="20"/>
              </w:rPr>
              <w:lastRenderedPageBreak/>
              <w:t>related to the VTE prophylaxis indication.</w:t>
            </w:r>
            <w:r w:rsidR="00127885" w:rsidRPr="005E3B3A">
              <w:rPr>
                <w:sz w:val="20"/>
                <w:szCs w:val="20"/>
              </w:rPr>
              <w:t xml:space="preserve"> </w:t>
            </w:r>
            <w:r w:rsidRPr="005E3B3A">
              <w:rPr>
                <w:sz w:val="20"/>
                <w:szCs w:val="20"/>
              </w:rPr>
              <w:t>The delegate may wish to consider altering PI statements as appropriat</w:t>
            </w:r>
            <w:r w:rsidR="00E8383D" w:rsidRPr="005E3B3A">
              <w:rPr>
                <w:sz w:val="20"/>
                <w:szCs w:val="20"/>
              </w:rPr>
              <w:t>e based on this recommendation.</w:t>
            </w:r>
          </w:p>
        </w:tc>
      </w:tr>
      <w:tr w:rsidR="001B05E0"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E30DA1">
            <w:pPr>
              <w:pStyle w:val="Numberbullet0"/>
              <w:ind w:right="0"/>
              <w:rPr>
                <w:sz w:val="20"/>
                <w:szCs w:val="20"/>
              </w:rPr>
            </w:pPr>
            <w:r w:rsidRPr="00375A96">
              <w:rPr>
                <w:sz w:val="20"/>
                <w:szCs w:val="20"/>
              </w:rPr>
              <w:lastRenderedPageBreak/>
              <w:t xml:space="preserve">Similarly for missing information </w:t>
            </w:r>
            <w:r w:rsidRPr="00375A96">
              <w:rPr>
                <w:i/>
                <w:sz w:val="20"/>
                <w:szCs w:val="20"/>
              </w:rPr>
              <w:t xml:space="preserve">Use in the very elderly (≥75 years) for </w:t>
            </w:r>
            <w:proofErr w:type="spellStart"/>
            <w:r w:rsidRPr="00375A96">
              <w:rPr>
                <w:i/>
                <w:sz w:val="20"/>
                <w:szCs w:val="20"/>
              </w:rPr>
              <w:t>VTEp</w:t>
            </w:r>
            <w:proofErr w:type="spellEnd"/>
            <w:r w:rsidRPr="00375A96">
              <w:rPr>
                <w:sz w:val="20"/>
                <w:szCs w:val="20"/>
              </w:rPr>
              <w:t xml:space="preserve"> the sponsor should provide a justification as to why this risk should not incorporate all indications.</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ind w:left="31" w:right="0"/>
              <w:rPr>
                <w:rFonts w:eastAsia="MS Mincho"/>
                <w:sz w:val="20"/>
                <w:szCs w:val="20"/>
              </w:rPr>
            </w:pPr>
            <w:r w:rsidRPr="00375A96">
              <w:rPr>
                <w:sz w:val="20"/>
                <w:szCs w:val="20"/>
              </w:rPr>
              <w:t>The sponsor has provided the requested justification.</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ind w:left="31" w:right="0"/>
              <w:rPr>
                <w:rFonts w:eastAsia="MS Mincho"/>
                <w:sz w:val="20"/>
                <w:szCs w:val="20"/>
              </w:rPr>
            </w:pPr>
            <w:r w:rsidRPr="00375A96">
              <w:rPr>
                <w:sz w:val="20"/>
                <w:szCs w:val="20"/>
              </w:rPr>
              <w:t>The sponsor’s justification is acceptable from a RMP standpoint.</w:t>
            </w:r>
          </w:p>
        </w:tc>
      </w:tr>
      <w:tr w:rsidR="001B05E0"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7908EB">
            <w:pPr>
              <w:pStyle w:val="Numberbullet0"/>
              <w:rPr>
                <w:rFonts w:eastAsia="Times New Roman"/>
                <w:sz w:val="20"/>
                <w:szCs w:val="20"/>
              </w:rPr>
            </w:pPr>
            <w:r w:rsidRPr="00375A96">
              <w:rPr>
                <w:sz w:val="20"/>
                <w:szCs w:val="20"/>
              </w:rPr>
              <w:t>No specific pharmacovigilance activities relating to the proposed indications are detailed in the EU-RMP or in the ASA.</w:t>
            </w:r>
            <w:r w:rsidR="00127885" w:rsidRPr="00375A96">
              <w:rPr>
                <w:sz w:val="20"/>
                <w:szCs w:val="20"/>
              </w:rPr>
              <w:t xml:space="preserve"> </w:t>
            </w:r>
            <w:r w:rsidRPr="00375A96">
              <w:rPr>
                <w:sz w:val="20"/>
                <w:szCs w:val="20"/>
              </w:rPr>
              <w:t>The sponsor is requested to confirm whether they intend to undertake any post-marketing studies such as a patient registry or other surveillance of the product’s safety in the populat</w:t>
            </w:r>
            <w:r w:rsidR="00375A96">
              <w:rPr>
                <w:sz w:val="20"/>
                <w:szCs w:val="20"/>
              </w:rPr>
              <w:t>ions proposed for registration.</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ind w:left="31" w:right="0"/>
              <w:rPr>
                <w:i/>
                <w:sz w:val="20"/>
                <w:szCs w:val="20"/>
              </w:rPr>
            </w:pPr>
            <w:r w:rsidRPr="00375A96">
              <w:rPr>
                <w:i/>
                <w:sz w:val="20"/>
                <w:szCs w:val="20"/>
              </w:rPr>
              <w:t xml:space="preserve">The </w:t>
            </w:r>
            <w:r w:rsidR="00E8383D" w:rsidRPr="00375A96">
              <w:rPr>
                <w:i/>
                <w:sz w:val="20"/>
                <w:szCs w:val="20"/>
              </w:rPr>
              <w:t>s</w:t>
            </w:r>
            <w:r w:rsidRPr="00375A96">
              <w:rPr>
                <w:i/>
                <w:sz w:val="20"/>
                <w:szCs w:val="20"/>
              </w:rPr>
              <w:t>ponsor confirms there is no intention to undertake any post-marketing studies such as a patient registry or other surveillance of the product’s safety in the populations proposed for registration that would be in addition to standard Pharmacovigilance practices.</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ind w:left="31" w:right="0"/>
              <w:rPr>
                <w:rFonts w:eastAsia="MS Mincho"/>
                <w:sz w:val="20"/>
                <w:szCs w:val="20"/>
              </w:rPr>
            </w:pPr>
            <w:r w:rsidRPr="00375A96">
              <w:rPr>
                <w:sz w:val="20"/>
                <w:szCs w:val="20"/>
              </w:rPr>
              <w:t>The sponsor’s response is noted.</w:t>
            </w:r>
          </w:p>
        </w:tc>
      </w:tr>
      <w:tr w:rsidR="001B05E0"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7908EB">
            <w:pPr>
              <w:pStyle w:val="Numberbullet0"/>
              <w:rPr>
                <w:rFonts w:eastAsia="Times New Roman"/>
                <w:sz w:val="20"/>
                <w:szCs w:val="20"/>
              </w:rPr>
            </w:pPr>
            <w:r w:rsidRPr="00375A96">
              <w:rPr>
                <w:sz w:val="20"/>
                <w:szCs w:val="20"/>
              </w:rPr>
              <w:t>The sponsor is requested to detail if they plan on conducting a PFP for the DVT/PE indications if approved.</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tabs>
                <w:tab w:val="left" w:pos="2871"/>
              </w:tabs>
              <w:ind w:left="31" w:right="0"/>
              <w:rPr>
                <w:rFonts w:eastAsia="MS Mincho"/>
                <w:i/>
                <w:sz w:val="20"/>
                <w:szCs w:val="20"/>
              </w:rPr>
            </w:pPr>
            <w:r w:rsidRPr="00375A96">
              <w:rPr>
                <w:i/>
                <w:sz w:val="20"/>
                <w:szCs w:val="20"/>
              </w:rPr>
              <w:t xml:space="preserve">The </w:t>
            </w:r>
            <w:r w:rsidR="008B2BE5" w:rsidRPr="00375A96">
              <w:rPr>
                <w:i/>
                <w:sz w:val="20"/>
                <w:szCs w:val="20"/>
              </w:rPr>
              <w:t>s</w:t>
            </w:r>
            <w:r w:rsidRPr="00375A96">
              <w:rPr>
                <w:i/>
                <w:sz w:val="20"/>
                <w:szCs w:val="20"/>
              </w:rPr>
              <w:t>ponsor is not planning to conduct a PFP for the DVT/PE treatment indications.</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8B2BE5" w:rsidRDefault="001B05E0" w:rsidP="00375A96">
            <w:pPr>
              <w:tabs>
                <w:tab w:val="left" w:pos="2871"/>
              </w:tabs>
              <w:spacing w:line="240" w:lineRule="auto"/>
              <w:ind w:left="31" w:right="0"/>
              <w:rPr>
                <w:rFonts w:asciiTheme="minorHAnsi" w:eastAsia="MS Mincho" w:hAnsiTheme="minorHAnsi"/>
                <w:sz w:val="20"/>
                <w:szCs w:val="20"/>
              </w:rPr>
            </w:pPr>
            <w:r w:rsidRPr="008B2BE5">
              <w:rPr>
                <w:rFonts w:asciiTheme="minorHAnsi" w:hAnsiTheme="minorHAnsi"/>
                <w:sz w:val="20"/>
                <w:szCs w:val="20"/>
              </w:rPr>
              <w:t>The sponsor’s response is noted.</w:t>
            </w:r>
          </w:p>
        </w:tc>
      </w:tr>
      <w:tr w:rsidR="001B05E0" w:rsidRPr="008B2BE5"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pStyle w:val="Numberbullet0"/>
              <w:ind w:right="37"/>
              <w:rPr>
                <w:rFonts w:eastAsia="Times New Roman"/>
                <w:sz w:val="20"/>
                <w:szCs w:val="20"/>
              </w:rPr>
            </w:pPr>
            <w:r w:rsidRPr="00375A96">
              <w:rPr>
                <w:sz w:val="20"/>
                <w:szCs w:val="20"/>
              </w:rPr>
              <w:t>The educational materials (Prescriber Guide, On-line Learning Module and Patient Alert Card) should be updated to include information specific to the proposed indications.</w:t>
            </w:r>
            <w:r w:rsidR="00127885" w:rsidRPr="00375A96">
              <w:rPr>
                <w:sz w:val="20"/>
                <w:szCs w:val="20"/>
              </w:rPr>
              <w:t xml:space="preserve"> </w:t>
            </w:r>
            <w:r w:rsidRPr="00375A96">
              <w:rPr>
                <w:sz w:val="20"/>
                <w:szCs w:val="20"/>
              </w:rPr>
              <w:t xml:space="preserve">The updated versions of these materials should be provided to the TGA for </w:t>
            </w:r>
            <w:r w:rsidRPr="00375A96">
              <w:rPr>
                <w:sz w:val="20"/>
                <w:szCs w:val="20"/>
              </w:rPr>
              <w:lastRenderedPageBreak/>
              <w:t>review.</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375A96" w:rsidRDefault="001B05E0" w:rsidP="00375A96">
            <w:pPr>
              <w:tabs>
                <w:tab w:val="left" w:pos="2871"/>
              </w:tabs>
              <w:ind w:left="31" w:right="0"/>
              <w:rPr>
                <w:i/>
                <w:sz w:val="20"/>
                <w:szCs w:val="20"/>
              </w:rPr>
            </w:pPr>
            <w:r w:rsidRPr="00375A96">
              <w:rPr>
                <w:i/>
                <w:sz w:val="20"/>
                <w:szCs w:val="20"/>
              </w:rPr>
              <w:lastRenderedPageBreak/>
              <w:t>The Patient Alert Card will be updated to include information specific to the DVT/PE indications if approved.</w:t>
            </w:r>
          </w:p>
          <w:p w:rsidR="001B05E0" w:rsidRPr="00375A96" w:rsidRDefault="001B05E0" w:rsidP="00375A96">
            <w:pPr>
              <w:ind w:left="31" w:right="0"/>
              <w:rPr>
                <w:i/>
                <w:sz w:val="20"/>
                <w:szCs w:val="20"/>
              </w:rPr>
            </w:pPr>
            <w:r w:rsidRPr="00375A96">
              <w:rPr>
                <w:i/>
                <w:sz w:val="20"/>
                <w:szCs w:val="20"/>
              </w:rPr>
              <w:t xml:space="preserve">The </w:t>
            </w:r>
            <w:r w:rsidR="008B2BE5" w:rsidRPr="00375A96">
              <w:rPr>
                <w:i/>
                <w:sz w:val="20"/>
                <w:szCs w:val="20"/>
              </w:rPr>
              <w:t>s</w:t>
            </w:r>
            <w:r w:rsidRPr="00375A96">
              <w:rPr>
                <w:i/>
                <w:sz w:val="20"/>
                <w:szCs w:val="20"/>
              </w:rPr>
              <w:t xml:space="preserve">ponsor will not be updating the On-line learning Module content to include information specific to the proposed indications because its content is identical to the Prescriber Guide, </w:t>
            </w:r>
            <w:r w:rsidRPr="00375A96">
              <w:rPr>
                <w:i/>
                <w:sz w:val="20"/>
                <w:szCs w:val="20"/>
              </w:rPr>
              <w:lastRenderedPageBreak/>
              <w:t>which will be updated, and the Prescriber Guide will be available on-line. This will avoid duplication of tools.</w:t>
            </w:r>
          </w:p>
          <w:p w:rsidR="001B05E0" w:rsidRPr="00375A96" w:rsidRDefault="001B05E0" w:rsidP="00375A96">
            <w:pPr>
              <w:ind w:left="31" w:right="0"/>
              <w:rPr>
                <w:rFonts w:ascii="TimesNewRoman"/>
              </w:rPr>
            </w:pPr>
            <w:r w:rsidRPr="00375A96">
              <w:rPr>
                <w:i/>
                <w:sz w:val="20"/>
                <w:szCs w:val="20"/>
              </w:rPr>
              <w:t xml:space="preserve">The </w:t>
            </w:r>
            <w:r w:rsidR="008B2BE5" w:rsidRPr="00375A96">
              <w:rPr>
                <w:i/>
                <w:sz w:val="20"/>
                <w:szCs w:val="20"/>
              </w:rPr>
              <w:t>s</w:t>
            </w:r>
            <w:r w:rsidRPr="00375A96">
              <w:rPr>
                <w:i/>
                <w:sz w:val="20"/>
                <w:szCs w:val="20"/>
              </w:rPr>
              <w:t>ponsor commits to providing the updated Prescriber Guide and Patient Alert Card to the TGA for review upon completion of the PI negotiations and prior to launch of the product for the approved indications.</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375A96" w:rsidRDefault="001B05E0" w:rsidP="00375A96">
            <w:pPr>
              <w:ind w:left="0" w:right="-1"/>
              <w:rPr>
                <w:rFonts w:eastAsia="MS Mincho"/>
                <w:sz w:val="20"/>
                <w:szCs w:val="20"/>
              </w:rPr>
            </w:pPr>
            <w:r w:rsidRPr="00375A96">
              <w:rPr>
                <w:sz w:val="20"/>
                <w:szCs w:val="20"/>
              </w:rPr>
              <w:lastRenderedPageBreak/>
              <w:t>The TGA notes the sponsor’s commitments to provide any updated educational materials to the TGA prior to launch.</w:t>
            </w:r>
          </w:p>
          <w:p w:rsidR="001B05E0" w:rsidRPr="00375A96" w:rsidRDefault="001B05E0" w:rsidP="005D1003">
            <w:pPr>
              <w:spacing w:before="0" w:after="0" w:line="240" w:lineRule="auto"/>
              <w:ind w:left="57" w:right="57"/>
              <w:rPr>
                <w:rFonts w:asciiTheme="minorHAnsi" w:eastAsia="MS Mincho" w:hAnsiTheme="minorHAnsi"/>
                <w:sz w:val="20"/>
                <w:szCs w:val="20"/>
              </w:rPr>
            </w:pPr>
            <w:r w:rsidRPr="00375A96">
              <w:rPr>
                <w:rFonts w:asciiTheme="minorHAnsi" w:hAnsiTheme="minorHAnsi"/>
                <w:sz w:val="20"/>
                <w:szCs w:val="20"/>
              </w:rPr>
              <w:t xml:space="preserve">The evaluator takes this response to mean that the on-line module will be no longer available and the Prescriber guide </w:t>
            </w:r>
            <w:r w:rsidRPr="00375A96">
              <w:rPr>
                <w:rFonts w:asciiTheme="minorHAnsi" w:hAnsiTheme="minorHAnsi"/>
                <w:sz w:val="20"/>
                <w:szCs w:val="20"/>
              </w:rPr>
              <w:lastRenderedPageBreak/>
              <w:t>will be the primary educational tool for health professionals.</w:t>
            </w:r>
            <w:r w:rsidR="00127885" w:rsidRPr="00375A96">
              <w:rPr>
                <w:rFonts w:asciiTheme="minorHAnsi" w:hAnsiTheme="minorHAnsi"/>
                <w:sz w:val="20"/>
                <w:szCs w:val="20"/>
              </w:rPr>
              <w:t xml:space="preserve"> </w:t>
            </w:r>
            <w:r w:rsidRPr="00375A96">
              <w:rPr>
                <w:rFonts w:asciiTheme="minorHAnsi" w:hAnsiTheme="minorHAnsi"/>
                <w:sz w:val="20"/>
                <w:szCs w:val="20"/>
              </w:rPr>
              <w:t>If this is not the case, the sponsor should update the module in line with other educational materials to avoid disparity.</w:t>
            </w:r>
          </w:p>
        </w:tc>
      </w:tr>
      <w:tr w:rsidR="001B05E0"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7908EB">
            <w:pPr>
              <w:pStyle w:val="Numberbullet0"/>
              <w:rPr>
                <w:rFonts w:eastAsia="Times New Roman"/>
                <w:sz w:val="20"/>
                <w:szCs w:val="20"/>
              </w:rPr>
            </w:pPr>
            <w:r w:rsidRPr="00375A96">
              <w:rPr>
                <w:sz w:val="20"/>
                <w:szCs w:val="20"/>
              </w:rPr>
              <w:lastRenderedPageBreak/>
              <w:t xml:space="preserve">Regarding the Australian-specific missing information </w:t>
            </w:r>
            <w:r w:rsidRPr="00375A96">
              <w:rPr>
                <w:i/>
                <w:sz w:val="20"/>
                <w:szCs w:val="20"/>
              </w:rPr>
              <w:t>Management of severe bleeding</w:t>
            </w:r>
            <w:r w:rsidRPr="00375A96">
              <w:rPr>
                <w:sz w:val="20"/>
                <w:szCs w:val="20"/>
              </w:rPr>
              <w:t xml:space="preserve"> and </w:t>
            </w:r>
            <w:r w:rsidRPr="00375A96">
              <w:rPr>
                <w:i/>
                <w:sz w:val="20"/>
                <w:szCs w:val="20"/>
              </w:rPr>
              <w:t>Overdose and coagulation monitoring</w:t>
            </w:r>
            <w:r w:rsidRPr="00375A96">
              <w:rPr>
                <w:sz w:val="20"/>
                <w:szCs w:val="20"/>
              </w:rPr>
              <w:t xml:space="preserve"> the sponsor is requested to provide an update to the TGA on the development of an assay to effectively monitor the anticoagulation effect of </w:t>
            </w:r>
            <w:proofErr w:type="spellStart"/>
            <w:r w:rsidRPr="00375A96">
              <w:rPr>
                <w:sz w:val="20"/>
                <w:szCs w:val="20"/>
              </w:rPr>
              <w:t>apixaban</w:t>
            </w:r>
            <w:proofErr w:type="spellEnd"/>
            <w:r w:rsidRPr="00375A96">
              <w:rPr>
                <w:sz w:val="20"/>
                <w:szCs w:val="20"/>
              </w:rPr>
              <w:t>.</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375A96" w:rsidRDefault="001B05E0" w:rsidP="00375A96">
            <w:pPr>
              <w:rPr>
                <w:rFonts w:eastAsia="MS Mincho"/>
                <w:sz w:val="20"/>
                <w:szCs w:val="20"/>
              </w:rPr>
            </w:pPr>
            <w:r w:rsidRPr="00375A96">
              <w:rPr>
                <w:sz w:val="20"/>
                <w:szCs w:val="20"/>
              </w:rPr>
              <w:t>The sponsor has provided the requested update.</w:t>
            </w:r>
          </w:p>
          <w:p w:rsidR="001B05E0" w:rsidRPr="00375A96" w:rsidRDefault="001B05E0" w:rsidP="00375A96">
            <w:pPr>
              <w:rPr>
                <w:sz w:val="20"/>
                <w:szCs w:val="20"/>
              </w:rPr>
            </w:pPr>
            <w:r w:rsidRPr="00375A96">
              <w:rPr>
                <w:sz w:val="20"/>
                <w:szCs w:val="20"/>
              </w:rPr>
              <w:t>Development of an anti-</w:t>
            </w:r>
            <w:proofErr w:type="spellStart"/>
            <w:r w:rsidRPr="00375A96">
              <w:rPr>
                <w:sz w:val="20"/>
                <w:szCs w:val="20"/>
              </w:rPr>
              <w:t>Xa</w:t>
            </w:r>
            <w:proofErr w:type="spellEnd"/>
            <w:r w:rsidRPr="00375A96">
              <w:rPr>
                <w:sz w:val="20"/>
                <w:szCs w:val="20"/>
              </w:rPr>
              <w:t xml:space="preserve"> assay appears to be undergoing validation.</w:t>
            </w:r>
          </w:p>
          <w:p w:rsidR="001B05E0" w:rsidRPr="00375A96" w:rsidRDefault="001B05E0" w:rsidP="00375A96">
            <w:pPr>
              <w:rPr>
                <w:rFonts w:eastAsia="MS Mincho"/>
                <w:sz w:val="20"/>
                <w:szCs w:val="20"/>
              </w:rPr>
            </w:pPr>
            <w:r w:rsidRPr="00375A96">
              <w:rPr>
                <w:sz w:val="20"/>
                <w:szCs w:val="20"/>
              </w:rPr>
              <w:t>According to the sponsor ‘</w:t>
            </w:r>
            <w:r w:rsidRPr="00375A96">
              <w:rPr>
                <w:i/>
                <w:sz w:val="20"/>
                <w:szCs w:val="20"/>
              </w:rPr>
              <w:t>it is anticipated that most of the large coagulation diagnostic companies will have CE versions of these assays available by 2015-2016’</w:t>
            </w:r>
            <w:r w:rsidRPr="00375A96">
              <w:rPr>
                <w:sz w:val="20"/>
                <w:szCs w:val="20"/>
              </w:rPr>
              <w:t>.</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rPr>
                <w:rFonts w:eastAsia="MS Mincho"/>
                <w:sz w:val="20"/>
                <w:szCs w:val="20"/>
              </w:rPr>
            </w:pPr>
            <w:r w:rsidRPr="00375A96">
              <w:rPr>
                <w:sz w:val="20"/>
                <w:szCs w:val="20"/>
              </w:rPr>
              <w:t>The sponsor’s update is noted.</w:t>
            </w:r>
          </w:p>
        </w:tc>
      </w:tr>
      <w:tr w:rsidR="001B05E0"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pStyle w:val="Numberbullet0"/>
              <w:ind w:right="0"/>
              <w:rPr>
                <w:rFonts w:eastAsia="Times New Roman"/>
                <w:sz w:val="20"/>
                <w:szCs w:val="20"/>
              </w:rPr>
            </w:pPr>
            <w:r w:rsidRPr="00375A96">
              <w:rPr>
                <w:sz w:val="20"/>
                <w:szCs w:val="20"/>
              </w:rPr>
              <w:t xml:space="preserve">Similarly the sponsor should provide an update to the TGA on the development of an antidote to </w:t>
            </w:r>
            <w:proofErr w:type="spellStart"/>
            <w:r w:rsidRPr="00375A96">
              <w:rPr>
                <w:sz w:val="20"/>
                <w:szCs w:val="20"/>
              </w:rPr>
              <w:t>apixaban</w:t>
            </w:r>
            <w:proofErr w:type="spellEnd"/>
            <w:r w:rsidRPr="00375A96">
              <w:rPr>
                <w:sz w:val="20"/>
                <w:szCs w:val="20"/>
              </w:rPr>
              <w:t>.</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375A96" w:rsidRDefault="001B05E0" w:rsidP="00375A96">
            <w:pPr>
              <w:ind w:left="31" w:right="0"/>
              <w:rPr>
                <w:rFonts w:eastAsia="MS Mincho"/>
                <w:i/>
                <w:sz w:val="20"/>
                <w:szCs w:val="20"/>
              </w:rPr>
            </w:pPr>
            <w:r w:rsidRPr="00375A96">
              <w:rPr>
                <w:i/>
                <w:sz w:val="20"/>
                <w:szCs w:val="20"/>
              </w:rPr>
              <w:t>The sponsor has referred the RMP evaluator to their response to a similar question asked by the clinical evaluator.</w:t>
            </w:r>
          </w:p>
          <w:p w:rsidR="001B05E0" w:rsidRPr="00375A96" w:rsidRDefault="001B05E0" w:rsidP="00375A96">
            <w:pPr>
              <w:ind w:left="31" w:right="0"/>
              <w:rPr>
                <w:rFonts w:eastAsia="MS Mincho"/>
                <w:sz w:val="20"/>
                <w:szCs w:val="20"/>
              </w:rPr>
            </w:pPr>
            <w:r w:rsidRPr="00375A96">
              <w:rPr>
                <w:i/>
                <w:sz w:val="20"/>
                <w:szCs w:val="20"/>
              </w:rPr>
              <w:t>In their response the sponsor has outlined their strategy for developing an antidote.</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ind w:left="31" w:right="0"/>
              <w:rPr>
                <w:rFonts w:eastAsia="MS Mincho"/>
                <w:sz w:val="20"/>
                <w:szCs w:val="20"/>
              </w:rPr>
            </w:pPr>
            <w:r w:rsidRPr="00375A96">
              <w:rPr>
                <w:sz w:val="20"/>
                <w:szCs w:val="20"/>
              </w:rPr>
              <w:t>The sponsor’s approach to antidote development is acceptable from a RMP standpoint.</w:t>
            </w:r>
          </w:p>
        </w:tc>
      </w:tr>
      <w:tr w:rsidR="001B05E0" w:rsidRPr="008B2BE5"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pStyle w:val="Numberbullet0"/>
              <w:tabs>
                <w:tab w:val="left" w:pos="2872"/>
              </w:tabs>
              <w:ind w:right="0"/>
              <w:rPr>
                <w:rFonts w:eastAsia="Times New Roman"/>
                <w:sz w:val="20"/>
                <w:szCs w:val="20"/>
              </w:rPr>
            </w:pPr>
            <w:r w:rsidRPr="00375A96">
              <w:rPr>
                <w:sz w:val="20"/>
                <w:szCs w:val="20"/>
              </w:rPr>
              <w:t xml:space="preserve">It was noted in the </w:t>
            </w:r>
            <w:proofErr w:type="spellStart"/>
            <w:r w:rsidRPr="00375A96">
              <w:rPr>
                <w:sz w:val="20"/>
                <w:szCs w:val="20"/>
              </w:rPr>
              <w:t>apixaban</w:t>
            </w:r>
            <w:proofErr w:type="spellEnd"/>
            <w:r w:rsidRPr="00375A96">
              <w:rPr>
                <w:sz w:val="20"/>
                <w:szCs w:val="20"/>
              </w:rPr>
              <w:t xml:space="preserve"> </w:t>
            </w:r>
            <w:r w:rsidR="008B2BE5" w:rsidRPr="00375A96">
              <w:rPr>
                <w:sz w:val="20"/>
                <w:szCs w:val="20"/>
              </w:rPr>
              <w:t>Periodic Safety Update Report (</w:t>
            </w:r>
            <w:r w:rsidRPr="00375A96">
              <w:rPr>
                <w:sz w:val="20"/>
                <w:szCs w:val="20"/>
              </w:rPr>
              <w:t>PSUR</w:t>
            </w:r>
            <w:r w:rsidR="008B2BE5" w:rsidRPr="00375A96">
              <w:rPr>
                <w:sz w:val="20"/>
                <w:szCs w:val="20"/>
              </w:rPr>
              <w:t>)</w:t>
            </w:r>
            <w:r w:rsidRPr="00375A96">
              <w:rPr>
                <w:sz w:val="20"/>
                <w:szCs w:val="20"/>
              </w:rPr>
              <w:t xml:space="preserve"> (18 May 2013-17 November 2013) that the overdose section of the Company Core Data Sheet (CCDS) was updated to include the following text: </w:t>
            </w:r>
            <w:proofErr w:type="spellStart"/>
            <w:r w:rsidRPr="00375A96">
              <w:rPr>
                <w:i/>
                <w:sz w:val="20"/>
                <w:szCs w:val="20"/>
              </w:rPr>
              <w:t>Hemodialysis</w:t>
            </w:r>
            <w:proofErr w:type="spellEnd"/>
            <w:r w:rsidRPr="00375A96">
              <w:rPr>
                <w:i/>
                <w:sz w:val="20"/>
                <w:szCs w:val="20"/>
              </w:rPr>
              <w:t xml:space="preserve"> is unlikely to be an effective means of managing </w:t>
            </w:r>
            <w:proofErr w:type="spellStart"/>
            <w:r w:rsidRPr="00375A96">
              <w:rPr>
                <w:i/>
                <w:sz w:val="20"/>
                <w:szCs w:val="20"/>
              </w:rPr>
              <w:t>apixaban</w:t>
            </w:r>
            <w:proofErr w:type="spellEnd"/>
            <w:r w:rsidRPr="00375A96">
              <w:rPr>
                <w:i/>
                <w:sz w:val="20"/>
                <w:szCs w:val="20"/>
              </w:rPr>
              <w:t xml:space="preserve"> overdose.</w:t>
            </w:r>
            <w:r w:rsidRPr="00375A96">
              <w:rPr>
                <w:sz w:val="20"/>
                <w:szCs w:val="20"/>
              </w:rPr>
              <w:t xml:space="preserve"> The sponsor should provide justification as to why this has not been translated to the overdose section of the proposed PI.</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tabs>
                <w:tab w:val="left" w:pos="2872"/>
              </w:tabs>
              <w:ind w:left="31" w:right="0"/>
              <w:rPr>
                <w:i/>
                <w:sz w:val="20"/>
                <w:szCs w:val="20"/>
              </w:rPr>
            </w:pPr>
            <w:r w:rsidRPr="00375A96">
              <w:rPr>
                <w:i/>
                <w:sz w:val="20"/>
                <w:szCs w:val="20"/>
              </w:rPr>
              <w:t xml:space="preserve">The </w:t>
            </w:r>
            <w:r w:rsidR="000B426C" w:rsidRPr="00375A96">
              <w:rPr>
                <w:i/>
                <w:sz w:val="20"/>
                <w:szCs w:val="20"/>
              </w:rPr>
              <w:t>s</w:t>
            </w:r>
            <w:r w:rsidRPr="00375A96">
              <w:rPr>
                <w:i/>
                <w:sz w:val="20"/>
                <w:szCs w:val="20"/>
              </w:rPr>
              <w:t xml:space="preserve">ponsor has updated the Product Information in line with the text approved with </w:t>
            </w:r>
            <w:r w:rsidR="008B2BE5" w:rsidRPr="00375A96">
              <w:rPr>
                <w:i/>
                <w:sz w:val="20"/>
                <w:szCs w:val="20"/>
              </w:rPr>
              <w:t xml:space="preserve">a previous </w:t>
            </w:r>
            <w:r w:rsidRPr="00375A96">
              <w:rPr>
                <w:i/>
                <w:sz w:val="20"/>
                <w:szCs w:val="20"/>
              </w:rPr>
              <w:t>submission on 16 June 2014.</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tabs>
                <w:tab w:val="left" w:pos="2872"/>
              </w:tabs>
              <w:ind w:left="31" w:right="0"/>
              <w:rPr>
                <w:rFonts w:eastAsia="MS Mincho"/>
                <w:sz w:val="20"/>
                <w:szCs w:val="20"/>
              </w:rPr>
            </w:pPr>
            <w:r w:rsidRPr="00375A96">
              <w:rPr>
                <w:sz w:val="20"/>
                <w:szCs w:val="20"/>
              </w:rPr>
              <w:t>This is acceptable from a RMP standpoint subject to final consideration by the Delegate.</w:t>
            </w:r>
          </w:p>
        </w:tc>
      </w:tr>
      <w:tr w:rsidR="001B05E0" w:rsidRPr="008B2BE5"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pStyle w:val="Numberbullet0"/>
              <w:ind w:right="37"/>
              <w:rPr>
                <w:rFonts w:eastAsia="Times New Roman"/>
                <w:sz w:val="20"/>
                <w:szCs w:val="20"/>
              </w:rPr>
            </w:pPr>
            <w:r w:rsidRPr="00375A96">
              <w:rPr>
                <w:sz w:val="20"/>
                <w:szCs w:val="20"/>
              </w:rPr>
              <w:t>Co-administration of strong inducers of both CYP3A4 and P-</w:t>
            </w:r>
            <w:proofErr w:type="spellStart"/>
            <w:r w:rsidRPr="00375A96">
              <w:rPr>
                <w:sz w:val="20"/>
                <w:szCs w:val="20"/>
              </w:rPr>
              <w:t>gp</w:t>
            </w:r>
            <w:proofErr w:type="spellEnd"/>
            <w:r w:rsidRPr="00375A96">
              <w:rPr>
                <w:sz w:val="20"/>
                <w:szCs w:val="20"/>
              </w:rPr>
              <w:t xml:space="preserve"> may lead to reduced plasma </w:t>
            </w:r>
            <w:r w:rsidRPr="00375A96">
              <w:rPr>
                <w:sz w:val="20"/>
                <w:szCs w:val="20"/>
              </w:rPr>
              <w:lastRenderedPageBreak/>
              <w:t xml:space="preserve">concentrations of </w:t>
            </w:r>
            <w:proofErr w:type="spellStart"/>
            <w:r w:rsidRPr="00375A96">
              <w:rPr>
                <w:sz w:val="20"/>
                <w:szCs w:val="20"/>
              </w:rPr>
              <w:t>apixaban</w:t>
            </w:r>
            <w:proofErr w:type="spellEnd"/>
            <w:r w:rsidRPr="00375A96">
              <w:rPr>
                <w:sz w:val="20"/>
                <w:szCs w:val="20"/>
              </w:rPr>
              <w:t>.</w:t>
            </w:r>
            <w:r w:rsidR="00127885" w:rsidRPr="00375A96">
              <w:rPr>
                <w:sz w:val="20"/>
                <w:szCs w:val="20"/>
              </w:rPr>
              <w:t xml:space="preserve"> </w:t>
            </w:r>
            <w:r w:rsidRPr="00375A96">
              <w:rPr>
                <w:sz w:val="20"/>
                <w:szCs w:val="20"/>
              </w:rPr>
              <w:t>This is particularly important where efficacy is imperative (</w:t>
            </w:r>
            <w:r w:rsidR="008B2BE5" w:rsidRPr="00375A96">
              <w:rPr>
                <w:sz w:val="20"/>
                <w:szCs w:val="20"/>
              </w:rPr>
              <w:t>that is,</w:t>
            </w:r>
            <w:r w:rsidR="000B426C" w:rsidRPr="00375A96">
              <w:rPr>
                <w:sz w:val="20"/>
                <w:szCs w:val="20"/>
              </w:rPr>
              <w:t xml:space="preserve"> </w:t>
            </w:r>
            <w:r w:rsidRPr="00375A96">
              <w:rPr>
                <w:sz w:val="20"/>
                <w:szCs w:val="20"/>
              </w:rPr>
              <w:t>the proposed therapeutic indications).</w:t>
            </w:r>
            <w:r w:rsidR="00127885" w:rsidRPr="00375A96">
              <w:rPr>
                <w:sz w:val="20"/>
                <w:szCs w:val="20"/>
              </w:rPr>
              <w:t xml:space="preserve"> </w:t>
            </w:r>
            <w:r w:rsidRPr="00375A96">
              <w:rPr>
                <w:sz w:val="20"/>
                <w:szCs w:val="20"/>
              </w:rPr>
              <w:t xml:space="preserve">The related changes to the CCDS appear to have been incorporated into the proposed PI </w:t>
            </w:r>
            <w:r w:rsidRPr="00375A96">
              <w:rPr>
                <w:i/>
                <w:sz w:val="20"/>
                <w:szCs w:val="20"/>
              </w:rPr>
              <w:t>interactions with other medicines</w:t>
            </w:r>
            <w:r w:rsidRPr="00375A96">
              <w:rPr>
                <w:sz w:val="20"/>
                <w:szCs w:val="20"/>
              </w:rPr>
              <w:t xml:space="preserve"> section.</w:t>
            </w:r>
            <w:r w:rsidR="00127885" w:rsidRPr="00375A96">
              <w:rPr>
                <w:sz w:val="20"/>
                <w:szCs w:val="20"/>
              </w:rPr>
              <w:t xml:space="preserve"> </w:t>
            </w:r>
            <w:r w:rsidRPr="00375A96">
              <w:rPr>
                <w:sz w:val="20"/>
                <w:szCs w:val="20"/>
              </w:rPr>
              <w:t>It is drawn to the Delegate’s attention that perhaps this point should be made more clearly as a precautionary statement.</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ind w:left="31" w:right="0"/>
              <w:rPr>
                <w:i/>
                <w:sz w:val="20"/>
                <w:szCs w:val="20"/>
              </w:rPr>
            </w:pPr>
            <w:r w:rsidRPr="00375A96">
              <w:rPr>
                <w:i/>
                <w:sz w:val="20"/>
                <w:szCs w:val="20"/>
              </w:rPr>
              <w:lastRenderedPageBreak/>
              <w:t xml:space="preserve">The </w:t>
            </w:r>
            <w:r w:rsidR="000B426C" w:rsidRPr="00375A96">
              <w:rPr>
                <w:i/>
                <w:sz w:val="20"/>
                <w:szCs w:val="20"/>
              </w:rPr>
              <w:t>s</w:t>
            </w:r>
            <w:r w:rsidRPr="00375A96">
              <w:rPr>
                <w:i/>
                <w:sz w:val="20"/>
                <w:szCs w:val="20"/>
              </w:rPr>
              <w:t xml:space="preserve">ponsor has updated the Product Information in line with the recommendation in the EU </w:t>
            </w:r>
            <w:r w:rsidRPr="00375A96">
              <w:rPr>
                <w:i/>
                <w:sz w:val="20"/>
                <w:szCs w:val="20"/>
              </w:rPr>
              <w:lastRenderedPageBreak/>
              <w:t>product information</w:t>
            </w:r>
            <w:r w:rsidR="00375A96" w:rsidRPr="00375A96">
              <w:rPr>
                <w:i/>
                <w:sz w:val="20"/>
                <w:szCs w:val="20"/>
              </w:rPr>
              <w:t>.</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ind w:left="31" w:right="0"/>
              <w:rPr>
                <w:rFonts w:eastAsia="MS Mincho"/>
                <w:sz w:val="20"/>
                <w:szCs w:val="20"/>
              </w:rPr>
            </w:pPr>
            <w:r w:rsidRPr="00375A96">
              <w:rPr>
                <w:sz w:val="20"/>
                <w:szCs w:val="20"/>
              </w:rPr>
              <w:lastRenderedPageBreak/>
              <w:t xml:space="preserve">This is acceptable from a RMP standpoint subject to final consideration by the </w:t>
            </w:r>
            <w:r w:rsidRPr="00375A96">
              <w:rPr>
                <w:sz w:val="20"/>
                <w:szCs w:val="20"/>
              </w:rPr>
              <w:lastRenderedPageBreak/>
              <w:t>Delegate.</w:t>
            </w:r>
          </w:p>
        </w:tc>
      </w:tr>
      <w:tr w:rsidR="001B05E0" w:rsidTr="00375A96">
        <w:trPr>
          <w:trHeight w:val="4201"/>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375A96" w:rsidRDefault="001B05E0" w:rsidP="00375A96">
            <w:pPr>
              <w:pStyle w:val="Numberbullet0"/>
              <w:ind w:right="0"/>
              <w:rPr>
                <w:rFonts w:eastAsia="MS Mincho"/>
                <w:sz w:val="20"/>
                <w:szCs w:val="20"/>
              </w:rPr>
            </w:pPr>
            <w:proofErr w:type="spellStart"/>
            <w:proofErr w:type="gramStart"/>
            <w:r w:rsidRPr="00375A96">
              <w:rPr>
                <w:i/>
                <w:sz w:val="20"/>
                <w:szCs w:val="20"/>
              </w:rPr>
              <w:lastRenderedPageBreak/>
              <w:t>Haemodynamically</w:t>
            </w:r>
            <w:proofErr w:type="spellEnd"/>
            <w:r w:rsidRPr="00375A96">
              <w:rPr>
                <w:i/>
                <w:sz w:val="20"/>
                <w:szCs w:val="20"/>
              </w:rPr>
              <w:t xml:space="preserve"> unstable PE patients</w:t>
            </w:r>
            <w:r w:rsidRPr="00375A96">
              <w:rPr>
                <w:sz w:val="20"/>
                <w:szCs w:val="20"/>
              </w:rPr>
              <w:t xml:space="preserve"> is</w:t>
            </w:r>
            <w:proofErr w:type="gramEnd"/>
            <w:r w:rsidRPr="00375A96">
              <w:rPr>
                <w:sz w:val="20"/>
                <w:szCs w:val="20"/>
              </w:rPr>
              <w:t xml:space="preserve"> a new item of missing information directly relating to the proposed indications.</w:t>
            </w:r>
            <w:r w:rsidR="00127885" w:rsidRPr="00375A96">
              <w:rPr>
                <w:sz w:val="20"/>
                <w:szCs w:val="20"/>
              </w:rPr>
              <w:t xml:space="preserve"> </w:t>
            </w:r>
            <w:r w:rsidRPr="00375A96">
              <w:rPr>
                <w:sz w:val="20"/>
                <w:szCs w:val="20"/>
              </w:rPr>
              <w:t>The approved US product label includes a related precaution.</w:t>
            </w:r>
            <w:r w:rsidR="00127885" w:rsidRPr="00375A96">
              <w:rPr>
                <w:sz w:val="20"/>
                <w:szCs w:val="20"/>
              </w:rPr>
              <w:t xml:space="preserve"> </w:t>
            </w:r>
            <w:r w:rsidRPr="00375A96">
              <w:rPr>
                <w:sz w:val="20"/>
                <w:szCs w:val="20"/>
              </w:rPr>
              <w:t xml:space="preserve">It is recommended that a similar precaution is included in the Australian PI as routine risk minimisation for the missing information </w:t>
            </w:r>
            <w:proofErr w:type="spellStart"/>
            <w:r w:rsidRPr="00375A96">
              <w:rPr>
                <w:i/>
                <w:sz w:val="20"/>
                <w:szCs w:val="20"/>
              </w:rPr>
              <w:t>Haemodynamically</w:t>
            </w:r>
            <w:proofErr w:type="spellEnd"/>
            <w:r w:rsidRPr="00375A96">
              <w:rPr>
                <w:i/>
                <w:sz w:val="20"/>
                <w:szCs w:val="20"/>
              </w:rPr>
              <w:t xml:space="preserve"> unstable PE patients</w:t>
            </w:r>
            <w:r w:rsidRPr="00375A96">
              <w:rPr>
                <w:sz w:val="20"/>
                <w:szCs w:val="20"/>
              </w:rPr>
              <w:t>.</w:t>
            </w:r>
            <w:r w:rsidR="00127885" w:rsidRPr="00375A96">
              <w:rPr>
                <w:sz w:val="20"/>
                <w:szCs w:val="20"/>
              </w:rPr>
              <w:t xml:space="preserve"> </w:t>
            </w:r>
            <w:r w:rsidRPr="00375A96">
              <w:rPr>
                <w:sz w:val="20"/>
                <w:szCs w:val="20"/>
              </w:rPr>
              <w:t>This should be appropriately reflected in the EU-RMP and/or ASA.</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spacing w:line="240" w:lineRule="auto"/>
              <w:ind w:left="31" w:right="0"/>
              <w:rPr>
                <w:rFonts w:asciiTheme="minorHAnsi" w:eastAsia="MS Mincho" w:hAnsiTheme="minorHAnsi"/>
                <w:i/>
                <w:sz w:val="20"/>
                <w:szCs w:val="20"/>
              </w:rPr>
            </w:pPr>
            <w:r w:rsidRPr="00375A96">
              <w:rPr>
                <w:rFonts w:asciiTheme="minorHAnsi" w:eastAsia="TimesNewRoman" w:hAnsiTheme="minorHAnsi" w:cs="TimesNewRoman"/>
                <w:i/>
                <w:sz w:val="20"/>
                <w:szCs w:val="20"/>
              </w:rPr>
              <w:t xml:space="preserve">The </w:t>
            </w:r>
            <w:r w:rsidR="008B2BE5" w:rsidRPr="00375A96">
              <w:rPr>
                <w:rFonts w:asciiTheme="minorHAnsi" w:eastAsia="TimesNewRoman" w:hAnsiTheme="minorHAnsi" w:cs="TimesNewRoman"/>
                <w:i/>
                <w:sz w:val="20"/>
                <w:szCs w:val="20"/>
              </w:rPr>
              <w:t>s</w:t>
            </w:r>
            <w:r w:rsidRPr="00375A96">
              <w:rPr>
                <w:rFonts w:asciiTheme="minorHAnsi" w:eastAsia="TimesNewRoman" w:hAnsiTheme="minorHAnsi" w:cs="TimesNewRoman"/>
                <w:i/>
                <w:sz w:val="20"/>
                <w:szCs w:val="20"/>
              </w:rPr>
              <w:t>ponsor has updated the Product Information.</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spacing w:line="240" w:lineRule="auto"/>
              <w:ind w:left="31" w:right="0"/>
              <w:rPr>
                <w:rFonts w:asciiTheme="minorHAnsi" w:eastAsia="MS Mincho" w:hAnsiTheme="minorHAnsi"/>
                <w:sz w:val="20"/>
                <w:szCs w:val="20"/>
              </w:rPr>
            </w:pPr>
            <w:r w:rsidRPr="00375A96">
              <w:rPr>
                <w:rFonts w:asciiTheme="minorHAnsi" w:hAnsiTheme="minorHAnsi"/>
                <w:sz w:val="20"/>
                <w:szCs w:val="20"/>
              </w:rPr>
              <w:t>This is acceptable from a RMP standpoint subject to final consideration by the Delegate.</w:t>
            </w:r>
          </w:p>
        </w:tc>
      </w:tr>
      <w:tr w:rsidR="001B05E0"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pStyle w:val="Numberbullet0"/>
              <w:tabs>
                <w:tab w:val="left" w:pos="2872"/>
              </w:tabs>
              <w:ind w:right="0"/>
              <w:rPr>
                <w:rFonts w:eastAsia="Times New Roman"/>
                <w:sz w:val="20"/>
                <w:szCs w:val="20"/>
              </w:rPr>
            </w:pPr>
            <w:r w:rsidRPr="00375A96">
              <w:rPr>
                <w:sz w:val="20"/>
                <w:szCs w:val="20"/>
              </w:rPr>
              <w:t xml:space="preserve">The EU and </w:t>
            </w:r>
            <w:proofErr w:type="gramStart"/>
            <w:r w:rsidRPr="00375A96">
              <w:rPr>
                <w:sz w:val="20"/>
                <w:szCs w:val="20"/>
              </w:rPr>
              <w:t>US</w:t>
            </w:r>
            <w:proofErr w:type="gramEnd"/>
            <w:r w:rsidRPr="00375A96">
              <w:rPr>
                <w:sz w:val="20"/>
                <w:szCs w:val="20"/>
              </w:rPr>
              <w:t xml:space="preserve"> product</w:t>
            </w:r>
            <w:r w:rsidR="005D1003" w:rsidRPr="00375A96">
              <w:rPr>
                <w:sz w:val="20"/>
                <w:szCs w:val="20"/>
              </w:rPr>
              <w:t xml:space="preserve"> </w:t>
            </w:r>
            <w:r w:rsidRPr="00375A96">
              <w:rPr>
                <w:sz w:val="20"/>
                <w:szCs w:val="20"/>
              </w:rPr>
              <w:t xml:space="preserve">labels include a precaution regarding temporary discontinuation of </w:t>
            </w:r>
            <w:proofErr w:type="spellStart"/>
            <w:r w:rsidRPr="00375A96">
              <w:rPr>
                <w:sz w:val="20"/>
                <w:szCs w:val="20"/>
              </w:rPr>
              <w:t>apixaban</w:t>
            </w:r>
            <w:proofErr w:type="spellEnd"/>
            <w:r w:rsidRPr="00375A96">
              <w:rPr>
                <w:sz w:val="20"/>
                <w:szCs w:val="20"/>
              </w:rPr>
              <w:t xml:space="preserve"> and the associated increased risk of thrombosis.</w:t>
            </w:r>
            <w:r w:rsidR="00127885" w:rsidRPr="00375A96">
              <w:rPr>
                <w:sz w:val="20"/>
                <w:szCs w:val="20"/>
              </w:rPr>
              <w:t xml:space="preserve"> </w:t>
            </w:r>
            <w:r w:rsidRPr="00375A96">
              <w:rPr>
                <w:sz w:val="20"/>
                <w:szCs w:val="20"/>
              </w:rPr>
              <w:t xml:space="preserve">The corresponding precaution in the Australian PI focuses more on the increased risk of stroke when transitioning from </w:t>
            </w:r>
            <w:proofErr w:type="spellStart"/>
            <w:r w:rsidRPr="00375A96">
              <w:rPr>
                <w:sz w:val="20"/>
                <w:szCs w:val="20"/>
              </w:rPr>
              <w:t>apixaban</w:t>
            </w:r>
            <w:proofErr w:type="spellEnd"/>
            <w:r w:rsidRPr="00375A96">
              <w:rPr>
                <w:sz w:val="20"/>
                <w:szCs w:val="20"/>
              </w:rPr>
              <w:t xml:space="preserve"> to warfarin.</w:t>
            </w:r>
            <w:r w:rsidR="00127885" w:rsidRPr="00375A96">
              <w:rPr>
                <w:sz w:val="20"/>
                <w:szCs w:val="20"/>
              </w:rPr>
              <w:t xml:space="preserve"> </w:t>
            </w:r>
            <w:r w:rsidRPr="00375A96">
              <w:rPr>
                <w:sz w:val="20"/>
                <w:szCs w:val="20"/>
              </w:rPr>
              <w:t xml:space="preserve">Consideration should be made for inclusion of similar advice to the EU </w:t>
            </w:r>
            <w:r w:rsidR="00E93B79" w:rsidRPr="00375A96">
              <w:rPr>
                <w:sz w:val="20"/>
                <w:szCs w:val="20"/>
              </w:rPr>
              <w:t>Summary of Product Characteristics (</w:t>
            </w:r>
            <w:proofErr w:type="spellStart"/>
            <w:r w:rsidRPr="00375A96">
              <w:rPr>
                <w:sz w:val="20"/>
                <w:szCs w:val="20"/>
              </w:rPr>
              <w:t>SmPC</w:t>
            </w:r>
            <w:proofErr w:type="spellEnd"/>
            <w:r w:rsidR="00E93B79" w:rsidRPr="00375A96">
              <w:rPr>
                <w:sz w:val="20"/>
                <w:szCs w:val="20"/>
              </w:rPr>
              <w:t>)</w:t>
            </w:r>
            <w:r w:rsidRPr="00375A96">
              <w:rPr>
                <w:sz w:val="20"/>
                <w:szCs w:val="20"/>
              </w:rPr>
              <w:t xml:space="preserve"> regarding tempo</w:t>
            </w:r>
            <w:r w:rsidR="00E93B79" w:rsidRPr="00375A96">
              <w:rPr>
                <w:sz w:val="20"/>
                <w:szCs w:val="20"/>
              </w:rPr>
              <w:t>rary discontinuation in general</w:t>
            </w:r>
            <w:r w:rsidRPr="00375A96">
              <w:rPr>
                <w:sz w:val="20"/>
                <w:szCs w:val="20"/>
              </w:rPr>
              <w:t>.</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E93B79" w:rsidP="00375A96">
            <w:pPr>
              <w:tabs>
                <w:tab w:val="left" w:pos="2872"/>
              </w:tabs>
              <w:autoSpaceDE w:val="0"/>
              <w:autoSpaceDN w:val="0"/>
              <w:adjustRightInd w:val="0"/>
              <w:spacing w:line="240" w:lineRule="auto"/>
              <w:ind w:left="31" w:right="0"/>
              <w:rPr>
                <w:rFonts w:asciiTheme="minorHAnsi" w:eastAsia="TimesNewRoman" w:hAnsiTheme="minorHAnsi" w:cs="TimesNewRoman"/>
                <w:i/>
                <w:sz w:val="20"/>
                <w:szCs w:val="20"/>
              </w:rPr>
            </w:pPr>
            <w:r w:rsidRPr="00375A96">
              <w:rPr>
                <w:rFonts w:asciiTheme="minorHAnsi" w:eastAsia="TimesNewRoman" w:hAnsiTheme="minorHAnsi" w:cs="TimesNewRoman"/>
                <w:i/>
                <w:sz w:val="20"/>
                <w:szCs w:val="20"/>
              </w:rPr>
              <w:t>The s</w:t>
            </w:r>
            <w:r w:rsidR="001B05E0" w:rsidRPr="00375A96">
              <w:rPr>
                <w:rFonts w:asciiTheme="minorHAnsi" w:eastAsia="TimesNewRoman" w:hAnsiTheme="minorHAnsi" w:cs="TimesNewRoman"/>
                <w:i/>
                <w:sz w:val="20"/>
                <w:szCs w:val="20"/>
              </w:rPr>
              <w:t>ponsor has updated the Product Information in line with the recommendation in the US product information.</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tabs>
                <w:tab w:val="left" w:pos="2872"/>
              </w:tabs>
              <w:spacing w:line="240" w:lineRule="auto"/>
              <w:ind w:left="31" w:right="0"/>
              <w:rPr>
                <w:rFonts w:asciiTheme="minorHAnsi" w:eastAsia="MS Mincho" w:hAnsiTheme="minorHAnsi"/>
                <w:sz w:val="20"/>
                <w:szCs w:val="20"/>
              </w:rPr>
            </w:pPr>
            <w:r w:rsidRPr="00375A96">
              <w:rPr>
                <w:rFonts w:asciiTheme="minorHAnsi" w:hAnsiTheme="minorHAnsi"/>
                <w:sz w:val="20"/>
                <w:szCs w:val="20"/>
              </w:rPr>
              <w:t>This is acceptable from a RMP standpoint subject to final consideration by the Delegate.</w:t>
            </w:r>
          </w:p>
        </w:tc>
      </w:tr>
      <w:tr w:rsidR="001B05E0"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B05E0" w:rsidRPr="00375A96" w:rsidRDefault="001B05E0" w:rsidP="00375A96">
            <w:pPr>
              <w:pStyle w:val="Numberbullet0"/>
              <w:tabs>
                <w:tab w:val="left" w:pos="2872"/>
              </w:tabs>
              <w:ind w:right="0"/>
              <w:rPr>
                <w:rFonts w:eastAsia="TimesNewRoman" w:cs="TimesNewRoman"/>
                <w:sz w:val="20"/>
                <w:szCs w:val="20"/>
              </w:rPr>
            </w:pPr>
            <w:r w:rsidRPr="00375A96">
              <w:rPr>
                <w:rFonts w:eastAsia="TimesNewRoman" w:cs="TimesNewRoman"/>
                <w:sz w:val="20"/>
                <w:szCs w:val="20"/>
              </w:rPr>
              <w:lastRenderedPageBreak/>
              <w:t xml:space="preserve">The proposed PI contains advice on switching between </w:t>
            </w:r>
            <w:proofErr w:type="spellStart"/>
            <w:r w:rsidRPr="00375A96">
              <w:rPr>
                <w:rFonts w:eastAsia="TimesNewRoman" w:cs="TimesNewRoman"/>
                <w:sz w:val="20"/>
                <w:szCs w:val="20"/>
              </w:rPr>
              <w:t>apixaban</w:t>
            </w:r>
            <w:proofErr w:type="spellEnd"/>
            <w:r w:rsidRPr="00375A96">
              <w:rPr>
                <w:rFonts w:eastAsia="TimesNewRoman" w:cs="TimesNewRoman"/>
                <w:sz w:val="20"/>
                <w:szCs w:val="20"/>
              </w:rPr>
              <w:t xml:space="preserve"> and other anticoagulants.</w:t>
            </w:r>
            <w:r w:rsidR="00127885" w:rsidRPr="00375A96">
              <w:rPr>
                <w:rFonts w:eastAsia="TimesNewRoman" w:cs="TimesNewRoman"/>
                <w:sz w:val="20"/>
                <w:szCs w:val="20"/>
              </w:rPr>
              <w:t xml:space="preserve"> </w:t>
            </w:r>
            <w:r w:rsidRPr="00375A96">
              <w:rPr>
                <w:rFonts w:eastAsia="TimesNewRoman" w:cs="TimesNewRoman"/>
                <w:sz w:val="20"/>
                <w:szCs w:val="20"/>
              </w:rPr>
              <w:t xml:space="preserve">It is noted that the US product label contains the following useful statement regarding measuring INR when switching from </w:t>
            </w:r>
            <w:proofErr w:type="spellStart"/>
            <w:r w:rsidRPr="00375A96">
              <w:rPr>
                <w:rFonts w:eastAsia="TimesNewRoman" w:cs="TimesNewRoman"/>
                <w:sz w:val="20"/>
                <w:szCs w:val="20"/>
              </w:rPr>
              <w:t>apixaban</w:t>
            </w:r>
            <w:proofErr w:type="spellEnd"/>
            <w:r w:rsidRPr="00375A96">
              <w:rPr>
                <w:rFonts w:eastAsia="TimesNewRoman" w:cs="TimesNewRoman"/>
                <w:sz w:val="20"/>
                <w:szCs w:val="20"/>
              </w:rPr>
              <w:t xml:space="preserve"> to warfarin:</w:t>
            </w:r>
          </w:p>
          <w:p w:rsidR="001B05E0" w:rsidRPr="00375A96" w:rsidRDefault="00657A92" w:rsidP="00375A96">
            <w:pPr>
              <w:pStyle w:val="Numberbullet0"/>
              <w:numPr>
                <w:ilvl w:val="0"/>
                <w:numId w:val="0"/>
              </w:numPr>
              <w:tabs>
                <w:tab w:val="left" w:pos="2872"/>
              </w:tabs>
              <w:ind w:left="425" w:right="0"/>
              <w:rPr>
                <w:rFonts w:eastAsia="Times New Roman"/>
                <w:i/>
                <w:sz w:val="20"/>
                <w:szCs w:val="20"/>
              </w:rPr>
            </w:pPr>
            <w:proofErr w:type="spellStart"/>
            <w:r w:rsidRPr="00375A96">
              <w:rPr>
                <w:i/>
                <w:sz w:val="20"/>
                <w:szCs w:val="20"/>
              </w:rPr>
              <w:t>Eliquis</w:t>
            </w:r>
            <w:proofErr w:type="spellEnd"/>
            <w:r w:rsidR="001B05E0" w:rsidRPr="00375A96">
              <w:rPr>
                <w:i/>
                <w:sz w:val="20"/>
                <w:szCs w:val="20"/>
              </w:rPr>
              <w:t xml:space="preserve"> affects INR, so that INR measurements during </w:t>
            </w:r>
            <w:proofErr w:type="spellStart"/>
            <w:r w:rsidR="001B05E0" w:rsidRPr="00375A96">
              <w:rPr>
                <w:i/>
                <w:sz w:val="20"/>
                <w:szCs w:val="20"/>
              </w:rPr>
              <w:t>coadministration</w:t>
            </w:r>
            <w:proofErr w:type="spellEnd"/>
            <w:r w:rsidR="001B05E0" w:rsidRPr="00375A96">
              <w:rPr>
                <w:i/>
                <w:sz w:val="20"/>
                <w:szCs w:val="20"/>
              </w:rPr>
              <w:t xml:space="preserve"> with warfarin may not be useful for determining the appropriate dose of warfarin.</w:t>
            </w:r>
          </w:p>
          <w:p w:rsidR="001B05E0" w:rsidRPr="00375A96" w:rsidRDefault="001B05E0" w:rsidP="00375A96">
            <w:pPr>
              <w:pStyle w:val="Numberbullet0"/>
              <w:numPr>
                <w:ilvl w:val="0"/>
                <w:numId w:val="0"/>
              </w:numPr>
              <w:tabs>
                <w:tab w:val="left" w:pos="2872"/>
              </w:tabs>
              <w:ind w:left="425" w:right="0"/>
              <w:rPr>
                <w:rFonts w:eastAsia="TimesNewRoman" w:cs="TimesNewRoman"/>
                <w:sz w:val="20"/>
                <w:szCs w:val="20"/>
              </w:rPr>
            </w:pPr>
            <w:r w:rsidRPr="00375A96">
              <w:rPr>
                <w:sz w:val="20"/>
                <w:szCs w:val="20"/>
              </w:rPr>
              <w:t>It is recommended that a similar statement is included in the Australian PI.</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tabs>
                <w:tab w:val="left" w:pos="2872"/>
              </w:tabs>
              <w:ind w:left="31" w:right="0"/>
              <w:rPr>
                <w:rFonts w:eastAsia="MS Mincho"/>
                <w:i/>
                <w:sz w:val="20"/>
                <w:szCs w:val="20"/>
              </w:rPr>
            </w:pPr>
            <w:r w:rsidRPr="00375A96">
              <w:rPr>
                <w:i/>
                <w:sz w:val="20"/>
                <w:szCs w:val="20"/>
              </w:rPr>
              <w:t xml:space="preserve">The </w:t>
            </w:r>
            <w:r w:rsidR="00E93B79" w:rsidRPr="00375A96">
              <w:rPr>
                <w:i/>
                <w:sz w:val="20"/>
                <w:szCs w:val="20"/>
              </w:rPr>
              <w:t>s</w:t>
            </w:r>
            <w:r w:rsidRPr="00375A96">
              <w:rPr>
                <w:i/>
                <w:sz w:val="20"/>
                <w:szCs w:val="20"/>
              </w:rPr>
              <w:t>ponsor has updated the Product Information.</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tabs>
                <w:tab w:val="left" w:pos="2872"/>
              </w:tabs>
              <w:ind w:left="31" w:right="0"/>
              <w:rPr>
                <w:rFonts w:eastAsia="MS Mincho"/>
                <w:sz w:val="20"/>
                <w:szCs w:val="20"/>
              </w:rPr>
            </w:pPr>
            <w:r w:rsidRPr="00375A96">
              <w:rPr>
                <w:sz w:val="20"/>
                <w:szCs w:val="20"/>
              </w:rPr>
              <w:t>This is acceptable from a RMP standpoint subject to final consideration by the Delegate.</w:t>
            </w:r>
          </w:p>
        </w:tc>
      </w:tr>
      <w:tr w:rsidR="001B05E0" w:rsidRPr="008B2BE5" w:rsidTr="001B05E0">
        <w:trPr>
          <w:jc w:val="center"/>
        </w:trPr>
        <w:tc>
          <w:tcPr>
            <w:tcW w:w="171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7908EB">
            <w:pPr>
              <w:pStyle w:val="Numberbullet0"/>
              <w:rPr>
                <w:rFonts w:eastAsia="Times New Roman"/>
                <w:sz w:val="20"/>
                <w:szCs w:val="20"/>
              </w:rPr>
            </w:pPr>
            <w:r w:rsidRPr="00375A96">
              <w:rPr>
                <w:sz w:val="20"/>
                <w:szCs w:val="20"/>
              </w:rPr>
              <w:t xml:space="preserve">Changes made to the PI in response to the evaluation process should be reflected in the </w:t>
            </w:r>
            <w:r w:rsidR="00E93B79" w:rsidRPr="00375A96">
              <w:rPr>
                <w:sz w:val="20"/>
                <w:szCs w:val="20"/>
              </w:rPr>
              <w:t>Consumer Medicine Information (</w:t>
            </w:r>
            <w:r w:rsidRPr="00375A96">
              <w:rPr>
                <w:sz w:val="20"/>
                <w:szCs w:val="20"/>
              </w:rPr>
              <w:t>CMI</w:t>
            </w:r>
            <w:r w:rsidR="00E93B79" w:rsidRPr="00375A96">
              <w:rPr>
                <w:sz w:val="20"/>
                <w:szCs w:val="20"/>
              </w:rPr>
              <w:t xml:space="preserve">) </w:t>
            </w:r>
            <w:r w:rsidRPr="00375A96">
              <w:rPr>
                <w:sz w:val="20"/>
                <w:szCs w:val="20"/>
              </w:rPr>
              <w:t>as appropriate.</w:t>
            </w:r>
          </w:p>
        </w:tc>
        <w:tc>
          <w:tcPr>
            <w:tcW w:w="23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rPr>
                <w:i/>
                <w:sz w:val="20"/>
                <w:szCs w:val="20"/>
              </w:rPr>
            </w:pPr>
            <w:r w:rsidRPr="00375A96">
              <w:rPr>
                <w:i/>
                <w:sz w:val="20"/>
                <w:szCs w:val="20"/>
              </w:rPr>
              <w:t xml:space="preserve">The </w:t>
            </w:r>
            <w:r w:rsidR="008B2BE5" w:rsidRPr="00375A96">
              <w:rPr>
                <w:i/>
                <w:sz w:val="20"/>
                <w:szCs w:val="20"/>
              </w:rPr>
              <w:t>s</w:t>
            </w:r>
            <w:r w:rsidRPr="00375A96">
              <w:rPr>
                <w:i/>
                <w:sz w:val="20"/>
                <w:szCs w:val="20"/>
              </w:rPr>
              <w:t>ponsor provides an assurance that any changes made to the PI in response to the evaluation process will be reflected in the CMI.</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1B05E0" w:rsidRPr="00375A96" w:rsidRDefault="001B05E0" w:rsidP="00375A96">
            <w:pPr>
              <w:rPr>
                <w:rFonts w:eastAsia="MS Mincho"/>
                <w:sz w:val="20"/>
                <w:szCs w:val="20"/>
              </w:rPr>
            </w:pPr>
            <w:r w:rsidRPr="00375A96">
              <w:rPr>
                <w:sz w:val="20"/>
                <w:szCs w:val="20"/>
              </w:rPr>
              <w:t>This is acceptable.</w:t>
            </w:r>
          </w:p>
        </w:tc>
      </w:tr>
    </w:tbl>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B917B2" w:rsidRDefault="001B05E0" w:rsidP="00B917B2">
      <w:r>
        <w:t>It is considered that the sponsor’s response to the TGA has not adequately addressed all issues identified in the RMP evaluation report.</w:t>
      </w:r>
      <w:r w:rsidR="00127885">
        <w:t xml:space="preserve"> </w:t>
      </w:r>
      <w:r>
        <w:t>There is one outstanding issue.</w:t>
      </w:r>
      <w:r w:rsidR="00127885">
        <w:t xml:space="preserve"> </w:t>
      </w:r>
      <w:r>
        <w:t>There are additional recommendations (see below).</w:t>
      </w:r>
    </w:p>
    <w:p w:rsidR="001B05E0" w:rsidRDefault="001B05E0" w:rsidP="00B917B2">
      <w:pPr>
        <w:pStyle w:val="Heading5"/>
      </w:pPr>
      <w:r>
        <w:t>Outstanding issues</w:t>
      </w:r>
    </w:p>
    <w:p w:rsidR="001B05E0" w:rsidRDefault="001B05E0" w:rsidP="00B917B2">
      <w:pPr>
        <w:pStyle w:val="Heading6"/>
        <w:rPr>
          <w:sz w:val="24"/>
          <w:szCs w:val="24"/>
        </w:rPr>
      </w:pPr>
      <w:r>
        <w:t>RMP evaluation report</w:t>
      </w:r>
    </w:p>
    <w:p w:rsidR="001B05E0" w:rsidRDefault="001B05E0" w:rsidP="00B917B2">
      <w:r>
        <w:t>After considering the sponsor’s response, the following recommendation is maintained from the RMP evaluation report:</w:t>
      </w:r>
    </w:p>
    <w:p w:rsidR="001B05E0" w:rsidRDefault="001B05E0" w:rsidP="00B917B2">
      <w:pPr>
        <w:pStyle w:val="ListBullet"/>
      </w:pPr>
      <w:r>
        <w:t>It is recommended that the identified risk ‘</w:t>
      </w:r>
      <w:r>
        <w:rPr>
          <w:i/>
        </w:rPr>
        <w:t>Transient elevation of liver tests’</w:t>
      </w:r>
      <w:r>
        <w:t xml:space="preserve"> is amended to incorporate all indications.</w:t>
      </w:r>
    </w:p>
    <w:p w:rsidR="001B05E0" w:rsidRDefault="001B05E0" w:rsidP="00B917B2">
      <w:pPr>
        <w:rPr>
          <w:rFonts w:cstheme="minorBidi"/>
        </w:rPr>
      </w:pPr>
      <w:r>
        <w:t>This recommendation is supported by statements in the clinical evaluation report.</w:t>
      </w:r>
      <w:r w:rsidR="00127885">
        <w:t xml:space="preserve"> </w:t>
      </w:r>
      <w:r>
        <w:t>Currently ‘liver function test abnormal’ is listed in the PI as an adverse event related to the VTE prophylaxis indication.</w:t>
      </w:r>
      <w:r w:rsidR="00127885">
        <w:t xml:space="preserve"> </w:t>
      </w:r>
      <w:r>
        <w:t>The Delegate may wish to consider altering PI statements as appropriate based on this recommendation.</w:t>
      </w:r>
    </w:p>
    <w:p w:rsidR="001B05E0" w:rsidRDefault="001B05E0" w:rsidP="00B917B2">
      <w:r>
        <w:t xml:space="preserve">There are additional recommendations based on </w:t>
      </w:r>
      <w:r w:rsidR="00B917B2" w:rsidRPr="00B917B2">
        <w:rPr>
          <w:rStyle w:val="st1"/>
        </w:rPr>
        <w:t>Advisory Committee on the Safety of Medicines (ACSOM)</w:t>
      </w:r>
      <w:r>
        <w:t xml:space="preserve"> advice below.</w:t>
      </w:r>
    </w:p>
    <w:p w:rsidR="001B05E0" w:rsidRPr="00B917B2" w:rsidRDefault="001B05E0" w:rsidP="00B917B2">
      <w:pPr>
        <w:pStyle w:val="Heading5"/>
      </w:pPr>
      <w:r w:rsidRPr="00B917B2">
        <w:lastRenderedPageBreak/>
        <w:t xml:space="preserve">Advice from </w:t>
      </w:r>
      <w:r w:rsidRPr="00B917B2">
        <w:rPr>
          <w:rStyle w:val="st1"/>
        </w:rPr>
        <w:t>ACSOM</w:t>
      </w:r>
    </w:p>
    <w:p w:rsidR="001B05E0" w:rsidRDefault="001B05E0" w:rsidP="00B917B2">
      <w:pPr>
        <w:pStyle w:val="Heading6"/>
      </w:pPr>
      <w:r>
        <w:t>Additional recommendations based on ACSOM advice</w:t>
      </w:r>
    </w:p>
    <w:p w:rsidR="001B05E0" w:rsidRDefault="001B05E0" w:rsidP="00B917B2">
      <w:r>
        <w:t>The ACSOM advised that the following safety concerns should be included for consideration in the RMP:</w:t>
      </w:r>
    </w:p>
    <w:p w:rsidR="001B05E0" w:rsidRDefault="001B05E0" w:rsidP="00B917B2">
      <w:pPr>
        <w:pStyle w:val="ListBullet"/>
        <w:rPr>
          <w:sz w:val="24"/>
          <w:szCs w:val="24"/>
        </w:rPr>
      </w:pPr>
      <w:r>
        <w:t>patients with extremes of body weight, cancer-related venous thromboembolic events (VTE) and provoked VT</w:t>
      </w:r>
      <w:r w:rsidRPr="00511CAF">
        <w:t>E</w:t>
      </w:r>
      <w:r w:rsidRPr="00511CAF">
        <w:rPr>
          <w:rStyle w:val="FootnoteReference"/>
          <w:rFonts w:asciiTheme="minorHAnsi" w:hAnsiTheme="minorHAnsi"/>
        </w:rPr>
        <w:footnoteReference w:id="5"/>
      </w:r>
      <w:r w:rsidRPr="00511CAF">
        <w:t>;</w:t>
      </w:r>
    </w:p>
    <w:p w:rsidR="001B05E0" w:rsidRDefault="001B05E0" w:rsidP="00B917B2">
      <w:pPr>
        <w:pStyle w:val="ListBullet"/>
        <w:rPr>
          <w:rFonts w:cstheme="minorBidi"/>
        </w:rPr>
      </w:pPr>
      <w:r>
        <w:rPr>
          <w:rFonts w:cstheme="minorBidi"/>
        </w:rPr>
        <w:t>patients requiring rapid reversal of effect (</w:t>
      </w:r>
      <w:r w:rsidR="00B917B2">
        <w:rPr>
          <w:rFonts w:cstheme="minorBidi"/>
        </w:rPr>
        <w:t>for example,</w:t>
      </w:r>
      <w:r>
        <w:rPr>
          <w:rFonts w:cstheme="minorBidi"/>
        </w:rPr>
        <w:t xml:space="preserve"> semi-urgent surgery); and</w:t>
      </w:r>
    </w:p>
    <w:p w:rsidR="001B05E0" w:rsidRDefault="001B05E0" w:rsidP="00B917B2">
      <w:pPr>
        <w:pStyle w:val="ListBullet"/>
        <w:rPr>
          <w:rFonts w:cstheme="minorBidi"/>
        </w:rPr>
      </w:pPr>
      <w:proofErr w:type="gramStart"/>
      <w:r>
        <w:rPr>
          <w:rFonts w:cstheme="minorBidi"/>
        </w:rPr>
        <w:t>drug-drug</w:t>
      </w:r>
      <w:proofErr w:type="gramEnd"/>
      <w:r>
        <w:rPr>
          <w:rFonts w:cstheme="minorBidi"/>
        </w:rPr>
        <w:t xml:space="preserve"> interactions.</w:t>
      </w:r>
    </w:p>
    <w:p w:rsidR="001B05E0" w:rsidRDefault="001B05E0" w:rsidP="00B917B2">
      <w:pPr>
        <w:rPr>
          <w:rFonts w:cstheme="minorBidi"/>
        </w:rPr>
      </w:pPr>
      <w:r>
        <w:t xml:space="preserve">These are foreseeable clinical situations for which there is a paucity of information regarding </w:t>
      </w:r>
      <w:proofErr w:type="spellStart"/>
      <w:r>
        <w:t>apixaban</w:t>
      </w:r>
      <w:proofErr w:type="spellEnd"/>
      <w:r>
        <w:t xml:space="preserve"> treatment.</w:t>
      </w:r>
      <w:r w:rsidR="00127885">
        <w:t xml:space="preserve"> </w:t>
      </w:r>
      <w:r>
        <w:t>Therefore the evaluator recommends that the above safety concerns are included in the RMP as missing information unless the sponsor can provide sufficient justification for not doing so. Pharmacovigilance and risk minimisation activities should be assigned to these items of missing information.</w:t>
      </w:r>
      <w:r w:rsidR="00127885">
        <w:t xml:space="preserve"> </w:t>
      </w:r>
      <w:r>
        <w:t>At this time routine pharmacovigilance and risk minimisation would be considered sufficient.</w:t>
      </w:r>
      <w:r w:rsidR="00127885">
        <w:t xml:space="preserve"> </w:t>
      </w:r>
      <w:r>
        <w:t xml:space="preserve">It is noted that the draft PI already includes information on the impact of body weight on </w:t>
      </w:r>
      <w:proofErr w:type="spellStart"/>
      <w:r>
        <w:t>apixaban</w:t>
      </w:r>
      <w:proofErr w:type="spellEnd"/>
      <w:r>
        <w:t xml:space="preserve"> exposure.</w:t>
      </w:r>
      <w:r w:rsidR="00127885">
        <w:t xml:space="preserve"> </w:t>
      </w:r>
      <w:r>
        <w:t xml:space="preserve"> </w:t>
      </w:r>
    </w:p>
    <w:p w:rsidR="001B05E0" w:rsidRDefault="001B05E0" w:rsidP="00B917B2">
      <w:pPr>
        <w:pStyle w:val="Heading5"/>
      </w:pPr>
      <w:r>
        <w:t>Additional information relating to ACSOM advice</w:t>
      </w:r>
    </w:p>
    <w:p w:rsidR="001B05E0" w:rsidRDefault="001B05E0" w:rsidP="00B75453">
      <w:r>
        <w:t xml:space="preserve">On 19 December 2014 the TGA sought further information from the sponsor via </w:t>
      </w:r>
      <w:r w:rsidR="00B917B2">
        <w:t>a</w:t>
      </w:r>
      <w:r>
        <w:t xml:space="preserve"> request relating to the following ACSOM advice:</w:t>
      </w:r>
    </w:p>
    <w:p w:rsidR="001B05E0" w:rsidRPr="00B917B2" w:rsidRDefault="001B05E0" w:rsidP="00B917B2">
      <w:pPr>
        <w:ind w:left="720"/>
        <w:rPr>
          <w:i/>
          <w:lang w:val="en-US"/>
        </w:rPr>
      </w:pPr>
      <w:r w:rsidRPr="00B917B2">
        <w:rPr>
          <w:i/>
          <w:lang w:val="en-US"/>
        </w:rPr>
        <w:t xml:space="preserve">The committee noted there is no published therapeutic range for </w:t>
      </w:r>
      <w:proofErr w:type="spellStart"/>
      <w:r w:rsidRPr="00B917B2">
        <w:rPr>
          <w:i/>
          <w:lang w:val="en-US"/>
        </w:rPr>
        <w:t>apixaban</w:t>
      </w:r>
      <w:proofErr w:type="spellEnd"/>
      <w:r w:rsidRPr="00B917B2">
        <w:rPr>
          <w:i/>
          <w:lang w:val="en-US"/>
        </w:rPr>
        <w:t xml:space="preserve"> plasma monitoring, or data that linked the pharmacokinetic (PK)/</w:t>
      </w:r>
      <w:proofErr w:type="spellStart"/>
      <w:r w:rsidRPr="00B917B2">
        <w:rPr>
          <w:i/>
          <w:lang w:val="en-US"/>
        </w:rPr>
        <w:t>pharmacodynamic</w:t>
      </w:r>
      <w:proofErr w:type="spellEnd"/>
      <w:r w:rsidRPr="00B917B2">
        <w:rPr>
          <w:i/>
          <w:lang w:val="en-US"/>
        </w:rPr>
        <w:t xml:space="preserve"> (PD) properties with safety or efficacy. The committee advised that it would be useful to request the sponsor to provide this information, as well as information on </w:t>
      </w:r>
      <w:proofErr w:type="spellStart"/>
      <w:r w:rsidRPr="00B917B2">
        <w:rPr>
          <w:i/>
          <w:lang w:val="en-US"/>
        </w:rPr>
        <w:t>apixaban</w:t>
      </w:r>
      <w:proofErr w:type="spellEnd"/>
      <w:r w:rsidRPr="00B917B2">
        <w:rPr>
          <w:i/>
          <w:lang w:val="en-US"/>
        </w:rPr>
        <w:t xml:space="preserve"> plasma levels in patients who experienced serious adverse events in the clinical trials.</w:t>
      </w:r>
    </w:p>
    <w:p w:rsidR="00B75453" w:rsidRDefault="001B05E0" w:rsidP="00B75453">
      <w:pPr>
        <w:spacing w:after="240"/>
        <w:rPr>
          <w:rFonts w:asciiTheme="minorHAnsi" w:hAnsiTheme="minorHAnsi"/>
          <w:sz w:val="24"/>
          <w:szCs w:val="24"/>
          <w:lang w:val="en-US"/>
        </w:rPr>
      </w:pPr>
      <w:r w:rsidRPr="00B917B2">
        <w:t xml:space="preserve">According to the response (dated 19 January 2015) the sponsor confirmed that </w:t>
      </w:r>
      <w:r w:rsidR="00FD26C1" w:rsidRPr="00B917B2">
        <w:t>‘</w:t>
      </w:r>
      <w:r w:rsidRPr="00B917B2">
        <w:rPr>
          <w:i/>
        </w:rPr>
        <w:t>PK and anti-</w:t>
      </w:r>
      <w:proofErr w:type="spellStart"/>
      <w:r w:rsidRPr="00B917B2">
        <w:rPr>
          <w:i/>
        </w:rPr>
        <w:t>FXa</w:t>
      </w:r>
      <w:proofErr w:type="spellEnd"/>
      <w:r w:rsidRPr="00B917B2">
        <w:rPr>
          <w:i/>
        </w:rPr>
        <w:t xml:space="preserve"> activity data were collected in a small subset of subjects at pre-determined visits and were not prospectively collected at the time of bleeding or clotting events in the Phase 3 studies submitted for the respective indications and there are no PK data available for post-marketing reports of these adverse events</w:t>
      </w:r>
      <w:r w:rsidR="00FD26C1" w:rsidRPr="00B917B2">
        <w:t>’</w:t>
      </w:r>
      <w:r>
        <w:rPr>
          <w:rFonts w:asciiTheme="minorHAnsi" w:hAnsiTheme="minorHAnsi"/>
          <w:sz w:val="24"/>
          <w:szCs w:val="24"/>
          <w:lang w:val="en-US"/>
        </w:rPr>
        <w:t>.</w:t>
      </w:r>
    </w:p>
    <w:p w:rsidR="00B917B2" w:rsidRDefault="001B05E0" w:rsidP="00B75453">
      <w:pPr>
        <w:spacing w:after="240"/>
        <w:rPr>
          <w:lang w:val="en-US"/>
        </w:rPr>
      </w:pPr>
      <w:r>
        <w:rPr>
          <w:lang w:val="en-US"/>
        </w:rPr>
        <w:t xml:space="preserve">Further, regarding investigation of the potential role of laboratory monitoring, the sponsor stated that </w:t>
      </w:r>
      <w:r w:rsidR="00FD26C1">
        <w:rPr>
          <w:lang w:val="en-US"/>
        </w:rPr>
        <w:t>‘</w:t>
      </w:r>
      <w:r w:rsidRPr="00B917B2">
        <w:rPr>
          <w:i/>
          <w:lang w:val="en-US"/>
        </w:rPr>
        <w:t xml:space="preserve">analyses have revealed a wide overlap in </w:t>
      </w:r>
      <w:proofErr w:type="spellStart"/>
      <w:r w:rsidRPr="00B917B2">
        <w:rPr>
          <w:i/>
          <w:lang w:val="en-US"/>
        </w:rPr>
        <w:t>apixaban</w:t>
      </w:r>
      <w:proofErr w:type="spellEnd"/>
      <w:r w:rsidRPr="00B917B2">
        <w:rPr>
          <w:i/>
          <w:lang w:val="en-US"/>
        </w:rPr>
        <w:t xml:space="preserve"> exposure and anti-</w:t>
      </w:r>
      <w:proofErr w:type="spellStart"/>
      <w:r w:rsidRPr="00B917B2">
        <w:rPr>
          <w:i/>
          <w:lang w:val="en-US"/>
        </w:rPr>
        <w:t>FXa</w:t>
      </w:r>
      <w:proofErr w:type="spellEnd"/>
      <w:r w:rsidRPr="00B917B2">
        <w:rPr>
          <w:i/>
          <w:lang w:val="en-US"/>
        </w:rPr>
        <w:t xml:space="preserve"> activity values for those who did and did not experience safety (a composite bleeding of major and clinically relevant non-major) or efficacy (VTE or VTE-related death) events…No discernable threshold levels could be identified that would predict better or worse safety or efficacy outcomes for individual patients.</w:t>
      </w:r>
      <w:r w:rsidR="00127885" w:rsidRPr="00B917B2">
        <w:rPr>
          <w:i/>
          <w:lang w:val="en-US"/>
        </w:rPr>
        <w:t xml:space="preserve"> </w:t>
      </w:r>
      <w:r w:rsidRPr="00B917B2">
        <w:rPr>
          <w:i/>
          <w:lang w:val="en-US"/>
        </w:rPr>
        <w:t xml:space="preserve">Thus, there is no evidence that adjusting doses of </w:t>
      </w:r>
      <w:proofErr w:type="spellStart"/>
      <w:r w:rsidRPr="00B917B2">
        <w:rPr>
          <w:i/>
          <w:lang w:val="en-US"/>
        </w:rPr>
        <w:t>apixaban</w:t>
      </w:r>
      <w:proofErr w:type="spellEnd"/>
      <w:r w:rsidRPr="00B917B2">
        <w:rPr>
          <w:i/>
          <w:lang w:val="en-US"/>
        </w:rPr>
        <w:t xml:space="preserve"> using </w:t>
      </w:r>
      <w:proofErr w:type="spellStart"/>
      <w:r w:rsidRPr="00B917B2">
        <w:rPr>
          <w:i/>
          <w:lang w:val="en-US"/>
        </w:rPr>
        <w:t>apixaban</w:t>
      </w:r>
      <w:proofErr w:type="spellEnd"/>
      <w:r w:rsidRPr="00B917B2">
        <w:rPr>
          <w:i/>
          <w:lang w:val="en-US"/>
        </w:rPr>
        <w:t xml:space="preserve"> plasma concentrations or anti-</w:t>
      </w:r>
      <w:proofErr w:type="spellStart"/>
      <w:r w:rsidRPr="00B917B2">
        <w:rPr>
          <w:i/>
          <w:lang w:val="en-US"/>
        </w:rPr>
        <w:t>FXa</w:t>
      </w:r>
      <w:proofErr w:type="spellEnd"/>
      <w:r w:rsidRPr="00B917B2">
        <w:rPr>
          <w:i/>
          <w:lang w:val="en-US"/>
        </w:rPr>
        <w:t xml:space="preserve"> activity would improve the efficacy/safety profile of </w:t>
      </w:r>
      <w:proofErr w:type="spellStart"/>
      <w:r w:rsidRPr="00B917B2">
        <w:rPr>
          <w:i/>
          <w:lang w:val="en-US"/>
        </w:rPr>
        <w:t>apixaban</w:t>
      </w:r>
      <w:proofErr w:type="spellEnd"/>
      <w:r w:rsidRPr="00B917B2">
        <w:rPr>
          <w:i/>
          <w:lang w:val="en-US"/>
        </w:rPr>
        <w:t xml:space="preserve"> for VTE Treatment patients</w:t>
      </w:r>
      <w:r w:rsidR="00FD26C1">
        <w:rPr>
          <w:lang w:val="en-US"/>
        </w:rPr>
        <w:t>’</w:t>
      </w:r>
      <w:r>
        <w:rPr>
          <w:lang w:val="en-US"/>
        </w:rPr>
        <w:t>.</w:t>
      </w:r>
    </w:p>
    <w:p w:rsidR="001B05E0" w:rsidRPr="00B917B2" w:rsidRDefault="001B05E0" w:rsidP="00511CAF">
      <w:pPr>
        <w:rPr>
          <w:lang w:val="en-US"/>
        </w:rPr>
      </w:pPr>
      <w:r>
        <w:t>The sponsor’s response has been considered by the evaluator in the context of this application.</w:t>
      </w:r>
      <w:r w:rsidR="00127885">
        <w:t xml:space="preserve"> </w:t>
      </w:r>
      <w:r>
        <w:t>It appears that the sponsor has confirmed that they do not currently hold evidence which demonstrates the effect of monitoring on the safety of the product.</w:t>
      </w:r>
    </w:p>
    <w:p w:rsidR="001B05E0" w:rsidRDefault="001B05E0" w:rsidP="00B917B2">
      <w:pPr>
        <w:pStyle w:val="Heading5"/>
      </w:pPr>
      <w:r>
        <w:lastRenderedPageBreak/>
        <w:t xml:space="preserve">Key </w:t>
      </w:r>
      <w:r w:rsidR="00F76DF8">
        <w:t>changes to the updated RMP</w:t>
      </w:r>
    </w:p>
    <w:p w:rsidR="001B05E0" w:rsidRDefault="001B05E0" w:rsidP="000B426C">
      <w:r>
        <w:t xml:space="preserve">EU-RMP (version 12, document date 21 October 2013, </w:t>
      </w:r>
      <w:proofErr w:type="gramStart"/>
      <w:r>
        <w:t>data</w:t>
      </w:r>
      <w:proofErr w:type="gramEnd"/>
      <w:r>
        <w:t xml:space="preserve"> lock point 17 May 2013) and Australian Specific Annex (version 5, document date 17 March 2014)</w:t>
      </w:r>
      <w:r w:rsidR="00F76DF8">
        <w:t xml:space="preserve"> </w:t>
      </w:r>
      <w:r>
        <w:t>has been superseded by:</w:t>
      </w:r>
    </w:p>
    <w:p w:rsidR="001B05E0" w:rsidRDefault="001B05E0" w:rsidP="00F76DF8">
      <w:pPr>
        <w:ind w:left="709"/>
      </w:pPr>
      <w:proofErr w:type="gramStart"/>
      <w:r>
        <w:t>EU-RMP (version 13, document date 7 July 2014, data lock point 17 May 2013) and Australian Specific Annex (version 6, document date 13 November 2014)</w:t>
      </w:r>
      <w:r w:rsidR="001331AE">
        <w:t>.</w:t>
      </w:r>
      <w:proofErr w:type="gramEnd"/>
    </w:p>
    <w:p w:rsidR="001B05E0" w:rsidRDefault="001B05E0" w:rsidP="000B426C">
      <w:r>
        <w:t>Key change</w:t>
      </w:r>
      <w:r w:rsidR="00B917B2">
        <w:t>s from the version evaluated in the first r</w:t>
      </w:r>
      <w:r>
        <w:t>ound are summarised below</w:t>
      </w:r>
      <w:r w:rsidR="00B917B2">
        <w:t>.</w:t>
      </w:r>
    </w:p>
    <w:p w:rsidR="00B917B2" w:rsidRDefault="00B917B2" w:rsidP="00B917B2">
      <w:pPr>
        <w:pStyle w:val="TableTitle"/>
      </w:pPr>
      <w:r>
        <w:t>Table 5: Key changes to the EU-RMP and ASA</w:t>
      </w:r>
    </w:p>
    <w:tbl>
      <w:tblPr>
        <w:tblStyle w:val="TableTGAblue1"/>
        <w:tblW w:w="0" w:type="auto"/>
        <w:tblInd w:w="0" w:type="dxa"/>
        <w:tblLook w:val="04A0" w:firstRow="1" w:lastRow="0" w:firstColumn="1" w:lastColumn="0" w:noHBand="0" w:noVBand="1"/>
      </w:tblPr>
      <w:tblGrid>
        <w:gridCol w:w="3085"/>
        <w:gridCol w:w="5635"/>
      </w:tblGrid>
      <w:tr w:rsidR="001B05E0" w:rsidTr="00E8383D">
        <w:trPr>
          <w:cnfStyle w:val="100000000000" w:firstRow="1" w:lastRow="0" w:firstColumn="0" w:lastColumn="0" w:oddVBand="0" w:evenVBand="0" w:oddHBand="0" w:evenHBand="0" w:firstRowFirstColumn="0" w:firstRowLastColumn="0" w:lastRowFirstColumn="0" w:lastRowLastColumn="0"/>
          <w:cantSplit/>
          <w:trHeight w:val="274"/>
          <w:tblHeader/>
        </w:trPr>
        <w:tc>
          <w:tcPr>
            <w:tcW w:w="8720" w:type="dxa"/>
            <w:gridSpan w:val="2"/>
          </w:tcPr>
          <w:p w:rsidR="001B05E0" w:rsidRDefault="001B05E0" w:rsidP="001331AE">
            <w:pPr>
              <w:rPr>
                <w:rFonts w:asciiTheme="minorHAnsi" w:eastAsia="MS Mincho" w:hAnsiTheme="minorHAnsi"/>
                <w:sz w:val="20"/>
                <w:szCs w:val="20"/>
                <w:lang w:eastAsia="en-AU"/>
              </w:rPr>
            </w:pPr>
            <w:r>
              <w:rPr>
                <w:rFonts w:asciiTheme="minorHAnsi" w:hAnsiTheme="minorHAnsi"/>
                <w:sz w:val="20"/>
                <w:szCs w:val="20"/>
                <w:lang w:eastAsia="en-AU"/>
              </w:rPr>
              <w:t>Summary of</w:t>
            </w:r>
            <w:r w:rsidR="00127885">
              <w:rPr>
                <w:rFonts w:asciiTheme="minorHAnsi" w:hAnsiTheme="minorHAnsi"/>
                <w:sz w:val="20"/>
                <w:szCs w:val="20"/>
                <w:lang w:eastAsia="en-AU"/>
              </w:rPr>
              <w:t xml:space="preserve"> </w:t>
            </w:r>
            <w:r>
              <w:rPr>
                <w:rFonts w:asciiTheme="minorHAnsi" w:hAnsiTheme="minorHAnsi"/>
                <w:sz w:val="20"/>
                <w:szCs w:val="20"/>
                <w:lang w:eastAsia="en-AU"/>
              </w:rPr>
              <w:t>key changes between EU-RMP version 12/ASA version 5 and EU-RMP version 13/ASA version 6</w:t>
            </w:r>
          </w:p>
        </w:tc>
      </w:tr>
      <w:tr w:rsidR="001B05E0" w:rsidTr="00E8383D">
        <w:trPr>
          <w:cantSplit/>
          <w:trHeight w:val="270"/>
        </w:trPr>
        <w:tc>
          <w:tcPr>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1B05E0" w:rsidRDefault="001B05E0">
            <w:pPr>
              <w:rPr>
                <w:rFonts w:asciiTheme="minorHAnsi" w:eastAsia="MS Mincho" w:hAnsiTheme="minorHAnsi"/>
                <w:b/>
                <w:sz w:val="20"/>
                <w:szCs w:val="20"/>
                <w:lang w:eastAsia="en-AU"/>
              </w:rPr>
            </w:pPr>
            <w:r>
              <w:rPr>
                <w:rFonts w:asciiTheme="minorHAnsi" w:hAnsiTheme="minorHAnsi"/>
                <w:b/>
                <w:sz w:val="20"/>
                <w:szCs w:val="20"/>
                <w:lang w:eastAsia="en-AU"/>
              </w:rPr>
              <w:t>Safety specification</w:t>
            </w:r>
          </w:p>
        </w:tc>
        <w:tc>
          <w:tcPr>
            <w:tcW w:w="56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1B05E0" w:rsidRPr="001331AE" w:rsidRDefault="001B05E0" w:rsidP="001331AE">
            <w:pPr>
              <w:pStyle w:val="ListBullet"/>
              <w:rPr>
                <w:rFonts w:eastAsia="Times New Roman"/>
                <w:sz w:val="20"/>
                <w:szCs w:val="20"/>
              </w:rPr>
            </w:pPr>
            <w:r w:rsidRPr="001331AE">
              <w:rPr>
                <w:sz w:val="20"/>
                <w:szCs w:val="20"/>
              </w:rPr>
              <w:t>Nil significant change</w:t>
            </w:r>
          </w:p>
        </w:tc>
      </w:tr>
      <w:tr w:rsidR="001B05E0" w:rsidTr="00E8383D">
        <w:trPr>
          <w:cantSplit/>
          <w:trHeight w:val="524"/>
        </w:trPr>
        <w:tc>
          <w:tcPr>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1B05E0" w:rsidRDefault="001B05E0">
            <w:pPr>
              <w:rPr>
                <w:rFonts w:asciiTheme="minorHAnsi" w:eastAsia="MS Mincho" w:hAnsiTheme="minorHAnsi"/>
                <w:b/>
                <w:sz w:val="20"/>
                <w:szCs w:val="20"/>
                <w:lang w:eastAsia="en-AU"/>
              </w:rPr>
            </w:pPr>
            <w:r>
              <w:rPr>
                <w:rFonts w:asciiTheme="minorHAnsi" w:hAnsiTheme="minorHAnsi"/>
                <w:b/>
                <w:sz w:val="20"/>
                <w:szCs w:val="20"/>
                <w:lang w:eastAsia="en-AU"/>
              </w:rPr>
              <w:t>Pharmacovigilance activities</w:t>
            </w:r>
          </w:p>
        </w:tc>
        <w:tc>
          <w:tcPr>
            <w:tcW w:w="56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1B05E0" w:rsidRPr="001331AE" w:rsidRDefault="001B05E0" w:rsidP="001331AE">
            <w:pPr>
              <w:pStyle w:val="ListBullet"/>
              <w:rPr>
                <w:rFonts w:eastAsia="Times New Roman"/>
                <w:sz w:val="20"/>
                <w:szCs w:val="20"/>
              </w:rPr>
            </w:pPr>
            <w:r w:rsidRPr="001331AE">
              <w:rPr>
                <w:sz w:val="20"/>
                <w:szCs w:val="20"/>
              </w:rPr>
              <w:t>Nil significant change</w:t>
            </w:r>
          </w:p>
        </w:tc>
      </w:tr>
      <w:tr w:rsidR="001B05E0" w:rsidTr="00E8383D">
        <w:trPr>
          <w:cantSplit/>
          <w:trHeight w:val="524"/>
        </w:trPr>
        <w:tc>
          <w:tcPr>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B05E0" w:rsidRDefault="001B05E0" w:rsidP="001331AE">
            <w:pPr>
              <w:rPr>
                <w:rFonts w:asciiTheme="minorHAnsi" w:eastAsia="MS Mincho" w:hAnsiTheme="minorHAnsi"/>
                <w:b/>
                <w:sz w:val="20"/>
                <w:szCs w:val="20"/>
                <w:lang w:eastAsia="en-AU"/>
              </w:rPr>
            </w:pPr>
            <w:r>
              <w:rPr>
                <w:rFonts w:asciiTheme="minorHAnsi" w:hAnsiTheme="minorHAnsi"/>
                <w:b/>
                <w:sz w:val="20"/>
                <w:szCs w:val="20"/>
                <w:lang w:eastAsia="en-AU"/>
              </w:rPr>
              <w:t>Risk minimisation activities</w:t>
            </w:r>
          </w:p>
        </w:tc>
        <w:tc>
          <w:tcPr>
            <w:tcW w:w="56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1B05E0" w:rsidRPr="001331AE" w:rsidRDefault="001B05E0" w:rsidP="001331AE">
            <w:pPr>
              <w:pStyle w:val="ListBullet"/>
              <w:rPr>
                <w:rFonts w:eastAsia="Times New Roman"/>
                <w:sz w:val="20"/>
                <w:szCs w:val="20"/>
              </w:rPr>
            </w:pPr>
            <w:r w:rsidRPr="001331AE">
              <w:rPr>
                <w:sz w:val="20"/>
                <w:szCs w:val="20"/>
              </w:rPr>
              <w:t>Nil significant change</w:t>
            </w:r>
          </w:p>
        </w:tc>
      </w:tr>
      <w:tr w:rsidR="001B05E0" w:rsidTr="00E8383D">
        <w:trPr>
          <w:cantSplit/>
          <w:trHeight w:val="524"/>
        </w:trPr>
        <w:tc>
          <w:tcPr>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B05E0" w:rsidRDefault="001B05E0" w:rsidP="001331AE">
            <w:pPr>
              <w:rPr>
                <w:rFonts w:asciiTheme="minorHAnsi" w:eastAsia="MS Mincho" w:hAnsiTheme="minorHAnsi"/>
                <w:b/>
                <w:sz w:val="20"/>
                <w:szCs w:val="20"/>
                <w:lang w:eastAsia="en-AU"/>
              </w:rPr>
            </w:pPr>
            <w:r>
              <w:rPr>
                <w:rFonts w:asciiTheme="minorHAnsi" w:hAnsiTheme="minorHAnsi"/>
                <w:b/>
                <w:sz w:val="20"/>
                <w:szCs w:val="20"/>
                <w:lang w:eastAsia="en-AU"/>
              </w:rPr>
              <w:t>ASA</w:t>
            </w:r>
          </w:p>
        </w:tc>
        <w:tc>
          <w:tcPr>
            <w:tcW w:w="56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1B05E0" w:rsidRPr="001331AE" w:rsidRDefault="001B05E0" w:rsidP="001331AE">
            <w:pPr>
              <w:pStyle w:val="ListBullet"/>
              <w:rPr>
                <w:rFonts w:eastAsia="Times New Roman"/>
                <w:sz w:val="20"/>
                <w:szCs w:val="20"/>
              </w:rPr>
            </w:pPr>
            <w:r w:rsidRPr="001331AE">
              <w:rPr>
                <w:sz w:val="20"/>
                <w:szCs w:val="20"/>
              </w:rPr>
              <w:t>Updated to reflect recent amendments to the Australian labelling document</w:t>
            </w:r>
          </w:p>
          <w:p w:rsidR="001B05E0" w:rsidRPr="001331AE" w:rsidRDefault="001B05E0" w:rsidP="001331AE">
            <w:pPr>
              <w:pStyle w:val="ListBullet"/>
              <w:rPr>
                <w:sz w:val="20"/>
                <w:szCs w:val="20"/>
              </w:rPr>
            </w:pPr>
            <w:r w:rsidRPr="001331AE">
              <w:rPr>
                <w:sz w:val="20"/>
                <w:szCs w:val="20"/>
              </w:rPr>
              <w:t>Updated to list differences between the Australian and European labelling documents.</w:t>
            </w:r>
          </w:p>
          <w:p w:rsidR="001B05E0" w:rsidRPr="001331AE" w:rsidRDefault="001B05E0" w:rsidP="001331AE">
            <w:pPr>
              <w:pStyle w:val="ListBullet"/>
              <w:rPr>
                <w:sz w:val="20"/>
                <w:szCs w:val="20"/>
              </w:rPr>
            </w:pPr>
            <w:r w:rsidRPr="001331AE">
              <w:rPr>
                <w:sz w:val="20"/>
                <w:szCs w:val="20"/>
              </w:rPr>
              <w:t>Updated to reflect additional risk minimisation measures for the different indications.</w:t>
            </w:r>
          </w:p>
          <w:p w:rsidR="001B05E0" w:rsidRPr="001331AE" w:rsidRDefault="001B05E0" w:rsidP="001331AE">
            <w:pPr>
              <w:pStyle w:val="ListBullet"/>
              <w:rPr>
                <w:rFonts w:eastAsia="Times New Roman"/>
                <w:sz w:val="20"/>
                <w:szCs w:val="20"/>
              </w:rPr>
            </w:pPr>
            <w:r w:rsidRPr="001331AE">
              <w:rPr>
                <w:sz w:val="20"/>
                <w:szCs w:val="20"/>
              </w:rPr>
              <w:t>Updated to reflect completion of the five quarterly distribution reports</w:t>
            </w:r>
          </w:p>
        </w:tc>
      </w:tr>
    </w:tbl>
    <w:p w:rsidR="001B05E0" w:rsidRDefault="001B05E0" w:rsidP="00E8383D">
      <w:pPr>
        <w:rPr>
          <w:rFonts w:eastAsia="MS Mincho" w:cstheme="minorBidi"/>
        </w:rPr>
      </w:pPr>
      <w:r>
        <w:t>The evaluator has no objection to the above changes.</w:t>
      </w:r>
    </w:p>
    <w:p w:rsidR="001B05E0" w:rsidRDefault="001B05E0" w:rsidP="00E8383D">
      <w:pPr>
        <w:pStyle w:val="Heading5"/>
      </w:pPr>
      <w:r>
        <w:t>Suggested wording</w:t>
      </w:r>
      <w:r w:rsidR="001331AE">
        <w:t xml:space="preserve"> for conditions of registration</w:t>
      </w:r>
    </w:p>
    <w:p w:rsidR="001B05E0" w:rsidRDefault="001B05E0" w:rsidP="00E8383D">
      <w:r>
        <w:t>Any changes to which the sponsor agreed become part of the risk management system, whether they are included in the currently available version of the RMP document, or not included, inadvertently or otherwise.</w:t>
      </w:r>
    </w:p>
    <w:p w:rsidR="001B05E0" w:rsidRDefault="001B05E0" w:rsidP="00E8383D">
      <w:r>
        <w:t>The suggested wording is:</w:t>
      </w:r>
    </w:p>
    <w:p w:rsidR="001B05E0" w:rsidRPr="00E8383D" w:rsidRDefault="00E8383D" w:rsidP="001331AE">
      <w:pPr>
        <w:ind w:left="709"/>
        <w:rPr>
          <w:i/>
        </w:rPr>
      </w:pPr>
      <w:r w:rsidRPr="00E8383D">
        <w:rPr>
          <w:i/>
        </w:rPr>
        <w:t>E</w:t>
      </w:r>
      <w:r w:rsidR="001B05E0" w:rsidRPr="00E8383D">
        <w:rPr>
          <w:i/>
        </w:rPr>
        <w:t xml:space="preserve">U-RMP (version 13, document date 7 July 2014, </w:t>
      </w:r>
      <w:proofErr w:type="gramStart"/>
      <w:r w:rsidR="001B05E0" w:rsidRPr="00E8383D">
        <w:rPr>
          <w:i/>
        </w:rPr>
        <w:t>data</w:t>
      </w:r>
      <w:proofErr w:type="gramEnd"/>
      <w:r w:rsidR="001B05E0" w:rsidRPr="00E8383D">
        <w:rPr>
          <w:i/>
        </w:rPr>
        <w:t xml:space="preserve"> lock point 17 May 2013) and Australian Specific Annex (version 6, document date 13 November 2014) to be revised to the satisfaction of the TGA, must be implemented </w:t>
      </w:r>
      <w:r w:rsidR="001331AE">
        <w:rPr>
          <w:i/>
        </w:rPr>
        <w:t>(see outstanding issues above).</w:t>
      </w:r>
    </w:p>
    <w:p w:rsidR="008E7846" w:rsidRPr="00792A32" w:rsidRDefault="008E7846" w:rsidP="008E7846">
      <w:pPr>
        <w:pStyle w:val="Heading2"/>
      </w:pPr>
      <w:bookmarkStart w:id="177" w:name="_Toc314842510"/>
      <w:bookmarkStart w:id="178" w:name="_Toc43638677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6"/>
      <w:bookmarkEnd w:id="176"/>
      <w:bookmarkEnd w:id="177"/>
      <w:bookmarkEnd w:id="178"/>
    </w:p>
    <w:p w:rsidR="008E7846" w:rsidRDefault="008E7846" w:rsidP="008E7846">
      <w:bookmarkStart w:id="179"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80" w:name="_Toc314842511"/>
      <w:bookmarkStart w:id="181" w:name="_Toc436386777"/>
      <w:r>
        <w:t>Quality</w:t>
      </w:r>
      <w:bookmarkEnd w:id="179"/>
      <w:bookmarkEnd w:id="180"/>
      <w:bookmarkEnd w:id="181"/>
    </w:p>
    <w:p w:rsidR="008B3975" w:rsidRPr="00E93B79" w:rsidRDefault="008B3975" w:rsidP="000B426C">
      <w:bookmarkStart w:id="182" w:name="_Toc314842512"/>
      <w:r w:rsidRPr="00E93B79">
        <w:t xml:space="preserve">The sponsor sought approval for a new pack size of 28 tablets for the </w:t>
      </w:r>
      <w:proofErr w:type="spellStart"/>
      <w:r w:rsidRPr="00E93B79">
        <w:t>apixaban</w:t>
      </w:r>
      <w:proofErr w:type="spellEnd"/>
      <w:r w:rsidRPr="00E93B79">
        <w:t xml:space="preserve"> 5 mg tablets in order to provide the 7 day dose of 10 mg twice daily recommended for the initial </w:t>
      </w:r>
      <w:r w:rsidRPr="00E93B79">
        <w:lastRenderedPageBreak/>
        <w:t xml:space="preserve">treatment </w:t>
      </w:r>
      <w:r w:rsidR="00E93B79">
        <w:t xml:space="preserve">of DVT and/or PE. The quality </w:t>
      </w:r>
      <w:r w:rsidRPr="00E93B79">
        <w:t>evaluator had no objections to this addi</w:t>
      </w:r>
      <w:r w:rsidR="001331AE">
        <w:t>tional presentation.</w:t>
      </w:r>
    </w:p>
    <w:p w:rsidR="008E7846" w:rsidRDefault="008E7846" w:rsidP="008E7846">
      <w:pPr>
        <w:pStyle w:val="Heading3"/>
      </w:pPr>
      <w:bookmarkStart w:id="183" w:name="_Toc436386778"/>
      <w:r>
        <w:t>Nonclinical</w:t>
      </w:r>
      <w:bookmarkEnd w:id="182"/>
      <w:bookmarkEnd w:id="183"/>
    </w:p>
    <w:p w:rsidR="008B3975" w:rsidRPr="00E93B79" w:rsidRDefault="008B3975" w:rsidP="000B426C">
      <w:bookmarkStart w:id="184" w:name="_Toc247691530"/>
      <w:bookmarkStart w:id="185" w:name="_Toc314842513"/>
      <w:r w:rsidRPr="00E93B79">
        <w:t>The nonclinical evaluator did not have any objections to the proposed ex</w:t>
      </w:r>
      <w:r w:rsidR="00E93B79">
        <w:t>tension of indication. Five non</w:t>
      </w:r>
      <w:r w:rsidRPr="00E93B79">
        <w:t xml:space="preserve">clinical studies were provided in the submission. Activated charcoal reduced </w:t>
      </w:r>
      <w:proofErr w:type="spellStart"/>
      <w:r w:rsidRPr="00E93B79">
        <w:t>apixaban</w:t>
      </w:r>
      <w:proofErr w:type="spellEnd"/>
      <w:r w:rsidRPr="00E93B79">
        <w:t xml:space="preserve"> in dog and rat studies and increased excretion of </w:t>
      </w:r>
      <w:proofErr w:type="spellStart"/>
      <w:r w:rsidRPr="00E93B79">
        <w:t>apixaban</w:t>
      </w:r>
      <w:proofErr w:type="spellEnd"/>
      <w:r w:rsidRPr="00E93B79">
        <w:t xml:space="preserve"> in the faeces at the expense of urine. In a dog study </w:t>
      </w:r>
      <w:proofErr w:type="spellStart"/>
      <w:r w:rsidRPr="00E93B79">
        <w:t>apixaban</w:t>
      </w:r>
      <w:proofErr w:type="spellEnd"/>
      <w:r w:rsidRPr="00E93B79">
        <w:t xml:space="preserve"> was dialyzable, lowered the </w:t>
      </w:r>
      <w:proofErr w:type="spellStart"/>
      <w:r w:rsidRPr="00E93B79">
        <w:t>C</w:t>
      </w:r>
      <w:r w:rsidRPr="00E93B79">
        <w:rPr>
          <w:vertAlign w:val="subscript"/>
        </w:rPr>
        <w:t>max</w:t>
      </w:r>
      <w:proofErr w:type="spellEnd"/>
      <w:r w:rsidRPr="00E93B79">
        <w:t xml:space="preserve"> of </w:t>
      </w:r>
      <w:proofErr w:type="spellStart"/>
      <w:r w:rsidRPr="00E93B79">
        <w:t>apixaban</w:t>
      </w:r>
      <w:proofErr w:type="spellEnd"/>
      <w:r w:rsidRPr="00E93B79">
        <w:t xml:space="preserve"> (although not statistically significantly) but did not affect plasma AUC. Rat and dog studies demonstrated the major excretory pathways for unchanged and metabolised </w:t>
      </w:r>
      <w:proofErr w:type="spellStart"/>
      <w:r w:rsidRPr="00E93B79">
        <w:t>apixaban</w:t>
      </w:r>
      <w:proofErr w:type="spellEnd"/>
      <w:r w:rsidRPr="00E93B79">
        <w:t xml:space="preserve"> included urine, faeces and bile in rats and dog models. The excretion studies also indicated that intestinal and </w:t>
      </w:r>
      <w:proofErr w:type="spellStart"/>
      <w:r w:rsidRPr="00E93B79">
        <w:t>enteroenteric</w:t>
      </w:r>
      <w:proofErr w:type="spellEnd"/>
      <w:r w:rsidRPr="00E93B79">
        <w:t xml:space="preserve"> recirculation are facilitated by intestinal efflux transporters. There were no studies specifically studying the eff</w:t>
      </w:r>
      <w:r w:rsidR="001331AE">
        <w:t xml:space="preserve">icacy of </w:t>
      </w:r>
      <w:proofErr w:type="spellStart"/>
      <w:r w:rsidR="001331AE">
        <w:t>apixaban</w:t>
      </w:r>
      <w:proofErr w:type="spellEnd"/>
      <w:r w:rsidR="001331AE">
        <w:t xml:space="preserve"> in DVT or PE.</w:t>
      </w:r>
    </w:p>
    <w:p w:rsidR="008E7846" w:rsidRDefault="008E7846" w:rsidP="008E7846">
      <w:pPr>
        <w:pStyle w:val="Heading3"/>
      </w:pPr>
      <w:bookmarkStart w:id="186" w:name="_Toc436386779"/>
      <w:r>
        <w:t>Clinical</w:t>
      </w:r>
      <w:bookmarkEnd w:id="184"/>
      <w:bookmarkEnd w:id="185"/>
      <w:bookmarkEnd w:id="186"/>
    </w:p>
    <w:p w:rsidR="008B3975" w:rsidRPr="00E93B79" w:rsidRDefault="008B3975" w:rsidP="000B426C">
      <w:bookmarkStart w:id="187" w:name="_Toc314842514"/>
      <w:r w:rsidRPr="00E93B79">
        <w:t xml:space="preserve">The clinical evaluator has recommended approval for </w:t>
      </w:r>
      <w:proofErr w:type="spellStart"/>
      <w:r w:rsidRPr="00E93B79">
        <w:t>apixaban</w:t>
      </w:r>
      <w:proofErr w:type="spellEnd"/>
      <w:r w:rsidRPr="00E93B79">
        <w:t xml:space="preserve"> for the indication of:</w:t>
      </w:r>
    </w:p>
    <w:p w:rsidR="008B3975" w:rsidRPr="00E93B79" w:rsidRDefault="00657A92" w:rsidP="00E93B79">
      <w:pPr>
        <w:ind w:left="720"/>
        <w:rPr>
          <w:i/>
        </w:rPr>
      </w:pPr>
      <w:proofErr w:type="spellStart"/>
      <w:r w:rsidRPr="00E93B79">
        <w:rPr>
          <w:i/>
        </w:rPr>
        <w:t>Eliquis</w:t>
      </w:r>
      <w:proofErr w:type="spellEnd"/>
      <w:r w:rsidR="008B3975" w:rsidRPr="00E93B79">
        <w:rPr>
          <w:i/>
        </w:rPr>
        <w:t xml:space="preserve"> is indicated for the treatment of deep vein thrombosis (DVT) and pulmonary embolism (PE).</w:t>
      </w:r>
    </w:p>
    <w:p w:rsidR="008B3975" w:rsidRPr="00E93B79" w:rsidRDefault="00657A92" w:rsidP="00E93B79">
      <w:pPr>
        <w:ind w:left="720"/>
        <w:rPr>
          <w:i/>
        </w:rPr>
      </w:pPr>
      <w:proofErr w:type="spellStart"/>
      <w:r w:rsidRPr="00E93B79">
        <w:rPr>
          <w:i/>
        </w:rPr>
        <w:t>Eliquis</w:t>
      </w:r>
      <w:proofErr w:type="spellEnd"/>
      <w:r w:rsidR="008B3975" w:rsidRPr="00E93B79">
        <w:rPr>
          <w:i/>
        </w:rPr>
        <w:t xml:space="preserve"> is indicated for the prevention of recurrent DVT and PE.</w:t>
      </w:r>
    </w:p>
    <w:p w:rsidR="008B3975" w:rsidRPr="00E93B79" w:rsidRDefault="008B3975" w:rsidP="000B426C">
      <w:r w:rsidRPr="00E93B79">
        <w:t>The evaluator has recommended acceptance of the sponsor’s dosage for the treatment of DVT and PE of:</w:t>
      </w:r>
    </w:p>
    <w:p w:rsidR="008B3975" w:rsidRPr="00E93B79" w:rsidRDefault="008B3975" w:rsidP="00E93B79">
      <w:pPr>
        <w:ind w:left="720"/>
        <w:rPr>
          <w:i/>
        </w:rPr>
      </w:pPr>
      <w:r w:rsidRPr="00E93B79">
        <w:rPr>
          <w:i/>
        </w:rPr>
        <w:t xml:space="preserve">The recommended dose of </w:t>
      </w:r>
      <w:proofErr w:type="spellStart"/>
      <w:r w:rsidR="00657A92" w:rsidRPr="00E93B79">
        <w:rPr>
          <w:i/>
        </w:rPr>
        <w:t>Eliquis</w:t>
      </w:r>
      <w:proofErr w:type="spellEnd"/>
      <w:r w:rsidRPr="00E93B79">
        <w:rPr>
          <w:i/>
        </w:rPr>
        <w:t xml:space="preserve"> is 10 mg taken orally twice daily for 7 days, followed by 5 mg taken orally twice daily.</w:t>
      </w:r>
    </w:p>
    <w:p w:rsidR="008B3975" w:rsidRDefault="008B3975" w:rsidP="000B426C">
      <w:r>
        <w:t>The evaluator has also recommended acceptance of the sponsor’s dosage for the prevention of recurrent DVT and PE of:</w:t>
      </w:r>
    </w:p>
    <w:p w:rsidR="008B3975" w:rsidRPr="00E93B79" w:rsidRDefault="008B3975" w:rsidP="00E93B79">
      <w:pPr>
        <w:ind w:left="720"/>
        <w:rPr>
          <w:i/>
        </w:rPr>
      </w:pPr>
      <w:r w:rsidRPr="00E93B79">
        <w:rPr>
          <w:i/>
        </w:rPr>
        <w:t xml:space="preserve">The recommended dose of </w:t>
      </w:r>
      <w:proofErr w:type="spellStart"/>
      <w:r w:rsidR="00657A92" w:rsidRPr="00E93B79">
        <w:rPr>
          <w:i/>
        </w:rPr>
        <w:t>Eliquis</w:t>
      </w:r>
      <w:proofErr w:type="spellEnd"/>
      <w:r w:rsidRPr="00E93B79">
        <w:rPr>
          <w:i/>
        </w:rPr>
        <w:t xml:space="preserve"> is 2.5 mg taken orally twice daily after at least 6 months of treatment for DVT or PE.</w:t>
      </w:r>
    </w:p>
    <w:p w:rsidR="008B3975" w:rsidRPr="00E93B79" w:rsidRDefault="008B3975" w:rsidP="000B426C">
      <w:r w:rsidRPr="00E93B79">
        <w:t>The clinical dossier included the following data:</w:t>
      </w:r>
    </w:p>
    <w:p w:rsidR="008B3975" w:rsidRPr="001331AE" w:rsidRDefault="008B3975" w:rsidP="001331AE">
      <w:pPr>
        <w:pStyle w:val="ListBullet"/>
      </w:pPr>
      <w:r w:rsidRPr="001331AE">
        <w:t>5 clinical pharmacology studies</w:t>
      </w:r>
      <w:r w:rsidR="00E93B79" w:rsidRPr="001331AE">
        <w:t>:</w:t>
      </w:r>
      <w:r w:rsidRPr="001331AE">
        <w:t xml:space="preserve"> 5 provided pharmacokinetic data and one provided </w:t>
      </w:r>
      <w:proofErr w:type="spellStart"/>
      <w:r w:rsidRPr="001331AE">
        <w:t>pharmacodynamic</w:t>
      </w:r>
      <w:proofErr w:type="spellEnd"/>
      <w:r w:rsidRPr="001331AE">
        <w:t xml:space="preserve"> data</w:t>
      </w:r>
    </w:p>
    <w:p w:rsidR="008B3975" w:rsidRPr="001331AE" w:rsidRDefault="008B3975" w:rsidP="001331AE">
      <w:pPr>
        <w:pStyle w:val="ListBullet"/>
      </w:pPr>
      <w:r w:rsidRPr="001331AE">
        <w:t>3 studies evaluating the taste properties of oral formulations</w:t>
      </w:r>
    </w:p>
    <w:p w:rsidR="008B3975" w:rsidRPr="001331AE" w:rsidRDefault="008B3975" w:rsidP="001331AE">
      <w:pPr>
        <w:pStyle w:val="ListBullet"/>
      </w:pPr>
      <w:r w:rsidRPr="001331AE">
        <w:t>1 population PK/PD analysis</w:t>
      </w:r>
    </w:p>
    <w:p w:rsidR="008B3975" w:rsidRPr="001331AE" w:rsidRDefault="008B3975" w:rsidP="001331AE">
      <w:pPr>
        <w:pStyle w:val="ListBullet"/>
      </w:pPr>
      <w:r w:rsidRPr="001331AE">
        <w:t xml:space="preserve">1 </w:t>
      </w:r>
      <w:r w:rsidR="00E93B79" w:rsidRPr="001331AE">
        <w:t>P</w:t>
      </w:r>
      <w:r w:rsidRPr="001331AE">
        <w:t xml:space="preserve">hase </w:t>
      </w:r>
      <w:r w:rsidR="00E93B79" w:rsidRPr="001331AE">
        <w:t>II</w:t>
      </w:r>
      <w:r w:rsidRPr="001331AE">
        <w:t xml:space="preserve"> study dose</w:t>
      </w:r>
      <w:r w:rsidR="00511CAF" w:rsidRPr="001331AE">
        <w:t xml:space="preserve"> </w:t>
      </w:r>
      <w:r w:rsidRPr="001331AE">
        <w:t>finding study</w:t>
      </w:r>
    </w:p>
    <w:p w:rsidR="008B3975" w:rsidRPr="001331AE" w:rsidRDefault="008B3975" w:rsidP="001331AE">
      <w:pPr>
        <w:pStyle w:val="ListBullet"/>
      </w:pPr>
      <w:r w:rsidRPr="001331AE">
        <w:t xml:space="preserve">2 </w:t>
      </w:r>
      <w:r w:rsidR="00E93B79" w:rsidRPr="001331AE">
        <w:t>P</w:t>
      </w:r>
      <w:r w:rsidRPr="001331AE">
        <w:t xml:space="preserve">hase </w:t>
      </w:r>
      <w:r w:rsidR="00E93B79" w:rsidRPr="001331AE">
        <w:t>III</w:t>
      </w:r>
      <w:r w:rsidRPr="001331AE">
        <w:t xml:space="preserve"> studies</w:t>
      </w:r>
    </w:p>
    <w:p w:rsidR="008B3975" w:rsidRDefault="008B3975" w:rsidP="001331AE">
      <w:pPr>
        <w:pStyle w:val="ListBullet"/>
      </w:pPr>
      <w:r w:rsidRPr="001331AE">
        <w:t>Integrated summaries of clinical</w:t>
      </w:r>
      <w:r>
        <w:t xml:space="preserve"> pharmacology, efficacy and safety</w:t>
      </w:r>
    </w:p>
    <w:p w:rsidR="008B3975" w:rsidRDefault="008B3975" w:rsidP="00E93B79">
      <w:pPr>
        <w:pStyle w:val="Heading4"/>
      </w:pPr>
      <w:r>
        <w:t>Pharmacology</w:t>
      </w:r>
    </w:p>
    <w:p w:rsidR="008452C0" w:rsidRPr="006B706B" w:rsidRDefault="008452C0" w:rsidP="008452C0">
      <w:pPr>
        <w:rPr>
          <w:bCs/>
          <w:smallCaps/>
          <w:spacing w:val="5"/>
        </w:rPr>
      </w:pPr>
      <w:proofErr w:type="spellStart"/>
      <w:r w:rsidRPr="00C8420A">
        <w:rPr>
          <w:lang w:val="en-US"/>
        </w:rPr>
        <w:t>Apixaban</w:t>
      </w:r>
      <w:proofErr w:type="spellEnd"/>
      <w:r w:rsidRPr="00C8420A">
        <w:rPr>
          <w:lang w:val="en-US"/>
        </w:rPr>
        <w:t xml:space="preserve"> </w:t>
      </w:r>
      <w:r>
        <w:rPr>
          <w:lang w:val="en-US"/>
        </w:rPr>
        <w:t>is 50% bioavailable and exhibits linear pharmacokinetics across the approved dose range. The time to peak plasma concentration (</w:t>
      </w:r>
      <w:proofErr w:type="spellStart"/>
      <w:r>
        <w:rPr>
          <w:lang w:val="en-US"/>
        </w:rPr>
        <w:t>T</w:t>
      </w:r>
      <w:r w:rsidRPr="00D83154">
        <w:rPr>
          <w:vertAlign w:val="subscript"/>
          <w:lang w:val="en-US"/>
        </w:rPr>
        <w:t>max</w:t>
      </w:r>
      <w:proofErr w:type="spellEnd"/>
      <w:r>
        <w:rPr>
          <w:lang w:val="en-US"/>
        </w:rPr>
        <w:t xml:space="preserve">) is at 3 to 4 hours and it is 87% plasma protein bound. </w:t>
      </w:r>
      <w:proofErr w:type="spellStart"/>
      <w:r>
        <w:rPr>
          <w:lang w:val="en-US"/>
        </w:rPr>
        <w:t>Apixaban</w:t>
      </w:r>
      <w:proofErr w:type="spellEnd"/>
      <w:r>
        <w:rPr>
          <w:lang w:val="en-US"/>
        </w:rPr>
        <w:t xml:space="preserve"> is mainly metabolized by cytochrome P450 isozyme CYP3A4, is a substrate of P-glycoprotein and breast cancer receptor protein (BCRP). It is approximately 27% </w:t>
      </w:r>
      <w:proofErr w:type="spellStart"/>
      <w:r>
        <w:rPr>
          <w:lang w:val="en-US"/>
        </w:rPr>
        <w:t>renally</w:t>
      </w:r>
      <w:proofErr w:type="spellEnd"/>
      <w:r>
        <w:rPr>
          <w:lang w:val="en-US"/>
        </w:rPr>
        <w:t xml:space="preserve"> excreted, with the remainder from biliary and direct intestinal excretion and the half-life is about 12 hours.</w:t>
      </w:r>
    </w:p>
    <w:p w:rsidR="008B3975" w:rsidRPr="00E93B79" w:rsidRDefault="008B3975" w:rsidP="00E93B79">
      <w:pPr>
        <w:rPr>
          <w:rFonts w:asciiTheme="minorHAnsi" w:hAnsiTheme="minorHAnsi"/>
        </w:rPr>
      </w:pPr>
      <w:r w:rsidRPr="00E93B79">
        <w:rPr>
          <w:rFonts w:asciiTheme="minorHAnsi" w:hAnsiTheme="minorHAnsi"/>
        </w:rPr>
        <w:lastRenderedPageBreak/>
        <w:t>The findings from the pharmacology studies are as follows:</w:t>
      </w:r>
    </w:p>
    <w:p w:rsidR="008B3975" w:rsidRDefault="008B3975" w:rsidP="00E93B79">
      <w:pPr>
        <w:pStyle w:val="ListBullet"/>
      </w:pPr>
      <w:r>
        <w:t>Three modified release 5 mg formulations compared with the approved 5 mg immediate release formulation did not demonstrate bioequivalence of two formulations, and the third, although bioequivalent did not behave as a modified release formulation.</w:t>
      </w:r>
    </w:p>
    <w:p w:rsidR="008B3975" w:rsidRDefault="008B3975" w:rsidP="00E93B79">
      <w:pPr>
        <w:pStyle w:val="ListBullet"/>
      </w:pPr>
      <w:r>
        <w:t xml:space="preserve">Studies of the taste properties of candidate oral formulations of </w:t>
      </w:r>
      <w:proofErr w:type="spellStart"/>
      <w:r>
        <w:t>apixaban</w:t>
      </w:r>
      <w:proofErr w:type="spellEnd"/>
      <w:r>
        <w:t xml:space="preserve"> revealed the unsweetened, unflavoured formulations were unpalatable. An orange flavoured solution was developed and the palatability of the solution after 1 and 2 years of storage was considered acceptable by the adult testers.</w:t>
      </w:r>
    </w:p>
    <w:p w:rsidR="008B3975" w:rsidRDefault="008B3975" w:rsidP="00E93B79">
      <w:pPr>
        <w:pStyle w:val="ListBullet"/>
      </w:pPr>
      <w:r>
        <w:t>A 5 mg dose of the oral solution and a crushed 5 mg tablet suspended in a 5% dextrose water solution when given by nasogastric tube were bioequivalent (ratio (90% CI) crushed tablet: oral solution for AUC</w:t>
      </w:r>
      <w:r>
        <w:rPr>
          <w:vertAlign w:val="subscript"/>
        </w:rPr>
        <w:t>0–</w:t>
      </w:r>
      <w:proofErr w:type="spellStart"/>
      <w:r>
        <w:rPr>
          <w:vertAlign w:val="subscript"/>
        </w:rPr>
        <w:t>inf</w:t>
      </w:r>
      <w:proofErr w:type="spellEnd"/>
      <w:r w:rsidR="001331AE">
        <w:t xml:space="preserve"> was 0.950[0.905 to 0.997]).</w:t>
      </w:r>
    </w:p>
    <w:p w:rsidR="008B3975" w:rsidRDefault="008B3975" w:rsidP="00E93B79">
      <w:pPr>
        <w:pStyle w:val="ListBullet"/>
      </w:pPr>
      <w:r>
        <w:t>Single 5 mg doses of an oral solution given by nasogastric tube or by mouth were bioequivalent (ratio (90% CI) nasogastric: oral 0.968 (0.9226 to 1.011) for AUC</w:t>
      </w:r>
      <w:r>
        <w:rPr>
          <w:vertAlign w:val="subscript"/>
        </w:rPr>
        <w:t xml:space="preserve">0 </w:t>
      </w:r>
      <w:proofErr w:type="spellStart"/>
      <w:proofErr w:type="gramStart"/>
      <w:r>
        <w:rPr>
          <w:vertAlign w:val="subscript"/>
        </w:rPr>
        <w:t>inf</w:t>
      </w:r>
      <w:proofErr w:type="spellEnd"/>
      <w:proofErr w:type="gramEnd"/>
      <w:r>
        <w:t xml:space="preserve"> and 0.953 (0.873 to 1.040) for </w:t>
      </w:r>
      <w:proofErr w:type="spellStart"/>
      <w:r>
        <w:t>C</w:t>
      </w:r>
      <w:r w:rsidR="001331AE">
        <w:rPr>
          <w:vertAlign w:val="subscript"/>
        </w:rPr>
        <w:t>max</w:t>
      </w:r>
      <w:proofErr w:type="spellEnd"/>
      <w:r w:rsidR="001331AE">
        <w:t>.</w:t>
      </w:r>
    </w:p>
    <w:p w:rsidR="008B3975" w:rsidRDefault="008B3975" w:rsidP="00E93B79">
      <w:pPr>
        <w:pStyle w:val="ListBullet"/>
      </w:pPr>
      <w:r>
        <w:t>Single 5 mg doses of the oral solution given with nasogastric feeds and in the fasted state were not bioequivalent (ratio (90% CI) fed:</w:t>
      </w:r>
      <w:r w:rsidR="00E93B79">
        <w:t xml:space="preserve"> </w:t>
      </w:r>
      <w:r>
        <w:t>fasted for AUC</w:t>
      </w:r>
      <w:r>
        <w:rPr>
          <w:vertAlign w:val="subscript"/>
        </w:rPr>
        <w:t>0–</w:t>
      </w:r>
      <w:proofErr w:type="spellStart"/>
      <w:r>
        <w:rPr>
          <w:vertAlign w:val="subscript"/>
        </w:rPr>
        <w:t>inf</w:t>
      </w:r>
      <w:proofErr w:type="spellEnd"/>
      <w:r>
        <w:t xml:space="preserve"> was 0.813</w:t>
      </w:r>
      <w:r w:rsidR="00E93B79">
        <w:t xml:space="preserve"> </w:t>
      </w:r>
      <w:r>
        <w:t>(0.766 to 0.863)). The bioavailability of a standard commercial 5 mg tablet was also reduced by food (AUC</w:t>
      </w:r>
      <w:r>
        <w:rPr>
          <w:vertAlign w:val="subscript"/>
        </w:rPr>
        <w:t>0</w:t>
      </w:r>
      <w:r w:rsidR="00E93B79">
        <w:rPr>
          <w:vertAlign w:val="subscript"/>
        </w:rPr>
        <w:t>–</w:t>
      </w:r>
      <w:proofErr w:type="spellStart"/>
      <w:r>
        <w:rPr>
          <w:vertAlign w:val="subscript"/>
        </w:rPr>
        <w:t>inf</w:t>
      </w:r>
      <w:proofErr w:type="spellEnd"/>
      <w:r>
        <w:t xml:space="preserve"> reduced by 20%, </w:t>
      </w:r>
      <w:proofErr w:type="spellStart"/>
      <w:r>
        <w:t>C</w:t>
      </w:r>
      <w:r>
        <w:rPr>
          <w:vertAlign w:val="subscript"/>
        </w:rPr>
        <w:t>max</w:t>
      </w:r>
      <w:proofErr w:type="spellEnd"/>
      <w:r>
        <w:rPr>
          <w:vertAlign w:val="subscript"/>
        </w:rPr>
        <w:t xml:space="preserve"> </w:t>
      </w:r>
      <w:r>
        <w:t>reduced by 15%).</w:t>
      </w:r>
    </w:p>
    <w:p w:rsidR="008B3975" w:rsidRDefault="008B3975" w:rsidP="00E93B79">
      <w:pPr>
        <w:pStyle w:val="ListBullet"/>
      </w:pPr>
      <w:r>
        <w:t xml:space="preserve">The </w:t>
      </w:r>
      <w:proofErr w:type="spellStart"/>
      <w:r>
        <w:t>apixaban</w:t>
      </w:r>
      <w:proofErr w:type="spellEnd"/>
      <w:r>
        <w:t xml:space="preserve"> exposures from a single 5 mg dose of the oral solution administered </w:t>
      </w:r>
      <w:proofErr w:type="spellStart"/>
      <w:r>
        <w:t>nasogastrically</w:t>
      </w:r>
      <w:proofErr w:type="spellEnd"/>
      <w:r>
        <w:t xml:space="preserve"> or orally by syringe when given with infant formula were equivalent but the </w:t>
      </w:r>
      <w:proofErr w:type="spellStart"/>
      <w:r>
        <w:t>C</w:t>
      </w:r>
      <w:r w:rsidRPr="00E93B79">
        <w:rPr>
          <w:vertAlign w:val="subscript"/>
        </w:rPr>
        <w:t>max</w:t>
      </w:r>
      <w:proofErr w:type="spellEnd"/>
      <w:r>
        <w:t xml:space="preserve"> was decreased by 20% with nasogastric dosing.</w:t>
      </w:r>
    </w:p>
    <w:p w:rsidR="008B3975" w:rsidRDefault="008B3975" w:rsidP="00E93B79">
      <w:pPr>
        <w:pStyle w:val="ListBullet"/>
      </w:pPr>
      <w:r>
        <w:t xml:space="preserve">The oral bioavailability of </w:t>
      </w:r>
      <w:proofErr w:type="spellStart"/>
      <w:r>
        <w:t>apixaban</w:t>
      </w:r>
      <w:proofErr w:type="spellEnd"/>
      <w:r>
        <w:t xml:space="preserve"> was similar when co-administered with </w:t>
      </w:r>
      <w:proofErr w:type="spellStart"/>
      <w:r>
        <w:t>prasugrel</w:t>
      </w:r>
      <w:proofErr w:type="spellEnd"/>
      <w:r>
        <w:t xml:space="preserve"> given as a 60 mg loading followed by 10 mg daily for 4 days.</w:t>
      </w:r>
      <w:r w:rsidR="00127885">
        <w:t xml:space="preserve"> </w:t>
      </w:r>
      <w:r>
        <w:t xml:space="preserve">Although the AUC was similar there was a 12% reduction in the </w:t>
      </w:r>
      <w:proofErr w:type="spellStart"/>
      <w:r>
        <w:t>C</w:t>
      </w:r>
      <w:r w:rsidRPr="00E93B79">
        <w:rPr>
          <w:vertAlign w:val="subscript"/>
        </w:rPr>
        <w:t>max</w:t>
      </w:r>
      <w:proofErr w:type="spellEnd"/>
      <w:r>
        <w:t xml:space="preserve"> of </w:t>
      </w:r>
      <w:proofErr w:type="spellStart"/>
      <w:r>
        <w:t>prasugrel</w:t>
      </w:r>
      <w:proofErr w:type="spellEnd"/>
      <w:r>
        <w:t xml:space="preserve">. However, 90% of subjects had more than 50% inhibition in platelet aggregation after the loading dose. There was no independent effect of </w:t>
      </w:r>
      <w:proofErr w:type="spellStart"/>
      <w:r>
        <w:t>apixaban</w:t>
      </w:r>
      <w:proofErr w:type="spellEnd"/>
      <w:r>
        <w:t xml:space="preserve"> on ADP-induced platelet aggregation and no effect of </w:t>
      </w:r>
      <w:proofErr w:type="spellStart"/>
      <w:r>
        <w:t>prasugrel</w:t>
      </w:r>
      <w:proofErr w:type="spellEnd"/>
      <w:r>
        <w:t xml:space="preserve"> on the anti-</w:t>
      </w:r>
      <w:proofErr w:type="spellStart"/>
      <w:r>
        <w:t>FXa</w:t>
      </w:r>
      <w:proofErr w:type="spellEnd"/>
      <w:r>
        <w:t xml:space="preserve"> activity of </w:t>
      </w:r>
      <w:proofErr w:type="spellStart"/>
      <w:r>
        <w:t>apixaban</w:t>
      </w:r>
      <w:proofErr w:type="spellEnd"/>
      <w:r>
        <w:t>, INR or prothrombin time (PT).</w:t>
      </w:r>
    </w:p>
    <w:p w:rsidR="008B3975" w:rsidRDefault="008B3975" w:rsidP="00E93B79">
      <w:pPr>
        <w:pStyle w:val="ListBullet"/>
      </w:pPr>
      <w:r>
        <w:t>The population PK</w:t>
      </w:r>
      <w:r w:rsidR="00E93B79">
        <w:t>/</w:t>
      </w:r>
      <w:r>
        <w:t xml:space="preserve">PD modelling based on data from the clinical studies in this submission showed fractional renal clearance of about 42% of the total clearance and had a linear relationship with estimated </w:t>
      </w:r>
      <w:proofErr w:type="spellStart"/>
      <w:r>
        <w:t>CrCL</w:t>
      </w:r>
      <w:proofErr w:type="spellEnd"/>
      <w:r>
        <w:t>. Total clearance did not vary greatly with age compared to the reference 60 year old subject. Females had a13% lo</w:t>
      </w:r>
      <w:r w:rsidR="00E93B79">
        <w:t>w</w:t>
      </w:r>
      <w:r>
        <w:t>er fractional clearance than males. Asian race resulted in a decrease of 16.8% CL/F and strong or moderate CYP3A4 or P-</w:t>
      </w:r>
      <w:proofErr w:type="spellStart"/>
      <w:r>
        <w:t>gp</w:t>
      </w:r>
      <w:proofErr w:type="spellEnd"/>
      <w:r>
        <w:t xml:space="preserve"> inhibitors resulted in a 20.3% Cl/F.</w:t>
      </w:r>
    </w:p>
    <w:p w:rsidR="008B3975" w:rsidRDefault="008B3975" w:rsidP="00E93B79">
      <w:pPr>
        <w:pStyle w:val="ListBullet"/>
      </w:pPr>
      <w:r>
        <w:t>The population PK</w:t>
      </w:r>
      <w:r w:rsidR="00E93B79">
        <w:t>/</w:t>
      </w:r>
      <w:r>
        <w:t>PD relationship was modelled and found that there was an apparent linear relationship between predicted plasma concentration and anti-</w:t>
      </w:r>
      <w:proofErr w:type="spellStart"/>
      <w:r>
        <w:t>FXa</w:t>
      </w:r>
      <w:proofErr w:type="spellEnd"/>
      <w:r>
        <w:t xml:space="preserve"> activity and that there was no statistically significant relationship between major bleeding and clinically-relevant non-major bleeding or VTE or VTE-related death.</w:t>
      </w:r>
    </w:p>
    <w:p w:rsidR="008B3975" w:rsidRDefault="008B3975" w:rsidP="00E93B79">
      <w:pPr>
        <w:pStyle w:val="Heading4"/>
      </w:pPr>
      <w:r>
        <w:t>Efficacy</w:t>
      </w:r>
    </w:p>
    <w:p w:rsidR="004B4D83" w:rsidRDefault="008B3975" w:rsidP="004B4D83">
      <w:pPr>
        <w:pStyle w:val="Heading5"/>
      </w:pPr>
      <w:r>
        <w:t>Study 185017</w:t>
      </w:r>
    </w:p>
    <w:p w:rsidR="008B3975" w:rsidRDefault="008B3975" w:rsidP="004B4D83">
      <w:r>
        <w:t>This was a Phase II open-label, randomised, parallel group study in 520 subjects with a confirmed acute proximal or extensive calf-vein thrombosis but without symptomatic PE, comparing 5</w:t>
      </w:r>
      <w:r w:rsidR="00CC2965">
        <w:t xml:space="preserve"> </w:t>
      </w:r>
      <w:r>
        <w:t xml:space="preserve">mg BD, 10 mg BD and 20 mg once daily (QD) dose of </w:t>
      </w:r>
      <w:proofErr w:type="spellStart"/>
      <w:r>
        <w:t>apixaban</w:t>
      </w:r>
      <w:proofErr w:type="spellEnd"/>
      <w:r>
        <w:t xml:space="preserve"> with conventional therapy (LMWH or </w:t>
      </w:r>
      <w:proofErr w:type="spellStart"/>
      <w:r>
        <w:t>fondaparinux</w:t>
      </w:r>
      <w:proofErr w:type="spellEnd"/>
      <w:r>
        <w:t xml:space="preserve"> followed by vitamin K antagonist (VKA) (starting no longer that 48 hours after randomisation)). The LMWH doses could be </w:t>
      </w:r>
      <w:proofErr w:type="spellStart"/>
      <w:r>
        <w:t>tinzaparin</w:t>
      </w:r>
      <w:proofErr w:type="spellEnd"/>
      <w:r>
        <w:t xml:space="preserve"> 175 IU/kg once daily subcutaneously (</w:t>
      </w:r>
      <w:r w:rsidR="004B4D83">
        <w:t>SC</w:t>
      </w:r>
      <w:r>
        <w:t xml:space="preserve">), enoxaparin 1.5 mg daily </w:t>
      </w:r>
      <w:r w:rsidR="004B4D83">
        <w:t>SC</w:t>
      </w:r>
      <w:r w:rsidR="00127885">
        <w:t xml:space="preserve"> </w:t>
      </w:r>
      <w:r>
        <w:t xml:space="preserve">or enoxaparin 1.0 mg/kg twice daily </w:t>
      </w:r>
      <w:r w:rsidR="004B4D83">
        <w:t>SC</w:t>
      </w:r>
      <w:r>
        <w:t xml:space="preserve">. </w:t>
      </w:r>
      <w:proofErr w:type="spellStart"/>
      <w:r>
        <w:t>Fondaparinux</w:t>
      </w:r>
      <w:proofErr w:type="spellEnd"/>
      <w:r>
        <w:t xml:space="preserve"> was dosed at 7.5 mg daily </w:t>
      </w:r>
      <w:r w:rsidR="004B4D83">
        <w:t>SC</w:t>
      </w:r>
      <w:r>
        <w:t xml:space="preserve"> unless </w:t>
      </w:r>
      <w:r w:rsidR="004B4D83">
        <w:lastRenderedPageBreak/>
        <w:t>body weight was &lt; 50 kg (5 mg SC</w:t>
      </w:r>
      <w:r>
        <w:t xml:space="preserve">) or &gt; 100 kg (10 mg </w:t>
      </w:r>
      <w:r w:rsidR="004B4D83">
        <w:t>SC</w:t>
      </w:r>
      <w:r>
        <w:t xml:space="preserve">). The </w:t>
      </w:r>
      <w:proofErr w:type="spellStart"/>
      <w:r>
        <w:t>apixaban</w:t>
      </w:r>
      <w:proofErr w:type="spellEnd"/>
      <w:r>
        <w:t xml:space="preserve"> subjects were blinded to the dose. There were 12 weeks of treatment followed by a 30 day follow-up.</w:t>
      </w:r>
    </w:p>
    <w:p w:rsidR="008B3975" w:rsidRDefault="008B3975" w:rsidP="004B4D83">
      <w:r>
        <w:t xml:space="preserve">Subjects were excluded if they were pregnant or breast feeding; had a </w:t>
      </w:r>
      <w:proofErr w:type="spellStart"/>
      <w:r>
        <w:t>thrombectomy</w:t>
      </w:r>
      <w:proofErr w:type="spellEnd"/>
      <w:r>
        <w:t xml:space="preserve">, </w:t>
      </w:r>
      <w:proofErr w:type="spellStart"/>
      <w:r>
        <w:t>caval</w:t>
      </w:r>
      <w:proofErr w:type="spellEnd"/>
      <w:r>
        <w:t xml:space="preserve"> filter or use of a </w:t>
      </w:r>
      <w:proofErr w:type="spellStart"/>
      <w:r>
        <w:t>fibrinolytics</w:t>
      </w:r>
      <w:proofErr w:type="spellEnd"/>
      <w:r>
        <w:t xml:space="preserve"> </w:t>
      </w:r>
      <w:r w:rsidRPr="005D1003">
        <w:t xml:space="preserve">agent to treat the current episode of DVT; more than 24 hours of pre-randomisation therapy with </w:t>
      </w:r>
      <w:r w:rsidR="005D1003" w:rsidRPr="005D1003">
        <w:t>Unfractionated heparin (</w:t>
      </w:r>
      <w:r w:rsidRPr="005D1003">
        <w:t>UFH</w:t>
      </w:r>
      <w:r w:rsidR="005D1003" w:rsidRPr="005D1003">
        <w:t>)</w:t>
      </w:r>
      <w:r w:rsidRPr="005D1003">
        <w:t xml:space="preserve">, LMWH or </w:t>
      </w:r>
      <w:proofErr w:type="spellStart"/>
      <w:r w:rsidRPr="005D1003">
        <w:t>fondaparinux</w:t>
      </w:r>
      <w:proofErr w:type="spellEnd"/>
      <w:r w:rsidRPr="005D1003">
        <w:t xml:space="preserve"> or more than a single starting dose of VKA; active bleeding; creatinine clearance &lt; 30 mL/min, impaired </w:t>
      </w:r>
      <w:r w:rsidR="004B4D83" w:rsidRPr="005D1003">
        <w:t>liver function test (</w:t>
      </w:r>
      <w:r w:rsidRPr="005D1003">
        <w:t>LFT</w:t>
      </w:r>
      <w:r w:rsidR="004B4D83" w:rsidRPr="005D1003">
        <w:t>)</w:t>
      </w:r>
      <w:r w:rsidRPr="005D1003">
        <w:t xml:space="preserve"> (ALT&gt;3</w:t>
      </w:r>
      <w:r w:rsidR="004B4D83" w:rsidRPr="005D1003">
        <w:t xml:space="preserve"> times</w:t>
      </w:r>
      <w:r>
        <w:t xml:space="preserve"> ULN); use of VKA for indications other than DVT; use of aspirin &gt; 165 mg /day; or uncontrolled hypertension or bacterial endocarditis. The use of a combination of </w:t>
      </w:r>
      <w:proofErr w:type="spellStart"/>
      <w:r>
        <w:t>clopidogrel</w:t>
      </w:r>
      <w:proofErr w:type="spellEnd"/>
      <w:r>
        <w:t xml:space="preserve"> (75 mg) and aspirin, or azole antifung</w:t>
      </w:r>
      <w:r w:rsidRPr="000B426C">
        <w:t xml:space="preserve">als, </w:t>
      </w:r>
      <w:r w:rsidR="000B426C" w:rsidRPr="000B426C">
        <w:t xml:space="preserve">human immunodeficiency virus (HIV) </w:t>
      </w:r>
      <w:r w:rsidRPr="000B426C">
        <w:t>protease inhibitors or macrolide antibiotics were not permitted and were required to be discontinued 2 weeks before study pa</w:t>
      </w:r>
      <w:r>
        <w:t xml:space="preserve">rticipation. Premature discontinuations occurred in 13.1% of the 5 mg BD group, 9.0% of the 10 mg BD group, 16.4% of the 20 mg daily group and 7.8% of the LMWH/VKA group, mostly due to adverse events (5.6% overall, 6.4% in the </w:t>
      </w:r>
      <w:proofErr w:type="spellStart"/>
      <w:r>
        <w:t>apixaban</w:t>
      </w:r>
      <w:proofErr w:type="spellEnd"/>
      <w:r>
        <w:t xml:space="preserve"> groups).</w:t>
      </w:r>
    </w:p>
    <w:p w:rsidR="008B3975" w:rsidRDefault="008B3975" w:rsidP="004B4D83">
      <w:r>
        <w:t>T</w:t>
      </w:r>
      <w:r w:rsidRPr="000B426C">
        <w:t xml:space="preserve">he subjects were predominantly </w:t>
      </w:r>
      <w:r w:rsidR="000B426C" w:rsidRPr="000B426C">
        <w:t>W</w:t>
      </w:r>
      <w:r w:rsidRPr="000B426C">
        <w:t>hite (96.3%), male (62.1%), with a median age of 59 (</w:t>
      </w:r>
      <w:r w:rsidR="000B426C" w:rsidRPr="000B426C">
        <w:t>interquartile range (</w:t>
      </w:r>
      <w:r w:rsidRPr="000B426C">
        <w:t>IQR</w:t>
      </w:r>
      <w:r w:rsidR="000B426C" w:rsidRPr="000B426C">
        <w:t>)</w:t>
      </w:r>
      <w:r w:rsidRPr="000B426C">
        <w:t xml:space="preserve"> 48.0 </w:t>
      </w:r>
      <w:r w:rsidR="000B426C" w:rsidRPr="000B426C">
        <w:t>to</w:t>
      </w:r>
      <w:r w:rsidRPr="000B426C">
        <w:t xml:space="preserve"> 71.0) years (37.5% ≥ 65 years). The median duration o</w:t>
      </w:r>
      <w:r>
        <w:t xml:space="preserve">f symptoms was 6.0 days (IQR 4 </w:t>
      </w:r>
      <w:r w:rsidR="000B426C">
        <w:t xml:space="preserve">to </w:t>
      </w:r>
      <w:r>
        <w:t xml:space="preserve">11) most DVTs were on the left side (5701%), were the first reported VTE event (75%), were unprovoked [were not associated with </w:t>
      </w:r>
      <w:proofErr w:type="spellStart"/>
      <w:r>
        <w:t>thrombophilic</w:t>
      </w:r>
      <w:proofErr w:type="spellEnd"/>
      <w:r>
        <w:t xml:space="preserve"> conditions (94.2%), had no active cancer (92.7%), had no trauma or surgery within 3 months in (78.3%)]. The DVT outcomes were measured by repeated bilateral compression ultrasound (CUS) and perfusion lung scan, and were centrally adjudicated. The study was not powered to detect differences between the study groups.</w:t>
      </w:r>
    </w:p>
    <w:p w:rsidR="008B3975" w:rsidRDefault="008B3975" w:rsidP="004B4D83">
      <w:r>
        <w:t xml:space="preserve">The primary efficacy endpoint was the composite of adjudicated symptomatic VTE (recurrent DVT, fatal or non-fatal PE) and deterioration (increase) of the thrombotic burden as assessed by repeat bilateral CUS and PLS. The results are presented in Table </w:t>
      </w:r>
      <w:r w:rsidR="000B426C">
        <w:t>6</w:t>
      </w:r>
      <w:r>
        <w:t>.</w:t>
      </w:r>
    </w:p>
    <w:p w:rsidR="008B3975" w:rsidRDefault="008B3975" w:rsidP="000B426C">
      <w:pPr>
        <w:pStyle w:val="TableTitle"/>
      </w:pPr>
      <w:r>
        <w:t xml:space="preserve">Table </w:t>
      </w:r>
      <w:r w:rsidR="000B426C">
        <w:t>6:</w:t>
      </w:r>
      <w:r>
        <w:t xml:space="preserve"> Symptomatic VTE or deterioration of thrombotic burden, Study CV185017</w:t>
      </w:r>
    </w:p>
    <w:tbl>
      <w:tblPr>
        <w:tblStyle w:val="TableTGAblue"/>
        <w:tblW w:w="0" w:type="auto"/>
        <w:tblLook w:val="04A0" w:firstRow="1" w:lastRow="0" w:firstColumn="1" w:lastColumn="0" w:noHBand="0" w:noVBand="1"/>
      </w:tblPr>
      <w:tblGrid>
        <w:gridCol w:w="1951"/>
        <w:gridCol w:w="1843"/>
        <w:gridCol w:w="1701"/>
        <w:gridCol w:w="1701"/>
        <w:gridCol w:w="1524"/>
      </w:tblGrid>
      <w:tr w:rsidR="001331AE" w:rsidTr="001331AE">
        <w:trPr>
          <w:cnfStyle w:val="100000000000" w:firstRow="1" w:lastRow="0" w:firstColumn="0" w:lastColumn="0" w:oddVBand="0" w:evenVBand="0" w:oddHBand="0" w:evenHBand="0" w:firstRowFirstColumn="0" w:firstRowLastColumn="0" w:lastRowFirstColumn="0" w:lastRowLastColumn="0"/>
        </w:trPr>
        <w:tc>
          <w:tcPr>
            <w:tcW w:w="1951" w:type="dxa"/>
          </w:tcPr>
          <w:p w:rsidR="001331AE" w:rsidRDefault="001331AE" w:rsidP="001331AE">
            <w:pPr>
              <w:ind w:left="0" w:right="0"/>
            </w:pPr>
            <w:r w:rsidRPr="000B426C">
              <w:rPr>
                <w:rFonts w:asciiTheme="minorHAnsi" w:hAnsiTheme="minorHAnsi" w:cs="Calibri"/>
                <w:sz w:val="20"/>
                <w:szCs w:val="20"/>
              </w:rPr>
              <w:t>Treatment</w:t>
            </w:r>
          </w:p>
        </w:tc>
        <w:tc>
          <w:tcPr>
            <w:tcW w:w="1843" w:type="dxa"/>
          </w:tcPr>
          <w:p w:rsidR="001331AE" w:rsidRDefault="001331AE" w:rsidP="001331AE">
            <w:pPr>
              <w:ind w:left="0" w:right="0"/>
            </w:pPr>
            <w:r w:rsidRPr="000B426C">
              <w:rPr>
                <w:rFonts w:asciiTheme="minorHAnsi" w:hAnsiTheme="minorHAnsi" w:cs="Calibri"/>
                <w:sz w:val="20"/>
                <w:szCs w:val="20"/>
              </w:rPr>
              <w:t>% (95% CI) with symptomatic recurrent VTE or deterioration</w:t>
            </w:r>
          </w:p>
        </w:tc>
        <w:tc>
          <w:tcPr>
            <w:tcW w:w="1701" w:type="dxa"/>
          </w:tcPr>
          <w:p w:rsidR="001331AE" w:rsidRPr="001331AE" w:rsidRDefault="001331AE" w:rsidP="001331AE">
            <w:pPr>
              <w:tabs>
                <w:tab w:val="left" w:pos="1687"/>
              </w:tabs>
              <w:ind w:left="0" w:right="0"/>
              <w:rPr>
                <w:sz w:val="20"/>
                <w:szCs w:val="20"/>
              </w:rPr>
            </w:pPr>
            <w:r w:rsidRPr="001331AE">
              <w:rPr>
                <w:sz w:val="20"/>
                <w:szCs w:val="20"/>
              </w:rPr>
              <w:t xml:space="preserve">% difference from control group (LMWH / </w:t>
            </w:r>
            <w:proofErr w:type="spellStart"/>
            <w:r w:rsidRPr="001331AE">
              <w:rPr>
                <w:sz w:val="20"/>
                <w:szCs w:val="20"/>
              </w:rPr>
              <w:t>fondaparinux</w:t>
            </w:r>
            <w:proofErr w:type="spellEnd"/>
            <w:r w:rsidRPr="001331AE">
              <w:rPr>
                <w:sz w:val="20"/>
                <w:szCs w:val="20"/>
              </w:rPr>
              <w:t xml:space="preserve"> and VKA)</w:t>
            </w:r>
          </w:p>
        </w:tc>
        <w:tc>
          <w:tcPr>
            <w:tcW w:w="1701" w:type="dxa"/>
          </w:tcPr>
          <w:p w:rsidR="001331AE" w:rsidRPr="001331AE" w:rsidRDefault="001331AE" w:rsidP="001331AE">
            <w:pPr>
              <w:tabs>
                <w:tab w:val="left" w:pos="1687"/>
              </w:tabs>
              <w:ind w:left="0" w:right="0"/>
              <w:rPr>
                <w:sz w:val="20"/>
                <w:szCs w:val="20"/>
              </w:rPr>
            </w:pPr>
            <w:r w:rsidRPr="001331AE">
              <w:rPr>
                <w:sz w:val="20"/>
                <w:szCs w:val="20"/>
              </w:rPr>
              <w:t>% (95% CI) improvement</w:t>
            </w:r>
          </w:p>
        </w:tc>
        <w:tc>
          <w:tcPr>
            <w:tcW w:w="1524" w:type="dxa"/>
          </w:tcPr>
          <w:p w:rsidR="001331AE" w:rsidRPr="001331AE" w:rsidRDefault="001331AE" w:rsidP="001331AE">
            <w:pPr>
              <w:tabs>
                <w:tab w:val="left" w:pos="1687"/>
              </w:tabs>
              <w:ind w:left="0" w:right="0"/>
              <w:rPr>
                <w:sz w:val="20"/>
                <w:szCs w:val="20"/>
              </w:rPr>
            </w:pPr>
            <w:r w:rsidRPr="001331AE">
              <w:rPr>
                <w:sz w:val="20"/>
                <w:szCs w:val="20"/>
              </w:rPr>
              <w:t>% (95% CI) no change</w:t>
            </w:r>
          </w:p>
        </w:tc>
      </w:tr>
      <w:tr w:rsidR="001331AE" w:rsidTr="001331AE">
        <w:tc>
          <w:tcPr>
            <w:tcW w:w="1951" w:type="dxa"/>
          </w:tcPr>
          <w:p w:rsidR="001331AE" w:rsidRPr="001331AE" w:rsidRDefault="001331AE" w:rsidP="001331AE">
            <w:pPr>
              <w:ind w:left="0" w:right="0"/>
              <w:rPr>
                <w:b/>
              </w:rPr>
            </w:pPr>
            <w:proofErr w:type="spellStart"/>
            <w:r w:rsidRPr="001331AE">
              <w:rPr>
                <w:b/>
                <w:sz w:val="20"/>
                <w:szCs w:val="20"/>
              </w:rPr>
              <w:t>Apixaban</w:t>
            </w:r>
            <w:proofErr w:type="spellEnd"/>
            <w:r w:rsidRPr="001331AE">
              <w:rPr>
                <w:b/>
                <w:sz w:val="20"/>
                <w:szCs w:val="20"/>
              </w:rPr>
              <w:t xml:space="preserve"> 5 mg BD</w:t>
            </w:r>
          </w:p>
        </w:tc>
        <w:tc>
          <w:tcPr>
            <w:tcW w:w="1843" w:type="dxa"/>
          </w:tcPr>
          <w:p w:rsidR="001331AE" w:rsidRDefault="001331AE" w:rsidP="001331AE">
            <w:pPr>
              <w:ind w:left="0" w:right="0"/>
            </w:pPr>
            <w:r w:rsidRPr="001331AE">
              <w:rPr>
                <w:sz w:val="20"/>
                <w:szCs w:val="20"/>
              </w:rPr>
              <w:t>6.0 (2.4, 11.9)</w:t>
            </w:r>
          </w:p>
        </w:tc>
        <w:tc>
          <w:tcPr>
            <w:tcW w:w="1701" w:type="dxa"/>
          </w:tcPr>
          <w:p w:rsidR="001331AE" w:rsidRDefault="001331AE" w:rsidP="001331AE">
            <w:pPr>
              <w:ind w:left="0" w:right="0"/>
            </w:pPr>
            <w:r w:rsidRPr="001331AE">
              <w:rPr>
                <w:sz w:val="20"/>
                <w:szCs w:val="20"/>
              </w:rPr>
              <w:t>1.7 (-4.4, 8.2)</w:t>
            </w:r>
          </w:p>
        </w:tc>
        <w:tc>
          <w:tcPr>
            <w:tcW w:w="1701" w:type="dxa"/>
          </w:tcPr>
          <w:p w:rsidR="001331AE" w:rsidRDefault="001331AE" w:rsidP="001331AE">
            <w:pPr>
              <w:ind w:left="0" w:right="0"/>
            </w:pPr>
            <w:r w:rsidRPr="001331AE">
              <w:rPr>
                <w:sz w:val="20"/>
                <w:szCs w:val="20"/>
              </w:rPr>
              <w:t>76.1 (67.3, 83.5)</w:t>
            </w:r>
          </w:p>
        </w:tc>
        <w:tc>
          <w:tcPr>
            <w:tcW w:w="1524" w:type="dxa"/>
          </w:tcPr>
          <w:p w:rsidR="001331AE" w:rsidRDefault="001331AE" w:rsidP="001331AE">
            <w:pPr>
              <w:ind w:left="0" w:right="0"/>
            </w:pPr>
            <w:r w:rsidRPr="001331AE">
              <w:rPr>
                <w:sz w:val="20"/>
                <w:szCs w:val="20"/>
              </w:rPr>
              <w:t>17.9 (1.5, 26.1)</w:t>
            </w:r>
          </w:p>
        </w:tc>
      </w:tr>
      <w:tr w:rsidR="001331AE" w:rsidTr="001331AE">
        <w:tc>
          <w:tcPr>
            <w:tcW w:w="1951" w:type="dxa"/>
          </w:tcPr>
          <w:p w:rsidR="001331AE" w:rsidRPr="001331AE" w:rsidRDefault="001331AE" w:rsidP="001331AE">
            <w:pPr>
              <w:ind w:left="0" w:right="0"/>
              <w:rPr>
                <w:b/>
              </w:rPr>
            </w:pPr>
            <w:proofErr w:type="spellStart"/>
            <w:r w:rsidRPr="001331AE">
              <w:rPr>
                <w:b/>
                <w:sz w:val="20"/>
                <w:szCs w:val="20"/>
              </w:rPr>
              <w:t>Apixaban</w:t>
            </w:r>
            <w:proofErr w:type="spellEnd"/>
            <w:r w:rsidRPr="001331AE">
              <w:rPr>
                <w:b/>
                <w:sz w:val="20"/>
                <w:szCs w:val="20"/>
              </w:rPr>
              <w:t xml:space="preserve"> 10 mg BD</w:t>
            </w:r>
          </w:p>
        </w:tc>
        <w:tc>
          <w:tcPr>
            <w:tcW w:w="1843" w:type="dxa"/>
          </w:tcPr>
          <w:p w:rsidR="001331AE" w:rsidRDefault="001331AE" w:rsidP="001331AE">
            <w:pPr>
              <w:ind w:left="0" w:right="0"/>
            </w:pPr>
            <w:r w:rsidRPr="001331AE">
              <w:rPr>
                <w:sz w:val="20"/>
                <w:szCs w:val="20"/>
              </w:rPr>
              <w:t>5.6 (2.3, 11.2)</w:t>
            </w:r>
          </w:p>
        </w:tc>
        <w:tc>
          <w:tcPr>
            <w:tcW w:w="1701" w:type="dxa"/>
          </w:tcPr>
          <w:p w:rsidR="001331AE" w:rsidRDefault="001331AE" w:rsidP="001331AE">
            <w:pPr>
              <w:ind w:left="0" w:right="0"/>
            </w:pPr>
            <w:r w:rsidRPr="001331AE">
              <w:rPr>
                <w:sz w:val="20"/>
                <w:szCs w:val="20"/>
              </w:rPr>
              <w:t>1.4 (-4.6, 7.5)</w:t>
            </w:r>
          </w:p>
        </w:tc>
        <w:tc>
          <w:tcPr>
            <w:tcW w:w="1701" w:type="dxa"/>
          </w:tcPr>
          <w:p w:rsidR="001331AE" w:rsidRDefault="001331AE" w:rsidP="001331AE">
            <w:pPr>
              <w:ind w:left="0" w:right="0"/>
            </w:pPr>
            <w:r w:rsidRPr="001331AE">
              <w:rPr>
                <w:sz w:val="20"/>
                <w:szCs w:val="20"/>
              </w:rPr>
              <w:t>81.6 (73.7, 88.0)</w:t>
            </w:r>
          </w:p>
        </w:tc>
        <w:tc>
          <w:tcPr>
            <w:tcW w:w="1524" w:type="dxa"/>
          </w:tcPr>
          <w:p w:rsidR="001331AE" w:rsidRDefault="001331AE" w:rsidP="001331AE">
            <w:pPr>
              <w:ind w:left="0" w:right="0"/>
            </w:pPr>
            <w:r w:rsidRPr="001331AE">
              <w:rPr>
                <w:sz w:val="20"/>
                <w:szCs w:val="20"/>
              </w:rPr>
              <w:t>12.8 (7.5, 20.0)</w:t>
            </w:r>
          </w:p>
        </w:tc>
      </w:tr>
      <w:tr w:rsidR="001331AE" w:rsidTr="001331AE">
        <w:tc>
          <w:tcPr>
            <w:tcW w:w="1951" w:type="dxa"/>
          </w:tcPr>
          <w:p w:rsidR="001331AE" w:rsidRPr="001331AE" w:rsidRDefault="001331AE" w:rsidP="001331AE">
            <w:pPr>
              <w:ind w:left="0" w:right="0"/>
              <w:rPr>
                <w:b/>
              </w:rPr>
            </w:pPr>
            <w:proofErr w:type="spellStart"/>
            <w:r w:rsidRPr="001331AE">
              <w:rPr>
                <w:b/>
                <w:sz w:val="20"/>
                <w:szCs w:val="20"/>
              </w:rPr>
              <w:t>Apixaban</w:t>
            </w:r>
            <w:proofErr w:type="spellEnd"/>
            <w:r w:rsidRPr="001331AE">
              <w:rPr>
                <w:b/>
                <w:sz w:val="20"/>
                <w:szCs w:val="20"/>
              </w:rPr>
              <w:t xml:space="preserve"> 20 mg QD</w:t>
            </w:r>
          </w:p>
        </w:tc>
        <w:tc>
          <w:tcPr>
            <w:tcW w:w="1843" w:type="dxa"/>
          </w:tcPr>
          <w:p w:rsidR="001331AE" w:rsidRDefault="001331AE" w:rsidP="001331AE">
            <w:pPr>
              <w:ind w:left="0" w:right="0"/>
            </w:pPr>
            <w:r w:rsidRPr="001331AE">
              <w:rPr>
                <w:sz w:val="20"/>
                <w:szCs w:val="20"/>
              </w:rPr>
              <w:t>2.6 (0.5, 7.4)</w:t>
            </w:r>
          </w:p>
        </w:tc>
        <w:tc>
          <w:tcPr>
            <w:tcW w:w="1701" w:type="dxa"/>
          </w:tcPr>
          <w:p w:rsidR="001331AE" w:rsidRDefault="001331AE" w:rsidP="001331AE">
            <w:pPr>
              <w:ind w:left="0" w:right="0"/>
            </w:pPr>
            <w:r w:rsidRPr="001331AE">
              <w:rPr>
                <w:sz w:val="20"/>
                <w:szCs w:val="20"/>
              </w:rPr>
              <w:t>-1.7 (-7.3, 3.6)</w:t>
            </w:r>
          </w:p>
        </w:tc>
        <w:tc>
          <w:tcPr>
            <w:tcW w:w="1701" w:type="dxa"/>
          </w:tcPr>
          <w:p w:rsidR="001331AE" w:rsidRDefault="001331AE" w:rsidP="001331AE">
            <w:pPr>
              <w:ind w:left="0" w:right="0"/>
            </w:pPr>
            <w:r w:rsidRPr="001331AE">
              <w:rPr>
                <w:sz w:val="20"/>
                <w:szCs w:val="20"/>
              </w:rPr>
              <w:t>78.4 (69.9, 85.5)</w:t>
            </w:r>
          </w:p>
        </w:tc>
        <w:tc>
          <w:tcPr>
            <w:tcW w:w="1524" w:type="dxa"/>
          </w:tcPr>
          <w:p w:rsidR="001331AE" w:rsidRDefault="001331AE" w:rsidP="001331AE">
            <w:pPr>
              <w:ind w:left="0" w:right="0"/>
            </w:pPr>
            <w:r w:rsidRPr="001331AE">
              <w:rPr>
                <w:sz w:val="20"/>
                <w:szCs w:val="20"/>
              </w:rPr>
              <w:t>19.0 12.3, 27.3)</w:t>
            </w:r>
          </w:p>
        </w:tc>
      </w:tr>
      <w:tr w:rsidR="001331AE" w:rsidTr="001331AE">
        <w:tc>
          <w:tcPr>
            <w:tcW w:w="1951" w:type="dxa"/>
          </w:tcPr>
          <w:p w:rsidR="001331AE" w:rsidRPr="001331AE" w:rsidRDefault="001331AE" w:rsidP="001331AE">
            <w:pPr>
              <w:ind w:left="0" w:right="0"/>
              <w:rPr>
                <w:b/>
              </w:rPr>
            </w:pPr>
            <w:r w:rsidRPr="001331AE">
              <w:rPr>
                <w:b/>
                <w:sz w:val="20"/>
                <w:szCs w:val="20"/>
              </w:rPr>
              <w:t xml:space="preserve">LMWH / </w:t>
            </w:r>
            <w:proofErr w:type="spellStart"/>
            <w:r w:rsidRPr="001331AE">
              <w:rPr>
                <w:b/>
                <w:sz w:val="20"/>
                <w:szCs w:val="20"/>
              </w:rPr>
              <w:t>fondaparinux</w:t>
            </w:r>
            <w:proofErr w:type="spellEnd"/>
            <w:r w:rsidRPr="001331AE">
              <w:rPr>
                <w:b/>
                <w:sz w:val="20"/>
                <w:szCs w:val="20"/>
              </w:rPr>
              <w:t xml:space="preserve"> and VKA</w:t>
            </w:r>
          </w:p>
        </w:tc>
        <w:tc>
          <w:tcPr>
            <w:tcW w:w="1843" w:type="dxa"/>
          </w:tcPr>
          <w:p w:rsidR="001331AE" w:rsidRDefault="001331AE" w:rsidP="001331AE">
            <w:pPr>
              <w:ind w:left="0" w:right="0"/>
            </w:pPr>
            <w:r w:rsidRPr="001331AE">
              <w:rPr>
                <w:sz w:val="20"/>
                <w:szCs w:val="20"/>
              </w:rPr>
              <w:t>4.2 (1.4, 9.6)</w:t>
            </w:r>
          </w:p>
        </w:tc>
        <w:tc>
          <w:tcPr>
            <w:tcW w:w="1701" w:type="dxa"/>
          </w:tcPr>
          <w:p w:rsidR="001331AE" w:rsidRDefault="001331AE" w:rsidP="001331AE">
            <w:pPr>
              <w:ind w:left="0" w:right="0"/>
            </w:pPr>
            <w:r w:rsidRPr="001331AE">
              <w:rPr>
                <w:sz w:val="20"/>
                <w:szCs w:val="20"/>
              </w:rPr>
              <w:t>N/A</w:t>
            </w:r>
          </w:p>
        </w:tc>
        <w:tc>
          <w:tcPr>
            <w:tcW w:w="1701" w:type="dxa"/>
          </w:tcPr>
          <w:p w:rsidR="001331AE" w:rsidRDefault="001331AE" w:rsidP="001331AE">
            <w:pPr>
              <w:ind w:left="0" w:right="0"/>
            </w:pPr>
            <w:r w:rsidRPr="001331AE">
              <w:rPr>
                <w:sz w:val="20"/>
                <w:szCs w:val="20"/>
              </w:rPr>
              <w:t>80.5 (72.2, 87.2)</w:t>
            </w:r>
          </w:p>
        </w:tc>
        <w:tc>
          <w:tcPr>
            <w:tcW w:w="1524" w:type="dxa"/>
          </w:tcPr>
          <w:p w:rsidR="001331AE" w:rsidRDefault="001331AE" w:rsidP="001331AE">
            <w:pPr>
              <w:ind w:left="0" w:right="0"/>
            </w:pPr>
            <w:r w:rsidRPr="001331AE">
              <w:rPr>
                <w:sz w:val="20"/>
                <w:szCs w:val="20"/>
              </w:rPr>
              <w:t>15.3 (9.3, 23.0)</w:t>
            </w:r>
          </w:p>
        </w:tc>
      </w:tr>
    </w:tbl>
    <w:p w:rsidR="008B3975" w:rsidRDefault="001D65CF" w:rsidP="000B426C">
      <w:r>
        <w:t>Key secondary outcomes were:</w:t>
      </w:r>
    </w:p>
    <w:p w:rsidR="008B3975" w:rsidRDefault="008B3975" w:rsidP="000B426C">
      <w:pPr>
        <w:pStyle w:val="ListBullet"/>
      </w:pPr>
      <w:r>
        <w:t>Symptomatic DVT and</w:t>
      </w:r>
    </w:p>
    <w:p w:rsidR="008B3975" w:rsidRDefault="008B3975" w:rsidP="000B426C">
      <w:pPr>
        <w:pStyle w:val="ListBullet"/>
      </w:pPr>
      <w:r>
        <w:t>Symptomatic PE</w:t>
      </w:r>
      <w:r w:rsidR="00127885">
        <w:t xml:space="preserve"> </w:t>
      </w:r>
      <w:r w:rsidR="001D65CF">
        <w:t>(fatal or non-fatal) and</w:t>
      </w:r>
    </w:p>
    <w:p w:rsidR="008B3975" w:rsidRDefault="008B3975" w:rsidP="000B426C">
      <w:pPr>
        <w:pStyle w:val="ListBullet"/>
      </w:pPr>
      <w:r>
        <w:t xml:space="preserve">Deterioration, improvement and no relevant change on proximal thrombus based on CUS (Table </w:t>
      </w:r>
      <w:r w:rsidR="000B426C">
        <w:t>7</w:t>
      </w:r>
      <w:r w:rsidR="001D65CF">
        <w:t>), and</w:t>
      </w:r>
    </w:p>
    <w:p w:rsidR="008B3975" w:rsidRDefault="008B3975" w:rsidP="000B426C">
      <w:pPr>
        <w:pStyle w:val="ListBullet"/>
      </w:pPr>
      <w:r>
        <w:lastRenderedPageBreak/>
        <w:t xml:space="preserve">Deterioration, improvement and no relevant change on composite lung thrombus score based on PLS (Table </w:t>
      </w:r>
      <w:r w:rsidR="000B426C">
        <w:t>7</w:t>
      </w:r>
      <w:r>
        <w:t>)</w:t>
      </w:r>
      <w:r w:rsidR="000B426C">
        <w:t>.</w:t>
      </w:r>
    </w:p>
    <w:p w:rsidR="008B3975" w:rsidRDefault="008B3975" w:rsidP="000B426C">
      <w:r>
        <w:t xml:space="preserve">Symptomatic recurrent VTE (recurrent DVT or fatal or nonfatal PI) occurred in 2.6%, 3.2%, 1.7%, 2.5% of the </w:t>
      </w:r>
      <w:proofErr w:type="spellStart"/>
      <w:r>
        <w:t>apixaban</w:t>
      </w:r>
      <w:proofErr w:type="spellEnd"/>
      <w:r>
        <w:t xml:space="preserve"> 5 mg BD/10 mg BD/20 mg QD and LMWH-VKA groups, respectively.</w:t>
      </w:r>
    </w:p>
    <w:p w:rsidR="008B3975" w:rsidRDefault="008B3975" w:rsidP="001D65CF">
      <w:pPr>
        <w:pStyle w:val="TableTitle"/>
        <w:rPr>
          <w:rFonts w:asciiTheme="minorHAnsi" w:hAnsiTheme="minorHAnsi"/>
        </w:rPr>
      </w:pPr>
      <w:r>
        <w:t xml:space="preserve">Table </w:t>
      </w:r>
      <w:r w:rsidR="000B426C">
        <w:t>7:</w:t>
      </w:r>
      <w:r>
        <w:t xml:space="preserve"> </w:t>
      </w:r>
      <w:r w:rsidRPr="001D65CF">
        <w:t>Outcomes</w:t>
      </w:r>
      <w:r>
        <w:t xml:space="preserve"> for proximal thrombus and composite lung thrombus score Study CV185017</w:t>
      </w:r>
    </w:p>
    <w:tbl>
      <w:tblPr>
        <w:tblStyle w:val="LightList-Accent3"/>
        <w:tblW w:w="7655" w:type="dxa"/>
        <w:tblInd w:w="108" w:type="dxa"/>
        <w:tblLayout w:type="fixed"/>
        <w:tblLook w:val="04A0" w:firstRow="1" w:lastRow="0" w:firstColumn="1" w:lastColumn="0" w:noHBand="0" w:noVBand="1"/>
      </w:tblPr>
      <w:tblGrid>
        <w:gridCol w:w="1635"/>
        <w:gridCol w:w="1744"/>
        <w:gridCol w:w="1744"/>
        <w:gridCol w:w="2532"/>
      </w:tblGrid>
      <w:tr w:rsidR="008B3975" w:rsidTr="00DC4B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5" w:type="dxa"/>
            <w:hideMark/>
          </w:tcPr>
          <w:p w:rsidR="008B3975" w:rsidRPr="001813D5" w:rsidRDefault="008B3975">
            <w:pPr>
              <w:adjustRightInd w:val="0"/>
              <w:snapToGrid w:val="0"/>
              <w:spacing w:before="0" w:after="0" w:line="240" w:lineRule="auto"/>
              <w:jc w:val="both"/>
              <w:rPr>
                <w:rFonts w:asciiTheme="minorHAnsi" w:eastAsia="MS Mincho" w:hAnsiTheme="minorHAnsi"/>
                <w:sz w:val="20"/>
                <w:szCs w:val="20"/>
                <w:lang w:eastAsia="ja-JP"/>
              </w:rPr>
            </w:pPr>
            <w:r w:rsidRPr="001813D5">
              <w:rPr>
                <w:rFonts w:asciiTheme="minorHAnsi" w:hAnsiTheme="minorHAnsi"/>
                <w:sz w:val="20"/>
                <w:szCs w:val="20"/>
              </w:rPr>
              <w:t>Treatment</w:t>
            </w:r>
          </w:p>
        </w:tc>
        <w:tc>
          <w:tcPr>
            <w:tcW w:w="1744" w:type="dxa"/>
            <w:hideMark/>
          </w:tcPr>
          <w:p w:rsidR="008B3975" w:rsidRPr="001813D5" w:rsidRDefault="008B3975">
            <w:pPr>
              <w:adjustRightInd w:val="0"/>
              <w:snapToGrid w:val="0"/>
              <w:spacing w:before="0"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Outcome</w:t>
            </w:r>
          </w:p>
        </w:tc>
        <w:tc>
          <w:tcPr>
            <w:tcW w:w="1744" w:type="dxa"/>
            <w:hideMark/>
          </w:tcPr>
          <w:p w:rsidR="008B3975" w:rsidRPr="001813D5" w:rsidRDefault="008B3975" w:rsidP="00511CAF">
            <w:pPr>
              <w:adjustRightInd w:val="0"/>
              <w:snapToGrid w:val="0"/>
              <w:spacing w:before="0"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Proximal thrombus</w:t>
            </w:r>
            <w:r w:rsidR="00511CAF">
              <w:rPr>
                <w:rFonts w:asciiTheme="minorHAnsi" w:hAnsiTheme="minorHAnsi"/>
                <w:sz w:val="20"/>
                <w:szCs w:val="20"/>
              </w:rPr>
              <w:t xml:space="preserve"> </w:t>
            </w:r>
            <w:r w:rsidRPr="001813D5">
              <w:rPr>
                <w:rFonts w:asciiTheme="minorHAnsi" w:hAnsiTheme="minorHAnsi"/>
                <w:sz w:val="20"/>
                <w:szCs w:val="20"/>
              </w:rPr>
              <w:t>on CUS</w:t>
            </w:r>
          </w:p>
        </w:tc>
        <w:tc>
          <w:tcPr>
            <w:tcW w:w="2532" w:type="dxa"/>
            <w:hideMark/>
          </w:tcPr>
          <w:p w:rsidR="008B3975" w:rsidRPr="001813D5" w:rsidRDefault="008B3975">
            <w:pPr>
              <w:adjustRightInd w:val="0"/>
              <w:snapToGrid w:val="0"/>
              <w:spacing w:before="0"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Composite lung thrombus score</w:t>
            </w:r>
          </w:p>
        </w:tc>
      </w:tr>
      <w:tr w:rsidR="008B3975" w:rsidTr="005D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vMerge w:val="restart"/>
            <w:hideMark/>
          </w:tcPr>
          <w:p w:rsidR="008B3975" w:rsidRPr="001D65CF" w:rsidRDefault="008B3975" w:rsidP="001D65CF">
            <w:pPr>
              <w:rPr>
                <w:rFonts w:eastAsia="MS Mincho"/>
                <w:sz w:val="20"/>
                <w:szCs w:val="20"/>
                <w:lang w:eastAsia="ja-JP"/>
              </w:rPr>
            </w:pPr>
            <w:proofErr w:type="spellStart"/>
            <w:r w:rsidRPr="001D65CF">
              <w:rPr>
                <w:sz w:val="20"/>
                <w:szCs w:val="20"/>
              </w:rPr>
              <w:t>Apixaban</w:t>
            </w:r>
            <w:proofErr w:type="spellEnd"/>
            <w:r w:rsidRPr="001D65CF">
              <w:rPr>
                <w:sz w:val="20"/>
                <w:szCs w:val="20"/>
              </w:rPr>
              <w:t xml:space="preserve"> 5 mg BD</w:t>
            </w:r>
          </w:p>
        </w:tc>
        <w:tc>
          <w:tcPr>
            <w:tcW w:w="1744" w:type="dxa"/>
            <w:hideMark/>
          </w:tcPr>
          <w:p w:rsidR="008B3975" w:rsidRPr="001813D5" w:rsidRDefault="000B426C">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I</w:t>
            </w:r>
            <w:r w:rsidR="008B3975" w:rsidRPr="001813D5">
              <w:rPr>
                <w:rFonts w:asciiTheme="minorHAnsi" w:hAnsiTheme="minorHAnsi"/>
                <w:sz w:val="20"/>
                <w:szCs w:val="20"/>
              </w:rPr>
              <w:t>mproved</w:t>
            </w:r>
          </w:p>
        </w:tc>
        <w:tc>
          <w:tcPr>
            <w:tcW w:w="1744"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70.1%</w:t>
            </w:r>
          </w:p>
        </w:tc>
        <w:tc>
          <w:tcPr>
            <w:tcW w:w="2532"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40.2%</w:t>
            </w:r>
          </w:p>
        </w:tc>
      </w:tr>
      <w:tr w:rsidR="008B3975" w:rsidTr="005D1003">
        <w:tc>
          <w:tcPr>
            <w:cnfStyle w:val="001000000000" w:firstRow="0" w:lastRow="0" w:firstColumn="1" w:lastColumn="0" w:oddVBand="0" w:evenVBand="0" w:oddHBand="0" w:evenHBand="0" w:firstRowFirstColumn="0" w:firstRowLastColumn="0" w:lastRowFirstColumn="0" w:lastRowLastColumn="0"/>
            <w:tcW w:w="1635" w:type="dxa"/>
            <w:vMerge/>
            <w:hideMark/>
          </w:tcPr>
          <w:p w:rsidR="008B3975" w:rsidRPr="001D65CF" w:rsidRDefault="008B3975">
            <w:pPr>
              <w:spacing w:before="0" w:after="0" w:line="240" w:lineRule="auto"/>
              <w:rPr>
                <w:rFonts w:asciiTheme="minorHAnsi" w:eastAsia="MS Mincho" w:hAnsiTheme="minorHAnsi"/>
                <w:sz w:val="20"/>
                <w:szCs w:val="20"/>
                <w:lang w:eastAsia="ja-JP"/>
              </w:rPr>
            </w:pPr>
          </w:p>
        </w:tc>
        <w:tc>
          <w:tcPr>
            <w:tcW w:w="1744" w:type="dxa"/>
            <w:hideMark/>
          </w:tcPr>
          <w:p w:rsidR="008B3975" w:rsidRPr="001813D5" w:rsidRDefault="00F152E9">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D</w:t>
            </w:r>
            <w:r w:rsidR="008B3975" w:rsidRPr="001813D5">
              <w:rPr>
                <w:rFonts w:asciiTheme="minorHAnsi" w:hAnsiTheme="minorHAnsi"/>
                <w:sz w:val="20"/>
                <w:szCs w:val="20"/>
              </w:rPr>
              <w:t>eteriorated</w:t>
            </w:r>
          </w:p>
        </w:tc>
        <w:tc>
          <w:tcPr>
            <w:tcW w:w="1744"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1.7%</w:t>
            </w:r>
          </w:p>
        </w:tc>
        <w:tc>
          <w:tcPr>
            <w:tcW w:w="2532"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3.4%</w:t>
            </w:r>
          </w:p>
        </w:tc>
      </w:tr>
      <w:tr w:rsidR="008B3975" w:rsidTr="005D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vMerge/>
            <w:hideMark/>
          </w:tcPr>
          <w:p w:rsidR="008B3975" w:rsidRPr="001D65CF" w:rsidRDefault="008B3975">
            <w:pPr>
              <w:spacing w:before="0" w:after="0" w:line="240" w:lineRule="auto"/>
              <w:rPr>
                <w:rFonts w:asciiTheme="minorHAnsi" w:eastAsia="MS Mincho" w:hAnsiTheme="minorHAnsi"/>
                <w:sz w:val="20"/>
                <w:szCs w:val="20"/>
                <w:lang w:eastAsia="ja-JP"/>
              </w:rPr>
            </w:pPr>
          </w:p>
        </w:tc>
        <w:tc>
          <w:tcPr>
            <w:tcW w:w="1744"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no change</w:t>
            </w:r>
          </w:p>
        </w:tc>
        <w:tc>
          <w:tcPr>
            <w:tcW w:w="1744"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28.2%</w:t>
            </w:r>
          </w:p>
        </w:tc>
        <w:tc>
          <w:tcPr>
            <w:tcW w:w="2532"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24.8%</w:t>
            </w:r>
          </w:p>
        </w:tc>
      </w:tr>
      <w:tr w:rsidR="008B3975" w:rsidTr="005D1003">
        <w:tc>
          <w:tcPr>
            <w:cnfStyle w:val="001000000000" w:firstRow="0" w:lastRow="0" w:firstColumn="1" w:lastColumn="0" w:oddVBand="0" w:evenVBand="0" w:oddHBand="0" w:evenHBand="0" w:firstRowFirstColumn="0" w:firstRowLastColumn="0" w:lastRowFirstColumn="0" w:lastRowLastColumn="0"/>
            <w:tcW w:w="1635" w:type="dxa"/>
            <w:vMerge w:val="restart"/>
            <w:hideMark/>
          </w:tcPr>
          <w:p w:rsidR="008B3975" w:rsidRPr="001D65CF" w:rsidRDefault="008B3975" w:rsidP="001D65CF">
            <w:pPr>
              <w:rPr>
                <w:rFonts w:eastAsia="MS Mincho"/>
                <w:sz w:val="20"/>
                <w:szCs w:val="20"/>
                <w:lang w:eastAsia="ja-JP"/>
              </w:rPr>
            </w:pPr>
            <w:proofErr w:type="spellStart"/>
            <w:r w:rsidRPr="001D65CF">
              <w:rPr>
                <w:sz w:val="20"/>
                <w:szCs w:val="20"/>
              </w:rPr>
              <w:t>Apixaban</w:t>
            </w:r>
            <w:proofErr w:type="spellEnd"/>
            <w:r w:rsidRPr="001D65CF">
              <w:rPr>
                <w:sz w:val="20"/>
                <w:szCs w:val="20"/>
              </w:rPr>
              <w:t xml:space="preserve"> 10 mg BD</w:t>
            </w:r>
          </w:p>
        </w:tc>
        <w:tc>
          <w:tcPr>
            <w:tcW w:w="1744" w:type="dxa"/>
            <w:hideMark/>
          </w:tcPr>
          <w:p w:rsidR="008B3975" w:rsidRPr="001813D5" w:rsidRDefault="00F152E9">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I</w:t>
            </w:r>
            <w:r w:rsidR="008B3975" w:rsidRPr="001813D5">
              <w:rPr>
                <w:rFonts w:asciiTheme="minorHAnsi" w:hAnsiTheme="minorHAnsi"/>
                <w:sz w:val="20"/>
                <w:szCs w:val="20"/>
              </w:rPr>
              <w:t>mproved</w:t>
            </w:r>
          </w:p>
        </w:tc>
        <w:tc>
          <w:tcPr>
            <w:tcW w:w="1744"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72.0%</w:t>
            </w:r>
          </w:p>
        </w:tc>
        <w:tc>
          <w:tcPr>
            <w:tcW w:w="2532"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37.6%</w:t>
            </w:r>
          </w:p>
        </w:tc>
      </w:tr>
      <w:tr w:rsidR="008B3975" w:rsidTr="005D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vMerge/>
            <w:hideMark/>
          </w:tcPr>
          <w:p w:rsidR="008B3975" w:rsidRPr="001D65CF" w:rsidRDefault="008B3975">
            <w:pPr>
              <w:spacing w:before="0" w:after="0" w:line="240" w:lineRule="auto"/>
              <w:rPr>
                <w:rFonts w:asciiTheme="minorHAnsi" w:eastAsia="MS Mincho" w:hAnsiTheme="minorHAnsi"/>
                <w:sz w:val="20"/>
                <w:szCs w:val="20"/>
                <w:lang w:eastAsia="ja-JP"/>
              </w:rPr>
            </w:pPr>
          </w:p>
        </w:tc>
        <w:tc>
          <w:tcPr>
            <w:tcW w:w="1744" w:type="dxa"/>
            <w:hideMark/>
          </w:tcPr>
          <w:p w:rsidR="008B3975" w:rsidRPr="001813D5" w:rsidRDefault="00F152E9">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D</w:t>
            </w:r>
            <w:r w:rsidR="008B3975" w:rsidRPr="001813D5">
              <w:rPr>
                <w:rFonts w:asciiTheme="minorHAnsi" w:hAnsiTheme="minorHAnsi"/>
                <w:sz w:val="20"/>
                <w:szCs w:val="20"/>
              </w:rPr>
              <w:t>eteriorated</w:t>
            </w:r>
          </w:p>
        </w:tc>
        <w:tc>
          <w:tcPr>
            <w:tcW w:w="1744"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2.4%</w:t>
            </w:r>
          </w:p>
        </w:tc>
        <w:tc>
          <w:tcPr>
            <w:tcW w:w="2532"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0.8%</w:t>
            </w:r>
          </w:p>
        </w:tc>
      </w:tr>
      <w:tr w:rsidR="008B3975" w:rsidTr="005D1003">
        <w:tc>
          <w:tcPr>
            <w:cnfStyle w:val="001000000000" w:firstRow="0" w:lastRow="0" w:firstColumn="1" w:lastColumn="0" w:oddVBand="0" w:evenVBand="0" w:oddHBand="0" w:evenHBand="0" w:firstRowFirstColumn="0" w:firstRowLastColumn="0" w:lastRowFirstColumn="0" w:lastRowLastColumn="0"/>
            <w:tcW w:w="1635" w:type="dxa"/>
            <w:vMerge/>
            <w:hideMark/>
          </w:tcPr>
          <w:p w:rsidR="008B3975" w:rsidRPr="001D65CF" w:rsidRDefault="008B3975">
            <w:pPr>
              <w:spacing w:before="0" w:after="0" w:line="240" w:lineRule="auto"/>
              <w:rPr>
                <w:rFonts w:asciiTheme="minorHAnsi" w:eastAsia="MS Mincho" w:hAnsiTheme="minorHAnsi"/>
                <w:sz w:val="20"/>
                <w:szCs w:val="20"/>
                <w:lang w:eastAsia="ja-JP"/>
              </w:rPr>
            </w:pPr>
          </w:p>
        </w:tc>
        <w:tc>
          <w:tcPr>
            <w:tcW w:w="1744"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no change</w:t>
            </w:r>
          </w:p>
        </w:tc>
        <w:tc>
          <w:tcPr>
            <w:tcW w:w="1744"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23.2%</w:t>
            </w:r>
          </w:p>
        </w:tc>
        <w:tc>
          <w:tcPr>
            <w:tcW w:w="2532"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30.4%</w:t>
            </w:r>
          </w:p>
        </w:tc>
      </w:tr>
      <w:tr w:rsidR="008B3975" w:rsidTr="005D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vMerge w:val="restart"/>
            <w:hideMark/>
          </w:tcPr>
          <w:p w:rsidR="008B3975" w:rsidRPr="001D65CF" w:rsidRDefault="008B3975" w:rsidP="001D65CF">
            <w:pPr>
              <w:rPr>
                <w:rFonts w:eastAsia="MS Mincho"/>
                <w:sz w:val="20"/>
                <w:szCs w:val="20"/>
                <w:lang w:eastAsia="ja-JP"/>
              </w:rPr>
            </w:pPr>
            <w:proofErr w:type="spellStart"/>
            <w:r w:rsidRPr="001D65CF">
              <w:rPr>
                <w:sz w:val="20"/>
                <w:szCs w:val="20"/>
              </w:rPr>
              <w:t>Apixaban</w:t>
            </w:r>
            <w:proofErr w:type="spellEnd"/>
            <w:r w:rsidRPr="001D65CF">
              <w:rPr>
                <w:sz w:val="20"/>
                <w:szCs w:val="20"/>
              </w:rPr>
              <w:t xml:space="preserve"> 20 mg QD</w:t>
            </w:r>
          </w:p>
        </w:tc>
        <w:tc>
          <w:tcPr>
            <w:tcW w:w="1744" w:type="dxa"/>
            <w:hideMark/>
          </w:tcPr>
          <w:p w:rsidR="008B3975" w:rsidRPr="001813D5" w:rsidRDefault="00F152E9">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I</w:t>
            </w:r>
            <w:r w:rsidR="008B3975" w:rsidRPr="001813D5">
              <w:rPr>
                <w:rFonts w:asciiTheme="minorHAnsi" w:hAnsiTheme="minorHAnsi"/>
                <w:sz w:val="20"/>
                <w:szCs w:val="20"/>
              </w:rPr>
              <w:t>mproved</w:t>
            </w:r>
          </w:p>
        </w:tc>
        <w:tc>
          <w:tcPr>
            <w:tcW w:w="1744"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72.4%</w:t>
            </w:r>
          </w:p>
        </w:tc>
        <w:tc>
          <w:tcPr>
            <w:tcW w:w="2532"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38.8%</w:t>
            </w:r>
          </w:p>
        </w:tc>
      </w:tr>
      <w:tr w:rsidR="008B3975" w:rsidTr="005D1003">
        <w:tc>
          <w:tcPr>
            <w:cnfStyle w:val="001000000000" w:firstRow="0" w:lastRow="0" w:firstColumn="1" w:lastColumn="0" w:oddVBand="0" w:evenVBand="0" w:oddHBand="0" w:evenHBand="0" w:firstRowFirstColumn="0" w:firstRowLastColumn="0" w:lastRowFirstColumn="0" w:lastRowLastColumn="0"/>
            <w:tcW w:w="1635" w:type="dxa"/>
            <w:vMerge/>
            <w:hideMark/>
          </w:tcPr>
          <w:p w:rsidR="008B3975" w:rsidRPr="001D65CF" w:rsidRDefault="008B3975">
            <w:pPr>
              <w:spacing w:before="0" w:after="0" w:line="240" w:lineRule="auto"/>
              <w:rPr>
                <w:rFonts w:asciiTheme="minorHAnsi" w:eastAsia="MS Mincho" w:hAnsiTheme="minorHAnsi"/>
                <w:sz w:val="20"/>
                <w:szCs w:val="20"/>
                <w:lang w:eastAsia="ja-JP"/>
              </w:rPr>
            </w:pPr>
          </w:p>
        </w:tc>
        <w:tc>
          <w:tcPr>
            <w:tcW w:w="1744" w:type="dxa"/>
            <w:hideMark/>
          </w:tcPr>
          <w:p w:rsidR="008B3975" w:rsidRPr="001813D5" w:rsidRDefault="00F152E9">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D</w:t>
            </w:r>
            <w:r w:rsidR="008B3975" w:rsidRPr="001813D5">
              <w:rPr>
                <w:rFonts w:asciiTheme="minorHAnsi" w:hAnsiTheme="minorHAnsi"/>
                <w:sz w:val="20"/>
                <w:szCs w:val="20"/>
              </w:rPr>
              <w:t>eteriorated</w:t>
            </w:r>
          </w:p>
        </w:tc>
        <w:tc>
          <w:tcPr>
            <w:tcW w:w="1744"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0.9%</w:t>
            </w:r>
          </w:p>
        </w:tc>
        <w:tc>
          <w:tcPr>
            <w:tcW w:w="2532"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0</w:t>
            </w:r>
          </w:p>
        </w:tc>
      </w:tr>
      <w:tr w:rsidR="008B3975" w:rsidTr="005D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vMerge/>
            <w:hideMark/>
          </w:tcPr>
          <w:p w:rsidR="008B3975" w:rsidRPr="001D65CF" w:rsidRDefault="008B3975">
            <w:pPr>
              <w:spacing w:before="0" w:after="0" w:line="240" w:lineRule="auto"/>
              <w:rPr>
                <w:rFonts w:asciiTheme="minorHAnsi" w:eastAsia="MS Mincho" w:hAnsiTheme="minorHAnsi"/>
                <w:sz w:val="20"/>
                <w:szCs w:val="20"/>
                <w:lang w:eastAsia="ja-JP"/>
              </w:rPr>
            </w:pPr>
          </w:p>
        </w:tc>
        <w:tc>
          <w:tcPr>
            <w:tcW w:w="1744"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no change</w:t>
            </w:r>
          </w:p>
        </w:tc>
        <w:tc>
          <w:tcPr>
            <w:tcW w:w="1744"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25.9%</w:t>
            </w:r>
          </w:p>
        </w:tc>
        <w:tc>
          <w:tcPr>
            <w:tcW w:w="2532"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28.4%</w:t>
            </w:r>
          </w:p>
        </w:tc>
      </w:tr>
      <w:tr w:rsidR="008B3975" w:rsidTr="005D1003">
        <w:tc>
          <w:tcPr>
            <w:cnfStyle w:val="001000000000" w:firstRow="0" w:lastRow="0" w:firstColumn="1" w:lastColumn="0" w:oddVBand="0" w:evenVBand="0" w:oddHBand="0" w:evenHBand="0" w:firstRowFirstColumn="0" w:firstRowLastColumn="0" w:lastRowFirstColumn="0" w:lastRowLastColumn="0"/>
            <w:tcW w:w="1635" w:type="dxa"/>
            <w:vMerge w:val="restart"/>
            <w:hideMark/>
          </w:tcPr>
          <w:p w:rsidR="008B3975" w:rsidRPr="001D65CF" w:rsidRDefault="008B3975" w:rsidP="001D65CF">
            <w:pPr>
              <w:rPr>
                <w:rFonts w:eastAsia="MS Mincho"/>
                <w:sz w:val="20"/>
                <w:szCs w:val="20"/>
                <w:lang w:eastAsia="ja-JP"/>
              </w:rPr>
            </w:pPr>
            <w:r w:rsidRPr="001D65CF">
              <w:rPr>
                <w:rFonts w:asciiTheme="minorHAnsi" w:hAnsiTheme="minorHAnsi"/>
                <w:sz w:val="20"/>
                <w:szCs w:val="20"/>
              </w:rPr>
              <w:t>LMWH</w:t>
            </w:r>
            <w:r w:rsidR="001D65CF" w:rsidRPr="001D65CF">
              <w:rPr>
                <w:rFonts w:asciiTheme="minorHAnsi" w:hAnsiTheme="minorHAnsi"/>
                <w:sz w:val="20"/>
                <w:szCs w:val="20"/>
              </w:rPr>
              <w:t xml:space="preserve"> </w:t>
            </w:r>
            <w:r w:rsidRPr="001D65CF">
              <w:rPr>
                <w:rFonts w:asciiTheme="minorHAnsi" w:hAnsiTheme="minorHAnsi"/>
                <w:sz w:val="20"/>
                <w:szCs w:val="20"/>
              </w:rPr>
              <w:t>/</w:t>
            </w:r>
            <w:r w:rsidR="001D65CF" w:rsidRPr="001D65CF">
              <w:rPr>
                <w:rFonts w:asciiTheme="minorHAnsi" w:hAnsiTheme="minorHAnsi"/>
                <w:sz w:val="20"/>
                <w:szCs w:val="20"/>
              </w:rPr>
              <w:t xml:space="preserve"> </w:t>
            </w:r>
            <w:proofErr w:type="spellStart"/>
            <w:r w:rsidRPr="001D65CF">
              <w:rPr>
                <w:sz w:val="20"/>
                <w:szCs w:val="20"/>
              </w:rPr>
              <w:t>fondaparinux</w:t>
            </w:r>
            <w:proofErr w:type="spellEnd"/>
            <w:r w:rsidRPr="001D65CF">
              <w:rPr>
                <w:sz w:val="20"/>
                <w:szCs w:val="20"/>
              </w:rPr>
              <w:t xml:space="preserve"> and VKA</w:t>
            </w:r>
          </w:p>
        </w:tc>
        <w:tc>
          <w:tcPr>
            <w:tcW w:w="1744" w:type="dxa"/>
            <w:hideMark/>
          </w:tcPr>
          <w:p w:rsidR="008B3975" w:rsidRPr="001813D5" w:rsidRDefault="00F152E9">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I</w:t>
            </w:r>
            <w:r w:rsidR="008B3975" w:rsidRPr="001813D5">
              <w:rPr>
                <w:rFonts w:asciiTheme="minorHAnsi" w:hAnsiTheme="minorHAnsi"/>
                <w:sz w:val="20"/>
                <w:szCs w:val="20"/>
              </w:rPr>
              <w:t>mproved</w:t>
            </w:r>
          </w:p>
        </w:tc>
        <w:tc>
          <w:tcPr>
            <w:tcW w:w="1744"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65.3%</w:t>
            </w:r>
          </w:p>
        </w:tc>
        <w:tc>
          <w:tcPr>
            <w:tcW w:w="2532"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44.1%</w:t>
            </w:r>
          </w:p>
        </w:tc>
      </w:tr>
      <w:tr w:rsidR="008B3975" w:rsidTr="005D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vMerge/>
            <w:hideMark/>
          </w:tcPr>
          <w:p w:rsidR="008B3975" w:rsidRPr="001813D5" w:rsidRDefault="008B3975">
            <w:pPr>
              <w:spacing w:before="0" w:after="0" w:line="240" w:lineRule="auto"/>
              <w:rPr>
                <w:rFonts w:asciiTheme="minorHAnsi" w:eastAsia="MS Mincho" w:hAnsiTheme="minorHAnsi"/>
                <w:sz w:val="20"/>
                <w:szCs w:val="20"/>
                <w:lang w:eastAsia="ja-JP"/>
              </w:rPr>
            </w:pPr>
          </w:p>
        </w:tc>
        <w:tc>
          <w:tcPr>
            <w:tcW w:w="1744" w:type="dxa"/>
            <w:hideMark/>
          </w:tcPr>
          <w:p w:rsidR="008B3975" w:rsidRPr="001813D5" w:rsidRDefault="00F152E9">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D</w:t>
            </w:r>
            <w:r w:rsidR="008B3975" w:rsidRPr="001813D5">
              <w:rPr>
                <w:rFonts w:asciiTheme="minorHAnsi" w:hAnsiTheme="minorHAnsi"/>
                <w:sz w:val="20"/>
                <w:szCs w:val="20"/>
              </w:rPr>
              <w:t>eteriorated</w:t>
            </w:r>
          </w:p>
        </w:tc>
        <w:tc>
          <w:tcPr>
            <w:tcW w:w="1744"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1.7%</w:t>
            </w:r>
          </w:p>
        </w:tc>
        <w:tc>
          <w:tcPr>
            <w:tcW w:w="2532" w:type="dxa"/>
            <w:hideMark/>
          </w:tcPr>
          <w:p w:rsidR="008B3975" w:rsidRPr="001813D5" w:rsidRDefault="008B3975">
            <w:pPr>
              <w:adjustRightInd w:val="0"/>
              <w:snapToGri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0%</w:t>
            </w:r>
          </w:p>
        </w:tc>
      </w:tr>
      <w:tr w:rsidR="008B3975" w:rsidTr="005D1003">
        <w:tc>
          <w:tcPr>
            <w:cnfStyle w:val="001000000000" w:firstRow="0" w:lastRow="0" w:firstColumn="1" w:lastColumn="0" w:oddVBand="0" w:evenVBand="0" w:oddHBand="0" w:evenHBand="0" w:firstRowFirstColumn="0" w:firstRowLastColumn="0" w:lastRowFirstColumn="0" w:lastRowLastColumn="0"/>
            <w:tcW w:w="1635" w:type="dxa"/>
            <w:vMerge/>
            <w:hideMark/>
          </w:tcPr>
          <w:p w:rsidR="008B3975" w:rsidRPr="001813D5" w:rsidRDefault="008B3975">
            <w:pPr>
              <w:spacing w:before="0" w:after="0" w:line="240" w:lineRule="auto"/>
              <w:rPr>
                <w:rFonts w:asciiTheme="minorHAnsi" w:eastAsia="MS Mincho" w:hAnsiTheme="minorHAnsi"/>
                <w:sz w:val="20"/>
                <w:szCs w:val="20"/>
                <w:lang w:eastAsia="ja-JP"/>
              </w:rPr>
            </w:pPr>
          </w:p>
        </w:tc>
        <w:tc>
          <w:tcPr>
            <w:tcW w:w="1744"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no change</w:t>
            </w:r>
          </w:p>
        </w:tc>
        <w:tc>
          <w:tcPr>
            <w:tcW w:w="1744"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30.5%</w:t>
            </w:r>
          </w:p>
        </w:tc>
        <w:tc>
          <w:tcPr>
            <w:tcW w:w="2532" w:type="dxa"/>
            <w:hideMark/>
          </w:tcPr>
          <w:p w:rsidR="008B3975" w:rsidRPr="001813D5" w:rsidRDefault="008B3975">
            <w:pPr>
              <w:adjustRightInd w:val="0"/>
              <w:snapToGri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lang w:eastAsia="ja-JP"/>
              </w:rPr>
            </w:pPr>
            <w:r w:rsidRPr="001813D5">
              <w:rPr>
                <w:rFonts w:asciiTheme="minorHAnsi" w:hAnsiTheme="minorHAnsi"/>
                <w:sz w:val="20"/>
                <w:szCs w:val="20"/>
              </w:rPr>
              <w:t>23.7%</w:t>
            </w:r>
          </w:p>
        </w:tc>
      </w:tr>
    </w:tbl>
    <w:p w:rsidR="00F152E9" w:rsidRDefault="008B3975" w:rsidP="00F152E9">
      <w:pPr>
        <w:pStyle w:val="Heading5"/>
      </w:pPr>
      <w:r>
        <w:t>S</w:t>
      </w:r>
      <w:r w:rsidR="001D65CF">
        <w:t>tudy CV 185056 (AMPLIFY)</w:t>
      </w:r>
    </w:p>
    <w:p w:rsidR="008B3975" w:rsidRDefault="008B3975" w:rsidP="00F152E9">
      <w:r>
        <w:t>This was a randomised, active controlled, parallel group, double blind, triple-dummy efficacy and safety study in 5395 adult subjects with acute symptomatic proximal DVT</w:t>
      </w:r>
      <w:r w:rsidR="00127885">
        <w:t xml:space="preserve"> </w:t>
      </w:r>
      <w:r>
        <w:t>(the popliteal vein or a more proximal vein demonstrated by imaging with CUS</w:t>
      </w:r>
      <w:r w:rsidR="00045951">
        <w:t>;</w:t>
      </w:r>
      <w:r>
        <w:t xml:space="preserve"> grey scale or colour Doppler, or ascending contrast venography) or acute symptomatic PE (segmental or more proximal branch intraluminal filling defect on spiral CT, intraluminal filling defect or sudden cut-off of vessels more than 2.5 mm in diameter on pulmonary angiogram or a perfusion defect of at least 75% with local normal ventilation on ventilation/perfusion lung scan) as adjudicated by a central committee.</w:t>
      </w:r>
    </w:p>
    <w:p w:rsidR="008B3975" w:rsidRDefault="008B3975" w:rsidP="00F152E9">
      <w:r>
        <w:t xml:space="preserve">The exclusion criteria were extensive and were aimed at excluding subjects who were pregnant or breast feeding, with risk factors for recurrence or bleeding, allergies, a serum creatinine of &gt;221µmol/L, </w:t>
      </w:r>
      <w:proofErr w:type="spellStart"/>
      <w:r>
        <w:t>CrCl</w:t>
      </w:r>
      <w:proofErr w:type="spellEnd"/>
      <w:r>
        <w:t xml:space="preserve"> &lt; 25 mL/min, ALT or AST &gt; 2</w:t>
      </w:r>
      <w:r w:rsidR="00045951">
        <w:t xml:space="preserve"> times </w:t>
      </w:r>
      <w:r>
        <w:t>ULN and total bilirubin &gt; 1.5</w:t>
      </w:r>
      <w:r w:rsidR="00045951">
        <w:t xml:space="preserve"> times</w:t>
      </w:r>
      <w:r>
        <w:t xml:space="preserve"> ULN. Prohibited therapies included treatment of </w:t>
      </w:r>
      <w:r w:rsidRPr="005D1003">
        <w:t xml:space="preserve">the current event for more than 2 days for </w:t>
      </w:r>
      <w:proofErr w:type="spellStart"/>
      <w:r w:rsidRPr="005D1003">
        <w:t>fondaparinux</w:t>
      </w:r>
      <w:proofErr w:type="spellEnd"/>
      <w:r w:rsidRPr="005D1003">
        <w:t xml:space="preserve"> of LMWH or VKA, or 36 hours for UFH</w:t>
      </w:r>
      <w:r>
        <w:t xml:space="preserve"> by continuous infusion, aspirin &gt; 165 mg/day, dual platelet therapy, other antithrombotic agents, glycoprotein </w:t>
      </w:r>
      <w:proofErr w:type="spellStart"/>
      <w:r>
        <w:t>IIb</w:t>
      </w:r>
      <w:proofErr w:type="spellEnd"/>
      <w:r>
        <w:t>/</w:t>
      </w:r>
      <w:proofErr w:type="spellStart"/>
      <w:r>
        <w:t>IIIa</w:t>
      </w:r>
      <w:proofErr w:type="spellEnd"/>
      <w:r>
        <w:t xml:space="preserve"> inhibitors a</w:t>
      </w:r>
      <w:r w:rsidR="001D65CF">
        <w:t>nd strong inhibitors of CYP3A4.</w:t>
      </w:r>
    </w:p>
    <w:p w:rsidR="008B3975" w:rsidRDefault="008B3975" w:rsidP="00F152E9">
      <w:r>
        <w:t xml:space="preserve">The study treatments were </w:t>
      </w:r>
      <w:proofErr w:type="spellStart"/>
      <w:r>
        <w:t>apixaban</w:t>
      </w:r>
      <w:proofErr w:type="spellEnd"/>
      <w:r>
        <w:t xml:space="preserve"> 10</w:t>
      </w:r>
      <w:r w:rsidR="00045951">
        <w:t xml:space="preserve"> </w:t>
      </w:r>
      <w:r>
        <w:t xml:space="preserve">mg BD orally for 7 days, then 5 mg BD (plus placebo enoxaparin and warfarin) or enoxaparin 1 mg/kg 12 hourly until INR ≥ 2, warfarin dosed to target range 2.0 to 3.0 (plus placebo </w:t>
      </w:r>
      <w:proofErr w:type="spellStart"/>
      <w:r>
        <w:t>apixaban</w:t>
      </w:r>
      <w:proofErr w:type="spellEnd"/>
      <w:r>
        <w:t>). Treatment was for 6 months, followed by a 30 day follow-up period.</w:t>
      </w:r>
    </w:p>
    <w:p w:rsidR="008B3975" w:rsidRDefault="008B3975" w:rsidP="00F152E9">
      <w:r>
        <w:t xml:space="preserve">Randomisation was via a centralised procedure in a 1:1 ratio and stratified by type of disease (symptomatic proximal DVT or PE with or without DVT) at baseline. Of the 5395 subjects randomised 5365 received at least one dose of study treatment (2676 received </w:t>
      </w:r>
      <w:proofErr w:type="spellStart"/>
      <w:r>
        <w:t>apixaban</w:t>
      </w:r>
      <w:proofErr w:type="spellEnd"/>
      <w:r>
        <w:t xml:space="preserve"> and 2689 received warfarin), and 4605 (2314 in the </w:t>
      </w:r>
      <w:proofErr w:type="spellStart"/>
      <w:r>
        <w:t>apixaban</w:t>
      </w:r>
      <w:proofErr w:type="spellEnd"/>
      <w:r>
        <w:t xml:space="preserve"> group and 2291 in the enoxaparin warfarin group) completed the study. The majority of discontinuations were due to death, AE or thrombotic event. The per-protocol population included 2257 in the </w:t>
      </w:r>
      <w:proofErr w:type="spellStart"/>
      <w:r>
        <w:t>apixaban</w:t>
      </w:r>
      <w:proofErr w:type="spellEnd"/>
      <w:r>
        <w:t xml:space="preserve"> group and 2235 in</w:t>
      </w:r>
      <w:r w:rsidR="001D65CF">
        <w:t xml:space="preserve"> the enoxaparin/warfarin group.</w:t>
      </w:r>
    </w:p>
    <w:p w:rsidR="008B3975" w:rsidRDefault="008B3975" w:rsidP="00F152E9">
      <w:r>
        <w:lastRenderedPageBreak/>
        <w:t xml:space="preserve">The subjects were 58.7% male, with a median age of 58 years (IQR 46.0, 70.0) and were mostly </w:t>
      </w:r>
      <w:r w:rsidR="00045951">
        <w:t>W</w:t>
      </w:r>
      <w:r>
        <w:t xml:space="preserve">hite (82.7%). Renal function was normal (&gt; 80 mL/min) in 64.5%, mildly impaired (50 &lt; </w:t>
      </w:r>
      <w:proofErr w:type="spellStart"/>
      <w:r w:rsidR="00045951">
        <w:t>CrCL</w:t>
      </w:r>
      <w:proofErr w:type="spellEnd"/>
      <w:r>
        <w:t xml:space="preserve"> ≤ 80 mL/min) in 23.3% and moderately impaired (30 &lt; </w:t>
      </w:r>
      <w:proofErr w:type="spellStart"/>
      <w:r w:rsidR="00045951">
        <w:t>CrCL</w:t>
      </w:r>
      <w:proofErr w:type="spellEnd"/>
      <w:r>
        <w:t xml:space="preserve"> ≤ 50 mL/min) in 5.7%. Most (89.8%) had unprovoked VTE (65.9% had no identified risk factor), 23.7% were smokers, 16.2% had a recurrent VTE, 2.5% had a history of a </w:t>
      </w:r>
      <w:proofErr w:type="spellStart"/>
      <w:r>
        <w:t>prothrombotic</w:t>
      </w:r>
      <w:proofErr w:type="spellEnd"/>
      <w:r>
        <w:t xml:space="preserve"> genotype and 2.7% had active cancer). The groups were similar for index event (66.6% proximal DVT) method of diagnosis of the index event (99.2% CUS for DVT and 87.9% spiral CT for PE), prior anticoagulant and antiplatelet use and for concomitant anticoagulant medications received during the study (overall 6.4% received a LMWH and 3.5% received a VKA).</w:t>
      </w:r>
    </w:p>
    <w:p w:rsidR="008B3975" w:rsidRDefault="008B3975" w:rsidP="00F152E9">
      <w:r>
        <w:t>Non-inferiority of the treatments was based on the upper 95% for the RR for difference between the two groups for the primary efficacy outcome using a stratified analysis of &lt;1.8 and a risk difference of &lt;0.035. Multiplicity was addressed using a hierarchical approach to hypothesis testing. The study was adequately powered to detect a difference for the primary outcome.</w:t>
      </w:r>
    </w:p>
    <w:p w:rsidR="008B3975" w:rsidRDefault="008B3975" w:rsidP="00F152E9">
      <w:r>
        <w:t>The primary efficacy outcome was the incidence of an adjudicated composite of symptomatic recurrent VTE (nonfatal DVT or nonfatal PE) or VTE-related death during the 6 months of therapy demonstrated non-inferiority:</w:t>
      </w:r>
    </w:p>
    <w:p w:rsidR="008B3975" w:rsidRDefault="008B3975" w:rsidP="00045951">
      <w:pPr>
        <w:pStyle w:val="ListBullet"/>
      </w:pPr>
      <w:r>
        <w:t xml:space="preserve">Event rate: </w:t>
      </w:r>
      <w:proofErr w:type="spellStart"/>
      <w:r>
        <w:t>apixaban</w:t>
      </w:r>
      <w:proofErr w:type="spellEnd"/>
      <w:r>
        <w:t xml:space="preserve"> (95% CI) 0.0226(0.0169, 0.0283), enoxaparin/warfarin 0.0269 (0.0208, 0.0331)</w:t>
      </w:r>
    </w:p>
    <w:p w:rsidR="008B3975" w:rsidRDefault="008B3975" w:rsidP="00045951">
      <w:pPr>
        <w:pStyle w:val="ListBullet"/>
      </w:pPr>
      <w:r>
        <w:t>RR (95% CI) in the primary efficacy populati</w:t>
      </w:r>
      <w:r w:rsidR="00045951">
        <w:t xml:space="preserve">on was 0.8390 (0.5965, 1.1802)  </w:t>
      </w:r>
      <w:r>
        <w:t>(p &lt;0.001 for non-inferiority, p=0.3128 for superiority)</w:t>
      </w:r>
    </w:p>
    <w:p w:rsidR="008B3975" w:rsidRDefault="008B3975" w:rsidP="00045951">
      <w:pPr>
        <w:pStyle w:val="ListBullet"/>
      </w:pPr>
      <w:r>
        <w:t>Risk difference</w:t>
      </w:r>
      <w:r w:rsidR="00127885">
        <w:t xml:space="preserve"> </w:t>
      </w:r>
      <w:r>
        <w:t>(95% CI)</w:t>
      </w:r>
      <w:r w:rsidR="00127885">
        <w:t xml:space="preserve"> </w:t>
      </w:r>
      <w:r>
        <w:t>was -0.0044 (-0.0128, 0.0040)</w:t>
      </w:r>
    </w:p>
    <w:p w:rsidR="008B3975" w:rsidRDefault="008B3975" w:rsidP="00045951">
      <w:r>
        <w:t xml:space="preserve">Consistent results were seen in the analysis in the per-protocol population. The time in therapeutic range (TTR) for INR 2.0 – 3.0 was 60.9%; INR was &lt; 2.0 22.9% of the time and &gt; 3.0 for 16.1% of the time. There was no centre TTR quartile by treatment interaction or index event stratum (PE or DVT) by treatment interaction. Comparative outcome events by baseline characteristic </w:t>
      </w:r>
      <w:r w:rsidR="00CC2965">
        <w:t>were</w:t>
      </w:r>
      <w:r>
        <w:t xml:space="preserve"> shown</w:t>
      </w:r>
      <w:r w:rsidR="00CC2965">
        <w:t>.</w:t>
      </w:r>
    </w:p>
    <w:p w:rsidR="008B3975" w:rsidRDefault="008B3975" w:rsidP="00045951">
      <w:pPr>
        <w:rPr>
          <w:rFonts w:asciiTheme="minorHAnsi" w:hAnsiTheme="minorHAnsi"/>
        </w:rPr>
      </w:pPr>
      <w:r>
        <w:rPr>
          <w:rFonts w:asciiTheme="minorHAnsi" w:hAnsiTheme="minorHAnsi"/>
        </w:rPr>
        <w:t>The results for the key secondary endpoints for the primary efficacy subjects were as follows:</w:t>
      </w:r>
    </w:p>
    <w:p w:rsidR="008B3975" w:rsidRDefault="008B3975" w:rsidP="00045951">
      <w:pPr>
        <w:pStyle w:val="ListBullet"/>
      </w:pPr>
      <w:r>
        <w:t xml:space="preserve">Recurrent symptomatic VTE and all-cause death: 84 episodes in the </w:t>
      </w:r>
      <w:proofErr w:type="spellStart"/>
      <w:r>
        <w:t>apixaban</w:t>
      </w:r>
      <w:proofErr w:type="spellEnd"/>
      <w:r>
        <w:t xml:space="preserve"> group, 104 in the enoxaparin/warfarin, RR (95% CI) 0.8151 (0.6146 to 1.0812), p = 0.1554</w:t>
      </w:r>
      <w:r w:rsidR="00045951">
        <w:t>.</w:t>
      </w:r>
    </w:p>
    <w:p w:rsidR="008B3975" w:rsidRDefault="008B3975" w:rsidP="00045951">
      <w:pPr>
        <w:pStyle w:val="ListBullet"/>
      </w:pPr>
      <w:r>
        <w:t xml:space="preserve">Event rate (95% CI) composite of recurrent symptomatic VTE and CV-related death: </w:t>
      </w:r>
      <w:r>
        <w:rPr>
          <w:lang w:val="en-US"/>
        </w:rPr>
        <w:t xml:space="preserve">0.0234 (0.0176 to 0.0292) in the </w:t>
      </w:r>
      <w:proofErr w:type="spellStart"/>
      <w:r>
        <w:rPr>
          <w:lang w:val="en-US"/>
        </w:rPr>
        <w:t>apixaban</w:t>
      </w:r>
      <w:proofErr w:type="spellEnd"/>
      <w:r>
        <w:rPr>
          <w:lang w:val="en-US"/>
        </w:rPr>
        <w:t xml:space="preserve"> group and 0.0292 (0.0228 to 0.0357) in the enoxaparin/warfarin</w:t>
      </w:r>
      <w:r w:rsidR="00045951">
        <w:rPr>
          <w:lang w:val="en-US"/>
        </w:rPr>
        <w:t>.</w:t>
      </w:r>
    </w:p>
    <w:p w:rsidR="008B3975" w:rsidRDefault="008B3975" w:rsidP="00045951">
      <w:pPr>
        <w:pStyle w:val="ListBullet"/>
      </w:pPr>
      <w:r>
        <w:t xml:space="preserve">Event rate (95% CI) composite of recurrent symptomatic VTE, VTE-related death and major bleeding: </w:t>
      </w:r>
      <w:r>
        <w:rPr>
          <w:lang w:val="en-US"/>
        </w:rPr>
        <w:t xml:space="preserve">0.0280 (0.0216 to 0.0343) in the </w:t>
      </w:r>
      <w:proofErr w:type="spellStart"/>
      <w:r>
        <w:rPr>
          <w:lang w:val="en-US"/>
        </w:rPr>
        <w:t>apixaban</w:t>
      </w:r>
      <w:proofErr w:type="spellEnd"/>
      <w:r>
        <w:rPr>
          <w:lang w:val="en-US"/>
        </w:rPr>
        <w:t xml:space="preserve"> group and 0.0448 (0.0369 to 0.0527) in the enoxaparin/warfarin</w:t>
      </w:r>
      <w:r w:rsidR="00045951">
        <w:rPr>
          <w:lang w:val="en-US"/>
        </w:rPr>
        <w:t>.</w:t>
      </w:r>
    </w:p>
    <w:p w:rsidR="008B3975" w:rsidRDefault="008B3975" w:rsidP="00045951">
      <w:pPr>
        <w:pStyle w:val="ListBullet"/>
      </w:pPr>
      <w:r>
        <w:t xml:space="preserve">Event rate (95% CI) symptomatic non-fatal DVT: </w:t>
      </w:r>
      <w:r>
        <w:rPr>
          <w:lang w:val="en-US"/>
        </w:rPr>
        <w:t xml:space="preserve">0.0084 (0.0049 to 0.0119) in the </w:t>
      </w:r>
      <w:proofErr w:type="spellStart"/>
      <w:r>
        <w:rPr>
          <w:lang w:val="en-US"/>
        </w:rPr>
        <w:t>apixaban</w:t>
      </w:r>
      <w:proofErr w:type="spellEnd"/>
      <w:r>
        <w:rPr>
          <w:lang w:val="en-US"/>
        </w:rPr>
        <w:t xml:space="preserve"> group and 0.0133 (0.0089 to 0.0177) in the enoxaparin/warfarin</w:t>
      </w:r>
      <w:r w:rsidR="00045951">
        <w:rPr>
          <w:lang w:val="en-US"/>
        </w:rPr>
        <w:t>.</w:t>
      </w:r>
    </w:p>
    <w:p w:rsidR="008B3975" w:rsidRDefault="008B3975" w:rsidP="00045951">
      <w:pPr>
        <w:pStyle w:val="ListBullet"/>
      </w:pPr>
      <w:r>
        <w:t xml:space="preserve">Event rate (95% CI) symptomatic non-fatal PE: </w:t>
      </w:r>
      <w:r>
        <w:rPr>
          <w:lang w:val="en-US"/>
        </w:rPr>
        <w:t xml:space="preserve">0.0104 (0.0065 to 0.0142) in the </w:t>
      </w:r>
      <w:proofErr w:type="spellStart"/>
      <w:r>
        <w:rPr>
          <w:lang w:val="en-US"/>
        </w:rPr>
        <w:t>apixaban</w:t>
      </w:r>
      <w:proofErr w:type="spellEnd"/>
      <w:r>
        <w:rPr>
          <w:lang w:val="en-US"/>
        </w:rPr>
        <w:t xml:space="preserve"> group and 0.0095 (0.0058 to 0.0132) in the enoxaparin/warfarin</w:t>
      </w:r>
      <w:r w:rsidR="00045951">
        <w:rPr>
          <w:lang w:val="en-US"/>
        </w:rPr>
        <w:t>.</w:t>
      </w:r>
    </w:p>
    <w:p w:rsidR="008B3975" w:rsidRDefault="008B3975" w:rsidP="00045951">
      <w:pPr>
        <w:pStyle w:val="ListBullet"/>
      </w:pPr>
      <w:r>
        <w:t xml:space="preserve">Event rate (95% CI) VTE-related death: </w:t>
      </w:r>
      <w:r>
        <w:rPr>
          <w:lang w:val="en-US"/>
        </w:rPr>
        <w:t xml:space="preserve">0.0046 (0.0020 to 0.0072) in the </w:t>
      </w:r>
      <w:proofErr w:type="spellStart"/>
      <w:r>
        <w:rPr>
          <w:lang w:val="en-US"/>
        </w:rPr>
        <w:t>apixaban</w:t>
      </w:r>
      <w:proofErr w:type="spellEnd"/>
      <w:r>
        <w:rPr>
          <w:lang w:val="en-US"/>
        </w:rPr>
        <w:t xml:space="preserve"> group and 0.0061 (0.0031 to 0.0091) in the </w:t>
      </w:r>
      <w:r w:rsidR="00045951">
        <w:rPr>
          <w:lang w:val="en-US"/>
        </w:rPr>
        <w:t>enoxaparin/warfarin.</w:t>
      </w:r>
    </w:p>
    <w:p w:rsidR="008B3975" w:rsidRDefault="008B3975" w:rsidP="00045951">
      <w:pPr>
        <w:pStyle w:val="ListBullet"/>
      </w:pPr>
      <w:r>
        <w:t xml:space="preserve">Event rate (95% CI) CV-related death: </w:t>
      </w:r>
      <w:r>
        <w:rPr>
          <w:lang w:val="en-US"/>
        </w:rPr>
        <w:t xml:space="preserve">0.0058 (0.0028 to 0.0087) in the </w:t>
      </w:r>
      <w:proofErr w:type="spellStart"/>
      <w:r>
        <w:rPr>
          <w:lang w:val="en-US"/>
        </w:rPr>
        <w:t>apixaban</w:t>
      </w:r>
      <w:proofErr w:type="spellEnd"/>
      <w:r>
        <w:rPr>
          <w:lang w:val="en-US"/>
        </w:rPr>
        <w:t xml:space="preserve"> group and 0.0087 (0.0052 to 0.0123) in the </w:t>
      </w:r>
      <w:r w:rsidR="00045951">
        <w:rPr>
          <w:lang w:val="en-US"/>
        </w:rPr>
        <w:t>enoxaparin/warfarin.</w:t>
      </w:r>
    </w:p>
    <w:p w:rsidR="008B3975" w:rsidRDefault="008B3975" w:rsidP="00045951">
      <w:pPr>
        <w:pStyle w:val="ListBullet"/>
      </w:pPr>
      <w:r>
        <w:lastRenderedPageBreak/>
        <w:t xml:space="preserve">Event rate (95% CI), all-cause death: </w:t>
      </w:r>
      <w:r>
        <w:rPr>
          <w:lang w:val="en-US"/>
        </w:rPr>
        <w:t xml:space="preserve">0.0157 (0.0109 to 0.0205) in the </w:t>
      </w:r>
      <w:proofErr w:type="spellStart"/>
      <w:r>
        <w:rPr>
          <w:lang w:val="en-US"/>
        </w:rPr>
        <w:t>apixaban</w:t>
      </w:r>
      <w:proofErr w:type="spellEnd"/>
      <w:r>
        <w:rPr>
          <w:lang w:val="en-US"/>
        </w:rPr>
        <w:t xml:space="preserve"> group and 0.0198 (0.0145 to 0.0251) in the </w:t>
      </w:r>
      <w:r w:rsidR="00045951">
        <w:rPr>
          <w:lang w:val="en-US"/>
        </w:rPr>
        <w:t>enoxaparin/warfarin.</w:t>
      </w:r>
    </w:p>
    <w:p w:rsidR="008B3975" w:rsidRDefault="008B3975" w:rsidP="00045951">
      <w:pPr>
        <w:pStyle w:val="ListBullet"/>
      </w:pPr>
      <w:r>
        <w:t xml:space="preserve">Event rate (95% CI) composite of recurrent symptomatic VTE, myocardial infarction, stroke, CV-related death, major bleeding, CRNMB: </w:t>
      </w:r>
      <w:r>
        <w:rPr>
          <w:lang w:val="en-US"/>
        </w:rPr>
        <w:t xml:space="preserve">0.0699 (0.0602 to 0.0205) in the </w:t>
      </w:r>
      <w:proofErr w:type="spellStart"/>
      <w:r>
        <w:rPr>
          <w:lang w:val="en-US"/>
        </w:rPr>
        <w:t>apixaban</w:t>
      </w:r>
      <w:proofErr w:type="spellEnd"/>
      <w:r>
        <w:rPr>
          <w:lang w:val="en-US"/>
        </w:rPr>
        <w:t xml:space="preserve"> group and 0.1261 (0.0145 to 0.0251) in the </w:t>
      </w:r>
      <w:r w:rsidR="00045951">
        <w:rPr>
          <w:lang w:val="en-US"/>
        </w:rPr>
        <w:t>enoxaparin/warfarin.</w:t>
      </w:r>
    </w:p>
    <w:p w:rsidR="008B3975" w:rsidRDefault="008B3975" w:rsidP="00045951">
      <w:r w:rsidRPr="00045951">
        <w:t xml:space="preserve">In the 30 day follow-up period event rates were similar between the treatment groups except for non-fatal PE which was more common in the </w:t>
      </w:r>
      <w:r w:rsidR="00045951" w:rsidRPr="00045951">
        <w:t>enoxaparin/warfarin</w:t>
      </w:r>
      <w:r w:rsidRPr="00045951">
        <w:t xml:space="preserve"> group: event rate (95% CI) 0.0007 (0.0000 to 0.0018) in the </w:t>
      </w:r>
      <w:proofErr w:type="spellStart"/>
      <w:r w:rsidRPr="00045951">
        <w:t>apixaban</w:t>
      </w:r>
      <w:proofErr w:type="spellEnd"/>
      <w:r w:rsidRPr="00045951">
        <w:t xml:space="preserve"> compared to 0.0033 (0.0012 to 0.0055) in the </w:t>
      </w:r>
      <w:r w:rsidR="00045951" w:rsidRPr="00045951">
        <w:t>enoxaparin/warfarin</w:t>
      </w:r>
      <w:r w:rsidRPr="00045951">
        <w:t>, p = 0.0345. The Kaplan-</w:t>
      </w:r>
      <w:r w:rsidRPr="00CC2965">
        <w:t xml:space="preserve">Meier plots (Figure </w:t>
      </w:r>
      <w:r w:rsidR="00CC2965" w:rsidRPr="00CC2965">
        <w:t>2</w:t>
      </w:r>
      <w:r w:rsidRPr="00CC2965">
        <w:t xml:space="preserve">) suggested a comparative benefit of </w:t>
      </w:r>
      <w:proofErr w:type="spellStart"/>
      <w:r w:rsidRPr="00CC2965">
        <w:t>apixaban</w:t>
      </w:r>
      <w:proofErr w:type="spellEnd"/>
      <w:r w:rsidRPr="00CC2965">
        <w:t xml:space="preserve"> over enoxaparin/warfarin from 30 to 180</w:t>
      </w:r>
      <w:r w:rsidRPr="00045951">
        <w:t xml:space="preserve"> days.</w:t>
      </w:r>
    </w:p>
    <w:p w:rsidR="00CC2965" w:rsidRDefault="00CC2965" w:rsidP="00B241FC">
      <w:pPr>
        <w:pStyle w:val="FigureTitle"/>
      </w:pPr>
      <w:r>
        <w:t>Figure 2: Kaplan-Meier Plot for Major Bleeding During the Treatment Period – Treated Subjects, Study CV185056</w:t>
      </w:r>
    </w:p>
    <w:p w:rsidR="00CC2965" w:rsidRDefault="00CC2965" w:rsidP="00B241FC">
      <w:pPr>
        <w:rPr>
          <w:sz w:val="17"/>
        </w:rPr>
      </w:pPr>
      <w:r>
        <w:rPr>
          <w:noProof/>
          <w:lang w:eastAsia="en-AU"/>
        </w:rPr>
        <w:drawing>
          <wp:inline distT="0" distB="0" distL="0" distR="0" wp14:anchorId="0BAB44E9" wp14:editId="447F4A8D">
            <wp:extent cx="5060192" cy="2666419"/>
            <wp:effectExtent l="0" t="0" r="7620" b="635"/>
            <wp:docPr id="18" name="Picture 18" descr="Figure 2: Kaplan-Meier Plot for Major Bleeding During the Treatment Period – Treated Subjects, Study CV18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l="6332" b="12184"/>
                    <a:stretch/>
                  </pic:blipFill>
                  <pic:spPr bwMode="auto">
                    <a:xfrm>
                      <a:off x="0" y="0"/>
                      <a:ext cx="5060530" cy="2666597"/>
                    </a:xfrm>
                    <a:prstGeom prst="rect">
                      <a:avLst/>
                    </a:prstGeom>
                    <a:noFill/>
                    <a:ln>
                      <a:noFill/>
                    </a:ln>
                    <a:extLst>
                      <a:ext uri="{53640926-AAD7-44D8-BBD7-CCE9431645EC}">
                        <a14:shadowObscured xmlns:a14="http://schemas.microsoft.com/office/drawing/2010/main"/>
                      </a:ext>
                    </a:extLst>
                  </pic:spPr>
                </pic:pic>
              </a:graphicData>
            </a:graphic>
          </wp:inline>
        </w:drawing>
      </w:r>
    </w:p>
    <w:p w:rsidR="00045951" w:rsidRPr="00045951" w:rsidRDefault="008B3975" w:rsidP="00045951">
      <w:pPr>
        <w:pStyle w:val="Heading5"/>
        <w:rPr>
          <w:rFonts w:eastAsia="MS Mincho"/>
        </w:rPr>
      </w:pPr>
      <w:r>
        <w:t>Study CV185057 (AMPLIFY – EXT)</w:t>
      </w:r>
    </w:p>
    <w:p w:rsidR="008B3975" w:rsidRPr="00045951" w:rsidRDefault="00045951" w:rsidP="00D26E85">
      <w:pPr>
        <w:rPr>
          <w:rFonts w:eastAsia="MS Mincho"/>
        </w:rPr>
      </w:pPr>
      <w:r>
        <w:t xml:space="preserve">This </w:t>
      </w:r>
      <w:r w:rsidR="008B3975" w:rsidRPr="00045951">
        <w:t xml:space="preserve">was a randomised, double-blind, placebo-controlled, parallel group Phase III study of two dosage regimens of </w:t>
      </w:r>
      <w:proofErr w:type="spellStart"/>
      <w:r w:rsidR="008B3975" w:rsidRPr="00045951">
        <w:t>apixaban</w:t>
      </w:r>
      <w:proofErr w:type="spellEnd"/>
      <w:r w:rsidR="008B3975" w:rsidRPr="00045951">
        <w:t xml:space="preserve"> in comparison with placebo in 2482 adult subjects with symptomatic proximal DVT or PE that was either provoked or at risk of recurrence that had completed approximately 6 to 12 months of standard anticoagulant therapy or had completed an assigned CV185056 study treatment. Treatment was for 12 months with a 1 month follow-up period. Subjects were excluded if they were pregnant or breastfeeding, had a provoked VTE event without likely recurrence, &gt; 12 months anticoagulation planned for the index event, active bleeding or high bleeding risk, subjects with cancer treated indefinitely with anticoagulation</w:t>
      </w:r>
      <w:r w:rsidR="008B3975">
        <w:t xml:space="preserve">, subjects with LMWH or warfarin contraindicated, those with another reason for anticoagulation including multiple episodes of unprovoked DVT and </w:t>
      </w:r>
      <w:proofErr w:type="spellStart"/>
      <w:r w:rsidR="008B3975">
        <w:t>prothrombotic</w:t>
      </w:r>
      <w:proofErr w:type="spellEnd"/>
      <w:r w:rsidR="008B3975">
        <w:t xml:space="preserve"> genotypes, bacterial endocarditis or uncontrolled hypertension, thrombocytopenia, anaemia (defined as </w:t>
      </w:r>
      <w:r>
        <w:t>haemoglobin (</w:t>
      </w:r>
      <w:proofErr w:type="spellStart"/>
      <w:r w:rsidR="008B3975">
        <w:t>Hb</w:t>
      </w:r>
      <w:proofErr w:type="spellEnd"/>
      <w:r>
        <w:t>)</w:t>
      </w:r>
      <w:r w:rsidR="008B3975">
        <w:t xml:space="preserve"> &lt;90 g/L), serum creatinine &gt; 221 µ</w:t>
      </w:r>
      <w:proofErr w:type="spellStart"/>
      <w:r w:rsidR="008B3975">
        <w:t>mol</w:t>
      </w:r>
      <w:proofErr w:type="spellEnd"/>
      <w:r w:rsidR="008B3975">
        <w:t xml:space="preserve">/l; </w:t>
      </w:r>
      <w:proofErr w:type="spellStart"/>
      <w:r>
        <w:t>CrCL</w:t>
      </w:r>
      <w:proofErr w:type="spellEnd"/>
      <w:r w:rsidR="008B3975">
        <w:t xml:space="preserve"> &lt; 25 mL/min ALT or AST &gt; 2</w:t>
      </w:r>
      <w:r>
        <w:t xml:space="preserve"> times</w:t>
      </w:r>
      <w:r w:rsidR="008B3975">
        <w:t xml:space="preserve"> ULN, total </w:t>
      </w:r>
      <w:r w:rsidR="00DC4B0E">
        <w:t>bilirubin (</w:t>
      </w:r>
      <w:r w:rsidR="008B3975">
        <w:t>BR</w:t>
      </w:r>
      <w:r w:rsidR="00DC4B0E">
        <w:t>)</w:t>
      </w:r>
      <w:r w:rsidR="008B3975">
        <w:t xml:space="preserve"> &gt; 1.5 </w:t>
      </w:r>
      <w:r>
        <w:t>times</w:t>
      </w:r>
      <w:r w:rsidR="008B3975">
        <w:t xml:space="preserve"> ULN. Prohibited therapies were the same as </w:t>
      </w:r>
      <w:r>
        <w:t>S</w:t>
      </w:r>
      <w:r w:rsidR="008B3975">
        <w:t xml:space="preserve">tudy CV185056. </w:t>
      </w:r>
      <w:r w:rsidR="008B3975" w:rsidRPr="00045951">
        <w:t xml:space="preserve">Subjects were randomised on a 1:1:1 ratio to </w:t>
      </w:r>
      <w:proofErr w:type="spellStart"/>
      <w:r w:rsidR="008B3975" w:rsidRPr="00045951">
        <w:t>apixaban</w:t>
      </w:r>
      <w:proofErr w:type="spellEnd"/>
      <w:r w:rsidR="008B3975" w:rsidRPr="00045951">
        <w:t xml:space="preserve"> 2.5 mg BD, </w:t>
      </w:r>
      <w:proofErr w:type="spellStart"/>
      <w:r w:rsidR="008B3975" w:rsidRPr="00045951">
        <w:t>apixaban</w:t>
      </w:r>
      <w:proofErr w:type="spellEnd"/>
      <w:r w:rsidR="008B3975" w:rsidRPr="00045951">
        <w:t xml:space="preserve"> 5 mg BD or placebo within 7 days of discontinuation of treatment for the index event. </w:t>
      </w:r>
      <w:r w:rsidR="008B3975">
        <w:t>Stratification was by index event type (DVT or PE ± DVT) and by previous treatment.</w:t>
      </w:r>
      <w:r w:rsidR="00127885">
        <w:t xml:space="preserve"> </w:t>
      </w:r>
      <w:r w:rsidR="008B3975" w:rsidRPr="00045951">
        <w:t xml:space="preserve">The subjects were 57.4% male and 85.3% </w:t>
      </w:r>
      <w:r>
        <w:t>W</w:t>
      </w:r>
      <w:r w:rsidR="008B3975" w:rsidRPr="00045951">
        <w:t xml:space="preserve">hite, and a median (IQR) age of 58 (46.0, 68.0) with 67.0% &lt; 65 years and 19.7% between 65 and 75 years. Approximately 70% had normal renal function, 21.6% had </w:t>
      </w:r>
      <w:proofErr w:type="spellStart"/>
      <w:r w:rsidR="008B3975" w:rsidRPr="00045951">
        <w:t>CrCL</w:t>
      </w:r>
      <w:proofErr w:type="spellEnd"/>
      <w:r w:rsidR="008B3975" w:rsidRPr="00045951">
        <w:t xml:space="preserve"> 50 &lt; </w:t>
      </w:r>
      <w:proofErr w:type="spellStart"/>
      <w:r>
        <w:t>CrCL</w:t>
      </w:r>
      <w:proofErr w:type="spellEnd"/>
      <w:r w:rsidR="008B3975" w:rsidRPr="00045951">
        <w:t xml:space="preserve"> </w:t>
      </w:r>
      <w:r w:rsidR="008B3975">
        <w:t>≤</w:t>
      </w:r>
      <w:r>
        <w:t xml:space="preserve"> </w:t>
      </w:r>
      <w:r w:rsidR="008B3975">
        <w:t>80 mL/min</w:t>
      </w:r>
      <w:r w:rsidR="008B3975" w:rsidRPr="00045951">
        <w:t>.</w:t>
      </w:r>
      <w:r w:rsidR="00127885" w:rsidRPr="00045951">
        <w:t xml:space="preserve"> </w:t>
      </w:r>
      <w:r w:rsidR="008B3975" w:rsidRPr="00045951">
        <w:t xml:space="preserve">Of those, 2051 completed the study (726(86.4%)/684 (84.1%)/641(77.3%) in the 2.5 BD/5mg BD placebo). Prior VKAs were used by </w:t>
      </w:r>
      <w:r w:rsidR="008B3975" w:rsidRPr="00045951">
        <w:lastRenderedPageBreak/>
        <w:t xml:space="preserve">64.3%/64.1%/62.7% of subjects in the </w:t>
      </w:r>
      <w:proofErr w:type="spellStart"/>
      <w:r w:rsidR="008B3975" w:rsidRPr="00045951">
        <w:t>apixaban</w:t>
      </w:r>
      <w:proofErr w:type="spellEnd"/>
      <w:r w:rsidR="008B3975" w:rsidRPr="00045951">
        <w:t xml:space="preserve"> 2.5 mg BD/</w:t>
      </w:r>
      <w:proofErr w:type="spellStart"/>
      <w:r w:rsidR="008B3975" w:rsidRPr="00045951">
        <w:t>apixaban</w:t>
      </w:r>
      <w:proofErr w:type="spellEnd"/>
      <w:r w:rsidR="008B3975" w:rsidRPr="00045951">
        <w:t xml:space="preserve"> 5 mg BD/ placebo groups, respectively, and prior antiplatelet agents in approximately 13% overall. Approximately 84% of subjects took one or more concomitant medications in the study. Approximately </w:t>
      </w:r>
      <w:r>
        <w:t>one third</w:t>
      </w:r>
      <w:r w:rsidR="008B3975" w:rsidRPr="00045951">
        <w:t xml:space="preserve"> of the subjects in each treatment group had participated in Study CV185056 and approximately </w:t>
      </w:r>
      <w:r>
        <w:t>half</w:t>
      </w:r>
      <w:r w:rsidR="008B3975" w:rsidRPr="00045951">
        <w:t xml:space="preserve"> of those had received </w:t>
      </w:r>
      <w:proofErr w:type="spellStart"/>
      <w:r w:rsidR="008B3975" w:rsidRPr="00045951">
        <w:t>apixaban</w:t>
      </w:r>
      <w:proofErr w:type="spellEnd"/>
      <w:r w:rsidR="008B3975" w:rsidRPr="00045951">
        <w:t>.</w:t>
      </w:r>
      <w:r w:rsidR="00127885" w:rsidRPr="00045951">
        <w:t xml:space="preserve"> </w:t>
      </w:r>
      <w:r w:rsidR="008B3975" w:rsidRPr="00045951">
        <w:t xml:space="preserve">The diagnostic criteria for the index event were similar to </w:t>
      </w:r>
      <w:r w:rsidR="00D26E85">
        <w:t>S</w:t>
      </w:r>
      <w:r w:rsidR="008B3975" w:rsidRPr="00045951">
        <w:t>tudy CV185056.</w:t>
      </w:r>
    </w:p>
    <w:p w:rsidR="008B3975" w:rsidRDefault="008B3975" w:rsidP="00D26E85">
      <w:r>
        <w:t xml:space="preserve">The study had a 90% power with a level of significance of 0.05 to detect a RR of 0.4135 for the comparison of </w:t>
      </w:r>
      <w:proofErr w:type="spellStart"/>
      <w:r>
        <w:t>apixaban</w:t>
      </w:r>
      <w:proofErr w:type="spellEnd"/>
      <w:r>
        <w:t xml:space="preserve"> and placebo at 12 months. Of the 840/811/826 subjects randomised to the 2.5 mg BD/5 mg BD/placebo groups, respectively, 726/684/641 completed the study. Discontinuations due to DVT occurred in 0.6%/1.0%/6.9% subjects randomised to the 2.5 mg BD/5 mg BD/placebo groups, respectively, due to PE in 0.55%/0.2%/2.2% subjects randomised to the 2.5 mg BD/5 mg BD/placebo groups, respectively and due to bleeding in 1.0%/1.0%/0.4 subjects randomised to the 2.5 mg BD/5 mg BD/placebo groups, respectively.</w:t>
      </w:r>
    </w:p>
    <w:p w:rsidR="008B3975" w:rsidRDefault="008B3975" w:rsidP="00D26E85">
      <w:r>
        <w:t>The efficacy analysis was based on the ITT population with imputation of events for missing data. The primary efficacy outcome was the incidence of an adjudicated composite of symptomatic, recurrent VTE (nonfatal DVT or nonfatal PE) or all-cause death:</w:t>
      </w:r>
    </w:p>
    <w:p w:rsidR="008B3975" w:rsidRDefault="008B3975" w:rsidP="00D26E85">
      <w:pPr>
        <w:pStyle w:val="ListBullet"/>
      </w:pPr>
      <w:r>
        <w:rPr>
          <w:b/>
        </w:rPr>
        <w:t>2.5 mg BD</w:t>
      </w:r>
      <w:r>
        <w:t>: 32 events, event rate 0.0381 (0.0252, 0.0510), RR (95% CI) compared to placebo 0.3283 (0.2225, 0.4844), risk difference (95% CI) compared to placebo -</w:t>
      </w:r>
      <w:r w:rsidR="00D26E85">
        <w:t> </w:t>
      </w:r>
      <w:r>
        <w:t>.0779 (-0.1032, -0.0526)</w:t>
      </w:r>
    </w:p>
    <w:p w:rsidR="008B3975" w:rsidRDefault="008B3975" w:rsidP="00D26E85">
      <w:pPr>
        <w:pStyle w:val="ListBullet"/>
      </w:pPr>
      <w:r>
        <w:rPr>
          <w:b/>
        </w:rPr>
        <w:t>5 mg BD</w:t>
      </w:r>
      <w:r>
        <w:t xml:space="preserve">: 34 events, event rate 0.0418 (0.0281, 0.0556), RR (95% CI) compared to placebo 0.3615 (0.2475, 0.5281), risk difference (95% CI) compared to placebo </w:t>
      </w:r>
      <w:r w:rsidR="00D26E85">
        <w:noBreakHyphen/>
      </w:r>
      <w:r>
        <w:t>0.0740 (-0.097, -0.0482)</w:t>
      </w:r>
    </w:p>
    <w:p w:rsidR="008B3975" w:rsidRDefault="008B3975" w:rsidP="00D26E85">
      <w:pPr>
        <w:pStyle w:val="ListBullet"/>
      </w:pPr>
      <w:r>
        <w:rPr>
          <w:b/>
        </w:rPr>
        <w:t>Placebo</w:t>
      </w:r>
      <w:r>
        <w:t>: 96 events, event rate 0.1158 (0.0940, 0.01376).</w:t>
      </w:r>
    </w:p>
    <w:p w:rsidR="008B3975" w:rsidRDefault="008B3975" w:rsidP="00D26E85">
      <w:r>
        <w:t>The results for the secondary efficacy outcomes were:</w:t>
      </w:r>
    </w:p>
    <w:p w:rsidR="008B3975" w:rsidRDefault="008B3975" w:rsidP="00D26E85">
      <w:pPr>
        <w:pStyle w:val="ListBullet"/>
      </w:pPr>
      <w:r w:rsidRPr="00D26E85">
        <w:rPr>
          <w:lang w:val="en-US"/>
        </w:rPr>
        <w:t xml:space="preserve">Composite of recurrent symptomatic VTE or VTE-related death: event rate (95% CI) 0.0321 (0.0202 to 0.0441) for </w:t>
      </w:r>
      <w:proofErr w:type="spellStart"/>
      <w:r w:rsidRPr="00D26E85">
        <w:rPr>
          <w:lang w:val="en-US"/>
        </w:rPr>
        <w:t>apixaban</w:t>
      </w:r>
      <w:proofErr w:type="spellEnd"/>
      <w:r w:rsidRPr="00D26E85">
        <w:rPr>
          <w:lang w:val="en-US"/>
        </w:rPr>
        <w:t xml:space="preserve"> 2.5 mg, 0.0418 (0.0281 to 0.0556) for </w:t>
      </w:r>
      <w:proofErr w:type="spellStart"/>
      <w:r w:rsidRPr="00D26E85">
        <w:rPr>
          <w:lang w:val="en-US"/>
        </w:rPr>
        <w:t>apixaban</w:t>
      </w:r>
      <w:proofErr w:type="spellEnd"/>
      <w:r w:rsidRPr="00D26E85">
        <w:rPr>
          <w:lang w:val="en-US"/>
        </w:rPr>
        <w:t xml:space="preserve"> 5 mg and 0.1110 (0.0896 to 0.1324) for placebo. Risk difference (95% CI) versus placebo -0.0790 (-0.1035 to -0.0545) for </w:t>
      </w:r>
      <w:proofErr w:type="spellStart"/>
      <w:r w:rsidRPr="00D26E85">
        <w:rPr>
          <w:lang w:val="en-US"/>
        </w:rPr>
        <w:t>apixaban</w:t>
      </w:r>
      <w:proofErr w:type="spellEnd"/>
      <w:r w:rsidRPr="00D26E85">
        <w:rPr>
          <w:lang w:val="en-US"/>
        </w:rPr>
        <w:t xml:space="preserve"> 2.5 mg and -0.0691</w:t>
      </w:r>
      <w:r w:rsidR="00D26E85" w:rsidRPr="00D26E85">
        <w:rPr>
          <w:lang w:val="en-US"/>
        </w:rPr>
        <w:t xml:space="preserve"> </w:t>
      </w:r>
      <w:r w:rsidRPr="00D26E85">
        <w:rPr>
          <w:lang w:val="en-US"/>
        </w:rPr>
        <w:t xml:space="preserve">(-0.0945 to -0.0437) for </w:t>
      </w:r>
      <w:proofErr w:type="spellStart"/>
      <w:r w:rsidRPr="00D26E85">
        <w:rPr>
          <w:lang w:val="en-US"/>
        </w:rPr>
        <w:t>apixaban</w:t>
      </w:r>
      <w:proofErr w:type="spellEnd"/>
      <w:r w:rsidRPr="00D26E85">
        <w:rPr>
          <w:lang w:val="en-US"/>
        </w:rPr>
        <w:t xml:space="preserve"> 5 mg, p &lt;0.0001.</w:t>
      </w:r>
    </w:p>
    <w:p w:rsidR="008B3975" w:rsidRDefault="008B3975" w:rsidP="00D26E85">
      <w:pPr>
        <w:pStyle w:val="ListBullet"/>
      </w:pPr>
      <w:r>
        <w:t>Composite</w:t>
      </w:r>
      <w:r>
        <w:rPr>
          <w:lang w:val="en-US"/>
        </w:rPr>
        <w:t xml:space="preserve"> of recurrent symptomatic VTE or CV</w:t>
      </w:r>
      <w:r w:rsidR="00D26E85">
        <w:rPr>
          <w:lang w:val="en-US"/>
        </w:rPr>
        <w:t xml:space="preserve"> </w:t>
      </w:r>
      <w:r>
        <w:rPr>
          <w:lang w:val="en-US"/>
        </w:rPr>
        <w:t xml:space="preserve">related death (with imputation): event rate (95% CI) 0.0167 (0.0080 to 0.0253) for </w:t>
      </w:r>
      <w:proofErr w:type="spellStart"/>
      <w:r>
        <w:rPr>
          <w:lang w:val="en-US"/>
        </w:rPr>
        <w:t>apixaban</w:t>
      </w:r>
      <w:proofErr w:type="spellEnd"/>
      <w:r>
        <w:rPr>
          <w:lang w:val="en-US"/>
        </w:rPr>
        <w:t xml:space="preserve"> 2.5 mg, 0.0172 (0.0083 to 0.0262) for </w:t>
      </w:r>
      <w:proofErr w:type="spellStart"/>
      <w:r>
        <w:rPr>
          <w:lang w:val="en-US"/>
        </w:rPr>
        <w:t>apixaban</w:t>
      </w:r>
      <w:proofErr w:type="spellEnd"/>
      <w:r>
        <w:rPr>
          <w:lang w:val="en-US"/>
        </w:rPr>
        <w:t xml:space="preserve"> 5 mg and 0.0881 (0.0688 to 0.1073) for placebo. Risk difference (95% CI) versus placebo -0.0715 (-0.0926 to -0.0504) for </w:t>
      </w:r>
      <w:proofErr w:type="spellStart"/>
      <w:r>
        <w:rPr>
          <w:lang w:val="en-US"/>
        </w:rPr>
        <w:t>apixaban</w:t>
      </w:r>
      <w:proofErr w:type="spellEnd"/>
      <w:r>
        <w:rPr>
          <w:lang w:val="en-US"/>
        </w:rPr>
        <w:t xml:space="preserve"> 2.5 mg and -0.0700 (-0.0912 to -0.0489) for </w:t>
      </w:r>
      <w:proofErr w:type="spellStart"/>
      <w:r>
        <w:rPr>
          <w:lang w:val="en-US"/>
        </w:rPr>
        <w:t>apixaban</w:t>
      </w:r>
      <w:proofErr w:type="spellEnd"/>
      <w:r>
        <w:rPr>
          <w:lang w:val="en-US"/>
        </w:rPr>
        <w:t xml:space="preserve"> 5 mg, p &lt;0.0001.</w:t>
      </w:r>
    </w:p>
    <w:p w:rsidR="008B3975" w:rsidRPr="00D26E85" w:rsidRDefault="008B3975" w:rsidP="00D26E85">
      <w:pPr>
        <w:pStyle w:val="ListBullet"/>
        <w:rPr>
          <w:lang w:val="en-US"/>
        </w:rPr>
      </w:pPr>
      <w:r w:rsidRPr="00D26E85">
        <w:rPr>
          <w:lang w:val="en-US"/>
        </w:rPr>
        <w:t xml:space="preserve">Symptomatic nonfatal DVT: event rate (95% CI) 0.0226 (0.0126 to 0.0327) for </w:t>
      </w:r>
      <w:proofErr w:type="spellStart"/>
      <w:r w:rsidRPr="00D26E85">
        <w:rPr>
          <w:lang w:val="en-US"/>
        </w:rPr>
        <w:t>apixaban</w:t>
      </w:r>
      <w:proofErr w:type="spellEnd"/>
      <w:r w:rsidRPr="00D26E85">
        <w:rPr>
          <w:lang w:val="en-US"/>
        </w:rPr>
        <w:t xml:space="preserve"> 2.5 mg, 0.0344 (0.0219 to 0.0470) for </w:t>
      </w:r>
      <w:proofErr w:type="spellStart"/>
      <w:r w:rsidRPr="00D26E85">
        <w:rPr>
          <w:lang w:val="en-US"/>
        </w:rPr>
        <w:t>apixaban</w:t>
      </w:r>
      <w:proofErr w:type="spellEnd"/>
      <w:r w:rsidRPr="00D26E85">
        <w:rPr>
          <w:lang w:val="en-US"/>
        </w:rPr>
        <w:t xml:space="preserve"> 5 mg and 0.0869 (0.0677 to 0.1060) for placebo.</w:t>
      </w:r>
      <w:r w:rsidR="00127885" w:rsidRPr="00D26E85">
        <w:rPr>
          <w:lang w:val="en-US"/>
        </w:rPr>
        <w:t xml:space="preserve"> </w:t>
      </w:r>
      <w:r w:rsidRPr="00D26E85">
        <w:rPr>
          <w:lang w:val="en-US"/>
        </w:rPr>
        <w:t xml:space="preserve">Risk difference (95% CI) versus placebo -0.0642 (-0.0858 to </w:t>
      </w:r>
      <w:r w:rsidR="00D26E85" w:rsidRPr="00D26E85">
        <w:rPr>
          <w:lang w:val="en-US"/>
        </w:rPr>
        <w:noBreakHyphen/>
      </w:r>
      <w:r w:rsidRPr="00D26E85">
        <w:rPr>
          <w:lang w:val="en-US"/>
        </w:rPr>
        <w:t xml:space="preserve">0.0426) for </w:t>
      </w:r>
      <w:proofErr w:type="spellStart"/>
      <w:r w:rsidRPr="00D26E85">
        <w:rPr>
          <w:lang w:val="en-US"/>
        </w:rPr>
        <w:t>apixaban</w:t>
      </w:r>
      <w:proofErr w:type="spellEnd"/>
      <w:r w:rsidRPr="00D26E85">
        <w:rPr>
          <w:lang w:val="en-US"/>
        </w:rPr>
        <w:t xml:space="preserve"> 2.5 mg and -0.0523 (-0.0752 to -0.0294) for </w:t>
      </w:r>
      <w:proofErr w:type="spellStart"/>
      <w:r w:rsidRPr="00D26E85">
        <w:rPr>
          <w:lang w:val="en-US"/>
        </w:rPr>
        <w:t>apixaban</w:t>
      </w:r>
      <w:proofErr w:type="spellEnd"/>
      <w:r w:rsidRPr="00D26E85">
        <w:rPr>
          <w:lang w:val="en-US"/>
        </w:rPr>
        <w:t xml:space="preserve"> 5 mg</w:t>
      </w:r>
      <w:proofErr w:type="gramStart"/>
      <w:r w:rsidRPr="00D26E85">
        <w:rPr>
          <w:lang w:val="en-US"/>
        </w:rPr>
        <w:t>,</w:t>
      </w:r>
      <w:r w:rsidR="00D26E85" w:rsidRPr="00D26E85">
        <w:rPr>
          <w:lang w:val="en-US"/>
        </w:rPr>
        <w:t xml:space="preserve"> </w:t>
      </w:r>
      <w:r w:rsidRPr="00D26E85">
        <w:rPr>
          <w:lang w:val="en-US"/>
        </w:rPr>
        <w:t xml:space="preserve"> p</w:t>
      </w:r>
      <w:proofErr w:type="gramEnd"/>
      <w:r w:rsidRPr="00D26E85">
        <w:rPr>
          <w:lang w:val="en-US"/>
        </w:rPr>
        <w:t xml:space="preserve"> &lt;0.0001.</w:t>
      </w:r>
    </w:p>
    <w:p w:rsidR="008B3975" w:rsidRPr="00D26E85" w:rsidRDefault="008B3975" w:rsidP="00D26E85">
      <w:pPr>
        <w:pStyle w:val="ListBullet"/>
        <w:rPr>
          <w:lang w:val="en-US"/>
        </w:rPr>
      </w:pPr>
      <w:r w:rsidRPr="00D26E85">
        <w:rPr>
          <w:lang w:val="en-US"/>
        </w:rPr>
        <w:t xml:space="preserve">Symptomatic nonfatal PE: event rate (95% CI) 0.0274 (0.0163 to 0.0384) for </w:t>
      </w:r>
      <w:proofErr w:type="spellStart"/>
      <w:r w:rsidRPr="00D26E85">
        <w:rPr>
          <w:lang w:val="en-US"/>
        </w:rPr>
        <w:t>apixaban</w:t>
      </w:r>
      <w:proofErr w:type="spellEnd"/>
      <w:r w:rsidRPr="00D26E85">
        <w:rPr>
          <w:lang w:val="en-US"/>
        </w:rPr>
        <w:t xml:space="preserve"> 2.5 mg, 0.0308 (0.0189 to 0.0426), for </w:t>
      </w:r>
      <w:proofErr w:type="spellStart"/>
      <w:r w:rsidRPr="00D26E85">
        <w:rPr>
          <w:lang w:val="en-US"/>
        </w:rPr>
        <w:t>apixaban</w:t>
      </w:r>
      <w:proofErr w:type="spellEnd"/>
      <w:r w:rsidRPr="00D26E85">
        <w:rPr>
          <w:lang w:val="en-US"/>
        </w:rPr>
        <w:t xml:space="preserve"> 5 mg and 0.0446 (0.0306 to 0.0587) for placebo.</w:t>
      </w:r>
      <w:r w:rsidR="00127885" w:rsidRPr="00D26E85">
        <w:rPr>
          <w:lang w:val="en-US"/>
        </w:rPr>
        <w:t xml:space="preserve"> </w:t>
      </w:r>
      <w:r w:rsidRPr="00D26E85">
        <w:rPr>
          <w:lang w:val="en-US"/>
        </w:rPr>
        <w:t xml:space="preserve">Risk difference (95% CI) versus placebo -0.0162 (-0.0337 to 0.0013) for </w:t>
      </w:r>
      <w:proofErr w:type="spellStart"/>
      <w:r w:rsidRPr="00D26E85">
        <w:rPr>
          <w:lang w:val="en-US"/>
        </w:rPr>
        <w:t>apixaban</w:t>
      </w:r>
      <w:proofErr w:type="spellEnd"/>
      <w:r w:rsidRPr="00D26E85">
        <w:rPr>
          <w:lang w:val="en-US"/>
        </w:rPr>
        <w:t xml:space="preserve"> 2.5 mg and -0.0127 (-0.0308 to 0.0054) for </w:t>
      </w:r>
      <w:proofErr w:type="spellStart"/>
      <w:r w:rsidRPr="00D26E85">
        <w:rPr>
          <w:lang w:val="en-US"/>
        </w:rPr>
        <w:t>apixaban</w:t>
      </w:r>
      <w:proofErr w:type="spellEnd"/>
      <w:r w:rsidRPr="00D26E85">
        <w:rPr>
          <w:lang w:val="en-US"/>
        </w:rPr>
        <w:t xml:space="preserve"> 5 mg,</w:t>
      </w:r>
      <w:r w:rsidR="00D26E85" w:rsidRPr="00D26E85">
        <w:rPr>
          <w:lang w:val="en-US"/>
        </w:rPr>
        <w:t xml:space="preserve"> </w:t>
      </w:r>
      <w:r w:rsidRPr="00D26E85">
        <w:rPr>
          <w:lang w:val="en-US"/>
        </w:rPr>
        <w:t>p &gt;0.05.</w:t>
      </w:r>
    </w:p>
    <w:p w:rsidR="008B3975" w:rsidRDefault="00D26E85" w:rsidP="00D26E85">
      <w:pPr>
        <w:pStyle w:val="ListBullet"/>
        <w:rPr>
          <w:lang w:val="en-US"/>
        </w:rPr>
      </w:pPr>
      <w:r>
        <w:rPr>
          <w:lang w:val="en-US"/>
        </w:rPr>
        <w:t xml:space="preserve">VTE </w:t>
      </w:r>
      <w:r w:rsidR="008B3975">
        <w:rPr>
          <w:lang w:val="en-US"/>
        </w:rPr>
        <w:t xml:space="preserve">related death: event rate (95% CI) 0.0202 (0.0107 to 0.0298) for </w:t>
      </w:r>
      <w:proofErr w:type="spellStart"/>
      <w:r w:rsidR="008B3975">
        <w:rPr>
          <w:lang w:val="en-US"/>
        </w:rPr>
        <w:t>apixaban</w:t>
      </w:r>
      <w:proofErr w:type="spellEnd"/>
      <w:r w:rsidR="008B3975">
        <w:rPr>
          <w:lang w:val="en-US"/>
        </w:rPr>
        <w:t xml:space="preserve"> 2.5 mg, 0.0295 (0.0179 to 0.0412) for </w:t>
      </w:r>
      <w:proofErr w:type="spellStart"/>
      <w:r w:rsidR="008B3975">
        <w:rPr>
          <w:lang w:val="en-US"/>
        </w:rPr>
        <w:t>apixaban</w:t>
      </w:r>
      <w:proofErr w:type="spellEnd"/>
      <w:r w:rsidR="008B3975">
        <w:rPr>
          <w:lang w:val="en-US"/>
        </w:rPr>
        <w:t xml:space="preserve"> 5 mg and 0.0314 (0.0195 to 0.0432) for placebo. Risk difference (95% CI) versus placebo -0.0113 (-0.0266 to 0.0039) for </w:t>
      </w:r>
      <w:proofErr w:type="spellStart"/>
      <w:r w:rsidR="008B3975">
        <w:rPr>
          <w:lang w:val="en-US"/>
        </w:rPr>
        <w:t>apixaban</w:t>
      </w:r>
      <w:proofErr w:type="spellEnd"/>
      <w:r w:rsidR="008B3975">
        <w:rPr>
          <w:lang w:val="en-US"/>
        </w:rPr>
        <w:t xml:space="preserve"> 2.5 mg and -0.0019 (-0.0185 to 0.0148) for </w:t>
      </w:r>
      <w:proofErr w:type="spellStart"/>
      <w:r w:rsidR="008B3975">
        <w:rPr>
          <w:lang w:val="en-US"/>
        </w:rPr>
        <w:t>apixaban</w:t>
      </w:r>
      <w:proofErr w:type="spellEnd"/>
      <w:r w:rsidR="008B3975">
        <w:rPr>
          <w:lang w:val="en-US"/>
        </w:rPr>
        <w:t xml:space="preserve"> 5 mg, p &gt;0.05.</w:t>
      </w:r>
    </w:p>
    <w:p w:rsidR="008B3975" w:rsidRDefault="00D26E85" w:rsidP="00D26E85">
      <w:pPr>
        <w:pStyle w:val="ListBullet"/>
        <w:rPr>
          <w:lang w:val="en-US"/>
        </w:rPr>
      </w:pPr>
      <w:r>
        <w:rPr>
          <w:lang w:val="en-US"/>
        </w:rPr>
        <w:lastRenderedPageBreak/>
        <w:t xml:space="preserve">CV </w:t>
      </w:r>
      <w:r w:rsidR="008B3975">
        <w:rPr>
          <w:lang w:val="en-US"/>
        </w:rPr>
        <w:t xml:space="preserve">related death: event rate (95% CI) 0.0202 (0.0107 to 0.0298) for </w:t>
      </w:r>
      <w:proofErr w:type="spellStart"/>
      <w:r w:rsidR="008B3975">
        <w:rPr>
          <w:lang w:val="en-US"/>
        </w:rPr>
        <w:t>apixaban</w:t>
      </w:r>
      <w:proofErr w:type="spellEnd"/>
      <w:r w:rsidR="008B3975">
        <w:rPr>
          <w:lang w:val="en-US"/>
        </w:rPr>
        <w:t xml:space="preserve"> 2.5 mg, 0.0295 (0.0179 to 0.0412) for </w:t>
      </w:r>
      <w:proofErr w:type="spellStart"/>
      <w:r w:rsidR="008B3975">
        <w:rPr>
          <w:lang w:val="en-US"/>
        </w:rPr>
        <w:t>apixaban</w:t>
      </w:r>
      <w:proofErr w:type="spellEnd"/>
      <w:r w:rsidR="008B3975">
        <w:rPr>
          <w:lang w:val="en-US"/>
        </w:rPr>
        <w:t xml:space="preserve"> 5 mg and 0.0350 (0.0225 to 0.0475) for placebo.</w:t>
      </w:r>
      <w:r w:rsidR="00127885">
        <w:rPr>
          <w:lang w:val="en-US"/>
        </w:rPr>
        <w:t xml:space="preserve"> </w:t>
      </w:r>
      <w:r w:rsidR="008B3975">
        <w:rPr>
          <w:lang w:val="en-US"/>
        </w:rPr>
        <w:t xml:space="preserve">Risk difference (95% CI) versus placebo -0.0145 (-0.0303 to 0.0012) for </w:t>
      </w:r>
      <w:proofErr w:type="spellStart"/>
      <w:r w:rsidR="008B3975">
        <w:rPr>
          <w:lang w:val="en-US"/>
        </w:rPr>
        <w:t>apixaban</w:t>
      </w:r>
      <w:proofErr w:type="spellEnd"/>
      <w:r w:rsidR="008B3975">
        <w:rPr>
          <w:lang w:val="en-US"/>
        </w:rPr>
        <w:t xml:space="preserve"> 2.5 mg and -0.0052 (-0.0223 to 0.0119) for </w:t>
      </w:r>
      <w:proofErr w:type="spellStart"/>
      <w:r w:rsidR="008B3975">
        <w:rPr>
          <w:lang w:val="en-US"/>
        </w:rPr>
        <w:t>apixaban</w:t>
      </w:r>
      <w:proofErr w:type="spellEnd"/>
      <w:r w:rsidR="008B3975">
        <w:rPr>
          <w:lang w:val="en-US"/>
        </w:rPr>
        <w:t xml:space="preserve"> 5 mg, p &gt;0.05.</w:t>
      </w:r>
    </w:p>
    <w:p w:rsidR="008B3975" w:rsidRDefault="00D26E85" w:rsidP="00D26E85">
      <w:pPr>
        <w:pStyle w:val="ListBullet"/>
        <w:rPr>
          <w:lang w:val="en-US"/>
        </w:rPr>
      </w:pPr>
      <w:r>
        <w:rPr>
          <w:lang w:val="en-US"/>
        </w:rPr>
        <w:t>All-</w:t>
      </w:r>
      <w:r w:rsidR="008B3975">
        <w:rPr>
          <w:lang w:val="en-US"/>
        </w:rPr>
        <w:t xml:space="preserve">cause death: event rate (95% CI) 0.0262 (0.0154 to 0.0370) for </w:t>
      </w:r>
      <w:proofErr w:type="spellStart"/>
      <w:r w:rsidR="008B3975">
        <w:rPr>
          <w:lang w:val="en-US"/>
        </w:rPr>
        <w:t>apixaban</w:t>
      </w:r>
      <w:proofErr w:type="spellEnd"/>
      <w:r w:rsidR="008B3975">
        <w:rPr>
          <w:lang w:val="en-US"/>
        </w:rPr>
        <w:t xml:space="preserve"> 2.5 mg, 0.0308 (0.0189 to 0.0426) for </w:t>
      </w:r>
      <w:proofErr w:type="spellStart"/>
      <w:r w:rsidR="008B3975">
        <w:rPr>
          <w:lang w:val="en-US"/>
        </w:rPr>
        <w:t>apixaban</w:t>
      </w:r>
      <w:proofErr w:type="spellEnd"/>
      <w:r w:rsidR="008B3975">
        <w:rPr>
          <w:lang w:val="en-US"/>
        </w:rPr>
        <w:t xml:space="preserve"> 5 mg and 0.0398 (0.0265 to 0.0531) for placebo. Risk difference (95% CI) versus placebo -0.0131 (-0.0303 to 0.0041) for </w:t>
      </w:r>
      <w:proofErr w:type="spellStart"/>
      <w:r w:rsidR="008B3975">
        <w:rPr>
          <w:lang w:val="en-US"/>
        </w:rPr>
        <w:t>apixaban</w:t>
      </w:r>
      <w:proofErr w:type="spellEnd"/>
      <w:r w:rsidR="008B3975">
        <w:rPr>
          <w:lang w:val="en-US"/>
        </w:rPr>
        <w:t xml:space="preserve"> 2.5 mg and -0.0085 (-0.0263 to 0.0094) for </w:t>
      </w:r>
      <w:proofErr w:type="spellStart"/>
      <w:r w:rsidR="008B3975">
        <w:rPr>
          <w:lang w:val="en-US"/>
        </w:rPr>
        <w:t>apixaban</w:t>
      </w:r>
      <w:proofErr w:type="spellEnd"/>
      <w:r w:rsidR="008B3975">
        <w:rPr>
          <w:lang w:val="en-US"/>
        </w:rPr>
        <w:t xml:space="preserve"> 5 mg, p &gt;0.05.</w:t>
      </w:r>
    </w:p>
    <w:p w:rsidR="008B3975" w:rsidRDefault="008B3975" w:rsidP="00D26E85">
      <w:pPr>
        <w:rPr>
          <w:lang w:val="en-US"/>
        </w:rPr>
      </w:pPr>
      <w:r>
        <w:t xml:space="preserve">The </w:t>
      </w:r>
      <w:r>
        <w:rPr>
          <w:lang w:val="en-US"/>
        </w:rPr>
        <w:t xml:space="preserve">Kaplan-Meier indicated a sustained treatment effect during the 12 month treatment </w:t>
      </w:r>
      <w:r w:rsidRPr="00CC2965">
        <w:rPr>
          <w:lang w:val="en-US"/>
        </w:rPr>
        <w:t xml:space="preserve">period (Figure </w:t>
      </w:r>
      <w:r w:rsidR="00CC2965" w:rsidRPr="00CC2965">
        <w:rPr>
          <w:lang w:val="en-US"/>
        </w:rPr>
        <w:t>3</w:t>
      </w:r>
      <w:r w:rsidRPr="00CC2965">
        <w:rPr>
          <w:lang w:val="en-US"/>
        </w:rPr>
        <w:t>).</w:t>
      </w:r>
    </w:p>
    <w:p w:rsidR="00CC2965" w:rsidRPr="00106E9F" w:rsidRDefault="00CC2965" w:rsidP="00B241FC">
      <w:pPr>
        <w:pStyle w:val="FigureTitle"/>
      </w:pPr>
      <w:r w:rsidRPr="00106E9F">
        <w:t xml:space="preserve">Figure </w:t>
      </w:r>
      <w:r>
        <w:t>3:</w:t>
      </w:r>
      <w:r w:rsidRPr="00106E9F">
        <w:t xml:space="preserve"> Kaplan-Meier Plot for Major Bleeding During the Treatment Period – Treated Subjects, Study CV185057</w:t>
      </w:r>
    </w:p>
    <w:p w:rsidR="00CC2965" w:rsidRDefault="00CC2965" w:rsidP="00CC2965">
      <w:r>
        <w:rPr>
          <w:noProof/>
          <w:lang w:eastAsia="en-AU"/>
        </w:rPr>
        <w:drawing>
          <wp:inline distT="0" distB="0" distL="0" distR="0" wp14:anchorId="625BEDFE" wp14:editId="7BC62341">
            <wp:extent cx="4927987" cy="2575677"/>
            <wp:effectExtent l="0" t="0" r="6350" b="0"/>
            <wp:docPr id="19" name="Picture 19" descr="Figure 3: Kaplan-Meier Plot for Major Bleeding During the Treatment Period – Treated Subjects, Study CV1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l="8786" b="12324"/>
                    <a:stretch/>
                  </pic:blipFill>
                  <pic:spPr bwMode="auto">
                    <a:xfrm>
                      <a:off x="0" y="0"/>
                      <a:ext cx="4925618" cy="2574439"/>
                    </a:xfrm>
                    <a:prstGeom prst="rect">
                      <a:avLst/>
                    </a:prstGeom>
                    <a:noFill/>
                    <a:ln>
                      <a:noFill/>
                    </a:ln>
                    <a:extLst>
                      <a:ext uri="{53640926-AAD7-44D8-BBD7-CCE9431645EC}">
                        <a14:shadowObscured xmlns:a14="http://schemas.microsoft.com/office/drawing/2010/main"/>
                      </a:ext>
                    </a:extLst>
                  </pic:spPr>
                </pic:pic>
              </a:graphicData>
            </a:graphic>
          </wp:inline>
        </w:drawing>
      </w:r>
    </w:p>
    <w:p w:rsidR="008B3975" w:rsidRDefault="008B3975" w:rsidP="00D26E85">
      <w:pPr>
        <w:rPr>
          <w:rFonts w:eastAsia="MS Mincho"/>
          <w:lang w:eastAsia="ja-JP"/>
        </w:rPr>
      </w:pPr>
      <w:r>
        <w:t xml:space="preserve">In the follow-up period 0.5%/1.0%/0.4% in the </w:t>
      </w:r>
      <w:proofErr w:type="spellStart"/>
      <w:r>
        <w:t>apixaban</w:t>
      </w:r>
      <w:proofErr w:type="spellEnd"/>
      <w:r>
        <w:t xml:space="preserve"> 2.5 mg BD/5 mg BD/placebo groups, respectively, had symptomatic VTE (non-fatal DVT or non-fatal PE) or all-cause death.</w:t>
      </w:r>
      <w:r w:rsidR="00127885">
        <w:t xml:space="preserve"> </w:t>
      </w:r>
      <w:r>
        <w:t>In the period 3 to 30 days after the last dose of study drug 0.95%/0.62%/0.12% of the 2.5 mg BD/5 mg BD/placebo groups reported nonfatal DVT, nonfatal PE, myocardial infarction or stroke.</w:t>
      </w:r>
    </w:p>
    <w:p w:rsidR="008B3975" w:rsidRDefault="008B3975" w:rsidP="00D26E85">
      <w:pPr>
        <w:pStyle w:val="Heading4"/>
      </w:pPr>
      <w:r>
        <w:t>Safety</w:t>
      </w:r>
    </w:p>
    <w:p w:rsidR="00D26E85" w:rsidRDefault="008B3975" w:rsidP="00D26E85">
      <w:r>
        <w:t xml:space="preserve">A total of 4,712 subjects were exposed to </w:t>
      </w:r>
      <w:proofErr w:type="spellStart"/>
      <w:r>
        <w:t>apixaban</w:t>
      </w:r>
      <w:proofErr w:type="spellEnd"/>
      <w:r>
        <w:t xml:space="preserve"> during the clinical studies supporting this submission. The median duration of treatment was 168 days in </w:t>
      </w:r>
      <w:r w:rsidR="00D26E85">
        <w:t>Study CV</w:t>
      </w:r>
      <w:r>
        <w:t xml:space="preserve">185056 and 360 days in </w:t>
      </w:r>
      <w:r w:rsidR="00D26E85">
        <w:t>Study CV</w:t>
      </w:r>
      <w:r w:rsidR="00E76653">
        <w:t>185057.</w:t>
      </w:r>
    </w:p>
    <w:p w:rsidR="00D26E85" w:rsidRDefault="008B3975" w:rsidP="00D26E85">
      <w:pPr>
        <w:pStyle w:val="Heading5"/>
      </w:pPr>
      <w:r>
        <w:t>TEAEs</w:t>
      </w:r>
    </w:p>
    <w:p w:rsidR="00D26E85" w:rsidRDefault="008B3975" w:rsidP="00D26E85">
      <w:r>
        <w:t xml:space="preserve">In </w:t>
      </w:r>
      <w:r w:rsidR="00D26E85">
        <w:t>Study CV</w:t>
      </w:r>
      <w:r>
        <w:t xml:space="preserve">185017 TEAEs were reported in 60.2% of the 5 mg BD group, 54.1% of the 10 mg BD group, 66.1% of the 20 mg QD group and 57.1 % of the LMWH-VKA group. The commonest TEAEs were headache (8.1%), pain in extremity (4.9%) and diarrhoea (4.2%). In Study CV185056 TEAEs were reported in 67.1% of the </w:t>
      </w:r>
      <w:proofErr w:type="spellStart"/>
      <w:r>
        <w:t>apixaban</w:t>
      </w:r>
      <w:proofErr w:type="spellEnd"/>
      <w:r>
        <w:t xml:space="preserve"> group and 71.5% of the enoxaparin/warfarin group. The commonest AE was headache reported in 6.3% of subjects in the </w:t>
      </w:r>
      <w:proofErr w:type="spellStart"/>
      <w:r>
        <w:t>apixaban</w:t>
      </w:r>
      <w:proofErr w:type="spellEnd"/>
      <w:r>
        <w:t xml:space="preserve"> group and 6.2% of the subjects in the enoxaparin/warfarin group</w:t>
      </w:r>
      <w:r>
        <w:rPr>
          <w:color w:val="7030A0"/>
        </w:rPr>
        <w:t>.</w:t>
      </w:r>
      <w:r w:rsidR="00127885">
        <w:rPr>
          <w:color w:val="7030A0"/>
        </w:rPr>
        <w:t xml:space="preserve"> </w:t>
      </w:r>
      <w:r>
        <w:t xml:space="preserve">In </w:t>
      </w:r>
      <w:r w:rsidR="00D26E85">
        <w:t>Study CV</w:t>
      </w:r>
      <w:r>
        <w:t xml:space="preserve">185057 TEAEs were reported in 71.0% in the </w:t>
      </w:r>
      <w:proofErr w:type="spellStart"/>
      <w:r>
        <w:t>apixaban</w:t>
      </w:r>
      <w:proofErr w:type="spellEnd"/>
      <w:r>
        <w:t xml:space="preserve"> 2.5 mg BD group and 66.8% of the </w:t>
      </w:r>
      <w:proofErr w:type="spellStart"/>
      <w:r>
        <w:t>apixaban</w:t>
      </w:r>
      <w:proofErr w:type="spellEnd"/>
      <w:r>
        <w:t xml:space="preserve"> 5 mg BD group and 73.4% of the placebo group. DVT was the most commonly reported event (7.5% in </w:t>
      </w:r>
      <w:r w:rsidR="00E76653">
        <w:t>the placebo group) (CER p 110).</w:t>
      </w:r>
    </w:p>
    <w:p w:rsidR="00D26E85" w:rsidRDefault="00D26E85" w:rsidP="00D26E85">
      <w:pPr>
        <w:pStyle w:val="Heading5"/>
      </w:pPr>
      <w:r>
        <w:lastRenderedPageBreak/>
        <w:t>Treatment related adverse events (</w:t>
      </w:r>
      <w:r w:rsidR="008B3975">
        <w:t>TRAEs</w:t>
      </w:r>
      <w:r>
        <w:t>)</w:t>
      </w:r>
    </w:p>
    <w:p w:rsidR="00D26E85" w:rsidRDefault="008B3975" w:rsidP="00D26E85">
      <w:r>
        <w:t xml:space="preserve">In </w:t>
      </w:r>
      <w:r w:rsidR="00D26E85">
        <w:t>Study CV</w:t>
      </w:r>
      <w:r>
        <w:t xml:space="preserve">185056 TRAEs were reported in 19.4% of subjects in the </w:t>
      </w:r>
      <w:proofErr w:type="spellStart"/>
      <w:r>
        <w:t>apixaban</w:t>
      </w:r>
      <w:proofErr w:type="spellEnd"/>
      <w:r>
        <w:t xml:space="preserve"> group and 30.3% in the enoxaparin/warfarin group. Epistaxis was the most common (2.4% and 4.6% for </w:t>
      </w:r>
      <w:proofErr w:type="spellStart"/>
      <w:r>
        <w:t>apixaban</w:t>
      </w:r>
      <w:proofErr w:type="spellEnd"/>
      <w:r>
        <w:t xml:space="preserve"> and enoxaparin/warfarin, respectively). In </w:t>
      </w:r>
      <w:r w:rsidR="00D26E85">
        <w:t>Study CV</w:t>
      </w:r>
      <w:r>
        <w:t xml:space="preserve"> 185057 TRAEs were reported in 17.7%/17.9%/14.4% of the 2.5mg BD/5mg BD/placebo groups respectively. In </w:t>
      </w:r>
      <w:r w:rsidR="00D26E85">
        <w:t>Study CV</w:t>
      </w:r>
      <w:r>
        <w:t>185017 21.9%/21.8%/25.8%/26.2% reported TRAES in the 5mg/10mg/20mg/LMWH-VKA group. The most common event was headache (2.6%).</w:t>
      </w:r>
    </w:p>
    <w:p w:rsidR="00D26E85" w:rsidRDefault="008B3975" w:rsidP="00D26E85">
      <w:pPr>
        <w:pStyle w:val="Heading5"/>
      </w:pPr>
      <w:r>
        <w:t>Deaths</w:t>
      </w:r>
    </w:p>
    <w:p w:rsidR="00D26E85" w:rsidRDefault="008B3975" w:rsidP="00D26E85">
      <w:r w:rsidRPr="00DC4B0E">
        <w:t xml:space="preserve">In </w:t>
      </w:r>
      <w:r w:rsidR="00D26E85" w:rsidRPr="00DC4B0E">
        <w:t>Study CV</w:t>
      </w:r>
      <w:r w:rsidRPr="00DC4B0E">
        <w:t xml:space="preserve">185056 deaths were reported in 1.4% and 1.6% of subjects in the </w:t>
      </w:r>
      <w:proofErr w:type="spellStart"/>
      <w:r w:rsidRPr="00DC4B0E">
        <w:t>apixaban</w:t>
      </w:r>
      <w:proofErr w:type="spellEnd"/>
      <w:r w:rsidRPr="00DC4B0E">
        <w:t xml:space="preserve"> and enoxaparin/warfarin groups respectively. Causes of death were similar between the two groups and there was not a predominance of any one system organ class. There were 2 fatal bleeding events in the </w:t>
      </w:r>
      <w:proofErr w:type="spellStart"/>
      <w:r w:rsidRPr="00DC4B0E">
        <w:t>apixaban</w:t>
      </w:r>
      <w:proofErr w:type="spellEnd"/>
      <w:r w:rsidRPr="00DC4B0E">
        <w:t xml:space="preserve"> group and 1 in the enoxaparin/warfarin group. In </w:t>
      </w:r>
      <w:r w:rsidR="00D26E85" w:rsidRPr="00DC4B0E">
        <w:t>Study CV</w:t>
      </w:r>
      <w:r w:rsidRPr="00DC4B0E">
        <w:t xml:space="preserve">185057 deaths were reported for 0.4%/0.5%/1.2% of the 2.5 mg BD/5mg BD/placebo groups. Two of the 10 deaths in the placebo group were due to PE and there were 3 others reported as sudden death. In </w:t>
      </w:r>
      <w:r w:rsidR="00D26E85" w:rsidRPr="00DC4B0E">
        <w:t>Study CV</w:t>
      </w:r>
      <w:r w:rsidRPr="00DC4B0E">
        <w:t>185017 one subject died (by suicide) during the treatment phase of the study, two others died in the follow-up phase</w:t>
      </w:r>
      <w:r w:rsidR="00D26E85" w:rsidRPr="00DC4B0E">
        <w:t>;</w:t>
      </w:r>
      <w:r w:rsidRPr="00DC4B0E">
        <w:t xml:space="preserve"> one from metastatic cancer and the other from a PE in the context of renal failure and test</w:t>
      </w:r>
      <w:r w:rsidR="00D26E85" w:rsidRPr="00DC4B0E">
        <w:t>icular cancer</w:t>
      </w:r>
      <w:r w:rsidRPr="00DC4B0E">
        <w:t>. An additional 5 deaths occurred between 31-87 days, all with neoplastic disease</w:t>
      </w:r>
      <w:r w:rsidR="00533297">
        <w:t>.</w:t>
      </w:r>
    </w:p>
    <w:p w:rsidR="00D26E85" w:rsidRDefault="008B3975" w:rsidP="00D26E85">
      <w:pPr>
        <w:pStyle w:val="Heading5"/>
      </w:pPr>
      <w:r>
        <w:t>SAEs</w:t>
      </w:r>
    </w:p>
    <w:p w:rsidR="00D26E85" w:rsidRDefault="008B3975" w:rsidP="00D26E85">
      <w:r>
        <w:t xml:space="preserve">In </w:t>
      </w:r>
      <w:r w:rsidR="00D26E85">
        <w:t>Study CV</w:t>
      </w:r>
      <w:r>
        <w:t xml:space="preserve">185056 the commonest SAEs were PE reported in 0.9% of subjects in the </w:t>
      </w:r>
      <w:proofErr w:type="spellStart"/>
      <w:r>
        <w:t>apixaban</w:t>
      </w:r>
      <w:proofErr w:type="spellEnd"/>
      <w:r>
        <w:t xml:space="preserve"> group and 1.4% of subjects in the </w:t>
      </w:r>
      <w:proofErr w:type="spellStart"/>
      <w:r>
        <w:t>apixaban</w:t>
      </w:r>
      <w:proofErr w:type="spellEnd"/>
      <w:r>
        <w:t xml:space="preserve">/warfarin group, followed by DVT (0.7% in the </w:t>
      </w:r>
      <w:proofErr w:type="spellStart"/>
      <w:r>
        <w:t>apixaban</w:t>
      </w:r>
      <w:proofErr w:type="spellEnd"/>
      <w:r>
        <w:t xml:space="preserve"> group and 1.2% in the enoxaparin warfarin group). In </w:t>
      </w:r>
      <w:r w:rsidR="00D26E85">
        <w:t>Study CV</w:t>
      </w:r>
      <w:r>
        <w:t xml:space="preserve">185057 SAEs were reported in 13.3%/13.2%/19.1% of the 2.5mg BD/5 mg BD/placebo groups. DVT as a SAE was reported for 0.34%/1.1%/4.8% 2.5mg BD/5 mg BD/placebo groups and PE as a SAE was reported for 0.6%/0.3%/2.4% 2.5mg BD/5 mg BD/placebo groups. In </w:t>
      </w:r>
      <w:r w:rsidR="00D26E85">
        <w:t>Study CV</w:t>
      </w:r>
      <w:r>
        <w:t>185017 SAEs were reported for 12.5%/8.3%/16.1%/12.2% for the 5 mg BD/10 mg BD/20 mg QD/LMWH/VKA.</w:t>
      </w:r>
      <w:r w:rsidR="00127885">
        <w:t xml:space="preserve"> </w:t>
      </w:r>
      <w:r>
        <w:t xml:space="preserve">Dizziness was the commonest SAE in the </w:t>
      </w:r>
      <w:proofErr w:type="spellStart"/>
      <w:r>
        <w:t>apixaban</w:t>
      </w:r>
      <w:proofErr w:type="spellEnd"/>
      <w:r>
        <w:t xml:space="preserve"> groups (reported by 3</w:t>
      </w:r>
      <w:r w:rsidR="00533297">
        <w:t xml:space="preserve"> subjects, [0.8%]).</w:t>
      </w:r>
    </w:p>
    <w:p w:rsidR="00D26E85" w:rsidRDefault="008B3975" w:rsidP="00D26E85">
      <w:pPr>
        <w:pStyle w:val="Heading5"/>
      </w:pPr>
      <w:r>
        <w:t>Discontinuations due to AEs</w:t>
      </w:r>
    </w:p>
    <w:p w:rsidR="008B3975" w:rsidRDefault="008B3975" w:rsidP="00D26E85">
      <w:r>
        <w:t xml:space="preserve">In </w:t>
      </w:r>
      <w:r w:rsidR="00D26E85">
        <w:t>Study 18</w:t>
      </w:r>
      <w:r>
        <w:t xml:space="preserve">5056 discontinuations due to AEs occurred in 6.1% of </w:t>
      </w:r>
      <w:proofErr w:type="spellStart"/>
      <w:r>
        <w:t>apixaban</w:t>
      </w:r>
      <w:proofErr w:type="spellEnd"/>
      <w:r>
        <w:t xml:space="preserve"> subjects and 7.4% of </w:t>
      </w:r>
      <w:r w:rsidR="00045951">
        <w:t>enoxaparin/warfarin</w:t>
      </w:r>
      <w:r>
        <w:t xml:space="preserve"> but no single event type occurred in ≥ 1% of the subjects. DVT was reported in 0.5%/0.9% and for PE 0.4%/0.6% for </w:t>
      </w:r>
      <w:proofErr w:type="spellStart"/>
      <w:r>
        <w:t>apixaban</w:t>
      </w:r>
      <w:proofErr w:type="spellEnd"/>
      <w:r>
        <w:t xml:space="preserve"> and enoxaparin/warfarin, respectively. Gastrointestinal haemorrhage leading to discontinuation occurred in 0.3%/0.6% </w:t>
      </w:r>
      <w:proofErr w:type="spellStart"/>
      <w:r>
        <w:t>apixaban</w:t>
      </w:r>
      <w:proofErr w:type="spellEnd"/>
      <w:r>
        <w:t xml:space="preserve"> and enoxaparin/warfarin, respectively.</w:t>
      </w:r>
      <w:r>
        <w:rPr>
          <w:b/>
        </w:rPr>
        <w:t xml:space="preserve"> </w:t>
      </w:r>
      <w:r>
        <w:t xml:space="preserve">In </w:t>
      </w:r>
      <w:r w:rsidR="00D26E85">
        <w:t>Study CV</w:t>
      </w:r>
      <w:r>
        <w:t>185057 discontinuations due to AEs occurred in 8.0%/7.5%/16.2% of the 2.5 mg BD/5 mg BD/placebo groups. DVT occurred in 0.5%/1.0%/6.7% in the 2.5 mg BD/5 mg BD/placebo groups. PE occurred in 0.5%/0.2%/2.3% in the 2.5 mg BD/5 mg BD/placebo groups</w:t>
      </w:r>
      <w:r>
        <w:rPr>
          <w:b/>
        </w:rPr>
        <w:t xml:space="preserve">. </w:t>
      </w:r>
      <w:r>
        <w:t xml:space="preserve">In </w:t>
      </w:r>
      <w:r w:rsidR="00D26E85">
        <w:t>Study CV</w:t>
      </w:r>
      <w:r>
        <w:t xml:space="preserve">185017 discontinuations due to AEs occurred in 7.0%/4.5%/8.9%/4.0%. Vaginal haemorrhage and dizziness occurred in 0.5% of the </w:t>
      </w:r>
      <w:proofErr w:type="spellStart"/>
      <w:r>
        <w:t>apixaban</w:t>
      </w:r>
      <w:proofErr w:type="spellEnd"/>
      <w:r>
        <w:t xml:space="preserve"> group.</w:t>
      </w:r>
    </w:p>
    <w:p w:rsidR="00D26E85" w:rsidRDefault="008B3975" w:rsidP="00D26E85">
      <w:pPr>
        <w:pStyle w:val="Heading5"/>
      </w:pPr>
      <w:r w:rsidRPr="00D26E85">
        <w:t>Bleeding events</w:t>
      </w:r>
    </w:p>
    <w:p w:rsidR="008B3975" w:rsidRDefault="008B3975" w:rsidP="00DC4B0E">
      <w:r w:rsidRPr="00D26E85">
        <w:t xml:space="preserve">In </w:t>
      </w:r>
      <w:r w:rsidR="00D26E85" w:rsidRPr="00D26E85">
        <w:t>Study 18</w:t>
      </w:r>
      <w:r w:rsidRPr="00D26E85">
        <w:t xml:space="preserve">5017, bleeding events were reported in 11.7%/12.8%/10.5%/19.0% of subjects in the 5 mg BD/10 mg BD/20 mg QD/ LMWH-VKA groups. Major bleeding events </w:t>
      </w:r>
      <w:r w:rsidRPr="00DB6C72">
        <w:t xml:space="preserve">(see </w:t>
      </w:r>
      <w:r w:rsidR="00DB6C72" w:rsidRPr="00DB6C72">
        <w:t>Definitions below</w:t>
      </w:r>
      <w:r w:rsidRPr="00DB6C72">
        <w:t xml:space="preserve">) were infrequent with 1 in the 5 mg BD group (bloody pleural effusion) and 1 intracerebral bleed in the 20 mg QD group. Major bleeding/CRNMB (see </w:t>
      </w:r>
      <w:r w:rsidR="00DB6C72" w:rsidRPr="00DB6C72">
        <w:t>Definitions below</w:t>
      </w:r>
      <w:r w:rsidRPr="00DB6C72">
        <w:t>) grouped together was reported for 8.6%/4.5%/7.3%/7.9% in the 5 mg</w:t>
      </w:r>
      <w:r w:rsidRPr="00D26E85">
        <w:t xml:space="preserve"> BD/10 mg BD/20 mg QD/ LMWH-VKA groups. The most common types of bleeding events were haematuria, haematoma and epistaxis. In </w:t>
      </w:r>
      <w:r w:rsidR="00D26E85" w:rsidRPr="00D26E85">
        <w:t>Study CV</w:t>
      </w:r>
      <w:r w:rsidRPr="00D26E85">
        <w:t xml:space="preserve">185056 15.5% of the </w:t>
      </w:r>
      <w:proofErr w:type="spellStart"/>
      <w:r w:rsidRPr="00D26E85">
        <w:t>apixaban</w:t>
      </w:r>
      <w:proofErr w:type="spellEnd"/>
      <w:r w:rsidRPr="00D26E85">
        <w:t xml:space="preserve"> group and 25.8% of the enoxaparin/warfarin group reported bleeding AEs. The most common were epistaxis, contusion and haematuria.</w:t>
      </w:r>
    </w:p>
    <w:p w:rsidR="00DB6C72" w:rsidRPr="00DB6C72" w:rsidRDefault="00DB6C72" w:rsidP="00DB6C72">
      <w:pPr>
        <w:pStyle w:val="Heading5"/>
      </w:pPr>
      <w:proofErr w:type="gramStart"/>
      <w:r w:rsidRPr="00DB6C72">
        <w:lastRenderedPageBreak/>
        <w:t xml:space="preserve">Definitions </w:t>
      </w:r>
      <w:r w:rsidR="00533297">
        <w:t>of bleeding in pivotal studies.</w:t>
      </w:r>
      <w:proofErr w:type="gramEnd"/>
    </w:p>
    <w:p w:rsidR="00DB6C72" w:rsidRPr="00DB6C72" w:rsidRDefault="00DB6C72" w:rsidP="00DB6C72">
      <w:pPr>
        <w:ind w:left="720"/>
        <w:rPr>
          <w:i/>
        </w:rPr>
      </w:pPr>
      <w:r w:rsidRPr="00DB6C72">
        <w:rPr>
          <w:rFonts w:eastAsia="TimesNewRoman,Bold" w:cs="TimesNewRoman,Bold"/>
          <w:b/>
          <w:bCs/>
          <w:i/>
        </w:rPr>
        <w:t>Major bleeding</w:t>
      </w:r>
      <w:r w:rsidRPr="00DB6C72">
        <w:rPr>
          <w:rFonts w:eastAsia="TimesNewRoman,Bold" w:cs="TimesNewRoman,Bold"/>
          <w:bCs/>
          <w:i/>
        </w:rPr>
        <w:t xml:space="preserve"> </w:t>
      </w:r>
      <w:r w:rsidRPr="00DB6C72">
        <w:rPr>
          <w:i/>
        </w:rPr>
        <w:t>was defined as:</w:t>
      </w:r>
    </w:p>
    <w:p w:rsidR="00DB6C72" w:rsidRPr="00DB6C72" w:rsidRDefault="00DB6C72" w:rsidP="00DB6C72">
      <w:pPr>
        <w:ind w:left="720"/>
        <w:rPr>
          <w:i/>
        </w:rPr>
      </w:pPr>
      <w:r w:rsidRPr="00DB6C72">
        <w:rPr>
          <w:i/>
        </w:rPr>
        <w:t>Acute clinically overt bleeding accompanied by at least one of the following:</w:t>
      </w:r>
    </w:p>
    <w:p w:rsidR="00DB6C72" w:rsidRPr="00DB6C72" w:rsidRDefault="00DB6C72" w:rsidP="005349EC">
      <w:pPr>
        <w:pStyle w:val="ListBullet"/>
        <w:numPr>
          <w:ilvl w:val="0"/>
          <w:numId w:val="27"/>
        </w:numPr>
        <w:ind w:left="1080"/>
        <w:rPr>
          <w:i/>
        </w:rPr>
      </w:pPr>
      <w:r w:rsidRPr="00DB6C72">
        <w:rPr>
          <w:i/>
        </w:rPr>
        <w:t>A decrease in h</w:t>
      </w:r>
      <w:r>
        <w:rPr>
          <w:i/>
        </w:rPr>
        <w:t>a</w:t>
      </w:r>
      <w:r w:rsidRPr="00DB6C72">
        <w:rPr>
          <w:i/>
        </w:rPr>
        <w:t xml:space="preserve">emoglobin of </w:t>
      </w:r>
      <w:r w:rsidRPr="00DB6C72">
        <w:rPr>
          <w:rFonts w:eastAsia="TimesNewRoman,Bold" w:cs="Symbol"/>
          <w:i/>
        </w:rPr>
        <w:t>&gt;</w:t>
      </w:r>
      <w:r w:rsidRPr="00DB6C72">
        <w:rPr>
          <w:i/>
        </w:rPr>
        <w:t>20 g/L [</w:t>
      </w:r>
      <w:r w:rsidRPr="00DB6C72">
        <w:rPr>
          <w:rFonts w:eastAsia="TimesNewRoman,Bold" w:cs="Symbol"/>
          <w:i/>
        </w:rPr>
        <w:t>&gt;</w:t>
      </w:r>
      <w:r w:rsidRPr="00DB6C72">
        <w:rPr>
          <w:i/>
        </w:rPr>
        <w:t>2 g/</w:t>
      </w:r>
      <w:proofErr w:type="spellStart"/>
      <w:r w:rsidRPr="00DB6C72">
        <w:rPr>
          <w:i/>
        </w:rPr>
        <w:t>dL</w:t>
      </w:r>
      <w:proofErr w:type="spellEnd"/>
      <w:r w:rsidRPr="00DB6C72">
        <w:rPr>
          <w:i/>
        </w:rPr>
        <w:t>];</w:t>
      </w:r>
    </w:p>
    <w:p w:rsidR="00DB6C72" w:rsidRPr="00DB6C72" w:rsidRDefault="00DB6C72" w:rsidP="005349EC">
      <w:pPr>
        <w:pStyle w:val="ListBullet"/>
        <w:numPr>
          <w:ilvl w:val="0"/>
          <w:numId w:val="27"/>
        </w:numPr>
        <w:ind w:left="1080"/>
        <w:rPr>
          <w:i/>
        </w:rPr>
      </w:pPr>
      <w:r w:rsidRPr="00DB6C72">
        <w:rPr>
          <w:i/>
        </w:rPr>
        <w:t xml:space="preserve">A transfusion of </w:t>
      </w:r>
      <w:r w:rsidRPr="00DB6C72">
        <w:rPr>
          <w:rFonts w:eastAsia="TimesNewRoman,Bold" w:cs="Symbol"/>
          <w:i/>
        </w:rPr>
        <w:t>&gt;</w:t>
      </w:r>
      <w:r w:rsidRPr="00DB6C72">
        <w:rPr>
          <w:i/>
        </w:rPr>
        <w:t>2 units of packed red blood cells or 1000 mL or more of whole blood;</w:t>
      </w:r>
    </w:p>
    <w:p w:rsidR="00DB6C72" w:rsidRPr="00DB6C72" w:rsidRDefault="00DB6C72" w:rsidP="005349EC">
      <w:pPr>
        <w:pStyle w:val="ListBullet"/>
        <w:numPr>
          <w:ilvl w:val="0"/>
          <w:numId w:val="27"/>
        </w:numPr>
        <w:ind w:left="1080"/>
        <w:rPr>
          <w:i/>
        </w:rPr>
      </w:pPr>
      <w:r w:rsidRPr="00DB6C72">
        <w:rPr>
          <w:i/>
        </w:rPr>
        <w:t xml:space="preserve">Bleeding that occurred in at least one of the following critical sites: intracranial, </w:t>
      </w:r>
      <w:proofErr w:type="spellStart"/>
      <w:r w:rsidRPr="00DB6C72">
        <w:rPr>
          <w:i/>
        </w:rPr>
        <w:t>intraspinal</w:t>
      </w:r>
      <w:proofErr w:type="spellEnd"/>
      <w:r w:rsidRPr="00DB6C72">
        <w:rPr>
          <w:i/>
        </w:rPr>
        <w:t>, intraocular, pericardial, intra-articular, intramuscular with compartment syndrome, retroperitoneal, or another critical organ (to be specified);</w:t>
      </w:r>
    </w:p>
    <w:p w:rsidR="00DB6C72" w:rsidRPr="00DB6C72" w:rsidRDefault="00DB6C72" w:rsidP="005349EC">
      <w:pPr>
        <w:pStyle w:val="ListBullet"/>
        <w:numPr>
          <w:ilvl w:val="0"/>
          <w:numId w:val="27"/>
        </w:numPr>
        <w:ind w:left="1080"/>
        <w:rPr>
          <w:i/>
        </w:rPr>
      </w:pPr>
      <w:r w:rsidRPr="00DB6C72">
        <w:rPr>
          <w:i/>
        </w:rPr>
        <w:t>Bleeding that was fatal.</w:t>
      </w:r>
    </w:p>
    <w:p w:rsidR="00DB6C72" w:rsidRPr="00DB6C72" w:rsidRDefault="00DB6C72" w:rsidP="00DB6C72">
      <w:pPr>
        <w:ind w:left="720"/>
        <w:rPr>
          <w:i/>
        </w:rPr>
      </w:pPr>
      <w:r w:rsidRPr="00DB6C72">
        <w:rPr>
          <w:rFonts w:eastAsia="TimesNewRoman,Bold" w:cs="TimesNewRoman,Bold"/>
          <w:b/>
          <w:bCs/>
          <w:i/>
        </w:rPr>
        <w:t xml:space="preserve">CRNM bleeding </w:t>
      </w:r>
      <w:r w:rsidRPr="00DB6C72">
        <w:rPr>
          <w:i/>
        </w:rPr>
        <w:t>was defined as acute clinically overt bleeding that did not satisfy any of the additional criteria required for the bleeding event to be defined as a major bleeding event and met at least one of the following criteria:</w:t>
      </w:r>
    </w:p>
    <w:p w:rsidR="00DB6C72" w:rsidRPr="00DB6C72" w:rsidRDefault="00DB6C72" w:rsidP="005349EC">
      <w:pPr>
        <w:pStyle w:val="ListBullet"/>
        <w:numPr>
          <w:ilvl w:val="0"/>
          <w:numId w:val="27"/>
        </w:numPr>
        <w:ind w:left="1080"/>
        <w:rPr>
          <w:i/>
        </w:rPr>
      </w:pPr>
      <w:r w:rsidRPr="00DB6C72">
        <w:rPr>
          <w:i/>
        </w:rPr>
        <w:t xml:space="preserve">Any bleeding compromising </w:t>
      </w:r>
      <w:proofErr w:type="spellStart"/>
      <w:r w:rsidRPr="00DB6C72">
        <w:rPr>
          <w:i/>
        </w:rPr>
        <w:t>haemodynamics</w:t>
      </w:r>
      <w:proofErr w:type="spellEnd"/>
      <w:r w:rsidRPr="00DB6C72">
        <w:rPr>
          <w:i/>
        </w:rPr>
        <w:t>;</w:t>
      </w:r>
    </w:p>
    <w:p w:rsidR="00DB6C72" w:rsidRPr="00DB6C72" w:rsidRDefault="00DB6C72" w:rsidP="005349EC">
      <w:pPr>
        <w:pStyle w:val="ListBullet"/>
        <w:numPr>
          <w:ilvl w:val="0"/>
          <w:numId w:val="27"/>
        </w:numPr>
        <w:ind w:left="1080"/>
        <w:rPr>
          <w:i/>
        </w:rPr>
      </w:pPr>
      <w:r w:rsidRPr="00DB6C72">
        <w:rPr>
          <w:i/>
        </w:rPr>
        <w:t>Any bleeding leading to hospitalisation;</w:t>
      </w:r>
    </w:p>
    <w:p w:rsidR="00DB6C72" w:rsidRPr="00DB6C72" w:rsidRDefault="00DB6C72" w:rsidP="005349EC">
      <w:pPr>
        <w:pStyle w:val="ListBullet"/>
        <w:numPr>
          <w:ilvl w:val="0"/>
          <w:numId w:val="27"/>
        </w:numPr>
        <w:ind w:left="1080"/>
        <w:rPr>
          <w:i/>
        </w:rPr>
      </w:pPr>
      <w:r w:rsidRPr="00DB6C72">
        <w:rPr>
          <w:i/>
        </w:rPr>
        <w:t>Subcutaneous hematoma larger than 25 cm</w:t>
      </w:r>
      <w:r w:rsidRPr="00DB6C72">
        <w:rPr>
          <w:i/>
          <w:vertAlign w:val="superscript"/>
        </w:rPr>
        <w:t>2</w:t>
      </w:r>
      <w:r w:rsidRPr="00DB6C72">
        <w:rPr>
          <w:i/>
        </w:rPr>
        <w:t>, or 100 cm</w:t>
      </w:r>
      <w:r w:rsidRPr="00DB6C72">
        <w:rPr>
          <w:i/>
          <w:vertAlign w:val="superscript"/>
        </w:rPr>
        <w:t>2</w:t>
      </w:r>
      <w:r w:rsidRPr="00DB6C72">
        <w:rPr>
          <w:i/>
          <w:sz w:val="16"/>
          <w:szCs w:val="16"/>
        </w:rPr>
        <w:t xml:space="preserve"> </w:t>
      </w:r>
      <w:r w:rsidRPr="00DB6C72">
        <w:rPr>
          <w:i/>
        </w:rPr>
        <w:t>if there was a traumatic cause;</w:t>
      </w:r>
    </w:p>
    <w:p w:rsidR="00DB6C72" w:rsidRPr="00DB6C72" w:rsidRDefault="00DB6C72" w:rsidP="005349EC">
      <w:pPr>
        <w:pStyle w:val="ListBullet"/>
        <w:numPr>
          <w:ilvl w:val="0"/>
          <w:numId w:val="27"/>
        </w:numPr>
        <w:ind w:left="1080"/>
        <w:rPr>
          <w:i/>
        </w:rPr>
      </w:pPr>
      <w:r w:rsidRPr="00DB6C72">
        <w:rPr>
          <w:i/>
        </w:rPr>
        <w:t>Intramuscular haematoma documented by ultrasonography;</w:t>
      </w:r>
    </w:p>
    <w:p w:rsidR="00DB6C72" w:rsidRPr="00DB6C72" w:rsidRDefault="00DB6C72" w:rsidP="005349EC">
      <w:pPr>
        <w:pStyle w:val="ListBullet"/>
        <w:numPr>
          <w:ilvl w:val="0"/>
          <w:numId w:val="27"/>
        </w:numPr>
        <w:ind w:left="1080"/>
        <w:rPr>
          <w:i/>
        </w:rPr>
      </w:pPr>
      <w:r w:rsidRPr="00DB6C72">
        <w:rPr>
          <w:i/>
        </w:rPr>
        <w:t>Epistaxis that lasted for more than 5 minutes, was repetitive (that is, two or more episodes of bleeding more extensive than spots on a handkerchief within 24 hours), or led to an intervention (for example, packing or electrocoagulation);</w:t>
      </w:r>
    </w:p>
    <w:p w:rsidR="00DB6C72" w:rsidRPr="00DB6C72" w:rsidRDefault="00DB6C72" w:rsidP="005349EC">
      <w:pPr>
        <w:pStyle w:val="ListBullet"/>
        <w:numPr>
          <w:ilvl w:val="0"/>
          <w:numId w:val="27"/>
        </w:numPr>
        <w:ind w:left="1080"/>
        <w:rPr>
          <w:i/>
        </w:rPr>
      </w:pPr>
      <w:r w:rsidRPr="00DB6C72">
        <w:rPr>
          <w:i/>
        </w:rPr>
        <w:t>Gingival bleeding occurring spontaneously (that is, unrelated to eating or tooth brushing) or lasting for more than 5 minutes;</w:t>
      </w:r>
    </w:p>
    <w:p w:rsidR="00DB6C72" w:rsidRPr="00DB6C72" w:rsidRDefault="00DB6C72" w:rsidP="005349EC">
      <w:pPr>
        <w:pStyle w:val="ListBullet"/>
        <w:numPr>
          <w:ilvl w:val="0"/>
          <w:numId w:val="27"/>
        </w:numPr>
        <w:ind w:left="1080"/>
        <w:rPr>
          <w:i/>
        </w:rPr>
      </w:pPr>
      <w:r w:rsidRPr="00DB6C72">
        <w:rPr>
          <w:i/>
        </w:rPr>
        <w:t>Haematuria that was macroscopic and was spontaneous or lasted for more than 24 hours after instrumentation (such as catheter placement or surgery) of the urogenital tract;</w:t>
      </w:r>
    </w:p>
    <w:p w:rsidR="00DB6C72" w:rsidRPr="00DB6C72" w:rsidRDefault="00DB6C72" w:rsidP="005349EC">
      <w:pPr>
        <w:pStyle w:val="ListBullet"/>
        <w:numPr>
          <w:ilvl w:val="0"/>
          <w:numId w:val="27"/>
        </w:numPr>
        <w:ind w:left="1080"/>
        <w:rPr>
          <w:i/>
        </w:rPr>
      </w:pPr>
      <w:r w:rsidRPr="00DB6C72">
        <w:rPr>
          <w:i/>
        </w:rPr>
        <w:t xml:space="preserve">Macroscopic gastrointestinal </w:t>
      </w:r>
      <w:proofErr w:type="spellStart"/>
      <w:r w:rsidRPr="00DB6C72">
        <w:rPr>
          <w:i/>
        </w:rPr>
        <w:t>hemorrhage</w:t>
      </w:r>
      <w:proofErr w:type="spellEnd"/>
      <w:r w:rsidRPr="00DB6C72">
        <w:rPr>
          <w:i/>
        </w:rPr>
        <w:t>, including at least one episode of melena or hematemesis, if clinically apparent with positive results on a faecal occult-blood test;</w:t>
      </w:r>
    </w:p>
    <w:p w:rsidR="00DB6C72" w:rsidRPr="00DB6C72" w:rsidRDefault="00DB6C72" w:rsidP="005349EC">
      <w:pPr>
        <w:pStyle w:val="ListBullet"/>
        <w:numPr>
          <w:ilvl w:val="0"/>
          <w:numId w:val="27"/>
        </w:numPr>
        <w:ind w:left="1080"/>
        <w:rPr>
          <w:i/>
        </w:rPr>
      </w:pPr>
      <w:r w:rsidRPr="00DB6C72">
        <w:rPr>
          <w:i/>
        </w:rPr>
        <w:t>Rectal blood loss, if more than a few spots on toilet paper;</w:t>
      </w:r>
    </w:p>
    <w:p w:rsidR="00DB6C72" w:rsidRPr="00DB6C72" w:rsidRDefault="00DB6C72" w:rsidP="005349EC">
      <w:pPr>
        <w:pStyle w:val="ListBullet"/>
        <w:numPr>
          <w:ilvl w:val="0"/>
          <w:numId w:val="27"/>
        </w:numPr>
        <w:ind w:left="1080"/>
        <w:rPr>
          <w:i/>
        </w:rPr>
      </w:pPr>
      <w:r w:rsidRPr="00DB6C72">
        <w:rPr>
          <w:i/>
        </w:rPr>
        <w:t>Haemoptysis, if more than a few speckles in the sputum and not occurring within the context of pulmonary embolism;</w:t>
      </w:r>
    </w:p>
    <w:p w:rsidR="00DB6C72" w:rsidRPr="00DB6C72" w:rsidRDefault="00DB6C72" w:rsidP="005349EC">
      <w:pPr>
        <w:pStyle w:val="ListBullet"/>
        <w:numPr>
          <w:ilvl w:val="0"/>
          <w:numId w:val="27"/>
        </w:numPr>
        <w:ind w:left="1080"/>
        <w:rPr>
          <w:i/>
        </w:rPr>
      </w:pPr>
      <w:r w:rsidRPr="00DB6C72">
        <w:rPr>
          <w:i/>
        </w:rPr>
        <w:t>Any other bleeding type considered to have clinical consequences for a subject such as medical intervention, the need for unscheduled contact (visit or telephone call) with a physician, temporary cessation of a study drug; or associated with pain or impairment of activities of daily life.</w:t>
      </w:r>
    </w:p>
    <w:p w:rsidR="00DB6C72" w:rsidRPr="00DB6C72" w:rsidRDefault="00DB6C72" w:rsidP="00DB6C72">
      <w:pPr>
        <w:ind w:left="720"/>
        <w:rPr>
          <w:i/>
        </w:rPr>
      </w:pPr>
      <w:r w:rsidRPr="00DB6C72">
        <w:rPr>
          <w:rFonts w:eastAsia="TimesNewRoman,Bold" w:cs="TimesNewRoman,Bold"/>
          <w:b/>
          <w:bCs/>
          <w:i/>
        </w:rPr>
        <w:t xml:space="preserve">Minor bleeding </w:t>
      </w:r>
      <w:r w:rsidRPr="00DB6C72">
        <w:rPr>
          <w:i/>
        </w:rPr>
        <w:t>was defined as an acute clinically overt bleeding event that did not meet the criteria for either a major bleeding event or a CRNM event.</w:t>
      </w:r>
    </w:p>
    <w:p w:rsidR="00DB6C72" w:rsidRPr="00DB6C72" w:rsidRDefault="00DB6C72" w:rsidP="00DB6C72">
      <w:pPr>
        <w:ind w:left="720"/>
        <w:rPr>
          <w:i/>
        </w:rPr>
      </w:pPr>
      <w:r w:rsidRPr="00DB6C72">
        <w:rPr>
          <w:rFonts w:eastAsia="TimesNewRoman,Bold" w:cs="TimesNewRoman,Bold"/>
          <w:b/>
          <w:bCs/>
          <w:i/>
        </w:rPr>
        <w:t xml:space="preserve">Fatal bleeding </w:t>
      </w:r>
      <w:r w:rsidRPr="00DB6C72">
        <w:rPr>
          <w:i/>
        </w:rPr>
        <w:t>was defined as a bleeding event that the ICAC determined was the primary cause of death or contributed directly to death</w:t>
      </w:r>
    </w:p>
    <w:p w:rsidR="008B3975" w:rsidRPr="00D26E85" w:rsidRDefault="008B3975" w:rsidP="00D26E85">
      <w:pPr>
        <w:rPr>
          <w:rFonts w:asciiTheme="minorHAnsi" w:hAnsiTheme="minorHAnsi"/>
        </w:rPr>
      </w:pPr>
      <w:r w:rsidRPr="00D26E85">
        <w:rPr>
          <w:rFonts w:asciiTheme="minorHAnsi" w:hAnsiTheme="minorHAnsi"/>
        </w:rPr>
        <w:t xml:space="preserve">Figure </w:t>
      </w:r>
      <w:r w:rsidR="008C163B">
        <w:rPr>
          <w:rFonts w:asciiTheme="minorHAnsi" w:hAnsiTheme="minorHAnsi"/>
        </w:rPr>
        <w:t>4</w:t>
      </w:r>
      <w:r w:rsidRPr="00D26E85">
        <w:rPr>
          <w:rFonts w:asciiTheme="minorHAnsi" w:hAnsiTheme="minorHAnsi"/>
        </w:rPr>
        <w:t xml:space="preserve"> (below) summarises the event rates for bleeding events in Study CV185056.</w:t>
      </w:r>
    </w:p>
    <w:p w:rsidR="008B3975" w:rsidRDefault="008B3975" w:rsidP="00533297">
      <w:pPr>
        <w:pStyle w:val="FigureTitle"/>
        <w:rPr>
          <w:rFonts w:asciiTheme="minorHAnsi" w:hAnsiTheme="minorHAnsi"/>
        </w:rPr>
      </w:pPr>
      <w:r>
        <w:lastRenderedPageBreak/>
        <w:t xml:space="preserve">Figure </w:t>
      </w:r>
      <w:r w:rsidR="008C163B">
        <w:t>4</w:t>
      </w:r>
      <w:r w:rsidR="00D26E85">
        <w:t>:</w:t>
      </w:r>
      <w:r>
        <w:t xml:space="preserve"> Summary of Adjudicated Bleeding Endpoints in Study CV185056</w:t>
      </w:r>
    </w:p>
    <w:p w:rsidR="008B3975" w:rsidRDefault="008B3975" w:rsidP="008B3975">
      <w:pPr>
        <w:spacing w:before="0" w:after="0" w:line="240" w:lineRule="auto"/>
        <w:jc w:val="both"/>
        <w:rPr>
          <w:rFonts w:asciiTheme="minorHAnsi" w:hAnsiTheme="minorHAnsi"/>
        </w:rPr>
      </w:pPr>
      <w:r>
        <w:rPr>
          <w:rFonts w:asciiTheme="minorHAnsi" w:hAnsiTheme="minorHAnsi"/>
          <w:noProof/>
          <w:lang w:eastAsia="en-AU"/>
        </w:rPr>
        <w:drawing>
          <wp:inline distT="0" distB="0" distL="0" distR="0" wp14:anchorId="7B4369B9" wp14:editId="643BDAD0">
            <wp:extent cx="4216012" cy="2813373"/>
            <wp:effectExtent l="0" t="0" r="0" b="6350"/>
            <wp:docPr id="3" name="Picture 3" descr="Figure 4: Summary of Adjudicated Bleeding Endpoints in Study CV18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6827" cy="2813917"/>
                    </a:xfrm>
                    <a:prstGeom prst="rect">
                      <a:avLst/>
                    </a:prstGeom>
                    <a:noFill/>
                    <a:ln>
                      <a:noFill/>
                    </a:ln>
                  </pic:spPr>
                </pic:pic>
              </a:graphicData>
            </a:graphic>
          </wp:inline>
        </w:drawing>
      </w:r>
    </w:p>
    <w:p w:rsidR="008B3975" w:rsidRDefault="008B3975" w:rsidP="008C163B">
      <w:r>
        <w:t xml:space="preserve">Major bleeding occurred in 0.6% of </w:t>
      </w:r>
      <w:proofErr w:type="spellStart"/>
      <w:r>
        <w:t>apixaban</w:t>
      </w:r>
      <w:proofErr w:type="spellEnd"/>
      <w:r>
        <w:t xml:space="preserve"> subjects and 1.8% of the enoxaparin/warfarin subjects (RR (95%CI) 0.0307 (0.1728, 0.5452); risk difference (95% CI) -0.0013(-0.0170, -0.0056; p&lt;0.0001). Major bleeding/CRNMB occurred in 4.3% of the </w:t>
      </w:r>
      <w:proofErr w:type="spellStart"/>
      <w:r>
        <w:t>apixaban</w:t>
      </w:r>
      <w:proofErr w:type="spellEnd"/>
      <w:r>
        <w:t xml:space="preserve"> subjects and 9.7% of the enoxaparin/warfarin subjects (risk difference (95%CI) -0.0499 (-0.0632, -0.0366); p&lt;0.0001). The most common site for major bleeding was gastrointestinal in both treatment groups (0.2% and 0.6% for </w:t>
      </w:r>
      <w:proofErr w:type="spellStart"/>
      <w:r>
        <w:t>apixaban</w:t>
      </w:r>
      <w:proofErr w:type="spellEnd"/>
      <w:r>
        <w:t xml:space="preserve"> and enoxaparin/warfarin respectively). Three subjects in the </w:t>
      </w:r>
      <w:proofErr w:type="spellStart"/>
      <w:r>
        <w:t>apixaban</w:t>
      </w:r>
      <w:proofErr w:type="spellEnd"/>
      <w:r>
        <w:t xml:space="preserve"> and 6 in the enoxaparin/warfarin group had intracerebral bleeding events. The difference in the incidence of major bleeding between </w:t>
      </w:r>
      <w:proofErr w:type="spellStart"/>
      <w:r>
        <w:t>apixaban</w:t>
      </w:r>
      <w:proofErr w:type="spellEnd"/>
      <w:r>
        <w:t xml:space="preserve"> and enoxaparin/warfarin was consistent in a centre-based TTR analysis.</w:t>
      </w:r>
    </w:p>
    <w:p w:rsidR="008B3975" w:rsidRDefault="008B3975" w:rsidP="008C163B">
      <w:r>
        <w:t xml:space="preserve">In Study CV185057 11.8%/15.3%/9.4% in the 2.5 mg BD/5 mg BD/placebo groups had bleeding AEs with the most common epistaxis. Gastrointestinal bleeds occurred in 2.6%/3.6%/1.6% of the 2.5 mg BD/5 mg BD/placebo groups. Figure </w:t>
      </w:r>
      <w:r w:rsidR="008C163B">
        <w:t>5</w:t>
      </w:r>
      <w:r>
        <w:t xml:space="preserve"> (below) summarises the event rates for bleeding events in Study CV185057.</w:t>
      </w:r>
    </w:p>
    <w:p w:rsidR="008B3975" w:rsidRDefault="008B3975" w:rsidP="008C163B">
      <w:pPr>
        <w:pStyle w:val="FigureTitle"/>
        <w:rPr>
          <w:rFonts w:asciiTheme="minorHAnsi" w:hAnsiTheme="minorHAnsi"/>
        </w:rPr>
      </w:pPr>
      <w:r>
        <w:t xml:space="preserve">Figure </w:t>
      </w:r>
      <w:r w:rsidR="008C163B">
        <w:t>5:</w:t>
      </w:r>
      <w:r>
        <w:t xml:space="preserve"> Summary of Adjudicated Bleeding Endpoints in </w:t>
      </w:r>
      <w:r w:rsidR="00D26E85">
        <w:t>Study CV</w:t>
      </w:r>
      <w:r>
        <w:t>185057</w:t>
      </w:r>
    </w:p>
    <w:p w:rsidR="008B3975" w:rsidRDefault="008B3975" w:rsidP="008B3975">
      <w:pPr>
        <w:spacing w:before="0" w:after="0" w:line="240" w:lineRule="auto"/>
        <w:jc w:val="both"/>
        <w:rPr>
          <w:rFonts w:asciiTheme="minorHAnsi" w:hAnsiTheme="minorHAnsi"/>
        </w:rPr>
      </w:pPr>
      <w:r>
        <w:rPr>
          <w:rFonts w:asciiTheme="minorHAnsi" w:hAnsiTheme="minorHAnsi"/>
          <w:noProof/>
          <w:lang w:eastAsia="en-AU"/>
        </w:rPr>
        <w:drawing>
          <wp:inline distT="0" distB="0" distL="0" distR="0" wp14:anchorId="67463A19" wp14:editId="0C2FB770">
            <wp:extent cx="4264873" cy="2843584"/>
            <wp:effectExtent l="0" t="0" r="2540" b="0"/>
            <wp:docPr id="2" name="Picture 2" descr="Figure 5: Summary of Adjudicated Bleeding Endpoints in Study CV1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6328" cy="2844554"/>
                    </a:xfrm>
                    <a:prstGeom prst="rect">
                      <a:avLst/>
                    </a:prstGeom>
                    <a:noFill/>
                    <a:ln>
                      <a:noFill/>
                    </a:ln>
                  </pic:spPr>
                </pic:pic>
              </a:graphicData>
            </a:graphic>
          </wp:inline>
        </w:drawing>
      </w:r>
    </w:p>
    <w:p w:rsidR="008B3975" w:rsidRDefault="008B3975" w:rsidP="008C163B">
      <w:r>
        <w:lastRenderedPageBreak/>
        <w:t>Major bleeding events occurred in 0.2%/0.1%/0.5% of the 2.5 mg BD/5 mg BD/placebo groups (</w:t>
      </w:r>
      <w:proofErr w:type="spellStart"/>
      <w:r>
        <w:t>apixaban</w:t>
      </w:r>
      <w:proofErr w:type="spellEnd"/>
      <w:r>
        <w:t xml:space="preserve"> not statistically significantly different from placebo). Major/CRNMB events occurred in 3.2%/4.3%/2.7% of the 2.5 mg BD/5 mg BD/placebo groups. Intraocular haemorrhage occurred in 2 subjects in the 2.5mg BD group and 1 subject in the placebo group. No intracranial bleeds occurred in the </w:t>
      </w:r>
      <w:proofErr w:type="spellStart"/>
      <w:r>
        <w:t>apixaban</w:t>
      </w:r>
      <w:proofErr w:type="spellEnd"/>
      <w:r>
        <w:t xml:space="preserve"> groups. In the follow-up period bleeding AEs were reported in 0.7%/0.7%/1.1% of the 2.5 mg BD/5 mg BD/placebo groups.</w:t>
      </w:r>
    </w:p>
    <w:p w:rsidR="008C163B" w:rsidRDefault="008B3975" w:rsidP="008C163B">
      <w:pPr>
        <w:pStyle w:val="Heading5"/>
      </w:pPr>
      <w:r w:rsidRPr="008C163B">
        <w:t>Liver injury</w:t>
      </w:r>
    </w:p>
    <w:p w:rsidR="008B3975" w:rsidRPr="008C163B" w:rsidRDefault="008B3975" w:rsidP="00511CAF">
      <w:pPr>
        <w:rPr>
          <w:b/>
        </w:rPr>
      </w:pPr>
      <w:r w:rsidRPr="008C163B">
        <w:t xml:space="preserve">Elevated liver enzymes were reported in subjects in the three clinical studies. In </w:t>
      </w:r>
      <w:r w:rsidR="00D26E85" w:rsidRPr="008C163B">
        <w:t>Study 18</w:t>
      </w:r>
      <w:r w:rsidRPr="008C163B">
        <w:t xml:space="preserve">5056 6.1% (n=162) of the </w:t>
      </w:r>
      <w:proofErr w:type="spellStart"/>
      <w:r w:rsidRPr="008C163B">
        <w:t>apixaban</w:t>
      </w:r>
      <w:proofErr w:type="spellEnd"/>
      <w:r w:rsidRPr="008C163B">
        <w:t xml:space="preserve"> group and 11.5% (n=308) of the enoxaparin/warfarin group reported </w:t>
      </w:r>
      <w:r w:rsidRPr="00DC4B0E">
        <w:t xml:space="preserve">elevated liver enzymes. Of those 4 </w:t>
      </w:r>
      <w:proofErr w:type="spellStart"/>
      <w:r w:rsidRPr="00DC4B0E">
        <w:t>apixaban</w:t>
      </w:r>
      <w:proofErr w:type="spellEnd"/>
      <w:r w:rsidRPr="00DC4B0E">
        <w:t xml:space="preserve"> subjects (0.2%) had ALT or AST &gt;3</w:t>
      </w:r>
      <w:r w:rsidR="008C163B" w:rsidRPr="00DC4B0E">
        <w:t xml:space="preserve"> times </w:t>
      </w:r>
      <w:r w:rsidRPr="00DC4B0E">
        <w:t>ULN and BR&gt;2</w:t>
      </w:r>
      <w:r w:rsidR="008C163B" w:rsidRPr="00DC4B0E">
        <w:t xml:space="preserve"> times </w:t>
      </w:r>
      <w:r w:rsidRPr="00DC4B0E">
        <w:t>ULN on the same day and one had ALT&gt;3</w:t>
      </w:r>
      <w:r w:rsidR="008C163B" w:rsidRPr="00DC4B0E">
        <w:t xml:space="preserve"> times </w:t>
      </w:r>
      <w:r w:rsidRPr="00DC4B0E">
        <w:t>ULN, BR&gt;2</w:t>
      </w:r>
      <w:r w:rsidR="008C163B" w:rsidRPr="00DC4B0E">
        <w:t xml:space="preserve"> times </w:t>
      </w:r>
      <w:r w:rsidRPr="00DC4B0E">
        <w:t>ULN and ALP&lt; 2</w:t>
      </w:r>
      <w:r w:rsidR="008C163B" w:rsidRPr="00DC4B0E">
        <w:t xml:space="preserve"> times</w:t>
      </w:r>
      <w:r w:rsidR="008C163B">
        <w:t xml:space="preserve"> </w:t>
      </w:r>
      <w:r w:rsidRPr="008C163B">
        <w:t xml:space="preserve">ULN on the same date. The abnormality seen in the latter subject was considered by the sponsor to be related to </w:t>
      </w:r>
      <w:proofErr w:type="spellStart"/>
      <w:r w:rsidRPr="008C163B">
        <w:t>apixaban</w:t>
      </w:r>
      <w:proofErr w:type="spellEnd"/>
      <w:r w:rsidRPr="008C163B">
        <w:t>.</w:t>
      </w:r>
      <w:r w:rsidR="00127885" w:rsidRPr="008C163B">
        <w:t xml:space="preserve"> </w:t>
      </w:r>
      <w:r w:rsidRPr="008C163B">
        <w:t xml:space="preserve">In </w:t>
      </w:r>
      <w:r w:rsidR="00D26E85" w:rsidRPr="008C163B">
        <w:t>Study CV</w:t>
      </w:r>
      <w:r w:rsidRPr="008C163B">
        <w:t xml:space="preserve">185057 3.7%/3.0%/3.3% in the 2.5 mg BD/5 mg BD/placebo groups had elevated liver enzymes. ALT&gt;3xULN was reported in 1.1%/0.6%/1.1% of the 2.5 mg BD/5 mg BD/placebo groups. There were no </w:t>
      </w:r>
      <w:proofErr w:type="spellStart"/>
      <w:r w:rsidRPr="008C163B">
        <w:t>Hy’s</w:t>
      </w:r>
      <w:proofErr w:type="spellEnd"/>
      <w:r w:rsidRPr="008C163B">
        <w:t xml:space="preserve"> Law cases. In </w:t>
      </w:r>
      <w:r w:rsidR="00D26E85" w:rsidRPr="008C163B">
        <w:t>Study CV</w:t>
      </w:r>
      <w:r w:rsidRPr="008C163B">
        <w:t>185017 no subject had AST &gt;3xULN and BR&gt;2</w:t>
      </w:r>
      <w:r w:rsidR="008C163B">
        <w:t xml:space="preserve"> times </w:t>
      </w:r>
      <w:r w:rsidRPr="008C163B">
        <w:t>ULN on the same day. ALT or AST &gt;3</w:t>
      </w:r>
      <w:r w:rsidR="008C163B">
        <w:t xml:space="preserve"> times </w:t>
      </w:r>
      <w:r w:rsidRPr="008C163B">
        <w:t xml:space="preserve">ULN was reported for 5 subjects in the </w:t>
      </w:r>
      <w:proofErr w:type="spellStart"/>
      <w:r w:rsidRPr="008C163B">
        <w:t>apixaban</w:t>
      </w:r>
      <w:proofErr w:type="spellEnd"/>
      <w:r w:rsidRPr="008C163B">
        <w:t xml:space="preserve"> groups and 2 in the LMWH-VKA group.</w:t>
      </w:r>
    </w:p>
    <w:p w:rsidR="008B3975" w:rsidRPr="00DC4B0E" w:rsidRDefault="008B3975" w:rsidP="00511CAF">
      <w:r>
        <w:t xml:space="preserve">The clinical evaluator also raised the issue of the safety of </w:t>
      </w:r>
      <w:proofErr w:type="spellStart"/>
      <w:r>
        <w:t>apixaban</w:t>
      </w:r>
      <w:proofErr w:type="spellEnd"/>
      <w:r>
        <w:t xml:space="preserve"> while breast feeding, based on the findings of a previously </w:t>
      </w:r>
      <w:r w:rsidRPr="00DC4B0E">
        <w:t xml:space="preserve">evaluated rat study in which it was concentrated in breast milk and that it is a substrate of the </w:t>
      </w:r>
      <w:r w:rsidR="00DC4B0E" w:rsidRPr="00DC4B0E">
        <w:t>Breast Cancer Resistance Protein (</w:t>
      </w:r>
      <w:r w:rsidRPr="00DC4B0E">
        <w:t>BCRP</w:t>
      </w:r>
      <w:r w:rsidR="00DC4B0E" w:rsidRPr="00DC4B0E">
        <w:t>)</w:t>
      </w:r>
      <w:r w:rsidRPr="00DC4B0E">
        <w:t xml:space="preserve"> efflux transporter. A warning regarding breast feeding is included in the proposed PI. The ACPM will be asked to comment on its adequacy.</w:t>
      </w:r>
    </w:p>
    <w:p w:rsidR="008B3975" w:rsidRPr="008C163B" w:rsidRDefault="008B3975" w:rsidP="00511CAF">
      <w:r w:rsidRPr="008C163B">
        <w:t xml:space="preserve">The summary of post-market data (Summary of Clinical Safety) was consistent with the known safety concerns for </w:t>
      </w:r>
      <w:proofErr w:type="spellStart"/>
      <w:r w:rsidRPr="008C163B">
        <w:t>apixaban</w:t>
      </w:r>
      <w:proofErr w:type="spellEnd"/>
      <w:r w:rsidRPr="008C163B">
        <w:t xml:space="preserve"> (bleeding events; PE/thrombosis/drug ineffective; hepatic events).</w:t>
      </w:r>
    </w:p>
    <w:p w:rsidR="008E7846" w:rsidRDefault="00386150" w:rsidP="008C163B">
      <w:pPr>
        <w:pStyle w:val="Heading3"/>
        <w:rPr>
          <w:lang w:eastAsia="en-AU"/>
        </w:rPr>
      </w:pPr>
      <w:bookmarkStart w:id="188" w:name="_Toc436386780"/>
      <w:r>
        <w:rPr>
          <w:lang w:eastAsia="en-AU"/>
        </w:rPr>
        <w:t>Risk m</w:t>
      </w:r>
      <w:r w:rsidR="008E7846">
        <w:rPr>
          <w:lang w:eastAsia="en-AU"/>
        </w:rPr>
        <w:t xml:space="preserve">anagement </w:t>
      </w:r>
      <w:r>
        <w:rPr>
          <w:lang w:eastAsia="en-AU"/>
        </w:rPr>
        <w:t>p</w:t>
      </w:r>
      <w:r w:rsidR="008E7846">
        <w:rPr>
          <w:lang w:eastAsia="en-AU"/>
        </w:rPr>
        <w:t>lan</w:t>
      </w:r>
      <w:bookmarkEnd w:id="187"/>
      <w:bookmarkEnd w:id="188"/>
    </w:p>
    <w:p w:rsidR="008B3975" w:rsidRDefault="008B3975" w:rsidP="008C163B">
      <w:r>
        <w:t xml:space="preserve">The </w:t>
      </w:r>
      <w:r w:rsidR="008C163B">
        <w:t xml:space="preserve">RMP evaluation unit </w:t>
      </w:r>
      <w:r>
        <w:t xml:space="preserve">has accepted the EU Risk Management Plan (version 13, document date 7 July 2014, </w:t>
      </w:r>
      <w:proofErr w:type="gramStart"/>
      <w:r>
        <w:t>data</w:t>
      </w:r>
      <w:proofErr w:type="gramEnd"/>
      <w:r>
        <w:t xml:space="preserve"> lock point 17 May 2013) and Australian Specific Annex (version 6, d</w:t>
      </w:r>
      <w:r w:rsidR="00533297">
        <w:t>ocument date 13 November 2014).</w:t>
      </w:r>
    </w:p>
    <w:p w:rsidR="008B3975" w:rsidRDefault="008B3975" w:rsidP="008C163B">
      <w:r>
        <w:t xml:space="preserve">The following were outstanding matters and should be followed up in </w:t>
      </w:r>
      <w:r w:rsidR="008C163B">
        <w:t xml:space="preserve">sponsor’s </w:t>
      </w:r>
      <w:r>
        <w:t>the Pre-ACPM Response:</w:t>
      </w:r>
    </w:p>
    <w:p w:rsidR="008B3975" w:rsidRDefault="008B3975" w:rsidP="008C163B">
      <w:pPr>
        <w:pStyle w:val="ListBullet"/>
      </w:pPr>
      <w:r>
        <w:t xml:space="preserve">Revision of the Australia Specific Annex in accordance with the requirements of the RMP evaluator as outlined in the </w:t>
      </w:r>
      <w:r w:rsidR="008C163B">
        <w:t>second r</w:t>
      </w:r>
      <w:r>
        <w:t>ound RMP Evaluation report.</w:t>
      </w:r>
    </w:p>
    <w:p w:rsidR="008E7846" w:rsidRDefault="00AA0ED0" w:rsidP="008E7846">
      <w:pPr>
        <w:pStyle w:val="Heading3"/>
      </w:pPr>
      <w:bookmarkStart w:id="189" w:name="_Toc247691531"/>
      <w:bookmarkStart w:id="190" w:name="_Toc314842515"/>
      <w:bookmarkStart w:id="191" w:name="_Toc196046505"/>
      <w:bookmarkStart w:id="192" w:name="_Toc196046949"/>
      <w:bookmarkStart w:id="193" w:name="_Toc436386781"/>
      <w:r>
        <w:t>Risk-benefit a</w:t>
      </w:r>
      <w:r w:rsidR="008E7846">
        <w:t>nalysis</w:t>
      </w:r>
      <w:bookmarkEnd w:id="189"/>
      <w:bookmarkEnd w:id="190"/>
      <w:bookmarkEnd w:id="193"/>
    </w:p>
    <w:p w:rsidR="008B3975" w:rsidRPr="00533297" w:rsidRDefault="00533297" w:rsidP="00533297">
      <w:pPr>
        <w:pStyle w:val="Heading4"/>
      </w:pPr>
      <w:r>
        <w:t>Delegate’s considerations</w:t>
      </w:r>
    </w:p>
    <w:p w:rsidR="008C163B" w:rsidRDefault="008B3975" w:rsidP="00533297">
      <w:pPr>
        <w:pStyle w:val="Heading5"/>
      </w:pPr>
      <w:r w:rsidRPr="00533297">
        <w:t>Efficacy</w:t>
      </w:r>
    </w:p>
    <w:p w:rsidR="008B3975" w:rsidRDefault="008B3975" w:rsidP="008C163B">
      <w:r>
        <w:t xml:space="preserve">The sponsor has relied on a single pivotal study (CV185056) to support its proposed indication for the treatment of VTE. This was a large study with over 2000 patients in each treatment arm that completed the study. The detection of new or recurrent VTE outcomes in Study CV185056 was event driven (clinical suspicion of an event followed by diagnostic radiology), and there was no routine radiological follow-up of the index event. This is study design is in accordance with TGA adopted EU guidelines. </w:t>
      </w:r>
      <w:proofErr w:type="spellStart"/>
      <w:r>
        <w:t>Apixaban</w:t>
      </w:r>
      <w:proofErr w:type="spellEnd"/>
      <w:r>
        <w:t xml:space="preserve"> was shown to be non-inferior to a combination of enoxaparin and warfarin for the composite endpoint of </w:t>
      </w:r>
      <w:r>
        <w:lastRenderedPageBreak/>
        <w:t xml:space="preserve">symptomatic recurrent VTE or VTE-related death. The key secondary endpoints of the study were supportive of the findings, as were the individual components of the composite endpoints. In the dose finding study (CV185017) the DVT thrombotic burden, as measured by the proximal thrombus on CUS showed an improvement in 70 </w:t>
      </w:r>
      <w:r w:rsidR="008C163B">
        <w:t>to</w:t>
      </w:r>
      <w:r>
        <w:t xml:space="preserve"> 72% of subjects taking </w:t>
      </w:r>
      <w:proofErr w:type="spellStart"/>
      <w:r>
        <w:t>apixaban</w:t>
      </w:r>
      <w:proofErr w:type="spellEnd"/>
      <w:r>
        <w:t xml:space="preserve"> 5 mg BD or 10 mg BD. In this study the PE thrombotic burden, measured by the composite lung thrombus score improved in 38 </w:t>
      </w:r>
      <w:r w:rsidR="008C163B">
        <w:t>to</w:t>
      </w:r>
      <w:r>
        <w:t xml:space="preserve"> 40% of subjects. An increase in the thrombotic burden of DVT was shown in 1.7% on the 5 mg BD dose and 2.4% in the 10 mg BD dose, and for PE 3.4% and 0.8% for the 5 mg BD and 10 mg BD doses, respectively. The findings of this study support the indicati</w:t>
      </w:r>
      <w:r w:rsidR="00E42479">
        <w:t>on for treatment of DVT and PE.</w:t>
      </w:r>
    </w:p>
    <w:p w:rsidR="008B3975" w:rsidRDefault="008B3975" w:rsidP="008C163B">
      <w:r>
        <w:t xml:space="preserve">A single pivotal study (CV185057) demonstrated the superiority of 2.5 mg BD and 5 mg BD of </w:t>
      </w:r>
      <w:proofErr w:type="spellStart"/>
      <w:r>
        <w:t>apixaban</w:t>
      </w:r>
      <w:proofErr w:type="spellEnd"/>
      <w:r>
        <w:t xml:space="preserve"> over placebo in the prevention of the composite endpoint of symptomatic recurrent VTE or all-cause death. The efficacy was similar for both doses of </w:t>
      </w:r>
      <w:proofErr w:type="spellStart"/>
      <w:r>
        <w:t>apixaban</w:t>
      </w:r>
      <w:proofErr w:type="spellEnd"/>
      <w:r>
        <w:t>. The key secondary composite endpoints supported the findings. The individual components of the composite endpoints did not all reach statistical significance for a risk reduction compared with placebo, although there was a reduction in relative risk of each event type compared with placebo. There was no clear efficacy advantage for the 5 mg BD dose over the 2.5 mg BD dose but the study was not designed for cross group comparisons. In both the pivotal studies the most common reason for discontinuation was lack of efficacy, although lack of efficacy was more</w:t>
      </w:r>
      <w:r w:rsidR="00E42479">
        <w:t xml:space="preserve"> common in the comparator arms.</w:t>
      </w:r>
    </w:p>
    <w:p w:rsidR="008C163B" w:rsidRDefault="008B3975" w:rsidP="008C163B">
      <w:pPr>
        <w:pStyle w:val="Heading5"/>
      </w:pPr>
      <w:r w:rsidRPr="008C163B">
        <w:t>Safety and RMP</w:t>
      </w:r>
    </w:p>
    <w:p w:rsidR="008B3975" w:rsidRDefault="008B3975" w:rsidP="00DB6C72">
      <w:r>
        <w:t xml:space="preserve">A total of 4,712 subjects were exposed to doses of 2.5 mg BD to </w:t>
      </w:r>
      <w:r w:rsidRPr="00DC4B0E">
        <w:t>20 mg QD in the</w:t>
      </w:r>
      <w:r>
        <w:t xml:space="preserve"> clinical trials for </w:t>
      </w:r>
      <w:proofErr w:type="spellStart"/>
      <w:r>
        <w:t>apixaban</w:t>
      </w:r>
      <w:proofErr w:type="spellEnd"/>
      <w:r>
        <w:t xml:space="preserve"> for the proposed indications. The duration of exposure in the prevention study was only one year but this meets the recommendations from the TGA adopted EU guidelines. The primary safety concern with </w:t>
      </w:r>
      <w:proofErr w:type="spellStart"/>
      <w:r>
        <w:t>apixaban</w:t>
      </w:r>
      <w:proofErr w:type="spellEnd"/>
      <w:r>
        <w:t xml:space="preserve"> is bleeding events. There is no specific antidote but a candidate specific reversal agent is undergoing development. The risk of major bleeding and major bleeding </w:t>
      </w:r>
      <w:r w:rsidR="008C163B">
        <w:t>plus</w:t>
      </w:r>
      <w:r>
        <w:t xml:space="preserve"> clinical relevant non-major bleeding events reported was significantly lower with </w:t>
      </w:r>
      <w:proofErr w:type="spellStart"/>
      <w:r>
        <w:t>apixaban</w:t>
      </w:r>
      <w:proofErr w:type="spellEnd"/>
      <w:r>
        <w:t xml:space="preserve"> than enoxaparin/warfarin in the treatment study. The increased risk of bleeding in the prevention study was greater with </w:t>
      </w:r>
      <w:proofErr w:type="spellStart"/>
      <w:r>
        <w:t>apixaban</w:t>
      </w:r>
      <w:proofErr w:type="spellEnd"/>
      <w:r>
        <w:t xml:space="preserve"> than placebo as would be expected. The event rates were lower for major bleeding than in the treatment study for the same dose of </w:t>
      </w:r>
      <w:proofErr w:type="spellStart"/>
      <w:r>
        <w:t>apixaban</w:t>
      </w:r>
      <w:proofErr w:type="spellEnd"/>
      <w:r>
        <w:t xml:space="preserve"> but for the combination of major bleeding and CRNMB the frequency of events was the same. Major bleeding in both studies was less frequent than reported in the ARISTOTLE (2.13%) and AVERROES (1.41%) studies for stroke prevention in patients with atrial fibrillation.</w:t>
      </w:r>
    </w:p>
    <w:p w:rsidR="008B3975" w:rsidRDefault="008B3975" w:rsidP="00DB6C72">
      <w:r>
        <w:t>Liver enzymes elevations had been previously noted in clinical studies and liver enzyme elevations are mentioned in the PI and the RMP. Elevations of liver enzymes were noted in both pivotal studies and in the Phase II study. Elevations of ALT&gt;3</w:t>
      </w:r>
      <w:r w:rsidR="007A7A36">
        <w:t xml:space="preserve"> times</w:t>
      </w:r>
      <w:r>
        <w:t xml:space="preserve"> ULN occurred in up to 3.7% of subjects taking </w:t>
      </w:r>
      <w:proofErr w:type="spellStart"/>
      <w:r>
        <w:t>apixaban</w:t>
      </w:r>
      <w:proofErr w:type="spellEnd"/>
      <w:r>
        <w:t xml:space="preserve"> but there was no obvious dose-dependent relationship in the dose-finding study and liver enzyme elevations were also</w:t>
      </w:r>
      <w:r w:rsidR="00E42479">
        <w:t xml:space="preserve"> seen in the comparator groups.</w:t>
      </w:r>
    </w:p>
    <w:p w:rsidR="008B3975" w:rsidRDefault="008B3975" w:rsidP="00DB6C72">
      <w:r>
        <w:t xml:space="preserve">There was an increase in thromboembolic events in the period 3 to 30 days after the completion of </w:t>
      </w:r>
      <w:r w:rsidR="00D26E85">
        <w:t>Study CV</w:t>
      </w:r>
      <w:r>
        <w:t xml:space="preserve">185057 in the </w:t>
      </w:r>
      <w:proofErr w:type="spellStart"/>
      <w:r>
        <w:t>apixaban</w:t>
      </w:r>
      <w:proofErr w:type="spellEnd"/>
      <w:r>
        <w:t xml:space="preserve"> groups compared to the placebo group. The sponsor will be asked for comment.</w:t>
      </w:r>
    </w:p>
    <w:p w:rsidR="008C163B" w:rsidRDefault="008B3975" w:rsidP="008C163B">
      <w:pPr>
        <w:pStyle w:val="Heading5"/>
      </w:pPr>
      <w:r w:rsidRPr="008C163B">
        <w:t>Dose</w:t>
      </w:r>
    </w:p>
    <w:p w:rsidR="008B3975" w:rsidRPr="008C163B" w:rsidRDefault="008B3975" w:rsidP="00DC4B0E">
      <w:r w:rsidRPr="008C163B">
        <w:t>The clinical evaluator has supported a dose of 10 mg BD initially followed by 5 mg BD for the prevention of VTE.</w:t>
      </w:r>
      <w:r w:rsidR="00127885" w:rsidRPr="008C163B">
        <w:t xml:space="preserve"> </w:t>
      </w:r>
      <w:r w:rsidRPr="008C163B">
        <w:t>The 10 mg BD initial dose is supported by the dose finding study in that approximately 82% had an improvement in their thrombotic burden and 5.6% deteriorated and 12.8% we</w:t>
      </w:r>
      <w:r w:rsidR="007A7A36">
        <w:t xml:space="preserve">re unchanged, </w:t>
      </w:r>
      <w:r w:rsidRPr="008C163B">
        <w:t>representing the best overall improvement of the doses tested. There was little difference between the major bleeding events between the groups and CRNMB was lowest in the 10 mg BD dose group. The dose</w:t>
      </w:r>
      <w:r w:rsidR="007A7A36">
        <w:t xml:space="preserve"> </w:t>
      </w:r>
      <w:r w:rsidRPr="008C163B">
        <w:t xml:space="preserve">finding study was for 12 weeks. It is reasonable for ongoing therapy to choose the 5 mg BD for ongoing </w:t>
      </w:r>
      <w:r w:rsidRPr="008C163B">
        <w:lastRenderedPageBreak/>
        <w:t xml:space="preserve">treatment as it was the lowest dose with acceptable efficacy. The clinical evaluator supported a dose of 2.5 mg BD for the prevention of recurrent VTE events. The 2.5 mg BD dose had a reduction in risk of VTE and lower risk of bleeding compared to the 5 mg BD dose. The composite endpoint of recurrent VTE or all-cause death was occurred in 3.8% of subjects (or 2.3% in the sensitivity analysis of adjudicated events without imputation) taking 2.5 mg BD </w:t>
      </w:r>
      <w:proofErr w:type="spellStart"/>
      <w:r w:rsidRPr="008C163B">
        <w:t>apixaban</w:t>
      </w:r>
      <w:proofErr w:type="spellEnd"/>
      <w:r w:rsidRPr="008C163B">
        <w:t xml:space="preserve">, and 4.2% taking </w:t>
      </w:r>
      <w:proofErr w:type="spellStart"/>
      <w:r w:rsidRPr="008C163B">
        <w:t>apixaban</w:t>
      </w:r>
      <w:proofErr w:type="spellEnd"/>
      <w:r w:rsidRPr="008C163B">
        <w:t xml:space="preserve"> 5 mg BD (1.7% without imputation). The composite of major bleeding and CRNMB occurred in 3.2% of the </w:t>
      </w:r>
      <w:proofErr w:type="spellStart"/>
      <w:r w:rsidRPr="008C163B">
        <w:t>apixaban</w:t>
      </w:r>
      <w:proofErr w:type="spellEnd"/>
      <w:r w:rsidRPr="008C163B">
        <w:t xml:space="preserve"> 2.5 mg BD and 4.3% of the </w:t>
      </w:r>
      <w:proofErr w:type="spellStart"/>
      <w:r w:rsidRPr="008C163B">
        <w:t>apixaban</w:t>
      </w:r>
      <w:proofErr w:type="spellEnd"/>
      <w:r w:rsidRPr="008C163B">
        <w:t xml:space="preserve"> 5mg BD. There is a higher risk of non-fatal PE but a lower risk of VTE –related death in the 2.5 mg BD group and this is balanced against the bleeding risk.</w:t>
      </w:r>
    </w:p>
    <w:p w:rsidR="007A7A36" w:rsidRDefault="008B3975" w:rsidP="007A7A36">
      <w:pPr>
        <w:pStyle w:val="Heading6"/>
      </w:pPr>
      <w:r w:rsidRPr="007A7A36">
        <w:t>Indication</w:t>
      </w:r>
    </w:p>
    <w:p w:rsidR="008B3975" w:rsidRDefault="008B3975" w:rsidP="007A7A36">
      <w:r>
        <w:t>The clinical evaluator supported the indications:</w:t>
      </w:r>
    </w:p>
    <w:p w:rsidR="008B3975" w:rsidRPr="007A7A36" w:rsidRDefault="00657A92" w:rsidP="007A7A36">
      <w:pPr>
        <w:ind w:left="720"/>
        <w:rPr>
          <w:i/>
        </w:rPr>
      </w:pPr>
      <w:proofErr w:type="spellStart"/>
      <w:r w:rsidRPr="007A7A36">
        <w:rPr>
          <w:i/>
        </w:rPr>
        <w:t>Eliquis</w:t>
      </w:r>
      <w:proofErr w:type="spellEnd"/>
      <w:r w:rsidR="008B3975" w:rsidRPr="007A7A36">
        <w:rPr>
          <w:i/>
        </w:rPr>
        <w:t xml:space="preserve"> is indicated for the treatment of deep vein thrombosis (DVT) and pulmonary embolism (PE).</w:t>
      </w:r>
    </w:p>
    <w:p w:rsidR="008B3975" w:rsidRPr="007A7A36" w:rsidRDefault="00657A92" w:rsidP="007A7A36">
      <w:pPr>
        <w:ind w:left="720"/>
        <w:rPr>
          <w:i/>
        </w:rPr>
      </w:pPr>
      <w:proofErr w:type="spellStart"/>
      <w:r w:rsidRPr="007A7A36">
        <w:rPr>
          <w:i/>
        </w:rPr>
        <w:t>Eliquis</w:t>
      </w:r>
      <w:proofErr w:type="spellEnd"/>
      <w:r w:rsidR="008B3975" w:rsidRPr="007A7A36">
        <w:rPr>
          <w:i/>
        </w:rPr>
        <w:t xml:space="preserve"> is indicated for the prevention of recurrent DVT and PE.</w:t>
      </w:r>
    </w:p>
    <w:p w:rsidR="008B3975" w:rsidRDefault="008B3975" w:rsidP="007A7A36">
      <w:r>
        <w:t xml:space="preserve">The proposed wording is consistent with the approved indication internationally for </w:t>
      </w:r>
      <w:proofErr w:type="spellStart"/>
      <w:r>
        <w:t>apixaban</w:t>
      </w:r>
      <w:proofErr w:type="spellEnd"/>
      <w:r>
        <w:t xml:space="preserve"> for the proposed indications and, although broader than the clinical trial populations, is considered acceptable. The proposed PI includes precautionary statements against the use of </w:t>
      </w:r>
      <w:proofErr w:type="spellStart"/>
      <w:r>
        <w:t>apixaban</w:t>
      </w:r>
      <w:proofErr w:type="spellEnd"/>
      <w:r>
        <w:t xml:space="preserve"> for </w:t>
      </w:r>
      <w:proofErr w:type="spellStart"/>
      <w:r>
        <w:t>haemodynamically</w:t>
      </w:r>
      <w:proofErr w:type="spellEnd"/>
      <w:r>
        <w:t xml:space="preserve"> unstable patients.</w:t>
      </w:r>
    </w:p>
    <w:p w:rsidR="007A7A36" w:rsidRDefault="008B3975" w:rsidP="007A7A36">
      <w:pPr>
        <w:pStyle w:val="Heading5"/>
      </w:pPr>
      <w:r w:rsidRPr="007A7A36">
        <w:t>Data deficiencies</w:t>
      </w:r>
    </w:p>
    <w:p w:rsidR="008B3975" w:rsidRDefault="00B3393D" w:rsidP="00511CAF">
      <w:r>
        <w:t xml:space="preserve">  White men predominated as subjects in the studies. </w:t>
      </w:r>
      <w:r w:rsidR="008B3975">
        <w:t>There were no patients with PE requiring interventions other than anticoagulation.</w:t>
      </w:r>
      <w:r w:rsidR="00127885">
        <w:t xml:space="preserve"> </w:t>
      </w:r>
      <w:r w:rsidR="008B3975">
        <w:t>Between 3% and 4% of the patients in each of the pivotal studies took non-study anticoagulants. As the outcome event numbers are small this may have had an impact on the results. The sponsor will be requested to comment.</w:t>
      </w:r>
    </w:p>
    <w:p w:rsidR="007A7A36" w:rsidRPr="007A7A36" w:rsidRDefault="008B3975" w:rsidP="007A7A36">
      <w:pPr>
        <w:pStyle w:val="Heading5"/>
      </w:pPr>
      <w:r>
        <w:t xml:space="preserve">Conditions of </w:t>
      </w:r>
      <w:r w:rsidR="00E42479">
        <w:t>r</w:t>
      </w:r>
      <w:r>
        <w:t>egistration</w:t>
      </w:r>
    </w:p>
    <w:p w:rsidR="008B3975" w:rsidRDefault="008B3975" w:rsidP="007A7A36">
      <w:r>
        <w:t>The following are proposed as conditions of registration:</w:t>
      </w:r>
    </w:p>
    <w:p w:rsidR="008B3975" w:rsidRDefault="008B3975" w:rsidP="005349EC">
      <w:pPr>
        <w:pStyle w:val="Numberbullet0"/>
        <w:numPr>
          <w:ilvl w:val="0"/>
          <w:numId w:val="20"/>
        </w:numPr>
      </w:pPr>
      <w:r>
        <w:t>The EU-RMP (version 13, document date 7 July 2014</w:t>
      </w:r>
      <w:r w:rsidR="00210471">
        <w:t xml:space="preserve"> with</w:t>
      </w:r>
      <w:r>
        <w:t xml:space="preserve"> data lock point 17 May 2013) and Australian Specific Annex (version 6, document date 13 November 2014) to be revised to the satisfaction of the TGA</w:t>
      </w:r>
      <w:r w:rsidR="00B3393D">
        <w:t xml:space="preserve"> </w:t>
      </w:r>
      <w:r>
        <w:t>must be implemented.</w:t>
      </w:r>
      <w:r w:rsidRPr="007A7A36">
        <w:rPr>
          <w:sz w:val="24"/>
          <w:szCs w:val="24"/>
        </w:rPr>
        <w:t xml:space="preserve"> </w:t>
      </w:r>
    </w:p>
    <w:p w:rsidR="007A7A36" w:rsidRDefault="008B3975" w:rsidP="007A7A36">
      <w:pPr>
        <w:pStyle w:val="Heading5"/>
      </w:pPr>
      <w:r w:rsidRPr="007A7A36">
        <w:t xml:space="preserve">Questions for the </w:t>
      </w:r>
      <w:r w:rsidR="007A7A36">
        <w:t>s</w:t>
      </w:r>
      <w:r w:rsidRPr="007A7A36">
        <w:t>ponsor</w:t>
      </w:r>
    </w:p>
    <w:p w:rsidR="008B3975" w:rsidRDefault="008B3975" w:rsidP="007A7A36">
      <w:pPr>
        <w:spacing w:before="0" w:after="0" w:line="240" w:lineRule="auto"/>
        <w:jc w:val="both"/>
      </w:pPr>
      <w:r>
        <w:t>The sponsor is requested to address the following issues in the Pre-ACPM Response:</w:t>
      </w:r>
    </w:p>
    <w:p w:rsidR="008B3975" w:rsidRDefault="008B3975" w:rsidP="005349EC">
      <w:pPr>
        <w:pStyle w:val="Numberbullet0"/>
        <w:numPr>
          <w:ilvl w:val="0"/>
          <w:numId w:val="21"/>
        </w:numPr>
      </w:pPr>
      <w:proofErr w:type="spellStart"/>
      <w:r>
        <w:t>Enteroenteric</w:t>
      </w:r>
      <w:proofErr w:type="spellEnd"/>
      <w:r>
        <w:t xml:space="preserve"> re-circulation of </w:t>
      </w:r>
      <w:proofErr w:type="spellStart"/>
      <w:r>
        <w:t>apixaban</w:t>
      </w:r>
      <w:proofErr w:type="spellEnd"/>
      <w:r>
        <w:t xml:space="preserve"> has been demonstrated in animal models for </w:t>
      </w:r>
      <w:proofErr w:type="spellStart"/>
      <w:r>
        <w:t>apixaban</w:t>
      </w:r>
      <w:proofErr w:type="spellEnd"/>
      <w:r>
        <w:t xml:space="preserve"> and activated charcoal has been demonstrated to reduce exposure in animals and humans. Does the sponsor plan to investigate the use of repeat dose activated charcoal?</w:t>
      </w:r>
    </w:p>
    <w:p w:rsidR="008B3975" w:rsidRDefault="008B3975" w:rsidP="005349EC">
      <w:pPr>
        <w:pStyle w:val="Numberbullet0"/>
        <w:numPr>
          <w:ilvl w:val="0"/>
          <w:numId w:val="21"/>
        </w:numPr>
      </w:pPr>
      <w:r w:rsidRPr="007A7A36">
        <w:rPr>
          <w:rFonts w:asciiTheme="minorHAnsi" w:hAnsiTheme="minorHAnsi"/>
        </w:rPr>
        <w:t>The bioequivalence of the oral solution and crushed tablet has been demonstrated in studies included in this submission. Please indicate how the bioequivalence of the whole 5 mg tablet and the crushed 5</w:t>
      </w:r>
      <w:r w:rsidR="00E42479">
        <w:rPr>
          <w:rFonts w:asciiTheme="minorHAnsi" w:hAnsiTheme="minorHAnsi"/>
        </w:rPr>
        <w:t xml:space="preserve"> mg tablet has been identified.</w:t>
      </w:r>
    </w:p>
    <w:p w:rsidR="008B3975" w:rsidRDefault="008B3975" w:rsidP="005349EC">
      <w:pPr>
        <w:pStyle w:val="Numberbullet0"/>
        <w:numPr>
          <w:ilvl w:val="0"/>
          <w:numId w:val="21"/>
        </w:numPr>
      </w:pPr>
      <w:r w:rsidRPr="007A7A36">
        <w:rPr>
          <w:rFonts w:asciiTheme="minorHAnsi" w:hAnsiTheme="minorHAnsi"/>
        </w:rPr>
        <w:t>The population PK derived fractional clearance for subjects of Asian race was decreased by 16.8%. Please indicate the reason the sponsor has not included this information in the relev</w:t>
      </w:r>
      <w:r w:rsidR="00E42479">
        <w:rPr>
          <w:rFonts w:asciiTheme="minorHAnsi" w:hAnsiTheme="minorHAnsi"/>
        </w:rPr>
        <w:t>ant section of the PI?</w:t>
      </w:r>
    </w:p>
    <w:p w:rsidR="008B3975" w:rsidRDefault="008B3975" w:rsidP="005349EC">
      <w:pPr>
        <w:pStyle w:val="Numberbullet0"/>
        <w:numPr>
          <w:ilvl w:val="0"/>
          <w:numId w:val="21"/>
        </w:numPr>
      </w:pPr>
      <w:r w:rsidRPr="007A7A36">
        <w:rPr>
          <w:rFonts w:asciiTheme="minorHAnsi" w:hAnsiTheme="minorHAnsi"/>
        </w:rPr>
        <w:t>During Stud</w:t>
      </w:r>
      <w:r w:rsidR="00861241">
        <w:rPr>
          <w:rFonts w:asciiTheme="minorHAnsi" w:hAnsiTheme="minorHAnsi"/>
        </w:rPr>
        <w:t>ies</w:t>
      </w:r>
      <w:r w:rsidRPr="007A7A36">
        <w:rPr>
          <w:rFonts w:asciiTheme="minorHAnsi" w:hAnsiTheme="minorHAnsi"/>
        </w:rPr>
        <w:t xml:space="preserve"> CV185056 and CV185057 3 to 4% of subjects took non study anticoagulants. Please comment on the impact of these major protocol violations on the outcomes of the studies. In </w:t>
      </w:r>
      <w:r w:rsidR="00861241">
        <w:rPr>
          <w:rFonts w:asciiTheme="minorHAnsi" w:hAnsiTheme="minorHAnsi"/>
        </w:rPr>
        <w:t>the</w:t>
      </w:r>
      <w:r w:rsidRPr="007A7A36">
        <w:rPr>
          <w:rFonts w:asciiTheme="minorHAnsi" w:hAnsiTheme="minorHAnsi"/>
        </w:rPr>
        <w:t xml:space="preserve"> response please include a comment on the impacts for safety as well as efficacy.</w:t>
      </w:r>
    </w:p>
    <w:p w:rsidR="008B3975" w:rsidRDefault="008B3975" w:rsidP="005349EC">
      <w:pPr>
        <w:pStyle w:val="Numberbullet0"/>
        <w:numPr>
          <w:ilvl w:val="0"/>
          <w:numId w:val="21"/>
        </w:numPr>
      </w:pPr>
      <w:r w:rsidRPr="007A7A36">
        <w:rPr>
          <w:rFonts w:asciiTheme="minorHAnsi" w:hAnsiTheme="minorHAnsi"/>
        </w:rPr>
        <w:lastRenderedPageBreak/>
        <w:t xml:space="preserve">Please provide a justification for not including a precautionary statement against the use of </w:t>
      </w:r>
      <w:proofErr w:type="spellStart"/>
      <w:r w:rsidRPr="007A7A36">
        <w:rPr>
          <w:rFonts w:asciiTheme="minorHAnsi" w:hAnsiTheme="minorHAnsi"/>
        </w:rPr>
        <w:t>apixaban</w:t>
      </w:r>
      <w:proofErr w:type="spellEnd"/>
      <w:r w:rsidRPr="007A7A36">
        <w:rPr>
          <w:rFonts w:asciiTheme="minorHAnsi" w:hAnsiTheme="minorHAnsi"/>
        </w:rPr>
        <w:t xml:space="preserve"> in subjects with active cancer, similar to the one th</w:t>
      </w:r>
      <w:r w:rsidR="00861241">
        <w:rPr>
          <w:rFonts w:asciiTheme="minorHAnsi" w:hAnsiTheme="minorHAnsi"/>
        </w:rPr>
        <w:t xml:space="preserve">at appears in the </w:t>
      </w:r>
      <w:proofErr w:type="spellStart"/>
      <w:r w:rsidR="00861241">
        <w:rPr>
          <w:rFonts w:asciiTheme="minorHAnsi" w:hAnsiTheme="minorHAnsi"/>
        </w:rPr>
        <w:t>SmPC</w:t>
      </w:r>
      <w:proofErr w:type="spellEnd"/>
      <w:r w:rsidRPr="007A7A36">
        <w:rPr>
          <w:rFonts w:asciiTheme="minorHAnsi" w:hAnsiTheme="minorHAnsi"/>
        </w:rPr>
        <w:t>.</w:t>
      </w:r>
    </w:p>
    <w:p w:rsidR="008B3975" w:rsidRDefault="008B3975" w:rsidP="005349EC">
      <w:pPr>
        <w:pStyle w:val="Numberbullet0"/>
        <w:numPr>
          <w:ilvl w:val="0"/>
          <w:numId w:val="21"/>
        </w:numPr>
      </w:pPr>
      <w:r w:rsidRPr="007A7A36">
        <w:rPr>
          <w:rFonts w:asciiTheme="minorHAnsi" w:hAnsiTheme="minorHAnsi"/>
        </w:rPr>
        <w:t>The clinical evaluator was not satisfied with the response to the question about symptomatic DVT. Please indicate if the sponsor considered a DVT ‘symptomatic’ if it was proximal, regardless of the symptoms the subject complained of. If not, please identify what the sponsor considered ‘sympt</w:t>
      </w:r>
      <w:r w:rsidR="00E42479">
        <w:rPr>
          <w:rFonts w:asciiTheme="minorHAnsi" w:hAnsiTheme="minorHAnsi"/>
        </w:rPr>
        <w:t>omatic’ in these subjects.</w:t>
      </w:r>
    </w:p>
    <w:p w:rsidR="008B3975" w:rsidRPr="008B3975" w:rsidRDefault="008B3975" w:rsidP="00861241">
      <w:pPr>
        <w:pStyle w:val="Numberbullet0"/>
      </w:pPr>
      <w:r>
        <w:t xml:space="preserve">A larger proportion of patients reported thromboembolic events during days 3 to 30 after the completion of </w:t>
      </w:r>
      <w:r w:rsidR="00D26E85">
        <w:t>Study CV</w:t>
      </w:r>
      <w:r>
        <w:t xml:space="preserve">185057 in the </w:t>
      </w:r>
      <w:proofErr w:type="spellStart"/>
      <w:r>
        <w:t>apixaban</w:t>
      </w:r>
      <w:proofErr w:type="spellEnd"/>
      <w:r>
        <w:t xml:space="preserve"> groups compared to placebo. Please provide comment on whether there is a ‘rebound’ or withdrawal phenomenon in VTE patients.</w:t>
      </w:r>
    </w:p>
    <w:p w:rsidR="008B3975" w:rsidRDefault="008B3975" w:rsidP="00E42479">
      <w:pPr>
        <w:pStyle w:val="Heading4"/>
      </w:pPr>
      <w:r>
        <w:t xml:space="preserve">Summary of </w:t>
      </w:r>
      <w:r w:rsidRPr="00E42479">
        <w:t>issues</w:t>
      </w:r>
    </w:p>
    <w:p w:rsidR="008B3975" w:rsidRDefault="008B3975" w:rsidP="008B3975">
      <w:pPr>
        <w:rPr>
          <w:rFonts w:asciiTheme="minorHAnsi" w:hAnsiTheme="minorHAnsi"/>
        </w:rPr>
      </w:pPr>
      <w:r>
        <w:rPr>
          <w:rFonts w:asciiTheme="minorHAnsi" w:hAnsiTheme="minorHAnsi"/>
        </w:rPr>
        <w:t>The primary issues with this submission are as follows:</w:t>
      </w:r>
    </w:p>
    <w:p w:rsidR="008B3975" w:rsidRDefault="008B3975" w:rsidP="005349EC">
      <w:pPr>
        <w:pStyle w:val="Numberbullet0"/>
        <w:numPr>
          <w:ilvl w:val="0"/>
          <w:numId w:val="22"/>
        </w:numPr>
      </w:pPr>
      <w:r>
        <w:t xml:space="preserve">Whether the study populations are representative of the subjects likely to receive </w:t>
      </w:r>
      <w:proofErr w:type="spellStart"/>
      <w:r>
        <w:t>apixaban</w:t>
      </w:r>
      <w:proofErr w:type="spellEnd"/>
      <w:r>
        <w:t xml:space="preserve"> for the proposed indication.</w:t>
      </w:r>
    </w:p>
    <w:p w:rsidR="008B3975" w:rsidRDefault="008B3975" w:rsidP="005349EC">
      <w:pPr>
        <w:pStyle w:val="Numberbullet0"/>
        <w:numPr>
          <w:ilvl w:val="0"/>
          <w:numId w:val="22"/>
        </w:numPr>
      </w:pPr>
      <w:r>
        <w:t>Whether placebo is a reasonable comparator for the prevention study</w:t>
      </w:r>
      <w:r w:rsidR="00E42479">
        <w:t>.</w:t>
      </w:r>
    </w:p>
    <w:p w:rsidR="008B3975" w:rsidRPr="008B3975" w:rsidRDefault="008B3975" w:rsidP="005349EC">
      <w:pPr>
        <w:pStyle w:val="Numberbullet0"/>
        <w:numPr>
          <w:ilvl w:val="0"/>
          <w:numId w:val="22"/>
        </w:numPr>
      </w:pPr>
      <w:r>
        <w:t>Whether there should be dose adjustment for age and renal function.</w:t>
      </w:r>
    </w:p>
    <w:p w:rsidR="00D23139" w:rsidRDefault="00D23139" w:rsidP="00D23139">
      <w:pPr>
        <w:pStyle w:val="Heading4"/>
      </w:pPr>
      <w:r w:rsidRPr="00D23139">
        <w:t>Proposed action</w:t>
      </w:r>
    </w:p>
    <w:p w:rsidR="008B3975" w:rsidRPr="008B3975" w:rsidRDefault="00861241" w:rsidP="008B3975">
      <w:r>
        <w:rPr>
          <w:rFonts w:asciiTheme="minorHAnsi" w:hAnsiTheme="minorHAnsi"/>
          <w:bCs/>
        </w:rPr>
        <w:t xml:space="preserve">The Delegate </w:t>
      </w:r>
      <w:r w:rsidR="008B3975">
        <w:rPr>
          <w:rFonts w:asciiTheme="minorHAnsi" w:hAnsiTheme="minorHAnsi"/>
          <w:bCs/>
        </w:rPr>
        <w:t>ha</w:t>
      </w:r>
      <w:r>
        <w:rPr>
          <w:rFonts w:asciiTheme="minorHAnsi" w:hAnsiTheme="minorHAnsi"/>
          <w:bCs/>
        </w:rPr>
        <w:t>d</w:t>
      </w:r>
      <w:r w:rsidR="008B3975">
        <w:rPr>
          <w:rFonts w:asciiTheme="minorHAnsi" w:hAnsiTheme="minorHAnsi"/>
          <w:bCs/>
        </w:rPr>
        <w:t xml:space="preserve"> no reason to say, at this time, that the application for </w:t>
      </w:r>
      <w:proofErr w:type="spellStart"/>
      <w:r w:rsidR="008B3975">
        <w:rPr>
          <w:rFonts w:asciiTheme="minorHAnsi" w:hAnsiTheme="minorHAnsi"/>
          <w:bCs/>
        </w:rPr>
        <w:t>apixaban</w:t>
      </w:r>
      <w:proofErr w:type="spellEnd"/>
      <w:r w:rsidR="008B3975">
        <w:rPr>
          <w:rFonts w:asciiTheme="minorHAnsi" w:hAnsiTheme="minorHAnsi"/>
          <w:bCs/>
        </w:rPr>
        <w:t xml:space="preserve"> (</w:t>
      </w:r>
      <w:proofErr w:type="spellStart"/>
      <w:r w:rsidR="008B3975">
        <w:rPr>
          <w:rFonts w:asciiTheme="minorHAnsi" w:hAnsiTheme="minorHAnsi"/>
          <w:bCs/>
        </w:rPr>
        <w:t>Eliquis</w:t>
      </w:r>
      <w:proofErr w:type="spellEnd"/>
      <w:r w:rsidR="008B3975">
        <w:rPr>
          <w:rFonts w:asciiTheme="minorHAnsi" w:hAnsiTheme="minorHAnsi"/>
          <w:bCs/>
        </w:rPr>
        <w:t>) should not be approved for registration.</w:t>
      </w:r>
    </w:p>
    <w:p w:rsidR="00D23139" w:rsidRDefault="00D23139" w:rsidP="00D23139">
      <w:pPr>
        <w:pStyle w:val="Heading4"/>
      </w:pPr>
      <w:r w:rsidRPr="00D23139">
        <w:t>Request for ACPM advice</w:t>
      </w:r>
    </w:p>
    <w:p w:rsidR="008B3975" w:rsidRDefault="008B3975" w:rsidP="008B3975">
      <w:pPr>
        <w:rPr>
          <w:rFonts w:asciiTheme="minorHAnsi" w:hAnsiTheme="minorHAnsi"/>
        </w:rPr>
      </w:pPr>
      <w:r>
        <w:rPr>
          <w:rFonts w:asciiTheme="minorHAnsi" w:hAnsiTheme="minorHAnsi"/>
        </w:rPr>
        <w:t>The committee is requested to provide advice on the following specific issues:</w:t>
      </w:r>
    </w:p>
    <w:p w:rsidR="008B3975" w:rsidRDefault="008B3975" w:rsidP="005349EC">
      <w:pPr>
        <w:pStyle w:val="Numberbullet0"/>
        <w:numPr>
          <w:ilvl w:val="0"/>
          <w:numId w:val="23"/>
        </w:numPr>
      </w:pPr>
      <w:r>
        <w:t xml:space="preserve">Does the committee consider the findings for the study populations are </w:t>
      </w:r>
      <w:proofErr w:type="spellStart"/>
      <w:r>
        <w:t>generalisable</w:t>
      </w:r>
      <w:proofErr w:type="spellEnd"/>
      <w:r>
        <w:t xml:space="preserve"> to the likely population?</w:t>
      </w:r>
    </w:p>
    <w:p w:rsidR="008B3975" w:rsidRDefault="008B3975" w:rsidP="005349EC">
      <w:pPr>
        <w:pStyle w:val="Numberbullet0"/>
        <w:numPr>
          <w:ilvl w:val="0"/>
          <w:numId w:val="23"/>
        </w:numPr>
      </w:pPr>
      <w:r>
        <w:t>Is the choice of comparator (placebo) reasonable for the prevention study?</w:t>
      </w:r>
    </w:p>
    <w:p w:rsidR="008B3975" w:rsidRDefault="008B3975" w:rsidP="005349EC">
      <w:pPr>
        <w:pStyle w:val="Numberbullet0"/>
        <w:numPr>
          <w:ilvl w:val="0"/>
          <w:numId w:val="23"/>
        </w:numPr>
      </w:pPr>
      <w:r>
        <w:t>The sponsor has proposed that there should not be any dose adjustment for age or renal function. Does the committee support this proposal?</w:t>
      </w:r>
    </w:p>
    <w:p w:rsidR="008B3975" w:rsidRDefault="008B3975" w:rsidP="005349EC">
      <w:pPr>
        <w:pStyle w:val="Numberbullet0"/>
        <w:numPr>
          <w:ilvl w:val="0"/>
          <w:numId w:val="23"/>
        </w:numPr>
      </w:pPr>
      <w:r>
        <w:t>Does the committee consider the precautionary statement about the Use in Lactation is adequate to convey the risks?</w:t>
      </w:r>
    </w:p>
    <w:p w:rsidR="008B3975" w:rsidRDefault="008B3975" w:rsidP="008B3975">
      <w:pPr>
        <w:rPr>
          <w:rFonts w:asciiTheme="minorHAnsi" w:hAnsiTheme="minorHAnsi"/>
        </w:rPr>
      </w:pPr>
      <w:r>
        <w:rPr>
          <w:rFonts w:asciiTheme="minorHAnsi" w:hAnsiTheme="minorHAnsi"/>
        </w:rPr>
        <w:t>The committee is also requested to provide advice on any other issues that it thinks may be relevant to a decision on whether or not to approve this application.</w:t>
      </w:r>
    </w:p>
    <w:p w:rsidR="00D23139" w:rsidRDefault="00E42479" w:rsidP="00D23139">
      <w:pPr>
        <w:pStyle w:val="Heading4"/>
      </w:pPr>
      <w:r>
        <w:t>Response from sponsor</w:t>
      </w:r>
    </w:p>
    <w:p w:rsidR="00861753" w:rsidRDefault="00861753" w:rsidP="00861241">
      <w:pPr>
        <w:pStyle w:val="Heading5"/>
      </w:pPr>
      <w:r>
        <w:t xml:space="preserve">Executive </w:t>
      </w:r>
      <w:r w:rsidR="00E42479">
        <w:t>summary</w:t>
      </w:r>
    </w:p>
    <w:p w:rsidR="00861753" w:rsidRDefault="00861753" w:rsidP="00861241">
      <w:pPr>
        <w:pStyle w:val="ListBullet"/>
      </w:pPr>
      <w:r>
        <w:rPr>
          <w:b/>
          <w:bCs/>
        </w:rPr>
        <w:t xml:space="preserve">Study Populations Representative: </w:t>
      </w:r>
      <w:r>
        <w:t xml:space="preserve">the study population included appropriate at risk groups and </w:t>
      </w:r>
      <w:r w:rsidR="00E42479">
        <w:t>also included elderly subjects.</w:t>
      </w:r>
    </w:p>
    <w:p w:rsidR="00861753" w:rsidRDefault="00861753" w:rsidP="00861241">
      <w:pPr>
        <w:pStyle w:val="ListBullet"/>
      </w:pPr>
      <w:r>
        <w:rPr>
          <w:b/>
          <w:bCs/>
        </w:rPr>
        <w:t xml:space="preserve">Placebo a Reasonable Comparator: </w:t>
      </w:r>
      <w:r>
        <w:t xml:space="preserve">placebo is appropriate because </w:t>
      </w:r>
      <w:r w:rsidR="00FD26C1">
        <w:t>‘</w:t>
      </w:r>
      <w:r>
        <w:t>no treatment</w:t>
      </w:r>
      <w:r w:rsidR="00FD26C1">
        <w:t>’</w:t>
      </w:r>
      <w:r>
        <w:t xml:space="preserve"> is an accepted standard of c</w:t>
      </w:r>
      <w:r w:rsidR="00E42479">
        <w:t>are in this patient population.</w:t>
      </w:r>
    </w:p>
    <w:p w:rsidR="00861753" w:rsidRDefault="00861753" w:rsidP="00861241">
      <w:pPr>
        <w:pStyle w:val="ListBullet"/>
      </w:pPr>
      <w:r>
        <w:rPr>
          <w:b/>
          <w:bCs/>
        </w:rPr>
        <w:t xml:space="preserve">Dose Adjustment for Age and Renal Function: </w:t>
      </w:r>
      <w:r>
        <w:t>the subgroup analysis results of age or renal function groups were consistent with the overall efficacy and safety results, with no indication of any clinically important trea</w:t>
      </w:r>
      <w:r w:rsidR="00E42479">
        <w:t>tment by subgroup interactions.</w:t>
      </w:r>
    </w:p>
    <w:p w:rsidR="00861753" w:rsidRDefault="00861753" w:rsidP="00861241">
      <w:pPr>
        <w:pStyle w:val="ListBullet"/>
      </w:pPr>
      <w:r>
        <w:rPr>
          <w:b/>
          <w:bCs/>
        </w:rPr>
        <w:lastRenderedPageBreak/>
        <w:t>Precautionary Statement about Use in Lactation</w:t>
      </w:r>
      <w:r>
        <w:t xml:space="preserve">: the current language in the Pregnancy and Lactation section of the PI sufficiently addresses the concern regarding the use of </w:t>
      </w:r>
      <w:proofErr w:type="spellStart"/>
      <w:r>
        <w:t>apixaban</w:t>
      </w:r>
      <w:proofErr w:type="spellEnd"/>
      <w:r>
        <w:t xml:space="preserve"> during breast feeding and provides clear guida</w:t>
      </w:r>
      <w:r w:rsidR="00E42479">
        <w:t>nce to patients and physicians.</w:t>
      </w:r>
    </w:p>
    <w:p w:rsidR="00861753" w:rsidRDefault="00861753" w:rsidP="00861241">
      <w:r>
        <w:t xml:space="preserve">As agreed with the Delegate by email on 11 March 2015, the responses to the </w:t>
      </w:r>
      <w:r w:rsidR="00861241">
        <w:t>RMP evaluation</w:t>
      </w:r>
      <w:r>
        <w:t xml:space="preserve"> are addressed in the separate ‘Sponsor’s Response to Recommendations made in the Risk Management Evaluation Report’</w:t>
      </w:r>
      <w:r w:rsidR="00861241">
        <w:t xml:space="preserve"> and</w:t>
      </w:r>
      <w:r>
        <w:t xml:space="preserve"> will work with </w:t>
      </w:r>
      <w:r w:rsidR="00861241">
        <w:t>the TGA</w:t>
      </w:r>
      <w:r>
        <w:t xml:space="preserve"> to finalise these before approval. An updated </w:t>
      </w:r>
      <w:proofErr w:type="spellStart"/>
      <w:r>
        <w:t>apixaban</w:t>
      </w:r>
      <w:proofErr w:type="spellEnd"/>
      <w:r>
        <w:t xml:space="preserve"> Australian Specific Annex will be provided to the TGA following confirmation of acceptability of the above </w:t>
      </w:r>
      <w:r w:rsidR="00861241">
        <w:t>after</w:t>
      </w:r>
      <w:r>
        <w:t xml:space="preserve"> the ACPM meeting and the </w:t>
      </w:r>
      <w:r w:rsidR="00861241">
        <w:t>s</w:t>
      </w:r>
      <w:r>
        <w:t xml:space="preserve">ponsor’s discussion with </w:t>
      </w:r>
      <w:r w:rsidR="00861241">
        <w:t>the TGA</w:t>
      </w:r>
      <w:r w:rsidR="00E42479">
        <w:t>.</w:t>
      </w:r>
    </w:p>
    <w:p w:rsidR="00861753" w:rsidRDefault="00861753" w:rsidP="00861241">
      <w:r>
        <w:t xml:space="preserve">As agreed with the Delegate by email on 11 March 2015, the responses for the </w:t>
      </w:r>
      <w:r w:rsidRPr="00861241">
        <w:rPr>
          <w:i/>
        </w:rPr>
        <w:t>Questions to Sponsor</w:t>
      </w:r>
      <w:r>
        <w:t xml:space="preserve"> are provided in a separate </w:t>
      </w:r>
      <w:r w:rsidR="00861241">
        <w:t>a</w:t>
      </w:r>
      <w:r w:rsidR="00E42479">
        <w:t>ppendix.</w:t>
      </w:r>
    </w:p>
    <w:p w:rsidR="00861753" w:rsidRDefault="00861753" w:rsidP="00861241">
      <w:r>
        <w:t xml:space="preserve">Changes have been made to the PI in response to recommendations from various </w:t>
      </w:r>
      <w:r w:rsidR="00861241">
        <w:t>e</w:t>
      </w:r>
      <w:r w:rsidR="00E42479">
        <w:t>valuators and the Delegate.</w:t>
      </w:r>
    </w:p>
    <w:p w:rsidR="00861753" w:rsidRDefault="00E42479" w:rsidP="00861241">
      <w:pPr>
        <w:pStyle w:val="Heading5"/>
      </w:pPr>
      <w:r>
        <w:t>ACPM’s advice sought</w:t>
      </w:r>
    </w:p>
    <w:p w:rsidR="00861753" w:rsidRPr="00861241" w:rsidRDefault="00861753" w:rsidP="005349EC">
      <w:pPr>
        <w:pStyle w:val="Numberbullet0"/>
        <w:numPr>
          <w:ilvl w:val="0"/>
          <w:numId w:val="24"/>
        </w:numPr>
        <w:rPr>
          <w:i/>
        </w:rPr>
      </w:pPr>
      <w:r w:rsidRPr="00861241">
        <w:rPr>
          <w:i/>
        </w:rPr>
        <w:t xml:space="preserve">Does the committee consider the findings for the study populations are </w:t>
      </w:r>
      <w:proofErr w:type="spellStart"/>
      <w:r w:rsidRPr="00861241">
        <w:rPr>
          <w:i/>
        </w:rPr>
        <w:t>generali</w:t>
      </w:r>
      <w:r w:rsidR="00E42479">
        <w:rPr>
          <w:i/>
        </w:rPr>
        <w:t>sable</w:t>
      </w:r>
      <w:proofErr w:type="spellEnd"/>
      <w:r w:rsidR="00E42479">
        <w:rPr>
          <w:i/>
        </w:rPr>
        <w:t xml:space="preserve"> to the likely population?</w:t>
      </w:r>
    </w:p>
    <w:p w:rsidR="00861753" w:rsidRDefault="00861753" w:rsidP="00861241">
      <w:r>
        <w:t xml:space="preserve">The </w:t>
      </w:r>
      <w:r w:rsidR="00861241">
        <w:t>s</w:t>
      </w:r>
      <w:r>
        <w:t xml:space="preserve">ponsor concurs with the assessment of the </w:t>
      </w:r>
      <w:r w:rsidR="00861241">
        <w:t xml:space="preserve">clinical </w:t>
      </w:r>
      <w:r>
        <w:t xml:space="preserve">evaluator; the study population included appropriate at risk groups and </w:t>
      </w:r>
      <w:r w:rsidR="00E42479">
        <w:t>also included elderly subjects.</w:t>
      </w:r>
    </w:p>
    <w:p w:rsidR="00861753" w:rsidRDefault="00861753" w:rsidP="00861241">
      <w:r>
        <w:t xml:space="preserve">For VTE treatment, </w:t>
      </w:r>
      <w:proofErr w:type="spellStart"/>
      <w:r>
        <w:t>apixaban</w:t>
      </w:r>
      <w:proofErr w:type="spellEnd"/>
      <w:r>
        <w:t xml:space="preserve"> has demonstrated efficacy that was non-</w:t>
      </w:r>
      <w:r w:rsidR="00861241">
        <w:t>inferior to enoxaparin/warfarin</w:t>
      </w:r>
      <w:r>
        <w:t xml:space="preserve"> and bleeding across all categories that was significantly less frequent, including a 69% risk reduction in MB. In preventing a recurrent DVT or PE, </w:t>
      </w:r>
      <w:proofErr w:type="spellStart"/>
      <w:r>
        <w:t>apixaban</w:t>
      </w:r>
      <w:proofErr w:type="spellEnd"/>
      <w:r>
        <w:t xml:space="preserve"> was markedly superior to placebo in subjects with both unprovoked and provoked VTE, with a minimal increase in bleeding for the 2.5 mg </w:t>
      </w:r>
      <w:r w:rsidR="00EE5994">
        <w:t>BD</w:t>
      </w:r>
      <w:r>
        <w:t xml:space="preserve"> dose compared to placebo. The data from the </w:t>
      </w:r>
      <w:proofErr w:type="spellStart"/>
      <w:r>
        <w:t>apixaban</w:t>
      </w:r>
      <w:proofErr w:type="spellEnd"/>
      <w:r>
        <w:t xml:space="preserve"> VTE treatment clinical development program has demonstrated that it fills the recognised unmet medical need for treating and preventing recurrent VTE. The populations studied in the clinical program are reflective of the patient populations for which the drug is being proposed (including but not limited to: DVT/PE ratio, special populations, pr</w:t>
      </w:r>
      <w:r w:rsidR="00E42479">
        <w:t>ovoked/unprovoked VTE).</w:t>
      </w:r>
    </w:p>
    <w:p w:rsidR="00861753" w:rsidRPr="00861241" w:rsidRDefault="00861753" w:rsidP="00861241">
      <w:pPr>
        <w:pStyle w:val="Numberbullet0"/>
        <w:rPr>
          <w:i/>
        </w:rPr>
      </w:pPr>
      <w:r w:rsidRPr="00861241">
        <w:rPr>
          <w:i/>
        </w:rPr>
        <w:t>Is the choice of comparator (placebo) reaso</w:t>
      </w:r>
      <w:r w:rsidR="00E42479">
        <w:rPr>
          <w:i/>
        </w:rPr>
        <w:t>nable for the prevention study?</w:t>
      </w:r>
    </w:p>
    <w:p w:rsidR="00861753" w:rsidRDefault="00861753" w:rsidP="009B23A6">
      <w:r>
        <w:t xml:space="preserve">As stated in the CER with which the </w:t>
      </w:r>
      <w:r w:rsidR="00861241">
        <w:t>s</w:t>
      </w:r>
      <w:r>
        <w:t xml:space="preserve">ponsor concurs; the comparator treatment was placebo, which is appropriate because </w:t>
      </w:r>
      <w:r w:rsidR="00FD26C1">
        <w:t>‘</w:t>
      </w:r>
      <w:r>
        <w:t>no treatment</w:t>
      </w:r>
      <w:r w:rsidR="00FD26C1">
        <w:t>’</w:t>
      </w:r>
      <w:r>
        <w:t xml:space="preserve"> is an accepted stand</w:t>
      </w:r>
      <w:r w:rsidR="00E42479">
        <w:t>ard of care.</w:t>
      </w:r>
    </w:p>
    <w:p w:rsidR="00861753" w:rsidRDefault="00861753" w:rsidP="009B23A6">
      <w:r>
        <w:t>For this patient population it was determined that the risk of bleeding with a VKA would offset the potential benefit of continued anticoagulation (had reached clinical equipoise with respect to continuation or cessation of anticoagulant therapy), therefore placebo was considered the appropr</w:t>
      </w:r>
      <w:r w:rsidR="00E42479">
        <w:t>iate comparator for this study.</w:t>
      </w:r>
    </w:p>
    <w:p w:rsidR="00861753" w:rsidRDefault="00861753" w:rsidP="009B23A6">
      <w:pPr>
        <w:pStyle w:val="Numberbullet0"/>
      </w:pPr>
      <w:r w:rsidRPr="009B23A6">
        <w:rPr>
          <w:i/>
        </w:rPr>
        <w:t>The sponsor has proposed that there should not be any dose adjustment for age or renal function. Does the c</w:t>
      </w:r>
      <w:r w:rsidR="00E42479">
        <w:rPr>
          <w:i/>
        </w:rPr>
        <w:t>ommittee support this proposal?</w:t>
      </w:r>
    </w:p>
    <w:p w:rsidR="00861753" w:rsidRDefault="00861753" w:rsidP="009B23A6">
      <w:r>
        <w:t xml:space="preserve">The </w:t>
      </w:r>
      <w:r w:rsidR="009B23A6">
        <w:t>s</w:t>
      </w:r>
      <w:r>
        <w:t>ponsor submitted subgroup analysis results of age or renal function groups for both efficacy and safety endpoints and has reproduced the subgroup analysis resu</w:t>
      </w:r>
      <w:r w:rsidR="00E42479">
        <w:t>lts of the AMPLIFY study below.</w:t>
      </w:r>
    </w:p>
    <w:p w:rsidR="00861753" w:rsidRDefault="00861753" w:rsidP="009B23A6">
      <w:r>
        <w:t xml:space="preserve">The efficacy and safety results by the age and renal function groups were consistent across both subgroups, with no indication of any clinically important treatment by subgroup interactions. As shown below, the relative risk for major bleeding in the combined severe and moderate renal impairment patients was 0.53 (95% confidence interval: 0.18, 1.62) and similar to that seen in patients with mild renal impairment who would not require a dose reduction. For efficacy, there was no indication of a decreased benefit compared to standard of care. The subgroup analysis of age groups also showed that the RR was </w:t>
      </w:r>
      <w:r>
        <w:lastRenderedPageBreak/>
        <w:t xml:space="preserve">consistent across different age groups (≤65 years, 65 to 75 years, and ≥75 years) for both major bleeding and VTE/VTE-related death. Therefore, the </w:t>
      </w:r>
      <w:r w:rsidR="009B23A6">
        <w:t>s</w:t>
      </w:r>
      <w:r>
        <w:t>ponsor does not recommend a dose reduction based on age or renal function.</w:t>
      </w:r>
    </w:p>
    <w:p w:rsidR="00861753" w:rsidRDefault="00861753" w:rsidP="009B23A6">
      <w:pPr>
        <w:pStyle w:val="FigureTitle"/>
      </w:pPr>
      <w:r>
        <w:t xml:space="preserve">Figure </w:t>
      </w:r>
      <w:r w:rsidR="009B23A6">
        <w:t>6:</w:t>
      </w:r>
      <w:r>
        <w:t xml:space="preserve"> Forest Plot for Adjudicated VTE/VTE-related Death in Study CV185056 - Primary Efficacy Population </w:t>
      </w:r>
    </w:p>
    <w:p w:rsidR="00CC2965" w:rsidRPr="00CC2965" w:rsidRDefault="00B361BE" w:rsidP="00CC2965">
      <w:r>
        <w:rPr>
          <w:noProof/>
          <w:lang w:eastAsia="en-AU"/>
        </w:rPr>
        <w:drawing>
          <wp:inline distT="0" distB="0" distL="0" distR="0" wp14:anchorId="1D9CFBD0" wp14:editId="2A750FEA">
            <wp:extent cx="4676702" cy="5591846"/>
            <wp:effectExtent l="0" t="0" r="0" b="0"/>
            <wp:docPr id="23" name="Picture 23" descr="Figure 6: Forest Plot for Adjudicated VTE/VTE-related Death in Study CV185056 - Primary Efficac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61" t="1006" r="871"/>
                    <a:stretch/>
                  </pic:blipFill>
                  <pic:spPr bwMode="auto">
                    <a:xfrm>
                      <a:off x="0" y="0"/>
                      <a:ext cx="4676549" cy="5591663"/>
                    </a:xfrm>
                    <a:prstGeom prst="rect">
                      <a:avLst/>
                    </a:prstGeom>
                    <a:ln>
                      <a:noFill/>
                    </a:ln>
                    <a:extLst>
                      <a:ext uri="{53640926-AAD7-44D8-BBD7-CCE9431645EC}">
                        <a14:shadowObscured xmlns:a14="http://schemas.microsoft.com/office/drawing/2010/main"/>
                      </a:ext>
                    </a:extLst>
                  </pic:spPr>
                </pic:pic>
              </a:graphicData>
            </a:graphic>
          </wp:inline>
        </w:drawing>
      </w:r>
    </w:p>
    <w:p w:rsidR="00861753" w:rsidRDefault="00861753" w:rsidP="00E42479">
      <w:pPr>
        <w:pStyle w:val="FigureTitle"/>
      </w:pPr>
      <w:r>
        <w:lastRenderedPageBreak/>
        <w:t xml:space="preserve">Figure </w:t>
      </w:r>
      <w:r w:rsidR="009B23A6">
        <w:t>7:</w:t>
      </w:r>
      <w:r>
        <w:t xml:space="preserve"> Forest Plot for Adjudicated Major Bleeding During the Treatment Period in Study CV185056 - </w:t>
      </w:r>
      <w:r w:rsidRPr="00E42479">
        <w:t>Treated</w:t>
      </w:r>
      <w:r>
        <w:t xml:space="preserve"> Subjects</w:t>
      </w:r>
    </w:p>
    <w:p w:rsidR="00861753" w:rsidRDefault="00861753" w:rsidP="00861753">
      <w:r>
        <w:rPr>
          <w:noProof/>
          <w:lang w:eastAsia="en-AU"/>
        </w:rPr>
        <w:drawing>
          <wp:inline distT="0" distB="0" distL="0" distR="0" wp14:anchorId="67F04412" wp14:editId="07704BFF">
            <wp:extent cx="4432397" cy="5395646"/>
            <wp:effectExtent l="0" t="0" r="6350" b="0"/>
            <wp:docPr id="10" name="Picture 10" descr="Figure 7: Forest Plot for Adjudicated Major Bleeding During the Treatment Period in Study CV185056 -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lum bright="-20000" contrast="40000"/>
                      <a:extLst>
                        <a:ext uri="{28A0092B-C50C-407E-A947-70E740481C1C}">
                          <a14:useLocalDpi xmlns:a14="http://schemas.microsoft.com/office/drawing/2010/main" val="0"/>
                        </a:ext>
                      </a:extLst>
                    </a:blip>
                    <a:srcRect/>
                    <a:stretch>
                      <a:fillRect/>
                    </a:stretch>
                  </pic:blipFill>
                  <pic:spPr bwMode="auto">
                    <a:xfrm>
                      <a:off x="0" y="0"/>
                      <a:ext cx="4431233" cy="5394229"/>
                    </a:xfrm>
                    <a:prstGeom prst="rect">
                      <a:avLst/>
                    </a:prstGeom>
                    <a:noFill/>
                    <a:ln>
                      <a:noFill/>
                    </a:ln>
                  </pic:spPr>
                </pic:pic>
              </a:graphicData>
            </a:graphic>
          </wp:inline>
        </w:drawing>
      </w:r>
    </w:p>
    <w:p w:rsidR="00861753" w:rsidRPr="009B23A6" w:rsidRDefault="00861753" w:rsidP="009B23A6">
      <w:pPr>
        <w:pStyle w:val="Numberbullet0"/>
        <w:rPr>
          <w:i/>
        </w:rPr>
      </w:pPr>
      <w:r w:rsidRPr="009B23A6">
        <w:rPr>
          <w:i/>
        </w:rPr>
        <w:t>Does the committee consider the precautionary statement about the Use in Lactation i</w:t>
      </w:r>
      <w:r w:rsidR="00E42479">
        <w:rPr>
          <w:i/>
        </w:rPr>
        <w:t>s adequate to convey the risks?</w:t>
      </w:r>
    </w:p>
    <w:p w:rsidR="00861753" w:rsidRDefault="00861753" w:rsidP="009B23A6">
      <w:r>
        <w:t xml:space="preserve">Based on the finding that significant amounts of </w:t>
      </w:r>
      <w:proofErr w:type="spellStart"/>
      <w:r>
        <w:t>apixaban</w:t>
      </w:r>
      <w:proofErr w:type="spellEnd"/>
      <w:r>
        <w:t xml:space="preserve"> are excreted into milk of lactating rats there is clearly a potential risk for infant exposure to</w:t>
      </w:r>
      <w:r w:rsidR="009B23A6">
        <w:t xml:space="preserve"> </w:t>
      </w:r>
      <w:proofErr w:type="spellStart"/>
      <w:r w:rsidR="009B23A6">
        <w:t>apixaban</w:t>
      </w:r>
      <w:proofErr w:type="spellEnd"/>
      <w:r w:rsidR="009B23A6">
        <w:t xml:space="preserve"> via breast milk. The s</w:t>
      </w:r>
      <w:r>
        <w:t xml:space="preserve">ponsor’s position is that the current language in the Pregnancy and Lactation section of the PI sufficiently addresses the concern regarding the use of </w:t>
      </w:r>
      <w:proofErr w:type="spellStart"/>
      <w:r>
        <w:t>apixaban</w:t>
      </w:r>
      <w:proofErr w:type="spellEnd"/>
      <w:r>
        <w:t xml:space="preserve"> during breast feeding and provides clear guidance to patients and physicians. Furthermore, this is also in alignment with the approved PI for the VTE prevention and stroke prevention in atrial fibrillation indications in Australia.</w:t>
      </w:r>
    </w:p>
    <w:p w:rsidR="00861753" w:rsidRDefault="00E42479" w:rsidP="009B23A6">
      <w:pPr>
        <w:pStyle w:val="Heading5"/>
      </w:pPr>
      <w:r>
        <w:t>Issues raised in d</w:t>
      </w:r>
      <w:r w:rsidR="00861753">
        <w:t xml:space="preserve">elegate’s </w:t>
      </w:r>
      <w:r>
        <w:t>overview</w:t>
      </w:r>
    </w:p>
    <w:p w:rsidR="00861753" w:rsidRDefault="00861753" w:rsidP="009B23A6">
      <w:r>
        <w:t>The following issue was raised in the Delegate’s Overview and a summary of the response is provided below.</w:t>
      </w:r>
    </w:p>
    <w:p w:rsidR="00861753" w:rsidRPr="009B23A6" w:rsidRDefault="00861753" w:rsidP="005349EC">
      <w:pPr>
        <w:pStyle w:val="Numberbullet0"/>
        <w:numPr>
          <w:ilvl w:val="0"/>
          <w:numId w:val="25"/>
        </w:numPr>
        <w:rPr>
          <w:i/>
        </w:rPr>
      </w:pPr>
      <w:r w:rsidRPr="009B23A6">
        <w:rPr>
          <w:i/>
        </w:rPr>
        <w:t xml:space="preserve">Revision of the Australia Specific Annex in accordance with the requirements of the RMP evaluator as outlined in </w:t>
      </w:r>
      <w:r w:rsidR="009B23A6">
        <w:rPr>
          <w:i/>
        </w:rPr>
        <w:t>the second ro</w:t>
      </w:r>
      <w:r w:rsidR="00E42479">
        <w:rPr>
          <w:i/>
        </w:rPr>
        <w:t>und RMP Evaluation report.</w:t>
      </w:r>
    </w:p>
    <w:p w:rsidR="00861753" w:rsidRDefault="00861753" w:rsidP="000D5019">
      <w:pPr>
        <w:pStyle w:val="Numberbullet2"/>
      </w:pPr>
      <w:r>
        <w:t>It is recommended that the identified risk ‘</w:t>
      </w:r>
      <w:r>
        <w:rPr>
          <w:i/>
          <w:iCs/>
        </w:rPr>
        <w:t xml:space="preserve">Transient elevation of liver tests’ </w:t>
      </w:r>
      <w:r>
        <w:t xml:space="preserve">is amended </w:t>
      </w:r>
      <w:r w:rsidR="00E42479">
        <w:t>to incorporate all indications.</w:t>
      </w:r>
    </w:p>
    <w:p w:rsidR="00861753" w:rsidRDefault="00861753" w:rsidP="000D5019">
      <w:r>
        <w:lastRenderedPageBreak/>
        <w:t>The sponsor proposes that ‘</w:t>
      </w:r>
      <w:r>
        <w:rPr>
          <w:i/>
          <w:iCs/>
        </w:rPr>
        <w:t>transient elevation of liver tests</w:t>
      </w:r>
      <w:r>
        <w:t>’ is subsumed within the Important Potential Risk of ‘</w:t>
      </w:r>
      <w:r>
        <w:rPr>
          <w:i/>
          <w:iCs/>
        </w:rPr>
        <w:t>Liver injury</w:t>
      </w:r>
      <w:r w:rsidR="00E42479">
        <w:t>’ across all indications.</w:t>
      </w:r>
    </w:p>
    <w:p w:rsidR="00861753" w:rsidRDefault="00861753" w:rsidP="000D5019">
      <w:pPr>
        <w:pStyle w:val="Numberbullet2"/>
      </w:pPr>
      <w:r>
        <w:t>The ACSOM advised that the following safety concerns should be include</w:t>
      </w:r>
      <w:r w:rsidR="00E42479">
        <w:t>d for consideration in the RMP:</w:t>
      </w:r>
    </w:p>
    <w:p w:rsidR="00861753" w:rsidRDefault="00861753" w:rsidP="000D5019">
      <w:pPr>
        <w:pStyle w:val="ListBullet3"/>
      </w:pPr>
      <w:r>
        <w:t>patients with extremes of body weight, cancer</w:t>
      </w:r>
      <w:r>
        <w:rPr>
          <w:rFonts w:ascii="Cambria Math" w:hAnsi="Cambria Math" w:cs="Cambria Math"/>
        </w:rPr>
        <w:t>‐</w:t>
      </w:r>
      <w:r>
        <w:t>related venous thromboembolic</w:t>
      </w:r>
      <w:r w:rsidR="00E42479">
        <w:t xml:space="preserve"> events (VTE) and provoked VTE;</w:t>
      </w:r>
    </w:p>
    <w:p w:rsidR="00861753" w:rsidRDefault="00861753" w:rsidP="000D5019">
      <w:pPr>
        <w:pStyle w:val="ListBullet3"/>
      </w:pPr>
      <w:r>
        <w:t>patients requiring rapid reversal of effect (</w:t>
      </w:r>
      <w:r w:rsidR="000D5019">
        <w:t>for example,</w:t>
      </w:r>
      <w:r>
        <w:t xml:space="preserve"> semi</w:t>
      </w:r>
      <w:r>
        <w:rPr>
          <w:rFonts w:ascii="Cambria Math" w:hAnsi="Cambria Math" w:cs="Cambria Math"/>
        </w:rPr>
        <w:t>‐</w:t>
      </w:r>
      <w:r w:rsidR="00E42479">
        <w:t>urgent surgery); and</w:t>
      </w:r>
    </w:p>
    <w:p w:rsidR="00861753" w:rsidRDefault="00861753" w:rsidP="000D5019">
      <w:pPr>
        <w:pStyle w:val="ListBullet3"/>
      </w:pPr>
      <w:proofErr w:type="gramStart"/>
      <w:r>
        <w:t>drug</w:t>
      </w:r>
      <w:r>
        <w:rPr>
          <w:rFonts w:ascii="Cambria Math" w:hAnsi="Cambria Math" w:cs="Cambria Math"/>
        </w:rPr>
        <w:t>‐</w:t>
      </w:r>
      <w:r>
        <w:t>drug</w:t>
      </w:r>
      <w:proofErr w:type="gramEnd"/>
      <w:r>
        <w:t xml:space="preserve"> inte</w:t>
      </w:r>
      <w:r w:rsidR="00E42479">
        <w:t>ractions.</w:t>
      </w:r>
    </w:p>
    <w:p w:rsidR="00861753" w:rsidRDefault="00861753" w:rsidP="000D5019">
      <w:r>
        <w:t xml:space="preserve">All of the above safety concerns, except for drug-drug interactions, will be included </w:t>
      </w:r>
      <w:r w:rsidR="00E42479">
        <w:t>in the next version of the ASA.</w:t>
      </w:r>
    </w:p>
    <w:p w:rsidR="00861753" w:rsidRPr="000D5019" w:rsidRDefault="00861753" w:rsidP="000D5019">
      <w:pPr>
        <w:pStyle w:val="Numberbullet0"/>
        <w:rPr>
          <w:i/>
        </w:rPr>
      </w:pPr>
      <w:r w:rsidRPr="000D5019">
        <w:rPr>
          <w:i/>
        </w:rPr>
        <w:t xml:space="preserve">Questions for the </w:t>
      </w:r>
      <w:r w:rsidR="000D5019" w:rsidRPr="000D5019">
        <w:rPr>
          <w:i/>
        </w:rPr>
        <w:t>s</w:t>
      </w:r>
      <w:r w:rsidR="00E42479">
        <w:rPr>
          <w:i/>
        </w:rPr>
        <w:t>ponsor</w:t>
      </w:r>
    </w:p>
    <w:p w:rsidR="00861753" w:rsidRDefault="00861753" w:rsidP="000D5019">
      <w:r>
        <w:t>The sponsor was requested to address the following issues and a summary of the responses to these q</w:t>
      </w:r>
      <w:r w:rsidR="00E42479">
        <w:t>uestions are provided below.</w:t>
      </w:r>
    </w:p>
    <w:p w:rsidR="00861753" w:rsidRPr="000D5019" w:rsidRDefault="00861753" w:rsidP="000D5019">
      <w:pPr>
        <w:pStyle w:val="Numberbullet3"/>
        <w:rPr>
          <w:i/>
        </w:rPr>
      </w:pPr>
      <w:proofErr w:type="spellStart"/>
      <w:r w:rsidRPr="000D5019">
        <w:rPr>
          <w:i/>
        </w:rPr>
        <w:t>Enteroenteric</w:t>
      </w:r>
      <w:proofErr w:type="spellEnd"/>
      <w:r w:rsidRPr="000D5019">
        <w:rPr>
          <w:i/>
        </w:rPr>
        <w:t xml:space="preserve"> re-circulation of </w:t>
      </w:r>
      <w:proofErr w:type="spellStart"/>
      <w:r w:rsidRPr="000D5019">
        <w:rPr>
          <w:i/>
        </w:rPr>
        <w:t>apixaban</w:t>
      </w:r>
      <w:proofErr w:type="spellEnd"/>
      <w:r w:rsidRPr="000D5019">
        <w:rPr>
          <w:i/>
        </w:rPr>
        <w:t xml:space="preserve"> has been demonstrated in animal models for </w:t>
      </w:r>
      <w:proofErr w:type="spellStart"/>
      <w:r w:rsidRPr="000D5019">
        <w:rPr>
          <w:i/>
        </w:rPr>
        <w:t>apixaban</w:t>
      </w:r>
      <w:proofErr w:type="spellEnd"/>
      <w:r w:rsidRPr="000D5019">
        <w:rPr>
          <w:i/>
        </w:rPr>
        <w:t xml:space="preserve">, and activated charcoal has been demonstrated to reduce exposure in animals and humans. Does the sponsor plan to investigate the use of </w:t>
      </w:r>
      <w:r w:rsidR="00E42479">
        <w:rPr>
          <w:i/>
        </w:rPr>
        <w:t>repeat dose activated charcoal?</w:t>
      </w:r>
    </w:p>
    <w:p w:rsidR="00861753" w:rsidRDefault="00861753" w:rsidP="000D5019">
      <w:r>
        <w:t xml:space="preserve">The </w:t>
      </w:r>
      <w:r w:rsidR="000D5019">
        <w:t>s</w:t>
      </w:r>
      <w:r>
        <w:t xml:space="preserve">ponsor has no plan to investigate the use of </w:t>
      </w:r>
      <w:r w:rsidR="00E42479">
        <w:t>repeat dose activated charcoal.</w:t>
      </w:r>
    </w:p>
    <w:p w:rsidR="00861753" w:rsidRDefault="00861753" w:rsidP="000D5019">
      <w:pPr>
        <w:pStyle w:val="Numberbullet3"/>
      </w:pPr>
      <w:r w:rsidRPr="000D5019">
        <w:rPr>
          <w:i/>
        </w:rPr>
        <w:t>The bioequivalence of the oral solution and crushed tablet has been demonstrated in studies included in this submission. Please indicate how the bioequivalence of the whole 5 mg tablet and the crushed 5</w:t>
      </w:r>
      <w:r w:rsidR="007907A4">
        <w:rPr>
          <w:i/>
        </w:rPr>
        <w:t xml:space="preserve"> mg tablet has been identified.</w:t>
      </w:r>
    </w:p>
    <w:p w:rsidR="00861753" w:rsidRDefault="00861753" w:rsidP="000D5019">
      <w:r>
        <w:t xml:space="preserve">The </w:t>
      </w:r>
      <w:r w:rsidR="000D5019">
        <w:t>s</w:t>
      </w:r>
      <w:r>
        <w:t xml:space="preserve">ponsor has conducted a study in crushed tablets versus whole tablets and this will be </w:t>
      </w:r>
      <w:r w:rsidR="007907A4">
        <w:t>the subject of a future update.</w:t>
      </w:r>
    </w:p>
    <w:p w:rsidR="00861753" w:rsidRDefault="00861753" w:rsidP="000D5019">
      <w:pPr>
        <w:pStyle w:val="Numberbullet3"/>
      </w:pPr>
      <w:r w:rsidRPr="000D5019">
        <w:rPr>
          <w:i/>
        </w:rPr>
        <w:t>The population PK derived fractional clearance for subjects of Asian race was decreased by 16.8% Please indicate the reason the sponsor has not included this information in the relevant section of the PI</w:t>
      </w:r>
      <w:r w:rsidR="007907A4">
        <w:t>?</w:t>
      </w:r>
    </w:p>
    <w:p w:rsidR="00861753" w:rsidRDefault="00861753" w:rsidP="000D5019">
      <w:r>
        <w:t xml:space="preserve">Considering the totality of available data, the impact of Asian race on </w:t>
      </w:r>
      <w:proofErr w:type="spellStart"/>
      <w:r>
        <w:t>apixaban</w:t>
      </w:r>
      <w:proofErr w:type="spellEnd"/>
      <w:r>
        <w:t xml:space="preserve"> PK is minimal and not clinically meaningful</w:t>
      </w:r>
      <w:r w:rsidR="000D5019">
        <w:t xml:space="preserve"> and</w:t>
      </w:r>
      <w:r>
        <w:t xml:space="preserve"> therefore the </w:t>
      </w:r>
      <w:r w:rsidR="000D5019">
        <w:t>s</w:t>
      </w:r>
      <w:r>
        <w:t>ponsor does not believe this inf</w:t>
      </w:r>
      <w:r w:rsidR="007907A4">
        <w:t>ormation should be added to PI.</w:t>
      </w:r>
    </w:p>
    <w:p w:rsidR="00861753" w:rsidRPr="000D5019" w:rsidRDefault="00861753" w:rsidP="000D5019">
      <w:pPr>
        <w:pStyle w:val="Numberbullet3"/>
        <w:rPr>
          <w:i/>
        </w:rPr>
      </w:pPr>
      <w:r w:rsidRPr="000D5019">
        <w:rPr>
          <w:i/>
        </w:rPr>
        <w:t xml:space="preserve">During Study CV185056 and CV185057 3 to 4% of subjects took non study anticoagulants. Please comment on the impact of these major protocol violations on the outcomes of the studies. In </w:t>
      </w:r>
      <w:r w:rsidR="000D5019">
        <w:rPr>
          <w:i/>
        </w:rPr>
        <w:t>the</w:t>
      </w:r>
      <w:r w:rsidRPr="000D5019">
        <w:rPr>
          <w:i/>
        </w:rPr>
        <w:t xml:space="preserve"> response please include a comment on the impacts for safety as well as efficacy.</w:t>
      </w:r>
    </w:p>
    <w:p w:rsidR="00861753" w:rsidRDefault="00861753" w:rsidP="000D5019">
      <w:r>
        <w:t xml:space="preserve">The subjects with protocol violations for non-study anticoagulant medications were included in the primary efficacy and safety analyses. No formal analysis was conducted for these subjects with protocol violations due to taking non-study anticoagulants. Since these included less than 5% of subjects overall and the numbers were relatively balanced between treatment groups they would not be expected to have a significant impact on the study </w:t>
      </w:r>
      <w:r w:rsidR="007907A4">
        <w:t>safety or efficacy assessments.</w:t>
      </w:r>
    </w:p>
    <w:p w:rsidR="00861753" w:rsidRPr="000D5019" w:rsidRDefault="00861753" w:rsidP="000D5019">
      <w:pPr>
        <w:pStyle w:val="Numberbullet3"/>
        <w:rPr>
          <w:i/>
        </w:rPr>
      </w:pPr>
      <w:r w:rsidRPr="000D5019">
        <w:rPr>
          <w:i/>
        </w:rPr>
        <w:t xml:space="preserve">Please provide a justification for not including a precautionary statement against the use of </w:t>
      </w:r>
      <w:proofErr w:type="spellStart"/>
      <w:r w:rsidRPr="000D5019">
        <w:rPr>
          <w:i/>
        </w:rPr>
        <w:t>apixaban</w:t>
      </w:r>
      <w:proofErr w:type="spellEnd"/>
      <w:r w:rsidRPr="000D5019">
        <w:rPr>
          <w:i/>
        </w:rPr>
        <w:t xml:space="preserve"> in subjects with active cancer, similar to the one</w:t>
      </w:r>
      <w:r w:rsidR="007907A4">
        <w:rPr>
          <w:i/>
        </w:rPr>
        <w:t xml:space="preserve"> that appears in the </w:t>
      </w:r>
      <w:proofErr w:type="spellStart"/>
      <w:r w:rsidR="007907A4">
        <w:rPr>
          <w:i/>
        </w:rPr>
        <w:t>SmPC</w:t>
      </w:r>
      <w:proofErr w:type="spellEnd"/>
      <w:r w:rsidR="007907A4">
        <w:rPr>
          <w:i/>
        </w:rPr>
        <w:t>.</w:t>
      </w:r>
    </w:p>
    <w:p w:rsidR="00861753" w:rsidRDefault="000D5019" w:rsidP="000D5019">
      <w:r>
        <w:t>The s</w:t>
      </w:r>
      <w:r w:rsidR="00861753">
        <w:t>ponsor has updated the PI to inclu</w:t>
      </w:r>
      <w:r w:rsidR="007907A4">
        <w:t>de the precautionary statement.</w:t>
      </w:r>
    </w:p>
    <w:p w:rsidR="00861753" w:rsidRPr="000D5019" w:rsidRDefault="00861753" w:rsidP="000D5019">
      <w:pPr>
        <w:pStyle w:val="Numberbullet3"/>
        <w:rPr>
          <w:i/>
        </w:rPr>
      </w:pPr>
      <w:r w:rsidRPr="000D5019">
        <w:rPr>
          <w:i/>
        </w:rPr>
        <w:lastRenderedPageBreak/>
        <w:t>The clinical evaluator was not satisfied with the response to the question about symptomatic DVT. Please indicate if the sponsor considered a DVT 'symptomatic' if it was proximal, regardless of the symptoms the subject complained of. If not, please identify what the sponsor considered '</w:t>
      </w:r>
      <w:r w:rsidR="007907A4">
        <w:rPr>
          <w:i/>
        </w:rPr>
        <w:t>symptomatic' in these subjects.</w:t>
      </w:r>
    </w:p>
    <w:p w:rsidR="00861753" w:rsidRDefault="00861753" w:rsidP="000D5019">
      <w:r>
        <w:t xml:space="preserve">All events of index and recurrent VTE had to be both symptomatic and image confirmed in order to be adjudicated as a symptomatic DVT or PE. No specific list of symptoms was provided by the </w:t>
      </w:r>
      <w:r w:rsidR="000D5019">
        <w:t>s</w:t>
      </w:r>
      <w:r>
        <w:t>ponsor to the investigators or the adjudication committee. If the adjudication committee considered the symptoms and images provided by the investigator met criteria for a symptomatic event, they were adjudica</w:t>
      </w:r>
      <w:r w:rsidR="007907A4">
        <w:t>ted as a symptomatic DVT or PE.</w:t>
      </w:r>
    </w:p>
    <w:p w:rsidR="00861753" w:rsidRPr="000D5019" w:rsidRDefault="00861753" w:rsidP="000D5019">
      <w:pPr>
        <w:pStyle w:val="Numberbullet3"/>
        <w:rPr>
          <w:i/>
        </w:rPr>
      </w:pPr>
      <w:r w:rsidRPr="000D5019">
        <w:rPr>
          <w:i/>
        </w:rPr>
        <w:t xml:space="preserve"> A larger proportion of patients reported thromboembolic events during days 3 to 30 after the completion of </w:t>
      </w:r>
      <w:r w:rsidR="00D26E85" w:rsidRPr="000D5019">
        <w:rPr>
          <w:i/>
        </w:rPr>
        <w:t>Study CV</w:t>
      </w:r>
      <w:r w:rsidRPr="000D5019">
        <w:rPr>
          <w:i/>
        </w:rPr>
        <w:t xml:space="preserve">185057 in the </w:t>
      </w:r>
      <w:proofErr w:type="spellStart"/>
      <w:r w:rsidRPr="000D5019">
        <w:rPr>
          <w:i/>
        </w:rPr>
        <w:t>apixaban</w:t>
      </w:r>
      <w:proofErr w:type="spellEnd"/>
      <w:r w:rsidRPr="000D5019">
        <w:rPr>
          <w:i/>
        </w:rPr>
        <w:t xml:space="preserve"> groups compared to placebo. Please provide comment on whether there is a 'rebound' or withdra</w:t>
      </w:r>
      <w:r w:rsidR="007907A4">
        <w:rPr>
          <w:i/>
        </w:rPr>
        <w:t>wal phenomenon in VTE patients.</w:t>
      </w:r>
    </w:p>
    <w:p w:rsidR="00861753" w:rsidRDefault="00861753" w:rsidP="000D5019">
      <w:r>
        <w:t>Although there we</w:t>
      </w:r>
      <w:r w:rsidR="000D5019">
        <w:t xml:space="preserve">re more VTE events in the Days 3 to </w:t>
      </w:r>
      <w:r>
        <w:t xml:space="preserve">30 follow-up </w:t>
      </w:r>
      <w:proofErr w:type="gramStart"/>
      <w:r>
        <w:t>period</w:t>
      </w:r>
      <w:proofErr w:type="gramEnd"/>
      <w:r>
        <w:t xml:space="preserve"> in patients who stopped </w:t>
      </w:r>
      <w:proofErr w:type="spellStart"/>
      <w:r>
        <w:t>apixaban</w:t>
      </w:r>
      <w:proofErr w:type="spellEnd"/>
      <w:r>
        <w:t xml:space="preserve"> versus those who stopped placebo, the great majority of these events occurred after Day 9. This is consistent with an ongoing risk of recurrent VTE in these patients after discontinuing an effective anticoagulant rather than suggesting a rebound phenomenon, which would be expected to produce a clustering of VTE events sooner after discontinuing </w:t>
      </w:r>
      <w:proofErr w:type="spellStart"/>
      <w:r>
        <w:t>apixaban</w:t>
      </w:r>
      <w:proofErr w:type="spellEnd"/>
      <w:r>
        <w:t xml:space="preserve"> once circulating drug has cleared. Data from </w:t>
      </w:r>
      <w:r w:rsidR="00D26E85">
        <w:t>Study CV</w:t>
      </w:r>
      <w:r>
        <w:t xml:space="preserve">185057 do not demonstrate a rebound increase in recurrent VTE, </w:t>
      </w:r>
      <w:r w:rsidR="000D5019">
        <w:t>myocardial infarction (</w:t>
      </w:r>
      <w:r>
        <w:t>MI</w:t>
      </w:r>
      <w:r w:rsidR="000D5019">
        <w:t>) or ischaemic stroke events in D</w:t>
      </w:r>
      <w:r>
        <w:t>ays 3</w:t>
      </w:r>
      <w:r w:rsidR="000D5019">
        <w:t xml:space="preserve"> to </w:t>
      </w:r>
      <w:r>
        <w:t xml:space="preserve">9 following discontinuation of </w:t>
      </w:r>
      <w:proofErr w:type="spellStart"/>
      <w:r>
        <w:t>apixaban</w:t>
      </w:r>
      <w:proofErr w:type="spellEnd"/>
      <w:r>
        <w:t xml:space="preserve">, which is the most relevant time period </w:t>
      </w:r>
      <w:r w:rsidR="007907A4">
        <w:t>for evaluating rebound effects.</w:t>
      </w:r>
    </w:p>
    <w:p w:rsidR="00861753" w:rsidRDefault="00861753" w:rsidP="000D5019">
      <w:r>
        <w:t xml:space="preserve">The </w:t>
      </w:r>
      <w:r w:rsidR="000D5019">
        <w:t>s</w:t>
      </w:r>
      <w:r>
        <w:t xml:space="preserve">ponsor has found no evidence of a rebound effect upon discontinuation of </w:t>
      </w:r>
      <w:proofErr w:type="spellStart"/>
      <w:r>
        <w:t>apixaban</w:t>
      </w:r>
      <w:proofErr w:type="spellEnd"/>
      <w:r>
        <w:t xml:space="preserve"> in </w:t>
      </w:r>
      <w:r w:rsidR="00D26E85">
        <w:t>Study CV</w:t>
      </w:r>
      <w:r>
        <w:t xml:space="preserve">185057 or in any other study conducted during the </w:t>
      </w:r>
      <w:proofErr w:type="spellStart"/>
      <w:r>
        <w:t>apixaban</w:t>
      </w:r>
      <w:proofErr w:type="spellEnd"/>
      <w:r>
        <w:t xml:space="preserve"> development prog</w:t>
      </w:r>
      <w:r w:rsidR="007907A4">
        <w:t>ram for other indications.</w:t>
      </w:r>
    </w:p>
    <w:p w:rsidR="00861753" w:rsidRDefault="007907A4" w:rsidP="000D5019">
      <w:pPr>
        <w:pStyle w:val="Heading5"/>
      </w:pPr>
      <w:r>
        <w:t>In conclusion</w:t>
      </w:r>
    </w:p>
    <w:p w:rsidR="000D5019" w:rsidRDefault="00861753" w:rsidP="000D5019">
      <w:r>
        <w:t xml:space="preserve">The </w:t>
      </w:r>
      <w:r w:rsidR="000D5019">
        <w:t>s</w:t>
      </w:r>
      <w:r>
        <w:t xml:space="preserve">ponsor welcomes the Delegate’s recommendation to approve the application to register a new indication for </w:t>
      </w:r>
      <w:proofErr w:type="spellStart"/>
      <w:r w:rsidR="00657A92">
        <w:t>Eliquis</w:t>
      </w:r>
      <w:proofErr w:type="spellEnd"/>
      <w:r w:rsidR="007907A4">
        <w:t xml:space="preserve"> (</w:t>
      </w:r>
      <w:proofErr w:type="spellStart"/>
      <w:r w:rsidR="007907A4">
        <w:t>apixaban</w:t>
      </w:r>
      <w:proofErr w:type="spellEnd"/>
      <w:r w:rsidR="007907A4">
        <w:t>):</w:t>
      </w:r>
    </w:p>
    <w:p w:rsidR="00861753" w:rsidRPr="000D5019" w:rsidRDefault="000D5019" w:rsidP="000D5019">
      <w:pPr>
        <w:ind w:left="142"/>
        <w:rPr>
          <w:i/>
        </w:rPr>
      </w:pPr>
      <w:proofErr w:type="gramStart"/>
      <w:r w:rsidRPr="000D5019">
        <w:rPr>
          <w:i/>
        </w:rPr>
        <w:t>F</w:t>
      </w:r>
      <w:r w:rsidR="00861753" w:rsidRPr="000D5019">
        <w:rPr>
          <w:i/>
        </w:rPr>
        <w:t>or the treatment of deep vein thrombosis (DVT) and pulmonary embolism (PE) in adult patients and for the prevention of recurren</w:t>
      </w:r>
      <w:r w:rsidR="007907A4">
        <w:rPr>
          <w:i/>
        </w:rPr>
        <w:t>t DVT and PE in adult patients.</w:t>
      </w:r>
      <w:proofErr w:type="gramEnd"/>
    </w:p>
    <w:p w:rsidR="008E7846" w:rsidRDefault="007907A4" w:rsidP="00861753">
      <w:pPr>
        <w:pStyle w:val="Heading4"/>
      </w:pPr>
      <w:r>
        <w:t>Advisory c</w:t>
      </w:r>
      <w:r w:rsidR="008E7846">
        <w:t xml:space="preserve">ommittee </w:t>
      </w:r>
      <w:r>
        <w:t>c</w:t>
      </w:r>
      <w:r w:rsidR="008E7846">
        <w:t>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4C7F1F" w:rsidRPr="00590338" w:rsidRDefault="004C7F1F" w:rsidP="007907A4">
      <w:pPr>
        <w:adjustRightInd w:val="0"/>
        <w:snapToGrid w:val="0"/>
        <w:spacing w:line="240" w:lineRule="auto"/>
        <w:rPr>
          <w:rFonts w:eastAsia="Times New Roman" w:cs="Arial"/>
          <w:szCs w:val="20"/>
          <w:lang w:eastAsia="en-AU"/>
        </w:rPr>
      </w:pPr>
      <w:r w:rsidRPr="00590338">
        <w:rPr>
          <w:rFonts w:eastAsia="Times New Roman" w:cs="Arial"/>
          <w:szCs w:val="20"/>
          <w:lang w:eastAsia="en-AU"/>
        </w:rPr>
        <w:t>The ACPM resolved to recommend to the TGA delegate of t</w:t>
      </w:r>
      <w:r w:rsidR="007907A4">
        <w:rPr>
          <w:rFonts w:eastAsia="Times New Roman" w:cs="Arial"/>
          <w:szCs w:val="20"/>
          <w:lang w:eastAsia="en-AU"/>
        </w:rPr>
        <w:t>he Minister and Secretary that:</w:t>
      </w:r>
    </w:p>
    <w:p w:rsidR="004C7F1F" w:rsidRPr="00590338" w:rsidRDefault="004C7F1F" w:rsidP="004C7F1F">
      <w:pPr>
        <w:spacing w:line="240" w:lineRule="auto"/>
        <w:rPr>
          <w:rFonts w:eastAsia="MS Mincho" w:cs="Calibri"/>
          <w:b/>
          <w:color w:val="000000"/>
          <w:lang w:eastAsia="ja-JP"/>
        </w:rPr>
      </w:pPr>
      <w:r w:rsidRPr="00590338">
        <w:rPr>
          <w:bCs/>
        </w:rPr>
        <w:t xml:space="preserve">The ACPM, taking into account the submitted evidence of pharmaceutical quality, safety and efficacy advised that </w:t>
      </w:r>
      <w:proofErr w:type="spellStart"/>
      <w:r w:rsidR="00657A92">
        <w:rPr>
          <w:rFonts w:eastAsia="Times New Roman" w:cs="Arial"/>
          <w:lang w:eastAsia="en-AU"/>
        </w:rPr>
        <w:t>Eliquis</w:t>
      </w:r>
      <w:proofErr w:type="spellEnd"/>
      <w:r w:rsidRPr="00590338">
        <w:rPr>
          <w:rFonts w:eastAsia="Times New Roman" w:cs="Arial"/>
          <w:lang w:eastAsia="en-AU"/>
        </w:rPr>
        <w:t>,</w:t>
      </w:r>
      <w:r w:rsidRPr="00590338">
        <w:rPr>
          <w:rFonts w:eastAsia="Times New Roman" w:cs="Arial"/>
          <w:b/>
          <w:lang w:eastAsia="en-AU"/>
        </w:rPr>
        <w:t xml:space="preserve"> </w:t>
      </w:r>
      <w:r w:rsidRPr="00590338">
        <w:rPr>
          <w:rFonts w:eastAsia="Times New Roman" w:cs="Arial"/>
          <w:lang w:eastAsia="en-AU"/>
        </w:rPr>
        <w:t xml:space="preserve">film-coated tablet blister pack, containing 2.5 mg and 5 mg of </w:t>
      </w:r>
      <w:proofErr w:type="spellStart"/>
      <w:r w:rsidRPr="00590338">
        <w:rPr>
          <w:rFonts w:eastAsia="Times New Roman" w:cs="Arial"/>
          <w:lang w:eastAsia="en-AU"/>
        </w:rPr>
        <w:t>apixaban</w:t>
      </w:r>
      <w:proofErr w:type="spellEnd"/>
      <w:r w:rsidRPr="00590338">
        <w:rPr>
          <w:rFonts w:eastAsia="Times New Roman" w:cs="Arial"/>
          <w:lang w:eastAsia="en-AU"/>
        </w:rPr>
        <w:t xml:space="preserve"> has </w:t>
      </w:r>
      <w:r w:rsidRPr="00590338">
        <w:rPr>
          <w:rFonts w:eastAsia="MS Mincho" w:cs="Calibri"/>
          <w:color w:val="000000"/>
          <w:lang w:eastAsia="ja-JP"/>
        </w:rPr>
        <w:t>an overall positive benefit–risk profile for the indicatio</w:t>
      </w:r>
      <w:r w:rsidRPr="00590338">
        <w:rPr>
          <w:rFonts w:eastAsia="MS Mincho" w:cs="Calibri"/>
          <w:lang w:eastAsia="ja-JP"/>
        </w:rPr>
        <w:t>n:</w:t>
      </w:r>
    </w:p>
    <w:p w:rsidR="004C7F1F" w:rsidRPr="00C92C84" w:rsidRDefault="00657A92" w:rsidP="00C92C84">
      <w:pPr>
        <w:rPr>
          <w:i/>
          <w:lang w:eastAsia="en-AU"/>
        </w:rPr>
      </w:pPr>
      <w:proofErr w:type="spellStart"/>
      <w:r w:rsidRPr="00C92C84">
        <w:rPr>
          <w:i/>
          <w:lang w:eastAsia="en-AU"/>
        </w:rPr>
        <w:t>Eliquis</w:t>
      </w:r>
      <w:proofErr w:type="spellEnd"/>
      <w:r w:rsidR="007907A4">
        <w:rPr>
          <w:i/>
          <w:lang w:eastAsia="en-AU"/>
        </w:rPr>
        <w:t xml:space="preserve"> is indicated for</w:t>
      </w:r>
    </w:p>
    <w:p w:rsidR="004C7F1F" w:rsidRPr="00C92C84" w:rsidRDefault="004C7F1F" w:rsidP="00C92C84">
      <w:pPr>
        <w:pStyle w:val="ListBullet"/>
        <w:rPr>
          <w:i/>
          <w:lang w:eastAsia="en-AU"/>
        </w:rPr>
      </w:pPr>
      <w:proofErr w:type="gramStart"/>
      <w:r w:rsidRPr="00C92C84">
        <w:rPr>
          <w:i/>
          <w:lang w:eastAsia="en-AU"/>
        </w:rPr>
        <w:t>the</w:t>
      </w:r>
      <w:proofErr w:type="gramEnd"/>
      <w:r w:rsidRPr="00C92C84">
        <w:rPr>
          <w:i/>
          <w:lang w:eastAsia="en-AU"/>
        </w:rPr>
        <w:t xml:space="preserve"> treatment of deep vein thrombosis (DVT) and pulmonary embolism (PE).</w:t>
      </w:r>
    </w:p>
    <w:p w:rsidR="004C7F1F" w:rsidRPr="00C92C84" w:rsidRDefault="004C7F1F" w:rsidP="00C92C84">
      <w:pPr>
        <w:pStyle w:val="ListBullet"/>
        <w:rPr>
          <w:i/>
          <w:lang w:eastAsia="en-AU"/>
        </w:rPr>
      </w:pPr>
      <w:proofErr w:type="gramStart"/>
      <w:r w:rsidRPr="00C92C84">
        <w:rPr>
          <w:i/>
          <w:lang w:eastAsia="en-AU"/>
        </w:rPr>
        <w:t>the</w:t>
      </w:r>
      <w:proofErr w:type="gramEnd"/>
      <w:r w:rsidRPr="00C92C84">
        <w:rPr>
          <w:i/>
          <w:lang w:eastAsia="en-AU"/>
        </w:rPr>
        <w:t xml:space="preserve"> prevention of recurrent DVT and PE</w:t>
      </w:r>
      <w:r w:rsidR="007907A4">
        <w:rPr>
          <w:i/>
          <w:lang w:eastAsia="en-AU"/>
        </w:rPr>
        <w:t>.</w:t>
      </w:r>
    </w:p>
    <w:p w:rsidR="004C7F1F" w:rsidRPr="00590338" w:rsidRDefault="004C7F1F" w:rsidP="004C7F1F">
      <w:pPr>
        <w:spacing w:after="0" w:line="240" w:lineRule="auto"/>
        <w:rPr>
          <w:rFonts w:eastAsia="Times New Roman" w:cs="Arial"/>
          <w:b/>
          <w:i/>
          <w:lang w:eastAsia="en-AU"/>
        </w:rPr>
      </w:pPr>
      <w:r w:rsidRPr="00590338">
        <w:rPr>
          <w:rFonts w:eastAsia="Times New Roman" w:cs="Arial"/>
          <w:b/>
          <w:i/>
          <w:lang w:eastAsia="en-AU"/>
        </w:rPr>
        <w:t>Proposed conditions of registration</w:t>
      </w:r>
    </w:p>
    <w:p w:rsidR="004C7F1F" w:rsidRPr="00590338" w:rsidRDefault="004C7F1F" w:rsidP="004C7F1F">
      <w:pPr>
        <w:spacing w:line="240" w:lineRule="auto"/>
        <w:rPr>
          <w:rFonts w:eastAsia="Times New Roman" w:cs="Arial"/>
          <w:lang w:eastAsia="en-AU"/>
        </w:rPr>
      </w:pPr>
      <w:r w:rsidRPr="00590338">
        <w:rPr>
          <w:rFonts w:eastAsia="MS Mincho" w:cs="Calibri"/>
          <w:color w:val="000000"/>
          <w:lang w:eastAsia="ja-JP"/>
        </w:rPr>
        <w:t>T</w:t>
      </w:r>
      <w:r w:rsidRPr="00590338">
        <w:rPr>
          <w:rFonts w:eastAsia="MS Mincho"/>
          <w:bCs/>
          <w:lang w:eastAsia="ja-JP"/>
        </w:rPr>
        <w:t xml:space="preserve">he ACPM agreed with the </w:t>
      </w:r>
      <w:r w:rsidR="00422303">
        <w:rPr>
          <w:rFonts w:eastAsia="MS Mincho"/>
          <w:bCs/>
          <w:lang w:eastAsia="ja-JP"/>
        </w:rPr>
        <w:t>D</w:t>
      </w:r>
      <w:r w:rsidRPr="00590338">
        <w:rPr>
          <w:rFonts w:eastAsia="MS Mincho"/>
          <w:bCs/>
          <w:lang w:eastAsia="ja-JP"/>
        </w:rPr>
        <w:t>elegate on the proposed conditions of registration.</w:t>
      </w:r>
    </w:p>
    <w:p w:rsidR="004C7F1F" w:rsidRPr="00590338" w:rsidRDefault="004C7F1F" w:rsidP="004C7F1F">
      <w:pPr>
        <w:spacing w:after="0" w:line="240" w:lineRule="auto"/>
        <w:rPr>
          <w:rFonts w:eastAsia="Times New Roman" w:cs="Arial"/>
          <w:lang w:eastAsia="en-AU"/>
        </w:rPr>
      </w:pPr>
      <w:r w:rsidRPr="00590338">
        <w:rPr>
          <w:rFonts w:eastAsia="MS Mincho" w:cs="Arial"/>
          <w:b/>
          <w:i/>
          <w:lang w:eastAsia="ja-JP"/>
        </w:rPr>
        <w:lastRenderedPageBreak/>
        <w:t>Proposed Product Information (PI)/Consumer Medicine Information (CMI) amendments</w:t>
      </w:r>
    </w:p>
    <w:p w:rsidR="004C7F1F" w:rsidRPr="00590338" w:rsidRDefault="004C7F1F" w:rsidP="004C7F1F">
      <w:pPr>
        <w:spacing w:after="0" w:line="240" w:lineRule="auto"/>
        <w:rPr>
          <w:rFonts w:eastAsia="Times New Roman" w:cs="Arial"/>
          <w:lang w:eastAsia="en-AU"/>
        </w:rPr>
      </w:pPr>
      <w:r w:rsidRPr="00590338">
        <w:rPr>
          <w:rFonts w:eastAsia="MS Mincho" w:cs="Arial"/>
          <w:lang w:eastAsia="ja-JP"/>
        </w:rPr>
        <w:t>The ACPM proposed the following amendments to the PI:</w:t>
      </w:r>
    </w:p>
    <w:p w:rsidR="004C7F1F" w:rsidRPr="00590338" w:rsidRDefault="004C7F1F" w:rsidP="00422303">
      <w:pPr>
        <w:pStyle w:val="ListBullet"/>
        <w:rPr>
          <w:lang w:eastAsia="en-AU"/>
        </w:rPr>
      </w:pPr>
      <w:r w:rsidRPr="00590338">
        <w:rPr>
          <w:lang w:eastAsia="en-AU"/>
        </w:rPr>
        <w:t xml:space="preserve">Under </w:t>
      </w:r>
      <w:r w:rsidR="00422303" w:rsidRPr="00422303">
        <w:rPr>
          <w:i/>
          <w:lang w:eastAsia="en-AU"/>
        </w:rPr>
        <w:t>Precautions</w:t>
      </w:r>
      <w:r w:rsidRPr="00590338">
        <w:rPr>
          <w:lang w:eastAsia="en-AU"/>
        </w:rPr>
        <w:t xml:space="preserve">, add information on the use of </w:t>
      </w:r>
      <w:proofErr w:type="spellStart"/>
      <w:r w:rsidRPr="00590338">
        <w:rPr>
          <w:lang w:eastAsia="en-AU"/>
        </w:rPr>
        <w:t>apixaban</w:t>
      </w:r>
      <w:proofErr w:type="spellEnd"/>
      <w:r w:rsidRPr="00590338">
        <w:rPr>
          <w:lang w:eastAsia="en-AU"/>
        </w:rPr>
        <w:t xml:space="preserve"> in lactation to highlight risk of exposure to prevent possible bleeding in new</w:t>
      </w:r>
      <w:r>
        <w:rPr>
          <w:lang w:eastAsia="en-AU"/>
        </w:rPr>
        <w:t>-</w:t>
      </w:r>
      <w:r w:rsidRPr="00590338">
        <w:rPr>
          <w:lang w:eastAsia="en-AU"/>
        </w:rPr>
        <w:t>borns. A statement about lactation should also be added to the CMI.</w:t>
      </w:r>
    </w:p>
    <w:p w:rsidR="004C7F1F" w:rsidRPr="00590338" w:rsidRDefault="004C7F1F" w:rsidP="00422303">
      <w:pPr>
        <w:pStyle w:val="ListBullet"/>
        <w:rPr>
          <w:lang w:eastAsia="en-AU"/>
        </w:rPr>
      </w:pPr>
      <w:r w:rsidRPr="00590338">
        <w:rPr>
          <w:lang w:eastAsia="en-AU"/>
        </w:rPr>
        <w:t xml:space="preserve">Under </w:t>
      </w:r>
      <w:r w:rsidR="00422303" w:rsidRPr="00422303">
        <w:rPr>
          <w:i/>
          <w:lang w:eastAsia="en-AU"/>
        </w:rPr>
        <w:t xml:space="preserve">Use </w:t>
      </w:r>
      <w:r w:rsidR="00422303">
        <w:rPr>
          <w:i/>
          <w:lang w:eastAsia="en-AU"/>
        </w:rPr>
        <w:t>i</w:t>
      </w:r>
      <w:r w:rsidR="00422303" w:rsidRPr="00422303">
        <w:rPr>
          <w:i/>
          <w:lang w:eastAsia="en-AU"/>
        </w:rPr>
        <w:t>n Pregnancy</w:t>
      </w:r>
      <w:r w:rsidRPr="00590338">
        <w:rPr>
          <w:lang w:eastAsia="en-AU"/>
        </w:rPr>
        <w:t xml:space="preserve">, add advice on what to do if there is advertent exposure to </w:t>
      </w:r>
      <w:proofErr w:type="spellStart"/>
      <w:r w:rsidRPr="00590338">
        <w:rPr>
          <w:lang w:eastAsia="en-AU"/>
        </w:rPr>
        <w:t>apix</w:t>
      </w:r>
      <w:r>
        <w:rPr>
          <w:lang w:eastAsia="en-AU"/>
        </w:rPr>
        <w:t>a</w:t>
      </w:r>
      <w:r w:rsidRPr="00590338">
        <w:rPr>
          <w:lang w:eastAsia="en-AU"/>
        </w:rPr>
        <w:t>ban</w:t>
      </w:r>
      <w:proofErr w:type="spellEnd"/>
      <w:r w:rsidRPr="00590338">
        <w:rPr>
          <w:lang w:eastAsia="en-AU"/>
        </w:rPr>
        <w:t>, such as becoming p</w:t>
      </w:r>
      <w:r w:rsidR="009D32CA">
        <w:rPr>
          <w:lang w:eastAsia="en-AU"/>
        </w:rPr>
        <w:t xml:space="preserve">regnant whilst taking </w:t>
      </w:r>
      <w:proofErr w:type="spellStart"/>
      <w:r w:rsidR="009D32CA">
        <w:rPr>
          <w:lang w:eastAsia="en-AU"/>
        </w:rPr>
        <w:t>apixaban</w:t>
      </w:r>
      <w:proofErr w:type="spellEnd"/>
      <w:r w:rsidR="009D32CA">
        <w:rPr>
          <w:lang w:eastAsia="en-AU"/>
        </w:rPr>
        <w:t>.</w:t>
      </w:r>
    </w:p>
    <w:p w:rsidR="004C7F1F" w:rsidRPr="00590338" w:rsidRDefault="004C7F1F" w:rsidP="004C7F1F">
      <w:pPr>
        <w:spacing w:after="0" w:line="240" w:lineRule="auto"/>
        <w:rPr>
          <w:rFonts w:eastAsia="Times New Roman" w:cs="Arial"/>
          <w:lang w:eastAsia="en-AU"/>
        </w:rPr>
      </w:pPr>
      <w:r w:rsidRPr="00590338">
        <w:rPr>
          <w:rFonts w:eastAsia="Times New Roman" w:cs="Arial"/>
          <w:b/>
          <w:i/>
          <w:lang w:eastAsia="en-AU"/>
        </w:rPr>
        <w:t>Specific advice</w:t>
      </w:r>
    </w:p>
    <w:p w:rsidR="004C7F1F" w:rsidRPr="00590338" w:rsidRDefault="004C7F1F" w:rsidP="004C7F1F">
      <w:pPr>
        <w:spacing w:line="240" w:lineRule="auto"/>
        <w:rPr>
          <w:rFonts w:eastAsia="Times New Roman" w:cs="Arial"/>
          <w:lang w:eastAsia="en-AU"/>
        </w:rPr>
      </w:pPr>
      <w:r w:rsidRPr="00590338">
        <w:rPr>
          <w:rFonts w:eastAsia="Times New Roman" w:cs="Arial"/>
          <w:lang w:eastAsia="en-AU"/>
        </w:rPr>
        <w:t>The ACPM advised the followi</w:t>
      </w:r>
      <w:r w:rsidR="00422303">
        <w:rPr>
          <w:rFonts w:eastAsia="Times New Roman" w:cs="Arial"/>
          <w:lang w:eastAsia="en-AU"/>
        </w:rPr>
        <w:t>ng in response to the specific D</w:t>
      </w:r>
      <w:r w:rsidRPr="00590338">
        <w:rPr>
          <w:rFonts w:eastAsia="Times New Roman" w:cs="Arial"/>
          <w:lang w:eastAsia="en-AU"/>
        </w:rPr>
        <w:t>elegate’s questions on this submission:</w:t>
      </w:r>
    </w:p>
    <w:p w:rsidR="004C7F1F" w:rsidRPr="00422303" w:rsidRDefault="004C7F1F" w:rsidP="005349EC">
      <w:pPr>
        <w:pStyle w:val="Numberbullet0"/>
        <w:numPr>
          <w:ilvl w:val="0"/>
          <w:numId w:val="26"/>
        </w:numPr>
        <w:rPr>
          <w:i/>
        </w:rPr>
      </w:pPr>
      <w:r w:rsidRPr="00422303">
        <w:rPr>
          <w:i/>
        </w:rPr>
        <w:t>Does the committee consider the findings for the study populations are generalizable to the likely population?</w:t>
      </w:r>
    </w:p>
    <w:p w:rsidR="004C7F1F" w:rsidRPr="00590338" w:rsidRDefault="004C7F1F" w:rsidP="004C7F1F">
      <w:pPr>
        <w:spacing w:line="240" w:lineRule="auto"/>
        <w:rPr>
          <w:rFonts w:eastAsia="Times New Roman" w:cs="Arial"/>
        </w:rPr>
      </w:pPr>
      <w:r w:rsidRPr="00590338">
        <w:rPr>
          <w:rFonts w:eastAsia="Times New Roman" w:cs="Arial"/>
        </w:rPr>
        <w:t xml:space="preserve">The ACPM advised that the variability in the study populations </w:t>
      </w:r>
      <w:proofErr w:type="gramStart"/>
      <w:r w:rsidRPr="00590338">
        <w:rPr>
          <w:rFonts w:eastAsia="Times New Roman" w:cs="Arial"/>
        </w:rPr>
        <w:t>are</w:t>
      </w:r>
      <w:proofErr w:type="gramEnd"/>
      <w:r w:rsidRPr="00590338">
        <w:rPr>
          <w:rFonts w:eastAsia="Times New Roman" w:cs="Arial"/>
        </w:rPr>
        <w:t xml:space="preserve"> generalizable to the probable population.</w:t>
      </w:r>
    </w:p>
    <w:p w:rsidR="004C7F1F" w:rsidRPr="00422303" w:rsidRDefault="004C7F1F" w:rsidP="00422303">
      <w:pPr>
        <w:pStyle w:val="Numberbullet0"/>
        <w:rPr>
          <w:i/>
        </w:rPr>
      </w:pPr>
      <w:r w:rsidRPr="00422303">
        <w:rPr>
          <w:i/>
        </w:rPr>
        <w:t>Is the choice of comparator (placebo) reasonable for the prevention study?</w:t>
      </w:r>
    </w:p>
    <w:p w:rsidR="004C7F1F" w:rsidRPr="00590338" w:rsidRDefault="004C7F1F" w:rsidP="004C7F1F">
      <w:pPr>
        <w:spacing w:line="240" w:lineRule="auto"/>
        <w:rPr>
          <w:rFonts w:eastAsia="Times New Roman" w:cs="Arial"/>
        </w:rPr>
      </w:pPr>
      <w:r w:rsidRPr="00590338">
        <w:rPr>
          <w:rFonts w:eastAsia="Times New Roman" w:cs="Arial"/>
        </w:rPr>
        <w:t>The ACPM advised that the comparator, placebo, for the prevention study was reasonable as current guidelines do not recommend long-term preventative treatment.</w:t>
      </w:r>
    </w:p>
    <w:p w:rsidR="004C7F1F" w:rsidRPr="00422303" w:rsidRDefault="004C7F1F" w:rsidP="00422303">
      <w:pPr>
        <w:pStyle w:val="Numberbullet0"/>
        <w:rPr>
          <w:i/>
        </w:rPr>
      </w:pPr>
      <w:r w:rsidRPr="00422303">
        <w:rPr>
          <w:i/>
        </w:rPr>
        <w:t>The sponsor has proposed that there should not be any dose adjustment for age or renal function. Does the committee support this proposal?</w:t>
      </w:r>
    </w:p>
    <w:p w:rsidR="004C7F1F" w:rsidRPr="00590338" w:rsidRDefault="004C7F1F" w:rsidP="004C7F1F">
      <w:pPr>
        <w:spacing w:line="240" w:lineRule="auto"/>
        <w:rPr>
          <w:rFonts w:eastAsia="Times New Roman" w:cs="Arial"/>
        </w:rPr>
      </w:pPr>
      <w:r w:rsidRPr="00590338">
        <w:rPr>
          <w:rFonts w:eastAsia="Times New Roman" w:cs="Arial"/>
        </w:rPr>
        <w:t>The ACPM advised the evidence suggests that dosage adjustment for age or renal function is not needed. The ACPM noted that patients with moderate renal impairment did not have a worse outcome in the studies. There is no clinical experience in severe renal failure, and the ACPM considered that this is covered adequately in the PI.</w:t>
      </w:r>
    </w:p>
    <w:p w:rsidR="004C7F1F" w:rsidRPr="00422303" w:rsidRDefault="004C7F1F" w:rsidP="00422303">
      <w:pPr>
        <w:pStyle w:val="Numberbullet0"/>
        <w:rPr>
          <w:i/>
        </w:rPr>
      </w:pPr>
      <w:r w:rsidRPr="00422303">
        <w:rPr>
          <w:i/>
        </w:rPr>
        <w:t>Does the committee consider the precautionary statement about the Use in Lactation is adequate to convey the risks?</w:t>
      </w:r>
    </w:p>
    <w:p w:rsidR="004C7F1F" w:rsidRPr="00590338" w:rsidRDefault="004C7F1F" w:rsidP="004C7F1F">
      <w:pPr>
        <w:spacing w:line="240" w:lineRule="auto"/>
        <w:rPr>
          <w:rFonts w:eastAsia="Times New Roman" w:cs="Arial"/>
          <w:lang w:eastAsia="en-AU"/>
        </w:rPr>
      </w:pPr>
      <w:r w:rsidRPr="00590338">
        <w:rPr>
          <w:rFonts w:eastAsia="Times New Roman" w:cs="Arial"/>
        </w:rPr>
        <w:t xml:space="preserve">The ACPM advised that there should be a stronger warning in the PI/CMI regarding use of </w:t>
      </w:r>
      <w:proofErr w:type="spellStart"/>
      <w:r w:rsidRPr="00590338">
        <w:rPr>
          <w:rFonts w:eastAsia="Times New Roman" w:cs="Arial"/>
        </w:rPr>
        <w:t>apixaban</w:t>
      </w:r>
      <w:proofErr w:type="spellEnd"/>
      <w:r w:rsidRPr="00590338">
        <w:rPr>
          <w:rFonts w:eastAsia="Times New Roman" w:cs="Arial"/>
        </w:rPr>
        <w:t xml:space="preserve"> in lactation and that the information about lactation should also be included under </w:t>
      </w:r>
      <w:r w:rsidR="00422303" w:rsidRPr="00422303">
        <w:rPr>
          <w:rFonts w:eastAsia="Times New Roman" w:cs="Arial"/>
          <w:i/>
        </w:rPr>
        <w:t>Precautions</w:t>
      </w:r>
      <w:r w:rsidRPr="00590338">
        <w:rPr>
          <w:rFonts w:eastAsia="Times New Roman" w:cs="Arial"/>
        </w:rPr>
        <w:t xml:space="preserve">. </w:t>
      </w:r>
      <w:r>
        <w:rPr>
          <w:rFonts w:eastAsia="Times New Roman" w:cs="Arial"/>
        </w:rPr>
        <w:t>This would</w:t>
      </w:r>
      <w:r w:rsidRPr="00F55B01">
        <w:rPr>
          <w:rFonts w:eastAsia="Times New Roman" w:cs="Arial"/>
          <w:lang w:eastAsia="en-AU"/>
        </w:rPr>
        <w:t xml:space="preserve"> </w:t>
      </w:r>
      <w:r>
        <w:rPr>
          <w:rFonts w:eastAsia="Times New Roman" w:cs="Arial"/>
          <w:lang w:eastAsia="en-AU"/>
        </w:rPr>
        <w:t xml:space="preserve">further </w:t>
      </w:r>
      <w:r w:rsidRPr="00F55B01">
        <w:rPr>
          <w:rFonts w:eastAsia="Times New Roman" w:cs="Arial"/>
          <w:lang w:eastAsia="en-AU"/>
        </w:rPr>
        <w:t xml:space="preserve">highlight </w:t>
      </w:r>
      <w:r>
        <w:rPr>
          <w:rFonts w:eastAsia="Times New Roman" w:cs="Arial"/>
          <w:lang w:eastAsia="en-AU"/>
        </w:rPr>
        <w:t xml:space="preserve">the </w:t>
      </w:r>
      <w:r w:rsidRPr="00F55B01">
        <w:rPr>
          <w:rFonts w:eastAsia="Times New Roman" w:cs="Arial"/>
          <w:lang w:eastAsia="en-AU"/>
        </w:rPr>
        <w:t xml:space="preserve">risk of exposure </w:t>
      </w:r>
      <w:r>
        <w:rPr>
          <w:rFonts w:eastAsia="Times New Roman" w:cs="Arial"/>
          <w:lang w:eastAsia="en-AU"/>
        </w:rPr>
        <w:t>to</w:t>
      </w:r>
      <w:r w:rsidRPr="00F55B01">
        <w:rPr>
          <w:rFonts w:eastAsia="Times New Roman" w:cs="Arial"/>
          <w:lang w:eastAsia="en-AU"/>
        </w:rPr>
        <w:t xml:space="preserve"> </w:t>
      </w:r>
      <w:proofErr w:type="spellStart"/>
      <w:r>
        <w:rPr>
          <w:rFonts w:eastAsia="Times New Roman" w:cs="Arial"/>
          <w:lang w:eastAsia="en-AU"/>
        </w:rPr>
        <w:t>apixaban</w:t>
      </w:r>
      <w:proofErr w:type="spellEnd"/>
      <w:r>
        <w:rPr>
          <w:rFonts w:eastAsia="Times New Roman" w:cs="Arial"/>
          <w:lang w:eastAsia="en-AU"/>
        </w:rPr>
        <w:t xml:space="preserve"> and</w:t>
      </w:r>
      <w:r w:rsidRPr="00F55B01">
        <w:rPr>
          <w:rFonts w:eastAsia="Times New Roman" w:cs="Arial"/>
          <w:lang w:eastAsia="en-AU"/>
        </w:rPr>
        <w:t xml:space="preserve"> possible </w:t>
      </w:r>
      <w:r>
        <w:rPr>
          <w:rFonts w:eastAsia="Times New Roman" w:cs="Arial"/>
          <w:lang w:eastAsia="en-AU"/>
        </w:rPr>
        <w:t xml:space="preserve">increased risk of </w:t>
      </w:r>
      <w:r w:rsidRPr="00F55B01">
        <w:rPr>
          <w:rFonts w:eastAsia="Times New Roman" w:cs="Arial"/>
          <w:lang w:eastAsia="en-AU"/>
        </w:rPr>
        <w:t>bleeding in</w:t>
      </w:r>
      <w:r>
        <w:rPr>
          <w:rFonts w:eastAsia="Times New Roman" w:cs="Arial"/>
          <w:lang w:eastAsia="en-AU"/>
        </w:rPr>
        <w:t xml:space="preserve"> exposed</w:t>
      </w:r>
      <w:r w:rsidRPr="00590338">
        <w:rPr>
          <w:rFonts w:eastAsia="Times New Roman" w:cs="Arial"/>
          <w:lang w:eastAsia="en-AU"/>
        </w:rPr>
        <w:t xml:space="preserve"> new</w:t>
      </w:r>
      <w:r>
        <w:rPr>
          <w:rFonts w:eastAsia="Times New Roman" w:cs="Arial"/>
          <w:lang w:eastAsia="en-AU"/>
        </w:rPr>
        <w:t>-</w:t>
      </w:r>
      <w:r w:rsidR="009D32CA">
        <w:rPr>
          <w:rFonts w:eastAsia="Times New Roman" w:cs="Arial"/>
          <w:lang w:eastAsia="en-AU"/>
        </w:rPr>
        <w:t>borns.</w:t>
      </w:r>
    </w:p>
    <w:p w:rsidR="004C7F1F" w:rsidRPr="00590338" w:rsidRDefault="004C7F1F" w:rsidP="004C7F1F">
      <w:pPr>
        <w:tabs>
          <w:tab w:val="left" w:pos="720"/>
        </w:tabs>
        <w:adjustRightInd w:val="0"/>
        <w:snapToGrid w:val="0"/>
        <w:rPr>
          <w:rFonts w:eastAsia="MS Mincho"/>
          <w:bCs/>
          <w:lang w:eastAsia="ja-JP"/>
        </w:rPr>
      </w:pPr>
      <w:r w:rsidRPr="00590338">
        <w:rPr>
          <w:rFonts w:eastAsia="MS Mincho"/>
          <w:bCs/>
          <w:lang w:eastAsia="ja-JP"/>
        </w:rPr>
        <w:t>The ACPM advised that implementation by the sponsor of the recommendations outlined above to the satisfaction of the TGA, in addition to the evidence of efficacy and safety provided would support the safe and</w:t>
      </w:r>
      <w:r w:rsidR="009D32CA">
        <w:rPr>
          <w:rFonts w:eastAsia="MS Mincho"/>
          <w:bCs/>
          <w:lang w:eastAsia="ja-JP"/>
        </w:rPr>
        <w:t xml:space="preserve"> effective use of this product.</w:t>
      </w:r>
    </w:p>
    <w:p w:rsidR="008E7846" w:rsidRPr="002E238E" w:rsidRDefault="008E7846" w:rsidP="008E7846">
      <w:pPr>
        <w:pStyle w:val="Heading3"/>
      </w:pPr>
      <w:bookmarkStart w:id="194" w:name="_Toc247691532"/>
      <w:bookmarkStart w:id="195" w:name="_Toc314842516"/>
      <w:bookmarkStart w:id="196" w:name="_Toc436386782"/>
      <w:bookmarkEnd w:id="107"/>
      <w:bookmarkEnd w:id="191"/>
      <w:bookmarkEnd w:id="192"/>
      <w:r>
        <w:t>Outcome</w:t>
      </w:r>
      <w:bookmarkEnd w:id="194"/>
      <w:bookmarkEnd w:id="195"/>
      <w:bookmarkEnd w:id="196"/>
    </w:p>
    <w:p w:rsidR="00D23139" w:rsidRPr="00422303" w:rsidRDefault="00D23139" w:rsidP="00422303">
      <w:bookmarkStart w:id="197" w:name="_Toc247691533"/>
      <w:bookmarkStart w:id="198" w:name="_Toc314842517"/>
      <w:r w:rsidRPr="00422303">
        <w:t xml:space="preserve">Based on a review of quality, safety and efficacy, TGA approved the registration of </w:t>
      </w:r>
      <w:proofErr w:type="spellStart"/>
      <w:r w:rsidR="00422303" w:rsidRPr="00422303">
        <w:t>Eliquis</w:t>
      </w:r>
      <w:proofErr w:type="spellEnd"/>
      <w:r w:rsidR="00422303" w:rsidRPr="00422303">
        <w:t xml:space="preserve"> tablets containing </w:t>
      </w:r>
      <w:proofErr w:type="spellStart"/>
      <w:r w:rsidR="00422303" w:rsidRPr="00422303">
        <w:t>apixaban</w:t>
      </w:r>
      <w:proofErr w:type="spellEnd"/>
      <w:r w:rsidRPr="00422303">
        <w:t xml:space="preserve"> for </w:t>
      </w:r>
      <w:r w:rsidR="00422303" w:rsidRPr="00422303">
        <w:t>oral administration</w:t>
      </w:r>
      <w:r w:rsidRPr="00422303">
        <w:t>, indicated for:</w:t>
      </w:r>
    </w:p>
    <w:p w:rsidR="004C7F1F" w:rsidRPr="00422303" w:rsidRDefault="00FD16C3" w:rsidP="00422303">
      <w:pPr>
        <w:ind w:left="720"/>
        <w:rPr>
          <w:i/>
        </w:rPr>
      </w:pPr>
      <w:proofErr w:type="spellStart"/>
      <w:r>
        <w:rPr>
          <w:i/>
        </w:rPr>
        <w:t>Eliquis</w:t>
      </w:r>
      <w:proofErr w:type="spellEnd"/>
      <w:r>
        <w:rPr>
          <w:i/>
        </w:rPr>
        <w:t xml:space="preserve"> is i</w:t>
      </w:r>
      <w:r w:rsidR="004C7F1F" w:rsidRPr="00422303">
        <w:rPr>
          <w:i/>
        </w:rPr>
        <w:t>ndicated for the treatment of deep vein thrombosis (DVD</w:t>
      </w:r>
      <w:r w:rsidR="00C92C84">
        <w:rPr>
          <w:i/>
        </w:rPr>
        <w:t>)</w:t>
      </w:r>
      <w:r w:rsidR="004C7F1F" w:rsidRPr="00422303">
        <w:rPr>
          <w:i/>
        </w:rPr>
        <w:t xml:space="preserve"> and pulmonary embolism (PE) in adult patients.</w:t>
      </w:r>
    </w:p>
    <w:p w:rsidR="00D23139" w:rsidRPr="00422303" w:rsidRDefault="004C7F1F" w:rsidP="00422303">
      <w:pPr>
        <w:ind w:left="720"/>
        <w:rPr>
          <w:i/>
        </w:rPr>
      </w:pPr>
      <w:proofErr w:type="spellStart"/>
      <w:r w:rsidRPr="00422303">
        <w:rPr>
          <w:i/>
        </w:rPr>
        <w:t>Eliquis</w:t>
      </w:r>
      <w:proofErr w:type="spellEnd"/>
      <w:r w:rsidRPr="00422303">
        <w:rPr>
          <w:i/>
        </w:rPr>
        <w:t xml:space="preserve"> is indicated for the prevention of recurren</w:t>
      </w:r>
      <w:r w:rsidR="009D32CA">
        <w:rPr>
          <w:i/>
        </w:rPr>
        <w:t>t DVT and PE in adult patients.</w:t>
      </w:r>
    </w:p>
    <w:p w:rsidR="00D23139" w:rsidRPr="00D23139" w:rsidRDefault="00D23139" w:rsidP="00D23139">
      <w:pPr>
        <w:pStyle w:val="Heading4"/>
      </w:pPr>
      <w:r w:rsidRPr="00D23139">
        <w:t>Specific conditions of registration applying to these goods</w:t>
      </w:r>
    </w:p>
    <w:p w:rsidR="00D23139" w:rsidRPr="00C92C84" w:rsidRDefault="004C7F1F" w:rsidP="00C92C84">
      <w:r w:rsidRPr="00C92C84">
        <w:t xml:space="preserve">The </w:t>
      </w:r>
      <w:proofErr w:type="spellStart"/>
      <w:r w:rsidRPr="00C92C84">
        <w:t>apixaban</w:t>
      </w:r>
      <w:proofErr w:type="spellEnd"/>
      <w:r w:rsidRPr="00C92C84">
        <w:t xml:space="preserve"> EU-Risk Management Plan (EU-RM</w:t>
      </w:r>
      <w:r w:rsidR="00422303" w:rsidRPr="00C92C84">
        <w:t>P), version 13, document date 7 J</w:t>
      </w:r>
      <w:r w:rsidRPr="00C92C84">
        <w:t xml:space="preserve">uly </w:t>
      </w:r>
      <w:r w:rsidR="00422303" w:rsidRPr="00C92C84">
        <w:t>2014, data lock point 17 May 201</w:t>
      </w:r>
      <w:r w:rsidRPr="00C92C84">
        <w:t xml:space="preserve">3) and Australian Specific Annex (version 7, dated 17 </w:t>
      </w:r>
      <w:r w:rsidRPr="00C92C84">
        <w:lastRenderedPageBreak/>
        <w:t>April</w:t>
      </w:r>
      <w:r w:rsidR="00422303" w:rsidRPr="00C92C84">
        <w:t xml:space="preserve"> </w:t>
      </w:r>
      <w:r w:rsidRPr="00C92C84">
        <w:t>2015), included with submission PM-2014-00349-I-3, and any subsequent revisions, as agreed with the TGA will be implemented in Australia.</w:t>
      </w:r>
    </w:p>
    <w:p w:rsidR="008E7846" w:rsidRDefault="00A80B5B" w:rsidP="00D23139">
      <w:pPr>
        <w:pStyle w:val="Heading2"/>
      </w:pPr>
      <w:bookmarkStart w:id="199" w:name="_Toc436386783"/>
      <w:proofErr w:type="gramStart"/>
      <w:r>
        <w:t>Attachment 1.</w:t>
      </w:r>
      <w:proofErr w:type="gramEnd"/>
      <w:r>
        <w:t xml:space="preserve"> </w:t>
      </w:r>
      <w:r w:rsidR="008E7846">
        <w:t xml:space="preserve">Product </w:t>
      </w:r>
      <w:r w:rsidR="00AA0ED0">
        <w:t>I</w:t>
      </w:r>
      <w:r w:rsidR="008E7846">
        <w:t>nformation</w:t>
      </w:r>
      <w:bookmarkEnd w:id="197"/>
      <w:bookmarkEnd w:id="198"/>
      <w:bookmarkEnd w:id="199"/>
    </w:p>
    <w:p w:rsidR="00C80137" w:rsidRDefault="002B3624" w:rsidP="00C80137">
      <w:pPr>
        <w:rPr>
          <w:color w:val="000000"/>
          <w:lang w:eastAsia="en-AU"/>
        </w:rPr>
      </w:pPr>
      <w:r w:rsidRPr="002B3624">
        <w:t xml:space="preserve">The </w:t>
      </w:r>
      <w:r w:rsidR="00133A1B">
        <w:t>PI</w:t>
      </w:r>
      <w:r w:rsidRPr="002B3624">
        <w:t xml:space="preserve"> approved for </w:t>
      </w:r>
      <w:proofErr w:type="spellStart"/>
      <w:r w:rsidR="004C7F1F">
        <w:t>Eliquis</w:t>
      </w:r>
      <w:proofErr w:type="spellEnd"/>
      <w:r w:rsidRPr="002B3624">
        <w:t xml:space="preserve"> at the time this </w:t>
      </w:r>
      <w:proofErr w:type="spellStart"/>
      <w:r w:rsidRPr="002B3624">
        <w:t>AusPAR</w:t>
      </w:r>
      <w:proofErr w:type="spellEnd"/>
      <w:r w:rsidRPr="002B3624">
        <w:t xml:space="preserve"> was published is at Attachment 1. For the most recent </w:t>
      </w:r>
      <w:r w:rsidR="00133A1B">
        <w:t>PI,</w:t>
      </w:r>
      <w:r w:rsidRPr="002B3624">
        <w:t xml:space="preserve"> please refer to the </w:t>
      </w:r>
      <w:r w:rsidR="007C6B9B" w:rsidRPr="007C6B9B">
        <w:t>TGA website at &lt;</w:t>
      </w:r>
      <w:hyperlink r:id="rId22" w:history="1">
        <w:r w:rsidR="007C6B9B" w:rsidRPr="007C6B9B">
          <w:rPr>
            <w:rStyle w:val="Hyperlink"/>
          </w:rPr>
          <w:t>https://www.tga.gov.au/product-information-pi</w:t>
        </w:r>
      </w:hyperlink>
      <w:r w:rsidR="009D32CA">
        <w:t>&gt;</w:t>
      </w:r>
      <w:r w:rsidR="007C6B9B" w:rsidRPr="007C6B9B">
        <w:t xml:space="preserve"> </w:t>
      </w:r>
    </w:p>
    <w:p w:rsidR="00C80137" w:rsidRDefault="00C80137" w:rsidP="00C80137">
      <w:pPr>
        <w:pStyle w:val="Heading2"/>
        <w:rPr>
          <w:lang w:eastAsia="en-AU"/>
        </w:rPr>
      </w:pPr>
      <w:bookmarkStart w:id="200" w:name="_Toc436386784"/>
      <w:proofErr w:type="gramStart"/>
      <w:r>
        <w:rPr>
          <w:lang w:eastAsia="en-AU"/>
        </w:rPr>
        <w:t>Attachment 2.</w:t>
      </w:r>
      <w:proofErr w:type="gramEnd"/>
      <w:r w:rsidR="00A80B5B">
        <w:rPr>
          <w:lang w:eastAsia="en-AU"/>
        </w:rPr>
        <w:t xml:space="preserve"> </w:t>
      </w:r>
      <w:r>
        <w:rPr>
          <w:lang w:eastAsia="en-AU"/>
        </w:rPr>
        <w:t>Extract from the Clinical Evaluation Report</w:t>
      </w:r>
      <w:bookmarkEnd w:id="200"/>
    </w:p>
    <w:p w:rsidR="00C80137" w:rsidRPr="001D043B" w:rsidRDefault="008E7846" w:rsidP="003A7F6C">
      <w:pPr>
        <w:pStyle w:val="TableTitle"/>
        <w:sectPr w:rsidR="00C80137" w:rsidRPr="001D043B" w:rsidSect="00B452CE">
          <w:headerReference w:type="even" r:id="rId23"/>
          <w:headerReference w:type="default" r:id="rId24"/>
          <w:headerReference w:type="first" r:id="rId25"/>
          <w:footerReference w:type="first" r:id="rId26"/>
          <w:pgSz w:w="11906" w:h="16838" w:code="9"/>
          <w:pgMar w:top="834" w:right="1701" w:bottom="1191" w:left="1701" w:header="907" w:footer="216" w:gutter="0"/>
          <w:cols w:space="708"/>
          <w:docGrid w:linePitch="360"/>
        </w:sectPr>
      </w:pPr>
      <w:r w:rsidRPr="00C80137">
        <w:rPr>
          <w:b w:val="0"/>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7" w:history="1">
              <w:r w:rsidRPr="004C239D">
                <w:rPr>
                  <w:rStyle w:val="Hyperlink"/>
                </w:rPr>
                <w:t>info@tga.gov.au</w:t>
              </w:r>
            </w:hyperlink>
            <w:r w:rsidR="00127885">
              <w:t xml:space="preserve"> </w:t>
            </w:r>
            <w:r w:rsidRPr="00487162">
              <w:t>Phone: 1800 020 653</w:t>
            </w:r>
            <w:r w:rsidR="00127885">
              <w:t xml:space="preserve"> </w:t>
            </w:r>
            <w:r w:rsidRPr="00487162">
              <w:t>Fax: 02 6232 8605</w:t>
            </w:r>
          </w:p>
          <w:p w:rsidR="001C32CD" w:rsidRPr="004C239D" w:rsidRDefault="00767DCA" w:rsidP="00A05FA4">
            <w:pPr>
              <w:pStyle w:val="Address"/>
              <w:spacing w:line="260" w:lineRule="atLeast"/>
              <w:rPr>
                <w:b/>
                <w:color w:val="0000FF"/>
                <w:u w:val="single"/>
              </w:rPr>
            </w:pPr>
            <w:hyperlink r:id="rId28"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AE7" w:rsidRDefault="00FB1AE7" w:rsidP="00C40A36">
      <w:pPr>
        <w:spacing w:after="0"/>
      </w:pPr>
      <w:r>
        <w:separator/>
      </w:r>
    </w:p>
  </w:endnote>
  <w:endnote w:type="continuationSeparator" w:id="0">
    <w:p w:rsidR="00FB1AE7" w:rsidRDefault="00FB1AE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Arial Unicode MS"/>
    <w:panose1 w:val="00000000000000000000"/>
    <w:charset w:val="80"/>
    <w:family w:val="auto"/>
    <w:notTrueType/>
    <w:pitch w:val="default"/>
    <w:sig w:usb0="00000003" w:usb1="09070000" w:usb2="00000010" w:usb3="00000000" w:csb0="000A0009"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98"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069"/>
      <w:gridCol w:w="1429"/>
    </w:tblGrid>
    <w:tr w:rsidR="00E30DA1" w:rsidRPr="00487162" w:rsidTr="006B54D0">
      <w:trPr>
        <w:trHeight w:val="324"/>
      </w:trPr>
      <w:tc>
        <w:tcPr>
          <w:tcW w:w="7069" w:type="dxa"/>
          <w:tcMar>
            <w:top w:w="142" w:type="dxa"/>
            <w:bottom w:w="0" w:type="dxa"/>
          </w:tcMar>
        </w:tcPr>
        <w:p w:rsidR="00E30DA1" w:rsidRPr="00487162" w:rsidRDefault="00E30DA1" w:rsidP="00F63E0E">
          <w:pPr>
            <w:pStyle w:val="Footer"/>
          </w:pPr>
          <w:proofErr w:type="spellStart"/>
          <w:r w:rsidRPr="00487162">
            <w:t>AusPA</w:t>
          </w:r>
          <w:r>
            <w:t>R</w:t>
          </w:r>
          <w:proofErr w:type="spellEnd"/>
          <w:r>
            <w:t xml:space="preserve"> </w:t>
          </w:r>
          <w:proofErr w:type="spellStart"/>
          <w:r>
            <w:t>Eliquis</w:t>
          </w:r>
          <w:proofErr w:type="spellEnd"/>
          <w:r>
            <w:t xml:space="preserve"> </w:t>
          </w:r>
          <w:proofErr w:type="spellStart"/>
          <w:r>
            <w:t>Apixaban</w:t>
          </w:r>
          <w:proofErr w:type="spellEnd"/>
          <w:r>
            <w:t xml:space="preserve"> </w:t>
          </w:r>
          <w:r>
            <w:rPr>
              <w:rFonts w:asciiTheme="minorHAnsi" w:hAnsiTheme="minorHAnsi"/>
            </w:rPr>
            <w:t>Bristol-Myers Squibb Australia Pty Ltd</w:t>
          </w:r>
          <w:r>
            <w:t xml:space="preserve"> </w:t>
          </w:r>
          <w:r w:rsidRPr="00137BB0">
            <w:t>PM-</w:t>
          </w:r>
          <w:r w:rsidRPr="00137BB0">
            <w:rPr>
              <w:rFonts w:asciiTheme="minorHAnsi" w:hAnsiTheme="minorHAnsi"/>
            </w:rPr>
            <w:t>2014-00349-1-3</w:t>
          </w:r>
          <w:r w:rsidRPr="00137BB0">
            <w:br/>
          </w:r>
          <w:r>
            <w:t>Final 11 November 2015</w:t>
          </w:r>
        </w:p>
      </w:tc>
      <w:tc>
        <w:tcPr>
          <w:tcW w:w="1429" w:type="dxa"/>
          <w:tcMar>
            <w:top w:w="142" w:type="dxa"/>
            <w:bottom w:w="0" w:type="dxa"/>
          </w:tcMar>
        </w:tcPr>
        <w:p w:rsidR="00E30DA1" w:rsidRPr="00487162" w:rsidRDefault="00E30DA1" w:rsidP="00DB750B">
          <w:pPr>
            <w:pStyle w:val="Footer"/>
            <w:jc w:val="right"/>
          </w:pPr>
          <w:r w:rsidRPr="00487162">
            <w:t xml:space="preserve">Page </w:t>
          </w:r>
          <w:r>
            <w:fldChar w:fldCharType="begin"/>
          </w:r>
          <w:r>
            <w:instrText xml:space="preserve"> PAGE  \* Arabic </w:instrText>
          </w:r>
          <w:r>
            <w:fldChar w:fldCharType="separate"/>
          </w:r>
          <w:r w:rsidR="00767DCA">
            <w:rPr>
              <w:noProof/>
            </w:rPr>
            <w:t>3</w:t>
          </w:r>
          <w:r>
            <w:fldChar w:fldCharType="end"/>
          </w:r>
          <w:r w:rsidRPr="00487162">
            <w:t xml:space="preserve"> of </w:t>
          </w:r>
          <w:r w:rsidR="00767DCA">
            <w:fldChar w:fldCharType="begin"/>
          </w:r>
          <w:r w:rsidR="00767DCA">
            <w:instrText xml:space="preserve"> NUMPAGES  \* Arabic </w:instrText>
          </w:r>
          <w:r w:rsidR="00767DCA">
            <w:fldChar w:fldCharType="separate"/>
          </w:r>
          <w:r w:rsidR="00767DCA">
            <w:rPr>
              <w:noProof/>
            </w:rPr>
            <w:t>55</w:t>
          </w:r>
          <w:r w:rsidR="00767DCA">
            <w:rPr>
              <w:noProof/>
            </w:rPr>
            <w:fldChar w:fldCharType="end"/>
          </w:r>
        </w:p>
      </w:tc>
    </w:tr>
  </w:tbl>
  <w:p w:rsidR="00E30DA1" w:rsidRDefault="00E30DA1"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30DA1" w:rsidRPr="00487162" w:rsidTr="00E45619">
      <w:trPr>
        <w:trHeight w:val="269"/>
      </w:trPr>
      <w:tc>
        <w:tcPr>
          <w:tcW w:w="4519" w:type="dxa"/>
          <w:tcBorders>
            <w:top w:val="single" w:sz="4" w:space="0" w:color="auto"/>
          </w:tcBorders>
          <w:tcMar>
            <w:top w:w="142" w:type="dxa"/>
            <w:bottom w:w="0" w:type="dxa"/>
          </w:tcMar>
        </w:tcPr>
        <w:p w:rsidR="00E30DA1" w:rsidRPr="00487162" w:rsidRDefault="00E30DA1" w:rsidP="00FE1DEE">
          <w:pPr>
            <w:pStyle w:val="Footer"/>
          </w:pPr>
          <w:r w:rsidRPr="00487162">
            <w:t>Document title, Part #, Section # - Section title</w:t>
          </w:r>
        </w:p>
        <w:p w:rsidR="00E30DA1" w:rsidRPr="00487162" w:rsidRDefault="00E30DA1" w:rsidP="00FE1DEE">
          <w:pPr>
            <w:pStyle w:val="Footer"/>
          </w:pPr>
          <w:r w:rsidRPr="00487162">
            <w:t>V1.0 October 2010</w:t>
          </w:r>
        </w:p>
      </w:tc>
      <w:tc>
        <w:tcPr>
          <w:tcW w:w="4342" w:type="dxa"/>
          <w:tcBorders>
            <w:top w:val="single" w:sz="4" w:space="0" w:color="auto"/>
          </w:tcBorders>
          <w:tcMar>
            <w:top w:w="142" w:type="dxa"/>
            <w:bottom w:w="0" w:type="dxa"/>
          </w:tcMar>
        </w:tcPr>
        <w:p w:rsidR="00E30DA1" w:rsidRPr="00487162" w:rsidRDefault="00E30DA1" w:rsidP="00E45619">
          <w:pPr>
            <w:pStyle w:val="Footer"/>
            <w:jc w:val="right"/>
          </w:pPr>
          <w:r w:rsidRPr="00487162">
            <w:t xml:space="preserve">Page </w:t>
          </w:r>
          <w:r>
            <w:fldChar w:fldCharType="begin"/>
          </w:r>
          <w:r>
            <w:instrText xml:space="preserve"> PAGE   \* MERGEFORMAT </w:instrText>
          </w:r>
          <w:r>
            <w:fldChar w:fldCharType="separate"/>
          </w:r>
          <w:r>
            <w:rPr>
              <w:noProof/>
            </w:rPr>
            <w:t>56</w:t>
          </w:r>
          <w:r>
            <w:rPr>
              <w:noProof/>
            </w:rPr>
            <w:fldChar w:fldCharType="end"/>
          </w:r>
          <w:r w:rsidRPr="00487162">
            <w:t xml:space="preserve"> of </w:t>
          </w:r>
          <w:r w:rsidR="00767DCA">
            <w:fldChar w:fldCharType="begin"/>
          </w:r>
          <w:r w:rsidR="00767DCA">
            <w:instrText xml:space="preserve"> NUMPAGES  </w:instrText>
          </w:r>
          <w:r w:rsidR="00767DCA">
            <w:fldChar w:fldCharType="separate"/>
          </w:r>
          <w:r>
            <w:rPr>
              <w:noProof/>
            </w:rPr>
            <w:t>56</w:t>
          </w:r>
          <w:r w:rsidR="00767DCA">
            <w:rPr>
              <w:noProof/>
            </w:rPr>
            <w:fldChar w:fldCharType="end"/>
          </w:r>
        </w:p>
      </w:tc>
    </w:tr>
  </w:tbl>
  <w:p w:rsidR="00E30DA1" w:rsidRDefault="00E30D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DA1" w:rsidRPr="001C32CD" w:rsidRDefault="00E30DA1"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30DA1" w:rsidTr="0010601F">
      <w:trPr>
        <w:trHeight w:val="108"/>
      </w:trPr>
      <w:tc>
        <w:tcPr>
          <w:tcW w:w="8875" w:type="dxa"/>
          <w:gridSpan w:val="2"/>
          <w:tcBorders>
            <w:bottom w:val="single" w:sz="4" w:space="0" w:color="auto"/>
          </w:tcBorders>
          <w:tcMar>
            <w:right w:w="284" w:type="dxa"/>
          </w:tcMar>
        </w:tcPr>
        <w:p w:rsidR="00E30DA1" w:rsidRDefault="00E30DA1" w:rsidP="006E08B3">
          <w:pPr>
            <w:pStyle w:val="Heading3"/>
          </w:pPr>
          <w:r>
            <w:t>Copyright</w:t>
          </w:r>
        </w:p>
        <w:p w:rsidR="00E30DA1" w:rsidRDefault="00E30DA1" w:rsidP="006E08B3">
          <w:r>
            <w:rPr>
              <w:rFonts w:cs="Arial"/>
            </w:rPr>
            <w:t>©</w:t>
          </w:r>
          <w:r>
            <w:t xml:space="preserve"> Commonwealth of Australia [add year]</w:t>
          </w:r>
        </w:p>
        <w:p w:rsidR="00E30DA1" w:rsidRDefault="00E30DA1" w:rsidP="006E08B3"/>
        <w:p w:rsidR="00E30DA1" w:rsidRDefault="00E30DA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30DA1" w:rsidRDefault="00E30DA1" w:rsidP="006E08B3"/>
        <w:p w:rsidR="00E30DA1" w:rsidRDefault="00E30DA1" w:rsidP="006E08B3">
          <w:pPr>
            <w:pStyle w:val="Heading3"/>
          </w:pPr>
          <w:r>
            <w:t>Confidentiality</w:t>
          </w:r>
        </w:p>
        <w:p w:rsidR="00E30DA1" w:rsidRDefault="00E30DA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30DA1" w:rsidRDefault="00E30DA1" w:rsidP="006E08B3"/>
        <w:p w:rsidR="00E30DA1" w:rsidRDefault="00E30DA1" w:rsidP="006E08B3">
          <w:r>
            <w:t>For submission made by individuals, all personal details, other than your name, will be removed from your submission before it is published on the TGA’s Internet site.</w:t>
          </w:r>
        </w:p>
        <w:p w:rsidR="00E30DA1" w:rsidRDefault="00E30DA1" w:rsidP="006E08B3"/>
        <w:p w:rsidR="00E30DA1" w:rsidRDefault="00E30DA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30DA1" w:rsidTr="0010601F">
      <w:trPr>
        <w:trHeight w:val="417"/>
      </w:trPr>
      <w:tc>
        <w:tcPr>
          <w:tcW w:w="4519" w:type="dxa"/>
          <w:tcBorders>
            <w:top w:val="single" w:sz="4" w:space="0" w:color="auto"/>
          </w:tcBorders>
          <w:tcMar>
            <w:top w:w="142" w:type="dxa"/>
            <w:bottom w:w="0" w:type="dxa"/>
          </w:tcMar>
        </w:tcPr>
        <w:p w:rsidR="00E30DA1" w:rsidRDefault="00E30DA1" w:rsidP="006E08B3">
          <w:r>
            <w:t>Document title, Part #, Section # - Section title</w:t>
          </w:r>
        </w:p>
        <w:p w:rsidR="00E30DA1" w:rsidRDefault="00E30DA1" w:rsidP="006E08B3">
          <w:r>
            <w:t>V1.0 October 2010</w:t>
          </w:r>
        </w:p>
      </w:tc>
      <w:tc>
        <w:tcPr>
          <w:tcW w:w="4356" w:type="dxa"/>
          <w:tcBorders>
            <w:top w:val="single" w:sz="4" w:space="0" w:color="auto"/>
          </w:tcBorders>
          <w:tcMar>
            <w:top w:w="142" w:type="dxa"/>
            <w:bottom w:w="0" w:type="dxa"/>
          </w:tcMar>
        </w:tcPr>
        <w:p w:rsidR="00E30DA1" w:rsidRDefault="00E30DA1" w:rsidP="006E08B3">
          <w:pPr>
            <w:jc w:val="right"/>
          </w:pPr>
          <w:r>
            <w:t xml:space="preserve">Page </w:t>
          </w:r>
          <w:r>
            <w:fldChar w:fldCharType="begin"/>
          </w:r>
          <w:r>
            <w:instrText xml:space="preserve"> PAGE   \* MERGEFORMAT </w:instrText>
          </w:r>
          <w:r>
            <w:fldChar w:fldCharType="separate"/>
          </w:r>
          <w:r>
            <w:rPr>
              <w:noProof/>
            </w:rPr>
            <w:t>56</w:t>
          </w:r>
          <w:r>
            <w:rPr>
              <w:noProof/>
            </w:rPr>
            <w:fldChar w:fldCharType="end"/>
          </w:r>
          <w:r>
            <w:t xml:space="preserve"> of </w:t>
          </w:r>
          <w:r w:rsidR="00767DCA">
            <w:fldChar w:fldCharType="begin"/>
          </w:r>
          <w:r w:rsidR="00767DCA">
            <w:instrText xml:space="preserve"> NUMPAGES  \* Arabic </w:instrText>
          </w:r>
          <w:r w:rsidR="00767DCA">
            <w:fldChar w:fldCharType="separate"/>
          </w:r>
          <w:r>
            <w:rPr>
              <w:noProof/>
            </w:rPr>
            <w:t>56</w:t>
          </w:r>
          <w:r w:rsidR="00767DCA">
            <w:rPr>
              <w:noProof/>
            </w:rPr>
            <w:fldChar w:fldCharType="end"/>
          </w:r>
          <w:r>
            <w:t xml:space="preserve"> </w:t>
          </w:r>
        </w:p>
      </w:tc>
    </w:tr>
  </w:tbl>
  <w:p w:rsidR="00E30DA1" w:rsidRDefault="00E30D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AE7" w:rsidRDefault="00FB1AE7" w:rsidP="00C40A36">
      <w:pPr>
        <w:spacing w:after="0"/>
      </w:pPr>
      <w:r>
        <w:separator/>
      </w:r>
    </w:p>
  </w:footnote>
  <w:footnote w:type="continuationSeparator" w:id="0">
    <w:p w:rsidR="00FB1AE7" w:rsidRDefault="00FB1AE7" w:rsidP="00C40A36">
      <w:pPr>
        <w:spacing w:after="0"/>
      </w:pPr>
      <w:r>
        <w:continuationSeparator/>
      </w:r>
    </w:p>
  </w:footnote>
  <w:footnote w:id="1">
    <w:p w:rsidR="00E30DA1" w:rsidRPr="00DB6C72" w:rsidRDefault="00E30DA1" w:rsidP="00FE124B">
      <w:pPr>
        <w:pStyle w:val="FootnoteText"/>
      </w:pPr>
      <w:r w:rsidRPr="00DB6C72">
        <w:rPr>
          <w:rStyle w:val="FootnoteReference"/>
          <w:szCs w:val="18"/>
        </w:rPr>
        <w:footnoteRef/>
      </w:r>
      <w:r>
        <w:t xml:space="preserve"> </w:t>
      </w:r>
      <w:r w:rsidRPr="00DB6C72">
        <w:t xml:space="preserve">The burden of venous thromboembolism in Australia; report by </w:t>
      </w:r>
      <w:r w:rsidRPr="00FE124B">
        <w:t>Access</w:t>
      </w:r>
      <w:r w:rsidRPr="00DB6C72">
        <w:t xml:space="preserve"> Economics Pty Ltd for The Australia and New Zealand Working Party on the Management and Prevention of Venous Thromboembolism </w:t>
      </w:r>
      <w:r>
        <w:t>&lt;</w:t>
      </w:r>
      <w:hyperlink r:id="rId1" w:history="1">
        <w:r w:rsidRPr="00DB6C72">
          <w:rPr>
            <w:rStyle w:val="Hyperlink"/>
            <w:szCs w:val="18"/>
          </w:rPr>
          <w:t>https://www.deloitteaccesseconomics.com.au/uploads/File/The%20burden%20of%20VTE%20in%20Australia.pdf</w:t>
        </w:r>
      </w:hyperlink>
      <w:r w:rsidRPr="00C91AB2">
        <w:rPr>
          <w:rStyle w:val="Hyperlink"/>
          <w:szCs w:val="18"/>
          <w:u w:val="none"/>
        </w:rPr>
        <w:t>&gt;</w:t>
      </w:r>
    </w:p>
  </w:footnote>
  <w:footnote w:id="2">
    <w:p w:rsidR="00E30DA1" w:rsidRDefault="00E30DA1">
      <w:pPr>
        <w:pStyle w:val="FootnoteText"/>
      </w:pPr>
      <w:r>
        <w:rPr>
          <w:rStyle w:val="FootnoteReference"/>
        </w:rPr>
        <w:footnoteRef/>
      </w:r>
      <w:r>
        <w:t xml:space="preserve"> </w:t>
      </w:r>
      <w:r w:rsidRPr="00F5421E">
        <w:t xml:space="preserve">The BCS is </w:t>
      </w:r>
      <w:proofErr w:type="gramStart"/>
      <w:r w:rsidRPr="00F5421E">
        <w:t>a</w:t>
      </w:r>
      <w:r>
        <w:t xml:space="preserve"> </w:t>
      </w:r>
      <w:r w:rsidRPr="00F5421E">
        <w:t>guidance</w:t>
      </w:r>
      <w:proofErr w:type="gramEnd"/>
      <w:r w:rsidRPr="00F5421E">
        <w:t xml:space="preserve"> for predicting the intestinal drug absorption provided by the U.S. Food and Drug Administration. According to the BCS, drug substances are classified as follows: Class I: high permeability, high solubility; Class II: high permeability, low solubility; Class III: low permeability, high solubility; Class IV: low permeability, low solubility.</w:t>
      </w:r>
    </w:p>
  </w:footnote>
  <w:footnote w:id="3">
    <w:p w:rsidR="00E30DA1" w:rsidRPr="00EE3E81" w:rsidRDefault="00E30DA1" w:rsidP="00EE3E81">
      <w:pPr>
        <w:spacing w:before="0" w:after="0" w:line="240" w:lineRule="auto"/>
        <w:rPr>
          <w:sz w:val="18"/>
          <w:szCs w:val="18"/>
        </w:rPr>
      </w:pPr>
      <w:r>
        <w:rPr>
          <w:rStyle w:val="FootnoteReference"/>
        </w:rPr>
        <w:footnoteRef/>
      </w:r>
      <w:r>
        <w:rPr>
          <w:sz w:val="18"/>
          <w:szCs w:val="18"/>
        </w:rPr>
        <w:t xml:space="preserve"> </w:t>
      </w:r>
      <w:proofErr w:type="spellStart"/>
      <w:proofErr w:type="gramStart"/>
      <w:r w:rsidRPr="00EE3E81">
        <w:rPr>
          <w:sz w:val="18"/>
          <w:szCs w:val="18"/>
        </w:rPr>
        <w:t>Dignan</w:t>
      </w:r>
      <w:proofErr w:type="spellEnd"/>
      <w:r w:rsidRPr="00EE3E81">
        <w:rPr>
          <w:sz w:val="18"/>
          <w:szCs w:val="18"/>
        </w:rPr>
        <w:t xml:space="preserve"> R, </w:t>
      </w:r>
      <w:proofErr w:type="spellStart"/>
      <w:r w:rsidRPr="00EE3E81">
        <w:rPr>
          <w:sz w:val="18"/>
          <w:szCs w:val="18"/>
        </w:rPr>
        <w:t>Keech</w:t>
      </w:r>
      <w:proofErr w:type="spellEnd"/>
      <w:r w:rsidRPr="00EE3E81">
        <w:rPr>
          <w:sz w:val="18"/>
          <w:szCs w:val="18"/>
        </w:rPr>
        <w:t xml:space="preserve"> AC, </w:t>
      </w:r>
      <w:proofErr w:type="spellStart"/>
      <w:r w:rsidRPr="00EE3E81">
        <w:rPr>
          <w:sz w:val="18"/>
          <w:szCs w:val="18"/>
        </w:rPr>
        <w:t>Gebski</w:t>
      </w:r>
      <w:proofErr w:type="spellEnd"/>
      <w:r w:rsidRPr="00EE3E81">
        <w:rPr>
          <w:sz w:val="18"/>
          <w:szCs w:val="18"/>
        </w:rPr>
        <w:t xml:space="preserve"> VJ, Mann KP, Hughes CF; Warfarin SMART Investigators.</w:t>
      </w:r>
      <w:proofErr w:type="gramEnd"/>
      <w:r w:rsidRPr="00EE3E81">
        <w:rPr>
          <w:sz w:val="18"/>
          <w:szCs w:val="18"/>
        </w:rPr>
        <w:t xml:space="preserve"> </w:t>
      </w:r>
      <w:hyperlink r:id="rId2" w:history="1">
        <w:r w:rsidRPr="00EE3E81">
          <w:rPr>
            <w:rStyle w:val="Hyperlink"/>
            <w:sz w:val="18"/>
            <w:szCs w:val="18"/>
          </w:rPr>
          <w:t xml:space="preserve">Is home warfarin self-management effective?  </w:t>
        </w:r>
        <w:proofErr w:type="gramStart"/>
        <w:r w:rsidRPr="00EE3E81">
          <w:rPr>
            <w:rStyle w:val="Hyperlink"/>
            <w:sz w:val="18"/>
            <w:szCs w:val="18"/>
          </w:rPr>
          <w:t>Results of the randomised Self-Management of Anticoagulation Research Trial.</w:t>
        </w:r>
        <w:proofErr w:type="gramEnd"/>
      </w:hyperlink>
      <w:r w:rsidRPr="00EE3E81">
        <w:rPr>
          <w:sz w:val="18"/>
          <w:szCs w:val="18"/>
        </w:rPr>
        <w:t xml:space="preserve"> </w:t>
      </w:r>
      <w:proofErr w:type="spellStart"/>
      <w:r w:rsidRPr="00EE3E81">
        <w:rPr>
          <w:sz w:val="18"/>
          <w:szCs w:val="18"/>
        </w:rPr>
        <w:t>Int</w:t>
      </w:r>
      <w:proofErr w:type="spellEnd"/>
      <w:r w:rsidRPr="00EE3E81">
        <w:rPr>
          <w:sz w:val="18"/>
          <w:szCs w:val="18"/>
        </w:rPr>
        <w:t xml:space="preserve"> J </w:t>
      </w:r>
      <w:proofErr w:type="spellStart"/>
      <w:r w:rsidRPr="00EE3E81">
        <w:rPr>
          <w:sz w:val="18"/>
          <w:szCs w:val="18"/>
        </w:rPr>
        <w:t>Cardiol</w:t>
      </w:r>
      <w:proofErr w:type="spellEnd"/>
      <w:r w:rsidRPr="00EE3E81">
        <w:rPr>
          <w:sz w:val="18"/>
          <w:szCs w:val="18"/>
        </w:rPr>
        <w:t>. 2013 Oct 15</w:t>
      </w:r>
      <w:proofErr w:type="gramStart"/>
      <w:r w:rsidRPr="00EE3E81">
        <w:rPr>
          <w:sz w:val="18"/>
          <w:szCs w:val="18"/>
        </w:rPr>
        <w:t>;168</w:t>
      </w:r>
      <w:proofErr w:type="gramEnd"/>
      <w:r w:rsidRPr="00EE3E81">
        <w:rPr>
          <w:sz w:val="18"/>
          <w:szCs w:val="18"/>
        </w:rPr>
        <w:t>(6):5378-84.</w:t>
      </w:r>
    </w:p>
  </w:footnote>
  <w:footnote w:id="4">
    <w:p w:rsidR="00E30DA1" w:rsidRDefault="00E30DA1" w:rsidP="00EE3E81">
      <w:pPr>
        <w:pStyle w:val="FootnoteText"/>
      </w:pPr>
      <w:r w:rsidRPr="00EE3E81">
        <w:rPr>
          <w:rStyle w:val="FootnoteReference"/>
          <w:szCs w:val="18"/>
        </w:rPr>
        <w:footnoteRef/>
      </w:r>
      <w:r>
        <w:rPr>
          <w:lang w:val="en-US"/>
        </w:rPr>
        <w:t xml:space="preserve"> CPMP/EWP/6235/04 </w:t>
      </w:r>
      <w:r>
        <w:rPr>
          <w:bCs/>
          <w:lang w:val="en-US"/>
        </w:rPr>
        <w:t xml:space="preserve">Guideline </w:t>
      </w:r>
      <w:proofErr w:type="gramStart"/>
      <w:r>
        <w:rPr>
          <w:bCs/>
          <w:lang w:val="en-US"/>
        </w:rPr>
        <w:t>On</w:t>
      </w:r>
      <w:proofErr w:type="gramEnd"/>
      <w:r>
        <w:rPr>
          <w:bCs/>
          <w:lang w:val="en-US"/>
        </w:rPr>
        <w:t xml:space="preserve"> Clinical Investigation Of Medicinal Products For The Prophylaxis Of Venous Thromboembolic Risk In Non-Surgical Patients.</w:t>
      </w:r>
    </w:p>
  </w:footnote>
  <w:footnote w:id="5">
    <w:p w:rsidR="00E30DA1" w:rsidRPr="00F76DF8" w:rsidRDefault="00E30DA1" w:rsidP="00B66648">
      <w:pPr>
        <w:pStyle w:val="FootnoteText"/>
        <w:keepNext/>
        <w:keepLines/>
      </w:pPr>
      <w:r>
        <w:rPr>
          <w:rStyle w:val="FootnoteReference"/>
          <w:szCs w:val="18"/>
        </w:rPr>
        <w:footnoteRef/>
      </w:r>
      <w:r>
        <w:rPr>
          <w:szCs w:val="18"/>
        </w:rPr>
        <w:t xml:space="preserve"> Provoked DVT or PE </w:t>
      </w:r>
      <w:r>
        <w:rPr>
          <w:szCs w:val="18"/>
          <w:lang w:val="en-US"/>
        </w:rPr>
        <w:t xml:space="preserve">in a patient with an antecedent (within 3 months) and transient major clinical risk factor for venous thromboembolism (VTE) e.g. surgery, trauma, significant immobility (bedbound, unable to walk unaided or likely to spend a substantial proportion of the day in bed or in a chair), pregnancy or </w:t>
      </w:r>
      <w:proofErr w:type="spellStart"/>
      <w:r>
        <w:rPr>
          <w:szCs w:val="18"/>
          <w:lang w:val="en-US"/>
        </w:rPr>
        <w:t>puerperium</w:t>
      </w:r>
      <w:proofErr w:type="spellEnd"/>
      <w:r>
        <w:rPr>
          <w:szCs w:val="18"/>
          <w:lang w:val="en-US"/>
        </w:rPr>
        <w:t xml:space="preserve">, or in a patient who is having hormonal therapy (oral contraceptive or hormone replacement therapy). National Institute for Health and Care Excellence (NICE) Clinical Guideline (CG144) (June 2012) </w:t>
      </w:r>
      <w:r w:rsidR="00F76DF8">
        <w:rPr>
          <w:szCs w:val="18"/>
          <w:lang w:val="en-US"/>
        </w:rPr>
        <w:t>&lt;</w:t>
      </w:r>
      <w:hyperlink r:id="rId3" w:history="1">
        <w:r>
          <w:rPr>
            <w:rStyle w:val="Hyperlink"/>
            <w:szCs w:val="18"/>
            <w:lang w:val="en-US"/>
          </w:rPr>
          <w:t>http://www.nice.org.uk/guidance/cg144/chapter/guidance</w:t>
        </w:r>
      </w:hyperlink>
      <w:r w:rsidR="00F76DF8">
        <w:rPr>
          <w:rStyle w:val="Hyperlink"/>
          <w:szCs w:val="18"/>
          <w:u w:val="none"/>
          <w:lang w:val="en-US"/>
        </w:rP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DA1" w:rsidRDefault="00E30DA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DA1" w:rsidRDefault="00E30DA1">
    <w:pPr>
      <w:rPr>
        <w:noProof/>
        <w:lang w:eastAsia="en-AU"/>
      </w:rPr>
    </w:pPr>
    <w:r w:rsidRPr="00347824">
      <w:rPr>
        <w:noProof/>
        <w:lang w:eastAsia="en-AU"/>
      </w:rPr>
      <w:drawing>
        <wp:anchor distT="0" distB="0" distL="114300" distR="114300" simplePos="0" relativeHeight="251659264" behindDoc="1" locked="0" layoutInCell="1" allowOverlap="1" wp14:anchorId="7ED9F9D0" wp14:editId="0B51929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30DA1" w:rsidRDefault="00E30DA1" w:rsidP="00593AD1">
    <w:pPr>
      <w:pStyle w:val="HeaderNoLine"/>
    </w:pPr>
    <w:r>
      <w:rPr>
        <w:noProof/>
        <w:lang w:eastAsia="en-AU"/>
      </w:rPr>
      <w:drawing>
        <wp:inline distT="0" distB="0" distL="0" distR="0" wp14:anchorId="53720951" wp14:editId="58DC4D6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DA1" w:rsidRDefault="00E30D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DA1" w:rsidRDefault="00E30DA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DA1" w:rsidRDefault="00E30DA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DA1" w:rsidRDefault="00E30DA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DA1" w:rsidRDefault="00E30DA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DA1" w:rsidRDefault="00E30DA1" w:rsidP="006E08B3">
    <w:r>
      <w:t>Therapeutic Goods Administration</w:t>
    </w:r>
  </w:p>
  <w:p w:rsidR="00E30DA1" w:rsidRDefault="00E30DA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9EAF1DA"/>
    <w:lvl w:ilvl="0">
      <w:start w:val="1"/>
      <w:numFmt w:val="bullet"/>
      <w:lvlText w:val=""/>
      <w:lvlJc w:val="left"/>
      <w:pPr>
        <w:tabs>
          <w:tab w:val="num" w:pos="360"/>
        </w:tabs>
        <w:ind w:left="360" w:hanging="360"/>
      </w:pPr>
      <w:rPr>
        <w:rFonts w:ascii="Symbol" w:hAnsi="Symbol" w:hint="default"/>
      </w:rPr>
    </w:lvl>
  </w:abstractNum>
  <w:abstractNum w:abstractNumId="1">
    <w:nsid w:val="049E4D23"/>
    <w:multiLevelType w:val="hybridMultilevel"/>
    <w:tmpl w:val="E3C6A6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08DA3E7A"/>
    <w:multiLevelType w:val="hybridMultilevel"/>
    <w:tmpl w:val="3CB8AF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5482C1D"/>
    <w:multiLevelType w:val="hybridMultilevel"/>
    <w:tmpl w:val="B062299E"/>
    <w:lvl w:ilvl="0" w:tplc="0C09000F">
      <w:start w:val="1"/>
      <w:numFmt w:val="decimal"/>
      <w:lvlText w:val="%1."/>
      <w:lvlJc w:val="left"/>
      <w:pPr>
        <w:ind w:left="502" w:hanging="360"/>
      </w:p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start w:val="1"/>
      <w:numFmt w:val="decimal"/>
      <w:lvlText w:val="%4."/>
      <w:lvlJc w:val="left"/>
      <w:pPr>
        <w:ind w:left="2662" w:hanging="360"/>
      </w:pPr>
    </w:lvl>
    <w:lvl w:ilvl="4" w:tplc="0C090019">
      <w:start w:val="1"/>
      <w:numFmt w:val="lowerLetter"/>
      <w:lvlText w:val="%5."/>
      <w:lvlJc w:val="left"/>
      <w:pPr>
        <w:ind w:left="3382" w:hanging="360"/>
      </w:pPr>
    </w:lvl>
    <w:lvl w:ilvl="5" w:tplc="0C09001B">
      <w:start w:val="1"/>
      <w:numFmt w:val="lowerRoman"/>
      <w:lvlText w:val="%6."/>
      <w:lvlJc w:val="right"/>
      <w:pPr>
        <w:ind w:left="4102" w:hanging="180"/>
      </w:pPr>
    </w:lvl>
    <w:lvl w:ilvl="6" w:tplc="0C09000F">
      <w:start w:val="1"/>
      <w:numFmt w:val="decimal"/>
      <w:lvlText w:val="%7."/>
      <w:lvlJc w:val="left"/>
      <w:pPr>
        <w:ind w:left="4822" w:hanging="360"/>
      </w:pPr>
    </w:lvl>
    <w:lvl w:ilvl="7" w:tplc="0C090019">
      <w:start w:val="1"/>
      <w:numFmt w:val="lowerLetter"/>
      <w:lvlText w:val="%8."/>
      <w:lvlJc w:val="left"/>
      <w:pPr>
        <w:ind w:left="5542" w:hanging="360"/>
      </w:pPr>
    </w:lvl>
    <w:lvl w:ilvl="8" w:tplc="0C09001B">
      <w:start w:val="1"/>
      <w:numFmt w:val="lowerRoman"/>
      <w:lvlText w:val="%9."/>
      <w:lvlJc w:val="right"/>
      <w:pPr>
        <w:ind w:left="6262" w:hanging="180"/>
      </w:p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AFB57F4"/>
    <w:multiLevelType w:val="hybridMultilevel"/>
    <w:tmpl w:val="B062299E"/>
    <w:lvl w:ilvl="0" w:tplc="0C09000F">
      <w:start w:val="1"/>
      <w:numFmt w:val="decimal"/>
      <w:lvlText w:val="%1."/>
      <w:lvlJc w:val="left"/>
      <w:pPr>
        <w:ind w:left="502" w:hanging="360"/>
      </w:p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start w:val="1"/>
      <w:numFmt w:val="decimal"/>
      <w:lvlText w:val="%4."/>
      <w:lvlJc w:val="left"/>
      <w:pPr>
        <w:ind w:left="2662" w:hanging="360"/>
      </w:pPr>
    </w:lvl>
    <w:lvl w:ilvl="4" w:tplc="0C090019">
      <w:start w:val="1"/>
      <w:numFmt w:val="lowerLetter"/>
      <w:lvlText w:val="%5."/>
      <w:lvlJc w:val="left"/>
      <w:pPr>
        <w:ind w:left="3382" w:hanging="360"/>
      </w:pPr>
    </w:lvl>
    <w:lvl w:ilvl="5" w:tplc="0C09001B">
      <w:start w:val="1"/>
      <w:numFmt w:val="lowerRoman"/>
      <w:lvlText w:val="%6."/>
      <w:lvlJc w:val="right"/>
      <w:pPr>
        <w:ind w:left="4102" w:hanging="180"/>
      </w:pPr>
    </w:lvl>
    <w:lvl w:ilvl="6" w:tplc="0C09000F">
      <w:start w:val="1"/>
      <w:numFmt w:val="decimal"/>
      <w:lvlText w:val="%7."/>
      <w:lvlJc w:val="left"/>
      <w:pPr>
        <w:ind w:left="4822" w:hanging="360"/>
      </w:pPr>
    </w:lvl>
    <w:lvl w:ilvl="7" w:tplc="0C090019">
      <w:start w:val="1"/>
      <w:numFmt w:val="lowerLetter"/>
      <w:lvlText w:val="%8."/>
      <w:lvlJc w:val="left"/>
      <w:pPr>
        <w:ind w:left="5542" w:hanging="360"/>
      </w:pPr>
    </w:lvl>
    <w:lvl w:ilvl="8" w:tplc="0C09001B">
      <w:start w:val="1"/>
      <w:numFmt w:val="lowerRoman"/>
      <w:lvlText w:val="%9."/>
      <w:lvlJc w:val="right"/>
      <w:pPr>
        <w:ind w:left="6262" w:hanging="180"/>
      </w:pPr>
    </w:lvl>
  </w:abstractNum>
  <w:abstractNum w:abstractNumId="7">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568"/>
        </w:tabs>
        <w:ind w:left="568"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9">
    <w:nsid w:val="307D705F"/>
    <w:multiLevelType w:val="hybridMultilevel"/>
    <w:tmpl w:val="5E1CE522"/>
    <w:lvl w:ilvl="0" w:tplc="0C09000F">
      <w:start w:val="1"/>
      <w:numFmt w:val="decimal"/>
      <w:lvlText w:val="%1."/>
      <w:lvlJc w:val="left"/>
      <w:pPr>
        <w:ind w:left="750" w:hanging="360"/>
      </w:pPr>
    </w:lvl>
    <w:lvl w:ilvl="1" w:tplc="0C090019">
      <w:start w:val="1"/>
      <w:numFmt w:val="lowerLetter"/>
      <w:lvlText w:val="%2."/>
      <w:lvlJc w:val="left"/>
      <w:pPr>
        <w:ind w:left="1470" w:hanging="360"/>
      </w:pPr>
    </w:lvl>
    <w:lvl w:ilvl="2" w:tplc="0C09001B">
      <w:start w:val="1"/>
      <w:numFmt w:val="lowerRoman"/>
      <w:lvlText w:val="%3."/>
      <w:lvlJc w:val="right"/>
      <w:pPr>
        <w:ind w:left="2190" w:hanging="180"/>
      </w:pPr>
    </w:lvl>
    <w:lvl w:ilvl="3" w:tplc="0C09000F">
      <w:start w:val="1"/>
      <w:numFmt w:val="decimal"/>
      <w:lvlText w:val="%4."/>
      <w:lvlJc w:val="left"/>
      <w:pPr>
        <w:ind w:left="2910" w:hanging="360"/>
      </w:pPr>
    </w:lvl>
    <w:lvl w:ilvl="4" w:tplc="0C090019">
      <w:start w:val="1"/>
      <w:numFmt w:val="lowerLetter"/>
      <w:lvlText w:val="%5."/>
      <w:lvlJc w:val="left"/>
      <w:pPr>
        <w:ind w:left="3630" w:hanging="360"/>
      </w:pPr>
    </w:lvl>
    <w:lvl w:ilvl="5" w:tplc="0C09001B">
      <w:start w:val="1"/>
      <w:numFmt w:val="lowerRoman"/>
      <w:lvlText w:val="%6."/>
      <w:lvlJc w:val="right"/>
      <w:pPr>
        <w:ind w:left="4350" w:hanging="180"/>
      </w:pPr>
    </w:lvl>
    <w:lvl w:ilvl="6" w:tplc="0C09000F">
      <w:start w:val="1"/>
      <w:numFmt w:val="decimal"/>
      <w:lvlText w:val="%7."/>
      <w:lvlJc w:val="left"/>
      <w:pPr>
        <w:ind w:left="5070" w:hanging="360"/>
      </w:pPr>
    </w:lvl>
    <w:lvl w:ilvl="7" w:tplc="0C090019">
      <w:start w:val="1"/>
      <w:numFmt w:val="lowerLetter"/>
      <w:lvlText w:val="%8."/>
      <w:lvlJc w:val="left"/>
      <w:pPr>
        <w:ind w:left="5790" w:hanging="360"/>
      </w:pPr>
    </w:lvl>
    <w:lvl w:ilvl="8" w:tplc="0C09001B">
      <w:start w:val="1"/>
      <w:numFmt w:val="lowerRoman"/>
      <w:lvlText w:val="%9."/>
      <w:lvlJc w:val="right"/>
      <w:pPr>
        <w:ind w:left="6510" w:hanging="180"/>
      </w:p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1">
    <w:nsid w:val="41DB388D"/>
    <w:multiLevelType w:val="hybridMultilevel"/>
    <w:tmpl w:val="B062299E"/>
    <w:lvl w:ilvl="0" w:tplc="0C09000F">
      <w:start w:val="1"/>
      <w:numFmt w:val="decimal"/>
      <w:lvlText w:val="%1."/>
      <w:lvlJc w:val="left"/>
      <w:pPr>
        <w:ind w:left="502" w:hanging="360"/>
      </w:p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start w:val="1"/>
      <w:numFmt w:val="decimal"/>
      <w:lvlText w:val="%4."/>
      <w:lvlJc w:val="left"/>
      <w:pPr>
        <w:ind w:left="2662" w:hanging="360"/>
      </w:pPr>
    </w:lvl>
    <w:lvl w:ilvl="4" w:tplc="0C090019">
      <w:start w:val="1"/>
      <w:numFmt w:val="lowerLetter"/>
      <w:lvlText w:val="%5."/>
      <w:lvlJc w:val="left"/>
      <w:pPr>
        <w:ind w:left="3382" w:hanging="360"/>
      </w:pPr>
    </w:lvl>
    <w:lvl w:ilvl="5" w:tplc="0C09001B">
      <w:start w:val="1"/>
      <w:numFmt w:val="lowerRoman"/>
      <w:lvlText w:val="%6."/>
      <w:lvlJc w:val="right"/>
      <w:pPr>
        <w:ind w:left="4102" w:hanging="180"/>
      </w:pPr>
    </w:lvl>
    <w:lvl w:ilvl="6" w:tplc="0C09000F">
      <w:start w:val="1"/>
      <w:numFmt w:val="decimal"/>
      <w:lvlText w:val="%7."/>
      <w:lvlJc w:val="left"/>
      <w:pPr>
        <w:ind w:left="4822" w:hanging="360"/>
      </w:pPr>
    </w:lvl>
    <w:lvl w:ilvl="7" w:tplc="0C090019">
      <w:start w:val="1"/>
      <w:numFmt w:val="lowerLetter"/>
      <w:lvlText w:val="%8."/>
      <w:lvlJc w:val="left"/>
      <w:pPr>
        <w:ind w:left="5542" w:hanging="360"/>
      </w:pPr>
    </w:lvl>
    <w:lvl w:ilvl="8" w:tplc="0C09001B">
      <w:start w:val="1"/>
      <w:numFmt w:val="lowerRoman"/>
      <w:lvlText w:val="%9."/>
      <w:lvlJc w:val="right"/>
      <w:pPr>
        <w:ind w:left="6262" w:hanging="180"/>
      </w:pPr>
    </w:lvl>
  </w:abstractNum>
  <w:abstractNum w:abstractNumId="12">
    <w:nsid w:val="4EA26597"/>
    <w:multiLevelType w:val="hybridMultilevel"/>
    <w:tmpl w:val="1B4A6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50504317"/>
    <w:multiLevelType w:val="hybridMultilevel"/>
    <w:tmpl w:val="B062299E"/>
    <w:lvl w:ilvl="0" w:tplc="0C09000F">
      <w:start w:val="1"/>
      <w:numFmt w:val="decimal"/>
      <w:lvlText w:val="%1."/>
      <w:lvlJc w:val="left"/>
      <w:pPr>
        <w:ind w:left="502" w:hanging="360"/>
      </w:p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start w:val="1"/>
      <w:numFmt w:val="decimal"/>
      <w:lvlText w:val="%4."/>
      <w:lvlJc w:val="left"/>
      <w:pPr>
        <w:ind w:left="2662" w:hanging="360"/>
      </w:pPr>
    </w:lvl>
    <w:lvl w:ilvl="4" w:tplc="0C090019">
      <w:start w:val="1"/>
      <w:numFmt w:val="lowerLetter"/>
      <w:lvlText w:val="%5."/>
      <w:lvlJc w:val="left"/>
      <w:pPr>
        <w:ind w:left="3382" w:hanging="360"/>
      </w:pPr>
    </w:lvl>
    <w:lvl w:ilvl="5" w:tplc="0C09001B">
      <w:start w:val="1"/>
      <w:numFmt w:val="lowerRoman"/>
      <w:lvlText w:val="%6."/>
      <w:lvlJc w:val="right"/>
      <w:pPr>
        <w:ind w:left="4102" w:hanging="180"/>
      </w:pPr>
    </w:lvl>
    <w:lvl w:ilvl="6" w:tplc="0C09000F">
      <w:start w:val="1"/>
      <w:numFmt w:val="decimal"/>
      <w:lvlText w:val="%7."/>
      <w:lvlJc w:val="left"/>
      <w:pPr>
        <w:ind w:left="4822" w:hanging="360"/>
      </w:pPr>
    </w:lvl>
    <w:lvl w:ilvl="7" w:tplc="0C090019">
      <w:start w:val="1"/>
      <w:numFmt w:val="lowerLetter"/>
      <w:lvlText w:val="%8."/>
      <w:lvlJc w:val="left"/>
      <w:pPr>
        <w:ind w:left="5542" w:hanging="360"/>
      </w:pPr>
    </w:lvl>
    <w:lvl w:ilvl="8" w:tplc="0C09001B">
      <w:start w:val="1"/>
      <w:numFmt w:val="lowerRoman"/>
      <w:lvlText w:val="%9."/>
      <w:lvlJc w:val="right"/>
      <w:pPr>
        <w:ind w:left="6262" w:hanging="180"/>
      </w:pPr>
    </w:lvl>
  </w:abstractNum>
  <w:abstractNum w:abstractNumId="14">
    <w:nsid w:val="5385546F"/>
    <w:multiLevelType w:val="hybridMultilevel"/>
    <w:tmpl w:val="B062299E"/>
    <w:lvl w:ilvl="0" w:tplc="0C09000F">
      <w:start w:val="1"/>
      <w:numFmt w:val="decimal"/>
      <w:lvlText w:val="%1."/>
      <w:lvlJc w:val="left"/>
      <w:pPr>
        <w:ind w:left="502" w:hanging="360"/>
      </w:p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start w:val="1"/>
      <w:numFmt w:val="decimal"/>
      <w:lvlText w:val="%4."/>
      <w:lvlJc w:val="left"/>
      <w:pPr>
        <w:ind w:left="2662" w:hanging="360"/>
      </w:pPr>
    </w:lvl>
    <w:lvl w:ilvl="4" w:tplc="0C090019">
      <w:start w:val="1"/>
      <w:numFmt w:val="lowerLetter"/>
      <w:lvlText w:val="%5."/>
      <w:lvlJc w:val="left"/>
      <w:pPr>
        <w:ind w:left="3382" w:hanging="360"/>
      </w:pPr>
    </w:lvl>
    <w:lvl w:ilvl="5" w:tplc="0C09001B">
      <w:start w:val="1"/>
      <w:numFmt w:val="lowerRoman"/>
      <w:lvlText w:val="%6."/>
      <w:lvlJc w:val="right"/>
      <w:pPr>
        <w:ind w:left="4102" w:hanging="180"/>
      </w:pPr>
    </w:lvl>
    <w:lvl w:ilvl="6" w:tplc="0C09000F">
      <w:start w:val="1"/>
      <w:numFmt w:val="decimal"/>
      <w:lvlText w:val="%7."/>
      <w:lvlJc w:val="left"/>
      <w:pPr>
        <w:ind w:left="4822" w:hanging="360"/>
      </w:pPr>
    </w:lvl>
    <w:lvl w:ilvl="7" w:tplc="0C090019">
      <w:start w:val="1"/>
      <w:numFmt w:val="lowerLetter"/>
      <w:lvlText w:val="%8."/>
      <w:lvlJc w:val="left"/>
      <w:pPr>
        <w:ind w:left="5542" w:hanging="360"/>
      </w:pPr>
    </w:lvl>
    <w:lvl w:ilvl="8" w:tplc="0C09001B">
      <w:start w:val="1"/>
      <w:numFmt w:val="lowerRoman"/>
      <w:lvlText w:val="%9."/>
      <w:lvlJc w:val="right"/>
      <w:pPr>
        <w:ind w:left="6262" w:hanging="180"/>
      </w:pPr>
    </w:lvl>
  </w:abstractNum>
  <w:abstractNum w:abstractNumId="15">
    <w:nsid w:val="5F756215"/>
    <w:multiLevelType w:val="hybridMultilevel"/>
    <w:tmpl w:val="B062299E"/>
    <w:lvl w:ilvl="0" w:tplc="0C09000F">
      <w:start w:val="1"/>
      <w:numFmt w:val="decimal"/>
      <w:lvlText w:val="%1."/>
      <w:lvlJc w:val="left"/>
      <w:pPr>
        <w:ind w:left="502" w:hanging="360"/>
      </w:p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start w:val="1"/>
      <w:numFmt w:val="decimal"/>
      <w:lvlText w:val="%4."/>
      <w:lvlJc w:val="left"/>
      <w:pPr>
        <w:ind w:left="2662" w:hanging="360"/>
      </w:pPr>
    </w:lvl>
    <w:lvl w:ilvl="4" w:tplc="0C090019">
      <w:start w:val="1"/>
      <w:numFmt w:val="lowerLetter"/>
      <w:lvlText w:val="%5."/>
      <w:lvlJc w:val="left"/>
      <w:pPr>
        <w:ind w:left="3382" w:hanging="360"/>
      </w:pPr>
    </w:lvl>
    <w:lvl w:ilvl="5" w:tplc="0C09001B">
      <w:start w:val="1"/>
      <w:numFmt w:val="lowerRoman"/>
      <w:lvlText w:val="%6."/>
      <w:lvlJc w:val="right"/>
      <w:pPr>
        <w:ind w:left="4102" w:hanging="180"/>
      </w:pPr>
    </w:lvl>
    <w:lvl w:ilvl="6" w:tplc="0C09000F">
      <w:start w:val="1"/>
      <w:numFmt w:val="decimal"/>
      <w:lvlText w:val="%7."/>
      <w:lvlJc w:val="left"/>
      <w:pPr>
        <w:ind w:left="4822" w:hanging="360"/>
      </w:pPr>
    </w:lvl>
    <w:lvl w:ilvl="7" w:tplc="0C090019">
      <w:start w:val="1"/>
      <w:numFmt w:val="lowerLetter"/>
      <w:lvlText w:val="%8."/>
      <w:lvlJc w:val="left"/>
      <w:pPr>
        <w:ind w:left="5542" w:hanging="360"/>
      </w:pPr>
    </w:lvl>
    <w:lvl w:ilvl="8" w:tplc="0C09001B">
      <w:start w:val="1"/>
      <w:numFmt w:val="lowerRoman"/>
      <w:lvlText w:val="%9."/>
      <w:lvlJc w:val="right"/>
      <w:pPr>
        <w:ind w:left="6262" w:hanging="180"/>
      </w:pPr>
    </w:lvl>
  </w:abstractNum>
  <w:abstractNum w:abstractNumId="16">
    <w:nsid w:val="652F161E"/>
    <w:multiLevelType w:val="hybridMultilevel"/>
    <w:tmpl w:val="BE4E6718"/>
    <w:lvl w:ilvl="0" w:tplc="BE6EF892">
      <w:numFmt w:val="bullet"/>
      <w:lvlText w:val="•"/>
      <w:lvlJc w:val="left"/>
      <w:pPr>
        <w:ind w:left="927" w:hanging="360"/>
      </w:pPr>
      <w:rPr>
        <w:rFonts w:ascii="Cambria" w:eastAsia="Times New Roman" w:hAnsi="Cambria"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nsid w:val="76A160A2"/>
    <w:multiLevelType w:val="hybridMultilevel"/>
    <w:tmpl w:val="B062299E"/>
    <w:lvl w:ilvl="0" w:tplc="0C09000F">
      <w:start w:val="1"/>
      <w:numFmt w:val="decimal"/>
      <w:lvlText w:val="%1."/>
      <w:lvlJc w:val="left"/>
      <w:pPr>
        <w:ind w:left="502" w:hanging="360"/>
      </w:p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start w:val="1"/>
      <w:numFmt w:val="decimal"/>
      <w:lvlText w:val="%4."/>
      <w:lvlJc w:val="left"/>
      <w:pPr>
        <w:ind w:left="2662" w:hanging="360"/>
      </w:pPr>
    </w:lvl>
    <w:lvl w:ilvl="4" w:tplc="0C090019">
      <w:start w:val="1"/>
      <w:numFmt w:val="lowerLetter"/>
      <w:lvlText w:val="%5."/>
      <w:lvlJc w:val="left"/>
      <w:pPr>
        <w:ind w:left="3382" w:hanging="360"/>
      </w:pPr>
    </w:lvl>
    <w:lvl w:ilvl="5" w:tplc="0C09001B">
      <w:start w:val="1"/>
      <w:numFmt w:val="lowerRoman"/>
      <w:lvlText w:val="%6."/>
      <w:lvlJc w:val="right"/>
      <w:pPr>
        <w:ind w:left="4102" w:hanging="180"/>
      </w:pPr>
    </w:lvl>
    <w:lvl w:ilvl="6" w:tplc="0C09000F">
      <w:start w:val="1"/>
      <w:numFmt w:val="decimal"/>
      <w:lvlText w:val="%7."/>
      <w:lvlJc w:val="left"/>
      <w:pPr>
        <w:ind w:left="4822" w:hanging="360"/>
      </w:pPr>
    </w:lvl>
    <w:lvl w:ilvl="7" w:tplc="0C090019">
      <w:start w:val="1"/>
      <w:numFmt w:val="lowerLetter"/>
      <w:lvlText w:val="%8."/>
      <w:lvlJc w:val="left"/>
      <w:pPr>
        <w:ind w:left="5542" w:hanging="360"/>
      </w:pPr>
    </w:lvl>
    <w:lvl w:ilvl="8" w:tplc="0C09001B">
      <w:start w:val="1"/>
      <w:numFmt w:val="lowerRoman"/>
      <w:lvlText w:val="%9."/>
      <w:lvlJc w:val="right"/>
      <w:pPr>
        <w:ind w:left="6262" w:hanging="180"/>
      </w:pPr>
    </w:lvl>
  </w:abstractNum>
  <w:num w:numId="1">
    <w:abstractNumId w:val="5"/>
  </w:num>
  <w:num w:numId="2">
    <w:abstractNumId w:val="3"/>
  </w:num>
  <w:num w:numId="3">
    <w:abstractNumId w:val="5"/>
  </w:num>
  <w:num w:numId="4">
    <w:abstractNumId w:val="3"/>
  </w:num>
  <w:num w:numId="5">
    <w:abstractNumId w:val="8"/>
  </w:num>
  <w:num w:numId="6">
    <w:abstractNumId w:val="10"/>
  </w:num>
  <w:num w:numId="7">
    <w:abstractNumId w:val="2"/>
  </w:num>
  <w:num w:numId="8">
    <w:abstractNumId w:val="1"/>
  </w:num>
  <w:num w:numId="9">
    <w:abstractNumId w:val="7"/>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6"/>
  </w:num>
  <w:num w:numId="15">
    <w:abstractNumId w:val="13"/>
  </w:num>
  <w:num w:numId="16">
    <w:abstractNumId w:val="11"/>
  </w:num>
  <w:num w:numId="17">
    <w:abstractNumId w:val="15"/>
  </w:num>
  <w:num w:numId="18">
    <w:abstractNumId w:val="14"/>
  </w:num>
  <w:num w:numId="19">
    <w:abstractNumId w:val="16"/>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3"/>
    <w:lvlOverride w:ilvl="0">
      <w:startOverride w:val="12"/>
    </w:lvlOverride>
  </w:num>
  <w:num w:numId="31">
    <w:abstractNumId w:val="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946"/>
    <w:rsid w:val="00002031"/>
    <w:rsid w:val="00004734"/>
    <w:rsid w:val="00006B22"/>
    <w:rsid w:val="0001276A"/>
    <w:rsid w:val="000246AE"/>
    <w:rsid w:val="00025C67"/>
    <w:rsid w:val="00044772"/>
    <w:rsid w:val="00045951"/>
    <w:rsid w:val="0005559E"/>
    <w:rsid w:val="000604D6"/>
    <w:rsid w:val="000734D8"/>
    <w:rsid w:val="00077775"/>
    <w:rsid w:val="000869BD"/>
    <w:rsid w:val="00090471"/>
    <w:rsid w:val="00096AA7"/>
    <w:rsid w:val="000A3AED"/>
    <w:rsid w:val="000B3532"/>
    <w:rsid w:val="000B3A75"/>
    <w:rsid w:val="000B426C"/>
    <w:rsid w:val="000C00C2"/>
    <w:rsid w:val="000C690F"/>
    <w:rsid w:val="000D1295"/>
    <w:rsid w:val="000D391B"/>
    <w:rsid w:val="000D3D6D"/>
    <w:rsid w:val="000D4FC7"/>
    <w:rsid w:val="000D5019"/>
    <w:rsid w:val="000E6196"/>
    <w:rsid w:val="000F4869"/>
    <w:rsid w:val="000F5B42"/>
    <w:rsid w:val="000F6E6F"/>
    <w:rsid w:val="0010601F"/>
    <w:rsid w:val="0010788A"/>
    <w:rsid w:val="00107A31"/>
    <w:rsid w:val="00110EA5"/>
    <w:rsid w:val="00112F56"/>
    <w:rsid w:val="00125318"/>
    <w:rsid w:val="00127885"/>
    <w:rsid w:val="001305A2"/>
    <w:rsid w:val="00131742"/>
    <w:rsid w:val="001331AE"/>
    <w:rsid w:val="00133238"/>
    <w:rsid w:val="00133A1B"/>
    <w:rsid w:val="00137BB0"/>
    <w:rsid w:val="0014197B"/>
    <w:rsid w:val="001447CD"/>
    <w:rsid w:val="001516B1"/>
    <w:rsid w:val="00154EBB"/>
    <w:rsid w:val="00156316"/>
    <w:rsid w:val="00161181"/>
    <w:rsid w:val="00162D14"/>
    <w:rsid w:val="00165389"/>
    <w:rsid w:val="001705D9"/>
    <w:rsid w:val="00171736"/>
    <w:rsid w:val="0017693F"/>
    <w:rsid w:val="00177057"/>
    <w:rsid w:val="0018110E"/>
    <w:rsid w:val="001813D5"/>
    <w:rsid w:val="00181684"/>
    <w:rsid w:val="001843C6"/>
    <w:rsid w:val="001850E0"/>
    <w:rsid w:val="001A2158"/>
    <w:rsid w:val="001A525F"/>
    <w:rsid w:val="001B05E0"/>
    <w:rsid w:val="001B09F9"/>
    <w:rsid w:val="001B5C90"/>
    <w:rsid w:val="001B6448"/>
    <w:rsid w:val="001C32CD"/>
    <w:rsid w:val="001D2984"/>
    <w:rsid w:val="001D299F"/>
    <w:rsid w:val="001D65CF"/>
    <w:rsid w:val="001E07CF"/>
    <w:rsid w:val="001E59F1"/>
    <w:rsid w:val="001F2CEE"/>
    <w:rsid w:val="001F49EB"/>
    <w:rsid w:val="001F698B"/>
    <w:rsid w:val="001F6CBA"/>
    <w:rsid w:val="00201D4E"/>
    <w:rsid w:val="002076C9"/>
    <w:rsid w:val="00210471"/>
    <w:rsid w:val="00220B8A"/>
    <w:rsid w:val="002257F3"/>
    <w:rsid w:val="00233456"/>
    <w:rsid w:val="002339A5"/>
    <w:rsid w:val="00257848"/>
    <w:rsid w:val="0027084A"/>
    <w:rsid w:val="00285E77"/>
    <w:rsid w:val="00286434"/>
    <w:rsid w:val="00286C59"/>
    <w:rsid w:val="00291957"/>
    <w:rsid w:val="002942D1"/>
    <w:rsid w:val="0029501A"/>
    <w:rsid w:val="002A3721"/>
    <w:rsid w:val="002B1638"/>
    <w:rsid w:val="002B3624"/>
    <w:rsid w:val="002D0952"/>
    <w:rsid w:val="002E40B3"/>
    <w:rsid w:val="002E4C9A"/>
    <w:rsid w:val="002F11F8"/>
    <w:rsid w:val="002F3F56"/>
    <w:rsid w:val="002F44B5"/>
    <w:rsid w:val="00311AC0"/>
    <w:rsid w:val="00316F73"/>
    <w:rsid w:val="0032583B"/>
    <w:rsid w:val="00327883"/>
    <w:rsid w:val="00335504"/>
    <w:rsid w:val="00337D03"/>
    <w:rsid w:val="00340C18"/>
    <w:rsid w:val="003442FD"/>
    <w:rsid w:val="00347824"/>
    <w:rsid w:val="00350567"/>
    <w:rsid w:val="003521E8"/>
    <w:rsid w:val="00370CE3"/>
    <w:rsid w:val="003728F3"/>
    <w:rsid w:val="0037496E"/>
    <w:rsid w:val="00375A96"/>
    <w:rsid w:val="00383221"/>
    <w:rsid w:val="00386150"/>
    <w:rsid w:val="003874CE"/>
    <w:rsid w:val="00390900"/>
    <w:rsid w:val="003A7F6C"/>
    <w:rsid w:val="003B4D60"/>
    <w:rsid w:val="003B7E39"/>
    <w:rsid w:val="003C58DC"/>
    <w:rsid w:val="003D1E62"/>
    <w:rsid w:val="003E0B99"/>
    <w:rsid w:val="003E2486"/>
    <w:rsid w:val="003E3208"/>
    <w:rsid w:val="003E5DD0"/>
    <w:rsid w:val="003F0B04"/>
    <w:rsid w:val="0040134E"/>
    <w:rsid w:val="00422303"/>
    <w:rsid w:val="004334C7"/>
    <w:rsid w:val="00440A2D"/>
    <w:rsid w:val="00441C3F"/>
    <w:rsid w:val="004564A7"/>
    <w:rsid w:val="004617BF"/>
    <w:rsid w:val="00463658"/>
    <w:rsid w:val="004637A0"/>
    <w:rsid w:val="004722CC"/>
    <w:rsid w:val="004936E4"/>
    <w:rsid w:val="00494E60"/>
    <w:rsid w:val="00497487"/>
    <w:rsid w:val="004A4B93"/>
    <w:rsid w:val="004A6189"/>
    <w:rsid w:val="004A7390"/>
    <w:rsid w:val="004B4D83"/>
    <w:rsid w:val="004B7B76"/>
    <w:rsid w:val="004C239D"/>
    <w:rsid w:val="004C2DCA"/>
    <w:rsid w:val="004C57B4"/>
    <w:rsid w:val="004C61D2"/>
    <w:rsid w:val="004C7F1F"/>
    <w:rsid w:val="004E1994"/>
    <w:rsid w:val="004F0C4A"/>
    <w:rsid w:val="004F0F38"/>
    <w:rsid w:val="004F47D6"/>
    <w:rsid w:val="00501921"/>
    <w:rsid w:val="00511CAF"/>
    <w:rsid w:val="00530354"/>
    <w:rsid w:val="00533297"/>
    <w:rsid w:val="005349EC"/>
    <w:rsid w:val="0053625B"/>
    <w:rsid w:val="00540D67"/>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374D"/>
    <w:rsid w:val="005A68B6"/>
    <w:rsid w:val="005B0F8D"/>
    <w:rsid w:val="005C5570"/>
    <w:rsid w:val="005C79A4"/>
    <w:rsid w:val="005D1003"/>
    <w:rsid w:val="005D5442"/>
    <w:rsid w:val="005E3B3A"/>
    <w:rsid w:val="00603F32"/>
    <w:rsid w:val="00605AD4"/>
    <w:rsid w:val="0060664D"/>
    <w:rsid w:val="00625A6E"/>
    <w:rsid w:val="00632398"/>
    <w:rsid w:val="00640FC3"/>
    <w:rsid w:val="00642020"/>
    <w:rsid w:val="0065337B"/>
    <w:rsid w:val="0065419D"/>
    <w:rsid w:val="00657A92"/>
    <w:rsid w:val="006604D8"/>
    <w:rsid w:val="00663147"/>
    <w:rsid w:val="00664A5B"/>
    <w:rsid w:val="0066735C"/>
    <w:rsid w:val="006763D2"/>
    <w:rsid w:val="00680C08"/>
    <w:rsid w:val="006916A0"/>
    <w:rsid w:val="00692588"/>
    <w:rsid w:val="006931B1"/>
    <w:rsid w:val="006A15C0"/>
    <w:rsid w:val="006B54D0"/>
    <w:rsid w:val="006C3E2A"/>
    <w:rsid w:val="006C642F"/>
    <w:rsid w:val="006C692A"/>
    <w:rsid w:val="006D03E5"/>
    <w:rsid w:val="006D5D3E"/>
    <w:rsid w:val="006E08B3"/>
    <w:rsid w:val="006F17AC"/>
    <w:rsid w:val="006F25B8"/>
    <w:rsid w:val="006F572E"/>
    <w:rsid w:val="007046D6"/>
    <w:rsid w:val="00705DB0"/>
    <w:rsid w:val="00714430"/>
    <w:rsid w:val="00722B57"/>
    <w:rsid w:val="00730F8A"/>
    <w:rsid w:val="00735A8C"/>
    <w:rsid w:val="0074253D"/>
    <w:rsid w:val="0074429B"/>
    <w:rsid w:val="007615BC"/>
    <w:rsid w:val="00762F05"/>
    <w:rsid w:val="007652FF"/>
    <w:rsid w:val="00766C5C"/>
    <w:rsid w:val="00767DCA"/>
    <w:rsid w:val="00770CAC"/>
    <w:rsid w:val="00770EF1"/>
    <w:rsid w:val="00773EF7"/>
    <w:rsid w:val="00774E1D"/>
    <w:rsid w:val="007765D8"/>
    <w:rsid w:val="0077675A"/>
    <w:rsid w:val="00780355"/>
    <w:rsid w:val="007819FD"/>
    <w:rsid w:val="00785717"/>
    <w:rsid w:val="00785721"/>
    <w:rsid w:val="007907A4"/>
    <w:rsid w:val="007908EB"/>
    <w:rsid w:val="00793A59"/>
    <w:rsid w:val="007A7A36"/>
    <w:rsid w:val="007B6132"/>
    <w:rsid w:val="007B6E9F"/>
    <w:rsid w:val="007C1216"/>
    <w:rsid w:val="007C1AF7"/>
    <w:rsid w:val="007C6B9B"/>
    <w:rsid w:val="007F3460"/>
    <w:rsid w:val="00805D27"/>
    <w:rsid w:val="00806DCB"/>
    <w:rsid w:val="0081673D"/>
    <w:rsid w:val="00821776"/>
    <w:rsid w:val="008321F5"/>
    <w:rsid w:val="00832369"/>
    <w:rsid w:val="00832431"/>
    <w:rsid w:val="00834660"/>
    <w:rsid w:val="00836BC2"/>
    <w:rsid w:val="008452C0"/>
    <w:rsid w:val="008465E1"/>
    <w:rsid w:val="0085156D"/>
    <w:rsid w:val="0085641B"/>
    <w:rsid w:val="00857136"/>
    <w:rsid w:val="00861241"/>
    <w:rsid w:val="00861753"/>
    <w:rsid w:val="00885B11"/>
    <w:rsid w:val="00886D15"/>
    <w:rsid w:val="00887DD8"/>
    <w:rsid w:val="00891BA9"/>
    <w:rsid w:val="0089527F"/>
    <w:rsid w:val="00896018"/>
    <w:rsid w:val="008960DD"/>
    <w:rsid w:val="0089635C"/>
    <w:rsid w:val="008A2B9D"/>
    <w:rsid w:val="008A3D9F"/>
    <w:rsid w:val="008A5E0B"/>
    <w:rsid w:val="008A6D59"/>
    <w:rsid w:val="008B2BE5"/>
    <w:rsid w:val="008B3975"/>
    <w:rsid w:val="008B3995"/>
    <w:rsid w:val="008B4B03"/>
    <w:rsid w:val="008B596F"/>
    <w:rsid w:val="008C159F"/>
    <w:rsid w:val="008C1623"/>
    <w:rsid w:val="008C163B"/>
    <w:rsid w:val="008C1850"/>
    <w:rsid w:val="008C4754"/>
    <w:rsid w:val="008C51A9"/>
    <w:rsid w:val="008E7846"/>
    <w:rsid w:val="008F02E5"/>
    <w:rsid w:val="008F1CCC"/>
    <w:rsid w:val="008F2967"/>
    <w:rsid w:val="008F536C"/>
    <w:rsid w:val="008F6943"/>
    <w:rsid w:val="00902A21"/>
    <w:rsid w:val="00907946"/>
    <w:rsid w:val="009118B9"/>
    <w:rsid w:val="00920330"/>
    <w:rsid w:val="009219D7"/>
    <w:rsid w:val="00922D53"/>
    <w:rsid w:val="00923B70"/>
    <w:rsid w:val="00924482"/>
    <w:rsid w:val="00930237"/>
    <w:rsid w:val="00937C17"/>
    <w:rsid w:val="00940A89"/>
    <w:rsid w:val="00942469"/>
    <w:rsid w:val="00946EA5"/>
    <w:rsid w:val="00952967"/>
    <w:rsid w:val="00957B3E"/>
    <w:rsid w:val="00957F4E"/>
    <w:rsid w:val="00963C08"/>
    <w:rsid w:val="009752A5"/>
    <w:rsid w:val="0098585A"/>
    <w:rsid w:val="009A4CED"/>
    <w:rsid w:val="009A4FEE"/>
    <w:rsid w:val="009A690D"/>
    <w:rsid w:val="009B1D12"/>
    <w:rsid w:val="009B23A6"/>
    <w:rsid w:val="009B416B"/>
    <w:rsid w:val="009C4BD5"/>
    <w:rsid w:val="009D32CA"/>
    <w:rsid w:val="009D7B77"/>
    <w:rsid w:val="009E0BB0"/>
    <w:rsid w:val="009E3FBB"/>
    <w:rsid w:val="009F7353"/>
    <w:rsid w:val="00A04F85"/>
    <w:rsid w:val="00A05FA4"/>
    <w:rsid w:val="00A075E1"/>
    <w:rsid w:val="00A102E4"/>
    <w:rsid w:val="00A12C42"/>
    <w:rsid w:val="00A14DF7"/>
    <w:rsid w:val="00A274E1"/>
    <w:rsid w:val="00A3246D"/>
    <w:rsid w:val="00A36FA7"/>
    <w:rsid w:val="00A4152B"/>
    <w:rsid w:val="00A44C19"/>
    <w:rsid w:val="00A44DDB"/>
    <w:rsid w:val="00A475B7"/>
    <w:rsid w:val="00A47AF7"/>
    <w:rsid w:val="00A47C3E"/>
    <w:rsid w:val="00A50226"/>
    <w:rsid w:val="00A56835"/>
    <w:rsid w:val="00A60BAD"/>
    <w:rsid w:val="00A6747A"/>
    <w:rsid w:val="00A80B5B"/>
    <w:rsid w:val="00A84E36"/>
    <w:rsid w:val="00A964D1"/>
    <w:rsid w:val="00AA0ED0"/>
    <w:rsid w:val="00AC2B40"/>
    <w:rsid w:val="00AC2BB2"/>
    <w:rsid w:val="00AC2C3C"/>
    <w:rsid w:val="00AC512D"/>
    <w:rsid w:val="00AC5257"/>
    <w:rsid w:val="00AD0083"/>
    <w:rsid w:val="00AD3935"/>
    <w:rsid w:val="00AE65EB"/>
    <w:rsid w:val="00AE67A7"/>
    <w:rsid w:val="00AF1D94"/>
    <w:rsid w:val="00AF60C5"/>
    <w:rsid w:val="00B009C6"/>
    <w:rsid w:val="00B01548"/>
    <w:rsid w:val="00B01782"/>
    <w:rsid w:val="00B13EBD"/>
    <w:rsid w:val="00B21D29"/>
    <w:rsid w:val="00B239C7"/>
    <w:rsid w:val="00B241FC"/>
    <w:rsid w:val="00B25034"/>
    <w:rsid w:val="00B33588"/>
    <w:rsid w:val="00B33863"/>
    <w:rsid w:val="00B3393D"/>
    <w:rsid w:val="00B361BE"/>
    <w:rsid w:val="00B37D17"/>
    <w:rsid w:val="00B4175E"/>
    <w:rsid w:val="00B452CE"/>
    <w:rsid w:val="00B54C25"/>
    <w:rsid w:val="00B5554A"/>
    <w:rsid w:val="00B66648"/>
    <w:rsid w:val="00B75453"/>
    <w:rsid w:val="00B76B91"/>
    <w:rsid w:val="00B77EB1"/>
    <w:rsid w:val="00B811C6"/>
    <w:rsid w:val="00B84561"/>
    <w:rsid w:val="00B855B0"/>
    <w:rsid w:val="00B860A0"/>
    <w:rsid w:val="00B90463"/>
    <w:rsid w:val="00B917B2"/>
    <w:rsid w:val="00B92E08"/>
    <w:rsid w:val="00BC622A"/>
    <w:rsid w:val="00BE0A78"/>
    <w:rsid w:val="00BE79F0"/>
    <w:rsid w:val="00BF046D"/>
    <w:rsid w:val="00BF1190"/>
    <w:rsid w:val="00BF5D04"/>
    <w:rsid w:val="00C009AA"/>
    <w:rsid w:val="00C1164D"/>
    <w:rsid w:val="00C16861"/>
    <w:rsid w:val="00C17865"/>
    <w:rsid w:val="00C346AB"/>
    <w:rsid w:val="00C36F24"/>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87D8E"/>
    <w:rsid w:val="00C90043"/>
    <w:rsid w:val="00C91AB2"/>
    <w:rsid w:val="00C92C84"/>
    <w:rsid w:val="00C932F0"/>
    <w:rsid w:val="00C94CD4"/>
    <w:rsid w:val="00C965C1"/>
    <w:rsid w:val="00C9747E"/>
    <w:rsid w:val="00CB6BC0"/>
    <w:rsid w:val="00CC1B7C"/>
    <w:rsid w:val="00CC2965"/>
    <w:rsid w:val="00CC727F"/>
    <w:rsid w:val="00CE7A3E"/>
    <w:rsid w:val="00CF15C3"/>
    <w:rsid w:val="00CF2B6F"/>
    <w:rsid w:val="00CF2F3E"/>
    <w:rsid w:val="00CF58B6"/>
    <w:rsid w:val="00D0062D"/>
    <w:rsid w:val="00D017ED"/>
    <w:rsid w:val="00D040D3"/>
    <w:rsid w:val="00D04C65"/>
    <w:rsid w:val="00D17F35"/>
    <w:rsid w:val="00D201D2"/>
    <w:rsid w:val="00D224FE"/>
    <w:rsid w:val="00D22674"/>
    <w:rsid w:val="00D22DCC"/>
    <w:rsid w:val="00D23139"/>
    <w:rsid w:val="00D26E85"/>
    <w:rsid w:val="00D425BB"/>
    <w:rsid w:val="00D6493E"/>
    <w:rsid w:val="00D7195D"/>
    <w:rsid w:val="00D7301E"/>
    <w:rsid w:val="00D775D6"/>
    <w:rsid w:val="00D83AE1"/>
    <w:rsid w:val="00D855D4"/>
    <w:rsid w:val="00D902C9"/>
    <w:rsid w:val="00D93466"/>
    <w:rsid w:val="00DA1124"/>
    <w:rsid w:val="00DB128C"/>
    <w:rsid w:val="00DB6124"/>
    <w:rsid w:val="00DB6C72"/>
    <w:rsid w:val="00DB750B"/>
    <w:rsid w:val="00DB75B7"/>
    <w:rsid w:val="00DC4B0E"/>
    <w:rsid w:val="00DC6E02"/>
    <w:rsid w:val="00DD28CD"/>
    <w:rsid w:val="00DE02AE"/>
    <w:rsid w:val="00DF1D7F"/>
    <w:rsid w:val="00DF4BE4"/>
    <w:rsid w:val="00DF5DF7"/>
    <w:rsid w:val="00E02FB4"/>
    <w:rsid w:val="00E13FC7"/>
    <w:rsid w:val="00E20571"/>
    <w:rsid w:val="00E2083D"/>
    <w:rsid w:val="00E235F7"/>
    <w:rsid w:val="00E23659"/>
    <w:rsid w:val="00E239D4"/>
    <w:rsid w:val="00E26130"/>
    <w:rsid w:val="00E30DA1"/>
    <w:rsid w:val="00E40B22"/>
    <w:rsid w:val="00E42479"/>
    <w:rsid w:val="00E433EA"/>
    <w:rsid w:val="00E44ED1"/>
    <w:rsid w:val="00E45619"/>
    <w:rsid w:val="00E4588F"/>
    <w:rsid w:val="00E46DA3"/>
    <w:rsid w:val="00E51BB1"/>
    <w:rsid w:val="00E624A5"/>
    <w:rsid w:val="00E64BA4"/>
    <w:rsid w:val="00E7344E"/>
    <w:rsid w:val="00E76653"/>
    <w:rsid w:val="00E82665"/>
    <w:rsid w:val="00E8383D"/>
    <w:rsid w:val="00E93B79"/>
    <w:rsid w:val="00EB0798"/>
    <w:rsid w:val="00EB1685"/>
    <w:rsid w:val="00EB40AD"/>
    <w:rsid w:val="00EB586E"/>
    <w:rsid w:val="00EB5FC8"/>
    <w:rsid w:val="00EC1FA0"/>
    <w:rsid w:val="00EC463D"/>
    <w:rsid w:val="00EC7A85"/>
    <w:rsid w:val="00ED2922"/>
    <w:rsid w:val="00ED3CAD"/>
    <w:rsid w:val="00ED5A41"/>
    <w:rsid w:val="00EE1DE8"/>
    <w:rsid w:val="00EE27C2"/>
    <w:rsid w:val="00EE3E81"/>
    <w:rsid w:val="00EE4114"/>
    <w:rsid w:val="00EE5994"/>
    <w:rsid w:val="00EF001D"/>
    <w:rsid w:val="00EF4BAD"/>
    <w:rsid w:val="00F033EC"/>
    <w:rsid w:val="00F041FC"/>
    <w:rsid w:val="00F04F68"/>
    <w:rsid w:val="00F12670"/>
    <w:rsid w:val="00F14B27"/>
    <w:rsid w:val="00F152E9"/>
    <w:rsid w:val="00F3148D"/>
    <w:rsid w:val="00F325C5"/>
    <w:rsid w:val="00F32FE0"/>
    <w:rsid w:val="00F35298"/>
    <w:rsid w:val="00F47333"/>
    <w:rsid w:val="00F47E37"/>
    <w:rsid w:val="00F47EAE"/>
    <w:rsid w:val="00F53C07"/>
    <w:rsid w:val="00F5421E"/>
    <w:rsid w:val="00F54B65"/>
    <w:rsid w:val="00F63E0E"/>
    <w:rsid w:val="00F640B6"/>
    <w:rsid w:val="00F66DF2"/>
    <w:rsid w:val="00F66E3C"/>
    <w:rsid w:val="00F718CE"/>
    <w:rsid w:val="00F76DF8"/>
    <w:rsid w:val="00F80E40"/>
    <w:rsid w:val="00F848D9"/>
    <w:rsid w:val="00FA5B82"/>
    <w:rsid w:val="00FA639E"/>
    <w:rsid w:val="00FB1AE7"/>
    <w:rsid w:val="00FC1FCA"/>
    <w:rsid w:val="00FC25E4"/>
    <w:rsid w:val="00FC4EF7"/>
    <w:rsid w:val="00FD0824"/>
    <w:rsid w:val="00FD119B"/>
    <w:rsid w:val="00FD16C3"/>
    <w:rsid w:val="00FD1E09"/>
    <w:rsid w:val="00FD1EDC"/>
    <w:rsid w:val="00FD26C1"/>
    <w:rsid w:val="00FE124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52C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1B05E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89527F"/>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89527F"/>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9527F"/>
    <w:pPr>
      <w:framePr w:hSpace="180" w:wrap="around" w:vAnchor="page" w:hAnchor="text" w:y="3316"/>
      <w:numPr>
        <w:ilvl w:val="1"/>
      </w:numPr>
      <w:spacing w:after="360"/>
      <w:ind w:left="170"/>
    </w:pPr>
    <w:rPr>
      <w:rFonts w:asciiTheme="majorHAnsi" w:eastAsia="Times New Roman" w:hAnsiTheme="majorHAnsi" w:cstheme="majorHAnsi"/>
      <w:bCs/>
      <w:iCs/>
      <w:color w:val="FFFFFF" w:themeColor="background1"/>
      <w:sz w:val="40"/>
    </w:rPr>
  </w:style>
  <w:style w:type="character" w:customStyle="1" w:styleId="SubtitleChar">
    <w:name w:val="Subtitle Char"/>
    <w:basedOn w:val="DefaultParagraphFont"/>
    <w:link w:val="Subtitle"/>
    <w:uiPriority w:val="11"/>
    <w:rsid w:val="0089527F"/>
    <w:rPr>
      <w:rFonts w:asciiTheme="majorHAnsi" w:eastAsia="Times New Roman" w:hAnsiTheme="majorHAnsi" w:cstheme="majorHAnsi"/>
      <w:bCs/>
      <w:iCs/>
      <w:color w:val="FFFFFF" w:themeColor="background1"/>
      <w:sz w:val="40"/>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89527F"/>
    <w:pPr>
      <w:framePr w:hSpace="180" w:wrap="around" w:vAnchor="page" w:hAnchor="text" w:y="3316"/>
      <w:spacing w:after="480" w:line="240" w:lineRule="auto"/>
      <w:contextualSpacing/>
    </w:pPr>
    <w:rPr>
      <w:rFonts w:asciiTheme="majorHAnsi" w:eastAsia="Times New Roman" w:hAnsiTheme="majorHAnsi" w:cstheme="majorHAnsi"/>
      <w:color w:val="FFFFFF" w:themeColor="background1"/>
      <w:spacing w:val="5"/>
      <w:kern w:val="28"/>
      <w:sz w:val="52"/>
      <w:szCs w:val="52"/>
    </w:rPr>
  </w:style>
  <w:style w:type="character" w:customStyle="1" w:styleId="TitleChar">
    <w:name w:val="Title Char"/>
    <w:basedOn w:val="DefaultParagraphFont"/>
    <w:link w:val="Title"/>
    <w:uiPriority w:val="10"/>
    <w:rsid w:val="0089527F"/>
    <w:rPr>
      <w:rFonts w:asciiTheme="majorHAnsi" w:eastAsia="Times New Roman" w:hAnsiTheme="majorHAnsi" w:cstheme="majorHAnsi"/>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rsid w:val="00907946"/>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907946"/>
    <w:rPr>
      <w:rFonts w:ascii="Cambria" w:eastAsia="Times New Roman" w:hAnsi="Cambria" w:cs="Times New Roman"/>
      <w:kern w:val="16"/>
      <w:szCs w:val="24"/>
    </w:rPr>
  </w:style>
  <w:style w:type="paragraph" w:customStyle="1" w:styleId="Bullet1">
    <w:name w:val="Bullet 1"/>
    <w:basedOn w:val="Normal"/>
    <w:rsid w:val="001B05E0"/>
    <w:pPr>
      <w:numPr>
        <w:numId w:val="5"/>
      </w:numPr>
      <w:tabs>
        <w:tab w:val="left" w:pos="284"/>
      </w:tabs>
      <w:spacing w:after="0" w:line="240" w:lineRule="auto"/>
    </w:pPr>
    <w:rPr>
      <w:rFonts w:eastAsia="Times New Roman"/>
      <w:kern w:val="24"/>
      <w:szCs w:val="24"/>
      <w:lang w:eastAsia="en-AU"/>
    </w:rPr>
  </w:style>
  <w:style w:type="paragraph" w:customStyle="1" w:styleId="Bullet2">
    <w:name w:val="Bullet 2"/>
    <w:basedOn w:val="Bullet1"/>
    <w:rsid w:val="001B05E0"/>
    <w:pPr>
      <w:numPr>
        <w:numId w:val="6"/>
      </w:numPr>
    </w:pPr>
  </w:style>
  <w:style w:type="character" w:customStyle="1" w:styleId="Heading8Char">
    <w:name w:val="Heading 8 Char"/>
    <w:basedOn w:val="DefaultParagraphFont"/>
    <w:link w:val="Heading8"/>
    <w:uiPriority w:val="9"/>
    <w:semiHidden/>
    <w:rsid w:val="001B05E0"/>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1B05E0"/>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1B05E0"/>
  </w:style>
  <w:style w:type="table" w:customStyle="1" w:styleId="TableTGAblue1">
    <w:name w:val="Table TGA blue1"/>
    <w:basedOn w:val="TableNormal"/>
    <w:uiPriority w:val="99"/>
    <w:qFormat/>
    <w:rsid w:val="001B05E0"/>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styleId="LightGrid-Accent2">
    <w:name w:val="Light Grid Accent 2"/>
    <w:basedOn w:val="TableNormal"/>
    <w:uiPriority w:val="62"/>
    <w:rsid w:val="008B3975"/>
    <w:pPr>
      <w:spacing w:after="0" w:line="240" w:lineRule="auto"/>
    </w:pPr>
    <w:tblPr>
      <w:tblStyleRowBandSize w:val="1"/>
      <w:tblStyleColBandSize w:val="1"/>
      <w:tblInd w:w="0" w:type="nil"/>
      <w:tblBorders>
        <w:top w:val="single" w:sz="8" w:space="0" w:color="B3C960" w:themeColor="accent2"/>
        <w:left w:val="single" w:sz="8" w:space="0" w:color="B3C960" w:themeColor="accent2"/>
        <w:bottom w:val="single" w:sz="8" w:space="0" w:color="B3C960" w:themeColor="accent2"/>
        <w:right w:val="single" w:sz="8" w:space="0" w:color="B3C960" w:themeColor="accent2"/>
        <w:insideH w:val="single" w:sz="8" w:space="0" w:color="B3C960" w:themeColor="accent2"/>
        <w:insideV w:val="single" w:sz="8" w:space="0" w:color="B3C960"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B3C960" w:themeColor="accent2"/>
          <w:left w:val="single" w:sz="8" w:space="0" w:color="B3C960" w:themeColor="accent2"/>
          <w:bottom w:val="single" w:sz="18" w:space="0" w:color="B3C960" w:themeColor="accent2"/>
          <w:right w:val="single" w:sz="8" w:space="0" w:color="B3C960" w:themeColor="accent2"/>
          <w:insideH w:val="nil"/>
          <w:insideV w:val="single" w:sz="8" w:space="0" w:color="B3C960"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B3C960" w:themeColor="accent2"/>
          <w:left w:val="single" w:sz="8" w:space="0" w:color="B3C960" w:themeColor="accent2"/>
          <w:bottom w:val="single" w:sz="8" w:space="0" w:color="B3C960" w:themeColor="accent2"/>
          <w:right w:val="single" w:sz="8" w:space="0" w:color="B3C960" w:themeColor="accent2"/>
          <w:insideH w:val="nil"/>
          <w:insideV w:val="single" w:sz="8" w:space="0" w:color="B3C960"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B3C960" w:themeColor="accent2"/>
          <w:left w:val="single" w:sz="8" w:space="0" w:color="B3C960" w:themeColor="accent2"/>
          <w:bottom w:val="single" w:sz="8" w:space="0" w:color="B3C960" w:themeColor="accent2"/>
          <w:right w:val="single" w:sz="8" w:space="0" w:color="B3C960" w:themeColor="accent2"/>
        </w:tcBorders>
      </w:tcPr>
    </w:tblStylePr>
    <w:tblStylePr w:type="band1Vert">
      <w:tblPr/>
      <w:tcPr>
        <w:tcBorders>
          <w:top w:val="single" w:sz="8" w:space="0" w:color="B3C960" w:themeColor="accent2"/>
          <w:left w:val="single" w:sz="8" w:space="0" w:color="B3C960" w:themeColor="accent2"/>
          <w:bottom w:val="single" w:sz="8" w:space="0" w:color="B3C960" w:themeColor="accent2"/>
          <w:right w:val="single" w:sz="8" w:space="0" w:color="B3C960" w:themeColor="accent2"/>
        </w:tcBorders>
        <w:shd w:val="clear" w:color="auto" w:fill="ECF1D7" w:themeFill="accent2" w:themeFillTint="3F"/>
      </w:tcPr>
    </w:tblStylePr>
    <w:tblStylePr w:type="band1Horz">
      <w:tblPr/>
      <w:tcPr>
        <w:tcBorders>
          <w:top w:val="single" w:sz="8" w:space="0" w:color="B3C960" w:themeColor="accent2"/>
          <w:left w:val="single" w:sz="8" w:space="0" w:color="B3C960" w:themeColor="accent2"/>
          <w:bottom w:val="single" w:sz="8" w:space="0" w:color="B3C960" w:themeColor="accent2"/>
          <w:right w:val="single" w:sz="8" w:space="0" w:color="B3C960" w:themeColor="accent2"/>
          <w:insideV w:val="single" w:sz="8" w:space="0" w:color="B3C960" w:themeColor="accent2"/>
        </w:tcBorders>
        <w:shd w:val="clear" w:color="auto" w:fill="ECF1D7" w:themeFill="accent2" w:themeFillTint="3F"/>
      </w:tcPr>
    </w:tblStylePr>
    <w:tblStylePr w:type="band2Horz">
      <w:tblPr/>
      <w:tcPr>
        <w:tcBorders>
          <w:top w:val="single" w:sz="8" w:space="0" w:color="B3C960" w:themeColor="accent2"/>
          <w:left w:val="single" w:sz="8" w:space="0" w:color="B3C960" w:themeColor="accent2"/>
          <w:bottom w:val="single" w:sz="8" w:space="0" w:color="B3C960" w:themeColor="accent2"/>
          <w:right w:val="single" w:sz="8" w:space="0" w:color="B3C960" w:themeColor="accent2"/>
          <w:insideV w:val="single" w:sz="8" w:space="0" w:color="B3C960" w:themeColor="accent2"/>
        </w:tcBorders>
      </w:tcPr>
    </w:tblStylePr>
  </w:style>
  <w:style w:type="character" w:styleId="BookTitle">
    <w:name w:val="Book Title"/>
    <w:basedOn w:val="DefaultParagraphFont"/>
    <w:uiPriority w:val="33"/>
    <w:qFormat/>
    <w:rsid w:val="008B3975"/>
    <w:rPr>
      <w:b/>
      <w:bCs/>
      <w:smallCaps/>
      <w:spacing w:val="5"/>
    </w:rPr>
  </w:style>
  <w:style w:type="paragraph" w:customStyle="1" w:styleId="Default">
    <w:name w:val="Default"/>
    <w:rsid w:val="008B3975"/>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657A92"/>
  </w:style>
  <w:style w:type="character" w:styleId="Emphasis">
    <w:name w:val="Emphasis"/>
    <w:basedOn w:val="DefaultParagraphFont"/>
    <w:uiPriority w:val="20"/>
    <w:qFormat/>
    <w:rsid w:val="00B5554A"/>
    <w:rPr>
      <w:b/>
      <w:bCs/>
      <w:i w:val="0"/>
      <w:iCs w:val="0"/>
    </w:rPr>
  </w:style>
  <w:style w:type="table" w:styleId="LightList-Accent3">
    <w:name w:val="Light List Accent 3"/>
    <w:basedOn w:val="TableNormal"/>
    <w:uiPriority w:val="61"/>
    <w:rsid w:val="000B426C"/>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52C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1B05E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89527F"/>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89527F"/>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9527F"/>
    <w:pPr>
      <w:framePr w:hSpace="180" w:wrap="around" w:vAnchor="page" w:hAnchor="text" w:y="3316"/>
      <w:numPr>
        <w:ilvl w:val="1"/>
      </w:numPr>
      <w:spacing w:after="360"/>
      <w:ind w:left="170"/>
    </w:pPr>
    <w:rPr>
      <w:rFonts w:asciiTheme="majorHAnsi" w:eastAsia="Times New Roman" w:hAnsiTheme="majorHAnsi" w:cstheme="majorHAnsi"/>
      <w:bCs/>
      <w:iCs/>
      <w:color w:val="FFFFFF" w:themeColor="background1"/>
      <w:sz w:val="40"/>
    </w:rPr>
  </w:style>
  <w:style w:type="character" w:customStyle="1" w:styleId="SubtitleChar">
    <w:name w:val="Subtitle Char"/>
    <w:basedOn w:val="DefaultParagraphFont"/>
    <w:link w:val="Subtitle"/>
    <w:uiPriority w:val="11"/>
    <w:rsid w:val="0089527F"/>
    <w:rPr>
      <w:rFonts w:asciiTheme="majorHAnsi" w:eastAsia="Times New Roman" w:hAnsiTheme="majorHAnsi" w:cstheme="majorHAnsi"/>
      <w:bCs/>
      <w:iCs/>
      <w:color w:val="FFFFFF" w:themeColor="background1"/>
      <w:sz w:val="40"/>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89527F"/>
    <w:pPr>
      <w:framePr w:hSpace="180" w:wrap="around" w:vAnchor="page" w:hAnchor="text" w:y="3316"/>
      <w:spacing w:after="480" w:line="240" w:lineRule="auto"/>
      <w:contextualSpacing/>
    </w:pPr>
    <w:rPr>
      <w:rFonts w:asciiTheme="majorHAnsi" w:eastAsia="Times New Roman" w:hAnsiTheme="majorHAnsi" w:cstheme="majorHAnsi"/>
      <w:color w:val="FFFFFF" w:themeColor="background1"/>
      <w:spacing w:val="5"/>
      <w:kern w:val="28"/>
      <w:sz w:val="52"/>
      <w:szCs w:val="52"/>
    </w:rPr>
  </w:style>
  <w:style w:type="character" w:customStyle="1" w:styleId="TitleChar">
    <w:name w:val="Title Char"/>
    <w:basedOn w:val="DefaultParagraphFont"/>
    <w:link w:val="Title"/>
    <w:uiPriority w:val="10"/>
    <w:rsid w:val="0089527F"/>
    <w:rPr>
      <w:rFonts w:asciiTheme="majorHAnsi" w:eastAsia="Times New Roman" w:hAnsiTheme="majorHAnsi" w:cstheme="majorHAnsi"/>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rsid w:val="00907946"/>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907946"/>
    <w:rPr>
      <w:rFonts w:ascii="Cambria" w:eastAsia="Times New Roman" w:hAnsi="Cambria" w:cs="Times New Roman"/>
      <w:kern w:val="16"/>
      <w:szCs w:val="24"/>
    </w:rPr>
  </w:style>
  <w:style w:type="paragraph" w:customStyle="1" w:styleId="Bullet1">
    <w:name w:val="Bullet 1"/>
    <w:basedOn w:val="Normal"/>
    <w:rsid w:val="001B05E0"/>
    <w:pPr>
      <w:numPr>
        <w:numId w:val="5"/>
      </w:numPr>
      <w:tabs>
        <w:tab w:val="left" w:pos="284"/>
      </w:tabs>
      <w:spacing w:after="0" w:line="240" w:lineRule="auto"/>
    </w:pPr>
    <w:rPr>
      <w:rFonts w:eastAsia="Times New Roman"/>
      <w:kern w:val="24"/>
      <w:szCs w:val="24"/>
      <w:lang w:eastAsia="en-AU"/>
    </w:rPr>
  </w:style>
  <w:style w:type="paragraph" w:customStyle="1" w:styleId="Bullet2">
    <w:name w:val="Bullet 2"/>
    <w:basedOn w:val="Bullet1"/>
    <w:rsid w:val="001B05E0"/>
    <w:pPr>
      <w:numPr>
        <w:numId w:val="6"/>
      </w:numPr>
    </w:pPr>
  </w:style>
  <w:style w:type="character" w:customStyle="1" w:styleId="Heading8Char">
    <w:name w:val="Heading 8 Char"/>
    <w:basedOn w:val="DefaultParagraphFont"/>
    <w:link w:val="Heading8"/>
    <w:uiPriority w:val="9"/>
    <w:semiHidden/>
    <w:rsid w:val="001B05E0"/>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1B05E0"/>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1B05E0"/>
  </w:style>
  <w:style w:type="table" w:customStyle="1" w:styleId="TableTGAblue1">
    <w:name w:val="Table TGA blue1"/>
    <w:basedOn w:val="TableNormal"/>
    <w:uiPriority w:val="99"/>
    <w:qFormat/>
    <w:rsid w:val="001B05E0"/>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styleId="LightGrid-Accent2">
    <w:name w:val="Light Grid Accent 2"/>
    <w:basedOn w:val="TableNormal"/>
    <w:uiPriority w:val="62"/>
    <w:rsid w:val="008B3975"/>
    <w:pPr>
      <w:spacing w:after="0" w:line="240" w:lineRule="auto"/>
    </w:pPr>
    <w:tblPr>
      <w:tblStyleRowBandSize w:val="1"/>
      <w:tblStyleColBandSize w:val="1"/>
      <w:tblInd w:w="0" w:type="nil"/>
      <w:tblBorders>
        <w:top w:val="single" w:sz="8" w:space="0" w:color="B3C960" w:themeColor="accent2"/>
        <w:left w:val="single" w:sz="8" w:space="0" w:color="B3C960" w:themeColor="accent2"/>
        <w:bottom w:val="single" w:sz="8" w:space="0" w:color="B3C960" w:themeColor="accent2"/>
        <w:right w:val="single" w:sz="8" w:space="0" w:color="B3C960" w:themeColor="accent2"/>
        <w:insideH w:val="single" w:sz="8" w:space="0" w:color="B3C960" w:themeColor="accent2"/>
        <w:insideV w:val="single" w:sz="8" w:space="0" w:color="B3C960"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B3C960" w:themeColor="accent2"/>
          <w:left w:val="single" w:sz="8" w:space="0" w:color="B3C960" w:themeColor="accent2"/>
          <w:bottom w:val="single" w:sz="18" w:space="0" w:color="B3C960" w:themeColor="accent2"/>
          <w:right w:val="single" w:sz="8" w:space="0" w:color="B3C960" w:themeColor="accent2"/>
          <w:insideH w:val="nil"/>
          <w:insideV w:val="single" w:sz="8" w:space="0" w:color="B3C960"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B3C960" w:themeColor="accent2"/>
          <w:left w:val="single" w:sz="8" w:space="0" w:color="B3C960" w:themeColor="accent2"/>
          <w:bottom w:val="single" w:sz="8" w:space="0" w:color="B3C960" w:themeColor="accent2"/>
          <w:right w:val="single" w:sz="8" w:space="0" w:color="B3C960" w:themeColor="accent2"/>
          <w:insideH w:val="nil"/>
          <w:insideV w:val="single" w:sz="8" w:space="0" w:color="B3C960"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B3C960" w:themeColor="accent2"/>
          <w:left w:val="single" w:sz="8" w:space="0" w:color="B3C960" w:themeColor="accent2"/>
          <w:bottom w:val="single" w:sz="8" w:space="0" w:color="B3C960" w:themeColor="accent2"/>
          <w:right w:val="single" w:sz="8" w:space="0" w:color="B3C960" w:themeColor="accent2"/>
        </w:tcBorders>
      </w:tcPr>
    </w:tblStylePr>
    <w:tblStylePr w:type="band1Vert">
      <w:tblPr/>
      <w:tcPr>
        <w:tcBorders>
          <w:top w:val="single" w:sz="8" w:space="0" w:color="B3C960" w:themeColor="accent2"/>
          <w:left w:val="single" w:sz="8" w:space="0" w:color="B3C960" w:themeColor="accent2"/>
          <w:bottom w:val="single" w:sz="8" w:space="0" w:color="B3C960" w:themeColor="accent2"/>
          <w:right w:val="single" w:sz="8" w:space="0" w:color="B3C960" w:themeColor="accent2"/>
        </w:tcBorders>
        <w:shd w:val="clear" w:color="auto" w:fill="ECF1D7" w:themeFill="accent2" w:themeFillTint="3F"/>
      </w:tcPr>
    </w:tblStylePr>
    <w:tblStylePr w:type="band1Horz">
      <w:tblPr/>
      <w:tcPr>
        <w:tcBorders>
          <w:top w:val="single" w:sz="8" w:space="0" w:color="B3C960" w:themeColor="accent2"/>
          <w:left w:val="single" w:sz="8" w:space="0" w:color="B3C960" w:themeColor="accent2"/>
          <w:bottom w:val="single" w:sz="8" w:space="0" w:color="B3C960" w:themeColor="accent2"/>
          <w:right w:val="single" w:sz="8" w:space="0" w:color="B3C960" w:themeColor="accent2"/>
          <w:insideV w:val="single" w:sz="8" w:space="0" w:color="B3C960" w:themeColor="accent2"/>
        </w:tcBorders>
        <w:shd w:val="clear" w:color="auto" w:fill="ECF1D7" w:themeFill="accent2" w:themeFillTint="3F"/>
      </w:tcPr>
    </w:tblStylePr>
    <w:tblStylePr w:type="band2Horz">
      <w:tblPr/>
      <w:tcPr>
        <w:tcBorders>
          <w:top w:val="single" w:sz="8" w:space="0" w:color="B3C960" w:themeColor="accent2"/>
          <w:left w:val="single" w:sz="8" w:space="0" w:color="B3C960" w:themeColor="accent2"/>
          <w:bottom w:val="single" w:sz="8" w:space="0" w:color="B3C960" w:themeColor="accent2"/>
          <w:right w:val="single" w:sz="8" w:space="0" w:color="B3C960" w:themeColor="accent2"/>
          <w:insideV w:val="single" w:sz="8" w:space="0" w:color="B3C960" w:themeColor="accent2"/>
        </w:tcBorders>
      </w:tcPr>
    </w:tblStylePr>
  </w:style>
  <w:style w:type="character" w:styleId="BookTitle">
    <w:name w:val="Book Title"/>
    <w:basedOn w:val="DefaultParagraphFont"/>
    <w:uiPriority w:val="33"/>
    <w:qFormat/>
    <w:rsid w:val="008B3975"/>
    <w:rPr>
      <w:b/>
      <w:bCs/>
      <w:smallCaps/>
      <w:spacing w:val="5"/>
    </w:rPr>
  </w:style>
  <w:style w:type="paragraph" w:customStyle="1" w:styleId="Default">
    <w:name w:val="Default"/>
    <w:rsid w:val="008B3975"/>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657A92"/>
  </w:style>
  <w:style w:type="character" w:styleId="Emphasis">
    <w:name w:val="Emphasis"/>
    <w:basedOn w:val="DefaultParagraphFont"/>
    <w:uiPriority w:val="20"/>
    <w:qFormat/>
    <w:rsid w:val="00B5554A"/>
    <w:rPr>
      <w:b/>
      <w:bCs/>
      <w:i w:val="0"/>
      <w:iCs w:val="0"/>
    </w:rPr>
  </w:style>
  <w:style w:type="table" w:styleId="LightList-Accent3">
    <w:name w:val="Light List Accent 3"/>
    <w:basedOn w:val="TableNormal"/>
    <w:uiPriority w:val="61"/>
    <w:rsid w:val="000B426C"/>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9461">
      <w:bodyDiv w:val="1"/>
      <w:marLeft w:val="0"/>
      <w:marRight w:val="0"/>
      <w:marTop w:val="0"/>
      <w:marBottom w:val="0"/>
      <w:divBdr>
        <w:top w:val="none" w:sz="0" w:space="0" w:color="auto"/>
        <w:left w:val="none" w:sz="0" w:space="0" w:color="auto"/>
        <w:bottom w:val="none" w:sz="0" w:space="0" w:color="auto"/>
        <w:right w:val="none" w:sz="0" w:space="0" w:color="auto"/>
      </w:divBdr>
    </w:div>
    <w:div w:id="133565573">
      <w:bodyDiv w:val="1"/>
      <w:marLeft w:val="0"/>
      <w:marRight w:val="0"/>
      <w:marTop w:val="0"/>
      <w:marBottom w:val="0"/>
      <w:divBdr>
        <w:top w:val="none" w:sz="0" w:space="0" w:color="auto"/>
        <w:left w:val="none" w:sz="0" w:space="0" w:color="auto"/>
        <w:bottom w:val="none" w:sz="0" w:space="0" w:color="auto"/>
        <w:right w:val="none" w:sz="0" w:space="0" w:color="auto"/>
      </w:divBdr>
    </w:div>
    <w:div w:id="161436879">
      <w:bodyDiv w:val="1"/>
      <w:marLeft w:val="0"/>
      <w:marRight w:val="0"/>
      <w:marTop w:val="0"/>
      <w:marBottom w:val="0"/>
      <w:divBdr>
        <w:top w:val="none" w:sz="0" w:space="0" w:color="auto"/>
        <w:left w:val="none" w:sz="0" w:space="0" w:color="auto"/>
        <w:bottom w:val="none" w:sz="0" w:space="0" w:color="auto"/>
        <w:right w:val="none" w:sz="0" w:space="0" w:color="auto"/>
      </w:divBdr>
    </w:div>
    <w:div w:id="166746905">
      <w:bodyDiv w:val="1"/>
      <w:marLeft w:val="0"/>
      <w:marRight w:val="0"/>
      <w:marTop w:val="0"/>
      <w:marBottom w:val="0"/>
      <w:divBdr>
        <w:top w:val="none" w:sz="0" w:space="0" w:color="auto"/>
        <w:left w:val="none" w:sz="0" w:space="0" w:color="auto"/>
        <w:bottom w:val="none" w:sz="0" w:space="0" w:color="auto"/>
        <w:right w:val="none" w:sz="0" w:space="0" w:color="auto"/>
      </w:divBdr>
    </w:div>
    <w:div w:id="210576153">
      <w:bodyDiv w:val="1"/>
      <w:marLeft w:val="0"/>
      <w:marRight w:val="0"/>
      <w:marTop w:val="0"/>
      <w:marBottom w:val="0"/>
      <w:divBdr>
        <w:top w:val="none" w:sz="0" w:space="0" w:color="auto"/>
        <w:left w:val="none" w:sz="0" w:space="0" w:color="auto"/>
        <w:bottom w:val="none" w:sz="0" w:space="0" w:color="auto"/>
        <w:right w:val="none" w:sz="0" w:space="0" w:color="auto"/>
      </w:divBdr>
    </w:div>
    <w:div w:id="236526063">
      <w:bodyDiv w:val="1"/>
      <w:marLeft w:val="0"/>
      <w:marRight w:val="0"/>
      <w:marTop w:val="0"/>
      <w:marBottom w:val="0"/>
      <w:divBdr>
        <w:top w:val="none" w:sz="0" w:space="0" w:color="auto"/>
        <w:left w:val="none" w:sz="0" w:space="0" w:color="auto"/>
        <w:bottom w:val="none" w:sz="0" w:space="0" w:color="auto"/>
        <w:right w:val="none" w:sz="0" w:space="0" w:color="auto"/>
      </w:divBdr>
    </w:div>
    <w:div w:id="315574913">
      <w:bodyDiv w:val="1"/>
      <w:marLeft w:val="0"/>
      <w:marRight w:val="0"/>
      <w:marTop w:val="0"/>
      <w:marBottom w:val="0"/>
      <w:divBdr>
        <w:top w:val="none" w:sz="0" w:space="0" w:color="auto"/>
        <w:left w:val="none" w:sz="0" w:space="0" w:color="auto"/>
        <w:bottom w:val="none" w:sz="0" w:space="0" w:color="auto"/>
        <w:right w:val="none" w:sz="0" w:space="0" w:color="auto"/>
      </w:divBdr>
    </w:div>
    <w:div w:id="333454606">
      <w:bodyDiv w:val="1"/>
      <w:marLeft w:val="0"/>
      <w:marRight w:val="0"/>
      <w:marTop w:val="0"/>
      <w:marBottom w:val="0"/>
      <w:divBdr>
        <w:top w:val="none" w:sz="0" w:space="0" w:color="auto"/>
        <w:left w:val="none" w:sz="0" w:space="0" w:color="auto"/>
        <w:bottom w:val="none" w:sz="0" w:space="0" w:color="auto"/>
        <w:right w:val="none" w:sz="0" w:space="0" w:color="auto"/>
      </w:divBdr>
    </w:div>
    <w:div w:id="529882358">
      <w:bodyDiv w:val="1"/>
      <w:marLeft w:val="0"/>
      <w:marRight w:val="0"/>
      <w:marTop w:val="0"/>
      <w:marBottom w:val="0"/>
      <w:divBdr>
        <w:top w:val="none" w:sz="0" w:space="0" w:color="auto"/>
        <w:left w:val="none" w:sz="0" w:space="0" w:color="auto"/>
        <w:bottom w:val="none" w:sz="0" w:space="0" w:color="auto"/>
        <w:right w:val="none" w:sz="0" w:space="0" w:color="auto"/>
      </w:divBdr>
    </w:div>
    <w:div w:id="529954145">
      <w:bodyDiv w:val="1"/>
      <w:marLeft w:val="0"/>
      <w:marRight w:val="0"/>
      <w:marTop w:val="0"/>
      <w:marBottom w:val="0"/>
      <w:divBdr>
        <w:top w:val="none" w:sz="0" w:space="0" w:color="auto"/>
        <w:left w:val="none" w:sz="0" w:space="0" w:color="auto"/>
        <w:bottom w:val="none" w:sz="0" w:space="0" w:color="auto"/>
        <w:right w:val="none" w:sz="0" w:space="0" w:color="auto"/>
      </w:divBdr>
    </w:div>
    <w:div w:id="539901170">
      <w:bodyDiv w:val="1"/>
      <w:marLeft w:val="0"/>
      <w:marRight w:val="0"/>
      <w:marTop w:val="0"/>
      <w:marBottom w:val="0"/>
      <w:divBdr>
        <w:top w:val="none" w:sz="0" w:space="0" w:color="auto"/>
        <w:left w:val="none" w:sz="0" w:space="0" w:color="auto"/>
        <w:bottom w:val="none" w:sz="0" w:space="0" w:color="auto"/>
        <w:right w:val="none" w:sz="0" w:space="0" w:color="auto"/>
      </w:divBdr>
    </w:div>
    <w:div w:id="753434213">
      <w:bodyDiv w:val="1"/>
      <w:marLeft w:val="0"/>
      <w:marRight w:val="0"/>
      <w:marTop w:val="0"/>
      <w:marBottom w:val="0"/>
      <w:divBdr>
        <w:top w:val="none" w:sz="0" w:space="0" w:color="auto"/>
        <w:left w:val="none" w:sz="0" w:space="0" w:color="auto"/>
        <w:bottom w:val="none" w:sz="0" w:space="0" w:color="auto"/>
        <w:right w:val="none" w:sz="0" w:space="0" w:color="auto"/>
      </w:divBdr>
    </w:div>
    <w:div w:id="854150386">
      <w:bodyDiv w:val="1"/>
      <w:marLeft w:val="0"/>
      <w:marRight w:val="0"/>
      <w:marTop w:val="0"/>
      <w:marBottom w:val="0"/>
      <w:divBdr>
        <w:top w:val="none" w:sz="0" w:space="0" w:color="auto"/>
        <w:left w:val="none" w:sz="0" w:space="0" w:color="auto"/>
        <w:bottom w:val="none" w:sz="0" w:space="0" w:color="auto"/>
        <w:right w:val="none" w:sz="0" w:space="0" w:color="auto"/>
      </w:divBdr>
    </w:div>
    <w:div w:id="911741082">
      <w:bodyDiv w:val="1"/>
      <w:marLeft w:val="0"/>
      <w:marRight w:val="0"/>
      <w:marTop w:val="0"/>
      <w:marBottom w:val="0"/>
      <w:divBdr>
        <w:top w:val="none" w:sz="0" w:space="0" w:color="auto"/>
        <w:left w:val="none" w:sz="0" w:space="0" w:color="auto"/>
        <w:bottom w:val="none" w:sz="0" w:space="0" w:color="auto"/>
        <w:right w:val="none" w:sz="0" w:space="0" w:color="auto"/>
      </w:divBdr>
    </w:div>
    <w:div w:id="938872526">
      <w:bodyDiv w:val="1"/>
      <w:marLeft w:val="0"/>
      <w:marRight w:val="0"/>
      <w:marTop w:val="0"/>
      <w:marBottom w:val="0"/>
      <w:divBdr>
        <w:top w:val="none" w:sz="0" w:space="0" w:color="auto"/>
        <w:left w:val="none" w:sz="0" w:space="0" w:color="auto"/>
        <w:bottom w:val="none" w:sz="0" w:space="0" w:color="auto"/>
        <w:right w:val="none" w:sz="0" w:space="0" w:color="auto"/>
      </w:divBdr>
    </w:div>
    <w:div w:id="970131713">
      <w:bodyDiv w:val="1"/>
      <w:marLeft w:val="0"/>
      <w:marRight w:val="0"/>
      <w:marTop w:val="0"/>
      <w:marBottom w:val="0"/>
      <w:divBdr>
        <w:top w:val="none" w:sz="0" w:space="0" w:color="auto"/>
        <w:left w:val="none" w:sz="0" w:space="0" w:color="auto"/>
        <w:bottom w:val="none" w:sz="0" w:space="0" w:color="auto"/>
        <w:right w:val="none" w:sz="0" w:space="0" w:color="auto"/>
      </w:divBdr>
    </w:div>
    <w:div w:id="1053313813">
      <w:bodyDiv w:val="1"/>
      <w:marLeft w:val="0"/>
      <w:marRight w:val="0"/>
      <w:marTop w:val="0"/>
      <w:marBottom w:val="0"/>
      <w:divBdr>
        <w:top w:val="none" w:sz="0" w:space="0" w:color="auto"/>
        <w:left w:val="none" w:sz="0" w:space="0" w:color="auto"/>
        <w:bottom w:val="none" w:sz="0" w:space="0" w:color="auto"/>
        <w:right w:val="none" w:sz="0" w:space="0" w:color="auto"/>
      </w:divBdr>
    </w:div>
    <w:div w:id="1061096614">
      <w:bodyDiv w:val="1"/>
      <w:marLeft w:val="0"/>
      <w:marRight w:val="0"/>
      <w:marTop w:val="0"/>
      <w:marBottom w:val="0"/>
      <w:divBdr>
        <w:top w:val="none" w:sz="0" w:space="0" w:color="auto"/>
        <w:left w:val="none" w:sz="0" w:space="0" w:color="auto"/>
        <w:bottom w:val="none" w:sz="0" w:space="0" w:color="auto"/>
        <w:right w:val="none" w:sz="0" w:space="0" w:color="auto"/>
      </w:divBdr>
    </w:div>
    <w:div w:id="1069421516">
      <w:bodyDiv w:val="1"/>
      <w:marLeft w:val="0"/>
      <w:marRight w:val="0"/>
      <w:marTop w:val="0"/>
      <w:marBottom w:val="0"/>
      <w:divBdr>
        <w:top w:val="none" w:sz="0" w:space="0" w:color="auto"/>
        <w:left w:val="none" w:sz="0" w:space="0" w:color="auto"/>
        <w:bottom w:val="none" w:sz="0" w:space="0" w:color="auto"/>
        <w:right w:val="none" w:sz="0" w:space="0" w:color="auto"/>
      </w:divBdr>
    </w:div>
    <w:div w:id="1070346561">
      <w:bodyDiv w:val="1"/>
      <w:marLeft w:val="0"/>
      <w:marRight w:val="0"/>
      <w:marTop w:val="0"/>
      <w:marBottom w:val="0"/>
      <w:divBdr>
        <w:top w:val="none" w:sz="0" w:space="0" w:color="auto"/>
        <w:left w:val="none" w:sz="0" w:space="0" w:color="auto"/>
        <w:bottom w:val="none" w:sz="0" w:space="0" w:color="auto"/>
        <w:right w:val="none" w:sz="0" w:space="0" w:color="auto"/>
      </w:divBdr>
    </w:div>
    <w:div w:id="1089036088">
      <w:bodyDiv w:val="1"/>
      <w:marLeft w:val="0"/>
      <w:marRight w:val="0"/>
      <w:marTop w:val="0"/>
      <w:marBottom w:val="0"/>
      <w:divBdr>
        <w:top w:val="none" w:sz="0" w:space="0" w:color="auto"/>
        <w:left w:val="none" w:sz="0" w:space="0" w:color="auto"/>
        <w:bottom w:val="none" w:sz="0" w:space="0" w:color="auto"/>
        <w:right w:val="none" w:sz="0" w:space="0" w:color="auto"/>
      </w:divBdr>
    </w:div>
    <w:div w:id="1202281562">
      <w:bodyDiv w:val="1"/>
      <w:marLeft w:val="0"/>
      <w:marRight w:val="0"/>
      <w:marTop w:val="0"/>
      <w:marBottom w:val="0"/>
      <w:divBdr>
        <w:top w:val="none" w:sz="0" w:space="0" w:color="auto"/>
        <w:left w:val="none" w:sz="0" w:space="0" w:color="auto"/>
        <w:bottom w:val="none" w:sz="0" w:space="0" w:color="auto"/>
        <w:right w:val="none" w:sz="0" w:space="0" w:color="auto"/>
      </w:divBdr>
    </w:div>
    <w:div w:id="1241675853">
      <w:bodyDiv w:val="1"/>
      <w:marLeft w:val="0"/>
      <w:marRight w:val="0"/>
      <w:marTop w:val="0"/>
      <w:marBottom w:val="0"/>
      <w:divBdr>
        <w:top w:val="none" w:sz="0" w:space="0" w:color="auto"/>
        <w:left w:val="none" w:sz="0" w:space="0" w:color="auto"/>
        <w:bottom w:val="none" w:sz="0" w:space="0" w:color="auto"/>
        <w:right w:val="none" w:sz="0" w:space="0" w:color="auto"/>
      </w:divBdr>
    </w:div>
    <w:div w:id="1335500678">
      <w:bodyDiv w:val="1"/>
      <w:marLeft w:val="0"/>
      <w:marRight w:val="0"/>
      <w:marTop w:val="0"/>
      <w:marBottom w:val="0"/>
      <w:divBdr>
        <w:top w:val="none" w:sz="0" w:space="0" w:color="auto"/>
        <w:left w:val="none" w:sz="0" w:space="0" w:color="auto"/>
        <w:bottom w:val="none" w:sz="0" w:space="0" w:color="auto"/>
        <w:right w:val="none" w:sz="0" w:space="0" w:color="auto"/>
      </w:divBdr>
    </w:div>
    <w:div w:id="1402479289">
      <w:bodyDiv w:val="1"/>
      <w:marLeft w:val="0"/>
      <w:marRight w:val="0"/>
      <w:marTop w:val="0"/>
      <w:marBottom w:val="0"/>
      <w:divBdr>
        <w:top w:val="none" w:sz="0" w:space="0" w:color="auto"/>
        <w:left w:val="none" w:sz="0" w:space="0" w:color="auto"/>
        <w:bottom w:val="none" w:sz="0" w:space="0" w:color="auto"/>
        <w:right w:val="none" w:sz="0" w:space="0" w:color="auto"/>
      </w:divBdr>
    </w:div>
    <w:div w:id="1421831790">
      <w:bodyDiv w:val="1"/>
      <w:marLeft w:val="0"/>
      <w:marRight w:val="0"/>
      <w:marTop w:val="0"/>
      <w:marBottom w:val="0"/>
      <w:divBdr>
        <w:top w:val="none" w:sz="0" w:space="0" w:color="auto"/>
        <w:left w:val="none" w:sz="0" w:space="0" w:color="auto"/>
        <w:bottom w:val="none" w:sz="0" w:space="0" w:color="auto"/>
        <w:right w:val="none" w:sz="0" w:space="0" w:color="auto"/>
      </w:divBdr>
    </w:div>
    <w:div w:id="1488326266">
      <w:bodyDiv w:val="1"/>
      <w:marLeft w:val="0"/>
      <w:marRight w:val="0"/>
      <w:marTop w:val="0"/>
      <w:marBottom w:val="0"/>
      <w:divBdr>
        <w:top w:val="none" w:sz="0" w:space="0" w:color="auto"/>
        <w:left w:val="none" w:sz="0" w:space="0" w:color="auto"/>
        <w:bottom w:val="none" w:sz="0" w:space="0" w:color="auto"/>
        <w:right w:val="none" w:sz="0" w:space="0" w:color="auto"/>
      </w:divBdr>
    </w:div>
    <w:div w:id="1535119035">
      <w:bodyDiv w:val="1"/>
      <w:marLeft w:val="0"/>
      <w:marRight w:val="0"/>
      <w:marTop w:val="0"/>
      <w:marBottom w:val="0"/>
      <w:divBdr>
        <w:top w:val="none" w:sz="0" w:space="0" w:color="auto"/>
        <w:left w:val="none" w:sz="0" w:space="0" w:color="auto"/>
        <w:bottom w:val="none" w:sz="0" w:space="0" w:color="auto"/>
        <w:right w:val="none" w:sz="0" w:space="0" w:color="auto"/>
      </w:divBdr>
    </w:div>
    <w:div w:id="1536772396">
      <w:bodyDiv w:val="1"/>
      <w:marLeft w:val="0"/>
      <w:marRight w:val="0"/>
      <w:marTop w:val="0"/>
      <w:marBottom w:val="0"/>
      <w:divBdr>
        <w:top w:val="none" w:sz="0" w:space="0" w:color="auto"/>
        <w:left w:val="none" w:sz="0" w:space="0" w:color="auto"/>
        <w:bottom w:val="none" w:sz="0" w:space="0" w:color="auto"/>
        <w:right w:val="none" w:sz="0" w:space="0" w:color="auto"/>
      </w:divBdr>
    </w:div>
    <w:div w:id="1554845643">
      <w:bodyDiv w:val="1"/>
      <w:marLeft w:val="0"/>
      <w:marRight w:val="0"/>
      <w:marTop w:val="0"/>
      <w:marBottom w:val="0"/>
      <w:divBdr>
        <w:top w:val="none" w:sz="0" w:space="0" w:color="auto"/>
        <w:left w:val="none" w:sz="0" w:space="0" w:color="auto"/>
        <w:bottom w:val="none" w:sz="0" w:space="0" w:color="auto"/>
        <w:right w:val="none" w:sz="0" w:space="0" w:color="auto"/>
      </w:divBdr>
    </w:div>
    <w:div w:id="1580365113">
      <w:bodyDiv w:val="1"/>
      <w:marLeft w:val="0"/>
      <w:marRight w:val="0"/>
      <w:marTop w:val="0"/>
      <w:marBottom w:val="0"/>
      <w:divBdr>
        <w:top w:val="none" w:sz="0" w:space="0" w:color="auto"/>
        <w:left w:val="none" w:sz="0" w:space="0" w:color="auto"/>
        <w:bottom w:val="none" w:sz="0" w:space="0" w:color="auto"/>
        <w:right w:val="none" w:sz="0" w:space="0" w:color="auto"/>
      </w:divBdr>
    </w:div>
    <w:div w:id="1609697600">
      <w:bodyDiv w:val="1"/>
      <w:marLeft w:val="0"/>
      <w:marRight w:val="0"/>
      <w:marTop w:val="0"/>
      <w:marBottom w:val="0"/>
      <w:divBdr>
        <w:top w:val="none" w:sz="0" w:space="0" w:color="auto"/>
        <w:left w:val="none" w:sz="0" w:space="0" w:color="auto"/>
        <w:bottom w:val="none" w:sz="0" w:space="0" w:color="auto"/>
        <w:right w:val="none" w:sz="0" w:space="0" w:color="auto"/>
      </w:divBdr>
    </w:div>
    <w:div w:id="1623489463">
      <w:bodyDiv w:val="1"/>
      <w:marLeft w:val="0"/>
      <w:marRight w:val="0"/>
      <w:marTop w:val="0"/>
      <w:marBottom w:val="0"/>
      <w:divBdr>
        <w:top w:val="none" w:sz="0" w:space="0" w:color="auto"/>
        <w:left w:val="none" w:sz="0" w:space="0" w:color="auto"/>
        <w:bottom w:val="none" w:sz="0" w:space="0" w:color="auto"/>
        <w:right w:val="none" w:sz="0" w:space="0" w:color="auto"/>
      </w:divBdr>
    </w:div>
    <w:div w:id="1642924458">
      <w:bodyDiv w:val="1"/>
      <w:marLeft w:val="0"/>
      <w:marRight w:val="0"/>
      <w:marTop w:val="0"/>
      <w:marBottom w:val="0"/>
      <w:divBdr>
        <w:top w:val="none" w:sz="0" w:space="0" w:color="auto"/>
        <w:left w:val="none" w:sz="0" w:space="0" w:color="auto"/>
        <w:bottom w:val="none" w:sz="0" w:space="0" w:color="auto"/>
        <w:right w:val="none" w:sz="0" w:space="0" w:color="auto"/>
      </w:divBdr>
    </w:div>
    <w:div w:id="1791320375">
      <w:bodyDiv w:val="1"/>
      <w:marLeft w:val="0"/>
      <w:marRight w:val="0"/>
      <w:marTop w:val="0"/>
      <w:marBottom w:val="0"/>
      <w:divBdr>
        <w:top w:val="none" w:sz="0" w:space="0" w:color="auto"/>
        <w:left w:val="none" w:sz="0" w:space="0" w:color="auto"/>
        <w:bottom w:val="none" w:sz="0" w:space="0" w:color="auto"/>
        <w:right w:val="none" w:sz="0" w:space="0" w:color="auto"/>
      </w:divBdr>
    </w:div>
    <w:div w:id="1819304531">
      <w:bodyDiv w:val="1"/>
      <w:marLeft w:val="0"/>
      <w:marRight w:val="0"/>
      <w:marTop w:val="0"/>
      <w:marBottom w:val="0"/>
      <w:divBdr>
        <w:top w:val="none" w:sz="0" w:space="0" w:color="auto"/>
        <w:left w:val="none" w:sz="0" w:space="0" w:color="auto"/>
        <w:bottom w:val="none" w:sz="0" w:space="0" w:color="auto"/>
        <w:right w:val="none" w:sz="0" w:space="0" w:color="auto"/>
      </w:divBdr>
    </w:div>
    <w:div w:id="1952010647">
      <w:bodyDiv w:val="1"/>
      <w:marLeft w:val="0"/>
      <w:marRight w:val="0"/>
      <w:marTop w:val="0"/>
      <w:marBottom w:val="0"/>
      <w:divBdr>
        <w:top w:val="none" w:sz="0" w:space="0" w:color="auto"/>
        <w:left w:val="none" w:sz="0" w:space="0" w:color="auto"/>
        <w:bottom w:val="none" w:sz="0" w:space="0" w:color="auto"/>
        <w:right w:val="none" w:sz="0" w:space="0" w:color="auto"/>
      </w:divBdr>
    </w:div>
    <w:div w:id="1959792587">
      <w:bodyDiv w:val="1"/>
      <w:marLeft w:val="0"/>
      <w:marRight w:val="0"/>
      <w:marTop w:val="0"/>
      <w:marBottom w:val="0"/>
      <w:divBdr>
        <w:top w:val="none" w:sz="0" w:space="0" w:color="auto"/>
        <w:left w:val="none" w:sz="0" w:space="0" w:color="auto"/>
        <w:bottom w:val="none" w:sz="0" w:space="0" w:color="auto"/>
        <w:right w:val="none" w:sz="0" w:space="0" w:color="auto"/>
      </w:divBdr>
    </w:div>
    <w:div w:id="2034378077">
      <w:bodyDiv w:val="1"/>
      <w:marLeft w:val="0"/>
      <w:marRight w:val="0"/>
      <w:marTop w:val="0"/>
      <w:marBottom w:val="0"/>
      <w:divBdr>
        <w:top w:val="none" w:sz="0" w:space="0" w:color="auto"/>
        <w:left w:val="none" w:sz="0" w:space="0" w:color="auto"/>
        <w:bottom w:val="none" w:sz="0" w:space="0" w:color="auto"/>
        <w:right w:val="none" w:sz="0" w:space="0" w:color="auto"/>
      </w:divBdr>
    </w:div>
    <w:div w:id="2057387490">
      <w:bodyDiv w:val="1"/>
      <w:marLeft w:val="0"/>
      <w:marRight w:val="0"/>
      <w:marTop w:val="0"/>
      <w:marBottom w:val="0"/>
      <w:divBdr>
        <w:top w:val="none" w:sz="0" w:space="0" w:color="auto"/>
        <w:left w:val="none" w:sz="0" w:space="0" w:color="auto"/>
        <w:bottom w:val="none" w:sz="0" w:space="0" w:color="auto"/>
        <w:right w:val="none" w:sz="0" w:space="0" w:color="auto"/>
      </w:divBdr>
    </w:div>
    <w:div w:id="2112778278">
      <w:bodyDiv w:val="1"/>
      <w:marLeft w:val="0"/>
      <w:marRight w:val="0"/>
      <w:marTop w:val="0"/>
      <w:marBottom w:val="0"/>
      <w:divBdr>
        <w:top w:val="none" w:sz="0" w:space="0" w:color="auto"/>
        <w:left w:val="none" w:sz="0" w:space="0" w:color="auto"/>
        <w:bottom w:val="none" w:sz="0" w:space="0" w:color="auto"/>
        <w:right w:val="none" w:sz="0" w:space="0" w:color="auto"/>
      </w:divBdr>
    </w:div>
    <w:div w:id="2116513848">
      <w:bodyDiv w:val="1"/>
      <w:marLeft w:val="0"/>
      <w:marRight w:val="0"/>
      <w:marTop w:val="0"/>
      <w:marBottom w:val="0"/>
      <w:divBdr>
        <w:top w:val="none" w:sz="0" w:space="0" w:color="auto"/>
        <w:left w:val="none" w:sz="0" w:space="0" w:color="auto"/>
        <w:bottom w:val="none" w:sz="0" w:space="0" w:color="auto"/>
        <w:right w:val="none" w:sz="0" w:space="0" w:color="auto"/>
      </w:divBdr>
    </w:div>
    <w:div w:id="214291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eader" Target="header5.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s://www.tga.gov.au/product-information-pi" TargetMode="External"/><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nice.org.uk/guidance/cg144/chapter/guidance" TargetMode="External"/><Relationship Id="rId2" Type="http://schemas.openxmlformats.org/officeDocument/2006/relationships/hyperlink" Target="http://www.ncbi.nlm.nih.gov/pubmed/24083884" TargetMode="External"/><Relationship Id="rId1" Type="http://schemas.openxmlformats.org/officeDocument/2006/relationships/hyperlink" Target="https://www.deloitteaccesseconomics.com.au/uploads/File/The%20burden%20of%20VTE%20in%20Australia.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9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Ref1</b:Tag>
    <b:SourceType>Report</b:SourceType>
    <b:Guid>{034D43E5-67EE-458B-A284-EE0D664D7E8D}</b:Guid>
    <b:Title>The burden of venous thromboembolism in Australia</b:Title>
    <b:Year>2008</b:Year>
    <b:Publisher>Deloitte Access Economics</b:Publisher>
    <b:Author>
      <b:Author>
        <b:Corporate>Access Economics</b:Corporate>
      </b:Author>
    </b:Author>
    <b:RefOrder>1</b:RefOrder>
  </b:Source>
</b:Sources>
</file>

<file path=customXml/itemProps1.xml><?xml version="1.0" encoding="utf-8"?>
<ds:datastoreItem xmlns:ds="http://schemas.openxmlformats.org/officeDocument/2006/customXml" ds:itemID="{FB825BAA-50FD-46C9-BDA6-ED3D23061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113</TotalTime>
  <Pages>55</Pages>
  <Words>19702</Words>
  <Characters>112308</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Australian public assessment report forApixaban (Eliquis)</vt:lpstr>
    </vt:vector>
  </TitlesOfParts>
  <Company>Therapeutic Goods Administration</Company>
  <LinksUpToDate>false</LinksUpToDate>
  <CharactersWithSpaces>131747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forApixaban</dc:title>
  <dc:subject>prescription medicines</dc:subject>
  <dc:creator>Therapeutic Goods Administration</dc:creator>
  <cp:keywords>AusPARs</cp:keywords>
  <cp:lastModifiedBy>Sheppard, Fran</cp:lastModifiedBy>
  <cp:revision>49</cp:revision>
  <cp:lastPrinted>2015-10-22T04:54:00Z</cp:lastPrinted>
  <dcterms:created xsi:type="dcterms:W3CDTF">2015-11-10T02:29:00Z</dcterms:created>
  <dcterms:modified xsi:type="dcterms:W3CDTF">2015-11-27T00:23:00Z</dcterms:modified>
  <cp:category/>
</cp:coreProperties>
</file>