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BA0E12" w:rsidP="00096AA7">
            <w:pPr>
              <w:rPr>
                <w:rFonts w:ascii="Arial" w:hAnsi="Arial" w:cs="Arial"/>
                <w:b/>
                <w:color w:val="002C47"/>
                <w:sz w:val="36"/>
                <w:szCs w:val="36"/>
              </w:rPr>
            </w:pPr>
            <w:r>
              <w:rPr>
                <w:rFonts w:ascii="Arial" w:hAnsi="Arial" w:cs="Arial"/>
                <w:b/>
                <w:color w:val="002C47"/>
                <w:sz w:val="36"/>
                <w:szCs w:val="36"/>
              </w:rPr>
              <w:t xml:space="preserve">October </w:t>
            </w:r>
            <w:r w:rsidR="003920F5">
              <w:rPr>
                <w:rFonts w:ascii="Arial" w:hAnsi="Arial" w:cs="Arial"/>
                <w:b/>
                <w:color w:val="002C47"/>
                <w:sz w:val="36"/>
                <w:szCs w:val="36"/>
              </w:rPr>
              <w:t>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DB1945">
              <w:rPr>
                <w:color w:val="FFFFFF" w:themeColor="background1"/>
              </w:rPr>
              <w:t xml:space="preserve">blic Assessment Report for </w:t>
            </w:r>
            <w:proofErr w:type="spellStart"/>
            <w:r w:rsidR="00DB1945">
              <w:rPr>
                <w:color w:val="FFFFFF" w:themeColor="background1"/>
              </w:rPr>
              <w:t>A</w:t>
            </w:r>
            <w:r w:rsidR="00E639B1" w:rsidRPr="00E639B1">
              <w:rPr>
                <w:color w:val="FFFFFF" w:themeColor="background1"/>
              </w:rPr>
              <w:t>premilast</w:t>
            </w:r>
            <w:proofErr w:type="spellEnd"/>
          </w:p>
        </w:tc>
      </w:tr>
      <w:tr w:rsidR="0032583B" w:rsidRPr="00B64760" w:rsidTr="0032583B">
        <w:tc>
          <w:tcPr>
            <w:tcW w:w="9079" w:type="dxa"/>
          </w:tcPr>
          <w:p w:rsidR="0032583B" w:rsidRPr="008E7846" w:rsidRDefault="003920F5" w:rsidP="0032583B">
            <w:pPr>
              <w:pStyle w:val="Subtitle"/>
              <w:rPr>
                <w:color w:val="FFFFFF" w:themeColor="background1"/>
              </w:rPr>
            </w:pPr>
            <w:r>
              <w:rPr>
                <w:color w:val="FFFFFF" w:themeColor="background1"/>
              </w:rPr>
              <w:t>Proprietary Product Name: Otezla</w:t>
            </w:r>
          </w:p>
        </w:tc>
      </w:tr>
      <w:tr w:rsidR="0032583B" w:rsidRPr="00B64760" w:rsidTr="0032583B">
        <w:trPr>
          <w:trHeight w:val="486"/>
        </w:trPr>
        <w:tc>
          <w:tcPr>
            <w:tcW w:w="9079" w:type="dxa"/>
          </w:tcPr>
          <w:p w:rsidR="0032583B" w:rsidRPr="008E7846" w:rsidRDefault="0032583B" w:rsidP="00AF003D">
            <w:pPr>
              <w:pStyle w:val="Subtitle"/>
              <w:rPr>
                <w:color w:val="FFFFFF" w:themeColor="background1"/>
              </w:rPr>
            </w:pPr>
            <w:r w:rsidRPr="008E7846">
              <w:rPr>
                <w:color w:val="FFFFFF" w:themeColor="background1"/>
              </w:rPr>
              <w:t xml:space="preserve">Sponsor: </w:t>
            </w:r>
            <w:r w:rsidR="00E639B1" w:rsidRPr="00E639B1">
              <w:rPr>
                <w:color w:val="FFFFFF" w:themeColor="background1"/>
              </w:rPr>
              <w:t>Celgene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ED07A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ED07A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ED07A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ED07A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ED07A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DB1945">
          <w:rPr>
            <w:rStyle w:val="Hyperlink"/>
          </w:rPr>
          <w:t>https://www.tga.gov.au</w:t>
        </w:r>
      </w:hyperlink>
      <w:r w:rsidR="00112F56">
        <w:t>&gt;</w:t>
      </w:r>
      <w:r>
        <w:t>.</w:t>
      </w:r>
    </w:p>
    <w:p w:rsidR="008E7846" w:rsidRDefault="008E7846" w:rsidP="008E7846">
      <w:pPr>
        <w:pStyle w:val="NonTOCHeading2"/>
      </w:pPr>
      <w:r>
        <w:t>About AusPARs</w:t>
      </w:r>
    </w:p>
    <w:p w:rsidR="008E7846" w:rsidRDefault="008E7846" w:rsidP="00ED07A4">
      <w:pPr>
        <w:pStyle w:val="ListBullet"/>
        <w:numPr>
          <w:ilvl w:val="0"/>
          <w:numId w:val="1"/>
        </w:numPr>
        <w:ind w:left="357" w:hanging="357"/>
      </w:pPr>
      <w:r>
        <w:t>An Australian Public Assessment Re</w:t>
      </w:r>
      <w:r w:rsidR="00314167">
        <w:t>port</w:t>
      </w:r>
      <w:r>
        <w:t xml:space="preserve"> (AusPAR) provides information about the evaluation of a prescription medicine and the considerations that led the TGA to approve or not approve a prescription medicine submission. </w:t>
      </w:r>
    </w:p>
    <w:p w:rsidR="008E7846" w:rsidRDefault="008E7846" w:rsidP="00ED07A4">
      <w:pPr>
        <w:pStyle w:val="ListBullet"/>
        <w:numPr>
          <w:ilvl w:val="0"/>
          <w:numId w:val="1"/>
        </w:numPr>
        <w:ind w:left="357" w:hanging="357"/>
      </w:pPr>
      <w:r>
        <w:t>AusPARs are prepared and published by the TGA.</w:t>
      </w:r>
    </w:p>
    <w:p w:rsidR="008E7846" w:rsidRDefault="008E7846" w:rsidP="00ED07A4">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ED07A4">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ED07A4">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93AA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E93AA7" w:rsidRPr="00A71141">
            <w:rPr>
              <w:rStyle w:val="Hyperlink"/>
              <w:noProof/>
            </w:rPr>
            <w:fldChar w:fldCharType="begin"/>
          </w:r>
          <w:r w:rsidR="00E93AA7" w:rsidRPr="00A71141">
            <w:rPr>
              <w:rStyle w:val="Hyperlink"/>
              <w:noProof/>
            </w:rPr>
            <w:instrText xml:space="preserve"> </w:instrText>
          </w:r>
          <w:r w:rsidR="00E93AA7">
            <w:rPr>
              <w:noProof/>
            </w:rPr>
            <w:instrText>HYPERLINK \l "_Toc436140459"</w:instrText>
          </w:r>
          <w:r w:rsidR="00E93AA7" w:rsidRPr="00A71141">
            <w:rPr>
              <w:rStyle w:val="Hyperlink"/>
              <w:noProof/>
            </w:rPr>
            <w:instrText xml:space="preserve"> </w:instrText>
          </w:r>
          <w:r w:rsidR="00E93AA7" w:rsidRPr="00A71141">
            <w:rPr>
              <w:rStyle w:val="Hyperlink"/>
              <w:noProof/>
            </w:rPr>
          </w:r>
          <w:r w:rsidR="00E93AA7" w:rsidRPr="00A71141">
            <w:rPr>
              <w:rStyle w:val="Hyperlink"/>
              <w:noProof/>
            </w:rPr>
            <w:fldChar w:fldCharType="separate"/>
          </w:r>
          <w:r w:rsidR="00E93AA7" w:rsidRPr="00A71141">
            <w:rPr>
              <w:rStyle w:val="Hyperlink"/>
              <w:noProof/>
            </w:rPr>
            <w:t>List of abbreviations</w:t>
          </w:r>
          <w:r w:rsidR="00E93AA7">
            <w:rPr>
              <w:noProof/>
              <w:webHidden/>
            </w:rPr>
            <w:tab/>
          </w:r>
          <w:r w:rsidR="00E93AA7">
            <w:rPr>
              <w:noProof/>
              <w:webHidden/>
            </w:rPr>
            <w:fldChar w:fldCharType="begin"/>
          </w:r>
          <w:r w:rsidR="00E93AA7">
            <w:rPr>
              <w:noProof/>
              <w:webHidden/>
            </w:rPr>
            <w:instrText xml:space="preserve"> PAGEREF _Toc436140459 \h </w:instrText>
          </w:r>
          <w:r w:rsidR="00E93AA7">
            <w:rPr>
              <w:noProof/>
              <w:webHidden/>
            </w:rPr>
          </w:r>
          <w:r w:rsidR="00E93AA7">
            <w:rPr>
              <w:noProof/>
              <w:webHidden/>
            </w:rPr>
            <w:fldChar w:fldCharType="separate"/>
          </w:r>
          <w:r w:rsidR="00E93AA7">
            <w:rPr>
              <w:noProof/>
              <w:webHidden/>
            </w:rPr>
            <w:t>5</w:t>
          </w:r>
          <w:r w:rsidR="00E93AA7">
            <w:rPr>
              <w:noProof/>
              <w:webHidden/>
            </w:rPr>
            <w:fldChar w:fldCharType="end"/>
          </w:r>
          <w:r w:rsidR="00E93AA7" w:rsidRPr="00A71141">
            <w:rPr>
              <w:rStyle w:val="Hyperlink"/>
              <w:noProof/>
            </w:rPr>
            <w:fldChar w:fldCharType="end"/>
          </w:r>
        </w:p>
        <w:p w:rsidR="00E93AA7" w:rsidRDefault="00E93AA7">
          <w:pPr>
            <w:pStyle w:val="TOC2"/>
            <w:rPr>
              <w:rFonts w:asciiTheme="minorHAnsi" w:eastAsiaTheme="minorEastAsia" w:hAnsiTheme="minorHAnsi" w:cstheme="minorBidi"/>
              <w:b w:val="0"/>
              <w:noProof/>
              <w:sz w:val="22"/>
              <w:lang w:eastAsia="en-AU"/>
            </w:rPr>
          </w:pPr>
          <w:hyperlink w:anchor="_Toc436140460" w:history="1">
            <w:r w:rsidRPr="00A71141">
              <w:rPr>
                <w:rStyle w:val="Hyperlink"/>
                <w:noProof/>
              </w:rPr>
              <w:t>I. Introduction to product submission</w:t>
            </w:r>
            <w:r>
              <w:rPr>
                <w:noProof/>
                <w:webHidden/>
              </w:rPr>
              <w:tab/>
            </w:r>
            <w:r>
              <w:rPr>
                <w:noProof/>
                <w:webHidden/>
              </w:rPr>
              <w:fldChar w:fldCharType="begin"/>
            </w:r>
            <w:r>
              <w:rPr>
                <w:noProof/>
                <w:webHidden/>
              </w:rPr>
              <w:instrText xml:space="preserve"> PAGEREF _Toc436140460 \h </w:instrText>
            </w:r>
            <w:r>
              <w:rPr>
                <w:noProof/>
                <w:webHidden/>
              </w:rPr>
            </w:r>
            <w:r>
              <w:rPr>
                <w:noProof/>
                <w:webHidden/>
              </w:rPr>
              <w:fldChar w:fldCharType="separate"/>
            </w:r>
            <w:r>
              <w:rPr>
                <w:noProof/>
                <w:webHidden/>
              </w:rPr>
              <w:t>7</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61" w:history="1">
            <w:r w:rsidRPr="00A71141">
              <w:rPr>
                <w:rStyle w:val="Hyperlink"/>
                <w:noProof/>
              </w:rPr>
              <w:t>Submission</w:t>
            </w:r>
            <w:r w:rsidRPr="00A71141">
              <w:rPr>
                <w:rStyle w:val="Hyperlink"/>
                <w:noProof/>
                <w:lang w:eastAsia="en-AU"/>
              </w:rPr>
              <w:t xml:space="preserve"> details</w:t>
            </w:r>
            <w:r>
              <w:rPr>
                <w:noProof/>
                <w:webHidden/>
              </w:rPr>
              <w:tab/>
            </w:r>
            <w:r>
              <w:rPr>
                <w:noProof/>
                <w:webHidden/>
              </w:rPr>
              <w:fldChar w:fldCharType="begin"/>
            </w:r>
            <w:r>
              <w:rPr>
                <w:noProof/>
                <w:webHidden/>
              </w:rPr>
              <w:instrText xml:space="preserve"> PAGEREF _Toc436140461 \h </w:instrText>
            </w:r>
            <w:r>
              <w:rPr>
                <w:noProof/>
                <w:webHidden/>
              </w:rPr>
            </w:r>
            <w:r>
              <w:rPr>
                <w:noProof/>
                <w:webHidden/>
              </w:rPr>
              <w:fldChar w:fldCharType="separate"/>
            </w:r>
            <w:r>
              <w:rPr>
                <w:noProof/>
                <w:webHidden/>
              </w:rPr>
              <w:t>7</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62" w:history="1">
            <w:r w:rsidRPr="00A71141">
              <w:rPr>
                <w:rStyle w:val="Hyperlink"/>
                <w:noProof/>
              </w:rPr>
              <w:t>Product background</w:t>
            </w:r>
            <w:r>
              <w:rPr>
                <w:noProof/>
                <w:webHidden/>
              </w:rPr>
              <w:tab/>
            </w:r>
            <w:r>
              <w:rPr>
                <w:noProof/>
                <w:webHidden/>
              </w:rPr>
              <w:fldChar w:fldCharType="begin"/>
            </w:r>
            <w:r>
              <w:rPr>
                <w:noProof/>
                <w:webHidden/>
              </w:rPr>
              <w:instrText xml:space="preserve"> PAGEREF _Toc436140462 \h </w:instrText>
            </w:r>
            <w:r>
              <w:rPr>
                <w:noProof/>
                <w:webHidden/>
              </w:rPr>
            </w:r>
            <w:r>
              <w:rPr>
                <w:noProof/>
                <w:webHidden/>
              </w:rPr>
              <w:fldChar w:fldCharType="separate"/>
            </w:r>
            <w:r>
              <w:rPr>
                <w:noProof/>
                <w:webHidden/>
              </w:rPr>
              <w:t>7</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63" w:history="1">
            <w:r w:rsidRPr="00A71141">
              <w:rPr>
                <w:rStyle w:val="Hyperlink"/>
                <w:noProof/>
              </w:rPr>
              <w:t>Regulatory status</w:t>
            </w:r>
            <w:r>
              <w:rPr>
                <w:noProof/>
                <w:webHidden/>
              </w:rPr>
              <w:tab/>
            </w:r>
            <w:r>
              <w:rPr>
                <w:noProof/>
                <w:webHidden/>
              </w:rPr>
              <w:fldChar w:fldCharType="begin"/>
            </w:r>
            <w:r>
              <w:rPr>
                <w:noProof/>
                <w:webHidden/>
              </w:rPr>
              <w:instrText xml:space="preserve"> PAGEREF _Toc436140463 \h </w:instrText>
            </w:r>
            <w:r>
              <w:rPr>
                <w:noProof/>
                <w:webHidden/>
              </w:rPr>
            </w:r>
            <w:r>
              <w:rPr>
                <w:noProof/>
                <w:webHidden/>
              </w:rPr>
              <w:fldChar w:fldCharType="separate"/>
            </w:r>
            <w:r>
              <w:rPr>
                <w:noProof/>
                <w:webHidden/>
              </w:rPr>
              <w:t>8</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64" w:history="1">
            <w:r w:rsidRPr="00A71141">
              <w:rPr>
                <w:rStyle w:val="Hyperlink"/>
                <w:noProof/>
              </w:rPr>
              <w:t>Product Information</w:t>
            </w:r>
            <w:r>
              <w:rPr>
                <w:noProof/>
                <w:webHidden/>
              </w:rPr>
              <w:tab/>
            </w:r>
            <w:r>
              <w:rPr>
                <w:noProof/>
                <w:webHidden/>
              </w:rPr>
              <w:fldChar w:fldCharType="begin"/>
            </w:r>
            <w:r>
              <w:rPr>
                <w:noProof/>
                <w:webHidden/>
              </w:rPr>
              <w:instrText xml:space="preserve"> PAGEREF _Toc436140464 \h </w:instrText>
            </w:r>
            <w:r>
              <w:rPr>
                <w:noProof/>
                <w:webHidden/>
              </w:rPr>
            </w:r>
            <w:r>
              <w:rPr>
                <w:noProof/>
                <w:webHidden/>
              </w:rPr>
              <w:fldChar w:fldCharType="separate"/>
            </w:r>
            <w:r>
              <w:rPr>
                <w:noProof/>
                <w:webHidden/>
              </w:rPr>
              <w:t>9</w:t>
            </w:r>
            <w:r>
              <w:rPr>
                <w:noProof/>
                <w:webHidden/>
              </w:rPr>
              <w:fldChar w:fldCharType="end"/>
            </w:r>
          </w:hyperlink>
        </w:p>
        <w:p w:rsidR="00E93AA7" w:rsidRDefault="00E93AA7">
          <w:pPr>
            <w:pStyle w:val="TOC2"/>
            <w:rPr>
              <w:rFonts w:asciiTheme="minorHAnsi" w:eastAsiaTheme="minorEastAsia" w:hAnsiTheme="minorHAnsi" w:cstheme="minorBidi"/>
              <w:b w:val="0"/>
              <w:noProof/>
              <w:sz w:val="22"/>
              <w:lang w:eastAsia="en-AU"/>
            </w:rPr>
          </w:pPr>
          <w:hyperlink w:anchor="_Toc436140465" w:history="1">
            <w:r w:rsidRPr="00A71141">
              <w:rPr>
                <w:rStyle w:val="Hyperlink"/>
                <w:noProof/>
              </w:rPr>
              <w:t>II. Quality findings</w:t>
            </w:r>
            <w:r>
              <w:rPr>
                <w:noProof/>
                <w:webHidden/>
              </w:rPr>
              <w:tab/>
            </w:r>
            <w:r>
              <w:rPr>
                <w:noProof/>
                <w:webHidden/>
              </w:rPr>
              <w:fldChar w:fldCharType="begin"/>
            </w:r>
            <w:r>
              <w:rPr>
                <w:noProof/>
                <w:webHidden/>
              </w:rPr>
              <w:instrText xml:space="preserve"> PAGEREF _Toc436140465 \h </w:instrText>
            </w:r>
            <w:r>
              <w:rPr>
                <w:noProof/>
                <w:webHidden/>
              </w:rPr>
            </w:r>
            <w:r>
              <w:rPr>
                <w:noProof/>
                <w:webHidden/>
              </w:rPr>
              <w:fldChar w:fldCharType="separate"/>
            </w:r>
            <w:r>
              <w:rPr>
                <w:noProof/>
                <w:webHidden/>
              </w:rPr>
              <w:t>9</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66" w:history="1">
            <w:r w:rsidRPr="00A71141">
              <w:rPr>
                <w:rStyle w:val="Hyperlink"/>
                <w:noProof/>
              </w:rPr>
              <w:t>Introduction</w:t>
            </w:r>
            <w:r>
              <w:rPr>
                <w:noProof/>
                <w:webHidden/>
              </w:rPr>
              <w:tab/>
            </w:r>
            <w:r>
              <w:rPr>
                <w:noProof/>
                <w:webHidden/>
              </w:rPr>
              <w:fldChar w:fldCharType="begin"/>
            </w:r>
            <w:r>
              <w:rPr>
                <w:noProof/>
                <w:webHidden/>
              </w:rPr>
              <w:instrText xml:space="preserve"> PAGEREF _Toc436140466 \h </w:instrText>
            </w:r>
            <w:r>
              <w:rPr>
                <w:noProof/>
                <w:webHidden/>
              </w:rPr>
            </w:r>
            <w:r>
              <w:rPr>
                <w:noProof/>
                <w:webHidden/>
              </w:rPr>
              <w:fldChar w:fldCharType="separate"/>
            </w:r>
            <w:r>
              <w:rPr>
                <w:noProof/>
                <w:webHidden/>
              </w:rPr>
              <w:t>9</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67" w:history="1">
            <w:r w:rsidRPr="00A71141">
              <w:rPr>
                <w:rStyle w:val="Hyperlink"/>
                <w:noProof/>
              </w:rPr>
              <w:t>Drug substance (active ingredient)</w:t>
            </w:r>
            <w:r>
              <w:rPr>
                <w:noProof/>
                <w:webHidden/>
              </w:rPr>
              <w:tab/>
            </w:r>
            <w:r>
              <w:rPr>
                <w:noProof/>
                <w:webHidden/>
              </w:rPr>
              <w:fldChar w:fldCharType="begin"/>
            </w:r>
            <w:r>
              <w:rPr>
                <w:noProof/>
                <w:webHidden/>
              </w:rPr>
              <w:instrText xml:space="preserve"> PAGEREF _Toc436140467 \h </w:instrText>
            </w:r>
            <w:r>
              <w:rPr>
                <w:noProof/>
                <w:webHidden/>
              </w:rPr>
            </w:r>
            <w:r>
              <w:rPr>
                <w:noProof/>
                <w:webHidden/>
              </w:rPr>
              <w:fldChar w:fldCharType="separate"/>
            </w:r>
            <w:r>
              <w:rPr>
                <w:noProof/>
                <w:webHidden/>
              </w:rPr>
              <w:t>10</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68" w:history="1">
            <w:r w:rsidRPr="00A71141">
              <w:rPr>
                <w:rStyle w:val="Hyperlink"/>
                <w:noProof/>
              </w:rPr>
              <w:t>Drug product</w:t>
            </w:r>
            <w:r>
              <w:rPr>
                <w:noProof/>
                <w:webHidden/>
              </w:rPr>
              <w:tab/>
            </w:r>
            <w:r>
              <w:rPr>
                <w:noProof/>
                <w:webHidden/>
              </w:rPr>
              <w:fldChar w:fldCharType="begin"/>
            </w:r>
            <w:r>
              <w:rPr>
                <w:noProof/>
                <w:webHidden/>
              </w:rPr>
              <w:instrText xml:space="preserve"> PAGEREF _Toc436140468 \h </w:instrText>
            </w:r>
            <w:r>
              <w:rPr>
                <w:noProof/>
                <w:webHidden/>
              </w:rPr>
            </w:r>
            <w:r>
              <w:rPr>
                <w:noProof/>
                <w:webHidden/>
              </w:rPr>
              <w:fldChar w:fldCharType="separate"/>
            </w:r>
            <w:r>
              <w:rPr>
                <w:noProof/>
                <w:webHidden/>
              </w:rPr>
              <w:t>10</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69" w:history="1">
            <w:r w:rsidRPr="00A71141">
              <w:rPr>
                <w:rStyle w:val="Hyperlink"/>
                <w:noProof/>
              </w:rPr>
              <w:t>Quality summary and conclusions</w:t>
            </w:r>
            <w:r>
              <w:rPr>
                <w:noProof/>
                <w:webHidden/>
              </w:rPr>
              <w:tab/>
            </w:r>
            <w:r>
              <w:rPr>
                <w:noProof/>
                <w:webHidden/>
              </w:rPr>
              <w:fldChar w:fldCharType="begin"/>
            </w:r>
            <w:r>
              <w:rPr>
                <w:noProof/>
                <w:webHidden/>
              </w:rPr>
              <w:instrText xml:space="preserve"> PAGEREF _Toc436140469 \h </w:instrText>
            </w:r>
            <w:r>
              <w:rPr>
                <w:noProof/>
                <w:webHidden/>
              </w:rPr>
            </w:r>
            <w:r>
              <w:rPr>
                <w:noProof/>
                <w:webHidden/>
              </w:rPr>
              <w:fldChar w:fldCharType="separate"/>
            </w:r>
            <w:r>
              <w:rPr>
                <w:noProof/>
                <w:webHidden/>
              </w:rPr>
              <w:t>11</w:t>
            </w:r>
            <w:r>
              <w:rPr>
                <w:noProof/>
                <w:webHidden/>
              </w:rPr>
              <w:fldChar w:fldCharType="end"/>
            </w:r>
          </w:hyperlink>
        </w:p>
        <w:p w:rsidR="00E93AA7" w:rsidRDefault="00E93AA7">
          <w:pPr>
            <w:pStyle w:val="TOC2"/>
            <w:rPr>
              <w:rFonts w:asciiTheme="minorHAnsi" w:eastAsiaTheme="minorEastAsia" w:hAnsiTheme="minorHAnsi" w:cstheme="minorBidi"/>
              <w:b w:val="0"/>
              <w:noProof/>
              <w:sz w:val="22"/>
              <w:lang w:eastAsia="en-AU"/>
            </w:rPr>
          </w:pPr>
          <w:hyperlink w:anchor="_Toc436140470" w:history="1">
            <w:r w:rsidRPr="00A71141">
              <w:rPr>
                <w:rStyle w:val="Hyperlink"/>
                <w:noProof/>
              </w:rPr>
              <w:t>III. Nonclinical findings</w:t>
            </w:r>
            <w:r>
              <w:rPr>
                <w:noProof/>
                <w:webHidden/>
              </w:rPr>
              <w:tab/>
            </w:r>
            <w:r>
              <w:rPr>
                <w:noProof/>
                <w:webHidden/>
              </w:rPr>
              <w:fldChar w:fldCharType="begin"/>
            </w:r>
            <w:r>
              <w:rPr>
                <w:noProof/>
                <w:webHidden/>
              </w:rPr>
              <w:instrText xml:space="preserve"> PAGEREF _Toc436140470 \h </w:instrText>
            </w:r>
            <w:r>
              <w:rPr>
                <w:noProof/>
                <w:webHidden/>
              </w:rPr>
            </w:r>
            <w:r>
              <w:rPr>
                <w:noProof/>
                <w:webHidden/>
              </w:rPr>
              <w:fldChar w:fldCharType="separate"/>
            </w:r>
            <w:r>
              <w:rPr>
                <w:noProof/>
                <w:webHidden/>
              </w:rPr>
              <w:t>13</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71" w:history="1">
            <w:r w:rsidRPr="00A71141">
              <w:rPr>
                <w:rStyle w:val="Hyperlink"/>
                <w:noProof/>
              </w:rPr>
              <w:t>Introduction</w:t>
            </w:r>
            <w:r>
              <w:rPr>
                <w:noProof/>
                <w:webHidden/>
              </w:rPr>
              <w:tab/>
            </w:r>
            <w:r>
              <w:rPr>
                <w:noProof/>
                <w:webHidden/>
              </w:rPr>
              <w:fldChar w:fldCharType="begin"/>
            </w:r>
            <w:r>
              <w:rPr>
                <w:noProof/>
                <w:webHidden/>
              </w:rPr>
              <w:instrText xml:space="preserve"> PAGEREF _Toc436140471 \h </w:instrText>
            </w:r>
            <w:r>
              <w:rPr>
                <w:noProof/>
                <w:webHidden/>
              </w:rPr>
            </w:r>
            <w:r>
              <w:rPr>
                <w:noProof/>
                <w:webHidden/>
              </w:rPr>
              <w:fldChar w:fldCharType="separate"/>
            </w:r>
            <w:r>
              <w:rPr>
                <w:noProof/>
                <w:webHidden/>
              </w:rPr>
              <w:t>13</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72" w:history="1">
            <w:r w:rsidRPr="00A71141">
              <w:rPr>
                <w:rStyle w:val="Hyperlink"/>
                <w:noProof/>
              </w:rPr>
              <w:t>Pharmacology</w:t>
            </w:r>
            <w:r>
              <w:rPr>
                <w:noProof/>
                <w:webHidden/>
              </w:rPr>
              <w:tab/>
            </w:r>
            <w:r>
              <w:rPr>
                <w:noProof/>
                <w:webHidden/>
              </w:rPr>
              <w:fldChar w:fldCharType="begin"/>
            </w:r>
            <w:r>
              <w:rPr>
                <w:noProof/>
                <w:webHidden/>
              </w:rPr>
              <w:instrText xml:space="preserve"> PAGEREF _Toc436140472 \h </w:instrText>
            </w:r>
            <w:r>
              <w:rPr>
                <w:noProof/>
                <w:webHidden/>
              </w:rPr>
            </w:r>
            <w:r>
              <w:rPr>
                <w:noProof/>
                <w:webHidden/>
              </w:rPr>
              <w:fldChar w:fldCharType="separate"/>
            </w:r>
            <w:r>
              <w:rPr>
                <w:noProof/>
                <w:webHidden/>
              </w:rPr>
              <w:t>13</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73" w:history="1">
            <w:r w:rsidRPr="00A71141">
              <w:rPr>
                <w:rStyle w:val="Hyperlink"/>
                <w:noProof/>
              </w:rPr>
              <w:t>Pharmacokinetics</w:t>
            </w:r>
            <w:r>
              <w:rPr>
                <w:noProof/>
                <w:webHidden/>
              </w:rPr>
              <w:tab/>
            </w:r>
            <w:r>
              <w:rPr>
                <w:noProof/>
                <w:webHidden/>
              </w:rPr>
              <w:fldChar w:fldCharType="begin"/>
            </w:r>
            <w:r>
              <w:rPr>
                <w:noProof/>
                <w:webHidden/>
              </w:rPr>
              <w:instrText xml:space="preserve"> PAGEREF _Toc436140473 \h </w:instrText>
            </w:r>
            <w:r>
              <w:rPr>
                <w:noProof/>
                <w:webHidden/>
              </w:rPr>
            </w:r>
            <w:r>
              <w:rPr>
                <w:noProof/>
                <w:webHidden/>
              </w:rPr>
              <w:fldChar w:fldCharType="separate"/>
            </w:r>
            <w:r>
              <w:rPr>
                <w:noProof/>
                <w:webHidden/>
              </w:rPr>
              <w:t>16</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74" w:history="1">
            <w:r w:rsidRPr="00A71141">
              <w:rPr>
                <w:rStyle w:val="Hyperlink"/>
                <w:noProof/>
              </w:rPr>
              <w:t>Toxicology</w:t>
            </w:r>
            <w:r>
              <w:rPr>
                <w:noProof/>
                <w:webHidden/>
              </w:rPr>
              <w:tab/>
            </w:r>
            <w:r>
              <w:rPr>
                <w:noProof/>
                <w:webHidden/>
              </w:rPr>
              <w:fldChar w:fldCharType="begin"/>
            </w:r>
            <w:r>
              <w:rPr>
                <w:noProof/>
                <w:webHidden/>
              </w:rPr>
              <w:instrText xml:space="preserve"> PAGEREF _Toc436140474 \h </w:instrText>
            </w:r>
            <w:r>
              <w:rPr>
                <w:noProof/>
                <w:webHidden/>
              </w:rPr>
            </w:r>
            <w:r>
              <w:rPr>
                <w:noProof/>
                <w:webHidden/>
              </w:rPr>
              <w:fldChar w:fldCharType="separate"/>
            </w:r>
            <w:r>
              <w:rPr>
                <w:noProof/>
                <w:webHidden/>
              </w:rPr>
              <w:t>18</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75" w:history="1">
            <w:r w:rsidRPr="00A71141">
              <w:rPr>
                <w:rStyle w:val="Hyperlink"/>
                <w:noProof/>
              </w:rPr>
              <w:t>Nonclinical summary and conclusions</w:t>
            </w:r>
            <w:r>
              <w:rPr>
                <w:noProof/>
                <w:webHidden/>
              </w:rPr>
              <w:tab/>
            </w:r>
            <w:r>
              <w:rPr>
                <w:noProof/>
                <w:webHidden/>
              </w:rPr>
              <w:fldChar w:fldCharType="begin"/>
            </w:r>
            <w:r>
              <w:rPr>
                <w:noProof/>
                <w:webHidden/>
              </w:rPr>
              <w:instrText xml:space="preserve"> PAGEREF _Toc436140475 \h </w:instrText>
            </w:r>
            <w:r>
              <w:rPr>
                <w:noProof/>
                <w:webHidden/>
              </w:rPr>
            </w:r>
            <w:r>
              <w:rPr>
                <w:noProof/>
                <w:webHidden/>
              </w:rPr>
              <w:fldChar w:fldCharType="separate"/>
            </w:r>
            <w:r>
              <w:rPr>
                <w:noProof/>
                <w:webHidden/>
              </w:rPr>
              <w:t>24</w:t>
            </w:r>
            <w:r>
              <w:rPr>
                <w:noProof/>
                <w:webHidden/>
              </w:rPr>
              <w:fldChar w:fldCharType="end"/>
            </w:r>
          </w:hyperlink>
        </w:p>
        <w:p w:rsidR="00E93AA7" w:rsidRDefault="00E93AA7">
          <w:pPr>
            <w:pStyle w:val="TOC2"/>
            <w:rPr>
              <w:rFonts w:asciiTheme="minorHAnsi" w:eastAsiaTheme="minorEastAsia" w:hAnsiTheme="minorHAnsi" w:cstheme="minorBidi"/>
              <w:b w:val="0"/>
              <w:noProof/>
              <w:sz w:val="22"/>
              <w:lang w:eastAsia="en-AU"/>
            </w:rPr>
          </w:pPr>
          <w:hyperlink w:anchor="_Toc436140476" w:history="1">
            <w:r w:rsidRPr="00A71141">
              <w:rPr>
                <w:rStyle w:val="Hyperlink"/>
                <w:noProof/>
              </w:rPr>
              <w:t>IV. Clinical findings</w:t>
            </w:r>
            <w:r>
              <w:rPr>
                <w:noProof/>
                <w:webHidden/>
              </w:rPr>
              <w:tab/>
            </w:r>
            <w:r>
              <w:rPr>
                <w:noProof/>
                <w:webHidden/>
              </w:rPr>
              <w:fldChar w:fldCharType="begin"/>
            </w:r>
            <w:r>
              <w:rPr>
                <w:noProof/>
                <w:webHidden/>
              </w:rPr>
              <w:instrText xml:space="preserve"> PAGEREF _Toc436140476 \h </w:instrText>
            </w:r>
            <w:r>
              <w:rPr>
                <w:noProof/>
                <w:webHidden/>
              </w:rPr>
            </w:r>
            <w:r>
              <w:rPr>
                <w:noProof/>
                <w:webHidden/>
              </w:rPr>
              <w:fldChar w:fldCharType="separate"/>
            </w:r>
            <w:r>
              <w:rPr>
                <w:noProof/>
                <w:webHidden/>
              </w:rPr>
              <w:t>27</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77" w:history="1">
            <w:r w:rsidRPr="00A71141">
              <w:rPr>
                <w:rStyle w:val="Hyperlink"/>
                <w:noProof/>
              </w:rPr>
              <w:t>Introduction</w:t>
            </w:r>
            <w:r>
              <w:rPr>
                <w:noProof/>
                <w:webHidden/>
              </w:rPr>
              <w:tab/>
            </w:r>
            <w:r>
              <w:rPr>
                <w:noProof/>
                <w:webHidden/>
              </w:rPr>
              <w:fldChar w:fldCharType="begin"/>
            </w:r>
            <w:r>
              <w:rPr>
                <w:noProof/>
                <w:webHidden/>
              </w:rPr>
              <w:instrText xml:space="preserve"> PAGEREF _Toc436140477 \h </w:instrText>
            </w:r>
            <w:r>
              <w:rPr>
                <w:noProof/>
                <w:webHidden/>
              </w:rPr>
            </w:r>
            <w:r>
              <w:rPr>
                <w:noProof/>
                <w:webHidden/>
              </w:rPr>
              <w:fldChar w:fldCharType="separate"/>
            </w:r>
            <w:r>
              <w:rPr>
                <w:noProof/>
                <w:webHidden/>
              </w:rPr>
              <w:t>27</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78" w:history="1">
            <w:r w:rsidRPr="00A71141">
              <w:rPr>
                <w:rStyle w:val="Hyperlink"/>
                <w:noProof/>
              </w:rPr>
              <w:t>Pharmacokinetics</w:t>
            </w:r>
            <w:r>
              <w:rPr>
                <w:noProof/>
                <w:webHidden/>
              </w:rPr>
              <w:tab/>
            </w:r>
            <w:r>
              <w:rPr>
                <w:noProof/>
                <w:webHidden/>
              </w:rPr>
              <w:fldChar w:fldCharType="begin"/>
            </w:r>
            <w:r>
              <w:rPr>
                <w:noProof/>
                <w:webHidden/>
              </w:rPr>
              <w:instrText xml:space="preserve"> PAGEREF _Toc436140478 \h </w:instrText>
            </w:r>
            <w:r>
              <w:rPr>
                <w:noProof/>
                <w:webHidden/>
              </w:rPr>
            </w:r>
            <w:r>
              <w:rPr>
                <w:noProof/>
                <w:webHidden/>
              </w:rPr>
              <w:fldChar w:fldCharType="separate"/>
            </w:r>
            <w:r>
              <w:rPr>
                <w:noProof/>
                <w:webHidden/>
              </w:rPr>
              <w:t>31</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79" w:history="1">
            <w:r w:rsidRPr="00A71141">
              <w:rPr>
                <w:rStyle w:val="Hyperlink"/>
                <w:noProof/>
              </w:rPr>
              <w:t>Pharmacodynamics</w:t>
            </w:r>
            <w:r>
              <w:rPr>
                <w:noProof/>
                <w:webHidden/>
              </w:rPr>
              <w:tab/>
            </w:r>
            <w:r>
              <w:rPr>
                <w:noProof/>
                <w:webHidden/>
              </w:rPr>
              <w:fldChar w:fldCharType="begin"/>
            </w:r>
            <w:r>
              <w:rPr>
                <w:noProof/>
                <w:webHidden/>
              </w:rPr>
              <w:instrText xml:space="preserve"> PAGEREF _Toc436140479 \h </w:instrText>
            </w:r>
            <w:r>
              <w:rPr>
                <w:noProof/>
                <w:webHidden/>
              </w:rPr>
            </w:r>
            <w:r>
              <w:rPr>
                <w:noProof/>
                <w:webHidden/>
              </w:rPr>
              <w:fldChar w:fldCharType="separate"/>
            </w:r>
            <w:r>
              <w:rPr>
                <w:noProof/>
                <w:webHidden/>
              </w:rPr>
              <w:t>32</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80" w:history="1">
            <w:r w:rsidRPr="00A71141">
              <w:rPr>
                <w:rStyle w:val="Hyperlink"/>
                <w:noProof/>
              </w:rPr>
              <w:t>Dosage selection for the pivotal studies</w:t>
            </w:r>
            <w:r>
              <w:rPr>
                <w:noProof/>
                <w:webHidden/>
              </w:rPr>
              <w:tab/>
            </w:r>
            <w:r>
              <w:rPr>
                <w:noProof/>
                <w:webHidden/>
              </w:rPr>
              <w:fldChar w:fldCharType="begin"/>
            </w:r>
            <w:r>
              <w:rPr>
                <w:noProof/>
                <w:webHidden/>
              </w:rPr>
              <w:instrText xml:space="preserve"> PAGEREF _Toc436140480 \h </w:instrText>
            </w:r>
            <w:r>
              <w:rPr>
                <w:noProof/>
                <w:webHidden/>
              </w:rPr>
            </w:r>
            <w:r>
              <w:rPr>
                <w:noProof/>
                <w:webHidden/>
              </w:rPr>
              <w:fldChar w:fldCharType="separate"/>
            </w:r>
            <w:r>
              <w:rPr>
                <w:noProof/>
                <w:webHidden/>
              </w:rPr>
              <w:t>33</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81" w:history="1">
            <w:r w:rsidRPr="00A71141">
              <w:rPr>
                <w:rStyle w:val="Hyperlink"/>
                <w:noProof/>
              </w:rPr>
              <w:t>Efficacy</w:t>
            </w:r>
            <w:r>
              <w:rPr>
                <w:noProof/>
                <w:webHidden/>
              </w:rPr>
              <w:tab/>
            </w:r>
            <w:r>
              <w:rPr>
                <w:noProof/>
                <w:webHidden/>
              </w:rPr>
              <w:fldChar w:fldCharType="begin"/>
            </w:r>
            <w:r>
              <w:rPr>
                <w:noProof/>
                <w:webHidden/>
              </w:rPr>
              <w:instrText xml:space="preserve"> PAGEREF _Toc436140481 \h </w:instrText>
            </w:r>
            <w:r>
              <w:rPr>
                <w:noProof/>
                <w:webHidden/>
              </w:rPr>
            </w:r>
            <w:r>
              <w:rPr>
                <w:noProof/>
                <w:webHidden/>
              </w:rPr>
              <w:fldChar w:fldCharType="separate"/>
            </w:r>
            <w:r>
              <w:rPr>
                <w:noProof/>
                <w:webHidden/>
              </w:rPr>
              <w:t>34</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82" w:history="1">
            <w:r w:rsidRPr="00A71141">
              <w:rPr>
                <w:rStyle w:val="Hyperlink"/>
                <w:noProof/>
              </w:rPr>
              <w:t>Safety</w:t>
            </w:r>
            <w:r>
              <w:rPr>
                <w:noProof/>
                <w:webHidden/>
              </w:rPr>
              <w:tab/>
            </w:r>
            <w:r>
              <w:rPr>
                <w:noProof/>
                <w:webHidden/>
              </w:rPr>
              <w:fldChar w:fldCharType="begin"/>
            </w:r>
            <w:r>
              <w:rPr>
                <w:noProof/>
                <w:webHidden/>
              </w:rPr>
              <w:instrText xml:space="preserve"> PAGEREF _Toc436140482 \h </w:instrText>
            </w:r>
            <w:r>
              <w:rPr>
                <w:noProof/>
                <w:webHidden/>
              </w:rPr>
            </w:r>
            <w:r>
              <w:rPr>
                <w:noProof/>
                <w:webHidden/>
              </w:rPr>
              <w:fldChar w:fldCharType="separate"/>
            </w:r>
            <w:r>
              <w:rPr>
                <w:noProof/>
                <w:webHidden/>
              </w:rPr>
              <w:t>38</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83" w:history="1">
            <w:r w:rsidRPr="00A71141">
              <w:rPr>
                <w:rStyle w:val="Hyperlink"/>
                <w:noProof/>
              </w:rPr>
              <w:t>First round benefit-risk assessment</w:t>
            </w:r>
            <w:r>
              <w:rPr>
                <w:noProof/>
                <w:webHidden/>
              </w:rPr>
              <w:tab/>
            </w:r>
            <w:r>
              <w:rPr>
                <w:noProof/>
                <w:webHidden/>
              </w:rPr>
              <w:fldChar w:fldCharType="begin"/>
            </w:r>
            <w:r>
              <w:rPr>
                <w:noProof/>
                <w:webHidden/>
              </w:rPr>
              <w:instrText xml:space="preserve"> PAGEREF _Toc436140483 \h </w:instrText>
            </w:r>
            <w:r>
              <w:rPr>
                <w:noProof/>
                <w:webHidden/>
              </w:rPr>
            </w:r>
            <w:r>
              <w:rPr>
                <w:noProof/>
                <w:webHidden/>
              </w:rPr>
              <w:fldChar w:fldCharType="separate"/>
            </w:r>
            <w:r>
              <w:rPr>
                <w:noProof/>
                <w:webHidden/>
              </w:rPr>
              <w:t>45</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84" w:history="1">
            <w:r w:rsidRPr="00A71141">
              <w:rPr>
                <w:rStyle w:val="Hyperlink"/>
                <w:noProof/>
              </w:rPr>
              <w:t>First round recommendation regarding authorisation</w:t>
            </w:r>
            <w:r>
              <w:rPr>
                <w:noProof/>
                <w:webHidden/>
              </w:rPr>
              <w:tab/>
            </w:r>
            <w:r>
              <w:rPr>
                <w:noProof/>
                <w:webHidden/>
              </w:rPr>
              <w:fldChar w:fldCharType="begin"/>
            </w:r>
            <w:r>
              <w:rPr>
                <w:noProof/>
                <w:webHidden/>
              </w:rPr>
              <w:instrText xml:space="preserve"> PAGEREF _Toc436140484 \h </w:instrText>
            </w:r>
            <w:r>
              <w:rPr>
                <w:noProof/>
                <w:webHidden/>
              </w:rPr>
            </w:r>
            <w:r>
              <w:rPr>
                <w:noProof/>
                <w:webHidden/>
              </w:rPr>
              <w:fldChar w:fldCharType="separate"/>
            </w:r>
            <w:r>
              <w:rPr>
                <w:noProof/>
                <w:webHidden/>
              </w:rPr>
              <w:t>47</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85" w:history="1">
            <w:r w:rsidRPr="00A71141">
              <w:rPr>
                <w:rStyle w:val="Hyperlink"/>
                <w:noProof/>
              </w:rPr>
              <w:t>Clinical questions</w:t>
            </w:r>
            <w:r>
              <w:rPr>
                <w:noProof/>
                <w:webHidden/>
              </w:rPr>
              <w:tab/>
            </w:r>
            <w:r>
              <w:rPr>
                <w:noProof/>
                <w:webHidden/>
              </w:rPr>
              <w:fldChar w:fldCharType="begin"/>
            </w:r>
            <w:r>
              <w:rPr>
                <w:noProof/>
                <w:webHidden/>
              </w:rPr>
              <w:instrText xml:space="preserve"> PAGEREF _Toc436140485 \h </w:instrText>
            </w:r>
            <w:r>
              <w:rPr>
                <w:noProof/>
                <w:webHidden/>
              </w:rPr>
            </w:r>
            <w:r>
              <w:rPr>
                <w:noProof/>
                <w:webHidden/>
              </w:rPr>
              <w:fldChar w:fldCharType="separate"/>
            </w:r>
            <w:r>
              <w:rPr>
                <w:noProof/>
                <w:webHidden/>
              </w:rPr>
              <w:t>47</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86" w:history="1">
            <w:r w:rsidRPr="00A71141">
              <w:rPr>
                <w:rStyle w:val="Hyperlink"/>
                <w:noProof/>
              </w:rPr>
              <w:t>Population pharmacokinetics</w:t>
            </w:r>
            <w:r>
              <w:rPr>
                <w:noProof/>
                <w:webHidden/>
              </w:rPr>
              <w:tab/>
            </w:r>
            <w:r>
              <w:rPr>
                <w:noProof/>
                <w:webHidden/>
              </w:rPr>
              <w:fldChar w:fldCharType="begin"/>
            </w:r>
            <w:r>
              <w:rPr>
                <w:noProof/>
                <w:webHidden/>
              </w:rPr>
              <w:instrText xml:space="preserve"> PAGEREF _Toc436140486 \h </w:instrText>
            </w:r>
            <w:r>
              <w:rPr>
                <w:noProof/>
                <w:webHidden/>
              </w:rPr>
            </w:r>
            <w:r>
              <w:rPr>
                <w:noProof/>
                <w:webHidden/>
              </w:rPr>
              <w:fldChar w:fldCharType="separate"/>
            </w:r>
            <w:r>
              <w:rPr>
                <w:noProof/>
                <w:webHidden/>
              </w:rPr>
              <w:t>48</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87" w:history="1">
            <w:r w:rsidRPr="00A71141">
              <w:rPr>
                <w:rStyle w:val="Hyperlink"/>
                <w:noProof/>
              </w:rPr>
              <w:t>First round benefit-risk assessment</w:t>
            </w:r>
            <w:r>
              <w:rPr>
                <w:noProof/>
                <w:webHidden/>
              </w:rPr>
              <w:tab/>
            </w:r>
            <w:r>
              <w:rPr>
                <w:noProof/>
                <w:webHidden/>
              </w:rPr>
              <w:fldChar w:fldCharType="begin"/>
            </w:r>
            <w:r>
              <w:rPr>
                <w:noProof/>
                <w:webHidden/>
              </w:rPr>
              <w:instrText xml:space="preserve"> PAGEREF _Toc436140487 \h </w:instrText>
            </w:r>
            <w:r>
              <w:rPr>
                <w:noProof/>
                <w:webHidden/>
              </w:rPr>
            </w:r>
            <w:r>
              <w:rPr>
                <w:noProof/>
                <w:webHidden/>
              </w:rPr>
              <w:fldChar w:fldCharType="separate"/>
            </w:r>
            <w:r>
              <w:rPr>
                <w:noProof/>
                <w:webHidden/>
              </w:rPr>
              <w:t>50</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88" w:history="1">
            <w:r w:rsidRPr="00A71141">
              <w:rPr>
                <w:rStyle w:val="Hyperlink"/>
                <w:noProof/>
              </w:rPr>
              <w:t>First round recommendation regarding authorisation</w:t>
            </w:r>
            <w:r>
              <w:rPr>
                <w:noProof/>
                <w:webHidden/>
              </w:rPr>
              <w:tab/>
            </w:r>
            <w:r>
              <w:rPr>
                <w:noProof/>
                <w:webHidden/>
              </w:rPr>
              <w:fldChar w:fldCharType="begin"/>
            </w:r>
            <w:r>
              <w:rPr>
                <w:noProof/>
                <w:webHidden/>
              </w:rPr>
              <w:instrText xml:space="preserve"> PAGEREF _Toc436140488 \h </w:instrText>
            </w:r>
            <w:r>
              <w:rPr>
                <w:noProof/>
                <w:webHidden/>
              </w:rPr>
            </w:r>
            <w:r>
              <w:rPr>
                <w:noProof/>
                <w:webHidden/>
              </w:rPr>
              <w:fldChar w:fldCharType="separate"/>
            </w:r>
            <w:r>
              <w:rPr>
                <w:noProof/>
                <w:webHidden/>
              </w:rPr>
              <w:t>51</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89" w:history="1">
            <w:r w:rsidRPr="00A71141">
              <w:rPr>
                <w:rStyle w:val="Hyperlink"/>
                <w:noProof/>
              </w:rPr>
              <w:t>Clinical questions</w:t>
            </w:r>
            <w:r>
              <w:rPr>
                <w:noProof/>
                <w:webHidden/>
              </w:rPr>
              <w:tab/>
            </w:r>
            <w:r>
              <w:rPr>
                <w:noProof/>
                <w:webHidden/>
              </w:rPr>
              <w:fldChar w:fldCharType="begin"/>
            </w:r>
            <w:r>
              <w:rPr>
                <w:noProof/>
                <w:webHidden/>
              </w:rPr>
              <w:instrText xml:space="preserve"> PAGEREF _Toc436140489 \h </w:instrText>
            </w:r>
            <w:r>
              <w:rPr>
                <w:noProof/>
                <w:webHidden/>
              </w:rPr>
            </w:r>
            <w:r>
              <w:rPr>
                <w:noProof/>
                <w:webHidden/>
              </w:rPr>
              <w:fldChar w:fldCharType="separate"/>
            </w:r>
            <w:r>
              <w:rPr>
                <w:noProof/>
                <w:webHidden/>
              </w:rPr>
              <w:t>51</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90" w:history="1">
            <w:r w:rsidRPr="00A71141">
              <w:rPr>
                <w:rStyle w:val="Hyperlink"/>
                <w:noProof/>
              </w:rPr>
              <w:t>Second round benefit-risk assessment</w:t>
            </w:r>
            <w:r>
              <w:rPr>
                <w:noProof/>
                <w:webHidden/>
              </w:rPr>
              <w:tab/>
            </w:r>
            <w:r>
              <w:rPr>
                <w:noProof/>
                <w:webHidden/>
              </w:rPr>
              <w:fldChar w:fldCharType="begin"/>
            </w:r>
            <w:r>
              <w:rPr>
                <w:noProof/>
                <w:webHidden/>
              </w:rPr>
              <w:instrText xml:space="preserve"> PAGEREF _Toc436140490 \h </w:instrText>
            </w:r>
            <w:r>
              <w:rPr>
                <w:noProof/>
                <w:webHidden/>
              </w:rPr>
            </w:r>
            <w:r>
              <w:rPr>
                <w:noProof/>
                <w:webHidden/>
              </w:rPr>
              <w:fldChar w:fldCharType="separate"/>
            </w:r>
            <w:r>
              <w:rPr>
                <w:noProof/>
                <w:webHidden/>
              </w:rPr>
              <w:t>52</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91" w:history="1">
            <w:r w:rsidRPr="00A71141">
              <w:rPr>
                <w:rStyle w:val="Hyperlink"/>
                <w:noProof/>
              </w:rPr>
              <w:t>Second round recommendation regarding authorisation</w:t>
            </w:r>
            <w:r>
              <w:rPr>
                <w:noProof/>
                <w:webHidden/>
              </w:rPr>
              <w:tab/>
            </w:r>
            <w:r>
              <w:rPr>
                <w:noProof/>
                <w:webHidden/>
              </w:rPr>
              <w:fldChar w:fldCharType="begin"/>
            </w:r>
            <w:r>
              <w:rPr>
                <w:noProof/>
                <w:webHidden/>
              </w:rPr>
              <w:instrText xml:space="preserve"> PAGEREF _Toc436140491 \h </w:instrText>
            </w:r>
            <w:r>
              <w:rPr>
                <w:noProof/>
                <w:webHidden/>
              </w:rPr>
            </w:r>
            <w:r>
              <w:rPr>
                <w:noProof/>
                <w:webHidden/>
              </w:rPr>
              <w:fldChar w:fldCharType="separate"/>
            </w:r>
            <w:r>
              <w:rPr>
                <w:noProof/>
                <w:webHidden/>
              </w:rPr>
              <w:t>52</w:t>
            </w:r>
            <w:r>
              <w:rPr>
                <w:noProof/>
                <w:webHidden/>
              </w:rPr>
              <w:fldChar w:fldCharType="end"/>
            </w:r>
          </w:hyperlink>
        </w:p>
        <w:p w:rsidR="00E93AA7" w:rsidRDefault="00E93AA7">
          <w:pPr>
            <w:pStyle w:val="TOC2"/>
            <w:rPr>
              <w:rFonts w:asciiTheme="minorHAnsi" w:eastAsiaTheme="minorEastAsia" w:hAnsiTheme="minorHAnsi" w:cstheme="minorBidi"/>
              <w:b w:val="0"/>
              <w:noProof/>
              <w:sz w:val="22"/>
              <w:lang w:eastAsia="en-AU"/>
            </w:rPr>
          </w:pPr>
          <w:hyperlink w:anchor="_Toc436140492" w:history="1">
            <w:r w:rsidRPr="00A71141">
              <w:rPr>
                <w:rStyle w:val="Hyperlink"/>
                <w:noProof/>
              </w:rPr>
              <w:t>V. Pharmacovigilance findings</w:t>
            </w:r>
            <w:r>
              <w:rPr>
                <w:noProof/>
                <w:webHidden/>
              </w:rPr>
              <w:tab/>
            </w:r>
            <w:r>
              <w:rPr>
                <w:noProof/>
                <w:webHidden/>
              </w:rPr>
              <w:fldChar w:fldCharType="begin"/>
            </w:r>
            <w:r>
              <w:rPr>
                <w:noProof/>
                <w:webHidden/>
              </w:rPr>
              <w:instrText xml:space="preserve"> PAGEREF _Toc436140492 \h </w:instrText>
            </w:r>
            <w:r>
              <w:rPr>
                <w:noProof/>
                <w:webHidden/>
              </w:rPr>
            </w:r>
            <w:r>
              <w:rPr>
                <w:noProof/>
                <w:webHidden/>
              </w:rPr>
              <w:fldChar w:fldCharType="separate"/>
            </w:r>
            <w:r>
              <w:rPr>
                <w:noProof/>
                <w:webHidden/>
              </w:rPr>
              <w:t>52</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93" w:history="1">
            <w:r w:rsidRPr="00A71141">
              <w:rPr>
                <w:rStyle w:val="Hyperlink"/>
                <w:noProof/>
                <w:lang w:eastAsia="en-AU"/>
              </w:rPr>
              <w:t xml:space="preserve">Risk </w:t>
            </w:r>
            <w:r w:rsidRPr="00A71141">
              <w:rPr>
                <w:rStyle w:val="Hyperlink"/>
                <w:noProof/>
              </w:rPr>
              <w:t>management</w:t>
            </w:r>
            <w:r w:rsidRPr="00A71141">
              <w:rPr>
                <w:rStyle w:val="Hyperlink"/>
                <w:noProof/>
                <w:lang w:eastAsia="en-AU"/>
              </w:rPr>
              <w:t xml:space="preserve"> plan</w:t>
            </w:r>
            <w:r>
              <w:rPr>
                <w:noProof/>
                <w:webHidden/>
              </w:rPr>
              <w:tab/>
            </w:r>
            <w:r>
              <w:rPr>
                <w:noProof/>
                <w:webHidden/>
              </w:rPr>
              <w:fldChar w:fldCharType="begin"/>
            </w:r>
            <w:r>
              <w:rPr>
                <w:noProof/>
                <w:webHidden/>
              </w:rPr>
              <w:instrText xml:space="preserve"> PAGEREF _Toc436140493 \h </w:instrText>
            </w:r>
            <w:r>
              <w:rPr>
                <w:noProof/>
                <w:webHidden/>
              </w:rPr>
            </w:r>
            <w:r>
              <w:rPr>
                <w:noProof/>
                <w:webHidden/>
              </w:rPr>
              <w:fldChar w:fldCharType="separate"/>
            </w:r>
            <w:r>
              <w:rPr>
                <w:noProof/>
                <w:webHidden/>
              </w:rPr>
              <w:t>52</w:t>
            </w:r>
            <w:r>
              <w:rPr>
                <w:noProof/>
                <w:webHidden/>
              </w:rPr>
              <w:fldChar w:fldCharType="end"/>
            </w:r>
          </w:hyperlink>
        </w:p>
        <w:p w:rsidR="00E93AA7" w:rsidRDefault="00E93AA7">
          <w:pPr>
            <w:pStyle w:val="TOC2"/>
            <w:rPr>
              <w:rFonts w:asciiTheme="minorHAnsi" w:eastAsiaTheme="minorEastAsia" w:hAnsiTheme="minorHAnsi" w:cstheme="minorBidi"/>
              <w:b w:val="0"/>
              <w:noProof/>
              <w:sz w:val="22"/>
              <w:lang w:eastAsia="en-AU"/>
            </w:rPr>
          </w:pPr>
          <w:hyperlink w:anchor="_Toc436140494" w:history="1">
            <w:r w:rsidRPr="00A71141">
              <w:rPr>
                <w:rStyle w:val="Hyperlink"/>
                <w:noProof/>
              </w:rPr>
              <w:t>VI. Overall conclusion and risk/benefit assessment</w:t>
            </w:r>
            <w:r>
              <w:rPr>
                <w:noProof/>
                <w:webHidden/>
              </w:rPr>
              <w:tab/>
            </w:r>
            <w:r>
              <w:rPr>
                <w:noProof/>
                <w:webHidden/>
              </w:rPr>
              <w:fldChar w:fldCharType="begin"/>
            </w:r>
            <w:r>
              <w:rPr>
                <w:noProof/>
                <w:webHidden/>
              </w:rPr>
              <w:instrText xml:space="preserve"> PAGEREF _Toc436140494 \h </w:instrText>
            </w:r>
            <w:r>
              <w:rPr>
                <w:noProof/>
                <w:webHidden/>
              </w:rPr>
            </w:r>
            <w:r>
              <w:rPr>
                <w:noProof/>
                <w:webHidden/>
              </w:rPr>
              <w:fldChar w:fldCharType="separate"/>
            </w:r>
            <w:r>
              <w:rPr>
                <w:noProof/>
                <w:webHidden/>
              </w:rPr>
              <w:t>70</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95" w:history="1">
            <w:r w:rsidRPr="00A71141">
              <w:rPr>
                <w:rStyle w:val="Hyperlink"/>
                <w:noProof/>
              </w:rPr>
              <w:t>Quality</w:t>
            </w:r>
            <w:r>
              <w:rPr>
                <w:noProof/>
                <w:webHidden/>
              </w:rPr>
              <w:tab/>
            </w:r>
            <w:r>
              <w:rPr>
                <w:noProof/>
                <w:webHidden/>
              </w:rPr>
              <w:fldChar w:fldCharType="begin"/>
            </w:r>
            <w:r>
              <w:rPr>
                <w:noProof/>
                <w:webHidden/>
              </w:rPr>
              <w:instrText xml:space="preserve"> PAGEREF _Toc436140495 \h </w:instrText>
            </w:r>
            <w:r>
              <w:rPr>
                <w:noProof/>
                <w:webHidden/>
              </w:rPr>
            </w:r>
            <w:r>
              <w:rPr>
                <w:noProof/>
                <w:webHidden/>
              </w:rPr>
              <w:fldChar w:fldCharType="separate"/>
            </w:r>
            <w:r>
              <w:rPr>
                <w:noProof/>
                <w:webHidden/>
              </w:rPr>
              <w:t>70</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96" w:history="1">
            <w:r w:rsidRPr="00A71141">
              <w:rPr>
                <w:rStyle w:val="Hyperlink"/>
                <w:noProof/>
              </w:rPr>
              <w:t>Nonclinical</w:t>
            </w:r>
            <w:r>
              <w:rPr>
                <w:noProof/>
                <w:webHidden/>
              </w:rPr>
              <w:tab/>
            </w:r>
            <w:r>
              <w:rPr>
                <w:noProof/>
                <w:webHidden/>
              </w:rPr>
              <w:fldChar w:fldCharType="begin"/>
            </w:r>
            <w:r>
              <w:rPr>
                <w:noProof/>
                <w:webHidden/>
              </w:rPr>
              <w:instrText xml:space="preserve"> PAGEREF _Toc436140496 \h </w:instrText>
            </w:r>
            <w:r>
              <w:rPr>
                <w:noProof/>
                <w:webHidden/>
              </w:rPr>
            </w:r>
            <w:r>
              <w:rPr>
                <w:noProof/>
                <w:webHidden/>
              </w:rPr>
              <w:fldChar w:fldCharType="separate"/>
            </w:r>
            <w:r>
              <w:rPr>
                <w:noProof/>
                <w:webHidden/>
              </w:rPr>
              <w:t>70</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97" w:history="1">
            <w:r w:rsidRPr="00A71141">
              <w:rPr>
                <w:rStyle w:val="Hyperlink"/>
                <w:noProof/>
              </w:rPr>
              <w:t>Clinical</w:t>
            </w:r>
            <w:r>
              <w:rPr>
                <w:noProof/>
                <w:webHidden/>
              </w:rPr>
              <w:tab/>
            </w:r>
            <w:r>
              <w:rPr>
                <w:noProof/>
                <w:webHidden/>
              </w:rPr>
              <w:fldChar w:fldCharType="begin"/>
            </w:r>
            <w:r>
              <w:rPr>
                <w:noProof/>
                <w:webHidden/>
              </w:rPr>
              <w:instrText xml:space="preserve"> PAGEREF _Toc436140497 \h </w:instrText>
            </w:r>
            <w:r>
              <w:rPr>
                <w:noProof/>
                <w:webHidden/>
              </w:rPr>
            </w:r>
            <w:r>
              <w:rPr>
                <w:noProof/>
                <w:webHidden/>
              </w:rPr>
              <w:fldChar w:fldCharType="separate"/>
            </w:r>
            <w:r>
              <w:rPr>
                <w:noProof/>
                <w:webHidden/>
              </w:rPr>
              <w:t>70</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98" w:history="1">
            <w:r w:rsidRPr="00A71141">
              <w:rPr>
                <w:rStyle w:val="Hyperlink"/>
                <w:noProof/>
              </w:rPr>
              <w:t>Risk management plan</w:t>
            </w:r>
            <w:r>
              <w:rPr>
                <w:noProof/>
                <w:webHidden/>
              </w:rPr>
              <w:tab/>
            </w:r>
            <w:r>
              <w:rPr>
                <w:noProof/>
                <w:webHidden/>
              </w:rPr>
              <w:fldChar w:fldCharType="begin"/>
            </w:r>
            <w:r>
              <w:rPr>
                <w:noProof/>
                <w:webHidden/>
              </w:rPr>
              <w:instrText xml:space="preserve"> PAGEREF _Toc436140498 \h </w:instrText>
            </w:r>
            <w:r>
              <w:rPr>
                <w:noProof/>
                <w:webHidden/>
              </w:rPr>
            </w:r>
            <w:r>
              <w:rPr>
                <w:noProof/>
                <w:webHidden/>
              </w:rPr>
              <w:fldChar w:fldCharType="separate"/>
            </w:r>
            <w:r>
              <w:rPr>
                <w:noProof/>
                <w:webHidden/>
              </w:rPr>
              <w:t>82</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499" w:history="1">
            <w:r w:rsidRPr="00A71141">
              <w:rPr>
                <w:rStyle w:val="Hyperlink"/>
                <w:noProof/>
              </w:rPr>
              <w:t>Proposed regulatory action and indication</w:t>
            </w:r>
            <w:r>
              <w:rPr>
                <w:noProof/>
                <w:webHidden/>
              </w:rPr>
              <w:tab/>
            </w:r>
            <w:r>
              <w:rPr>
                <w:noProof/>
                <w:webHidden/>
              </w:rPr>
              <w:fldChar w:fldCharType="begin"/>
            </w:r>
            <w:r>
              <w:rPr>
                <w:noProof/>
                <w:webHidden/>
              </w:rPr>
              <w:instrText xml:space="preserve"> PAGEREF _Toc436140499 \h </w:instrText>
            </w:r>
            <w:r>
              <w:rPr>
                <w:noProof/>
                <w:webHidden/>
              </w:rPr>
            </w:r>
            <w:r>
              <w:rPr>
                <w:noProof/>
                <w:webHidden/>
              </w:rPr>
              <w:fldChar w:fldCharType="separate"/>
            </w:r>
            <w:r>
              <w:rPr>
                <w:noProof/>
                <w:webHidden/>
              </w:rPr>
              <w:t>82</w:t>
            </w:r>
            <w:r>
              <w:rPr>
                <w:noProof/>
                <w:webHidden/>
              </w:rPr>
              <w:fldChar w:fldCharType="end"/>
            </w:r>
          </w:hyperlink>
        </w:p>
        <w:p w:rsidR="00E93AA7" w:rsidRDefault="00E93AA7">
          <w:pPr>
            <w:pStyle w:val="TOC3"/>
            <w:rPr>
              <w:rFonts w:asciiTheme="minorHAnsi" w:eastAsiaTheme="minorEastAsia" w:hAnsiTheme="minorHAnsi" w:cstheme="minorBidi"/>
              <w:noProof/>
              <w:lang w:eastAsia="en-AU"/>
            </w:rPr>
          </w:pPr>
          <w:hyperlink w:anchor="_Toc436140500" w:history="1">
            <w:r w:rsidRPr="00A71141">
              <w:rPr>
                <w:rStyle w:val="Hyperlink"/>
                <w:noProof/>
              </w:rPr>
              <w:t>Outcome</w:t>
            </w:r>
            <w:r>
              <w:rPr>
                <w:noProof/>
                <w:webHidden/>
              </w:rPr>
              <w:tab/>
            </w:r>
            <w:r>
              <w:rPr>
                <w:noProof/>
                <w:webHidden/>
              </w:rPr>
              <w:fldChar w:fldCharType="begin"/>
            </w:r>
            <w:r>
              <w:rPr>
                <w:noProof/>
                <w:webHidden/>
              </w:rPr>
              <w:instrText xml:space="preserve"> PAGEREF _Toc436140500 \h </w:instrText>
            </w:r>
            <w:r>
              <w:rPr>
                <w:noProof/>
                <w:webHidden/>
              </w:rPr>
            </w:r>
            <w:r>
              <w:rPr>
                <w:noProof/>
                <w:webHidden/>
              </w:rPr>
              <w:fldChar w:fldCharType="separate"/>
            </w:r>
            <w:r>
              <w:rPr>
                <w:noProof/>
                <w:webHidden/>
              </w:rPr>
              <w:t>92</w:t>
            </w:r>
            <w:r>
              <w:rPr>
                <w:noProof/>
                <w:webHidden/>
              </w:rPr>
              <w:fldChar w:fldCharType="end"/>
            </w:r>
          </w:hyperlink>
        </w:p>
        <w:p w:rsidR="00E93AA7" w:rsidRDefault="00E93AA7">
          <w:pPr>
            <w:pStyle w:val="TOC2"/>
            <w:rPr>
              <w:rFonts w:asciiTheme="minorHAnsi" w:eastAsiaTheme="minorEastAsia" w:hAnsiTheme="minorHAnsi" w:cstheme="minorBidi"/>
              <w:b w:val="0"/>
              <w:noProof/>
              <w:sz w:val="22"/>
              <w:lang w:eastAsia="en-AU"/>
            </w:rPr>
          </w:pPr>
          <w:hyperlink w:anchor="_Toc436140501" w:history="1">
            <w:r w:rsidRPr="00A71141">
              <w:rPr>
                <w:rStyle w:val="Hyperlink"/>
                <w:noProof/>
              </w:rPr>
              <w:t>Attachment 1. Product Information</w:t>
            </w:r>
            <w:r>
              <w:rPr>
                <w:noProof/>
                <w:webHidden/>
              </w:rPr>
              <w:tab/>
            </w:r>
            <w:r>
              <w:rPr>
                <w:noProof/>
                <w:webHidden/>
              </w:rPr>
              <w:fldChar w:fldCharType="begin"/>
            </w:r>
            <w:r>
              <w:rPr>
                <w:noProof/>
                <w:webHidden/>
              </w:rPr>
              <w:instrText xml:space="preserve"> PAGEREF _Toc436140501 \h </w:instrText>
            </w:r>
            <w:r>
              <w:rPr>
                <w:noProof/>
                <w:webHidden/>
              </w:rPr>
            </w:r>
            <w:r>
              <w:rPr>
                <w:noProof/>
                <w:webHidden/>
              </w:rPr>
              <w:fldChar w:fldCharType="separate"/>
            </w:r>
            <w:r>
              <w:rPr>
                <w:noProof/>
                <w:webHidden/>
              </w:rPr>
              <w:t>93</w:t>
            </w:r>
            <w:r>
              <w:rPr>
                <w:noProof/>
                <w:webHidden/>
              </w:rPr>
              <w:fldChar w:fldCharType="end"/>
            </w:r>
          </w:hyperlink>
        </w:p>
        <w:p w:rsidR="00E93AA7" w:rsidRDefault="00E93AA7">
          <w:pPr>
            <w:pStyle w:val="TOC2"/>
            <w:rPr>
              <w:rFonts w:asciiTheme="minorHAnsi" w:eastAsiaTheme="minorEastAsia" w:hAnsiTheme="minorHAnsi" w:cstheme="minorBidi"/>
              <w:b w:val="0"/>
              <w:noProof/>
              <w:sz w:val="22"/>
              <w:lang w:eastAsia="en-AU"/>
            </w:rPr>
          </w:pPr>
          <w:hyperlink w:anchor="_Toc436140502" w:history="1">
            <w:r w:rsidRPr="00A71141">
              <w:rPr>
                <w:rStyle w:val="Hyperlink"/>
                <w:noProof/>
                <w:lang w:eastAsia="en-AU"/>
              </w:rPr>
              <w:t xml:space="preserve">Attachment 2. </w:t>
            </w:r>
            <w:r w:rsidRPr="00A71141">
              <w:rPr>
                <w:rStyle w:val="Hyperlink"/>
                <w:noProof/>
              </w:rPr>
              <w:t>Extract</w:t>
            </w:r>
            <w:r w:rsidRPr="00A71141">
              <w:rPr>
                <w:rStyle w:val="Hyperlink"/>
                <w:noProof/>
                <w:lang w:eastAsia="en-AU"/>
              </w:rPr>
              <w:t xml:space="preserve"> from the Clinical Evaluation Report</w:t>
            </w:r>
            <w:r>
              <w:rPr>
                <w:noProof/>
                <w:webHidden/>
              </w:rPr>
              <w:tab/>
            </w:r>
            <w:r>
              <w:rPr>
                <w:noProof/>
                <w:webHidden/>
              </w:rPr>
              <w:fldChar w:fldCharType="begin"/>
            </w:r>
            <w:r>
              <w:rPr>
                <w:noProof/>
                <w:webHidden/>
              </w:rPr>
              <w:instrText xml:space="preserve"> PAGEREF _Toc436140502 \h </w:instrText>
            </w:r>
            <w:r>
              <w:rPr>
                <w:noProof/>
                <w:webHidden/>
              </w:rPr>
            </w:r>
            <w:r>
              <w:rPr>
                <w:noProof/>
                <w:webHidden/>
              </w:rPr>
              <w:fldChar w:fldCharType="separate"/>
            </w:r>
            <w:r>
              <w:rPr>
                <w:noProof/>
                <w:webHidden/>
              </w:rPr>
              <w:t>93</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rsidP="00DB1945">
      <w:r>
        <w:br w:type="page"/>
      </w:r>
    </w:p>
    <w:p w:rsidR="00FD119B" w:rsidRPr="00FD119B" w:rsidRDefault="00FD119B" w:rsidP="00DB1945">
      <w:pPr>
        <w:pStyle w:val="Heading2"/>
      </w:pPr>
      <w:bookmarkStart w:id="4" w:name="_Toc351716269"/>
      <w:bookmarkStart w:id="5" w:name="_Toc351718881"/>
      <w:bookmarkStart w:id="6" w:name="_Toc355338616"/>
      <w:bookmarkStart w:id="7" w:name="_Toc356306144"/>
      <w:bookmarkStart w:id="8" w:name="_Toc436140459"/>
      <w:r w:rsidRPr="00FD119B">
        <w:lastRenderedPageBreak/>
        <w:t xml:space="preserve">List of </w:t>
      </w:r>
      <w:r w:rsidRPr="00DB1945">
        <w:t>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FD119B" w:rsidRPr="00FD119B" w:rsidTr="00DB1945">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DB1945">
            <w:pPr>
              <w:rPr>
                <w:lang w:eastAsia="en-US"/>
              </w:rPr>
            </w:pPr>
            <w:r w:rsidRPr="00FD119B">
              <w:rPr>
                <w:lang w:eastAsia="en-US"/>
              </w:rPr>
              <w:t>Abbreviation</w:t>
            </w:r>
          </w:p>
        </w:tc>
        <w:tc>
          <w:tcPr>
            <w:tcW w:w="6911" w:type="dxa"/>
          </w:tcPr>
          <w:p w:rsidR="00FD119B" w:rsidRPr="00FD119B" w:rsidRDefault="00FD119B" w:rsidP="00DB1945">
            <w:pPr>
              <w:rPr>
                <w:lang w:eastAsia="en-US"/>
              </w:rPr>
            </w:pPr>
            <w:r w:rsidRPr="00FD119B">
              <w:rPr>
                <w:lang w:eastAsia="en-US"/>
              </w:rPr>
              <w:t>Meaning</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ACPM</w:t>
            </w:r>
          </w:p>
        </w:tc>
        <w:tc>
          <w:tcPr>
            <w:tcW w:w="6911" w:type="dxa"/>
          </w:tcPr>
          <w:p w:rsidR="009474AD" w:rsidRPr="00FD119B" w:rsidRDefault="009474AD" w:rsidP="00DB1945">
            <w:pPr>
              <w:rPr>
                <w:color w:val="auto"/>
                <w:lang w:eastAsia="en-US"/>
              </w:rPr>
            </w:pPr>
            <w:r w:rsidRPr="0023104B">
              <w:rPr>
                <w:color w:val="auto"/>
                <w:lang w:eastAsia="en-US"/>
              </w:rPr>
              <w:t>Advisory Committee on Prescription Medicines</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AE</w:t>
            </w:r>
          </w:p>
        </w:tc>
        <w:tc>
          <w:tcPr>
            <w:tcW w:w="6911" w:type="dxa"/>
          </w:tcPr>
          <w:p w:rsidR="009474AD" w:rsidRPr="00FD119B" w:rsidRDefault="009474AD" w:rsidP="00DB1945">
            <w:pPr>
              <w:rPr>
                <w:color w:val="auto"/>
                <w:lang w:eastAsia="en-US"/>
              </w:rPr>
            </w:pPr>
            <w:r>
              <w:rPr>
                <w:color w:val="auto"/>
                <w:lang w:eastAsia="en-US"/>
              </w:rPr>
              <w:t>adverse event</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AMP</w:t>
            </w:r>
          </w:p>
        </w:tc>
        <w:tc>
          <w:tcPr>
            <w:tcW w:w="6911" w:type="dxa"/>
          </w:tcPr>
          <w:p w:rsidR="009474AD" w:rsidRPr="00FD119B" w:rsidRDefault="009474AD" w:rsidP="00DB1945">
            <w:pPr>
              <w:rPr>
                <w:color w:val="auto"/>
                <w:lang w:eastAsia="en-US"/>
              </w:rPr>
            </w:pPr>
            <w:r w:rsidRPr="0034149E">
              <w:t>adenosine monophosphate</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APR</w:t>
            </w:r>
          </w:p>
        </w:tc>
        <w:tc>
          <w:tcPr>
            <w:tcW w:w="6911" w:type="dxa"/>
          </w:tcPr>
          <w:p w:rsidR="009474AD" w:rsidRPr="00FD119B" w:rsidRDefault="009474AD" w:rsidP="00DB1945">
            <w:pPr>
              <w:rPr>
                <w:color w:val="auto"/>
                <w:lang w:eastAsia="en-US"/>
              </w:rPr>
            </w:pPr>
            <w:r w:rsidRPr="00EE6D80">
              <w:rPr>
                <w:color w:val="auto"/>
                <w:lang w:eastAsia="en-US"/>
              </w:rPr>
              <w:t>apremilast</w:t>
            </w:r>
          </w:p>
        </w:tc>
      </w:tr>
      <w:tr w:rsidR="00FE0D7C" w:rsidRPr="00FD119B" w:rsidTr="00DB1945">
        <w:tc>
          <w:tcPr>
            <w:tcW w:w="1809" w:type="dxa"/>
          </w:tcPr>
          <w:p w:rsidR="00FE0D7C" w:rsidRPr="00FD119B" w:rsidRDefault="00FE0D7C" w:rsidP="00DB1945">
            <w:pPr>
              <w:rPr>
                <w:color w:val="auto"/>
                <w:lang w:eastAsia="en-US"/>
              </w:rPr>
            </w:pPr>
            <w:r>
              <w:rPr>
                <w:color w:val="auto"/>
                <w:lang w:eastAsia="en-US"/>
              </w:rPr>
              <w:t>ASA</w:t>
            </w:r>
          </w:p>
        </w:tc>
        <w:tc>
          <w:tcPr>
            <w:tcW w:w="6911" w:type="dxa"/>
          </w:tcPr>
          <w:p w:rsidR="00FE0D7C" w:rsidRPr="00FD119B" w:rsidRDefault="00FE0D7C" w:rsidP="00DB1945">
            <w:pPr>
              <w:rPr>
                <w:color w:val="auto"/>
                <w:lang w:eastAsia="en-US"/>
              </w:rPr>
            </w:pPr>
            <w:r w:rsidRPr="00BF3FA6">
              <w:t>Australian Specific Annex</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AUC</w:t>
            </w:r>
          </w:p>
        </w:tc>
        <w:tc>
          <w:tcPr>
            <w:tcW w:w="6911" w:type="dxa"/>
          </w:tcPr>
          <w:p w:rsidR="009474AD" w:rsidRPr="00FD119B" w:rsidRDefault="009474AD" w:rsidP="00DB1945">
            <w:pPr>
              <w:rPr>
                <w:color w:val="auto"/>
                <w:lang w:eastAsia="en-US"/>
              </w:rPr>
            </w:pPr>
            <w:r>
              <w:t xml:space="preserve">area under the plasma </w:t>
            </w:r>
            <w:r w:rsidRPr="00F95A9E">
              <w:t>concentration-time curve</w:t>
            </w:r>
          </w:p>
        </w:tc>
      </w:tr>
      <w:tr w:rsidR="009474AD" w:rsidRPr="00FD119B" w:rsidTr="00DB1945">
        <w:tc>
          <w:tcPr>
            <w:tcW w:w="1809" w:type="dxa"/>
          </w:tcPr>
          <w:p w:rsidR="009474AD" w:rsidRPr="00FD119B" w:rsidRDefault="009474AD" w:rsidP="00DB1945">
            <w:pPr>
              <w:rPr>
                <w:color w:val="auto"/>
                <w:lang w:eastAsia="en-US"/>
              </w:rPr>
            </w:pPr>
            <w:r w:rsidRPr="000A4223">
              <w:t>BID</w:t>
            </w:r>
          </w:p>
        </w:tc>
        <w:tc>
          <w:tcPr>
            <w:tcW w:w="6911" w:type="dxa"/>
          </w:tcPr>
          <w:p w:rsidR="009474AD" w:rsidRPr="00FD119B" w:rsidRDefault="009474AD" w:rsidP="00DB1945">
            <w:pPr>
              <w:rPr>
                <w:color w:val="auto"/>
                <w:lang w:eastAsia="en-US"/>
              </w:rPr>
            </w:pPr>
            <w:r>
              <w:rPr>
                <w:color w:val="auto"/>
                <w:lang w:eastAsia="en-US"/>
              </w:rPr>
              <w:t>twice daily</w:t>
            </w:r>
          </w:p>
        </w:tc>
      </w:tr>
      <w:tr w:rsidR="00FE0D7C" w:rsidRPr="00FD119B" w:rsidTr="00DB1945">
        <w:tc>
          <w:tcPr>
            <w:tcW w:w="1809" w:type="dxa"/>
          </w:tcPr>
          <w:p w:rsidR="00FE0D7C" w:rsidRPr="00FD119B" w:rsidRDefault="00FE0D7C" w:rsidP="00DB1945">
            <w:pPr>
              <w:rPr>
                <w:color w:val="auto"/>
                <w:lang w:eastAsia="en-US"/>
              </w:rPr>
            </w:pPr>
            <w:r>
              <w:rPr>
                <w:color w:val="auto"/>
                <w:lang w:eastAsia="en-US"/>
              </w:rPr>
              <w:t>BMI</w:t>
            </w:r>
          </w:p>
        </w:tc>
        <w:tc>
          <w:tcPr>
            <w:tcW w:w="6911" w:type="dxa"/>
          </w:tcPr>
          <w:p w:rsidR="00FE0D7C" w:rsidRPr="00FD119B" w:rsidRDefault="00FE0D7C" w:rsidP="00DB1945">
            <w:pPr>
              <w:rPr>
                <w:color w:val="auto"/>
                <w:lang w:eastAsia="en-US"/>
              </w:rPr>
            </w:pPr>
            <w:r>
              <w:rPr>
                <w:color w:val="auto"/>
                <w:lang w:eastAsia="en-US"/>
              </w:rPr>
              <w:t>body mass index</w:t>
            </w:r>
          </w:p>
        </w:tc>
      </w:tr>
      <w:tr w:rsidR="00FE0D7C" w:rsidRPr="00FD119B" w:rsidTr="00DB1945">
        <w:tc>
          <w:tcPr>
            <w:tcW w:w="1809" w:type="dxa"/>
          </w:tcPr>
          <w:p w:rsidR="00FE0D7C" w:rsidRPr="00FD119B" w:rsidRDefault="00FE0D7C" w:rsidP="00DB1945">
            <w:pPr>
              <w:rPr>
                <w:color w:val="auto"/>
                <w:lang w:eastAsia="en-US"/>
              </w:rPr>
            </w:pPr>
            <w:r>
              <w:rPr>
                <w:color w:val="auto"/>
                <w:lang w:eastAsia="en-US"/>
              </w:rPr>
              <w:t>BSA</w:t>
            </w:r>
          </w:p>
        </w:tc>
        <w:tc>
          <w:tcPr>
            <w:tcW w:w="6911" w:type="dxa"/>
          </w:tcPr>
          <w:p w:rsidR="00FE0D7C" w:rsidRPr="00FD119B" w:rsidRDefault="00FE0D7C" w:rsidP="00DB1945">
            <w:pPr>
              <w:rPr>
                <w:color w:val="auto"/>
                <w:lang w:eastAsia="en-US"/>
              </w:rPr>
            </w:pPr>
            <w:r w:rsidRPr="00D96EF6">
              <w:t>Body Surface Area</w:t>
            </w:r>
          </w:p>
        </w:tc>
      </w:tr>
      <w:tr w:rsidR="009474AD" w:rsidRPr="00FD119B" w:rsidTr="00DB1945">
        <w:tc>
          <w:tcPr>
            <w:tcW w:w="1809" w:type="dxa"/>
          </w:tcPr>
          <w:p w:rsidR="009474AD" w:rsidRPr="00FD119B" w:rsidRDefault="009474AD" w:rsidP="00DB1945">
            <w:pPr>
              <w:rPr>
                <w:color w:val="auto"/>
                <w:lang w:eastAsia="en-US"/>
              </w:rPr>
            </w:pPr>
            <w:proofErr w:type="spellStart"/>
            <w:r>
              <w:rPr>
                <w:color w:val="auto"/>
                <w:lang w:eastAsia="en-US"/>
              </w:rPr>
              <w:t>cAMP</w:t>
            </w:r>
            <w:proofErr w:type="spellEnd"/>
          </w:p>
        </w:tc>
        <w:tc>
          <w:tcPr>
            <w:tcW w:w="6911" w:type="dxa"/>
          </w:tcPr>
          <w:p w:rsidR="009474AD" w:rsidRPr="00FD119B" w:rsidRDefault="009474AD" w:rsidP="00DB1945">
            <w:pPr>
              <w:rPr>
                <w:color w:val="auto"/>
                <w:lang w:eastAsia="en-US"/>
              </w:rPr>
            </w:pPr>
            <w:r w:rsidRPr="0034149E">
              <w:t>cyclic adenosine monophosphate</w:t>
            </w:r>
          </w:p>
        </w:tc>
      </w:tr>
      <w:tr w:rsidR="009474AD" w:rsidRPr="00FD119B" w:rsidTr="00DB1945">
        <w:tc>
          <w:tcPr>
            <w:tcW w:w="1809" w:type="dxa"/>
          </w:tcPr>
          <w:p w:rsidR="009474AD" w:rsidRPr="00FD119B" w:rsidRDefault="009474AD" w:rsidP="00DB1945">
            <w:pPr>
              <w:rPr>
                <w:color w:val="auto"/>
                <w:lang w:eastAsia="en-US"/>
              </w:rPr>
            </w:pPr>
            <w:proofErr w:type="spellStart"/>
            <w:r>
              <w:rPr>
                <w:color w:val="auto"/>
                <w:lang w:eastAsia="en-US"/>
              </w:rPr>
              <w:t>Cmax</w:t>
            </w:r>
            <w:proofErr w:type="spellEnd"/>
          </w:p>
        </w:tc>
        <w:tc>
          <w:tcPr>
            <w:tcW w:w="6911" w:type="dxa"/>
          </w:tcPr>
          <w:p w:rsidR="009474AD" w:rsidRPr="00FD119B" w:rsidRDefault="009474AD" w:rsidP="00DB1945">
            <w:pPr>
              <w:rPr>
                <w:color w:val="auto"/>
                <w:lang w:eastAsia="en-US"/>
              </w:rPr>
            </w:pPr>
            <w:r>
              <w:t>maximum</w:t>
            </w:r>
            <w:r w:rsidRPr="00D4266B">
              <w:t xml:space="preserve"> plasma drug concentration</w:t>
            </w:r>
          </w:p>
        </w:tc>
      </w:tr>
      <w:tr w:rsidR="009474AD" w:rsidRPr="00FD119B" w:rsidTr="00DB1945">
        <w:tc>
          <w:tcPr>
            <w:tcW w:w="1809" w:type="dxa"/>
          </w:tcPr>
          <w:p w:rsidR="009474AD" w:rsidRPr="00FD119B" w:rsidRDefault="009474AD" w:rsidP="00DB1945">
            <w:pPr>
              <w:rPr>
                <w:color w:val="auto"/>
                <w:lang w:eastAsia="en-US"/>
              </w:rPr>
            </w:pPr>
            <w:proofErr w:type="spellStart"/>
            <w:r>
              <w:rPr>
                <w:color w:val="auto"/>
                <w:lang w:eastAsia="en-US"/>
              </w:rPr>
              <w:t>Cmin</w:t>
            </w:r>
            <w:proofErr w:type="spellEnd"/>
          </w:p>
        </w:tc>
        <w:tc>
          <w:tcPr>
            <w:tcW w:w="6911" w:type="dxa"/>
          </w:tcPr>
          <w:p w:rsidR="009474AD" w:rsidRPr="00FD119B" w:rsidRDefault="009474AD" w:rsidP="00DB1945">
            <w:pPr>
              <w:rPr>
                <w:color w:val="auto"/>
                <w:lang w:eastAsia="en-US"/>
              </w:rPr>
            </w:pPr>
            <w:r>
              <w:t>minimum</w:t>
            </w:r>
            <w:r w:rsidRPr="00D4266B">
              <w:t xml:space="preserve"> plasma drug concentration</w:t>
            </w:r>
          </w:p>
        </w:tc>
      </w:tr>
      <w:tr w:rsidR="009474AD" w:rsidRPr="00FD119B" w:rsidTr="00DB1945">
        <w:tc>
          <w:tcPr>
            <w:tcW w:w="1809" w:type="dxa"/>
          </w:tcPr>
          <w:p w:rsidR="009474AD" w:rsidRPr="00FD119B" w:rsidRDefault="009474AD" w:rsidP="00DB1945">
            <w:pPr>
              <w:rPr>
                <w:color w:val="auto"/>
                <w:lang w:eastAsia="en-US"/>
              </w:rPr>
            </w:pPr>
            <w:proofErr w:type="spellStart"/>
            <w:r>
              <w:rPr>
                <w:color w:val="auto"/>
                <w:lang w:eastAsia="en-US"/>
              </w:rPr>
              <w:t>CrCL</w:t>
            </w:r>
            <w:proofErr w:type="spellEnd"/>
          </w:p>
        </w:tc>
        <w:tc>
          <w:tcPr>
            <w:tcW w:w="6911" w:type="dxa"/>
          </w:tcPr>
          <w:p w:rsidR="009474AD" w:rsidRPr="00FD119B" w:rsidRDefault="009474AD" w:rsidP="00DB1945">
            <w:pPr>
              <w:rPr>
                <w:color w:val="auto"/>
                <w:lang w:eastAsia="en-US"/>
              </w:rPr>
            </w:pPr>
            <w:r>
              <w:t>creatinine clearance</w:t>
            </w:r>
          </w:p>
        </w:tc>
      </w:tr>
      <w:tr w:rsidR="00FE0D7C" w:rsidRPr="00FD119B" w:rsidTr="00DB1945">
        <w:tc>
          <w:tcPr>
            <w:tcW w:w="1809" w:type="dxa"/>
          </w:tcPr>
          <w:p w:rsidR="00FE0D7C" w:rsidRPr="00FD119B" w:rsidRDefault="00FE0D7C" w:rsidP="00DB1945">
            <w:pPr>
              <w:rPr>
                <w:color w:val="auto"/>
                <w:lang w:eastAsia="en-US"/>
              </w:rPr>
            </w:pPr>
            <w:r>
              <w:rPr>
                <w:color w:val="auto"/>
                <w:lang w:eastAsia="en-US"/>
              </w:rPr>
              <w:t>CRF</w:t>
            </w:r>
          </w:p>
        </w:tc>
        <w:tc>
          <w:tcPr>
            <w:tcW w:w="6911" w:type="dxa"/>
          </w:tcPr>
          <w:p w:rsidR="00FE0D7C" w:rsidRPr="00FD119B" w:rsidRDefault="00FE0D7C" w:rsidP="00DB1945">
            <w:pPr>
              <w:rPr>
                <w:color w:val="auto"/>
                <w:lang w:eastAsia="en-US"/>
              </w:rPr>
            </w:pPr>
            <w:r>
              <w:t>Case Report Form</w:t>
            </w:r>
          </w:p>
        </w:tc>
      </w:tr>
      <w:tr w:rsidR="00FE0D7C" w:rsidRPr="00FD119B" w:rsidTr="00DB1945">
        <w:tc>
          <w:tcPr>
            <w:tcW w:w="1809" w:type="dxa"/>
          </w:tcPr>
          <w:p w:rsidR="00FE0D7C" w:rsidRPr="00FD119B" w:rsidRDefault="00FE0D7C" w:rsidP="00DB1945">
            <w:pPr>
              <w:rPr>
                <w:color w:val="auto"/>
                <w:lang w:eastAsia="en-US"/>
              </w:rPr>
            </w:pPr>
            <w:proofErr w:type="spellStart"/>
            <w:r>
              <w:t>CsA</w:t>
            </w:r>
            <w:proofErr w:type="spellEnd"/>
          </w:p>
        </w:tc>
        <w:tc>
          <w:tcPr>
            <w:tcW w:w="6911" w:type="dxa"/>
          </w:tcPr>
          <w:p w:rsidR="00FE0D7C" w:rsidRPr="00FD119B" w:rsidRDefault="00FE0D7C" w:rsidP="00DB1945">
            <w:pPr>
              <w:rPr>
                <w:color w:val="auto"/>
                <w:lang w:eastAsia="en-US"/>
              </w:rPr>
            </w:pPr>
            <w:r>
              <w:t>cyclosporine</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DMARD</w:t>
            </w:r>
          </w:p>
        </w:tc>
        <w:tc>
          <w:tcPr>
            <w:tcW w:w="6911" w:type="dxa"/>
          </w:tcPr>
          <w:p w:rsidR="009474AD" w:rsidRPr="00FD119B" w:rsidRDefault="009474AD" w:rsidP="00DB1945">
            <w:pPr>
              <w:rPr>
                <w:color w:val="auto"/>
                <w:lang w:eastAsia="en-US"/>
              </w:rPr>
            </w:pPr>
            <w:r>
              <w:rPr>
                <w:color w:val="auto"/>
                <w:lang w:eastAsia="en-US"/>
              </w:rPr>
              <w:t xml:space="preserve">disease </w:t>
            </w:r>
            <w:r w:rsidRPr="00D96223">
              <w:rPr>
                <w:color w:val="auto"/>
                <w:lang w:eastAsia="en-US"/>
              </w:rPr>
              <w:t>modifying anti</w:t>
            </w:r>
            <w:r>
              <w:rPr>
                <w:color w:val="auto"/>
                <w:lang w:eastAsia="en-US"/>
              </w:rPr>
              <w:t xml:space="preserve"> </w:t>
            </w:r>
            <w:r w:rsidRPr="00D96223">
              <w:rPr>
                <w:color w:val="auto"/>
                <w:lang w:eastAsia="en-US"/>
              </w:rPr>
              <w:t>rhe</w:t>
            </w:r>
            <w:r>
              <w:rPr>
                <w:color w:val="auto"/>
                <w:lang w:eastAsia="en-US"/>
              </w:rPr>
              <w:t>umatic drug</w:t>
            </w:r>
          </w:p>
        </w:tc>
      </w:tr>
      <w:tr w:rsidR="00FE0D7C" w:rsidRPr="00FD119B" w:rsidTr="00DB1945">
        <w:tc>
          <w:tcPr>
            <w:tcW w:w="1809" w:type="dxa"/>
          </w:tcPr>
          <w:p w:rsidR="00FE0D7C" w:rsidRPr="00FD119B" w:rsidRDefault="00FE0D7C" w:rsidP="00DB1945">
            <w:pPr>
              <w:rPr>
                <w:color w:val="auto"/>
                <w:lang w:eastAsia="en-US"/>
              </w:rPr>
            </w:pPr>
            <w:r>
              <w:rPr>
                <w:color w:val="auto"/>
                <w:lang w:eastAsia="en-US"/>
              </w:rPr>
              <w:t>EAIR</w:t>
            </w:r>
          </w:p>
        </w:tc>
        <w:tc>
          <w:tcPr>
            <w:tcW w:w="6911" w:type="dxa"/>
          </w:tcPr>
          <w:p w:rsidR="00FE0D7C" w:rsidRPr="00FD119B" w:rsidRDefault="00FE0D7C" w:rsidP="00DB1945">
            <w:pPr>
              <w:rPr>
                <w:color w:val="auto"/>
                <w:lang w:eastAsia="en-US"/>
              </w:rPr>
            </w:pPr>
            <w:r>
              <w:t>Exposure A</w:t>
            </w:r>
            <w:r w:rsidRPr="007B124B">
              <w:t xml:space="preserve">djusted </w:t>
            </w:r>
            <w:r>
              <w:t>I</w:t>
            </w:r>
            <w:r w:rsidRPr="007B124B">
              <w:t xml:space="preserve">ncidence </w:t>
            </w:r>
            <w:r>
              <w:t>R</w:t>
            </w:r>
            <w:r w:rsidRPr="007B124B">
              <w:t>ate</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EMA</w:t>
            </w:r>
          </w:p>
        </w:tc>
        <w:tc>
          <w:tcPr>
            <w:tcW w:w="6911" w:type="dxa"/>
          </w:tcPr>
          <w:p w:rsidR="009474AD" w:rsidRPr="00FD119B" w:rsidRDefault="009474AD" w:rsidP="00DB1945">
            <w:pPr>
              <w:rPr>
                <w:color w:val="auto"/>
                <w:lang w:eastAsia="en-US"/>
              </w:rPr>
            </w:pPr>
            <w:r w:rsidRPr="0034149E">
              <w:t>E</w:t>
            </w:r>
            <w:r>
              <w:t>uropean Medicines Agency</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FDA</w:t>
            </w:r>
          </w:p>
        </w:tc>
        <w:tc>
          <w:tcPr>
            <w:tcW w:w="6911" w:type="dxa"/>
          </w:tcPr>
          <w:p w:rsidR="009474AD" w:rsidRPr="00FD119B" w:rsidRDefault="009474AD" w:rsidP="00DB1945">
            <w:pPr>
              <w:rPr>
                <w:color w:val="auto"/>
                <w:lang w:eastAsia="en-US"/>
              </w:rPr>
            </w:pPr>
            <w:r>
              <w:t>US Food and Drug Administration</w:t>
            </w:r>
          </w:p>
        </w:tc>
      </w:tr>
      <w:tr w:rsidR="00FE0D7C" w:rsidRPr="00FD119B" w:rsidTr="00DB1945">
        <w:tc>
          <w:tcPr>
            <w:tcW w:w="1809" w:type="dxa"/>
          </w:tcPr>
          <w:p w:rsidR="00FE0D7C" w:rsidRPr="00FD119B" w:rsidRDefault="00FE0D7C" w:rsidP="00DB1945">
            <w:pPr>
              <w:rPr>
                <w:color w:val="auto"/>
                <w:lang w:eastAsia="en-US"/>
              </w:rPr>
            </w:pPr>
            <w:r>
              <w:rPr>
                <w:color w:val="auto"/>
                <w:lang w:eastAsia="en-US"/>
              </w:rPr>
              <w:t>GCP</w:t>
            </w:r>
          </w:p>
        </w:tc>
        <w:tc>
          <w:tcPr>
            <w:tcW w:w="6911" w:type="dxa"/>
          </w:tcPr>
          <w:p w:rsidR="00FE0D7C" w:rsidRPr="00FD119B" w:rsidRDefault="00FE0D7C" w:rsidP="00DB1945">
            <w:pPr>
              <w:rPr>
                <w:color w:val="auto"/>
                <w:lang w:eastAsia="en-US"/>
              </w:rPr>
            </w:pPr>
            <w:r w:rsidRPr="00CC4BCB">
              <w:t>Good Clinical Practice</w:t>
            </w:r>
          </w:p>
        </w:tc>
      </w:tr>
      <w:tr w:rsidR="00FE0D7C" w:rsidRPr="00FD119B" w:rsidTr="00DB1945">
        <w:tc>
          <w:tcPr>
            <w:tcW w:w="1809" w:type="dxa"/>
          </w:tcPr>
          <w:p w:rsidR="00FE0D7C" w:rsidRPr="00FD119B" w:rsidRDefault="00FE0D7C" w:rsidP="00DB1945">
            <w:pPr>
              <w:rPr>
                <w:color w:val="auto"/>
                <w:lang w:eastAsia="en-US"/>
              </w:rPr>
            </w:pPr>
            <w:r w:rsidRPr="00D96EF6">
              <w:t>HAQ</w:t>
            </w:r>
            <w:r>
              <w:t>-DI</w:t>
            </w:r>
          </w:p>
        </w:tc>
        <w:tc>
          <w:tcPr>
            <w:tcW w:w="6911" w:type="dxa"/>
          </w:tcPr>
          <w:p w:rsidR="00FE0D7C" w:rsidRPr="00FD119B" w:rsidRDefault="00FE0D7C" w:rsidP="00DB1945">
            <w:pPr>
              <w:rPr>
                <w:color w:val="auto"/>
                <w:lang w:eastAsia="en-US"/>
              </w:rPr>
            </w:pPr>
            <w:r w:rsidRPr="00416321">
              <w:t>Health Assessment Questionnaire Disability Index</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IC50</w:t>
            </w:r>
          </w:p>
        </w:tc>
        <w:tc>
          <w:tcPr>
            <w:tcW w:w="6911" w:type="dxa"/>
          </w:tcPr>
          <w:p w:rsidR="009474AD" w:rsidRPr="00FD119B" w:rsidRDefault="009474AD" w:rsidP="00DB1945">
            <w:pPr>
              <w:rPr>
                <w:color w:val="auto"/>
                <w:lang w:eastAsia="en-US"/>
              </w:rPr>
            </w:pPr>
            <w:r>
              <w:t>half maximal inhibitory concentration</w:t>
            </w:r>
          </w:p>
        </w:tc>
      </w:tr>
      <w:tr w:rsidR="00FE0D7C" w:rsidRPr="00FD119B" w:rsidTr="00DB1945">
        <w:tc>
          <w:tcPr>
            <w:tcW w:w="1809" w:type="dxa"/>
          </w:tcPr>
          <w:p w:rsidR="00FE0D7C" w:rsidRPr="00FD119B" w:rsidRDefault="00FE0D7C" w:rsidP="00DB1945">
            <w:pPr>
              <w:rPr>
                <w:color w:val="auto"/>
                <w:lang w:eastAsia="en-US"/>
              </w:rPr>
            </w:pPr>
            <w:r>
              <w:rPr>
                <w:color w:val="auto"/>
                <w:lang w:eastAsia="en-US"/>
              </w:rPr>
              <w:t>IL</w:t>
            </w:r>
          </w:p>
        </w:tc>
        <w:tc>
          <w:tcPr>
            <w:tcW w:w="6911" w:type="dxa"/>
          </w:tcPr>
          <w:p w:rsidR="00FE0D7C" w:rsidRPr="00FD119B" w:rsidRDefault="00FE0D7C" w:rsidP="00DB1945">
            <w:pPr>
              <w:rPr>
                <w:color w:val="auto"/>
                <w:lang w:eastAsia="en-US"/>
              </w:rPr>
            </w:pPr>
            <w:r>
              <w:rPr>
                <w:color w:val="auto"/>
                <w:lang w:eastAsia="en-US"/>
              </w:rPr>
              <w:t>interleukin</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IV</w:t>
            </w:r>
          </w:p>
        </w:tc>
        <w:tc>
          <w:tcPr>
            <w:tcW w:w="6911" w:type="dxa"/>
          </w:tcPr>
          <w:p w:rsidR="009474AD" w:rsidRPr="00FD119B" w:rsidRDefault="009474AD" w:rsidP="00DB1945">
            <w:pPr>
              <w:rPr>
                <w:color w:val="auto"/>
                <w:lang w:eastAsia="en-US"/>
              </w:rPr>
            </w:pPr>
            <w:r>
              <w:t>intravenous</w:t>
            </w:r>
          </w:p>
        </w:tc>
      </w:tr>
      <w:tr w:rsidR="00FE0D7C" w:rsidRPr="00FD119B" w:rsidTr="00DB1945">
        <w:tc>
          <w:tcPr>
            <w:tcW w:w="1809" w:type="dxa"/>
          </w:tcPr>
          <w:p w:rsidR="00FE0D7C" w:rsidRPr="00FD119B" w:rsidRDefault="00FE0D7C" w:rsidP="00DB1945">
            <w:pPr>
              <w:rPr>
                <w:color w:val="auto"/>
                <w:lang w:eastAsia="en-US"/>
              </w:rPr>
            </w:pPr>
            <w:r>
              <w:rPr>
                <w:color w:val="auto"/>
                <w:lang w:eastAsia="en-US"/>
              </w:rPr>
              <w:t>LEF</w:t>
            </w:r>
          </w:p>
        </w:tc>
        <w:tc>
          <w:tcPr>
            <w:tcW w:w="6911" w:type="dxa"/>
          </w:tcPr>
          <w:p w:rsidR="00FE0D7C" w:rsidRPr="00FD119B" w:rsidRDefault="00FE0D7C" w:rsidP="00DB1945">
            <w:pPr>
              <w:rPr>
                <w:color w:val="auto"/>
                <w:lang w:eastAsia="en-US"/>
              </w:rPr>
            </w:pPr>
            <w:proofErr w:type="spellStart"/>
            <w:r>
              <w:t>leflunomide</w:t>
            </w:r>
            <w:proofErr w:type="spellEnd"/>
          </w:p>
        </w:tc>
      </w:tr>
      <w:tr w:rsidR="00FE0D7C" w:rsidRPr="00FD119B" w:rsidTr="00DB1945">
        <w:tc>
          <w:tcPr>
            <w:tcW w:w="1809" w:type="dxa"/>
          </w:tcPr>
          <w:p w:rsidR="00FE0D7C" w:rsidRPr="00FD119B" w:rsidRDefault="00FE0D7C" w:rsidP="00DB1945">
            <w:pPr>
              <w:rPr>
                <w:color w:val="auto"/>
                <w:lang w:eastAsia="en-US"/>
              </w:rPr>
            </w:pPr>
            <w:r>
              <w:rPr>
                <w:color w:val="auto"/>
                <w:lang w:eastAsia="en-US"/>
              </w:rPr>
              <w:lastRenderedPageBreak/>
              <w:t>MACE</w:t>
            </w:r>
          </w:p>
        </w:tc>
        <w:tc>
          <w:tcPr>
            <w:tcW w:w="6911" w:type="dxa"/>
          </w:tcPr>
          <w:p w:rsidR="00FE0D7C" w:rsidRPr="00FD119B" w:rsidRDefault="00FE0D7C" w:rsidP="00DB1945">
            <w:pPr>
              <w:rPr>
                <w:color w:val="auto"/>
                <w:lang w:eastAsia="en-US"/>
              </w:rPr>
            </w:pPr>
            <w:r w:rsidRPr="00261F5E">
              <w:t>Major Adverse Cardiac Events</w:t>
            </w:r>
          </w:p>
        </w:tc>
      </w:tr>
      <w:tr w:rsidR="00FE0D7C" w:rsidRPr="00FD119B" w:rsidTr="00DB1945">
        <w:tc>
          <w:tcPr>
            <w:tcW w:w="1809" w:type="dxa"/>
          </w:tcPr>
          <w:p w:rsidR="00FE0D7C" w:rsidRPr="00FD119B" w:rsidRDefault="00FE0D7C" w:rsidP="00DB1945">
            <w:pPr>
              <w:rPr>
                <w:color w:val="auto"/>
                <w:lang w:eastAsia="en-US"/>
              </w:rPr>
            </w:pPr>
            <w:r>
              <w:rPr>
                <w:color w:val="auto"/>
                <w:lang w:eastAsia="en-US"/>
              </w:rPr>
              <w:t>MTX</w:t>
            </w:r>
          </w:p>
        </w:tc>
        <w:tc>
          <w:tcPr>
            <w:tcW w:w="6911" w:type="dxa"/>
          </w:tcPr>
          <w:p w:rsidR="00FE0D7C" w:rsidRPr="00FD119B" w:rsidRDefault="00FE0D7C" w:rsidP="00DB1945">
            <w:pPr>
              <w:rPr>
                <w:color w:val="auto"/>
                <w:lang w:eastAsia="en-US"/>
              </w:rPr>
            </w:pPr>
            <w:r>
              <w:t>methotrexate</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NSAID</w:t>
            </w:r>
          </w:p>
        </w:tc>
        <w:tc>
          <w:tcPr>
            <w:tcW w:w="6911" w:type="dxa"/>
          </w:tcPr>
          <w:p w:rsidR="009474AD" w:rsidRPr="00FD119B" w:rsidRDefault="009474AD" w:rsidP="00DB1945">
            <w:pPr>
              <w:rPr>
                <w:color w:val="auto"/>
                <w:lang w:eastAsia="en-US"/>
              </w:rPr>
            </w:pPr>
            <w:proofErr w:type="spellStart"/>
            <w:r>
              <w:rPr>
                <w:color w:val="auto"/>
                <w:lang w:eastAsia="en-US"/>
              </w:rPr>
              <w:t>n</w:t>
            </w:r>
            <w:r w:rsidRPr="00C63B6B">
              <w:rPr>
                <w:color w:val="auto"/>
                <w:lang w:eastAsia="en-US"/>
              </w:rPr>
              <w:t>on</w:t>
            </w:r>
            <w:r>
              <w:rPr>
                <w:color w:val="auto"/>
                <w:lang w:eastAsia="en-US"/>
              </w:rPr>
              <w:t xml:space="preserve"> steroidal</w:t>
            </w:r>
            <w:proofErr w:type="spellEnd"/>
            <w:r>
              <w:rPr>
                <w:color w:val="auto"/>
                <w:lang w:eastAsia="en-US"/>
              </w:rPr>
              <w:t xml:space="preserve"> </w:t>
            </w:r>
            <w:proofErr w:type="spellStart"/>
            <w:r>
              <w:rPr>
                <w:color w:val="auto"/>
                <w:lang w:eastAsia="en-US"/>
              </w:rPr>
              <w:t xml:space="preserve">anti </w:t>
            </w:r>
            <w:r w:rsidRPr="00C63B6B">
              <w:rPr>
                <w:color w:val="auto"/>
                <w:lang w:eastAsia="en-US"/>
              </w:rPr>
              <w:t>inflammatory</w:t>
            </w:r>
            <w:proofErr w:type="spellEnd"/>
            <w:r w:rsidRPr="00C63B6B">
              <w:rPr>
                <w:color w:val="auto"/>
                <w:lang w:eastAsia="en-US"/>
              </w:rPr>
              <w:t xml:space="preserve"> drug</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PASI</w:t>
            </w:r>
          </w:p>
        </w:tc>
        <w:tc>
          <w:tcPr>
            <w:tcW w:w="6911" w:type="dxa"/>
          </w:tcPr>
          <w:p w:rsidR="009474AD" w:rsidRPr="00FD119B" w:rsidRDefault="009474AD" w:rsidP="00DB1945">
            <w:pPr>
              <w:rPr>
                <w:color w:val="auto"/>
                <w:lang w:eastAsia="en-US"/>
              </w:rPr>
            </w:pPr>
            <w:r w:rsidRPr="00D96EF6">
              <w:t>Psoriasis Area Severity Index</w:t>
            </w:r>
          </w:p>
        </w:tc>
      </w:tr>
      <w:tr w:rsidR="00FE0D7C" w:rsidRPr="00FD119B" w:rsidTr="00DB1945">
        <w:tc>
          <w:tcPr>
            <w:tcW w:w="1809" w:type="dxa"/>
          </w:tcPr>
          <w:p w:rsidR="00FE0D7C" w:rsidRPr="00FD119B" w:rsidRDefault="00FE0D7C" w:rsidP="00DB1945">
            <w:pPr>
              <w:rPr>
                <w:color w:val="auto"/>
                <w:lang w:eastAsia="en-US"/>
              </w:rPr>
            </w:pPr>
            <w:r>
              <w:rPr>
                <w:color w:val="auto"/>
                <w:lang w:eastAsia="en-US"/>
              </w:rPr>
              <w:t>PBO</w:t>
            </w:r>
          </w:p>
        </w:tc>
        <w:tc>
          <w:tcPr>
            <w:tcW w:w="6911" w:type="dxa"/>
          </w:tcPr>
          <w:p w:rsidR="00FE0D7C" w:rsidRPr="00FD119B" w:rsidRDefault="00FE0D7C" w:rsidP="00DB1945">
            <w:pPr>
              <w:rPr>
                <w:color w:val="auto"/>
                <w:lang w:eastAsia="en-US"/>
              </w:rPr>
            </w:pPr>
            <w:r>
              <w:rPr>
                <w:color w:val="auto"/>
                <w:lang w:eastAsia="en-US"/>
              </w:rPr>
              <w:t>placebo</w:t>
            </w:r>
          </w:p>
        </w:tc>
      </w:tr>
      <w:tr w:rsidR="003D13F1" w:rsidRPr="00FD119B" w:rsidTr="00DB1945">
        <w:tc>
          <w:tcPr>
            <w:tcW w:w="1809" w:type="dxa"/>
          </w:tcPr>
          <w:p w:rsidR="003D13F1" w:rsidRPr="00FD119B" w:rsidRDefault="00C75936" w:rsidP="00DB1945">
            <w:pPr>
              <w:rPr>
                <w:color w:val="auto"/>
                <w:lang w:eastAsia="en-US"/>
              </w:rPr>
            </w:pPr>
            <w:r>
              <w:rPr>
                <w:color w:val="auto"/>
                <w:lang w:eastAsia="en-US"/>
              </w:rPr>
              <w:t>PDE4</w:t>
            </w:r>
          </w:p>
        </w:tc>
        <w:tc>
          <w:tcPr>
            <w:tcW w:w="6911" w:type="dxa"/>
          </w:tcPr>
          <w:p w:rsidR="003D13F1" w:rsidRPr="00FD119B" w:rsidRDefault="00C75936" w:rsidP="00DB1945">
            <w:pPr>
              <w:rPr>
                <w:color w:val="auto"/>
                <w:lang w:eastAsia="en-US"/>
              </w:rPr>
            </w:pPr>
            <w:r>
              <w:t>phosphodiesterase 4</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PI</w:t>
            </w:r>
          </w:p>
        </w:tc>
        <w:tc>
          <w:tcPr>
            <w:tcW w:w="6911" w:type="dxa"/>
          </w:tcPr>
          <w:p w:rsidR="009474AD" w:rsidRPr="00FD119B" w:rsidRDefault="009474AD" w:rsidP="00DB1945">
            <w:pPr>
              <w:rPr>
                <w:color w:val="auto"/>
                <w:lang w:eastAsia="en-US"/>
              </w:rPr>
            </w:pPr>
            <w:r>
              <w:rPr>
                <w:color w:val="auto"/>
                <w:lang w:eastAsia="en-US"/>
              </w:rPr>
              <w:t>Product Information</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PO</w:t>
            </w:r>
          </w:p>
        </w:tc>
        <w:tc>
          <w:tcPr>
            <w:tcW w:w="6911" w:type="dxa"/>
          </w:tcPr>
          <w:p w:rsidR="009474AD" w:rsidRPr="00FD119B" w:rsidRDefault="009474AD" w:rsidP="00DB1945">
            <w:pPr>
              <w:rPr>
                <w:color w:val="auto"/>
                <w:lang w:eastAsia="en-US"/>
              </w:rPr>
            </w:pPr>
            <w:r>
              <w:rPr>
                <w:color w:val="auto"/>
                <w:lang w:eastAsia="en-US"/>
              </w:rPr>
              <w:t xml:space="preserve">per </w:t>
            </w:r>
            <w:proofErr w:type="spellStart"/>
            <w:r>
              <w:rPr>
                <w:color w:val="auto"/>
                <w:lang w:eastAsia="en-US"/>
              </w:rPr>
              <w:t>os</w:t>
            </w:r>
            <w:proofErr w:type="spellEnd"/>
            <w:r>
              <w:rPr>
                <w:color w:val="auto"/>
                <w:lang w:eastAsia="en-US"/>
              </w:rPr>
              <w:t xml:space="preserve"> (oral)</w:t>
            </w:r>
          </w:p>
        </w:tc>
      </w:tr>
      <w:tr w:rsidR="009474AD" w:rsidRPr="00FD119B" w:rsidTr="00DB1945">
        <w:tc>
          <w:tcPr>
            <w:tcW w:w="1809" w:type="dxa"/>
          </w:tcPr>
          <w:p w:rsidR="009474AD" w:rsidRPr="00FD119B" w:rsidRDefault="009474AD" w:rsidP="00DB1945">
            <w:pPr>
              <w:rPr>
                <w:color w:val="auto"/>
                <w:lang w:eastAsia="en-US"/>
              </w:rPr>
            </w:pPr>
            <w:proofErr w:type="spellStart"/>
            <w:r>
              <w:rPr>
                <w:color w:val="auto"/>
                <w:lang w:eastAsia="en-US"/>
              </w:rPr>
              <w:t>PsA</w:t>
            </w:r>
            <w:proofErr w:type="spellEnd"/>
          </w:p>
        </w:tc>
        <w:tc>
          <w:tcPr>
            <w:tcW w:w="6911" w:type="dxa"/>
          </w:tcPr>
          <w:p w:rsidR="009474AD" w:rsidRPr="00FD119B" w:rsidRDefault="009474AD" w:rsidP="00DB1945">
            <w:pPr>
              <w:rPr>
                <w:color w:val="auto"/>
                <w:lang w:eastAsia="en-US"/>
              </w:rPr>
            </w:pPr>
            <w:r w:rsidRPr="0034149E">
              <w:t>psoriatic arthritis</w:t>
            </w:r>
          </w:p>
        </w:tc>
      </w:tr>
      <w:tr w:rsidR="00D23C46" w:rsidRPr="00FD119B" w:rsidTr="00DB1945">
        <w:tc>
          <w:tcPr>
            <w:tcW w:w="1809" w:type="dxa"/>
          </w:tcPr>
          <w:p w:rsidR="00D23C46" w:rsidRPr="00FD119B" w:rsidRDefault="00A119A6" w:rsidP="00DB1945">
            <w:pPr>
              <w:rPr>
                <w:color w:val="auto"/>
                <w:lang w:eastAsia="en-US"/>
              </w:rPr>
            </w:pPr>
            <w:r>
              <w:rPr>
                <w:color w:val="auto"/>
                <w:lang w:eastAsia="en-US"/>
              </w:rPr>
              <w:t>PSOR</w:t>
            </w:r>
          </w:p>
        </w:tc>
        <w:tc>
          <w:tcPr>
            <w:tcW w:w="6911" w:type="dxa"/>
          </w:tcPr>
          <w:p w:rsidR="00D23C46" w:rsidRPr="00FD119B" w:rsidRDefault="00A119A6" w:rsidP="00DB1945">
            <w:pPr>
              <w:rPr>
                <w:color w:val="auto"/>
                <w:lang w:eastAsia="en-US"/>
              </w:rPr>
            </w:pPr>
            <w:r w:rsidRPr="0034149E">
              <w:t>psoriasis</w:t>
            </w:r>
          </w:p>
        </w:tc>
      </w:tr>
      <w:tr w:rsidR="00F35D38" w:rsidRPr="00FD119B" w:rsidTr="00DB1945">
        <w:tc>
          <w:tcPr>
            <w:tcW w:w="1809" w:type="dxa"/>
          </w:tcPr>
          <w:p w:rsidR="00F35D38" w:rsidRPr="00FD119B" w:rsidRDefault="00EE6D80" w:rsidP="00DB1945">
            <w:pPr>
              <w:rPr>
                <w:color w:val="auto"/>
                <w:lang w:eastAsia="en-US"/>
              </w:rPr>
            </w:pPr>
            <w:r>
              <w:rPr>
                <w:color w:val="auto"/>
                <w:lang w:eastAsia="en-US"/>
              </w:rPr>
              <w:t>PBO</w:t>
            </w:r>
          </w:p>
        </w:tc>
        <w:tc>
          <w:tcPr>
            <w:tcW w:w="6911" w:type="dxa"/>
          </w:tcPr>
          <w:p w:rsidR="00F35D38" w:rsidRPr="00FD119B" w:rsidRDefault="00EE6D80" w:rsidP="00DB1945">
            <w:pPr>
              <w:rPr>
                <w:color w:val="auto"/>
                <w:lang w:eastAsia="en-US"/>
              </w:rPr>
            </w:pPr>
            <w:r>
              <w:rPr>
                <w:color w:val="auto"/>
                <w:lang w:eastAsia="en-US"/>
              </w:rPr>
              <w:t>placebo</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QOL</w:t>
            </w:r>
          </w:p>
        </w:tc>
        <w:tc>
          <w:tcPr>
            <w:tcW w:w="6911" w:type="dxa"/>
          </w:tcPr>
          <w:p w:rsidR="009474AD" w:rsidRPr="00FD119B" w:rsidRDefault="009474AD" w:rsidP="00DB1945">
            <w:pPr>
              <w:rPr>
                <w:color w:val="auto"/>
                <w:lang w:eastAsia="en-US"/>
              </w:rPr>
            </w:pPr>
            <w:r w:rsidRPr="008925CB">
              <w:t>quality of life</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QTC</w:t>
            </w:r>
          </w:p>
        </w:tc>
        <w:tc>
          <w:tcPr>
            <w:tcW w:w="6911" w:type="dxa"/>
          </w:tcPr>
          <w:p w:rsidR="009474AD" w:rsidRPr="00FD119B" w:rsidRDefault="009474AD" w:rsidP="00DB1945">
            <w:pPr>
              <w:rPr>
                <w:color w:val="auto"/>
                <w:lang w:eastAsia="en-US"/>
              </w:rPr>
            </w:pPr>
            <w:r w:rsidRPr="000A4223">
              <w:t>corrected QT interval</w:t>
            </w:r>
          </w:p>
        </w:tc>
      </w:tr>
      <w:tr w:rsidR="00FE0D7C" w:rsidRPr="00FD119B" w:rsidTr="00DB1945">
        <w:tc>
          <w:tcPr>
            <w:tcW w:w="1809" w:type="dxa"/>
          </w:tcPr>
          <w:p w:rsidR="00FE0D7C" w:rsidRPr="00FD119B" w:rsidRDefault="00FE0D7C" w:rsidP="00DB1945">
            <w:pPr>
              <w:rPr>
                <w:color w:val="auto"/>
                <w:lang w:eastAsia="en-US"/>
              </w:rPr>
            </w:pPr>
            <w:r>
              <w:rPr>
                <w:color w:val="auto"/>
                <w:lang w:eastAsia="en-US"/>
              </w:rPr>
              <w:t>RA</w:t>
            </w:r>
          </w:p>
        </w:tc>
        <w:tc>
          <w:tcPr>
            <w:tcW w:w="6911" w:type="dxa"/>
          </w:tcPr>
          <w:p w:rsidR="00FE0D7C" w:rsidRPr="00FD119B" w:rsidRDefault="00FE0D7C" w:rsidP="00DB1945">
            <w:pPr>
              <w:rPr>
                <w:color w:val="auto"/>
                <w:lang w:eastAsia="en-US"/>
              </w:rPr>
            </w:pPr>
            <w:r>
              <w:t>rheumatoid arthritis</w:t>
            </w:r>
          </w:p>
        </w:tc>
      </w:tr>
      <w:tr w:rsidR="00FE0D7C" w:rsidRPr="00FD119B" w:rsidTr="00DB1945">
        <w:tc>
          <w:tcPr>
            <w:tcW w:w="1809" w:type="dxa"/>
          </w:tcPr>
          <w:p w:rsidR="00FE0D7C" w:rsidRPr="00FD119B" w:rsidRDefault="00FE0D7C" w:rsidP="00DB1945">
            <w:pPr>
              <w:rPr>
                <w:color w:val="auto"/>
                <w:lang w:eastAsia="en-US"/>
              </w:rPr>
            </w:pPr>
            <w:r>
              <w:rPr>
                <w:color w:val="auto"/>
                <w:lang w:eastAsia="en-US"/>
              </w:rPr>
              <w:t>RMP</w:t>
            </w:r>
          </w:p>
        </w:tc>
        <w:tc>
          <w:tcPr>
            <w:tcW w:w="6911" w:type="dxa"/>
          </w:tcPr>
          <w:p w:rsidR="00FE0D7C" w:rsidRPr="00FD119B" w:rsidRDefault="00FE0D7C" w:rsidP="00DB1945">
            <w:pPr>
              <w:rPr>
                <w:color w:val="auto"/>
                <w:lang w:eastAsia="en-US"/>
              </w:rPr>
            </w:pPr>
            <w:r w:rsidRPr="00BF3FA6">
              <w:t>Risk Management Plan</w:t>
            </w:r>
          </w:p>
        </w:tc>
      </w:tr>
      <w:tr w:rsidR="00FE0D7C" w:rsidRPr="00FD119B" w:rsidTr="00DB1945">
        <w:tc>
          <w:tcPr>
            <w:tcW w:w="1809" w:type="dxa"/>
          </w:tcPr>
          <w:p w:rsidR="00FE0D7C" w:rsidRPr="00FD119B" w:rsidRDefault="00FE0D7C" w:rsidP="00DB1945">
            <w:pPr>
              <w:rPr>
                <w:color w:val="auto"/>
                <w:lang w:eastAsia="en-US"/>
              </w:rPr>
            </w:pPr>
            <w:r>
              <w:rPr>
                <w:color w:val="auto"/>
                <w:lang w:eastAsia="en-US"/>
              </w:rPr>
              <w:t>SAE</w:t>
            </w:r>
          </w:p>
        </w:tc>
        <w:tc>
          <w:tcPr>
            <w:tcW w:w="6911" w:type="dxa"/>
          </w:tcPr>
          <w:p w:rsidR="00FE0D7C" w:rsidRPr="00FD119B" w:rsidRDefault="00FE0D7C" w:rsidP="00DB1945">
            <w:pPr>
              <w:rPr>
                <w:color w:val="auto"/>
                <w:lang w:eastAsia="en-US"/>
              </w:rPr>
            </w:pPr>
            <w:r>
              <w:rPr>
                <w:color w:val="auto"/>
                <w:lang w:eastAsia="en-US"/>
              </w:rPr>
              <w:t>serious adverse event</w:t>
            </w:r>
          </w:p>
        </w:tc>
      </w:tr>
      <w:tr w:rsidR="00FE0D7C" w:rsidRPr="00FD119B" w:rsidTr="00DB1945">
        <w:tc>
          <w:tcPr>
            <w:tcW w:w="1809" w:type="dxa"/>
          </w:tcPr>
          <w:p w:rsidR="00FE0D7C" w:rsidRPr="00FD119B" w:rsidRDefault="00FE0D7C" w:rsidP="00DB1945">
            <w:pPr>
              <w:rPr>
                <w:color w:val="auto"/>
                <w:lang w:eastAsia="en-US"/>
              </w:rPr>
            </w:pPr>
            <w:r>
              <w:rPr>
                <w:color w:val="auto"/>
                <w:lang w:eastAsia="en-US"/>
              </w:rPr>
              <w:t>SSZ</w:t>
            </w:r>
          </w:p>
        </w:tc>
        <w:tc>
          <w:tcPr>
            <w:tcW w:w="6911" w:type="dxa"/>
          </w:tcPr>
          <w:p w:rsidR="00FE0D7C" w:rsidRPr="00FD119B" w:rsidRDefault="00FE0D7C" w:rsidP="00DB1945">
            <w:pPr>
              <w:rPr>
                <w:color w:val="auto"/>
                <w:lang w:eastAsia="en-US"/>
              </w:rPr>
            </w:pPr>
            <w:r>
              <w:t>sulfasalazine</w:t>
            </w:r>
          </w:p>
        </w:tc>
      </w:tr>
      <w:tr w:rsidR="009474AD" w:rsidRPr="00FD119B" w:rsidTr="00DB1945">
        <w:tc>
          <w:tcPr>
            <w:tcW w:w="1809" w:type="dxa"/>
          </w:tcPr>
          <w:p w:rsidR="009474AD" w:rsidRPr="00FD119B" w:rsidRDefault="009474AD" w:rsidP="00DB1945">
            <w:pPr>
              <w:rPr>
                <w:color w:val="auto"/>
                <w:lang w:eastAsia="en-US"/>
              </w:rPr>
            </w:pPr>
            <w:r>
              <w:rPr>
                <w:color w:val="auto"/>
                <w:lang w:eastAsia="en-US"/>
              </w:rPr>
              <w:t>t1/2</w:t>
            </w:r>
          </w:p>
        </w:tc>
        <w:tc>
          <w:tcPr>
            <w:tcW w:w="6911" w:type="dxa"/>
          </w:tcPr>
          <w:p w:rsidR="009474AD" w:rsidRPr="00FD119B" w:rsidRDefault="009474AD" w:rsidP="00DB1945">
            <w:pPr>
              <w:rPr>
                <w:color w:val="auto"/>
                <w:lang w:eastAsia="en-US"/>
              </w:rPr>
            </w:pPr>
            <w:r>
              <w:rPr>
                <w:color w:val="auto"/>
                <w:lang w:eastAsia="en-US"/>
              </w:rPr>
              <w:t>elimination half life</w:t>
            </w:r>
          </w:p>
        </w:tc>
      </w:tr>
      <w:tr w:rsidR="00FE0D7C" w:rsidRPr="00FD119B" w:rsidTr="00DB1945">
        <w:tc>
          <w:tcPr>
            <w:tcW w:w="1809" w:type="dxa"/>
          </w:tcPr>
          <w:p w:rsidR="00FE0D7C" w:rsidRPr="00FD119B" w:rsidRDefault="00FE0D7C" w:rsidP="00DB1945">
            <w:pPr>
              <w:rPr>
                <w:color w:val="auto"/>
                <w:lang w:eastAsia="en-US"/>
              </w:rPr>
            </w:pPr>
            <w:r>
              <w:rPr>
                <w:color w:val="auto"/>
                <w:lang w:eastAsia="en-US"/>
              </w:rPr>
              <w:t>TEAE</w:t>
            </w:r>
          </w:p>
        </w:tc>
        <w:tc>
          <w:tcPr>
            <w:tcW w:w="6911" w:type="dxa"/>
          </w:tcPr>
          <w:p w:rsidR="00FE0D7C" w:rsidRPr="00FD119B" w:rsidRDefault="00FE0D7C" w:rsidP="00DB1945">
            <w:pPr>
              <w:rPr>
                <w:color w:val="auto"/>
                <w:lang w:eastAsia="en-US"/>
              </w:rPr>
            </w:pPr>
            <w:r w:rsidRPr="00E63ECA">
              <w:t>treatment</w:t>
            </w:r>
            <w:r>
              <w:t xml:space="preserve"> emergent adverse event</w:t>
            </w:r>
          </w:p>
        </w:tc>
      </w:tr>
      <w:tr w:rsidR="00F35D38" w:rsidRPr="00FD119B" w:rsidTr="00DB1945">
        <w:tc>
          <w:tcPr>
            <w:tcW w:w="1809" w:type="dxa"/>
          </w:tcPr>
          <w:p w:rsidR="00F35D38" w:rsidRPr="00FD119B" w:rsidRDefault="009467C3" w:rsidP="00DB1945">
            <w:pPr>
              <w:rPr>
                <w:color w:val="auto"/>
                <w:lang w:eastAsia="en-US"/>
              </w:rPr>
            </w:pPr>
            <w:proofErr w:type="spellStart"/>
            <w:r w:rsidRPr="00E6490D">
              <w:t>Tmax</w:t>
            </w:r>
            <w:proofErr w:type="spellEnd"/>
          </w:p>
        </w:tc>
        <w:tc>
          <w:tcPr>
            <w:tcW w:w="6911" w:type="dxa"/>
          </w:tcPr>
          <w:p w:rsidR="00F35D38" w:rsidRPr="00FD119B" w:rsidRDefault="009467C3" w:rsidP="00DB1945">
            <w:pPr>
              <w:rPr>
                <w:color w:val="auto"/>
                <w:lang w:eastAsia="en-US"/>
              </w:rPr>
            </w:pPr>
            <w:r>
              <w:t>t</w:t>
            </w:r>
            <w:r w:rsidRPr="00A313B0">
              <w:t>ime to reach maximum plasma concentration following drug administration</w:t>
            </w:r>
          </w:p>
        </w:tc>
      </w:tr>
      <w:tr w:rsidR="009474AD" w:rsidRPr="00FD119B" w:rsidTr="00DB1945">
        <w:tc>
          <w:tcPr>
            <w:tcW w:w="1809" w:type="dxa"/>
          </w:tcPr>
          <w:p w:rsidR="009474AD" w:rsidRPr="00FD119B" w:rsidRDefault="009474AD" w:rsidP="00DB1945">
            <w:pPr>
              <w:rPr>
                <w:color w:val="auto"/>
                <w:lang w:eastAsia="en-US"/>
              </w:rPr>
            </w:pPr>
            <w:r>
              <w:t>TNF</w:t>
            </w:r>
          </w:p>
        </w:tc>
        <w:tc>
          <w:tcPr>
            <w:tcW w:w="6911" w:type="dxa"/>
          </w:tcPr>
          <w:p w:rsidR="009474AD" w:rsidRPr="00FD119B" w:rsidRDefault="009474AD" w:rsidP="00DB1945">
            <w:pPr>
              <w:rPr>
                <w:color w:val="auto"/>
                <w:lang w:eastAsia="en-US"/>
              </w:rPr>
            </w:pPr>
            <w:r w:rsidRPr="000A4223">
              <w:t>tumo</w:t>
            </w:r>
            <w:r>
              <w:t>u</w:t>
            </w:r>
            <w:r w:rsidRPr="000A4223">
              <w:t>r necrosis factor</w:t>
            </w:r>
          </w:p>
        </w:tc>
      </w:tr>
      <w:tr w:rsidR="009474AD" w:rsidRPr="00FD119B" w:rsidTr="00DB1945">
        <w:tc>
          <w:tcPr>
            <w:tcW w:w="1809" w:type="dxa"/>
          </w:tcPr>
          <w:p w:rsidR="009474AD" w:rsidRPr="00FD119B" w:rsidRDefault="009474AD" w:rsidP="00DB1945">
            <w:pPr>
              <w:rPr>
                <w:color w:val="auto"/>
                <w:lang w:eastAsia="en-US"/>
              </w:rPr>
            </w:pPr>
            <w:r w:rsidRPr="000A4223">
              <w:t>TNF-α</w:t>
            </w:r>
          </w:p>
        </w:tc>
        <w:tc>
          <w:tcPr>
            <w:tcW w:w="6911" w:type="dxa"/>
          </w:tcPr>
          <w:p w:rsidR="009474AD" w:rsidRPr="00FD119B" w:rsidRDefault="009474AD" w:rsidP="00DB1945">
            <w:pPr>
              <w:rPr>
                <w:color w:val="auto"/>
                <w:lang w:eastAsia="en-US"/>
              </w:rPr>
            </w:pPr>
            <w:r w:rsidRPr="000A4223">
              <w:t>tumo</w:t>
            </w:r>
            <w:r>
              <w:t>u</w:t>
            </w:r>
            <w:r w:rsidRPr="000A4223">
              <w:t>r necrosis factor</w:t>
            </w:r>
            <w:r>
              <w:t xml:space="preserve"> </w:t>
            </w:r>
            <w:r w:rsidRPr="000A4223">
              <w:t>alpha</w:t>
            </w:r>
          </w:p>
        </w:tc>
      </w:tr>
      <w:tr w:rsidR="00225FA0" w:rsidRPr="00FD119B" w:rsidTr="00DB1945">
        <w:tc>
          <w:tcPr>
            <w:tcW w:w="1809" w:type="dxa"/>
          </w:tcPr>
          <w:p w:rsidR="00225FA0" w:rsidRPr="00FD119B" w:rsidRDefault="00225FA0" w:rsidP="00DB1945">
            <w:pPr>
              <w:rPr>
                <w:color w:val="auto"/>
                <w:lang w:eastAsia="en-US"/>
              </w:rPr>
            </w:pPr>
            <w:r>
              <w:t>TNF</w:t>
            </w:r>
          </w:p>
        </w:tc>
        <w:tc>
          <w:tcPr>
            <w:tcW w:w="6911" w:type="dxa"/>
          </w:tcPr>
          <w:p w:rsidR="00225FA0" w:rsidRPr="00FD119B" w:rsidRDefault="00225FA0" w:rsidP="00DB1945">
            <w:pPr>
              <w:rPr>
                <w:color w:val="auto"/>
                <w:lang w:eastAsia="en-US"/>
              </w:rPr>
            </w:pPr>
            <w:r w:rsidRPr="000A4223">
              <w:t>tumo</w:t>
            </w:r>
            <w:r>
              <w:t>u</w:t>
            </w:r>
            <w:r w:rsidRPr="000A4223">
              <w:t>r necrosis factor</w:t>
            </w:r>
          </w:p>
        </w:tc>
      </w:tr>
      <w:tr w:rsidR="00FD0E9E" w:rsidRPr="00FD119B" w:rsidTr="00DB1945">
        <w:tc>
          <w:tcPr>
            <w:tcW w:w="1809" w:type="dxa"/>
          </w:tcPr>
          <w:p w:rsidR="00FD0E9E" w:rsidRPr="00FD119B" w:rsidRDefault="008D1784" w:rsidP="00DB1945">
            <w:pPr>
              <w:rPr>
                <w:color w:val="auto"/>
                <w:lang w:eastAsia="en-US"/>
              </w:rPr>
            </w:pPr>
            <w:r>
              <w:rPr>
                <w:color w:val="auto"/>
                <w:lang w:eastAsia="en-US"/>
              </w:rPr>
              <w:t>URTI</w:t>
            </w:r>
          </w:p>
        </w:tc>
        <w:tc>
          <w:tcPr>
            <w:tcW w:w="6911" w:type="dxa"/>
          </w:tcPr>
          <w:p w:rsidR="00FD0E9E" w:rsidRPr="00FD119B" w:rsidRDefault="000C3F65" w:rsidP="00DB1945">
            <w:pPr>
              <w:rPr>
                <w:color w:val="auto"/>
                <w:lang w:eastAsia="en-US"/>
              </w:rPr>
            </w:pPr>
            <w:r>
              <w:rPr>
                <w:color w:val="auto"/>
                <w:lang w:eastAsia="en-US"/>
              </w:rPr>
              <w:t>u</w:t>
            </w:r>
            <w:r w:rsidR="008D1784" w:rsidRPr="008D1784">
              <w:rPr>
                <w:color w:val="auto"/>
                <w:lang w:eastAsia="en-US"/>
              </w:rPr>
              <w:t>p</w:t>
            </w:r>
            <w:r>
              <w:rPr>
                <w:color w:val="auto"/>
                <w:lang w:eastAsia="en-US"/>
              </w:rPr>
              <w:t>per respiratory tract infection</w:t>
            </w:r>
          </w:p>
        </w:tc>
      </w:tr>
    </w:tbl>
    <w:p w:rsidR="00FD119B" w:rsidRPr="00FD119B" w:rsidRDefault="00FD119B" w:rsidP="00DB1945">
      <w:r w:rsidRPr="00FD119B">
        <w:br w:type="page"/>
      </w:r>
    </w:p>
    <w:p w:rsidR="008E7846" w:rsidRDefault="00F53C07" w:rsidP="00DB1945">
      <w:pPr>
        <w:pStyle w:val="Heading2"/>
      </w:pPr>
      <w:bookmarkStart w:id="9" w:name="_Toc436140460"/>
      <w:r>
        <w:lastRenderedPageBreak/>
        <w:t>I.</w:t>
      </w:r>
      <w:r w:rsidR="008E7846">
        <w:t xml:space="preserve"> Introduction to </w:t>
      </w:r>
      <w:r w:rsidR="008E7846" w:rsidRPr="00DB1945">
        <w:t>product</w:t>
      </w:r>
      <w:r w:rsidR="008E7846">
        <w:t xml:space="preserve"> submission</w:t>
      </w:r>
      <w:bookmarkEnd w:id="0"/>
      <w:bookmarkEnd w:id="3"/>
      <w:bookmarkEnd w:id="9"/>
    </w:p>
    <w:p w:rsidR="008E7846" w:rsidRDefault="008E7846" w:rsidP="00DB1945">
      <w:pPr>
        <w:pStyle w:val="Heading3"/>
        <w:rPr>
          <w:lang w:eastAsia="en-AU"/>
        </w:rPr>
      </w:pPr>
      <w:bookmarkStart w:id="10" w:name="_Toc247691502"/>
      <w:bookmarkStart w:id="11" w:name="_Toc314842483"/>
      <w:bookmarkStart w:id="12" w:name="_Toc436140461"/>
      <w:r w:rsidRPr="00DB1945">
        <w:t>Submission</w:t>
      </w:r>
      <w:r>
        <w:rPr>
          <w:lang w:eastAsia="en-AU"/>
        </w:rPr>
        <w:t xml:space="preserve"> details</w:t>
      </w:r>
      <w:bookmarkEnd w:id="10"/>
      <w:bookmarkEnd w:id="11"/>
      <w:bookmarkEnd w:id="12"/>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383FFF">
            <w:r w:rsidRPr="003D1E62">
              <w:t xml:space="preserve">New </w:t>
            </w:r>
            <w:r w:rsidR="001B5C90">
              <w:t>c</w:t>
            </w:r>
            <w:r w:rsidRPr="003D1E62">
              <w:t xml:space="preserve">hemical </w:t>
            </w:r>
            <w:r w:rsidR="001B5C90">
              <w:t>e</w:t>
            </w:r>
            <w:r w:rsidR="00383FFF">
              <w:t>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F0143C" w:rsidP="00F0143C">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F0143C" w:rsidP="001B5C90">
            <w:r>
              <w:t>12 March 2015</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1B5C90" w:rsidP="00E45619">
            <w:pPr>
              <w:rPr>
                <w:i/>
              </w:rPr>
            </w:pPr>
            <w:r>
              <w:rPr>
                <w:i/>
              </w:rPr>
              <w:t>Active ingredient(s):</w:t>
            </w:r>
          </w:p>
        </w:tc>
        <w:tc>
          <w:tcPr>
            <w:tcW w:w="6307" w:type="dxa"/>
          </w:tcPr>
          <w:p w:rsidR="008E7846" w:rsidRPr="00487162" w:rsidRDefault="003426F7" w:rsidP="00E45619">
            <w:r>
              <w:t>A</w:t>
            </w:r>
            <w:r w:rsidRPr="003426F7">
              <w:t>premilast</w:t>
            </w:r>
          </w:p>
        </w:tc>
      </w:tr>
      <w:tr w:rsidR="008E7846" w:rsidRPr="00487162" w:rsidTr="00BF1190">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487162" w:rsidRDefault="003426F7" w:rsidP="00E45619">
            <w:r>
              <w:t>Otezla</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BA04F3" w:rsidP="00E45619">
            <w:r w:rsidRPr="00BA04F3">
              <w:t>Celgene Pty Ltd</w:t>
            </w:r>
          </w:p>
          <w:p w:rsidR="00A22673" w:rsidRDefault="00A22673" w:rsidP="00E45619">
            <w:r>
              <w:t>Level 7, 607 St Kilda Road</w:t>
            </w:r>
          </w:p>
          <w:p w:rsidR="00BA04F3" w:rsidRPr="00487162" w:rsidRDefault="00A22673" w:rsidP="00E45619">
            <w:r w:rsidRPr="00A22673">
              <w:t>Melbourne VIC 3004</w:t>
            </w:r>
          </w:p>
        </w:tc>
      </w:tr>
      <w:tr w:rsidR="008E7846" w:rsidRPr="00487162" w:rsidTr="00BF1190">
        <w:tc>
          <w:tcPr>
            <w:tcW w:w="2907" w:type="dxa"/>
          </w:tcPr>
          <w:p w:rsidR="008E7846" w:rsidRPr="00487162" w:rsidRDefault="001B5C90" w:rsidP="00E45619">
            <w:pPr>
              <w:rPr>
                <w:i/>
              </w:rPr>
            </w:pPr>
            <w:r>
              <w:rPr>
                <w:i/>
              </w:rPr>
              <w:t>Dose form(s):</w:t>
            </w:r>
          </w:p>
        </w:tc>
        <w:tc>
          <w:tcPr>
            <w:tcW w:w="6307" w:type="dxa"/>
          </w:tcPr>
          <w:p w:rsidR="008E7846" w:rsidRPr="00487162" w:rsidRDefault="00B149B9" w:rsidP="00D1479F">
            <w:r>
              <w:t>F</w:t>
            </w:r>
            <w:r w:rsidRPr="00B149B9">
              <w:t>ilm</w:t>
            </w:r>
            <w:r w:rsidR="00D1479F">
              <w:t xml:space="preserve"> </w:t>
            </w:r>
            <w:r w:rsidRPr="00B149B9">
              <w:t>coated tablets, unscored</w:t>
            </w:r>
          </w:p>
        </w:tc>
      </w:tr>
      <w:tr w:rsidR="008E7846" w:rsidRPr="00487162" w:rsidTr="00BF1190">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3C5732" w:rsidP="00E45619">
            <w:r w:rsidRPr="003C5732">
              <w:t>10, 20 and 30 mg</w:t>
            </w:r>
          </w:p>
        </w:tc>
      </w:tr>
      <w:tr w:rsidR="008E7846" w:rsidRPr="00487162" w:rsidTr="00BF1190">
        <w:tc>
          <w:tcPr>
            <w:tcW w:w="2907" w:type="dxa"/>
          </w:tcPr>
          <w:p w:rsidR="008E7846" w:rsidRPr="00487162" w:rsidRDefault="008E7846" w:rsidP="00E45619">
            <w:pPr>
              <w:rPr>
                <w:i/>
              </w:rPr>
            </w:pPr>
            <w:r w:rsidRPr="00487162">
              <w:rPr>
                <w:i/>
              </w:rPr>
              <w:t>Container(s):</w:t>
            </w:r>
          </w:p>
        </w:tc>
        <w:tc>
          <w:tcPr>
            <w:tcW w:w="6307" w:type="dxa"/>
          </w:tcPr>
          <w:p w:rsidR="008E7846" w:rsidRPr="00487162" w:rsidRDefault="00BB2B2B" w:rsidP="00E45619">
            <w:r>
              <w:t>Blister p</w:t>
            </w:r>
            <w:r w:rsidRPr="00BB2B2B">
              <w:t>ack</w:t>
            </w:r>
          </w:p>
        </w:tc>
      </w:tr>
      <w:tr w:rsidR="008E7846" w:rsidRPr="00487162" w:rsidTr="00BF1190">
        <w:tc>
          <w:tcPr>
            <w:tcW w:w="2907" w:type="dxa"/>
          </w:tcPr>
          <w:p w:rsidR="008E7846" w:rsidRPr="00487162" w:rsidRDefault="008E7846" w:rsidP="00E45619">
            <w:pPr>
              <w:rPr>
                <w:i/>
              </w:rPr>
            </w:pPr>
            <w:r w:rsidRPr="00487162">
              <w:rPr>
                <w:i/>
              </w:rPr>
              <w:t>Pack size(s):</w:t>
            </w:r>
          </w:p>
        </w:tc>
        <w:tc>
          <w:tcPr>
            <w:tcW w:w="6307" w:type="dxa"/>
          </w:tcPr>
          <w:p w:rsidR="004E6BAC" w:rsidRDefault="004E6BAC" w:rsidP="00E45619">
            <w:r>
              <w:t>56 x 30 mg tablet</w:t>
            </w:r>
          </w:p>
          <w:p w:rsidR="00454F5B" w:rsidRDefault="00F05794" w:rsidP="00E45619">
            <w:r w:rsidRPr="00F05794">
              <w:t>168 x 30 mg tablets</w:t>
            </w:r>
          </w:p>
          <w:p w:rsidR="004E6BAC" w:rsidRPr="00487162" w:rsidRDefault="004E6BAC" w:rsidP="00E45619">
            <w:r w:rsidRPr="004E6BAC">
              <w:t>‘Titration pack’: 4 x 10 mg + 4 x 20 mg + 19 x 30 mg tablets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5066F" w:rsidRDefault="0085066F" w:rsidP="00E45619">
            <w:r>
              <w:t>Otezla is indicated for:</w:t>
            </w:r>
          </w:p>
          <w:p w:rsidR="0085066F" w:rsidRDefault="0085066F" w:rsidP="00DB1945">
            <w:pPr>
              <w:pStyle w:val="ListBullet"/>
            </w:pPr>
            <w:r w:rsidRPr="0085066F">
              <w:t>The treatment of signs and symptoms of active psoriat</w:t>
            </w:r>
            <w:r>
              <w:t>ic arthritis in adult patients.</w:t>
            </w:r>
          </w:p>
          <w:p w:rsidR="008E7846" w:rsidRPr="0085066F" w:rsidRDefault="0085066F" w:rsidP="00DB1945">
            <w:pPr>
              <w:pStyle w:val="ListBullet"/>
              <w:rPr>
                <w:rFonts w:eastAsia="MS Mincho"/>
                <w:lang w:eastAsia="ja-JP"/>
              </w:rPr>
            </w:pPr>
            <w:r w:rsidRPr="0085066F">
              <w:t>The treatment of adult patients with moderate to severe plaque psoriasis who are candidates for phototherapy or systemic therapy</w:t>
            </w:r>
            <w:r>
              <w:t>.</w:t>
            </w:r>
          </w:p>
        </w:tc>
      </w:tr>
      <w:tr w:rsidR="008E7846" w:rsidRPr="00487162" w:rsidTr="00BF1190">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3C5732" w:rsidP="00E45619">
            <w:r>
              <w:t>Oral</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736B47" w:rsidP="00E45619">
            <w:r w:rsidRPr="00736B47">
              <w:t>30 mg twice daily</w:t>
            </w:r>
            <w:r>
              <w:t xml:space="preserve"> (recommended)</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8E7846" w:rsidRDefault="0085066F" w:rsidP="00E45619">
            <w:r w:rsidRPr="0085066F">
              <w:t>220423</w:t>
            </w:r>
            <w:r w:rsidR="008F3BED">
              <w:t xml:space="preserve"> (</w:t>
            </w:r>
            <w:r w:rsidR="008F3BED" w:rsidRPr="008F3BED">
              <w:t>30 mg film coated tablet blister pack</w:t>
            </w:r>
            <w:r w:rsidR="008F3BED">
              <w:t>)</w:t>
            </w:r>
          </w:p>
          <w:p w:rsidR="0027614E" w:rsidRPr="00487162" w:rsidRDefault="0027614E" w:rsidP="00E45619">
            <w:r w:rsidRPr="0027614E">
              <w:t>220424</w:t>
            </w:r>
            <w:r>
              <w:t xml:space="preserve"> (titration pack)</w:t>
            </w:r>
          </w:p>
        </w:tc>
      </w:tr>
    </w:tbl>
    <w:p w:rsidR="008E7846" w:rsidRDefault="008E7846" w:rsidP="00DB1945">
      <w:pPr>
        <w:pStyle w:val="Heading3"/>
      </w:pPr>
      <w:bookmarkStart w:id="13" w:name="_Toc247691503"/>
      <w:bookmarkStart w:id="14" w:name="_Toc314842484"/>
      <w:bookmarkStart w:id="15" w:name="_Toc436140462"/>
      <w:r>
        <w:t xml:space="preserve">Product </w:t>
      </w:r>
      <w:r w:rsidRPr="00DB1945">
        <w:t>background</w:t>
      </w:r>
      <w:bookmarkEnd w:id="13"/>
      <w:bookmarkEnd w:id="14"/>
      <w:bookmarkEnd w:id="15"/>
    </w:p>
    <w:p w:rsidR="0034200A" w:rsidRDefault="0014103C" w:rsidP="00DB1945">
      <w:r w:rsidRPr="0034149E">
        <w:t xml:space="preserve">This AusPAR describes the application by Celgene Pty Ltd </w:t>
      </w:r>
      <w:r w:rsidR="0034149E" w:rsidRPr="0034149E">
        <w:t>to register a new chem</w:t>
      </w:r>
      <w:r w:rsidR="0034149E">
        <w:t>ical entity, apremilast (</w:t>
      </w:r>
      <w:r w:rsidR="002B6593">
        <w:t xml:space="preserve">APR) (trade name: </w:t>
      </w:r>
      <w:r w:rsidR="0034149E">
        <w:t>Otezla</w:t>
      </w:r>
      <w:r w:rsidR="0034149E" w:rsidRPr="0034149E">
        <w:t xml:space="preserve">), which is indicated for the treatment of adult patients with active psoriatic arthritis </w:t>
      </w:r>
      <w:r w:rsidR="00852871">
        <w:t>(</w:t>
      </w:r>
      <w:proofErr w:type="spellStart"/>
      <w:r w:rsidR="00852871">
        <w:t>PsA</w:t>
      </w:r>
      <w:proofErr w:type="spellEnd"/>
      <w:r w:rsidR="00852871">
        <w:t xml:space="preserve">) </w:t>
      </w:r>
      <w:r w:rsidR="0034149E" w:rsidRPr="0034149E">
        <w:t xml:space="preserve">or for those with moderate to severe plaque psoriasis </w:t>
      </w:r>
      <w:r w:rsidR="00C33142">
        <w:t xml:space="preserve">(PSOR) </w:t>
      </w:r>
      <w:r w:rsidR="0034149E" w:rsidRPr="0034149E">
        <w:t>who are candidates for ph</w:t>
      </w:r>
      <w:r w:rsidR="0034200A">
        <w:t>ototherapy or systemic therapy.</w:t>
      </w:r>
    </w:p>
    <w:p w:rsidR="0034149E" w:rsidRPr="0034149E" w:rsidRDefault="00EE6D80" w:rsidP="00DB1945">
      <w:r>
        <w:lastRenderedPageBreak/>
        <w:t>APR</w:t>
      </w:r>
      <w:r w:rsidR="0034149E" w:rsidRPr="0034149E">
        <w:t xml:space="preserve"> belongs to the class of small mo</w:t>
      </w:r>
      <w:r w:rsidR="00C75936">
        <w:t>lecule phosphodiesterase 4 (PDE</w:t>
      </w:r>
      <w:r w:rsidR="0034149E" w:rsidRPr="0034149E">
        <w:t xml:space="preserve">4) inhibitors which act </w:t>
      </w:r>
      <w:proofErr w:type="spellStart"/>
      <w:r w:rsidR="0034149E" w:rsidRPr="0034149E">
        <w:t>intracellularly</w:t>
      </w:r>
      <w:proofErr w:type="spellEnd"/>
      <w:r w:rsidR="0034149E" w:rsidRPr="0034149E">
        <w:t xml:space="preserve"> to prevent the degradation of cyclic adenosine monophosphate (</w:t>
      </w:r>
      <w:proofErr w:type="spellStart"/>
      <w:r w:rsidR="001C5BFE">
        <w:t>c</w:t>
      </w:r>
      <w:r w:rsidR="0034149E" w:rsidRPr="0034149E">
        <w:t>AMP</w:t>
      </w:r>
      <w:proofErr w:type="spellEnd"/>
      <w:r w:rsidR="0034149E" w:rsidRPr="0034149E">
        <w:t xml:space="preserve">) to inactive AMP, thereby increasing the intracellular concentration of </w:t>
      </w:r>
      <w:proofErr w:type="spellStart"/>
      <w:r w:rsidR="0034149E" w:rsidRPr="0034149E">
        <w:t>cAMP</w:t>
      </w:r>
      <w:proofErr w:type="spellEnd"/>
      <w:r w:rsidR="0034149E" w:rsidRPr="0034149E">
        <w:t>.</w:t>
      </w:r>
    </w:p>
    <w:p w:rsidR="0034149E" w:rsidRPr="0034149E" w:rsidRDefault="00C75936" w:rsidP="00DB1945">
      <w:r>
        <w:t>PDE</w:t>
      </w:r>
      <w:r w:rsidR="0034149E" w:rsidRPr="0034149E">
        <w:t>4 inhibitors have a wide range of clinical applications consistent with differing functional activity across cell type</w:t>
      </w:r>
      <w:r w:rsidR="00443415">
        <w:t>s. In the context of PSOR</w:t>
      </w:r>
      <w:r w:rsidR="00852871">
        <w:t xml:space="preserve"> and </w:t>
      </w:r>
      <w:proofErr w:type="spellStart"/>
      <w:r w:rsidR="00852871">
        <w:t>PsA</w:t>
      </w:r>
      <w:proofErr w:type="spellEnd"/>
      <w:r w:rsidR="0034149E" w:rsidRPr="0034149E">
        <w:t>, the intended activity is targeted tow</w:t>
      </w:r>
      <w:r>
        <w:t>ards the suppression of the PDE</w:t>
      </w:r>
      <w:r w:rsidR="0034149E" w:rsidRPr="0034149E">
        <w:t>4 mediated pro</w:t>
      </w:r>
      <w:r w:rsidR="006244FD">
        <w:t xml:space="preserve"> </w:t>
      </w:r>
      <w:r w:rsidR="0034149E" w:rsidRPr="0034149E">
        <w:t xml:space="preserve">inflammatory cascade originating from inflammatory cells and </w:t>
      </w:r>
      <w:proofErr w:type="spellStart"/>
      <w:r w:rsidR="0034149E" w:rsidRPr="0034149E">
        <w:t>synovium</w:t>
      </w:r>
      <w:proofErr w:type="spellEnd"/>
      <w:r w:rsidR="0034149E" w:rsidRPr="0034149E">
        <w:t>, implicated in both conditions.</w:t>
      </w:r>
    </w:p>
    <w:p w:rsidR="0034149E" w:rsidRDefault="00C75936" w:rsidP="00DB1945">
      <w:r>
        <w:t>PDE</w:t>
      </w:r>
      <w:r w:rsidRPr="0034149E">
        <w:t>4</w:t>
      </w:r>
      <w:r>
        <w:t xml:space="preserve"> </w:t>
      </w:r>
      <w:r w:rsidR="0034149E" w:rsidRPr="0034149E">
        <w:t xml:space="preserve">is expressed in a wide variety of human tissue, with PDE4 inhibitors having indications in chronic obstructive </w:t>
      </w:r>
      <w:r w:rsidR="00C667C4">
        <w:t>pulmonary disease (</w:t>
      </w:r>
      <w:proofErr w:type="spellStart"/>
      <w:r w:rsidR="00C667C4">
        <w:t>Roflumilast</w:t>
      </w:r>
      <w:proofErr w:type="spellEnd"/>
      <w:r w:rsidR="00C667C4">
        <w:t>:</w:t>
      </w:r>
      <w:r w:rsidR="00CA7513">
        <w:t xml:space="preserve"> US Food and Drug Administration [F</w:t>
      </w:r>
      <w:r w:rsidR="004B571B">
        <w:t>DA</w:t>
      </w:r>
      <w:r w:rsidR="00CA7513">
        <w:t>]</w:t>
      </w:r>
      <w:r w:rsidR="004B571B">
        <w:t xml:space="preserve"> and</w:t>
      </w:r>
      <w:r w:rsidR="0034149E" w:rsidRPr="0034149E">
        <w:t xml:space="preserve"> E</w:t>
      </w:r>
      <w:r w:rsidR="00CA7513">
        <w:t>uropean Medicines Agency [E</w:t>
      </w:r>
      <w:r w:rsidR="0034149E" w:rsidRPr="0034149E">
        <w:t>MA</w:t>
      </w:r>
      <w:r w:rsidR="00CA7513">
        <w:t>]</w:t>
      </w:r>
      <w:r w:rsidR="0034149E" w:rsidRPr="0034149E">
        <w:t xml:space="preserve"> registered, but not currently registered in</w:t>
      </w:r>
      <w:r w:rsidR="00C667C4">
        <w:t xml:space="preserve"> Australia), asthma (</w:t>
      </w:r>
      <w:proofErr w:type="spellStart"/>
      <w:r w:rsidR="00C667C4">
        <w:t>Ibudilast</w:t>
      </w:r>
      <w:proofErr w:type="spellEnd"/>
      <w:r w:rsidR="00C667C4">
        <w:t>:</w:t>
      </w:r>
      <w:r w:rsidR="0034149E" w:rsidRPr="0034149E">
        <w:t xml:space="preserve"> experimenta</w:t>
      </w:r>
      <w:r w:rsidR="000246CD">
        <w:t xml:space="preserve">l product only) and </w:t>
      </w:r>
      <w:proofErr w:type="spellStart"/>
      <w:r w:rsidR="000246CD">
        <w:t>anxiolysis</w:t>
      </w:r>
      <w:proofErr w:type="spellEnd"/>
      <w:r w:rsidR="000246CD">
        <w:t xml:space="preserve"> and</w:t>
      </w:r>
      <w:r w:rsidR="0034149E" w:rsidRPr="0034149E">
        <w:t xml:space="preserve"> sedation (diazepam).</w:t>
      </w:r>
    </w:p>
    <w:p w:rsidR="0034200A" w:rsidRDefault="0034200A" w:rsidP="00DB1945">
      <w:r>
        <w:t>The submission proposes registration of the following dosage forms and strengths: 10</w:t>
      </w:r>
      <w:r w:rsidR="00AA286D">
        <w:t xml:space="preserve"> </w:t>
      </w:r>
      <w:r>
        <w:t>mg (pink), 20</w:t>
      </w:r>
      <w:r w:rsidR="00AA286D">
        <w:t xml:space="preserve"> </w:t>
      </w:r>
      <w:r>
        <w:t>mg (brown) and 30 mg (beige) tablets. The tablets are presented in 3 pa</w:t>
      </w:r>
      <w:r w:rsidR="00AA286D">
        <w:t xml:space="preserve">ck types. There is an initial 2 </w:t>
      </w:r>
      <w:r>
        <w:t>week titration pack containing 4 x 10</w:t>
      </w:r>
      <w:r w:rsidR="00AA286D">
        <w:t xml:space="preserve"> </w:t>
      </w:r>
      <w:r>
        <w:t>mg tablets, 4 x 20</w:t>
      </w:r>
      <w:r w:rsidR="00AA286D">
        <w:t xml:space="preserve"> </w:t>
      </w:r>
      <w:r>
        <w:t>mg tablets and 5 x 30 mg tablets for the first week of treatment followed by 14 x 30 mg tablets for the second week of therapy. The other proposed pack sizes of 30</w:t>
      </w:r>
      <w:r w:rsidR="00AA286D">
        <w:t xml:space="preserve"> </w:t>
      </w:r>
      <w:r>
        <w:t>mg tablets are 5</w:t>
      </w:r>
      <w:r w:rsidR="00DB1945">
        <w:t>6 (4 weeks) and 168 (12 weeks).</w:t>
      </w:r>
    </w:p>
    <w:p w:rsidR="0034200A" w:rsidRDefault="0034200A" w:rsidP="00DB1945">
      <w:r>
        <w:t xml:space="preserve">For both proposed treatment indications, the recommended dose of </w:t>
      </w:r>
      <w:r w:rsidR="00EE6D80">
        <w:t>APR</w:t>
      </w:r>
      <w:r>
        <w:t xml:space="preserve"> is 30 mg twice daily, taken orally approximately 12 h apart. An initial titration scheduled as outlined in Table 1 is recommended. No re-titration is required after initial titration. </w:t>
      </w:r>
      <w:r w:rsidR="00EE6D80">
        <w:t>APR</w:t>
      </w:r>
      <w:r w:rsidR="00D5555C">
        <w:t xml:space="preserve"> </w:t>
      </w:r>
      <w:r>
        <w:t xml:space="preserve">tablets should be swallowed whole, either with or without food. No dose adjustment is required in older patients, those with hepatic impairment or patients with mild or moderate renal impairment. The maintenance dose of </w:t>
      </w:r>
      <w:r w:rsidR="00EE6D80">
        <w:t>APR</w:t>
      </w:r>
      <w:r>
        <w:t xml:space="preserve"> should be reduced to 30mg once daily in patients with severe renal impairment (creatinine clearance [</w:t>
      </w:r>
      <w:proofErr w:type="spellStart"/>
      <w:r>
        <w:t>CrCL</w:t>
      </w:r>
      <w:proofErr w:type="spellEnd"/>
      <w:r>
        <w:t xml:space="preserve">] &lt;30 mL/min). For initial dose titration in this patient group, it is recommended that </w:t>
      </w:r>
      <w:r w:rsidR="00EE6D80">
        <w:t>APR</w:t>
      </w:r>
      <w:r>
        <w:t xml:space="preserve"> be taken using the AM (morning) schedule only, and the PM doses should be omitted.</w:t>
      </w:r>
    </w:p>
    <w:p w:rsidR="0034200A" w:rsidRDefault="0034200A" w:rsidP="00DB1945">
      <w:pPr>
        <w:pStyle w:val="TableTitle"/>
      </w:pPr>
      <w:proofErr w:type="gramStart"/>
      <w:r>
        <w:t>Table 1:</w:t>
      </w:r>
      <w:r w:rsidRPr="004C5C28">
        <w:t xml:space="preserve"> </w:t>
      </w:r>
      <w:r>
        <w:t xml:space="preserve">Initial </w:t>
      </w:r>
      <w:r w:rsidRPr="00DB1945">
        <w:t>dose</w:t>
      </w:r>
      <w:r>
        <w:t xml:space="preserve"> regimen.</w:t>
      </w:r>
      <w:proofErr w:type="gramEnd"/>
    </w:p>
    <w:p w:rsidR="0034200A" w:rsidRPr="0001425C" w:rsidRDefault="0034200A" w:rsidP="00DB1945">
      <w:r>
        <w:rPr>
          <w:noProof/>
          <w:lang w:eastAsia="en-AU"/>
        </w:rPr>
        <w:drawing>
          <wp:inline distT="0" distB="0" distL="0" distR="0" wp14:anchorId="5EEE9E79" wp14:editId="034282C5">
            <wp:extent cx="5177861" cy="631744"/>
            <wp:effectExtent l="0" t="0" r="3810" b="0"/>
            <wp:docPr id="4" name="Picture 4" descr="Table 1: Initial dose regimen." title="Table 1: Initial dose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75740" cy="631485"/>
                    </a:xfrm>
                    <a:prstGeom prst="rect">
                      <a:avLst/>
                    </a:prstGeom>
                  </pic:spPr>
                </pic:pic>
              </a:graphicData>
            </a:graphic>
          </wp:inline>
        </w:drawing>
      </w:r>
    </w:p>
    <w:p w:rsidR="008E7846" w:rsidRPr="003F31A2" w:rsidRDefault="00386150" w:rsidP="00DB1945">
      <w:pPr>
        <w:pStyle w:val="Heading3"/>
      </w:pPr>
      <w:bookmarkStart w:id="16" w:name="_Toc314842485"/>
      <w:bookmarkStart w:id="17" w:name="_Toc247691504"/>
      <w:bookmarkStart w:id="18" w:name="_Toc436140463"/>
      <w:r>
        <w:t xml:space="preserve">Regulatory </w:t>
      </w:r>
      <w:r w:rsidRPr="00DB1945">
        <w:t>s</w:t>
      </w:r>
      <w:r w:rsidR="008E7846" w:rsidRPr="00DB1945">
        <w:t>tatus</w:t>
      </w:r>
      <w:bookmarkEnd w:id="16"/>
      <w:bookmarkEnd w:id="17"/>
      <w:bookmarkEnd w:id="18"/>
    </w:p>
    <w:p w:rsidR="000246CD" w:rsidRDefault="00EE6D80" w:rsidP="00DB1945">
      <w:bookmarkStart w:id="19" w:name="_Toc247691505"/>
      <w:bookmarkStart w:id="20" w:name="_Toc314842486"/>
      <w:r>
        <w:t>APR</w:t>
      </w:r>
      <w:r w:rsidR="000246CD" w:rsidRPr="0034149E">
        <w:t xml:space="preserve"> has not been submitted previou</w:t>
      </w:r>
      <w:r w:rsidR="00303093">
        <w:t>sly to the TGA for evaluation. At the time of this submission to TGA, it had</w:t>
      </w:r>
      <w:r w:rsidR="000246CD" w:rsidRPr="0034149E">
        <w:t xml:space="preserve"> been submitted in </w:t>
      </w:r>
      <w:r w:rsidR="00971605">
        <w:t>a number of other j</w:t>
      </w:r>
      <w:r w:rsidR="000246CD" w:rsidRPr="0034149E">
        <w:t>urisdictions</w:t>
      </w:r>
      <w:r w:rsidR="000246CD" w:rsidRPr="00940A89">
        <w:t xml:space="preserve"> </w:t>
      </w:r>
      <w:r w:rsidR="00303093">
        <w:t xml:space="preserve">(Table </w:t>
      </w:r>
      <w:r w:rsidR="0034200A">
        <w:t>2</w:t>
      </w:r>
      <w:r w:rsidR="00303093">
        <w:t>).</w:t>
      </w:r>
      <w:r w:rsidR="00DE45D9" w:rsidRPr="00DE45D9">
        <w:t xml:space="preserve"> The dosage registered in each jurisdiction is the same as that proposed in this submission.</w:t>
      </w:r>
    </w:p>
    <w:p w:rsidR="00C427A1" w:rsidRDefault="00C427A1" w:rsidP="00DB1945">
      <w:pPr>
        <w:pStyle w:val="TableTitle"/>
      </w:pPr>
      <w:proofErr w:type="gramStart"/>
      <w:r>
        <w:lastRenderedPageBreak/>
        <w:t xml:space="preserve">Table </w:t>
      </w:r>
      <w:r w:rsidR="0034200A">
        <w:t>2</w:t>
      </w:r>
      <w:r>
        <w:t>:</w:t>
      </w:r>
      <w:r w:rsidRPr="004C5C28">
        <w:t xml:space="preserve"> </w:t>
      </w:r>
      <w:r w:rsidR="00DC503C">
        <w:t>International regulatory status of Otezla</w:t>
      </w:r>
      <w:r>
        <w:t>.</w:t>
      </w:r>
      <w:proofErr w:type="gramEnd"/>
    </w:p>
    <w:p w:rsidR="00C427A1" w:rsidRDefault="00C667C4" w:rsidP="00DB1945">
      <w:r>
        <w:rPr>
          <w:noProof/>
          <w:lang w:eastAsia="en-AU"/>
        </w:rPr>
        <w:drawing>
          <wp:inline distT="0" distB="0" distL="0" distR="0" wp14:anchorId="299F67E1" wp14:editId="6360F1F0">
            <wp:extent cx="4689527" cy="3904432"/>
            <wp:effectExtent l="0" t="0" r="0" b="1270"/>
            <wp:docPr id="1" name="Picture 1" descr="Table 2: International regulatory status of Otezla." title="Table 2: International regulatory status of Otez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92169" cy="3906632"/>
                    </a:xfrm>
                    <a:prstGeom prst="rect">
                      <a:avLst/>
                    </a:prstGeom>
                  </pic:spPr>
                </pic:pic>
              </a:graphicData>
            </a:graphic>
          </wp:inline>
        </w:drawing>
      </w:r>
    </w:p>
    <w:p w:rsidR="008E7846" w:rsidRDefault="008E7846" w:rsidP="00DB1945">
      <w:pPr>
        <w:pStyle w:val="Heading3"/>
      </w:pPr>
      <w:bookmarkStart w:id="21" w:name="_Toc436140464"/>
      <w:r>
        <w:t xml:space="preserve">Product </w:t>
      </w:r>
      <w:r w:rsidRPr="00DB1945">
        <w:t>Information</w:t>
      </w:r>
      <w:bookmarkEnd w:id="19"/>
      <w:bookmarkEnd w:id="20"/>
      <w:bookmarkEnd w:id="21"/>
    </w:p>
    <w:p w:rsidR="00940A89" w:rsidRDefault="00940A89" w:rsidP="00940A89">
      <w:pPr>
        <w:rPr>
          <w:b/>
          <w:bCs/>
        </w:rPr>
      </w:pPr>
      <w:bookmarkStart w:id="22" w:name="_Toc247691506"/>
      <w:bookmarkStart w:id="23" w:name="_Toc314842487"/>
      <w:r w:rsidRPr="00940A89">
        <w:t xml:space="preserve">The approved Product Information (PI) current at the time this AusPAR was prepared can be found as Attachment 1. For the most recent </w:t>
      </w:r>
      <w:r w:rsidR="00FC6616">
        <w:t>PI,</w:t>
      </w:r>
      <w:r w:rsidRPr="00940A89">
        <w:t xml:space="preserve"> please refer to the TGA website at &lt;</w:t>
      </w:r>
      <w:hyperlink r:id="rId16" w:history="1">
        <w:r w:rsidR="00DB1945">
          <w:rPr>
            <w:rStyle w:val="Hyperlink"/>
          </w:rPr>
          <w:t>https://www.tga.gov.au/product-information-pi</w:t>
        </w:r>
      </w:hyperlink>
      <w:r w:rsidRPr="00940A89">
        <w:t>&gt;.</w:t>
      </w:r>
    </w:p>
    <w:p w:rsidR="008E7846" w:rsidRPr="003602A9" w:rsidRDefault="008E7846" w:rsidP="00DB1945">
      <w:pPr>
        <w:pStyle w:val="Heading2"/>
      </w:pPr>
      <w:bookmarkStart w:id="24" w:name="_Toc436140465"/>
      <w:r>
        <w:t>II. Quality</w:t>
      </w:r>
      <w:bookmarkEnd w:id="1"/>
      <w:r>
        <w:t xml:space="preserve"> </w:t>
      </w:r>
      <w:r w:rsidRPr="00DB1945">
        <w:t>findings</w:t>
      </w:r>
      <w:bookmarkEnd w:id="22"/>
      <w:bookmarkEnd w:id="23"/>
      <w:bookmarkEnd w:id="24"/>
    </w:p>
    <w:p w:rsidR="00940A89" w:rsidRPr="00DB1945" w:rsidRDefault="00940A89" w:rsidP="00DB1945">
      <w:pPr>
        <w:pStyle w:val="Heading3"/>
        <w:rPr>
          <w:rFonts w:eastAsia="Cambria"/>
        </w:rPr>
      </w:pPr>
      <w:bookmarkStart w:id="25" w:name="_Toc247691507"/>
      <w:bookmarkStart w:id="26" w:name="_Toc314842488"/>
      <w:bookmarkStart w:id="27" w:name="_Toc436140466"/>
      <w:r w:rsidRPr="00DB1945">
        <w:t>Introduction</w:t>
      </w:r>
      <w:bookmarkEnd w:id="27"/>
    </w:p>
    <w:p w:rsidR="0094756E" w:rsidRPr="0094756E" w:rsidRDefault="00EE6D80" w:rsidP="00DB1945">
      <w:r>
        <w:t>APR</w:t>
      </w:r>
      <w:r w:rsidR="0094756E" w:rsidRPr="0094756E">
        <w:t xml:space="preserve"> </w:t>
      </w:r>
      <w:r w:rsidR="0094756E">
        <w:t xml:space="preserve">(Figure 1) </w:t>
      </w:r>
      <w:r w:rsidR="0094756E" w:rsidRPr="0094756E">
        <w:t xml:space="preserve">is a new chemical entity proposed for use in </w:t>
      </w:r>
      <w:proofErr w:type="spellStart"/>
      <w:r w:rsidR="00852871">
        <w:t>PsA</w:t>
      </w:r>
      <w:proofErr w:type="spellEnd"/>
      <w:r w:rsidR="0094756E" w:rsidRPr="0094756E">
        <w:t xml:space="preserve"> and plaque </w:t>
      </w:r>
      <w:r w:rsidR="00204432">
        <w:t>PSOR</w:t>
      </w:r>
      <w:r w:rsidR="0094756E" w:rsidRPr="0094756E">
        <w:t xml:space="preserve">. It is an inhibitor of </w:t>
      </w:r>
      <w:r w:rsidR="00B477B0">
        <w:t>PDE4</w:t>
      </w:r>
      <w:r w:rsidR="0094756E" w:rsidRPr="0094756E">
        <w:t>.</w:t>
      </w:r>
      <w:r w:rsidR="002B6593">
        <w:t xml:space="preserve"> </w:t>
      </w:r>
      <w:r w:rsidR="0094756E" w:rsidRPr="0094756E">
        <w:t xml:space="preserve">Celgene Pty Ltd has applied to register Otezla </w:t>
      </w:r>
      <w:r>
        <w:t>APR</w:t>
      </w:r>
      <w:r w:rsidR="0094756E" w:rsidRPr="0094756E">
        <w:t xml:space="preserve"> 30 mg tablets (as well as a ‘titration pack’ also containing 10 mg and 20 mg tablets). The recommended dose is 30 mg twice daily, tak</w:t>
      </w:r>
      <w:r w:rsidR="004B571B">
        <w:t>en orally approximately 12 h</w:t>
      </w:r>
      <w:r w:rsidR="0094756E" w:rsidRPr="0094756E">
        <w:t xml:space="preserve"> apart (after initial titration) either with or without food.</w:t>
      </w:r>
    </w:p>
    <w:p w:rsidR="0094756E" w:rsidRDefault="0094756E" w:rsidP="00DB1945">
      <w:pPr>
        <w:pStyle w:val="FigureTitle"/>
      </w:pPr>
      <w:r>
        <w:lastRenderedPageBreak/>
        <w:t>Figure 1:</w:t>
      </w:r>
      <w:r w:rsidRPr="004C5C28">
        <w:t xml:space="preserve"> </w:t>
      </w:r>
      <w:r>
        <w:t xml:space="preserve">Chemical structure of </w:t>
      </w:r>
      <w:r w:rsidR="00EE6D80">
        <w:t>APR</w:t>
      </w:r>
      <w:r>
        <w:t>.</w:t>
      </w:r>
    </w:p>
    <w:p w:rsidR="00940A89" w:rsidRDefault="00A313E2" w:rsidP="00DB1945">
      <w:r>
        <w:rPr>
          <w:noProof/>
          <w:lang w:eastAsia="en-AU"/>
        </w:rPr>
        <w:drawing>
          <wp:inline distT="0" distB="0" distL="0" distR="0" wp14:anchorId="3461F1C9" wp14:editId="2C857EF7">
            <wp:extent cx="2008315" cy="1648687"/>
            <wp:effectExtent l="0" t="0" r="0" b="8890"/>
            <wp:docPr id="2" name="Picture 2" descr="Figure 1: Chemical structure of APR." title="Figure 1: Chemical structure of 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10756" cy="1650691"/>
                    </a:xfrm>
                    <a:prstGeom prst="rect">
                      <a:avLst/>
                    </a:prstGeom>
                  </pic:spPr>
                </pic:pic>
              </a:graphicData>
            </a:graphic>
          </wp:inline>
        </w:drawing>
      </w:r>
    </w:p>
    <w:p w:rsidR="00380A0E" w:rsidRPr="00380A0E" w:rsidRDefault="00EE6D80" w:rsidP="00DB1945">
      <w:r>
        <w:t>APR</w:t>
      </w:r>
      <w:r w:rsidR="00380A0E" w:rsidRPr="00380A0E">
        <w:t xml:space="preserve"> is synthetic. It is the </w:t>
      </w:r>
      <w:r w:rsidR="00380A0E" w:rsidRPr="008F42F8">
        <w:rPr>
          <w:i/>
        </w:rPr>
        <w:t>S</w:t>
      </w:r>
      <w:r w:rsidR="00380A0E" w:rsidRPr="00380A0E">
        <w:t>-enantiomer of N-[2-[1-(3-ethoxy-4-methoxy-phenyl)-2-(methylsulfonyl</w:t>
      </w:r>
      <w:proofErr w:type="gramStart"/>
      <w:r w:rsidR="00380A0E" w:rsidRPr="00380A0E">
        <w:t>)ethyl</w:t>
      </w:r>
      <w:proofErr w:type="gramEnd"/>
      <w:r w:rsidR="00380A0E" w:rsidRPr="00380A0E">
        <w:t xml:space="preserve">]-2,3-dihydro-1,3-dioxo-1H-isoindol-4-yl]acetamide. It is </w:t>
      </w:r>
      <w:proofErr w:type="spellStart"/>
      <w:r w:rsidR="00380A0E" w:rsidRPr="00380A0E">
        <w:t>enantiomerically</w:t>
      </w:r>
      <w:proofErr w:type="spellEnd"/>
      <w:r w:rsidR="00380A0E" w:rsidRPr="00380A0E">
        <w:t xml:space="preserve"> pure (albeit this is not made clear in the draft PI chemical). It is not acidic or basic.</w:t>
      </w:r>
      <w:r w:rsidR="00380A0E">
        <w:t xml:space="preserve"> </w:t>
      </w:r>
      <w:r>
        <w:t>APR</w:t>
      </w:r>
      <w:r w:rsidR="00380A0E" w:rsidRPr="00380A0E">
        <w:t xml:space="preserve"> is structurally somewhat related to </w:t>
      </w:r>
      <w:proofErr w:type="spellStart"/>
      <w:r w:rsidR="00380A0E" w:rsidRPr="00380A0E">
        <w:t>pomalidomide</w:t>
      </w:r>
      <w:proofErr w:type="spellEnd"/>
      <w:r w:rsidR="00380A0E">
        <w:t>.</w:t>
      </w:r>
    </w:p>
    <w:p w:rsidR="008E7846" w:rsidRDefault="008E7846" w:rsidP="00DB1945">
      <w:pPr>
        <w:pStyle w:val="Heading3"/>
      </w:pPr>
      <w:bookmarkStart w:id="28" w:name="_Toc436140467"/>
      <w:r w:rsidRPr="008751DC">
        <w:t xml:space="preserve">Drug </w:t>
      </w:r>
      <w:r w:rsidRPr="00DB1945">
        <w:t>substance</w:t>
      </w:r>
      <w:r>
        <w:t xml:space="preserve"> (active ingredient)</w:t>
      </w:r>
      <w:bookmarkEnd w:id="25"/>
      <w:bookmarkEnd w:id="26"/>
      <w:bookmarkEnd w:id="28"/>
    </w:p>
    <w:p w:rsidR="008F42F8" w:rsidRPr="008F42F8" w:rsidRDefault="00EE6D80" w:rsidP="00DB1945">
      <w:r>
        <w:t>APR</w:t>
      </w:r>
      <w:r w:rsidR="008F42F8" w:rsidRPr="008F42F8">
        <w:t xml:space="preserve"> is a white to pale yellow crystalline powder. It is the S-enantiomer of N-[2-[1-(3-ethoxy-4-methoxy-phenyl)-2-(methylsulfonyl</w:t>
      </w:r>
      <w:proofErr w:type="gramStart"/>
      <w:r w:rsidR="008F42F8" w:rsidRPr="008F42F8">
        <w:t>)ethyl</w:t>
      </w:r>
      <w:proofErr w:type="gramEnd"/>
      <w:r w:rsidR="008F42F8" w:rsidRPr="008F42F8">
        <w:t xml:space="preserve">]-2,3-dihydro-1,3-dioxo-1H-isoindol-4-yl]acetamide. </w:t>
      </w:r>
    </w:p>
    <w:p w:rsidR="00697359" w:rsidRPr="00697359" w:rsidRDefault="008F42F8" w:rsidP="00DB1945">
      <w:r w:rsidRPr="008F42F8">
        <w:t>The aqueous solubility is low, essentially independent of pH across the physiologically relevant range at 25°C</w:t>
      </w:r>
      <w:r w:rsidR="002A5D4D">
        <w:t>.</w:t>
      </w:r>
      <w:r w:rsidR="00760EAD">
        <w:t xml:space="preserve"> </w:t>
      </w:r>
      <w:r w:rsidR="00697359" w:rsidRPr="00697359">
        <w:t>Other data indicate litt</w:t>
      </w:r>
      <w:r w:rsidR="005144E9">
        <w:t>le temperature dependence</w:t>
      </w:r>
      <w:r w:rsidR="00697359" w:rsidRPr="00697359">
        <w:t>.</w:t>
      </w:r>
    </w:p>
    <w:p w:rsidR="00697359" w:rsidRPr="00697359" w:rsidRDefault="00697359" w:rsidP="00DB1945">
      <w:r w:rsidRPr="00697359">
        <w:t>The highest dose taken at any one ti</w:t>
      </w:r>
      <w:r w:rsidR="002928B7">
        <w:t>me (30 mg) would dissolve in ~2100-</w:t>
      </w:r>
      <w:r w:rsidRPr="00697359">
        <w:t>2800 mL fluid.</w:t>
      </w:r>
    </w:p>
    <w:p w:rsidR="008E7846" w:rsidRDefault="008E7846" w:rsidP="00DB1945">
      <w:pPr>
        <w:pStyle w:val="Heading3"/>
      </w:pPr>
      <w:bookmarkStart w:id="29" w:name="_Toc247691508"/>
      <w:bookmarkStart w:id="30" w:name="_Toc314842490"/>
      <w:bookmarkStart w:id="31" w:name="_Toc436140468"/>
      <w:r w:rsidRPr="008751DC">
        <w:t xml:space="preserve">Drug </w:t>
      </w:r>
      <w:r w:rsidRPr="00DB1945">
        <w:t>product</w:t>
      </w:r>
      <w:bookmarkEnd w:id="29"/>
      <w:bookmarkEnd w:id="30"/>
      <w:bookmarkEnd w:id="31"/>
    </w:p>
    <w:p w:rsidR="00A86D03" w:rsidRPr="00A86D03" w:rsidRDefault="00A86D03" w:rsidP="00DB1945">
      <w:r w:rsidRPr="00A86D03">
        <w:t>Three different finished product substance manufacture</w:t>
      </w:r>
      <w:r w:rsidR="00C32BDB">
        <w:t>r</w:t>
      </w:r>
      <w:r w:rsidRPr="00A86D03">
        <w:t>s are proposed. It is stated that “all proposed manufacturing details for the thre</w:t>
      </w:r>
      <w:r w:rsidR="001D6A6A">
        <w:t>e drug product</w:t>
      </w:r>
      <w:r>
        <w:t xml:space="preserve"> manufacture</w:t>
      </w:r>
      <w:r w:rsidR="00C32BDB">
        <w:t>r</w:t>
      </w:r>
      <w:r>
        <w:t>s are identical</w:t>
      </w:r>
      <w:r w:rsidRPr="00A86D03">
        <w:t xml:space="preserve">.” </w:t>
      </w:r>
    </w:p>
    <w:p w:rsidR="001D6A6A" w:rsidRPr="001D6A6A" w:rsidRDefault="001D6A6A" w:rsidP="00DB1945">
      <w:r w:rsidRPr="001D6A6A">
        <w:t xml:space="preserve">Film-coated, unscored, immediate release 10 mg, 20 mg and 30 mg </w:t>
      </w:r>
      <w:r w:rsidR="00EE6D80">
        <w:t>APR</w:t>
      </w:r>
      <w:r w:rsidRPr="001D6A6A">
        <w:t xml:space="preserve"> tablets are proposed. The tablets contain 9.6% drug (w/w). The tablet core formulations are </w:t>
      </w:r>
      <w:r>
        <w:t xml:space="preserve">conventional; cores </w:t>
      </w:r>
      <w:r w:rsidRPr="001D6A6A">
        <w:t>are directly scaled</w:t>
      </w:r>
      <w:r>
        <w:t>.</w:t>
      </w:r>
    </w:p>
    <w:p w:rsidR="001D6A6A" w:rsidRPr="001D6A6A" w:rsidRDefault="001D6A6A" w:rsidP="00DB1945">
      <w:r w:rsidRPr="001D6A6A">
        <w:t>The three strengths are distinguished by colour and tablet markings:</w:t>
      </w:r>
    </w:p>
    <w:p w:rsidR="001D6A6A" w:rsidRPr="001D6A6A" w:rsidRDefault="001D6A6A" w:rsidP="00DB1945">
      <w:pPr>
        <w:pStyle w:val="ListBullet"/>
      </w:pPr>
      <w:proofErr w:type="spellStart"/>
      <w:r w:rsidRPr="001D6A6A">
        <w:t>Otezla</w:t>
      </w:r>
      <w:proofErr w:type="spellEnd"/>
      <w:r w:rsidRPr="001D6A6A">
        <w:t xml:space="preserve"> 10 mg </w:t>
      </w:r>
      <w:r w:rsidR="00F67D4A" w:rsidRPr="00DB1945">
        <w:t>t</w:t>
      </w:r>
      <w:r w:rsidRPr="00DB1945">
        <w:t>ablets</w:t>
      </w:r>
      <w:r w:rsidRPr="001D6A6A">
        <w:t xml:space="preserve">: </w:t>
      </w:r>
      <w:r w:rsidR="000952D8">
        <w:t>p</w:t>
      </w:r>
      <w:r w:rsidRPr="001D6A6A">
        <w:t>ink, diamond shaped 10 mg film</w:t>
      </w:r>
      <w:r w:rsidR="00824438">
        <w:t xml:space="preserve"> </w:t>
      </w:r>
      <w:r w:rsidRPr="001D6A6A">
        <w:t>coated tablet with “APR” engraved on one side and “10” on the opposite side.</w:t>
      </w:r>
    </w:p>
    <w:p w:rsidR="001D6A6A" w:rsidRPr="001D6A6A" w:rsidRDefault="001D6A6A" w:rsidP="00DB1945">
      <w:pPr>
        <w:pStyle w:val="ListBullet"/>
      </w:pPr>
      <w:r w:rsidRPr="001D6A6A">
        <w:t xml:space="preserve">Otezla 20 mg </w:t>
      </w:r>
      <w:r w:rsidR="00F67D4A">
        <w:t>t</w:t>
      </w:r>
      <w:r w:rsidRPr="001D6A6A">
        <w:t xml:space="preserve">ablets: </w:t>
      </w:r>
      <w:r w:rsidR="000952D8" w:rsidRPr="00DB1945">
        <w:t>b</w:t>
      </w:r>
      <w:r w:rsidRPr="00DB1945">
        <w:t>rown</w:t>
      </w:r>
      <w:r w:rsidRPr="001D6A6A">
        <w:t>, diamond shaped 20 mg film</w:t>
      </w:r>
      <w:r w:rsidR="00824438">
        <w:t xml:space="preserve"> </w:t>
      </w:r>
      <w:r w:rsidRPr="001D6A6A">
        <w:t>coated tablet with “APR” engraved on one side and “20” on the opposite side.</w:t>
      </w:r>
    </w:p>
    <w:p w:rsidR="001D6A6A" w:rsidRPr="001D6A6A" w:rsidRDefault="001D6A6A" w:rsidP="00DB1945">
      <w:pPr>
        <w:pStyle w:val="ListBullet"/>
      </w:pPr>
      <w:r w:rsidRPr="001D6A6A">
        <w:t xml:space="preserve">Otezla 30 mg </w:t>
      </w:r>
      <w:r w:rsidR="00F67D4A">
        <w:t>t</w:t>
      </w:r>
      <w:r w:rsidRPr="001D6A6A">
        <w:t xml:space="preserve">ablets: </w:t>
      </w:r>
      <w:r w:rsidR="000952D8">
        <w:t>b</w:t>
      </w:r>
      <w:r w:rsidRPr="001D6A6A">
        <w:t>eige, diamond shaped 30 mg film</w:t>
      </w:r>
      <w:r w:rsidR="00824438">
        <w:t xml:space="preserve"> </w:t>
      </w:r>
      <w:r w:rsidRPr="001D6A6A">
        <w:t xml:space="preserve">coated tablet with “APR” engraved on one side and “30” on the </w:t>
      </w:r>
      <w:r w:rsidRPr="00DB1945">
        <w:t>opposite</w:t>
      </w:r>
      <w:r w:rsidRPr="001D6A6A">
        <w:t xml:space="preserve"> side.</w:t>
      </w:r>
    </w:p>
    <w:p w:rsidR="000952D8" w:rsidRPr="000952D8" w:rsidRDefault="000952D8" w:rsidP="00DB1945">
      <w:r w:rsidRPr="000952D8">
        <w:t>Doses are ‘titrate</w:t>
      </w:r>
      <w:r w:rsidR="0001425C">
        <w:t xml:space="preserve">d’. The initial dose regimen is shown in Table </w:t>
      </w:r>
      <w:r w:rsidR="004B571B">
        <w:t>1</w:t>
      </w:r>
      <w:r w:rsidR="0001425C">
        <w:t>.</w:t>
      </w:r>
    </w:p>
    <w:p w:rsidR="0001425C" w:rsidRPr="0001425C" w:rsidRDefault="0001425C" w:rsidP="00DB1945">
      <w:r w:rsidRPr="0001425C">
        <w:t>After initial ‘titration’, the recommended dose is 30 mg twice dai</w:t>
      </w:r>
      <w:r w:rsidR="004B571B">
        <w:t>ly (taken approximately 12 h</w:t>
      </w:r>
      <w:r w:rsidRPr="0001425C">
        <w:t xml:space="preserve"> apart, either with or without food). The only dose adjustment then recommended is to skip evening doses in patients with severe renal impairment. “The tablets should not be crushed, split or chewed.</w:t>
      </w:r>
      <w:r>
        <w:t>”</w:t>
      </w:r>
    </w:p>
    <w:p w:rsidR="0001425C" w:rsidRPr="0001425C" w:rsidRDefault="0001425C" w:rsidP="00DB1945">
      <w:r w:rsidRPr="0001425C">
        <w:t>The carton labels include:</w:t>
      </w:r>
    </w:p>
    <w:p w:rsidR="0001425C" w:rsidRPr="00DB1945" w:rsidRDefault="0001425C" w:rsidP="00DB1945">
      <w:pPr>
        <w:pStyle w:val="ListBullet"/>
        <w:numPr>
          <w:ilvl w:val="0"/>
          <w:numId w:val="0"/>
        </w:numPr>
        <w:ind w:left="360"/>
        <w:rPr>
          <w:i/>
        </w:rPr>
      </w:pPr>
      <w:r w:rsidRPr="00DB1945">
        <w:rPr>
          <w:i/>
        </w:rPr>
        <w:t>Directions for Use:</w:t>
      </w:r>
    </w:p>
    <w:p w:rsidR="0001425C" w:rsidRPr="00DB1945" w:rsidRDefault="0001425C" w:rsidP="00DB1945">
      <w:pPr>
        <w:pStyle w:val="ListBullet2"/>
        <w:numPr>
          <w:ilvl w:val="0"/>
          <w:numId w:val="0"/>
        </w:numPr>
        <w:ind w:left="720"/>
        <w:rPr>
          <w:i/>
        </w:rPr>
      </w:pPr>
      <w:r w:rsidRPr="00DB1945">
        <w:rPr>
          <w:i/>
        </w:rPr>
        <w:lastRenderedPageBreak/>
        <w:t>The recommended dose is a 30 mg tablet taken orally twice daily, approximately 12 hours apart, with or without food.</w:t>
      </w:r>
    </w:p>
    <w:p w:rsidR="0001425C" w:rsidRDefault="0001425C" w:rsidP="00DB1945">
      <w:r w:rsidRPr="0001425C">
        <w:t xml:space="preserve">Three different packs are proposed. The tablets are presented in PVC blisters with a push-through foil lid. </w:t>
      </w:r>
      <w:r w:rsidRPr="0001425C">
        <w:rPr>
          <w:b/>
        </w:rPr>
        <w:t>Only the 30 mg tablets will be directly available</w:t>
      </w:r>
      <w:r w:rsidRPr="0001425C">
        <w:t xml:space="preserve"> (proposed as packs of 56 tablets [‘four</w:t>
      </w:r>
      <w:r w:rsidR="00824438">
        <w:t xml:space="preserve"> </w:t>
      </w:r>
      <w:r w:rsidRPr="0001425C">
        <w:t>week’] or 168 tablets [‘twelve</w:t>
      </w:r>
      <w:r w:rsidR="00824438">
        <w:t xml:space="preserve"> </w:t>
      </w:r>
      <w:r w:rsidRPr="0001425C">
        <w:t>week’]). The lower strengths are only included in a two</w:t>
      </w:r>
      <w:r w:rsidR="00824438">
        <w:t xml:space="preserve"> </w:t>
      </w:r>
      <w:r w:rsidRPr="0001425C">
        <w:t xml:space="preserve">week ‘titration’ pack (4 x 10 mg + 4 x 20 mg + 5 x 30 mg for the first week for dose titration and 14 x 30 mg tablets for the second week). </w:t>
      </w:r>
      <w:r w:rsidR="00BF505E">
        <w:t xml:space="preserve">The </w:t>
      </w:r>
      <w:r w:rsidR="00BF505E" w:rsidRPr="00BF505E">
        <w:t>10</w:t>
      </w:r>
      <w:r w:rsidR="00824438">
        <w:t xml:space="preserve"> </w:t>
      </w:r>
      <w:r w:rsidR="00BF505E" w:rsidRPr="00BF505E">
        <w:t xml:space="preserve">mg (pink) </w:t>
      </w:r>
      <w:r w:rsidR="00824438">
        <w:t>and</w:t>
      </w:r>
      <w:r w:rsidR="00BF505E" w:rsidRPr="00BF505E">
        <w:t xml:space="preserve"> 20</w:t>
      </w:r>
      <w:r w:rsidR="00824438">
        <w:t xml:space="preserve"> </w:t>
      </w:r>
      <w:r w:rsidR="00BF505E" w:rsidRPr="00BF505E">
        <w:t>mg (bro</w:t>
      </w:r>
      <w:r w:rsidR="00BF505E">
        <w:t xml:space="preserve">wn) tablets are for dose titration; </w:t>
      </w:r>
      <w:r w:rsidR="00BF505E" w:rsidRPr="00BF505E">
        <w:t>30</w:t>
      </w:r>
      <w:r w:rsidR="00824438">
        <w:t xml:space="preserve"> </w:t>
      </w:r>
      <w:r w:rsidR="00BF505E" w:rsidRPr="00BF505E">
        <w:t xml:space="preserve">mg (beige) tablets </w:t>
      </w:r>
      <w:r w:rsidR="00BF505E">
        <w:t xml:space="preserve">are </w:t>
      </w:r>
      <w:r w:rsidR="00BF505E" w:rsidRPr="00BF505E">
        <w:t>for ongoing administration</w:t>
      </w:r>
      <w:r w:rsidR="00BF505E">
        <w:t xml:space="preserve">. </w:t>
      </w:r>
      <w:r w:rsidRPr="0001425C">
        <w:t>Such a pack containing tablets which are not separately supplied will be registered with its own ARTG number. (The 10 and 20 mg tablets will not be separately registered.)</w:t>
      </w:r>
    </w:p>
    <w:p w:rsidR="00755B64" w:rsidRPr="00755B64" w:rsidRDefault="00755B64" w:rsidP="00DB1945">
      <w:r w:rsidRPr="00755B64">
        <w:t>Celgene has identified potential impurities. It is stated that the only RC6 has been seen in batches at levels above 0.15%.</w:t>
      </w:r>
    </w:p>
    <w:p w:rsidR="00755B64" w:rsidRPr="00755B64" w:rsidRDefault="00755B64" w:rsidP="00DB1945">
      <w:r w:rsidRPr="00755B64">
        <w:t xml:space="preserve">Levels of the </w:t>
      </w:r>
      <w:r w:rsidRPr="00BF505E">
        <w:rPr>
          <w:i/>
        </w:rPr>
        <w:t>R</w:t>
      </w:r>
      <w:r w:rsidRPr="00755B64">
        <w:t xml:space="preserve">-enantiomer are controlled by limiting the chiral purity of the </w:t>
      </w:r>
      <w:proofErr w:type="spellStart"/>
      <w:r w:rsidRPr="00755B64">
        <w:t>aminosulfone</w:t>
      </w:r>
      <w:proofErr w:type="spellEnd"/>
      <w:r w:rsidRPr="00755B64">
        <w:t xml:space="preserve"> precursor. Levels of RC8 are controlle</w:t>
      </w:r>
      <w:r w:rsidR="00824438">
        <w:t xml:space="preserve">d by limiting ‘RC9’ </w:t>
      </w:r>
      <w:r w:rsidRPr="00755B64">
        <w:t xml:space="preserve">in the </w:t>
      </w:r>
      <w:proofErr w:type="spellStart"/>
      <w:r w:rsidRPr="00755B64">
        <w:t>aminosulfone</w:t>
      </w:r>
      <w:proofErr w:type="spellEnd"/>
      <w:r w:rsidRPr="00755B64">
        <w:t xml:space="preserve"> precursor. Spiking studies are described to justify proposed limits for impurities in the starting materials.</w:t>
      </w:r>
    </w:p>
    <w:p w:rsidR="00755B64" w:rsidRPr="00755B64" w:rsidRDefault="00755B64" w:rsidP="00DB1945">
      <w:r w:rsidRPr="00755B64">
        <w:t xml:space="preserve">Impurity RC6 is stated to be the only impurity with a </w:t>
      </w:r>
      <w:proofErr w:type="spellStart"/>
      <w:r w:rsidRPr="00755B64">
        <w:t>genotoxic</w:t>
      </w:r>
      <w:proofErr w:type="spellEnd"/>
      <w:r w:rsidRPr="00755B64">
        <w:t xml:space="preserve"> structural alert (note aniline), but it is stated that toxicological data shows that it is not </w:t>
      </w:r>
      <w:proofErr w:type="spellStart"/>
      <w:r w:rsidRPr="00755B64">
        <w:t>genotoxic</w:t>
      </w:r>
      <w:proofErr w:type="spellEnd"/>
      <w:r w:rsidRPr="00755B64">
        <w:t>.</w:t>
      </w:r>
    </w:p>
    <w:p w:rsidR="001E7990" w:rsidRDefault="002760CB" w:rsidP="00DB1945">
      <w:r w:rsidRPr="002760CB">
        <w:t>Celgene proposes a shelf</w:t>
      </w:r>
      <w:r w:rsidR="00824438">
        <w:t xml:space="preserve"> </w:t>
      </w:r>
      <w:r w:rsidRPr="002760CB">
        <w:t xml:space="preserve">life of 36 months when </w:t>
      </w:r>
      <w:r w:rsidR="00EE6D80">
        <w:t>APR</w:t>
      </w:r>
      <w:r w:rsidRPr="002760CB">
        <w:t xml:space="preserve"> tablets </w:t>
      </w:r>
      <w:r w:rsidR="00824438">
        <w:t>are stored below 30°C</w:t>
      </w:r>
      <w:r w:rsidRPr="002760CB">
        <w:t>. The application form includ</w:t>
      </w:r>
      <w:r w:rsidR="001E7990">
        <w:t>es:</w:t>
      </w:r>
    </w:p>
    <w:p w:rsidR="001E7990" w:rsidRPr="00DB1945" w:rsidRDefault="001E7990" w:rsidP="00DB1945">
      <w:pPr>
        <w:pStyle w:val="ListBullet"/>
        <w:numPr>
          <w:ilvl w:val="0"/>
          <w:numId w:val="0"/>
        </w:numPr>
        <w:ind w:left="360"/>
        <w:rPr>
          <w:i/>
        </w:rPr>
      </w:pPr>
      <w:r w:rsidRPr="00DB1945">
        <w:rPr>
          <w:i/>
        </w:rPr>
        <w:t>“</w:t>
      </w:r>
      <w:r w:rsidR="002760CB" w:rsidRPr="00DB1945">
        <w:rPr>
          <w:i/>
        </w:rPr>
        <w:t>Storage Condition</w:t>
      </w:r>
      <w:r w:rsidRPr="00DB1945">
        <w:rPr>
          <w:i/>
        </w:rPr>
        <w:t>s: Store in Original Container.”</w:t>
      </w:r>
    </w:p>
    <w:p w:rsidR="001E7990" w:rsidRDefault="001E7990" w:rsidP="00DB1945">
      <w:r>
        <w:t>The PI directs:</w:t>
      </w:r>
    </w:p>
    <w:p w:rsidR="001E7990" w:rsidRPr="00DB1945" w:rsidRDefault="002760CB" w:rsidP="00DB1945">
      <w:pPr>
        <w:pStyle w:val="ListBullet"/>
        <w:numPr>
          <w:ilvl w:val="0"/>
          <w:numId w:val="0"/>
        </w:numPr>
        <w:ind w:left="360"/>
        <w:rPr>
          <w:i/>
        </w:rPr>
      </w:pPr>
      <w:r w:rsidRPr="00DB1945">
        <w:rPr>
          <w:i/>
        </w:rPr>
        <w:t xml:space="preserve">“Store below 30°C. </w:t>
      </w:r>
      <w:r w:rsidRPr="00DB1945">
        <w:rPr>
          <w:b/>
          <w:i/>
        </w:rPr>
        <w:t>Store in the original package</w:t>
      </w:r>
      <w:r w:rsidR="001E7990" w:rsidRPr="00DB1945">
        <w:rPr>
          <w:i/>
        </w:rPr>
        <w:t>.”</w:t>
      </w:r>
    </w:p>
    <w:p w:rsidR="001E7990" w:rsidRDefault="001E7990" w:rsidP="00DB1945">
      <w:r>
        <w:t>The carton labels just state:</w:t>
      </w:r>
    </w:p>
    <w:p w:rsidR="002760CB" w:rsidRPr="00DB1945" w:rsidRDefault="002760CB" w:rsidP="00DB1945">
      <w:pPr>
        <w:pStyle w:val="ListBullet"/>
        <w:numPr>
          <w:ilvl w:val="0"/>
          <w:numId w:val="0"/>
        </w:numPr>
        <w:ind w:left="360"/>
        <w:rPr>
          <w:i/>
        </w:rPr>
      </w:pPr>
      <w:r w:rsidRPr="00DB1945">
        <w:rPr>
          <w:i/>
        </w:rPr>
        <w:t>“Store below 30°C.”</w:t>
      </w:r>
    </w:p>
    <w:p w:rsidR="002760CB" w:rsidRPr="002760CB" w:rsidRDefault="002760CB" w:rsidP="00DB1945">
      <w:pPr>
        <w:rPr>
          <w:b/>
        </w:rPr>
      </w:pPr>
      <w:r w:rsidRPr="002760CB">
        <w:t xml:space="preserve">It remains unclear whether impurity RC6 is being consistently reported (see comments regarding test method). It remains unclear whether the </w:t>
      </w:r>
      <w:proofErr w:type="spellStart"/>
      <w:r w:rsidR="001E7990" w:rsidRPr="001E7990">
        <w:t>ultra</w:t>
      </w:r>
      <w:r w:rsidR="001E7990">
        <w:t xml:space="preserve"> </w:t>
      </w:r>
      <w:r w:rsidR="001E7990" w:rsidRPr="001E7990">
        <w:t>performance</w:t>
      </w:r>
      <w:proofErr w:type="spellEnd"/>
      <w:r w:rsidR="001E7990" w:rsidRPr="001E7990">
        <w:t xml:space="preserve"> liquid chromatographic </w:t>
      </w:r>
      <w:r w:rsidR="001E7990">
        <w:t>(</w:t>
      </w:r>
      <w:r w:rsidRPr="002760CB">
        <w:t>UPLC</w:t>
      </w:r>
      <w:r w:rsidR="001E7990">
        <w:t>)</w:t>
      </w:r>
      <w:r w:rsidRPr="002760CB">
        <w:t xml:space="preserve"> method detects </w:t>
      </w:r>
      <w:r w:rsidR="00DA2F87">
        <w:t>degradation products</w:t>
      </w:r>
      <w:r w:rsidRPr="002760CB">
        <w:t xml:space="preserve">. There are concerns about the accuracy of the dissolution assay. The submitted dissolution data suggest differences in tablets from different manufacturing sites and the stability data indicate a decline in dissolution on storage. </w:t>
      </w:r>
      <w:r w:rsidRPr="002760CB">
        <w:rPr>
          <w:b/>
        </w:rPr>
        <w:t>The setting of identical release and expiry dissolution limits is not appropriate. The proposed extrapolated shelf life is not supported.</w:t>
      </w:r>
    </w:p>
    <w:p w:rsidR="008E7846" w:rsidRPr="008751DC" w:rsidRDefault="008E7846" w:rsidP="00DB1945">
      <w:pPr>
        <w:pStyle w:val="Heading3"/>
      </w:pPr>
      <w:bookmarkStart w:id="32" w:name="_Toc247691509"/>
      <w:bookmarkStart w:id="33" w:name="_Toc314842493"/>
      <w:bookmarkStart w:id="34" w:name="_Toc436140469"/>
      <w:r>
        <w:t xml:space="preserve">Quality </w:t>
      </w:r>
      <w:r w:rsidRPr="00DB1945">
        <w:t>summary</w:t>
      </w:r>
      <w:r>
        <w:t xml:space="preserve"> and conclusions</w:t>
      </w:r>
      <w:bookmarkEnd w:id="32"/>
      <w:bookmarkEnd w:id="33"/>
      <w:bookmarkEnd w:id="34"/>
    </w:p>
    <w:p w:rsidR="002760CB" w:rsidRPr="002760CB" w:rsidRDefault="002760CB" w:rsidP="00DB1945">
      <w:r w:rsidRPr="002760CB">
        <w:t>Registration is not recommended with respect to chemistry and quality control aspects. The following issues should be addressed:</w:t>
      </w:r>
    </w:p>
    <w:p w:rsidR="002760CB" w:rsidRPr="002760CB" w:rsidRDefault="002760CB" w:rsidP="00DB1945">
      <w:pPr>
        <w:pStyle w:val="ListBullet"/>
      </w:pPr>
      <w:r w:rsidRPr="002760CB">
        <w:t xml:space="preserve">As the 10 and 20 mg </w:t>
      </w:r>
      <w:r w:rsidRPr="00DB1945">
        <w:t>tablets</w:t>
      </w:r>
      <w:r w:rsidRPr="002760CB">
        <w:t xml:space="preserve"> are not being separately supplied, they do not need direct registration, the distinct th</w:t>
      </w:r>
      <w:r>
        <w:t xml:space="preserve">erapeutic good is the </w:t>
      </w:r>
      <w:proofErr w:type="gramStart"/>
      <w:r>
        <w:t xml:space="preserve">titration </w:t>
      </w:r>
      <w:r w:rsidRPr="002760CB">
        <w:t>pack</w:t>
      </w:r>
      <w:proofErr w:type="gramEnd"/>
      <w:r w:rsidRPr="002760CB">
        <w:t xml:space="preserve"> itself, whic</w:t>
      </w:r>
      <w:r w:rsidR="00662C5D">
        <w:t>h needs a single, separate AUST</w:t>
      </w:r>
      <w:r w:rsidRPr="002760CB">
        <w:t>R number.</w:t>
      </w:r>
    </w:p>
    <w:p w:rsidR="002760CB" w:rsidRPr="002760CB" w:rsidRDefault="002760CB" w:rsidP="00DB1945">
      <w:pPr>
        <w:pStyle w:val="ListBullet"/>
      </w:pPr>
      <w:r w:rsidRPr="002760CB">
        <w:t xml:space="preserve">Please explain why the text “The tablets should not be crushed, split or chewed” is included in the </w:t>
      </w:r>
      <w:r w:rsidR="001E7990">
        <w:t>PI</w:t>
      </w:r>
      <w:r w:rsidRPr="002760CB">
        <w:t xml:space="preserve">. </w:t>
      </w:r>
      <w:r w:rsidR="0005391A">
        <w:t>P</w:t>
      </w:r>
      <w:r w:rsidRPr="002760CB">
        <w:t xml:space="preserve">lease state </w:t>
      </w:r>
      <w:r w:rsidRPr="00DB1945">
        <w:t>whether</w:t>
      </w:r>
      <w:r w:rsidRPr="002760CB">
        <w:t xml:space="preserve"> it is intended to include the PI as a carton insert. Please review the PI in light of comments in the chemistry evaluation.</w:t>
      </w:r>
    </w:p>
    <w:p w:rsidR="002760CB" w:rsidRPr="002760CB" w:rsidRDefault="002760CB" w:rsidP="00DB1945">
      <w:pPr>
        <w:pStyle w:val="ListBullet"/>
      </w:pPr>
      <w:r w:rsidRPr="002760CB">
        <w:t xml:space="preserve">The labelled storage directions </w:t>
      </w:r>
      <w:r w:rsidRPr="00DB1945">
        <w:t>should</w:t>
      </w:r>
      <w:r w:rsidRPr="002760CB">
        <w:t xml:space="preserve"> be consistent with the PI directions.</w:t>
      </w:r>
    </w:p>
    <w:p w:rsidR="002760CB" w:rsidRPr="002760CB" w:rsidRDefault="002760CB" w:rsidP="00DB1945">
      <w:pPr>
        <w:pStyle w:val="ListBullet"/>
      </w:pPr>
      <w:r w:rsidRPr="002760CB">
        <w:t xml:space="preserve">It is not clear to me whether drug substance manufacturing </w:t>
      </w:r>
      <w:r w:rsidRPr="00DB1945">
        <w:t>Process</w:t>
      </w:r>
      <w:r w:rsidRPr="002760CB">
        <w:t xml:space="preserve"> B and Process C are currently used at the different manufacturing sites: Please clarify. Please give </w:t>
      </w:r>
      <w:r w:rsidRPr="002760CB">
        <w:lastRenderedPageBreak/>
        <w:t xml:space="preserve">details of the yields. Please provide details of the preparation of the nominal starting </w:t>
      </w:r>
      <w:r w:rsidRPr="00DB1945">
        <w:t>materials</w:t>
      </w:r>
      <w:r w:rsidRPr="002760CB">
        <w:t>.</w:t>
      </w:r>
    </w:p>
    <w:p w:rsidR="002760CB" w:rsidRPr="002760CB" w:rsidRDefault="002760CB" w:rsidP="00DB1945">
      <w:pPr>
        <w:pStyle w:val="ListBullet"/>
      </w:pPr>
      <w:r w:rsidRPr="002760CB">
        <w:t>No relevant controls or manufacturing validation with respect to ensuring consistent particle size in crystallisation at the two sites could be located. Please clarify.</w:t>
      </w:r>
    </w:p>
    <w:p w:rsidR="002760CB" w:rsidRPr="002760CB" w:rsidRDefault="002760CB" w:rsidP="00DB1945">
      <w:pPr>
        <w:pStyle w:val="ListBullet"/>
      </w:pPr>
      <w:r w:rsidRPr="002760CB">
        <w:t xml:space="preserve">The structural characterisation of </w:t>
      </w:r>
      <w:r w:rsidR="00EE6D80">
        <w:t>APR</w:t>
      </w:r>
      <w:r w:rsidRPr="002760CB">
        <w:t xml:space="preserve"> includes a poorly</w:t>
      </w:r>
      <w:r w:rsidR="00662C5D">
        <w:t xml:space="preserve"> detailed X-ray crystallography</w:t>
      </w:r>
      <w:r w:rsidRPr="002760CB">
        <w:t xml:space="preserve"> study. It is not clear whether this included anomalous dispersion analysis allowing absolute configuration </w:t>
      </w:r>
      <w:r w:rsidRPr="00DB1945">
        <w:t>analysis</w:t>
      </w:r>
      <w:r w:rsidRPr="002760CB">
        <w:t xml:space="preserve">? Please provide more details including R-factors. If the X-ray analysis does not reliably define the absolute configuration, please provide data or literature evidence establishing the absolute stereochemistry. </w:t>
      </w:r>
    </w:p>
    <w:p w:rsidR="002760CB" w:rsidRPr="002760CB" w:rsidRDefault="002760CB" w:rsidP="00DB1945">
      <w:pPr>
        <w:pStyle w:val="ListBullet"/>
      </w:pPr>
      <w:r w:rsidRPr="002760CB">
        <w:t xml:space="preserve">Please revise the test </w:t>
      </w:r>
      <w:r w:rsidR="0005391A">
        <w:t xml:space="preserve">method for </w:t>
      </w:r>
      <w:r w:rsidR="0005391A" w:rsidRPr="00DB1945">
        <w:t>impurities</w:t>
      </w:r>
      <w:r w:rsidR="0005391A">
        <w:t xml:space="preserve"> in the </w:t>
      </w:r>
      <w:r w:rsidR="0005391A" w:rsidRPr="0005391A">
        <w:t>Activ</w:t>
      </w:r>
      <w:r w:rsidR="0005391A">
        <w:t>e Pharmaceutical Ingredient</w:t>
      </w:r>
      <w:r w:rsidRPr="002760CB">
        <w:t xml:space="preserve"> </w:t>
      </w:r>
      <w:r w:rsidR="00034731">
        <w:t>(API</w:t>
      </w:r>
      <w:r w:rsidR="0005391A">
        <w:t xml:space="preserve">) </w:t>
      </w:r>
      <w:r w:rsidRPr="002760CB">
        <w:t xml:space="preserve">to include the cited </w:t>
      </w:r>
      <w:r w:rsidR="00B655A1">
        <w:t>Relative Response Factors (</w:t>
      </w:r>
      <w:r w:rsidRPr="002760CB">
        <w:t>RRFs</w:t>
      </w:r>
      <w:r w:rsidR="00B655A1">
        <w:t>)</w:t>
      </w:r>
      <w:r w:rsidRPr="002760CB">
        <w:t xml:space="preserve"> used in calculations.</w:t>
      </w:r>
    </w:p>
    <w:p w:rsidR="002760CB" w:rsidRPr="002760CB" w:rsidRDefault="002760CB" w:rsidP="00DB1945">
      <w:pPr>
        <w:pStyle w:val="ListBullet"/>
      </w:pPr>
      <w:r w:rsidRPr="002760CB">
        <w:t xml:space="preserve">The method used for chiral purity has a </w:t>
      </w:r>
      <w:r w:rsidRPr="00DB1945">
        <w:t>resolution</w:t>
      </w:r>
      <w:r w:rsidRPr="002760CB">
        <w:t xml:space="preserve"> test, yet does not use a CC-10007 (enantiomer) standard, although batch analyses report levels up to 100.0%. Please clarify.</w:t>
      </w:r>
    </w:p>
    <w:p w:rsidR="002760CB" w:rsidRPr="002760CB" w:rsidRDefault="002760CB" w:rsidP="00DB1945">
      <w:pPr>
        <w:pStyle w:val="ListBullet"/>
      </w:pPr>
      <w:r w:rsidRPr="002760CB">
        <w:t xml:space="preserve">Please clarify the use of a precision test for the </w:t>
      </w:r>
      <w:proofErr w:type="spellStart"/>
      <w:r w:rsidRPr="002760CB">
        <w:t>tetrahydrofuran</w:t>
      </w:r>
      <w:proofErr w:type="spellEnd"/>
      <w:r w:rsidRPr="002760CB">
        <w:t xml:space="preserve"> peaks in the method used for residual solvents.</w:t>
      </w:r>
    </w:p>
    <w:p w:rsidR="002760CB" w:rsidRPr="002760CB" w:rsidRDefault="002760CB" w:rsidP="00DB1945">
      <w:pPr>
        <w:pStyle w:val="ListBullet"/>
      </w:pPr>
      <w:r w:rsidRPr="002760CB">
        <w:t xml:space="preserve">Batch data </w:t>
      </w:r>
      <w:r w:rsidRPr="00DB1945">
        <w:t>include</w:t>
      </w:r>
      <w:r w:rsidRPr="002760CB">
        <w:t xml:space="preserve"> analyses of </w:t>
      </w:r>
      <w:r w:rsidR="004B571B">
        <w:t>p</w:t>
      </w:r>
      <w:r w:rsidRPr="002760CB">
        <w:t>alladium. Please explain why.</w:t>
      </w:r>
    </w:p>
    <w:p w:rsidR="002760CB" w:rsidRPr="002760CB" w:rsidRDefault="002760CB" w:rsidP="00DB1945">
      <w:pPr>
        <w:pStyle w:val="ListBullet"/>
      </w:pPr>
      <w:r w:rsidRPr="002760CB">
        <w:t xml:space="preserve">Please state </w:t>
      </w:r>
      <w:r w:rsidRPr="00DB1945">
        <w:t>nominal</w:t>
      </w:r>
      <w:r w:rsidRPr="002760CB">
        <w:t xml:space="preserve"> tablet dimensions.</w:t>
      </w:r>
    </w:p>
    <w:p w:rsidR="002760CB" w:rsidRPr="002760CB" w:rsidRDefault="002760CB" w:rsidP="00DB1945">
      <w:pPr>
        <w:pStyle w:val="ListBullet"/>
      </w:pPr>
      <w:r w:rsidRPr="002760CB">
        <w:t xml:space="preserve">No </w:t>
      </w:r>
      <w:proofErr w:type="spellStart"/>
      <w:r w:rsidRPr="002760CB">
        <w:t>compendial</w:t>
      </w:r>
      <w:proofErr w:type="spellEnd"/>
      <w:r w:rsidRPr="002760CB">
        <w:t xml:space="preserve"> excipient specifications were detailed. Please justify the apparent lack of control of functionality related characteristics. Manufacturing development studies show a clear effect of lactose </w:t>
      </w:r>
      <w:r w:rsidRPr="00DB1945">
        <w:t>particle</w:t>
      </w:r>
      <w:r w:rsidRPr="002760CB">
        <w:t xml:space="preserve"> size compressed into tablets. The “vendor specifications” for particle size should at least be disclosed and included in the Celgene specifications.</w:t>
      </w:r>
    </w:p>
    <w:p w:rsidR="002760CB" w:rsidRPr="002760CB" w:rsidRDefault="002760CB" w:rsidP="00DB1945">
      <w:pPr>
        <w:pStyle w:val="ListBullet"/>
      </w:pPr>
      <w:r w:rsidRPr="002760CB">
        <w:t xml:space="preserve">Please comment on the </w:t>
      </w:r>
      <w:r w:rsidRPr="00DB1945">
        <w:t>unusual</w:t>
      </w:r>
      <w:r w:rsidRPr="002760CB">
        <w:t xml:space="preserve"> plateauing of dissolution at less than 100% for some batches. Please identify whether the dissolution method provides sink conditions. Dissolution results in stability studies show a clear correlation with date of testing, casting doubt on the method accuracy. Please comment.</w:t>
      </w:r>
    </w:p>
    <w:p w:rsidR="002760CB" w:rsidRPr="002760CB" w:rsidRDefault="002760CB" w:rsidP="00DB1945">
      <w:pPr>
        <w:pStyle w:val="ListBullet"/>
      </w:pPr>
      <w:r w:rsidRPr="002760CB">
        <w:t xml:space="preserve">The relative bioavailability </w:t>
      </w:r>
      <w:r w:rsidR="004B571B">
        <w:t>S</w:t>
      </w:r>
      <w:r w:rsidRPr="002760CB">
        <w:t xml:space="preserve">tudy CC-10004-BA-001 showed </w:t>
      </w:r>
      <w:r w:rsidRPr="004F51E2">
        <w:rPr>
          <w:i/>
        </w:rPr>
        <w:t>in vivo</w:t>
      </w:r>
      <w:r w:rsidRPr="002760CB">
        <w:t xml:space="preserve"> differences in the profiles of capsules produced with </w:t>
      </w:r>
      <w:r w:rsidR="00EE6D80">
        <w:t>APR</w:t>
      </w:r>
      <w:r w:rsidRPr="002760CB">
        <w:t xml:space="preserve"> with different particle size distributions. Please give details of the in vitro dissolution for these capsule batches.</w:t>
      </w:r>
    </w:p>
    <w:p w:rsidR="002760CB" w:rsidRPr="002760CB" w:rsidRDefault="002760CB" w:rsidP="00DB1945">
      <w:pPr>
        <w:pStyle w:val="ListBullet"/>
      </w:pPr>
      <w:r w:rsidRPr="002760CB">
        <w:t xml:space="preserve">The specification explicitly precludes quantification of two impurities, RC6 and RC8. RC8 is clearly a synthetic </w:t>
      </w:r>
      <w:r w:rsidRPr="00DB1945">
        <w:t>impurity</w:t>
      </w:r>
      <w:r w:rsidRPr="002760CB">
        <w:t>, notwithstanding it nominally increasing in some drug substance stress stability studies. RC6, however, is a conceivable hydrolysis product and should be limited in the finished product specifications.</w:t>
      </w:r>
    </w:p>
    <w:p w:rsidR="002760CB" w:rsidRPr="002760CB" w:rsidRDefault="002760CB" w:rsidP="00DB1945">
      <w:pPr>
        <w:pStyle w:val="ListBullet"/>
      </w:pPr>
      <w:r w:rsidRPr="002760CB">
        <w:t xml:space="preserve">Microbial controls should be formally included in expiry specifications even if not regularly tested </w:t>
      </w:r>
      <w:r w:rsidRPr="00DB1945">
        <w:t>during</w:t>
      </w:r>
      <w:r w:rsidRPr="002760CB">
        <w:t xml:space="preserve"> stability.</w:t>
      </w:r>
    </w:p>
    <w:p w:rsidR="002760CB" w:rsidRPr="002760CB" w:rsidRDefault="002760CB" w:rsidP="00DB1945">
      <w:pPr>
        <w:pStyle w:val="ListBullet"/>
      </w:pPr>
      <w:r w:rsidRPr="002760CB">
        <w:t xml:space="preserve">The components in the PVC </w:t>
      </w:r>
      <w:r w:rsidRPr="00DB1945">
        <w:t>film</w:t>
      </w:r>
      <w:r w:rsidRPr="002760CB">
        <w:t xml:space="preserve"> “laminated structure” should be defined.</w:t>
      </w:r>
    </w:p>
    <w:p w:rsidR="002760CB" w:rsidRPr="002760CB" w:rsidRDefault="002760CB" w:rsidP="00DB1945">
      <w:pPr>
        <w:pStyle w:val="ListBullet"/>
      </w:pPr>
      <w:r w:rsidRPr="002760CB">
        <w:t>Alternative primary packaging sites are proposed, but bulk tablet packaging and stability information could not be located. Please cite or submit.</w:t>
      </w:r>
    </w:p>
    <w:p w:rsidR="002760CB" w:rsidRPr="002760CB" w:rsidRDefault="002760CB" w:rsidP="00DB1945">
      <w:pPr>
        <w:pStyle w:val="ListBullet"/>
      </w:pPr>
      <w:r w:rsidRPr="002760CB">
        <w:t xml:space="preserve">Bioavailability </w:t>
      </w:r>
      <w:r w:rsidRPr="00DB1945">
        <w:t>aspects</w:t>
      </w:r>
      <w:r w:rsidRPr="002760CB">
        <w:t xml:space="preserve"> are reviewed separately. For Study CC-10004-CP-022:</w:t>
      </w:r>
    </w:p>
    <w:p w:rsidR="002760CB" w:rsidRPr="002760CB" w:rsidRDefault="002760CB" w:rsidP="00DB1945">
      <w:pPr>
        <w:pStyle w:val="ListBullet2"/>
      </w:pPr>
      <w:r w:rsidRPr="002760CB">
        <w:t>Please provide the batch number, formulation details and the Certificate of Analyses for the tablets used in the study.</w:t>
      </w:r>
    </w:p>
    <w:p w:rsidR="002760CB" w:rsidRPr="002760CB" w:rsidRDefault="002760CB" w:rsidP="00DB1945">
      <w:pPr>
        <w:pStyle w:val="ListBullet2"/>
      </w:pPr>
      <w:r w:rsidRPr="002760CB">
        <w:t>Please clarify the subjects’ posture and physical activity during the dosage and sampling periods.</w:t>
      </w:r>
    </w:p>
    <w:p w:rsidR="002760CB" w:rsidRPr="002760CB" w:rsidRDefault="002760CB" w:rsidP="00DB1945">
      <w:pPr>
        <w:pStyle w:val="ListBullet2"/>
      </w:pPr>
      <w:r w:rsidRPr="002760CB">
        <w:lastRenderedPageBreak/>
        <w:t xml:space="preserve">Please provide results of matrix effect investigations conducted in accordance with </w:t>
      </w:r>
      <w:r w:rsidR="00DF56C9">
        <w:t>published guidelines</w:t>
      </w:r>
      <w:r w:rsidRPr="002760CB">
        <w:t xml:space="preserve"> </w:t>
      </w:r>
      <w:r w:rsidRPr="00DB1945">
        <w:t>regarding</w:t>
      </w:r>
      <w:r w:rsidRPr="002760CB">
        <w:t xml:space="preserve"> evaluation of the </w:t>
      </w:r>
      <w:r w:rsidR="00FF5EB6">
        <w:t>Internal Standard (</w:t>
      </w:r>
      <w:r w:rsidRPr="002760CB">
        <w:t>IS</w:t>
      </w:r>
      <w:r w:rsidR="00FF5EB6">
        <w:t>)</w:t>
      </w:r>
      <w:r w:rsidR="00F66B07">
        <w:t xml:space="preserve"> normalised Matrix Factor (MF)</w:t>
      </w:r>
      <w:r w:rsidRPr="002760CB">
        <w:t xml:space="preserve"> and determinations at low and high concentrations.</w:t>
      </w:r>
      <w:r w:rsidR="00CF2E72">
        <w:rPr>
          <w:rStyle w:val="FootnoteReference"/>
        </w:rPr>
        <w:footnoteReference w:id="1"/>
      </w:r>
      <w:r w:rsidR="002B6593">
        <w:t xml:space="preserve"> </w:t>
      </w:r>
      <w:r w:rsidRPr="002760CB">
        <w:t xml:space="preserve">Furthermore, matrix effect investigations should also be determined on haemolysed and </w:t>
      </w:r>
      <w:proofErr w:type="spellStart"/>
      <w:r w:rsidRPr="002760CB">
        <w:t>hyperlipidaemic</w:t>
      </w:r>
      <w:proofErr w:type="spellEnd"/>
      <w:r w:rsidRPr="002760CB">
        <w:t xml:space="preserve"> plasma samples.</w:t>
      </w:r>
    </w:p>
    <w:p w:rsidR="002760CB" w:rsidRPr="002760CB" w:rsidRDefault="002760CB" w:rsidP="00DB1945">
      <w:pPr>
        <w:pStyle w:val="ListBullet2"/>
      </w:pPr>
      <w:r w:rsidRPr="002760CB">
        <w:t>Please comment on why incurred sample analyses were not performed.</w:t>
      </w:r>
    </w:p>
    <w:p w:rsidR="008E7846" w:rsidRDefault="008E7846" w:rsidP="00DB1945">
      <w:pPr>
        <w:pStyle w:val="Heading2"/>
      </w:pPr>
      <w:bookmarkStart w:id="35" w:name="_Toc196046439"/>
      <w:bookmarkStart w:id="36" w:name="_Toc247691510"/>
      <w:bookmarkStart w:id="37" w:name="_Toc314842494"/>
      <w:bookmarkStart w:id="38" w:name="_Toc436140470"/>
      <w:r>
        <w:t xml:space="preserve">III. </w:t>
      </w:r>
      <w:r w:rsidRPr="00DB1945">
        <w:t>Nonclinical</w:t>
      </w:r>
      <w:bookmarkEnd w:id="35"/>
      <w:r>
        <w:t xml:space="preserve"> findings</w:t>
      </w:r>
      <w:bookmarkEnd w:id="36"/>
      <w:bookmarkEnd w:id="37"/>
      <w:bookmarkEnd w:id="38"/>
    </w:p>
    <w:p w:rsidR="008E7846" w:rsidRDefault="008E7846" w:rsidP="00DB1945">
      <w:pPr>
        <w:pStyle w:val="Heading3"/>
      </w:pPr>
      <w:bookmarkStart w:id="39" w:name="_Toc247691511"/>
      <w:bookmarkStart w:id="40" w:name="_Toc314842495"/>
      <w:bookmarkStart w:id="41" w:name="_Toc436140471"/>
      <w:r w:rsidRPr="00DB1945">
        <w:t>Introduction</w:t>
      </w:r>
      <w:bookmarkEnd w:id="39"/>
      <w:bookmarkEnd w:id="40"/>
      <w:bookmarkEnd w:id="41"/>
    </w:p>
    <w:p w:rsidR="000A4223" w:rsidRPr="000A4223" w:rsidRDefault="000A4223" w:rsidP="00FC5302">
      <w:bookmarkStart w:id="42" w:name="_Toc247691512"/>
      <w:bookmarkStart w:id="43" w:name="_Toc314842496"/>
      <w:r w:rsidRPr="000A4223">
        <w:t xml:space="preserve">In support of the efficacy and safety of </w:t>
      </w:r>
      <w:r w:rsidR="00EE6D80">
        <w:t>APR</w:t>
      </w:r>
      <w:r w:rsidRPr="000A4223">
        <w:t xml:space="preserve">, a comprehensive dossier of high quality studies has been submitted. The pivotal toxicological studies were performed to </w:t>
      </w:r>
      <w:r w:rsidR="00450434">
        <w:t>Good Laboratory Practice (</w:t>
      </w:r>
      <w:r w:rsidRPr="000A4223">
        <w:t>GLP</w:t>
      </w:r>
      <w:r w:rsidR="00450434">
        <w:t>)</w:t>
      </w:r>
      <w:r w:rsidRPr="000A4223">
        <w:t xml:space="preserve"> standard and were conducted by reputable laboratories. Except for some studies and portions of studies examining investigational PDE4 inhibitors and thalidomide analogues, all the submitted work was evaluated.</w:t>
      </w:r>
    </w:p>
    <w:p w:rsidR="008E7846" w:rsidRDefault="008E7846" w:rsidP="00FC5302">
      <w:pPr>
        <w:pStyle w:val="Heading3"/>
      </w:pPr>
      <w:bookmarkStart w:id="44" w:name="_Toc436140472"/>
      <w:r w:rsidRPr="00FC5302">
        <w:t>Pharmacology</w:t>
      </w:r>
      <w:bookmarkEnd w:id="42"/>
      <w:bookmarkEnd w:id="43"/>
      <w:bookmarkEnd w:id="44"/>
    </w:p>
    <w:p w:rsidR="000A4223" w:rsidRDefault="000A4223" w:rsidP="00FC5302">
      <w:pPr>
        <w:pStyle w:val="Heading4"/>
      </w:pPr>
      <w:r>
        <w:t xml:space="preserve">Primary </w:t>
      </w:r>
      <w:r w:rsidRPr="00FC5302">
        <w:t>pharmacology</w:t>
      </w:r>
    </w:p>
    <w:p w:rsidR="000A4223" w:rsidRPr="000A4223" w:rsidRDefault="00204432" w:rsidP="00FC5302">
      <w:r>
        <w:t>PSOR</w:t>
      </w:r>
      <w:r w:rsidR="000A4223" w:rsidRPr="000A4223">
        <w:t xml:space="preserve"> is a common, chronic autoimmune inflammatory skin disorder characterised by epidermal </w:t>
      </w:r>
      <w:proofErr w:type="spellStart"/>
      <w:r w:rsidR="000A4223" w:rsidRPr="000A4223">
        <w:t>hyperproliferation</w:t>
      </w:r>
      <w:proofErr w:type="spellEnd"/>
      <w:r w:rsidR="000A4223" w:rsidRPr="000A4223">
        <w:t xml:space="preserve"> of keratinocytes and endothelial cells, and accumulation of inflammatory cells such as activated T </w:t>
      </w:r>
      <w:r w:rsidR="006742C6">
        <w:t>cells</w:t>
      </w:r>
      <w:r w:rsidR="000A4223" w:rsidRPr="000A4223">
        <w:t>.</w:t>
      </w:r>
      <w:r w:rsidR="006742C6">
        <w:rPr>
          <w:rStyle w:val="FootnoteReference"/>
        </w:rPr>
        <w:footnoteReference w:id="2"/>
      </w:r>
      <w:r w:rsidR="000A4223" w:rsidRPr="000A4223">
        <w:t xml:space="preserve"> Although the aetiology of the disease is unclear, tumo</w:t>
      </w:r>
      <w:r w:rsidR="00256A64">
        <w:t>u</w:t>
      </w:r>
      <w:r w:rsidR="000A4223" w:rsidRPr="000A4223">
        <w:t>r necrosis factor</w:t>
      </w:r>
      <w:r w:rsidR="008804C0">
        <w:t xml:space="preserve"> </w:t>
      </w:r>
      <w:r w:rsidR="000A4223" w:rsidRPr="000A4223">
        <w:t>alpha (TNF-α) appears to be a key mediator in the disease process. TNF-α is secreted by both T cells and antigen</w:t>
      </w:r>
      <w:r w:rsidR="00990602">
        <w:t xml:space="preserve"> </w:t>
      </w:r>
      <w:r w:rsidR="000A4223" w:rsidRPr="000A4223">
        <w:t xml:space="preserve">presenting cells within psoriatic lesions leading to elevated local and systemic levels of this pro-inflammatory cytokine. This has led to the use of TNF-α antagonists (antibodies and receptors for TNF-α), such as infliximab, </w:t>
      </w:r>
      <w:proofErr w:type="spellStart"/>
      <w:r w:rsidR="000A4223" w:rsidRPr="000A4223">
        <w:t>etanercept</w:t>
      </w:r>
      <w:proofErr w:type="spellEnd"/>
      <w:r w:rsidR="000A4223" w:rsidRPr="000A4223">
        <w:t xml:space="preserve">, and </w:t>
      </w:r>
      <w:proofErr w:type="spellStart"/>
      <w:r w:rsidR="000A4223" w:rsidRPr="000A4223">
        <w:t>adalimumab</w:t>
      </w:r>
      <w:proofErr w:type="spellEnd"/>
      <w:r w:rsidR="000A4223" w:rsidRPr="000A4223">
        <w:t xml:space="preserve">, in the treatment of </w:t>
      </w:r>
      <w:r>
        <w:t>PSOR</w:t>
      </w:r>
      <w:r w:rsidR="000A4223" w:rsidRPr="000A4223">
        <w:t>.</w:t>
      </w:r>
    </w:p>
    <w:p w:rsidR="000A4223" w:rsidRPr="000A4223" w:rsidRDefault="000A4223" w:rsidP="00FC5302">
      <w:r w:rsidRPr="000A4223">
        <w:t xml:space="preserve">PDE4 inhibitors have been shown to suppress TNF-α </w:t>
      </w:r>
      <w:proofErr w:type="gramStart"/>
      <w:r w:rsidRPr="000A4223">
        <w:t>release from monocytes/macrophages induced by various inflammatory stimuli and are</w:t>
      </w:r>
      <w:proofErr w:type="gramEnd"/>
      <w:r w:rsidRPr="000A4223">
        <w:t xml:space="preserve"> potentially useful drugs for the treatment of chronic inflammatory diseases such as </w:t>
      </w:r>
      <w:r w:rsidR="00204432">
        <w:t>PSOR</w:t>
      </w:r>
      <w:r w:rsidRPr="000A4223">
        <w:t>.</w:t>
      </w:r>
      <w:r w:rsidR="00256A64">
        <w:rPr>
          <w:rStyle w:val="FootnoteReference"/>
        </w:rPr>
        <w:footnoteReference w:id="3"/>
      </w:r>
      <w:r w:rsidRPr="000A4223">
        <w:t xml:space="preserve"> </w:t>
      </w:r>
      <w:r w:rsidR="00EE6D80">
        <w:t>APR</w:t>
      </w:r>
      <w:r w:rsidRPr="000A4223">
        <w:t xml:space="preserve"> contains a pharmacophore, a </w:t>
      </w:r>
      <w:proofErr w:type="spellStart"/>
      <w:r w:rsidRPr="000A4223">
        <w:t>dialkoxyphenyl</w:t>
      </w:r>
      <w:proofErr w:type="spellEnd"/>
      <w:r w:rsidRPr="000A4223">
        <w:t xml:space="preserve"> moiety, known to be held tightly in the active</w:t>
      </w:r>
      <w:r w:rsidR="00760917">
        <w:t xml:space="preserve"> site of PDE4</w:t>
      </w:r>
      <w:r w:rsidRPr="000A4223">
        <w:t>,</w:t>
      </w:r>
      <w:r w:rsidR="00760917">
        <w:rPr>
          <w:rStyle w:val="FootnoteReference"/>
        </w:rPr>
        <w:footnoteReference w:id="4"/>
      </w:r>
      <w:r w:rsidRPr="000A4223">
        <w:t xml:space="preserve"> and was shown to inhibit a range of human PDE4A, 4B, 4C, and 4D isoforms with </w:t>
      </w:r>
      <w:r w:rsidR="00BF4AFB">
        <w:t>inhibitory concentration 50% (</w:t>
      </w:r>
      <w:r w:rsidRPr="000A4223">
        <w:t>IC50</w:t>
      </w:r>
      <w:r w:rsidR="00BF4AFB">
        <w:t>)</w:t>
      </w:r>
      <w:r w:rsidRPr="000A4223">
        <w:t xml:space="preserve"> values ranging from 14 to 118 </w:t>
      </w:r>
      <w:proofErr w:type="spellStart"/>
      <w:r w:rsidRPr="000A4223">
        <w:t>nM</w:t>
      </w:r>
      <w:proofErr w:type="spellEnd"/>
      <w:r w:rsidRPr="000A4223">
        <w:t xml:space="preserve">. Compared with other PDE4 inhibitors, </w:t>
      </w:r>
      <w:r w:rsidR="00EE6D80">
        <w:t>APR</w:t>
      </w:r>
      <w:r w:rsidRPr="000A4223">
        <w:t xml:space="preserve"> was more potent than </w:t>
      </w:r>
      <w:proofErr w:type="spellStart"/>
      <w:r w:rsidRPr="000A4223">
        <w:t>rolipram</w:t>
      </w:r>
      <w:proofErr w:type="spellEnd"/>
      <w:r w:rsidRPr="000A4223">
        <w:t xml:space="preserve">, of similar potency to </w:t>
      </w:r>
      <w:proofErr w:type="spellStart"/>
      <w:r w:rsidRPr="000A4223">
        <w:t>cilomilast</w:t>
      </w:r>
      <w:proofErr w:type="spellEnd"/>
      <w:r w:rsidRPr="000A4223">
        <w:t xml:space="preserve">, and less potent than </w:t>
      </w:r>
      <w:proofErr w:type="spellStart"/>
      <w:r w:rsidRPr="000A4223">
        <w:t>roflumilast</w:t>
      </w:r>
      <w:proofErr w:type="spellEnd"/>
      <w:r w:rsidRPr="000A4223">
        <w:t>.</w:t>
      </w:r>
    </w:p>
    <w:p w:rsidR="000A4223" w:rsidRPr="000A4223" w:rsidRDefault="000A4223" w:rsidP="00FC5302">
      <w:r w:rsidRPr="000A4223">
        <w:t xml:space="preserve">The effects of PDE4 inhibition by </w:t>
      </w:r>
      <w:r w:rsidR="00EE6D80">
        <w:t>APR</w:t>
      </w:r>
      <w:r w:rsidRPr="000A4223">
        <w:t xml:space="preserve"> on gene expression in </w:t>
      </w:r>
      <w:r w:rsidRPr="00322B36">
        <w:rPr>
          <w:i/>
        </w:rPr>
        <w:t>in vitro</w:t>
      </w:r>
      <w:r w:rsidRPr="000A4223">
        <w:t xml:space="preserve"> cultures of </w:t>
      </w:r>
      <w:r w:rsidR="00FF1A1C">
        <w:t>l</w:t>
      </w:r>
      <w:r w:rsidR="00FF1A1C" w:rsidRPr="00FF1A1C">
        <w:t xml:space="preserve">ipopolysaccharide </w:t>
      </w:r>
      <w:r w:rsidR="00FF1A1C">
        <w:t xml:space="preserve">(LPS) </w:t>
      </w:r>
      <w:r w:rsidRPr="000A4223">
        <w:t xml:space="preserve">stimulated human </w:t>
      </w:r>
      <w:r w:rsidR="00583F94" w:rsidRPr="00583F94">
        <w:t xml:space="preserve">peripheral blood mononuclear cell </w:t>
      </w:r>
      <w:r w:rsidR="00583F94">
        <w:t>(</w:t>
      </w:r>
      <w:r w:rsidRPr="000A4223">
        <w:t>PBMC</w:t>
      </w:r>
      <w:r w:rsidR="00583F94">
        <w:t>)</w:t>
      </w:r>
      <w:r w:rsidRPr="000A4223">
        <w:t xml:space="preserve"> or monocytes were quantified using </w:t>
      </w:r>
      <w:proofErr w:type="spellStart"/>
      <w:r w:rsidRPr="000A4223">
        <w:t>Affymetrix</w:t>
      </w:r>
      <w:proofErr w:type="spellEnd"/>
      <w:r w:rsidRPr="000A4223">
        <w:t xml:space="preserve"> </w:t>
      </w:r>
      <w:proofErr w:type="spellStart"/>
      <w:r w:rsidRPr="000A4223">
        <w:t>genechips</w:t>
      </w:r>
      <w:proofErr w:type="spellEnd"/>
      <w:r w:rsidRPr="000A4223">
        <w:t xml:space="preserve"> and </w:t>
      </w:r>
      <w:r w:rsidR="008F6B73">
        <w:t>real-time PCR (</w:t>
      </w:r>
      <w:r w:rsidRPr="000A4223">
        <w:t>RT-PCR</w:t>
      </w:r>
      <w:r w:rsidR="008F6B73">
        <w:t>)</w:t>
      </w:r>
      <w:r w:rsidRPr="000A4223">
        <w:t xml:space="preserve">. Genes showing increased expression included </w:t>
      </w:r>
      <w:proofErr w:type="spellStart"/>
      <w:r w:rsidRPr="000A4223">
        <w:t>amphiregulin</w:t>
      </w:r>
      <w:proofErr w:type="spellEnd"/>
      <w:r w:rsidRPr="000A4223">
        <w:t xml:space="preserve">, a ligand of the epidermal growth factor receptor, bone morphogenetic protein 6, involved in bone growth and repair, and epithelial-derived neutrophil-activating protein 78 (CXCL-5), a CXC chemokine </w:t>
      </w:r>
      <w:r w:rsidRPr="000A4223">
        <w:lastRenderedPageBreak/>
        <w:t>expressed by epithelial cells of the gut and airway mucosa which acts as a neutrophil chemoattractant. Genes showing decreased expression included the pro-inflammatory chemokine CCL-18 (MIP-4), the chemokine receptor macrophage inflammatory protein 1-alpha receptor (CCR-1;</w:t>
      </w:r>
      <w:r>
        <w:t xml:space="preserve"> </w:t>
      </w:r>
      <w:r w:rsidRPr="000A4223">
        <w:t xml:space="preserve">MIP-1aR), and the pro-inflammatory cytokines interferon gamma and TNF-α. Hence, in contrast to the biologic TNF-α </w:t>
      </w:r>
      <w:proofErr w:type="gramStart"/>
      <w:r w:rsidRPr="000A4223">
        <w:t>antagonists</w:t>
      </w:r>
      <w:proofErr w:type="gramEnd"/>
      <w:r w:rsidRPr="000A4223">
        <w:t xml:space="preserve">, </w:t>
      </w:r>
      <w:r w:rsidR="00EE6D80">
        <w:t>APR</w:t>
      </w:r>
      <w:r w:rsidRPr="000A4223">
        <w:t xml:space="preserve"> inhibits TNF-α production at the level of gene expression. </w:t>
      </w:r>
      <w:r w:rsidR="00EE6D80">
        <w:t>APR</w:t>
      </w:r>
      <w:r w:rsidRPr="000A4223">
        <w:t xml:space="preserve"> was shown to inhibit TNF-α release by human PBMC following exposure to LPS (IC50 = 77 </w:t>
      </w:r>
      <w:proofErr w:type="spellStart"/>
      <w:r w:rsidRPr="000A4223">
        <w:t>nM</w:t>
      </w:r>
      <w:proofErr w:type="spellEnd"/>
      <w:r w:rsidRPr="000A4223">
        <w:t xml:space="preserve">) or other pro-inflammatory stimuli. </w:t>
      </w:r>
      <w:r w:rsidR="00EE6D80">
        <w:t>APR</w:t>
      </w:r>
      <w:r w:rsidRPr="000A4223">
        <w:t xml:space="preserve"> also inhibited the release of leukotriene B4 (chemoattractant and inducer of adhesion to endothelium) (IC50 = 2.5 </w:t>
      </w:r>
      <w:proofErr w:type="spellStart"/>
      <w:r w:rsidRPr="000A4223">
        <w:t>nM</w:t>
      </w:r>
      <w:proofErr w:type="spellEnd"/>
      <w:r w:rsidRPr="000A4223">
        <w:t>) from activated neutrophils, and inhibited the release of the pro-inflammatory cytokines IL-5 (IC50 = 0.03 µM), IL-13 (IC50 = 0.28 µM), and IL-17 (IC50 = 0.09 µM) from stimulated human T cells.</w:t>
      </w:r>
    </w:p>
    <w:p w:rsidR="000A4223" w:rsidRPr="000A4223" w:rsidRDefault="000A4223" w:rsidP="00FC5302">
      <w:r w:rsidRPr="000A4223">
        <w:t xml:space="preserve">The </w:t>
      </w:r>
      <w:r w:rsidRPr="00665A95">
        <w:rPr>
          <w:i/>
        </w:rPr>
        <w:t>in vivo</w:t>
      </w:r>
      <w:r w:rsidRPr="000A4223">
        <w:t xml:space="preserve"> anti-inflammatory activity of </w:t>
      </w:r>
      <w:r w:rsidR="00EE6D80">
        <w:t>APR</w:t>
      </w:r>
      <w:r w:rsidRPr="000A4223">
        <w:t xml:space="preserve"> was tested in several animal models. Measurements of rat paw oedema after carrageenan injection showed inhibition by </w:t>
      </w:r>
      <w:r w:rsidR="00EE6D80">
        <w:t>APR</w:t>
      </w:r>
      <w:r w:rsidRPr="000A4223">
        <w:t xml:space="preserve"> in one study, but not in another. </w:t>
      </w:r>
      <w:r w:rsidR="00EE6D80">
        <w:t>APR</w:t>
      </w:r>
      <w:r w:rsidRPr="000A4223">
        <w:t xml:space="preserve"> failed to show anti-inflammatory activity when an irritant was introduced into an air pouch or the peritoneum of mice. </w:t>
      </w:r>
      <w:r w:rsidR="00EE6D80">
        <w:t>APR</w:t>
      </w:r>
      <w:r w:rsidRPr="000A4223">
        <w:t xml:space="preserve"> showed anti-inflammatory activity in a mouse model of inflammatory bowel disease and in models of allergen-induced bronchospasm. Importantly, </w:t>
      </w:r>
      <w:r w:rsidR="00EE6D80">
        <w:t>APR</w:t>
      </w:r>
      <w:r w:rsidRPr="000A4223">
        <w:t xml:space="preserve"> showed activity in a model of </w:t>
      </w:r>
      <w:r w:rsidR="00204432">
        <w:t>PSOR</w:t>
      </w:r>
      <w:r w:rsidRPr="000A4223">
        <w:t xml:space="preserve"> using immunocompromised mice that had received human skin grafts and</w:t>
      </w:r>
      <w:r w:rsidR="00665A95">
        <w:t xml:space="preserve"> been injected with activated natural killer (NK)</w:t>
      </w:r>
      <w:r w:rsidRPr="000A4223">
        <w:t xml:space="preserve"> cells derived from psoriatic patient blood. Subsequent dosing with </w:t>
      </w:r>
      <w:r w:rsidR="00EE6D80">
        <w:t>APR</w:t>
      </w:r>
      <w:r w:rsidRPr="000A4223">
        <w:t xml:space="preserve"> produced significant decreases in epidermal thickness and keratinocyte proliferation and decreased expression of inflammation markers.</w:t>
      </w:r>
    </w:p>
    <w:p w:rsidR="000A4223" w:rsidRPr="000A4223" w:rsidRDefault="000A4223" w:rsidP="00FC5302">
      <w:r w:rsidRPr="000A4223">
        <w:t xml:space="preserve">The pathogenesis of </w:t>
      </w:r>
      <w:r w:rsidR="00204432">
        <w:t>PSOR</w:t>
      </w:r>
      <w:r w:rsidRPr="000A4223">
        <w:t xml:space="preserve"> has been associated with a pro-</w:t>
      </w:r>
      <w:proofErr w:type="spellStart"/>
      <w:r w:rsidRPr="000A4223">
        <w:t>angiogenic</w:t>
      </w:r>
      <w:proofErr w:type="spellEnd"/>
      <w:r w:rsidRPr="000A4223">
        <w:t xml:space="preserve"> environment reflecting elevated levels of </w:t>
      </w:r>
      <w:r w:rsidR="00ED42EC">
        <w:t>v</w:t>
      </w:r>
      <w:r w:rsidR="00F225EB" w:rsidRPr="00F225EB">
        <w:t xml:space="preserve">ascular endothelial growth factor </w:t>
      </w:r>
      <w:r w:rsidR="00F225EB">
        <w:t>(</w:t>
      </w:r>
      <w:r w:rsidRPr="000A4223">
        <w:t>VEGF</w:t>
      </w:r>
      <w:r w:rsidR="00F225EB">
        <w:t>)</w:t>
      </w:r>
      <w:r w:rsidRPr="000A4223">
        <w:t xml:space="preserve"> in the circulation and skin</w:t>
      </w:r>
      <w:r w:rsidR="00ED42EC">
        <w:t>.</w:t>
      </w:r>
      <w:r w:rsidR="004D1414">
        <w:rPr>
          <w:rStyle w:val="FootnoteReference"/>
        </w:rPr>
        <w:footnoteReference w:id="5"/>
      </w:r>
      <w:r w:rsidR="007F7C28">
        <w:t xml:space="preserve"> </w:t>
      </w:r>
      <w:r w:rsidR="00EE6D80">
        <w:t>APR</w:t>
      </w:r>
      <w:r w:rsidRPr="000A4223">
        <w:t xml:space="preserve"> showed potent anti-angiogenic activity, comparable with thalidomide, in the human umbilical cord vessel ring assay (IC50 values of 0.14 and 0.17 µM for </w:t>
      </w:r>
      <w:r w:rsidR="00EE6D80">
        <w:t>APR</w:t>
      </w:r>
      <w:r w:rsidRPr="000A4223">
        <w:t xml:space="preserve"> and thalidomide, respectively).</w:t>
      </w:r>
    </w:p>
    <w:p w:rsidR="000A4223" w:rsidRPr="000A4223" w:rsidRDefault="000A4223" w:rsidP="00FC5302">
      <w:r w:rsidRPr="000A4223">
        <w:t xml:space="preserve">A feature of </w:t>
      </w:r>
      <w:proofErr w:type="spellStart"/>
      <w:r w:rsidR="00852871">
        <w:t>PsA</w:t>
      </w:r>
      <w:proofErr w:type="spellEnd"/>
      <w:r w:rsidRPr="000A4223">
        <w:t xml:space="preserve"> is aggressive bone erosions that are associated</w:t>
      </w:r>
      <w:r w:rsidR="007F7C28">
        <w:t xml:space="preserve"> with large numbers of tartrate </w:t>
      </w:r>
      <w:r w:rsidRPr="000A4223">
        <w:t>resistant acid phosphatase (TRAP)</w:t>
      </w:r>
      <w:r w:rsidR="007F7C28">
        <w:t xml:space="preserve"> </w:t>
      </w:r>
      <w:r w:rsidRPr="000A4223">
        <w:t>positive os</w:t>
      </w:r>
      <w:r w:rsidR="005B2B4E">
        <w:t>teoclasts</w:t>
      </w:r>
      <w:r w:rsidRPr="000A4223">
        <w:t>.</w:t>
      </w:r>
      <w:r w:rsidR="00001E10">
        <w:rPr>
          <w:rStyle w:val="FootnoteReference"/>
        </w:rPr>
        <w:footnoteReference w:id="6"/>
      </w:r>
      <w:r w:rsidRPr="000A4223">
        <w:t xml:space="preserve"> In studies of its potential for anti-arthritic activity, </w:t>
      </w:r>
      <w:r w:rsidR="00EE6D80">
        <w:t>APR</w:t>
      </w:r>
      <w:r w:rsidRPr="000A4223">
        <w:t xml:space="preserve"> was shown to inhibit TNF-α production by samples of rheumatoid arthritis synovial membrane (IC50 ~100 </w:t>
      </w:r>
      <w:proofErr w:type="spellStart"/>
      <w:r w:rsidRPr="000A4223">
        <w:t>nM</w:t>
      </w:r>
      <w:proofErr w:type="spellEnd"/>
      <w:r w:rsidRPr="000A4223">
        <w:t xml:space="preserve">), whilst having little or no effect on production of IL-6 (pro-inflammatory cytokine and stimulator of osteoclast formation) and IL-10 (anti-inflammatory). </w:t>
      </w:r>
      <w:r w:rsidR="00EE6D80">
        <w:t>APR</w:t>
      </w:r>
      <w:r w:rsidRPr="000A4223">
        <w:t xml:space="preserve"> was shown to inhibit production of IL-7 (potent </w:t>
      </w:r>
      <w:proofErr w:type="spellStart"/>
      <w:r w:rsidRPr="000A4223">
        <w:t>osteoclastogenic</w:t>
      </w:r>
      <w:proofErr w:type="spellEnd"/>
      <w:r w:rsidRPr="000A4223">
        <w:t xml:space="preserve"> factor) production by normal human chondrocytes and also inhibited production of soluble receptor ac</w:t>
      </w:r>
      <w:r w:rsidR="007F7C28">
        <w:t>tivator of NF-</w:t>
      </w:r>
      <w:proofErr w:type="spellStart"/>
      <w:r w:rsidR="007F7C28">
        <w:t>κB</w:t>
      </w:r>
      <w:proofErr w:type="spellEnd"/>
      <w:r w:rsidR="007F7C28">
        <w:t xml:space="preserve"> ligand (</w:t>
      </w:r>
      <w:proofErr w:type="spellStart"/>
      <w:r w:rsidR="007F7C28">
        <w:t>sRANKL</w:t>
      </w:r>
      <w:proofErr w:type="spellEnd"/>
      <w:r w:rsidR="007F7C28">
        <w:t>,</w:t>
      </w:r>
      <w:r w:rsidRPr="000A4223">
        <w:t xml:space="preserve"> required for </w:t>
      </w:r>
      <w:proofErr w:type="spellStart"/>
      <w:r w:rsidRPr="000A4223">
        <w:t>osteoclastogenesis</w:t>
      </w:r>
      <w:proofErr w:type="spellEnd"/>
      <w:r w:rsidRPr="000A4223">
        <w:t xml:space="preserve">) by both osteoblasts and osteoclasts. Such effects were likely responsible for </w:t>
      </w:r>
      <w:r w:rsidR="00EE6D80">
        <w:t>APR</w:t>
      </w:r>
      <w:r w:rsidRPr="000A4223">
        <w:t>’s ability to decrease numbers of TRAP</w:t>
      </w:r>
      <w:r w:rsidR="002A0311">
        <w:t xml:space="preserve"> </w:t>
      </w:r>
      <w:r w:rsidRPr="000A4223">
        <w:t xml:space="preserve">positive osteoclasts under in vitro culture conditions. </w:t>
      </w:r>
      <w:r w:rsidRPr="002A0311">
        <w:rPr>
          <w:i/>
        </w:rPr>
        <w:t>In vivo</w:t>
      </w:r>
      <w:r w:rsidRPr="000A4223">
        <w:t xml:space="preserve"> testing of the anti-arthritic activity of </w:t>
      </w:r>
      <w:r w:rsidR="00EE6D80">
        <w:t>APR</w:t>
      </w:r>
      <w:r w:rsidRPr="000A4223">
        <w:t xml:space="preserve"> used a mouse model of collagen</w:t>
      </w:r>
      <w:r w:rsidR="002A0311">
        <w:t xml:space="preserve"> </w:t>
      </w:r>
      <w:r w:rsidRPr="000A4223">
        <w:t xml:space="preserve">induced arthritis. Overall the results were equivocal. In some studies, </w:t>
      </w:r>
      <w:r w:rsidR="00EE6D80">
        <w:t>APR</w:t>
      </w:r>
      <w:r w:rsidRPr="000A4223">
        <w:t xml:space="preserve"> showed anti-arthritic activity; whilst in others it showed little or no activity.</w:t>
      </w:r>
    </w:p>
    <w:p w:rsidR="000A4223" w:rsidRPr="000A4223" w:rsidRDefault="000A4223" w:rsidP="00FC5302">
      <w:r w:rsidRPr="000A4223">
        <w:t xml:space="preserve">The sponsor’s studies support the proposed mechanism of action for </w:t>
      </w:r>
      <w:r w:rsidR="00EE6D80">
        <w:t>APR</w:t>
      </w:r>
      <w:r w:rsidRPr="000A4223">
        <w:t xml:space="preserve"> and they support its potential usefulness for the proposed indications. </w:t>
      </w:r>
    </w:p>
    <w:p w:rsidR="000A4223" w:rsidRDefault="000A4223" w:rsidP="00FC5302">
      <w:pPr>
        <w:pStyle w:val="Heading4"/>
      </w:pPr>
      <w:r>
        <w:t xml:space="preserve">Secondary pharmacodynamics and </w:t>
      </w:r>
      <w:r w:rsidRPr="00FC5302">
        <w:t>safety</w:t>
      </w:r>
      <w:r>
        <w:t xml:space="preserve"> pharmacology</w:t>
      </w:r>
    </w:p>
    <w:p w:rsidR="000A4223" w:rsidRPr="000A4223" w:rsidRDefault="00EE6D80" w:rsidP="00FC5302">
      <w:r>
        <w:t>APR</w:t>
      </w:r>
      <w:r w:rsidR="000A4223" w:rsidRPr="000A4223">
        <w:t xml:space="preserve"> (10 µM) showed little or no inhibition of various PDE families (1, 2, 3, 5, 6, 7, and 11) other than PDE4.</w:t>
      </w:r>
    </w:p>
    <w:p w:rsidR="00620C40" w:rsidRDefault="00EE6D80" w:rsidP="00FC5302">
      <w:r>
        <w:lastRenderedPageBreak/>
        <w:t>APR</w:t>
      </w:r>
      <w:r w:rsidR="000A4223" w:rsidRPr="000A4223">
        <w:t xml:space="preserve"> at 10 µM showed no significant activity in large</w:t>
      </w:r>
      <w:r w:rsidR="002827F9">
        <w:t xml:space="preserve"> </w:t>
      </w:r>
      <w:r w:rsidR="000A4223" w:rsidRPr="000A4223">
        <w:t xml:space="preserve">scale screens for inhibitory activity towards kinases, various other enzymes, and </w:t>
      </w:r>
      <w:r w:rsidR="002827F9">
        <w:t xml:space="preserve">cell surface receptors. However, </w:t>
      </w:r>
      <w:r w:rsidR="000A4223" w:rsidRPr="000A4223">
        <w:t xml:space="preserve">Study 8611 suggested that </w:t>
      </w:r>
      <w:r>
        <w:t>APR</w:t>
      </w:r>
      <w:r w:rsidR="000A4223" w:rsidRPr="000A4223">
        <w:t xml:space="preserve"> is a potent inhibitor of the </w:t>
      </w:r>
      <w:proofErr w:type="spellStart"/>
      <w:r w:rsidR="000A4223" w:rsidRPr="000A4223">
        <w:t>hERG</w:t>
      </w:r>
      <w:proofErr w:type="spellEnd"/>
      <w:r w:rsidR="000A4223" w:rsidRPr="000A4223">
        <w:t xml:space="preserve"> potassium current (51.3% inhibition at 1 µM </w:t>
      </w:r>
      <w:r>
        <w:t>APR</w:t>
      </w:r>
      <w:r w:rsidR="00E946ED">
        <w:t xml:space="preserve">). Given a </w:t>
      </w:r>
      <w:r w:rsidR="004D340F">
        <w:t>maximum</w:t>
      </w:r>
      <w:r w:rsidR="004D340F" w:rsidRPr="00D4266B">
        <w:t xml:space="preserve"> plasma drug concentration</w:t>
      </w:r>
      <w:r w:rsidR="004D340F">
        <w:t xml:space="preserve"> (</w:t>
      </w:r>
      <w:proofErr w:type="spellStart"/>
      <w:r w:rsidR="00E946ED">
        <w:t>Cmax</w:t>
      </w:r>
      <w:proofErr w:type="spellEnd"/>
      <w:r w:rsidR="004D340F">
        <w:t>)</w:t>
      </w:r>
      <w:r w:rsidR="000A4223" w:rsidRPr="00E14AD9">
        <w:rPr>
          <w:vertAlign w:val="subscript"/>
        </w:rPr>
        <w:t xml:space="preserve"> </w:t>
      </w:r>
      <w:r w:rsidR="000A4223" w:rsidRPr="000A4223">
        <w:t xml:space="preserve">of 0.95 µM (average of values from Clinical Studies CC-10004- PSA-002-PK and CC-10004- PSOR-005-PK) for </w:t>
      </w:r>
      <w:r w:rsidR="00204432">
        <w:t>PSOR</w:t>
      </w:r>
      <w:r w:rsidR="000A4223" w:rsidRPr="000A4223">
        <w:t xml:space="preserve"> patients receiving the recommended dose (30 mg, BID), such a finding was of conce</w:t>
      </w:r>
      <w:r w:rsidR="003A6EC8">
        <w:t xml:space="preserve">rn. However, another study (031206.DFN) </w:t>
      </w:r>
      <w:r w:rsidR="000A4223" w:rsidRPr="000A4223">
        <w:t xml:space="preserve">reported an IC50 of 184 µM for inhibition of the </w:t>
      </w:r>
      <w:proofErr w:type="spellStart"/>
      <w:r w:rsidR="000A4223" w:rsidRPr="000A4223">
        <w:t>hERG</w:t>
      </w:r>
      <w:proofErr w:type="spellEnd"/>
      <w:r w:rsidR="000A4223" w:rsidRPr="000A4223">
        <w:t xml:space="preserve"> current by </w:t>
      </w:r>
      <w:r>
        <w:t>APR</w:t>
      </w:r>
      <w:r w:rsidR="000A4223" w:rsidRPr="000A4223">
        <w:t xml:space="preserve">. The FDA report on </w:t>
      </w:r>
      <w:r>
        <w:t>APR</w:t>
      </w:r>
      <w:r w:rsidR="000A4223" w:rsidRPr="000A4223">
        <w:t xml:space="preserve"> n</w:t>
      </w:r>
      <w:r w:rsidR="00620C40">
        <w:t>otes these concerns and states:</w:t>
      </w:r>
    </w:p>
    <w:p w:rsidR="00620C40" w:rsidRPr="00FC5302" w:rsidRDefault="000A4223" w:rsidP="00FC5302">
      <w:pPr>
        <w:pStyle w:val="ListBullet"/>
        <w:numPr>
          <w:ilvl w:val="0"/>
          <w:numId w:val="0"/>
        </w:numPr>
        <w:ind w:left="360"/>
        <w:rPr>
          <w:i/>
        </w:rPr>
      </w:pPr>
      <w:r w:rsidRPr="00FC5302">
        <w:rPr>
          <w:i/>
        </w:rPr>
        <w:t xml:space="preserve">The sponsor believes that the results of study 03126.DFN (sic) are more reliable since it was conducted with multiple doses </w:t>
      </w:r>
      <w:r w:rsidR="00A614A5" w:rsidRPr="00FC5302">
        <w:rPr>
          <w:i/>
        </w:rPr>
        <w:t>and was a GLP compliant study</w:t>
      </w:r>
      <w:r w:rsidR="000F47D0" w:rsidRPr="00FC5302">
        <w:rPr>
          <w:i/>
        </w:rPr>
        <w:t xml:space="preserve">: </w:t>
      </w:r>
      <w:r w:rsidRPr="00FC5302">
        <w:rPr>
          <w:i/>
        </w:rPr>
        <w:t xml:space="preserve">FDA’s pharmacology review for </w:t>
      </w:r>
      <w:r w:rsidR="00EE6D80" w:rsidRPr="00FC5302">
        <w:rPr>
          <w:i/>
        </w:rPr>
        <w:t>APR</w:t>
      </w:r>
      <w:r w:rsidRPr="00FC5302">
        <w:rPr>
          <w:i/>
        </w:rPr>
        <w:t xml:space="preserve"> (application number: 20543</w:t>
      </w:r>
      <w:r w:rsidR="00594272" w:rsidRPr="00FC5302">
        <w:rPr>
          <w:i/>
        </w:rPr>
        <w:t>7Orig1s000).</w:t>
      </w:r>
      <w:r w:rsidR="00753AC1" w:rsidRPr="00FC5302">
        <w:rPr>
          <w:rStyle w:val="FootnoteReference"/>
          <w:i/>
        </w:rPr>
        <w:footnoteReference w:id="7"/>
      </w:r>
    </w:p>
    <w:p w:rsidR="000A4223" w:rsidRPr="000A4223" w:rsidRDefault="000A4223" w:rsidP="00FC5302">
      <w:r w:rsidRPr="000A4223">
        <w:t xml:space="preserve">The sponsor’s comments are reasonable and it would appear that </w:t>
      </w:r>
      <w:proofErr w:type="spellStart"/>
      <w:r w:rsidRPr="000A4223">
        <w:t>hERG</w:t>
      </w:r>
      <w:proofErr w:type="spellEnd"/>
      <w:r w:rsidRPr="000A4223">
        <w:t xml:space="preserve"> inhibition is not a concern.</w:t>
      </w:r>
    </w:p>
    <w:p w:rsidR="000A4223" w:rsidRPr="000A4223" w:rsidRDefault="00EE6D80" w:rsidP="00FC5302">
      <w:r>
        <w:t>APR</w:t>
      </w:r>
      <w:r w:rsidR="000A4223" w:rsidRPr="000A4223">
        <w:t xml:space="preserve"> was derived from efforts to produce a thalidomide analogue with enhanced TNF-α inhibitory acti</w:t>
      </w:r>
      <w:r w:rsidR="00753AC1">
        <w:t>vity.</w:t>
      </w:r>
      <w:r w:rsidR="00753AC1">
        <w:rPr>
          <w:rStyle w:val="FootnoteReference"/>
        </w:rPr>
        <w:footnoteReference w:id="8"/>
      </w:r>
      <w:r w:rsidR="000A4223" w:rsidRPr="000A4223">
        <w:t xml:space="preserve"> Thalidomide and analogues, such as </w:t>
      </w:r>
      <w:proofErr w:type="spellStart"/>
      <w:r w:rsidR="000A4223" w:rsidRPr="000A4223">
        <w:t>lenalidomide</w:t>
      </w:r>
      <w:proofErr w:type="spellEnd"/>
      <w:r w:rsidR="000A4223" w:rsidRPr="000A4223">
        <w:t xml:space="preserve"> and </w:t>
      </w:r>
      <w:proofErr w:type="spellStart"/>
      <w:r w:rsidR="000A4223" w:rsidRPr="000A4223">
        <w:t>pomalidomide</w:t>
      </w:r>
      <w:proofErr w:type="spellEnd"/>
      <w:r w:rsidR="000A4223" w:rsidRPr="000A4223">
        <w:t xml:space="preserve">, are used clinically in the treatment of multiple myeloma. Their anti-myeloma (and teratogenic) activity is attributed to binding of </w:t>
      </w:r>
      <w:proofErr w:type="spellStart"/>
      <w:r w:rsidR="000A4223" w:rsidRPr="000A4223">
        <w:t>cereblon</w:t>
      </w:r>
      <w:proofErr w:type="spellEnd"/>
      <w:r w:rsidR="000A4223" w:rsidRPr="000A4223">
        <w:t xml:space="preserve"> resultin</w:t>
      </w:r>
      <w:r w:rsidR="00A614A5">
        <w:t xml:space="preserve">g in the inhibition of </w:t>
      </w:r>
      <w:proofErr w:type="spellStart"/>
      <w:r w:rsidR="00A614A5">
        <w:t>cereblon</w:t>
      </w:r>
      <w:proofErr w:type="spellEnd"/>
      <w:r w:rsidR="00A614A5">
        <w:t xml:space="preserve"> </w:t>
      </w:r>
      <w:r w:rsidR="000A4223" w:rsidRPr="000A4223">
        <w:t>associated E3 ubiquitin ligase and blockage of the degradation of unidentified proteins</w:t>
      </w:r>
      <w:r w:rsidR="00A614A5">
        <w:t>.</w:t>
      </w:r>
      <w:r w:rsidR="005B0DB0">
        <w:rPr>
          <w:rStyle w:val="FootnoteReference"/>
        </w:rPr>
        <w:footnoteReference w:id="9"/>
      </w:r>
      <w:r w:rsidR="00C9620F">
        <w:t xml:space="preserve"> </w:t>
      </w:r>
      <w:r w:rsidR="000A4223" w:rsidRPr="000A4223">
        <w:t>Downstream consequences of this inhibition of protein degradation can include decre</w:t>
      </w:r>
      <w:r w:rsidR="00C9620F">
        <w:t xml:space="preserve">ase in the synthesis of TNF-α. However, it is significant to note </w:t>
      </w:r>
      <w:r w:rsidR="000A4223" w:rsidRPr="000A4223">
        <w:t xml:space="preserve">that the binding of thalidomide to </w:t>
      </w:r>
      <w:proofErr w:type="spellStart"/>
      <w:r w:rsidR="000A4223" w:rsidRPr="000A4223">
        <w:t>cereblon</w:t>
      </w:r>
      <w:proofErr w:type="spellEnd"/>
      <w:r w:rsidR="000A4223" w:rsidRPr="000A4223">
        <w:t xml:space="preserve"> is mediated by its </w:t>
      </w:r>
      <w:proofErr w:type="spellStart"/>
      <w:r w:rsidR="000A4223" w:rsidRPr="000A4223">
        <w:t>glutarimide</w:t>
      </w:r>
      <w:proofErr w:type="spellEnd"/>
      <w:r w:rsidR="000A4223" w:rsidRPr="000A4223">
        <w:t xml:space="preserve"> and not by its </w:t>
      </w:r>
      <w:proofErr w:type="spellStart"/>
      <w:r w:rsidR="000A4223" w:rsidRPr="000A4223">
        <w:t>phtha</w:t>
      </w:r>
      <w:r w:rsidR="00C9620F">
        <w:t>limide</w:t>
      </w:r>
      <w:proofErr w:type="spellEnd"/>
      <w:r w:rsidR="00C9620F">
        <w:t xml:space="preserve"> moiety.</w:t>
      </w:r>
      <w:r w:rsidR="00C9620F">
        <w:rPr>
          <w:rStyle w:val="FootnoteReference"/>
        </w:rPr>
        <w:footnoteReference w:id="10"/>
      </w:r>
      <w:r w:rsidR="000A4223" w:rsidRPr="000A4223">
        <w:t xml:space="preserve"> The former moiety is absent from </w:t>
      </w:r>
      <w:r>
        <w:t>APR</w:t>
      </w:r>
      <w:r w:rsidR="000A4223" w:rsidRPr="000A4223">
        <w:t xml:space="preserve">. Nevertheless, various studies were performed to confirm that </w:t>
      </w:r>
      <w:r>
        <w:t>APR</w:t>
      </w:r>
      <w:r w:rsidR="000A4223" w:rsidRPr="000A4223">
        <w:t xml:space="preserve"> lacks thalidomide</w:t>
      </w:r>
      <w:r w:rsidR="004A66AC">
        <w:t xml:space="preserve"> </w:t>
      </w:r>
      <w:r w:rsidR="000A4223" w:rsidRPr="000A4223">
        <w:t xml:space="preserve">like activity. These studies demonstrated: comparison of the effects on gene expression (using </w:t>
      </w:r>
      <w:proofErr w:type="spellStart"/>
      <w:r w:rsidR="000A4223" w:rsidRPr="000A4223">
        <w:t>Affymetrix</w:t>
      </w:r>
      <w:proofErr w:type="spellEnd"/>
      <w:r w:rsidR="000A4223" w:rsidRPr="000A4223">
        <w:t xml:space="preserve"> gene chips representing ~13,000 human genes) of treatment of human monocytes with </w:t>
      </w:r>
      <w:r>
        <w:t>APR</w:t>
      </w:r>
      <w:r w:rsidR="000A4223" w:rsidRPr="000A4223">
        <w:t xml:space="preserve">, other PDE4 inhibitors, or thalidomide analogues showed that the gene modulation pattern for </w:t>
      </w:r>
      <w:r>
        <w:t>APR</w:t>
      </w:r>
      <w:r w:rsidR="000A4223" w:rsidRPr="000A4223">
        <w:t xml:space="preserve"> was most similar to other PDE4 inhibitors rather than to thalidomide analogues; in a competition</w:t>
      </w:r>
      <w:r w:rsidR="004A66AC">
        <w:t xml:space="preserve"> </w:t>
      </w:r>
      <w:r w:rsidR="000A4223" w:rsidRPr="000A4223">
        <w:t xml:space="preserve">type assay, </w:t>
      </w:r>
      <w:r>
        <w:t>APR</w:t>
      </w:r>
      <w:r w:rsidR="000A4223" w:rsidRPr="000A4223">
        <w:t xml:space="preserve"> at up to 100 µM had no effect on the level of </w:t>
      </w:r>
      <w:proofErr w:type="spellStart"/>
      <w:r w:rsidR="000A4223" w:rsidRPr="000A4223">
        <w:t>cereblon</w:t>
      </w:r>
      <w:proofErr w:type="spellEnd"/>
      <w:r w:rsidR="000A4223" w:rsidRPr="000A4223">
        <w:t xml:space="preserve"> binding to thalidomide</w:t>
      </w:r>
      <w:r w:rsidR="004A66AC">
        <w:t xml:space="preserve"> </w:t>
      </w:r>
      <w:r w:rsidR="000A4223" w:rsidRPr="000A4223">
        <w:t xml:space="preserve">coupled affinity beads; </w:t>
      </w:r>
      <w:r>
        <w:t>APR</w:t>
      </w:r>
      <w:r w:rsidR="000A4223" w:rsidRPr="000A4223">
        <w:t xml:space="preserve"> was ineffective at inhibiting the</w:t>
      </w:r>
      <w:r w:rsidR="004A66AC">
        <w:t xml:space="preserve"> proliferation of a non-Hodgkin’</w:t>
      </w:r>
      <w:r w:rsidR="000A4223" w:rsidRPr="000A4223">
        <w:t xml:space="preserve">s lymphoma B cell line that was inhibited by thalidomide analogues; </w:t>
      </w:r>
      <w:r>
        <w:t>APR</w:t>
      </w:r>
      <w:r w:rsidR="000A4223" w:rsidRPr="000A4223">
        <w:t xml:space="preserve"> increased P</w:t>
      </w:r>
      <w:r w:rsidR="00A216F5">
        <w:t xml:space="preserve">GE2 production from LPS or </w:t>
      </w:r>
      <w:proofErr w:type="spellStart"/>
      <w:r w:rsidR="00040E72" w:rsidRPr="00040E72">
        <w:t>phytohaemagglutinin</w:t>
      </w:r>
      <w:proofErr w:type="spellEnd"/>
      <w:r w:rsidR="00040E72" w:rsidRPr="00040E72">
        <w:t xml:space="preserve"> </w:t>
      </w:r>
      <w:r w:rsidR="00040E72">
        <w:t>(</w:t>
      </w:r>
      <w:r w:rsidR="00A216F5">
        <w:t>PHA</w:t>
      </w:r>
      <w:r w:rsidR="00040E72">
        <w:t>)</w:t>
      </w:r>
      <w:r w:rsidR="00A216F5">
        <w:t xml:space="preserve"> </w:t>
      </w:r>
      <w:r w:rsidR="000A4223" w:rsidRPr="000A4223">
        <w:t>stimulated human PBMC, whereas thalidomide and analogues had little or no effect. It can reasonably be concluded that, although both drugs can inhibit TNF-α synthesis, the mechanisms by which this is achieved are dissimilar.</w:t>
      </w:r>
    </w:p>
    <w:p w:rsidR="000A4223" w:rsidRPr="000A4223" w:rsidRDefault="000A4223" w:rsidP="00FC5302">
      <w:r w:rsidRPr="000A4223">
        <w:t xml:space="preserve">Mice dosed orally with </w:t>
      </w:r>
      <w:r w:rsidR="00EE6D80">
        <w:t>APR</w:t>
      </w:r>
      <w:r w:rsidRPr="000A4223">
        <w:t xml:space="preserve"> at 500 mg/kg (</w:t>
      </w:r>
      <w:proofErr w:type="spellStart"/>
      <w:r w:rsidRPr="000A4223">
        <w:t>Cmax</w:t>
      </w:r>
      <w:proofErr w:type="spellEnd"/>
      <w:r w:rsidRPr="000A4223">
        <w:t xml:space="preserve"> ~19 µM) showed no effects on general activity and behaviour and doses up to 1000 mg/kg had no effect on </w:t>
      </w:r>
      <w:r w:rsidR="003231E2">
        <w:t>gastrointestinal (</w:t>
      </w:r>
      <w:r w:rsidRPr="000A4223">
        <w:t>GI</w:t>
      </w:r>
      <w:r w:rsidR="003231E2">
        <w:t>)</w:t>
      </w:r>
      <w:r w:rsidRPr="000A4223">
        <w:t xml:space="preserve"> motility. Anaesthetised beagle dogs given ascending doses of </w:t>
      </w:r>
      <w:r w:rsidR="00EE6D80">
        <w:t>APR</w:t>
      </w:r>
      <w:r w:rsidRPr="000A4223">
        <w:t xml:space="preserve"> from 0.5 (</w:t>
      </w:r>
      <w:proofErr w:type="spellStart"/>
      <w:r w:rsidRPr="000A4223">
        <w:t>Cmax</w:t>
      </w:r>
      <w:proofErr w:type="spellEnd"/>
      <w:r w:rsidRPr="000A4223">
        <w:t xml:space="preserve"> ~1.4 µM</w:t>
      </w:r>
      <w:r w:rsidR="00F17D4C">
        <w:t>) to 5 mg/kg (</w:t>
      </w:r>
      <w:proofErr w:type="spellStart"/>
      <w:r w:rsidR="00F17D4C">
        <w:t>Cmax</w:t>
      </w:r>
      <w:proofErr w:type="spellEnd"/>
      <w:r w:rsidR="00F17D4C">
        <w:t xml:space="preserve"> ~11 µM) by intravenous (IV)</w:t>
      </w:r>
      <w:r w:rsidRPr="000A4223">
        <w:t xml:space="preserve"> infusion showed no effects on respiratory parameters but moderate, dose</w:t>
      </w:r>
      <w:r w:rsidR="00A211F4">
        <w:t xml:space="preserve"> </w:t>
      </w:r>
      <w:r w:rsidRPr="000A4223">
        <w:t xml:space="preserve">related increases in </w:t>
      </w:r>
      <w:proofErr w:type="spellStart"/>
      <w:r w:rsidRPr="000A4223">
        <w:t>dP</w:t>
      </w:r>
      <w:proofErr w:type="spellEnd"/>
      <w:r w:rsidRPr="000A4223">
        <w:t>/</w:t>
      </w:r>
      <w:proofErr w:type="spellStart"/>
      <w:r w:rsidRPr="000A4223">
        <w:t>dTmax</w:t>
      </w:r>
      <w:proofErr w:type="spellEnd"/>
      <w:r w:rsidRPr="000A4223">
        <w:t xml:space="preserve"> and heart rate. This tachycardia was reflected in decreases in </w:t>
      </w:r>
      <w:proofErr w:type="gramStart"/>
      <w:r w:rsidRPr="000A4223">
        <w:t>the inter</w:t>
      </w:r>
      <w:proofErr w:type="gramEnd"/>
      <w:r w:rsidR="00A211F4">
        <w:t xml:space="preserve"> beat (RR) and QT intervals; </w:t>
      </w:r>
      <w:r w:rsidRPr="000A4223">
        <w:t xml:space="preserve">however, the corrected QT interval (QTC) was not noticeably affected. This effect was not considered of toxicological concern. Furthermore, </w:t>
      </w:r>
      <w:proofErr w:type="spellStart"/>
      <w:r w:rsidRPr="000A4223">
        <w:t>cynomolgus</w:t>
      </w:r>
      <w:proofErr w:type="spellEnd"/>
      <w:r w:rsidRPr="000A4223">
        <w:t xml:space="preserve"> monkeys given a daily oral dose of </w:t>
      </w:r>
      <w:r w:rsidR="00EE6D80">
        <w:t>APR</w:t>
      </w:r>
      <w:r w:rsidRPr="000A4223">
        <w:t xml:space="preserve"> for 1 year at relative exposures up to 5.6 (males) and 3.6 (females) showed no treatment</w:t>
      </w:r>
      <w:r w:rsidR="00240090">
        <w:t xml:space="preserve"> </w:t>
      </w:r>
      <w:r w:rsidRPr="000A4223">
        <w:t>related abnormalities in electrocardiogram parameters or heart rate.</w:t>
      </w:r>
    </w:p>
    <w:p w:rsidR="008E7846" w:rsidRDefault="008E7846" w:rsidP="00FC5302">
      <w:pPr>
        <w:pStyle w:val="Heading3"/>
      </w:pPr>
      <w:bookmarkStart w:id="45" w:name="_Toc247691513"/>
      <w:bookmarkStart w:id="46" w:name="_Toc314842497"/>
      <w:bookmarkStart w:id="47" w:name="_Toc436140473"/>
      <w:r w:rsidRPr="00FC5302">
        <w:lastRenderedPageBreak/>
        <w:t>Pharmacokinetics</w:t>
      </w:r>
      <w:bookmarkEnd w:id="45"/>
      <w:bookmarkEnd w:id="46"/>
      <w:bookmarkEnd w:id="47"/>
    </w:p>
    <w:p w:rsidR="00E6490D" w:rsidRDefault="00E6490D" w:rsidP="00FC5302">
      <w:pPr>
        <w:pStyle w:val="Heading4"/>
      </w:pPr>
      <w:bookmarkStart w:id="48" w:name="_Toc247691514"/>
      <w:bookmarkStart w:id="49" w:name="_Toc314842498"/>
      <w:r>
        <w:t>Absorption</w:t>
      </w:r>
    </w:p>
    <w:p w:rsidR="00E6490D" w:rsidRDefault="00E6490D" w:rsidP="00FC5302">
      <w:r w:rsidRPr="00E6490D">
        <w:t xml:space="preserve">The plasma kinetics of </w:t>
      </w:r>
      <w:r w:rsidR="00EE6D80">
        <w:t>APR</w:t>
      </w:r>
      <w:r w:rsidRPr="00E6490D">
        <w:t xml:space="preserve"> following single oral dosing of mice, rats, monkeys, and humans are shown in Table </w:t>
      </w:r>
      <w:r w:rsidR="009461B9">
        <w:t>3</w:t>
      </w:r>
      <w:r w:rsidRPr="00E6490D">
        <w:t xml:space="preserve">. Plasma kinetics </w:t>
      </w:r>
      <w:proofErr w:type="gramStart"/>
      <w:r w:rsidRPr="00E6490D">
        <w:t>were</w:t>
      </w:r>
      <w:proofErr w:type="gramEnd"/>
      <w:r w:rsidRPr="00E6490D">
        <w:t xml:space="preserve"> also determined in conjunction with repeat-dose toxicity studies using mice, rats, and monkeys and with reproduction studies using mice and monkeys.</w:t>
      </w:r>
    </w:p>
    <w:p w:rsidR="00E6490D" w:rsidRDefault="00E6490D" w:rsidP="00FC5302">
      <w:pPr>
        <w:pStyle w:val="TableTitle"/>
      </w:pPr>
      <w:proofErr w:type="gramStart"/>
      <w:r>
        <w:t xml:space="preserve">Table </w:t>
      </w:r>
      <w:r w:rsidR="009461B9">
        <w:t>3</w:t>
      </w:r>
      <w:r>
        <w:t>:</w:t>
      </w:r>
      <w:r w:rsidRPr="004C5C28">
        <w:t xml:space="preserve"> </w:t>
      </w:r>
      <w:r w:rsidR="00672BDD" w:rsidRPr="00672BDD">
        <w:t xml:space="preserve">Species comparison of mean plasma pharmacokinetic parameters after a single dose of </w:t>
      </w:r>
      <w:r w:rsidR="00EE6D80">
        <w:t>APR</w:t>
      </w:r>
      <w:r>
        <w:t>.</w:t>
      </w:r>
      <w:proofErr w:type="gramEnd"/>
    </w:p>
    <w:p w:rsidR="00E6490D" w:rsidRDefault="0046774E" w:rsidP="00FC5302">
      <w:r>
        <w:rPr>
          <w:noProof/>
          <w:lang w:eastAsia="en-AU"/>
        </w:rPr>
        <w:drawing>
          <wp:inline distT="0" distB="0" distL="0" distR="0" wp14:anchorId="0F08E2FF" wp14:editId="62F9144C">
            <wp:extent cx="5400040" cy="2493480"/>
            <wp:effectExtent l="0" t="0" r="0" b="2540"/>
            <wp:docPr id="5" name="Picture 5" descr="Table 3: Species comparison of mean plasma pharmacokinetic parameters after a single dose of APR." title="Table 3: Species comparison of mean plasma pharmacokinetic parameters after a single dose of 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2493480"/>
                    </a:xfrm>
                    <a:prstGeom prst="rect">
                      <a:avLst/>
                    </a:prstGeom>
                  </pic:spPr>
                </pic:pic>
              </a:graphicData>
            </a:graphic>
          </wp:inline>
        </w:drawing>
      </w:r>
    </w:p>
    <w:p w:rsidR="0046774E" w:rsidRDefault="0046774E" w:rsidP="00FC5302">
      <w:pPr>
        <w:pStyle w:val="TableDescription"/>
      </w:pPr>
      <w:r>
        <w:rPr>
          <w:vertAlign w:val="superscript"/>
        </w:rPr>
        <w:t xml:space="preserve">a </w:t>
      </w:r>
      <w:r>
        <w:t xml:space="preserve">Healthy male and female subjects (18-55 </w:t>
      </w:r>
      <w:proofErr w:type="spellStart"/>
      <w:r>
        <w:t>yrs</w:t>
      </w:r>
      <w:proofErr w:type="spellEnd"/>
      <w:r>
        <w:t xml:space="preserve">), results on Day 1 of dosing; </w:t>
      </w:r>
      <w:r>
        <w:rPr>
          <w:vertAlign w:val="superscript"/>
        </w:rPr>
        <w:t xml:space="preserve">b </w:t>
      </w:r>
      <w:r>
        <w:t xml:space="preserve">dose as mg/kg for animals and mg/subject for humans; </w:t>
      </w:r>
      <w:r w:rsidRPr="000C13CC">
        <w:rPr>
          <w:vertAlign w:val="superscript"/>
        </w:rPr>
        <w:t>c</w:t>
      </w:r>
      <w:r>
        <w:rPr>
          <w:vertAlign w:val="superscript"/>
        </w:rPr>
        <w:t xml:space="preserve"> </w:t>
      </w:r>
      <w:r>
        <w:t>value for mouse is AUC</w:t>
      </w:r>
      <w:r>
        <w:rPr>
          <w:vertAlign w:val="subscript"/>
        </w:rPr>
        <w:t>0-48 h</w:t>
      </w:r>
      <w:r>
        <w:t xml:space="preserve">; </w:t>
      </w:r>
      <w:r w:rsidRPr="005354E6">
        <w:rPr>
          <w:vertAlign w:val="superscript"/>
        </w:rPr>
        <w:t>d</w:t>
      </w:r>
      <w:r>
        <w:rPr>
          <w:vertAlign w:val="superscript"/>
        </w:rPr>
        <w:t xml:space="preserve"> </w:t>
      </w:r>
      <w:r>
        <w:t xml:space="preserve">excluding human data; </w:t>
      </w:r>
      <w:r w:rsidRPr="005354E6">
        <w:rPr>
          <w:vertAlign w:val="superscript"/>
        </w:rPr>
        <w:t>e</w:t>
      </w:r>
      <w:r>
        <w:rPr>
          <w:vertAlign w:val="superscript"/>
        </w:rPr>
        <w:t xml:space="preserve"> </w:t>
      </w:r>
      <w:r>
        <w:t>values for PO dosing and not normalised for body weight.</w:t>
      </w:r>
    </w:p>
    <w:p w:rsidR="00E6490D" w:rsidRPr="00E6490D" w:rsidRDefault="00EE6D80" w:rsidP="00FC5302">
      <w:r>
        <w:t>APR</w:t>
      </w:r>
      <w:r w:rsidR="00E6490D" w:rsidRPr="00E6490D">
        <w:t xml:space="preserve"> pharmacokinetics following a single oral dose </w:t>
      </w:r>
      <w:proofErr w:type="gramStart"/>
      <w:r w:rsidR="00E6490D" w:rsidRPr="00E6490D">
        <w:t>were</w:t>
      </w:r>
      <w:proofErr w:type="gramEnd"/>
      <w:r w:rsidR="00E6490D" w:rsidRPr="00E6490D">
        <w:t xml:space="preserve"> reasonably similar across the species examined. </w:t>
      </w:r>
      <w:r w:rsidR="00B615C7">
        <w:t>The t</w:t>
      </w:r>
      <w:r w:rsidR="00B615C7" w:rsidRPr="00A313B0">
        <w:t>ime to reach maximum plasma concentration following drug administration</w:t>
      </w:r>
      <w:r w:rsidR="00B615C7" w:rsidRPr="00E6490D">
        <w:t xml:space="preserve"> </w:t>
      </w:r>
      <w:r w:rsidR="00B615C7">
        <w:t>(</w:t>
      </w:r>
      <w:proofErr w:type="spellStart"/>
      <w:r w:rsidR="00E6490D" w:rsidRPr="00E6490D">
        <w:t>Tmax</w:t>
      </w:r>
      <w:proofErr w:type="spellEnd"/>
      <w:r w:rsidR="00B615C7">
        <w:t>)</w:t>
      </w:r>
      <w:r w:rsidR="00E6490D" w:rsidRPr="00E6490D">
        <w:t xml:space="preserve"> for mice, monkeys, and humans was at ~2 h, indicating quite rapid absorption, but was somewhat later for rats. Elimination from plasma was relatively rapid for male rats and for monkeys (t1/2 = 1.6 and 1.9 h, respectively), but was slower for female rats and humans (t1/2 = 5.1 and 6.0 h, respectively). Such a difference in drug metabolism between male and female rats is common and is often attributable to gender-dependent expression of CYP enzymes in the liver. The t1/2 value for mice of 18.7 h is anomalously high and presumably reflects saturation of metabolism at the high dose used. By comparison, </w:t>
      </w:r>
      <w:r>
        <w:t>APR</w:t>
      </w:r>
      <w:r w:rsidR="00E6490D" w:rsidRPr="00E6490D">
        <w:t xml:space="preserve"> was cleared with a t1/2 of 2.</w:t>
      </w:r>
      <w:r w:rsidR="00866ADE">
        <w:t>0 h by mice given a much lower IV</w:t>
      </w:r>
      <w:r w:rsidR="00E6490D" w:rsidRPr="00E6490D">
        <w:t xml:space="preserve"> dose (see Table </w:t>
      </w:r>
      <w:r w:rsidR="009461B9">
        <w:t>3</w:t>
      </w:r>
      <w:r w:rsidR="00E6490D" w:rsidRPr="00E6490D">
        <w:t xml:space="preserve">). Bioavailability was low for male rats (11.4%), moderate for mice (27.4%), and high for female rats (61.0%). The volume of distribution for </w:t>
      </w:r>
      <w:r>
        <w:t>APR</w:t>
      </w:r>
      <w:r w:rsidR="00866ADE">
        <w:t xml:space="preserve"> in rodents and humans was ~1-</w:t>
      </w:r>
      <w:r w:rsidR="00E6490D" w:rsidRPr="00E6490D">
        <w:t>2 L/kg, suggesting a moderate degree of binding to plasma proteins.</w:t>
      </w:r>
    </w:p>
    <w:p w:rsidR="00E6490D" w:rsidRPr="00E6490D" w:rsidRDefault="00E6490D" w:rsidP="00FC5302">
      <w:r w:rsidRPr="00E6490D">
        <w:t>Repeat</w:t>
      </w:r>
      <w:r w:rsidR="00164410">
        <w:t xml:space="preserve"> </w:t>
      </w:r>
      <w:r w:rsidRPr="00E6490D">
        <w:t xml:space="preserve">dose studies were performed with mice, rats, and monkeys of both sexes. At the relatively high doses used in many of these studies, plasma AUC and </w:t>
      </w:r>
      <w:proofErr w:type="spellStart"/>
      <w:r w:rsidRPr="00E6490D">
        <w:t>Cmax</w:t>
      </w:r>
      <w:proofErr w:type="spellEnd"/>
      <w:r w:rsidRPr="00E6490D">
        <w:t xml:space="preserve"> values for </w:t>
      </w:r>
      <w:r w:rsidR="00EE6D80">
        <w:t>APR</w:t>
      </w:r>
      <w:r w:rsidRPr="00E6490D">
        <w:t xml:space="preserve"> increased less than proportionally with dose and there was often a modest level of drug accumulation following an extended dosing period. At lower doses (&lt;20 mg/kg), plasma AUC and </w:t>
      </w:r>
      <w:proofErr w:type="spellStart"/>
      <w:r w:rsidRPr="00E6490D">
        <w:t>Cmax</w:t>
      </w:r>
      <w:proofErr w:type="spellEnd"/>
      <w:r w:rsidRPr="00E6490D">
        <w:t xml:space="preserve"> values for </w:t>
      </w:r>
      <w:r w:rsidR="00EE6D80">
        <w:t>APR</w:t>
      </w:r>
      <w:r w:rsidRPr="00E6490D">
        <w:t xml:space="preserve"> increased proportionally with dose and there was no evidence for drug accumulation during the dosing period. Similar to the animal studies, clinical studies using healthy subjects dosed at up to 100 mg of </w:t>
      </w:r>
      <w:r w:rsidR="00EE6D80">
        <w:t>APR</w:t>
      </w:r>
      <w:r w:rsidRPr="00E6490D">
        <w:t xml:space="preserve">/day demonstrated approximately linear increases for both </w:t>
      </w:r>
      <w:proofErr w:type="spellStart"/>
      <w:r w:rsidRPr="00E6490D">
        <w:t>Cmax</w:t>
      </w:r>
      <w:proofErr w:type="spellEnd"/>
      <w:r w:rsidRPr="00E6490D">
        <w:t xml:space="preserve"> and AUC values, with only modest drug accumulation at the higher doses (CC-10004-PK-001).</w:t>
      </w:r>
    </w:p>
    <w:p w:rsidR="00914423" w:rsidRDefault="00914423" w:rsidP="00FC5302">
      <w:pPr>
        <w:pStyle w:val="Heading4"/>
      </w:pPr>
      <w:r>
        <w:lastRenderedPageBreak/>
        <w:t>Distribution</w:t>
      </w:r>
    </w:p>
    <w:p w:rsidR="00914423" w:rsidRPr="00914423" w:rsidRDefault="00EE6D80" w:rsidP="00FC5302">
      <w:r>
        <w:t>APR</w:t>
      </w:r>
      <w:r w:rsidR="00914423" w:rsidRPr="00914423">
        <w:t xml:space="preserve"> showed moderate binding to plasma protein from the species used for toxicity studies: ~90% for mouse and rat and ~85% for </w:t>
      </w:r>
      <w:proofErr w:type="spellStart"/>
      <w:r w:rsidR="00914423" w:rsidRPr="00914423">
        <w:t>cynomolgus</w:t>
      </w:r>
      <w:proofErr w:type="spellEnd"/>
      <w:r w:rsidR="00914423" w:rsidRPr="00914423">
        <w:t xml:space="preserve"> monkey. By comparison, binding to human plasma protein was ~68%. For all the species tested, there was little effect of con</w:t>
      </w:r>
      <w:r w:rsidR="000668E4">
        <w:t>centration (over the range 0.25-</w:t>
      </w:r>
      <w:r w:rsidR="00914423" w:rsidRPr="00914423">
        <w:t xml:space="preserve">2.5 µg/mL [~0.5‒5 µM]) on the extent of plasma protein binding. Following oral dosing, radiolabelled </w:t>
      </w:r>
      <w:r>
        <w:t>APR</w:t>
      </w:r>
      <w:r w:rsidR="00914423" w:rsidRPr="00914423">
        <w:t xml:space="preserve"> showed an extensive tissue distribution in mice. Most tissues contained higher levels of radioactivity than blood at 2 h post</w:t>
      </w:r>
      <w:r w:rsidR="00164410">
        <w:t xml:space="preserve"> </w:t>
      </w:r>
      <w:r w:rsidR="00914423" w:rsidRPr="00914423">
        <w:t>dose. Tissues with high levels of radioactivity included liv</w:t>
      </w:r>
      <w:r w:rsidR="00164410">
        <w:t>er, gall bladd</w:t>
      </w:r>
      <w:r w:rsidR="009F3E58">
        <w:t>er, kidney, and GI</w:t>
      </w:r>
      <w:r w:rsidR="00914423" w:rsidRPr="00914423">
        <w:t xml:space="preserve"> mucosa. Tissues with lower levels of radioactivity than blood included bone marrow, testis, spinal cord, and brain. This suggests that there is only a low level of transport of </w:t>
      </w:r>
      <w:r>
        <w:t>APR</w:t>
      </w:r>
      <w:r w:rsidR="00914423" w:rsidRPr="00914423">
        <w:t xml:space="preserve"> and its metabolites across the blood-brain barrier in mice. Comparison of tissue levels of radioactivity in albino and pigmented mice suggested binding of </w:t>
      </w:r>
      <w:r>
        <w:t>APR</w:t>
      </w:r>
      <w:r w:rsidR="00914423" w:rsidRPr="00914423">
        <w:t xml:space="preserve"> and/or its metabolites to melanin. However, such binding appeared reversible as all </w:t>
      </w:r>
      <w:proofErr w:type="gramStart"/>
      <w:r w:rsidR="00914423" w:rsidRPr="00914423">
        <w:t>radioactivity</w:t>
      </w:r>
      <w:proofErr w:type="gramEnd"/>
      <w:r w:rsidR="00914423" w:rsidRPr="00914423">
        <w:t xml:space="preserve"> was eliminated from mice by day 7 post</w:t>
      </w:r>
      <w:r w:rsidR="000668E4">
        <w:t xml:space="preserve"> </w:t>
      </w:r>
      <w:r w:rsidR="00914423" w:rsidRPr="00914423">
        <w:t>dose.</w:t>
      </w:r>
    </w:p>
    <w:p w:rsidR="00914423" w:rsidRDefault="00914423" w:rsidP="00FC5302">
      <w:pPr>
        <w:pStyle w:val="Heading4"/>
      </w:pPr>
      <w:r>
        <w:t>Metabolism</w:t>
      </w:r>
    </w:p>
    <w:p w:rsidR="00914423" w:rsidRPr="00914423" w:rsidRDefault="00EE6D80" w:rsidP="00FC5302">
      <w:r>
        <w:t>APR</w:t>
      </w:r>
      <w:r w:rsidR="00914423" w:rsidRPr="00914423">
        <w:t xml:space="preserve"> was subject to enzyme catalysed </w:t>
      </w:r>
      <w:proofErr w:type="spellStart"/>
      <w:r w:rsidR="00914423" w:rsidRPr="00914423">
        <w:t>deethylation</w:t>
      </w:r>
      <w:proofErr w:type="spellEnd"/>
      <w:r w:rsidR="00914423" w:rsidRPr="00914423">
        <w:t xml:space="preserve"> and/or demethylation reactions that </w:t>
      </w:r>
      <w:proofErr w:type="gramStart"/>
      <w:r w:rsidR="00914423" w:rsidRPr="00914423">
        <w:t>could</w:t>
      </w:r>
      <w:proofErr w:type="gramEnd"/>
      <w:r w:rsidR="00914423" w:rsidRPr="00914423">
        <w:t xml:space="preserve"> be followed by </w:t>
      </w:r>
      <w:proofErr w:type="spellStart"/>
      <w:r w:rsidR="00914423" w:rsidRPr="00914423">
        <w:t>glucuronidation</w:t>
      </w:r>
      <w:proofErr w:type="spellEnd"/>
      <w:r w:rsidR="00914423" w:rsidRPr="00914423">
        <w:t xml:space="preserve">. The drug could also undergo spontaneous hydrolysis followed by the aforementioned </w:t>
      </w:r>
      <w:proofErr w:type="spellStart"/>
      <w:r w:rsidR="00914423" w:rsidRPr="00914423">
        <w:t>enzymic</w:t>
      </w:r>
      <w:proofErr w:type="spellEnd"/>
      <w:r w:rsidR="00914423" w:rsidRPr="00914423">
        <w:t xml:space="preserve"> reactions. There was no chiral inversion of </w:t>
      </w:r>
      <w:r>
        <w:t>APR</w:t>
      </w:r>
      <w:r w:rsidR="00914423" w:rsidRPr="00914423">
        <w:t xml:space="preserve"> to its less potent R-enantiomer in repeat</w:t>
      </w:r>
      <w:r w:rsidR="000668E4">
        <w:t xml:space="preserve"> </w:t>
      </w:r>
      <w:r w:rsidR="00914423" w:rsidRPr="00914423">
        <w:t xml:space="preserve">dose toxicity study plasma samples from mice, rats, rabbits, and monkeys. Glucuronide conjugate of </w:t>
      </w:r>
      <w:proofErr w:type="spellStart"/>
      <w:r w:rsidR="00914423" w:rsidRPr="00914423">
        <w:t>demethyl</w:t>
      </w:r>
      <w:proofErr w:type="spellEnd"/>
      <w:r w:rsidR="00914423" w:rsidRPr="00914423">
        <w:t xml:space="preserve"> </w:t>
      </w:r>
      <w:r>
        <w:t>APR</w:t>
      </w:r>
      <w:r w:rsidR="00914423" w:rsidRPr="00914423">
        <w:t xml:space="preserve"> was the major metabolite produced under in vitro culture conditions by rat, rabbit, monkey, and human hepatocytes. This metabolite, and to a lesser extent its precursor, </w:t>
      </w:r>
      <w:proofErr w:type="spellStart"/>
      <w:r w:rsidR="00914423" w:rsidRPr="00914423">
        <w:t>demethyl</w:t>
      </w:r>
      <w:proofErr w:type="spellEnd"/>
      <w:r w:rsidR="00914423" w:rsidRPr="00914423">
        <w:t xml:space="preserve"> </w:t>
      </w:r>
      <w:r>
        <w:t>APR</w:t>
      </w:r>
      <w:r w:rsidR="00914423" w:rsidRPr="00914423">
        <w:t>, was also prominent in plasma samples from mouse and monkey repeat-dose studies. After a year o</w:t>
      </w:r>
      <w:r w:rsidR="000668E4">
        <w:t>f daily dosing of monkeys at 60-</w:t>
      </w:r>
      <w:r w:rsidR="00914423" w:rsidRPr="00914423">
        <w:t xml:space="preserve">600 mg/kg of </w:t>
      </w:r>
      <w:r>
        <w:t>APR</w:t>
      </w:r>
      <w:r w:rsidR="00914423" w:rsidRPr="00914423">
        <w:t xml:space="preserve">, exposure to glucuronide conjugate of </w:t>
      </w:r>
      <w:proofErr w:type="spellStart"/>
      <w:r w:rsidR="00914423" w:rsidRPr="00914423">
        <w:t>demethyl</w:t>
      </w:r>
      <w:proofErr w:type="spellEnd"/>
      <w:r w:rsidR="00914423" w:rsidRPr="00914423">
        <w:t xml:space="preserve"> </w:t>
      </w:r>
      <w:r>
        <w:t>APR</w:t>
      </w:r>
      <w:r w:rsidR="00914423" w:rsidRPr="00914423">
        <w:t xml:space="preserve"> was about double that for </w:t>
      </w:r>
      <w:r>
        <w:t>APR</w:t>
      </w:r>
      <w:r w:rsidR="00914423" w:rsidRPr="00914423">
        <w:t xml:space="preserve">. Glucuronide conjugate of </w:t>
      </w:r>
      <w:proofErr w:type="spellStart"/>
      <w:r w:rsidR="00914423" w:rsidRPr="00914423">
        <w:t>demethyl</w:t>
      </w:r>
      <w:proofErr w:type="spellEnd"/>
      <w:r w:rsidR="00914423" w:rsidRPr="00914423">
        <w:t xml:space="preserve"> </w:t>
      </w:r>
      <w:r>
        <w:t>APR</w:t>
      </w:r>
      <w:r w:rsidR="00914423" w:rsidRPr="00914423">
        <w:t xml:space="preserve"> was also shown to be a major circulating and excreted species in humans. The metabolites of </w:t>
      </w:r>
      <w:r>
        <w:t>APR</w:t>
      </w:r>
      <w:r w:rsidR="00914423" w:rsidRPr="00914423">
        <w:t xml:space="preserve"> generally showed little or no inhibition of human PDE4: IC50 values were 0.047, 8.3, and &gt;100 µM for </w:t>
      </w:r>
      <w:r>
        <w:t>APR</w:t>
      </w:r>
      <w:r w:rsidR="00914423" w:rsidRPr="00914423">
        <w:t xml:space="preserve">, </w:t>
      </w:r>
      <w:proofErr w:type="spellStart"/>
      <w:r w:rsidR="00914423" w:rsidRPr="00914423">
        <w:t>demethyl</w:t>
      </w:r>
      <w:proofErr w:type="spellEnd"/>
      <w:r w:rsidR="00914423" w:rsidRPr="00914423">
        <w:t xml:space="preserve"> </w:t>
      </w:r>
      <w:r>
        <w:t>APR</w:t>
      </w:r>
      <w:r w:rsidR="00914423" w:rsidRPr="00914423">
        <w:t xml:space="preserve">, and glucuronide conjugate of </w:t>
      </w:r>
      <w:proofErr w:type="spellStart"/>
      <w:r w:rsidR="00914423" w:rsidRPr="00914423">
        <w:t>demethyl</w:t>
      </w:r>
      <w:proofErr w:type="spellEnd"/>
      <w:r w:rsidR="00914423" w:rsidRPr="00914423">
        <w:t xml:space="preserve"> </w:t>
      </w:r>
      <w:r>
        <w:t>APR</w:t>
      </w:r>
      <w:r w:rsidR="00914423" w:rsidRPr="00914423">
        <w:t>, respectively.</w:t>
      </w:r>
    </w:p>
    <w:p w:rsidR="00914423" w:rsidRPr="00914423" w:rsidRDefault="00914423" w:rsidP="00FC5302">
      <w:r w:rsidRPr="00914423">
        <w:t xml:space="preserve">In vitro incubation of </w:t>
      </w:r>
      <w:r w:rsidR="00EE6D80">
        <w:t>APR</w:t>
      </w:r>
      <w:r w:rsidRPr="00914423">
        <w:t xml:space="preserve"> with individual human CYP isozymes showed that </w:t>
      </w:r>
      <w:proofErr w:type="spellStart"/>
      <w:r w:rsidRPr="00914423">
        <w:t>demethyl</w:t>
      </w:r>
      <w:proofErr w:type="spellEnd"/>
      <w:r w:rsidRPr="00914423">
        <w:t xml:space="preserve"> </w:t>
      </w:r>
      <w:r w:rsidR="00EE6D80">
        <w:t>APR</w:t>
      </w:r>
      <w:r w:rsidRPr="00914423">
        <w:t xml:space="preserve"> was only produced by CYP3A4. That enzyme was also the most active generator of </w:t>
      </w:r>
      <w:proofErr w:type="spellStart"/>
      <w:r w:rsidRPr="00914423">
        <w:t>deethyl</w:t>
      </w:r>
      <w:proofErr w:type="spellEnd"/>
      <w:r w:rsidRPr="00914423">
        <w:t xml:space="preserve"> </w:t>
      </w:r>
      <w:r w:rsidR="00EE6D80">
        <w:t>APR</w:t>
      </w:r>
      <w:r w:rsidRPr="00914423">
        <w:t xml:space="preserve">, although CYP2A6 and (to lesser extents) CYP1A2 and CYP2C8 could also contribute to </w:t>
      </w:r>
      <w:proofErr w:type="spellStart"/>
      <w:r w:rsidRPr="00914423">
        <w:t>deethyl</w:t>
      </w:r>
      <w:proofErr w:type="spellEnd"/>
      <w:r w:rsidRPr="00914423">
        <w:t xml:space="preserve"> </w:t>
      </w:r>
      <w:r w:rsidR="00EE6D80">
        <w:t>APR</w:t>
      </w:r>
      <w:r w:rsidRPr="00914423">
        <w:t xml:space="preserve"> production. Given that CYP1A2 and CYP2A6 activities in human liver </w:t>
      </w:r>
      <w:proofErr w:type="spellStart"/>
      <w:r w:rsidRPr="00914423">
        <w:t>microsomes</w:t>
      </w:r>
      <w:proofErr w:type="spellEnd"/>
      <w:r w:rsidRPr="00914423">
        <w:t xml:space="preserve"> are about 1% and 26%, respectively, of CYP3A4 activity, it is likely that, under </w:t>
      </w:r>
      <w:r w:rsidRPr="000668E4">
        <w:rPr>
          <w:i/>
        </w:rPr>
        <w:t>in vivo</w:t>
      </w:r>
      <w:r w:rsidRPr="00914423">
        <w:t xml:space="preserve"> conditions, both </w:t>
      </w:r>
      <w:proofErr w:type="spellStart"/>
      <w:r w:rsidRPr="00914423">
        <w:t>demethyl</w:t>
      </w:r>
      <w:proofErr w:type="spellEnd"/>
      <w:r w:rsidRPr="00914423">
        <w:t xml:space="preserve"> and </w:t>
      </w:r>
      <w:proofErr w:type="spellStart"/>
      <w:r w:rsidRPr="00914423">
        <w:t>deethyl</w:t>
      </w:r>
      <w:proofErr w:type="spellEnd"/>
      <w:r w:rsidRPr="00914423">
        <w:t xml:space="preserve"> </w:t>
      </w:r>
      <w:r w:rsidR="00EE6D80">
        <w:t>APR</w:t>
      </w:r>
      <w:r w:rsidRPr="00914423">
        <w:t xml:space="preserve"> are predominantly produced by CYP3A4 activity.</w:t>
      </w:r>
    </w:p>
    <w:p w:rsidR="00914423" w:rsidRDefault="00914423" w:rsidP="00FC5302">
      <w:pPr>
        <w:pStyle w:val="Heading4"/>
      </w:pPr>
      <w:r>
        <w:t>Excretion</w:t>
      </w:r>
    </w:p>
    <w:p w:rsidR="00914423" w:rsidRPr="00914423" w:rsidRDefault="00914423" w:rsidP="00FC5302">
      <w:r w:rsidRPr="00914423">
        <w:t xml:space="preserve">The major route of excretion for </w:t>
      </w:r>
      <w:r w:rsidR="00EE6D80">
        <w:t>APR</w:t>
      </w:r>
      <w:r w:rsidRPr="00914423">
        <w:t xml:space="preserve"> and its metabolites was </w:t>
      </w:r>
      <w:proofErr w:type="spellStart"/>
      <w:r w:rsidRPr="00914423">
        <w:t>fecal</w:t>
      </w:r>
      <w:proofErr w:type="spellEnd"/>
      <w:r w:rsidRPr="00914423">
        <w:t xml:space="preserve"> in mice, rats, and monkeys. Studies with bile duct</w:t>
      </w:r>
      <w:r w:rsidR="00F05A41">
        <w:t xml:space="preserve"> </w:t>
      </w:r>
      <w:proofErr w:type="spellStart"/>
      <w:r w:rsidRPr="00914423">
        <w:t>cannulated</w:t>
      </w:r>
      <w:proofErr w:type="spellEnd"/>
      <w:r w:rsidRPr="00914423">
        <w:t xml:space="preserve"> mice showed that excretion was primarily via bile (~55% of recovered dose). Consistent with the animal results, human studies showed that urinary excretion of </w:t>
      </w:r>
      <w:r w:rsidR="00EE6D80">
        <w:t>APR</w:t>
      </w:r>
      <w:r w:rsidRPr="00914423">
        <w:t xml:space="preserve"> was very low (Clinical study CC-10004-PK-001).</w:t>
      </w:r>
    </w:p>
    <w:p w:rsidR="00914423" w:rsidRDefault="00914423" w:rsidP="00FC5302">
      <w:pPr>
        <w:pStyle w:val="Heading4"/>
      </w:pPr>
      <w:r w:rsidRPr="00064B87">
        <w:t>Concl</w:t>
      </w:r>
      <w:r>
        <w:t>usion</w:t>
      </w:r>
    </w:p>
    <w:p w:rsidR="00914423" w:rsidRPr="00914423" w:rsidRDefault="00914423" w:rsidP="00FC5302">
      <w:r w:rsidRPr="00914423">
        <w:t>The pharmacokinetic profiles of the laboratory animal species used in the pivo</w:t>
      </w:r>
      <w:r w:rsidR="00E45A3D">
        <w:t xml:space="preserve">tal repeat </w:t>
      </w:r>
      <w:r w:rsidRPr="00914423">
        <w:t xml:space="preserve">dose toxicity studies showed reasonable overlap with human data, supporting the use of these animals as models for human drug toxicity. In addition, the </w:t>
      </w:r>
      <w:r w:rsidR="00EE6D80">
        <w:t>APR</w:t>
      </w:r>
      <w:r w:rsidRPr="00914423">
        <w:t xml:space="preserve"> metabolites produced in humans were found in one or more of the animal species used for toxicity studies. There were no unique human metabolites.</w:t>
      </w:r>
    </w:p>
    <w:p w:rsidR="0012469E" w:rsidRPr="001258AE" w:rsidRDefault="0012469E" w:rsidP="00FC5302">
      <w:pPr>
        <w:pStyle w:val="Heading4"/>
      </w:pPr>
      <w:bookmarkStart w:id="50" w:name="_Toc294861725"/>
      <w:r w:rsidRPr="00FC5302">
        <w:lastRenderedPageBreak/>
        <w:t>Pharmacokinetic</w:t>
      </w:r>
      <w:r w:rsidRPr="001258AE">
        <w:t xml:space="preserve"> drug interactions</w:t>
      </w:r>
      <w:bookmarkEnd w:id="50"/>
    </w:p>
    <w:p w:rsidR="0012469E" w:rsidRPr="0012469E" w:rsidRDefault="0012469E" w:rsidP="00FC5302">
      <w:r w:rsidRPr="0012469E">
        <w:t xml:space="preserve">Studies using human liver </w:t>
      </w:r>
      <w:proofErr w:type="spellStart"/>
      <w:r w:rsidRPr="0012469E">
        <w:t>microsomes</w:t>
      </w:r>
      <w:proofErr w:type="spellEnd"/>
      <w:r w:rsidRPr="0012469E">
        <w:t xml:space="preserve"> showed that </w:t>
      </w:r>
      <w:r w:rsidR="00EE6D80">
        <w:t>APR</w:t>
      </w:r>
      <w:r w:rsidRPr="0012469E">
        <w:t xml:space="preserve">, at concentrations up to 100 µM, produced modest to no inhibition of the major CYP enzyme activities (CYP1A2, CYP2C9, CYP2C19, CYP2D6, CYP2E1, and CYP3A4) and showed no evidence for time-dependent effects. Exposure of human hepatocyte cultures to </w:t>
      </w:r>
      <w:r w:rsidR="00EE6D80">
        <w:t>APR</w:t>
      </w:r>
      <w:r w:rsidRPr="0012469E">
        <w:t xml:space="preserve"> concentrations up to 100 µM on three consecutive days produced no significant induction of various CYP enzymes, except for a 3.7</w:t>
      </w:r>
      <w:r w:rsidR="00E45A3D">
        <w:t xml:space="preserve"> </w:t>
      </w:r>
      <w:r w:rsidRPr="0012469E">
        <w:t xml:space="preserve">fold increase in CYP3A4 activity after exposure to 100 </w:t>
      </w:r>
      <w:proofErr w:type="spellStart"/>
      <w:r w:rsidRPr="0012469E">
        <w:t>μM</w:t>
      </w:r>
      <w:proofErr w:type="spellEnd"/>
      <w:r w:rsidRPr="0012469E">
        <w:t xml:space="preserve"> </w:t>
      </w:r>
      <w:r w:rsidR="00EE6D80">
        <w:t>APR</w:t>
      </w:r>
      <w:r w:rsidRPr="0012469E">
        <w:t xml:space="preserve">. However, such a response is unlikely to be clinically relevant because it occurred at an </w:t>
      </w:r>
      <w:r w:rsidR="00EE6D80">
        <w:t>APR</w:t>
      </w:r>
      <w:r w:rsidRPr="0012469E">
        <w:t xml:space="preserve"> concentration ~100-fold higher than the </w:t>
      </w:r>
      <w:proofErr w:type="spellStart"/>
      <w:r w:rsidRPr="0012469E">
        <w:t>Cmax</w:t>
      </w:r>
      <w:proofErr w:type="spellEnd"/>
      <w:r w:rsidRPr="0012469E">
        <w:t xml:space="preserve"> for humans given the recommended clinical dose. Hence, </w:t>
      </w:r>
      <w:r w:rsidR="00EE6D80">
        <w:t>APR</w:t>
      </w:r>
      <w:r w:rsidRPr="0012469E">
        <w:t xml:space="preserve"> is unlikely to produce drug interactions via CYP inhibition or induction.</w:t>
      </w:r>
    </w:p>
    <w:p w:rsidR="0012469E" w:rsidRPr="0012469E" w:rsidRDefault="0012469E" w:rsidP="00FC5302">
      <w:r w:rsidRPr="0012469E">
        <w:t>In vitro experiments using monolayers produced by human P-</w:t>
      </w:r>
      <w:proofErr w:type="spellStart"/>
      <w:r w:rsidRPr="0012469E">
        <w:t>gp</w:t>
      </w:r>
      <w:proofErr w:type="spellEnd"/>
      <w:r w:rsidRPr="0012469E">
        <w:t xml:space="preserve">-expressing LLC-PK1 cells (a porcine kidney proximal tubule cell line) suggested that </w:t>
      </w:r>
      <w:r w:rsidR="00EE6D80">
        <w:t>APR</w:t>
      </w:r>
      <w:r w:rsidRPr="0012469E">
        <w:t xml:space="preserve"> is a low affinity P-</w:t>
      </w:r>
      <w:proofErr w:type="spellStart"/>
      <w:r w:rsidRPr="0012469E">
        <w:t>gp</w:t>
      </w:r>
      <w:proofErr w:type="spellEnd"/>
      <w:r w:rsidRPr="0012469E">
        <w:t xml:space="preserve"> substrate (Km likely to be &gt;50 µM). The P-</w:t>
      </w:r>
      <w:proofErr w:type="spellStart"/>
      <w:r w:rsidRPr="0012469E">
        <w:t>gp</w:t>
      </w:r>
      <w:proofErr w:type="spellEnd"/>
      <w:r w:rsidRPr="0012469E">
        <w:t xml:space="preserve"> inhibitor ketoconazole was able to effectively (&gt;90%) inhibit net efflux of </w:t>
      </w:r>
      <w:r w:rsidR="00EE6D80">
        <w:t>APR</w:t>
      </w:r>
      <w:r w:rsidRPr="0012469E">
        <w:t xml:space="preserve"> from LLC-PK1 cells. </w:t>
      </w:r>
      <w:r w:rsidR="00EE6D80">
        <w:t>APR</w:t>
      </w:r>
      <w:r w:rsidRPr="0012469E">
        <w:t xml:space="preserve"> was a weak inhibitor of the efflux of the prototypic P-</w:t>
      </w:r>
      <w:proofErr w:type="spellStart"/>
      <w:r w:rsidRPr="0012469E">
        <w:t>gp</w:t>
      </w:r>
      <w:proofErr w:type="spellEnd"/>
      <w:r w:rsidRPr="0012469E">
        <w:t xml:space="preserve"> substrate digoxin with an IC50 value of &gt;50 </w:t>
      </w:r>
      <w:proofErr w:type="spellStart"/>
      <w:r w:rsidRPr="0012469E">
        <w:t>μM</w:t>
      </w:r>
      <w:proofErr w:type="spellEnd"/>
      <w:r w:rsidRPr="0012469E">
        <w:t xml:space="preserve">. These results suggest that the potential of </w:t>
      </w:r>
      <w:r w:rsidR="00EE6D80">
        <w:t>APR</w:t>
      </w:r>
      <w:r w:rsidRPr="0012469E">
        <w:t xml:space="preserve"> to affect the tissue efflux of other P-</w:t>
      </w:r>
      <w:proofErr w:type="spellStart"/>
      <w:r w:rsidRPr="0012469E">
        <w:t>gp</w:t>
      </w:r>
      <w:proofErr w:type="spellEnd"/>
      <w:r w:rsidRPr="0012469E">
        <w:t xml:space="preserve"> substrates is low.</w:t>
      </w:r>
    </w:p>
    <w:p w:rsidR="0012469E" w:rsidRPr="0012469E" w:rsidRDefault="0012469E" w:rsidP="00FC5302">
      <w:r w:rsidRPr="0012469E">
        <w:t xml:space="preserve">The affinity of other transporter proteins for </w:t>
      </w:r>
      <w:r w:rsidR="00EE6D80">
        <w:t>APR</w:t>
      </w:r>
      <w:r w:rsidRPr="0012469E">
        <w:t xml:space="preserve"> was tested by measuring transport across cell monolayers expressing the transporter in the absence and presence of an inhibitor for the transporter. No changes in transport were found and it was concluded that </w:t>
      </w:r>
      <w:r w:rsidR="00EE6D80">
        <w:t>APR</w:t>
      </w:r>
      <w:r w:rsidRPr="0012469E">
        <w:t xml:space="preserve"> is not a substrate of the efflux transporter BCRP or of the uptake transporters OAT1, OAT3, OATP1B1, OATP1B3, and OCT2. Consistent with that conclusion, </w:t>
      </w:r>
      <w:r w:rsidR="00EE6D80">
        <w:t>APR</w:t>
      </w:r>
      <w:r w:rsidRPr="0012469E">
        <w:t xml:space="preserve"> showed little or no inhibition of the transport of known substrates of these transporters. Hence, </w:t>
      </w:r>
      <w:r w:rsidR="00EE6D80">
        <w:t>APR</w:t>
      </w:r>
      <w:r w:rsidRPr="0012469E">
        <w:t xml:space="preserve"> is unlikely to interact with drugs that are substrates of these transporters.</w:t>
      </w:r>
    </w:p>
    <w:p w:rsidR="001B5C90" w:rsidRDefault="008E7846" w:rsidP="00FC5302">
      <w:pPr>
        <w:pStyle w:val="Heading3"/>
      </w:pPr>
      <w:bookmarkStart w:id="51" w:name="_Toc436140474"/>
      <w:r w:rsidRPr="00FC5302">
        <w:t>Toxicology</w:t>
      </w:r>
      <w:bookmarkEnd w:id="48"/>
      <w:bookmarkEnd w:id="49"/>
      <w:bookmarkEnd w:id="51"/>
    </w:p>
    <w:p w:rsidR="0012469E" w:rsidRDefault="0012469E" w:rsidP="00FC5302">
      <w:pPr>
        <w:pStyle w:val="Heading4"/>
      </w:pPr>
      <w:bookmarkStart w:id="52" w:name="_Toc294861727"/>
      <w:r w:rsidRPr="001258AE">
        <w:t xml:space="preserve">Acute </w:t>
      </w:r>
      <w:r w:rsidRPr="00FC5302">
        <w:t>toxicity</w:t>
      </w:r>
      <w:bookmarkEnd w:id="52"/>
    </w:p>
    <w:p w:rsidR="0012469E" w:rsidRPr="0012469E" w:rsidRDefault="0012469E" w:rsidP="00FC5302">
      <w:r w:rsidRPr="0012469E">
        <w:t>Single</w:t>
      </w:r>
      <w:r w:rsidR="00E45A3D">
        <w:t xml:space="preserve"> </w:t>
      </w:r>
      <w:r w:rsidRPr="0012469E">
        <w:t>dose toxicity studies were performed with mice (CD-1) and rats (</w:t>
      </w:r>
      <w:proofErr w:type="spellStart"/>
      <w:r w:rsidRPr="0012469E">
        <w:t>Wistar</w:t>
      </w:r>
      <w:proofErr w:type="spellEnd"/>
      <w:r w:rsidRPr="0012469E">
        <w:t xml:space="preserve">) and used both </w:t>
      </w:r>
      <w:r w:rsidR="00E45A3D">
        <w:t xml:space="preserve">IV and per </w:t>
      </w:r>
      <w:proofErr w:type="spellStart"/>
      <w:r w:rsidR="00E45A3D">
        <w:t>os</w:t>
      </w:r>
      <w:proofErr w:type="spellEnd"/>
      <w:r w:rsidR="00E45A3D">
        <w:t xml:space="preserve"> (PO)</w:t>
      </w:r>
      <w:r w:rsidRPr="0012469E">
        <w:t xml:space="preserve"> dosing. The maximum non-lethal doses of </w:t>
      </w:r>
      <w:r w:rsidR="00C16582">
        <w:t>PO</w:t>
      </w:r>
      <w:r w:rsidRPr="0012469E">
        <w:t xml:space="preserve"> administered </w:t>
      </w:r>
      <w:r w:rsidR="00EE6D80">
        <w:t>APR</w:t>
      </w:r>
      <w:r w:rsidRPr="0012469E">
        <w:t xml:space="preserve"> were ≥2000 and 1500 (</w:t>
      </w:r>
      <w:r w:rsidRPr="0012469E">
        <w:rPr>
          <w:rFonts w:ascii="Times New Roman" w:hAnsi="Times New Roman"/>
        </w:rPr>
        <w:t>♂</w:t>
      </w:r>
      <w:r w:rsidRPr="0012469E">
        <w:t>)/300 (</w:t>
      </w:r>
      <w:r w:rsidRPr="0012469E">
        <w:rPr>
          <w:rFonts w:ascii="Times New Roman" w:hAnsi="Times New Roman"/>
        </w:rPr>
        <w:t>♀</w:t>
      </w:r>
      <w:r w:rsidR="00C16582">
        <w:t>) mg/kg and for the IV</w:t>
      </w:r>
      <w:r w:rsidRPr="0012469E">
        <w:t xml:space="preserve"> route were 120 (</w:t>
      </w:r>
      <w:r w:rsidRPr="0012469E">
        <w:rPr>
          <w:rFonts w:ascii="Times New Roman" w:hAnsi="Times New Roman"/>
        </w:rPr>
        <w:t>♂</w:t>
      </w:r>
      <w:r w:rsidRPr="0012469E">
        <w:t>)/150 (</w:t>
      </w:r>
      <w:r w:rsidRPr="0012469E">
        <w:rPr>
          <w:rFonts w:ascii="Times New Roman" w:hAnsi="Times New Roman"/>
        </w:rPr>
        <w:t>♀</w:t>
      </w:r>
      <w:r w:rsidRPr="0012469E">
        <w:t>) and 100 (</w:t>
      </w:r>
      <w:r w:rsidRPr="0012469E">
        <w:rPr>
          <w:rFonts w:ascii="Times New Roman" w:hAnsi="Times New Roman"/>
        </w:rPr>
        <w:t>♂</w:t>
      </w:r>
      <w:r w:rsidRPr="0012469E">
        <w:t>)/60 (</w:t>
      </w:r>
      <w:r w:rsidRPr="0012469E">
        <w:rPr>
          <w:rFonts w:ascii="Times New Roman" w:hAnsi="Times New Roman"/>
        </w:rPr>
        <w:t>♀</w:t>
      </w:r>
      <w:r w:rsidRPr="0012469E">
        <w:t xml:space="preserve">) mg/kg for mice and rats, respectively. This suggests that </w:t>
      </w:r>
      <w:r w:rsidR="00EE6D80">
        <w:t>APR</w:t>
      </w:r>
      <w:r w:rsidRPr="0012469E">
        <w:t>, when delivered via the clinical route, has low to moderate toxicity in rodents. Clinical signs in both species included tachypnoea.</w:t>
      </w:r>
    </w:p>
    <w:p w:rsidR="0012469E" w:rsidRDefault="0012469E" w:rsidP="00FC5302">
      <w:pPr>
        <w:pStyle w:val="Heading4"/>
      </w:pPr>
      <w:bookmarkStart w:id="53" w:name="_Toc294861728"/>
      <w:r w:rsidRPr="001258AE">
        <w:t xml:space="preserve">Repeat-dose </w:t>
      </w:r>
      <w:r w:rsidRPr="00FC5302">
        <w:t>toxicity</w:t>
      </w:r>
      <w:bookmarkEnd w:id="53"/>
    </w:p>
    <w:p w:rsidR="0012469E" w:rsidRPr="0012469E" w:rsidRDefault="0012469E" w:rsidP="00FC5302">
      <w:r w:rsidRPr="0012469E">
        <w:t>Pivotal studies were performed with mice, rats, and monkeys at durations of up to ~2 years (mouse and rat carcinogenicity studies) and 1 year (monkey toxicity study). The studies generally used once daily, oral dosing, which is similar to the mode and fre</w:t>
      </w:r>
      <w:r w:rsidR="00C16582">
        <w:t xml:space="preserve">quency of clinical dosing (that is, </w:t>
      </w:r>
      <w:r w:rsidRPr="0012469E">
        <w:t>oral, BID). The scope and design of the studies were consistent with the relevant EMA gui</w:t>
      </w:r>
      <w:r w:rsidR="00D72010">
        <w:t>deline.</w:t>
      </w:r>
      <w:r w:rsidR="009F46C9">
        <w:rPr>
          <w:rStyle w:val="FootnoteReference"/>
        </w:rPr>
        <w:footnoteReference w:id="11"/>
      </w:r>
    </w:p>
    <w:p w:rsidR="0012469E" w:rsidRPr="0012469E" w:rsidRDefault="0012469E" w:rsidP="00FC5302">
      <w:pPr>
        <w:pStyle w:val="Heading5"/>
      </w:pPr>
      <w:r w:rsidRPr="00FC5302">
        <w:t>Relative</w:t>
      </w:r>
      <w:r w:rsidRPr="0012469E">
        <w:t xml:space="preserve"> exposure</w:t>
      </w:r>
    </w:p>
    <w:p w:rsidR="00C9747E" w:rsidRDefault="0074537E" w:rsidP="00FC5302">
      <w:r w:rsidRPr="0074537E">
        <w:t>Relative exposure in repeat</w:t>
      </w:r>
      <w:r w:rsidR="009F46C9">
        <w:t xml:space="preserve"> </w:t>
      </w:r>
      <w:r w:rsidRPr="0074537E">
        <w:t>dose toxic</w:t>
      </w:r>
      <w:r>
        <w:t xml:space="preserve">ity and carcinogenicity studies is shown in Table </w:t>
      </w:r>
      <w:r w:rsidR="009461B9">
        <w:t>4</w:t>
      </w:r>
      <w:r>
        <w:t>.</w:t>
      </w:r>
    </w:p>
    <w:p w:rsidR="00CC590E" w:rsidRDefault="00CC590E" w:rsidP="00FC5302">
      <w:pPr>
        <w:pStyle w:val="TableTitle"/>
      </w:pPr>
      <w:r>
        <w:lastRenderedPageBreak/>
        <w:t xml:space="preserve">Table </w:t>
      </w:r>
      <w:r w:rsidR="009461B9">
        <w:t>4</w:t>
      </w:r>
      <w:r>
        <w:t>:</w:t>
      </w:r>
      <w:r w:rsidRPr="004C5C28">
        <w:t xml:space="preserve"> </w:t>
      </w:r>
      <w:r w:rsidRPr="00CC590E">
        <w:t>Relative exposure in repeat-dose toxic</w:t>
      </w:r>
      <w:r>
        <w:t xml:space="preserve">ity and carcinogenicity </w:t>
      </w:r>
      <w:proofErr w:type="spellStart"/>
      <w:r>
        <w:t>studies.</w:t>
      </w:r>
      <w:r w:rsidR="00AE25A8" w:rsidRPr="00AE25A8">
        <w:rPr>
          <w:vertAlign w:val="superscript"/>
        </w:rPr>
        <w:t>a</w:t>
      </w:r>
      <w:proofErr w:type="spellEnd"/>
    </w:p>
    <w:p w:rsidR="00CC590E" w:rsidRDefault="00AE25A8" w:rsidP="00FC5302">
      <w:r>
        <w:rPr>
          <w:noProof/>
          <w:lang w:eastAsia="en-AU"/>
        </w:rPr>
        <w:drawing>
          <wp:inline distT="0" distB="0" distL="0" distR="0" wp14:anchorId="463E7BF3" wp14:editId="6625FDC1">
            <wp:extent cx="5125394" cy="6030552"/>
            <wp:effectExtent l="0" t="0" r="0" b="8890"/>
            <wp:docPr id="6" name="Picture 6" descr="Table 4: Relative exposure in repeat-dose toxicity and carcinogenicity studies.a" title="Table 4: Relative exposure in repeat-dose toxicity and carcinogenicity studi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28129" cy="6033770"/>
                    </a:xfrm>
                    <a:prstGeom prst="rect">
                      <a:avLst/>
                    </a:prstGeom>
                  </pic:spPr>
                </pic:pic>
              </a:graphicData>
            </a:graphic>
          </wp:inline>
        </w:drawing>
      </w:r>
    </w:p>
    <w:p w:rsidR="00E964D6" w:rsidRDefault="00E964D6" w:rsidP="00FC5302">
      <w:pPr>
        <w:pStyle w:val="TableDescription"/>
      </w:pPr>
      <w:proofErr w:type="spellStart"/>
      <w:proofErr w:type="gramStart"/>
      <w:r>
        <w:rPr>
          <w:position w:val="-2"/>
          <w:vertAlign w:val="superscript"/>
        </w:rPr>
        <w:t>a</w:t>
      </w:r>
      <w:proofErr w:type="spellEnd"/>
      <w:proofErr w:type="gramEnd"/>
      <w:r>
        <w:rPr>
          <w:position w:val="-2"/>
          <w:vertAlign w:val="superscript"/>
        </w:rPr>
        <w:t xml:space="preserve"> </w:t>
      </w:r>
      <w:r>
        <w:t xml:space="preserve">All listed studies are GLP compliant; </w:t>
      </w:r>
      <w:r w:rsidRPr="00FE1E1E">
        <w:rPr>
          <w:vertAlign w:val="superscript"/>
        </w:rPr>
        <w:t>b</w:t>
      </w:r>
      <w:r>
        <w:rPr>
          <w:vertAlign w:val="superscript"/>
        </w:rPr>
        <w:t xml:space="preserve"> </w:t>
      </w:r>
      <w:r w:rsidR="00527F28">
        <w:t>doses given PO</w:t>
      </w:r>
      <w:r>
        <w:t xml:space="preserve"> (gavage); </w:t>
      </w:r>
      <w:r w:rsidRPr="00FE1E1E">
        <w:rPr>
          <w:vertAlign w:val="superscript"/>
        </w:rPr>
        <w:t>c</w:t>
      </w:r>
      <w:r>
        <w:rPr>
          <w:vertAlign w:val="superscript"/>
        </w:rPr>
        <w:t xml:space="preserve"> </w:t>
      </w:r>
      <w:proofErr w:type="spellStart"/>
      <w:r>
        <w:t>animal:human</w:t>
      </w:r>
      <w:proofErr w:type="spellEnd"/>
      <w:r>
        <w:t xml:space="preserve"> plasma AUC</w:t>
      </w:r>
      <w:r w:rsidRPr="00D7327D">
        <w:rPr>
          <w:vertAlign w:val="subscript"/>
        </w:rPr>
        <w:t>0–24</w:t>
      </w:r>
      <w:r w:rsidRPr="00D7327D">
        <w:rPr>
          <w:w w:val="50"/>
          <w:vertAlign w:val="subscript"/>
        </w:rPr>
        <w:t> </w:t>
      </w:r>
      <w:r w:rsidRPr="00D7327D">
        <w:rPr>
          <w:vertAlign w:val="subscript"/>
        </w:rPr>
        <w:t>h</w:t>
      </w:r>
      <w:r>
        <w:t xml:space="preserve">; </w:t>
      </w:r>
      <w:r w:rsidRPr="003272D2">
        <w:rPr>
          <w:vertAlign w:val="superscript"/>
        </w:rPr>
        <w:t>d</w:t>
      </w:r>
      <w:r>
        <w:rPr>
          <w:vertAlign w:val="superscript"/>
        </w:rPr>
        <w:t xml:space="preserve"> </w:t>
      </w:r>
      <w:r>
        <w:t xml:space="preserve">values at NOAEL dose are bolded and underlined (where no value is so indicated, NOAEL was not identified in the study); </w:t>
      </w:r>
      <w:r w:rsidRPr="00A32BA9">
        <w:rPr>
          <w:vertAlign w:val="superscript"/>
        </w:rPr>
        <w:t>e</w:t>
      </w:r>
      <w:r>
        <w:rPr>
          <w:vertAlign w:val="superscript"/>
        </w:rPr>
        <w:t xml:space="preserve"> </w:t>
      </w:r>
      <w:r>
        <w:t xml:space="preserve">values at NOEL for carcinogenicity are boxed; </w:t>
      </w:r>
      <w:r>
        <w:rPr>
          <w:vertAlign w:val="superscript"/>
        </w:rPr>
        <w:t xml:space="preserve">f </w:t>
      </w:r>
      <w:r>
        <w:t>average of values from the two studies.</w:t>
      </w:r>
    </w:p>
    <w:p w:rsidR="00E964D6" w:rsidRPr="00E964D6" w:rsidRDefault="00E964D6" w:rsidP="00FC5302">
      <w:r w:rsidRPr="00E964D6">
        <w:t>AUC</w:t>
      </w:r>
      <w:r w:rsidR="004C2637">
        <w:t xml:space="preserve"> </w:t>
      </w:r>
      <w:r w:rsidRPr="00E964D6">
        <w:t xml:space="preserve">derived relative exposures to </w:t>
      </w:r>
      <w:r w:rsidR="00EE6D80">
        <w:t>APR</w:t>
      </w:r>
      <w:r w:rsidRPr="00E964D6">
        <w:t xml:space="preserve"> at the </w:t>
      </w:r>
      <w:r w:rsidR="004C2637" w:rsidRPr="004C2637">
        <w:t>no</w:t>
      </w:r>
      <w:r w:rsidR="004C2637">
        <w:t xml:space="preserve"> </w:t>
      </w:r>
      <w:r w:rsidR="004C2637" w:rsidRPr="004C2637">
        <w:t>observed</w:t>
      </w:r>
      <w:r w:rsidR="004C2637">
        <w:t xml:space="preserve"> </w:t>
      </w:r>
      <w:r w:rsidR="004C2637" w:rsidRPr="004C2637">
        <w:t>adverse</w:t>
      </w:r>
      <w:r w:rsidR="004C2637">
        <w:t xml:space="preserve"> </w:t>
      </w:r>
      <w:r w:rsidR="004C2637" w:rsidRPr="004C2637">
        <w:t>effect</w:t>
      </w:r>
      <w:r w:rsidR="004C2637">
        <w:t xml:space="preserve"> </w:t>
      </w:r>
      <w:r w:rsidR="004C2637" w:rsidRPr="004C2637">
        <w:t xml:space="preserve">level </w:t>
      </w:r>
      <w:r w:rsidR="004C2637">
        <w:t>(</w:t>
      </w:r>
      <w:r w:rsidRPr="00E964D6">
        <w:t>NOAEL</w:t>
      </w:r>
      <w:r w:rsidR="004C2637">
        <w:t>)</w:t>
      </w:r>
      <w:r w:rsidRPr="00E964D6">
        <w:t xml:space="preserve"> were low in the pivotal mouse and rat repeat</w:t>
      </w:r>
      <w:r w:rsidR="001844F9">
        <w:t xml:space="preserve"> </w:t>
      </w:r>
      <w:r w:rsidRPr="00E964D6">
        <w:t xml:space="preserve">dose studies: &lt;1 for 6 months dosing of mice and &lt;0.1 for 2 years dosing of rats (see Table 2). </w:t>
      </w:r>
      <w:proofErr w:type="spellStart"/>
      <w:r w:rsidRPr="00E964D6">
        <w:t>Cynomolgus</w:t>
      </w:r>
      <w:proofErr w:type="spellEnd"/>
      <w:r w:rsidRPr="00E964D6">
        <w:t xml:space="preserve"> monkeys, however, were less sensitive to induction of toxic effects and showed relative exposures of ~5 at the NOAEL for 1 year of </w:t>
      </w:r>
      <w:r w:rsidR="00EE6D80">
        <w:t>APR</w:t>
      </w:r>
      <w:r w:rsidRPr="00E964D6">
        <w:t xml:space="preserve"> dosing.</w:t>
      </w:r>
    </w:p>
    <w:p w:rsidR="00E964D6" w:rsidRDefault="00E964D6" w:rsidP="00FC5302">
      <w:pPr>
        <w:pStyle w:val="Heading5"/>
      </w:pPr>
      <w:r>
        <w:t xml:space="preserve">Major </w:t>
      </w:r>
      <w:r w:rsidRPr="00FC5302">
        <w:t>toxicities</w:t>
      </w:r>
    </w:p>
    <w:p w:rsidR="00E964D6" w:rsidRPr="00295F2A" w:rsidRDefault="00E964D6" w:rsidP="00FC5302">
      <w:r w:rsidRPr="00295F2A">
        <w:t>The feature of the repeat</w:t>
      </w:r>
      <w:r w:rsidR="001844F9">
        <w:t xml:space="preserve"> </w:t>
      </w:r>
      <w:r w:rsidRPr="00295F2A">
        <w:t xml:space="preserve">dose toxicity studies was the difference in response between rodents and monkeys. Both mice and rats demonstrated sensitivity to an </w:t>
      </w:r>
      <w:r w:rsidR="00EE6D80">
        <w:t>APR</w:t>
      </w:r>
      <w:r w:rsidR="001844F9">
        <w:t xml:space="preserve"> </w:t>
      </w:r>
      <w:r w:rsidRPr="00295F2A">
        <w:t>induced pro-inflammatory response, whilst monkeys did not. This inter</w:t>
      </w:r>
      <w:r w:rsidR="001844F9">
        <w:t xml:space="preserve"> </w:t>
      </w:r>
      <w:r w:rsidRPr="00295F2A">
        <w:t xml:space="preserve">specific difference in in vivo response was correlated with the </w:t>
      </w:r>
      <w:r w:rsidRPr="001844F9">
        <w:rPr>
          <w:i/>
        </w:rPr>
        <w:t>in vitro</w:t>
      </w:r>
      <w:r w:rsidRPr="00295F2A">
        <w:t xml:space="preserve"> response of monocytes from these species to activation by LPS in the presence of </w:t>
      </w:r>
      <w:r w:rsidR="00EE6D80">
        <w:t>APR</w:t>
      </w:r>
      <w:r w:rsidRPr="00295F2A">
        <w:t xml:space="preserve">. Whereas </w:t>
      </w:r>
      <w:r w:rsidR="00EE6D80">
        <w:t>APR</w:t>
      </w:r>
      <w:r w:rsidRPr="00295F2A">
        <w:t xml:space="preserve"> showed little effect or modest </w:t>
      </w:r>
      <w:r w:rsidRPr="00295F2A">
        <w:lastRenderedPageBreak/>
        <w:t>inhibition of IL-6 (mediator of acute phase response) production by LPS</w:t>
      </w:r>
      <w:r w:rsidR="001844F9">
        <w:t xml:space="preserve"> </w:t>
      </w:r>
      <w:r w:rsidRPr="00295F2A">
        <w:t xml:space="preserve">stimulated human or monkey blood, </w:t>
      </w:r>
      <w:r w:rsidR="00EE6D80">
        <w:t>APR</w:t>
      </w:r>
      <w:r w:rsidRPr="00295F2A">
        <w:t xml:space="preserve"> elevated IL-6 production in mouse and rat blood.</w:t>
      </w:r>
    </w:p>
    <w:p w:rsidR="00E964D6" w:rsidRPr="00295F2A" w:rsidRDefault="00E964D6" w:rsidP="00FC5302">
      <w:r w:rsidRPr="00295F2A">
        <w:t xml:space="preserve">The pro-inflammatory response in rodents was manifested by </w:t>
      </w:r>
      <w:proofErr w:type="spellStart"/>
      <w:r w:rsidRPr="00295F2A">
        <w:t>lymphopaenia</w:t>
      </w:r>
      <w:proofErr w:type="spellEnd"/>
      <w:r w:rsidRPr="00295F2A">
        <w:t xml:space="preserve"> and by increases in circulating levels of neutrophils and of the acute</w:t>
      </w:r>
      <w:r w:rsidR="000F6AD3">
        <w:t xml:space="preserve"> </w:t>
      </w:r>
      <w:r w:rsidRPr="00295F2A">
        <w:t xml:space="preserve">phase proteins </w:t>
      </w:r>
      <w:proofErr w:type="spellStart"/>
      <w:r w:rsidRPr="00295F2A">
        <w:t>haptoglobin</w:t>
      </w:r>
      <w:proofErr w:type="spellEnd"/>
      <w:r w:rsidRPr="00295F2A">
        <w:t xml:space="preserve"> and C-reactive protein. The targets for </w:t>
      </w:r>
      <w:r w:rsidR="00EE6D80">
        <w:t>APR</w:t>
      </w:r>
      <w:r w:rsidR="000F6AD3">
        <w:t xml:space="preserve"> </w:t>
      </w:r>
      <w:r w:rsidRPr="00295F2A">
        <w:t>induced inflammation included vasculature, heart, GI tract, lung, mesentery, and thymus. Hepatocellular hypertrophy, an adaptive response to xenobiotic dosing, was also a common finding. The inflammatory responses seen in these tissues were often associated with arteritis/perivascular inflammation involving acute inflammatory cell infiltrate in all layers of the vessel wall, perivascular oedema and haemorrhage, disruption of the internal elastic lamina, occasional minor areas of necrosis, and areas of fibrosis.</w:t>
      </w:r>
    </w:p>
    <w:p w:rsidR="00E964D6" w:rsidRPr="00295F2A" w:rsidRDefault="00E964D6" w:rsidP="00FC5302">
      <w:r w:rsidRPr="00295F2A">
        <w:t>Necropsy of mice from the 2</w:t>
      </w:r>
      <w:r w:rsidR="000F6AD3">
        <w:t xml:space="preserve"> </w:t>
      </w:r>
      <w:r w:rsidRPr="00295F2A">
        <w:t>year carcinogenicity study (relativ</w:t>
      </w:r>
      <w:r w:rsidR="000F6AD3">
        <w:t>e exposures were in the range 4-</w:t>
      </w:r>
      <w:r w:rsidRPr="00295F2A">
        <w:t xml:space="preserve">10) indicated findings in skeletal muscle and heart. The lesions at both sites were attributed to </w:t>
      </w:r>
      <w:r w:rsidR="00EE6D80">
        <w:t>APR</w:t>
      </w:r>
      <w:r w:rsidRPr="00295F2A">
        <w:t>-induced vascular changes (</w:t>
      </w:r>
      <w:proofErr w:type="spellStart"/>
      <w:r w:rsidRPr="00295F2A">
        <w:t>arteriopathy</w:t>
      </w:r>
      <w:proofErr w:type="spellEnd"/>
      <w:r w:rsidRPr="00295F2A">
        <w:t xml:space="preserve">). Skeletal muscle haemorrhage (typically in the hind limb) was a common cause of mouse death within the first 12 months of dosing. Changes in the heart included fibrosis and </w:t>
      </w:r>
      <w:proofErr w:type="spellStart"/>
      <w:r w:rsidRPr="00295F2A">
        <w:t>arteriopathy</w:t>
      </w:r>
      <w:proofErr w:type="spellEnd"/>
      <w:r w:rsidRPr="00295F2A">
        <w:t>. The fibrosis tended to be of the epicardium at the base of the heart or along the left ventricle</w:t>
      </w:r>
      <w:r w:rsidR="00036A9E">
        <w:t xml:space="preserve"> and often surrounded the intra</w:t>
      </w:r>
      <w:r w:rsidRPr="00295F2A">
        <w:t xml:space="preserve"> and/or e</w:t>
      </w:r>
      <w:r w:rsidR="00036A9E">
        <w:t>xtra</w:t>
      </w:r>
      <w:r w:rsidRPr="00295F2A">
        <w:t xml:space="preserve">mural coronary vessels in these areas. The </w:t>
      </w:r>
      <w:proofErr w:type="spellStart"/>
      <w:r w:rsidRPr="00295F2A">
        <w:t>arteriopathy</w:t>
      </w:r>
      <w:proofErr w:type="spellEnd"/>
      <w:r w:rsidRPr="00295F2A">
        <w:t xml:space="preserve"> predominantly affected vessels at or near the base of the heart and the condition appeared to begin as a minimal to moderate chronic active arteritis with </w:t>
      </w:r>
      <w:proofErr w:type="spellStart"/>
      <w:r w:rsidRPr="00295F2A">
        <w:t>subintimal</w:t>
      </w:r>
      <w:proofErr w:type="spellEnd"/>
      <w:r w:rsidRPr="00295F2A">
        <w:t xml:space="preserve"> proliferation of spindle cells as well as an overall thickening of the vessel wall that characterised the chronic condition. These changes tended to increase in incidence and severity with dose.</w:t>
      </w:r>
    </w:p>
    <w:p w:rsidR="00E964D6" w:rsidRPr="00295F2A" w:rsidRDefault="00E964D6" w:rsidP="00FC5302">
      <w:r w:rsidRPr="00295F2A">
        <w:t xml:space="preserve">In the rat </w:t>
      </w:r>
      <w:r w:rsidR="00036A9E">
        <w:t>2</w:t>
      </w:r>
      <w:r w:rsidR="00CE5958">
        <w:t xml:space="preserve"> </w:t>
      </w:r>
      <w:r w:rsidR="00036A9E">
        <w:t>year carcinogenicity study (high dose [HD]</w:t>
      </w:r>
      <w:r w:rsidRPr="00295F2A">
        <w:t xml:space="preserve"> gave relative exposure of 1), the GI tract was the most common site of </w:t>
      </w:r>
      <w:r w:rsidR="00EE6D80">
        <w:t>APR</w:t>
      </w:r>
      <w:r w:rsidR="00CE5958">
        <w:t xml:space="preserve"> </w:t>
      </w:r>
      <w:r w:rsidRPr="00295F2A">
        <w:t>induced lesions in premature decedents. Distention of the GI tract was noted at different incidence in the stomach, duodenum, jejunum, ileum, cecum, and colon. Various other changes were also commonly noted in the GI tract (</w:t>
      </w:r>
      <w:r w:rsidR="00CE5958">
        <w:t xml:space="preserve">for example, </w:t>
      </w:r>
      <w:r w:rsidRPr="00295F2A">
        <w:t xml:space="preserve">discolouration, </w:t>
      </w:r>
      <w:r w:rsidR="00CE5958">
        <w:t xml:space="preserve">altered contents, </w:t>
      </w:r>
      <w:proofErr w:type="gramStart"/>
      <w:r w:rsidR="00CE5958">
        <w:t>red</w:t>
      </w:r>
      <w:proofErr w:type="gramEnd"/>
      <w:r w:rsidR="00CE5958">
        <w:t xml:space="preserve"> areas</w:t>
      </w:r>
      <w:r w:rsidRPr="00295F2A">
        <w:t>). The ileum and stomach tended to be the most commonly and most severely affected of the GI tract tissues. The ileum also showed evidence of goblet cell hyperplasia. Ulceration was common in the stomach and was often correlated with the finding of dark-red areas from gross pathology. The inflammation of Peyer’s patches was often associated with acute inflammation of the ileum.</w:t>
      </w:r>
    </w:p>
    <w:p w:rsidR="00E964D6" w:rsidRPr="00295F2A" w:rsidRDefault="00E964D6" w:rsidP="00FC5302">
      <w:r w:rsidRPr="00295F2A">
        <w:t xml:space="preserve">Several mouse studies indicated that </w:t>
      </w:r>
      <w:r w:rsidR="00EE6D80">
        <w:t>APR</w:t>
      </w:r>
      <w:r w:rsidRPr="00295F2A">
        <w:t xml:space="preserve"> dosing was associated with an increase in mean body weight that correlated with higher food consumption. A possible explanation came from a rat study suggesting that </w:t>
      </w:r>
      <w:r w:rsidR="00EE6D80">
        <w:t>APR</w:t>
      </w:r>
      <w:r w:rsidRPr="00295F2A">
        <w:t xml:space="preserve"> dosing lead to a decrease in plasma leptin (“satiety” hormone) levels.</w:t>
      </w:r>
    </w:p>
    <w:p w:rsidR="00E964D6" w:rsidRPr="00295F2A" w:rsidRDefault="00E964D6" w:rsidP="00FC5302">
      <w:r w:rsidRPr="00295F2A">
        <w:t>Clinical signs from the monkey studies included occasional instances of vomiting and an apparent increased incidence of a red vaginal discharge. These signs were not considered toxicologically significant. Results from the pivotal 1</w:t>
      </w:r>
      <w:r w:rsidR="00CE5958">
        <w:t xml:space="preserve"> </w:t>
      </w:r>
      <w:r w:rsidRPr="00295F2A">
        <w:t xml:space="preserve">year toxicity study (relative exposures up to 5.6) showed some evidence for the induction of an inflammatory response: increased neutrophil counts, decreased lymphocyte counts, and increased </w:t>
      </w:r>
      <w:proofErr w:type="spellStart"/>
      <w:r w:rsidRPr="00295F2A">
        <w:t>haptoglobin</w:t>
      </w:r>
      <w:proofErr w:type="spellEnd"/>
      <w:r w:rsidRPr="00295F2A">
        <w:t xml:space="preserve"> values. However, there was no evidence for </w:t>
      </w:r>
      <w:r w:rsidR="00EE6D80">
        <w:t>APR</w:t>
      </w:r>
      <w:r w:rsidR="00CE5958">
        <w:t xml:space="preserve"> </w:t>
      </w:r>
      <w:r w:rsidRPr="00295F2A">
        <w:t>induced inflammation at the histological level.</w:t>
      </w:r>
    </w:p>
    <w:p w:rsidR="00E964D6" w:rsidRPr="00295F2A" w:rsidRDefault="00E964D6" w:rsidP="00FC5302">
      <w:r w:rsidRPr="00295F2A">
        <w:t xml:space="preserve">The most common adverse events associated with </w:t>
      </w:r>
      <w:r w:rsidR="00EE6D80">
        <w:t>APR</w:t>
      </w:r>
      <w:r w:rsidRPr="00295F2A">
        <w:t xml:space="preserve"> dosing of </w:t>
      </w:r>
      <w:r w:rsidR="00204432">
        <w:t>PSOR</w:t>
      </w:r>
      <w:r w:rsidRPr="00295F2A">
        <w:t xml:space="preserve"> patients were diarrhoea, nausea, headache, and upper respiratory tract infection (</w:t>
      </w:r>
      <w:r w:rsidR="009F140F">
        <w:t xml:space="preserve">Summary of Clinical Safety: </w:t>
      </w:r>
      <w:r w:rsidRPr="00295F2A">
        <w:t>sponsor’s dossier). At least the first two of these events are consistent with the findings from laboratory animal studies.</w:t>
      </w:r>
    </w:p>
    <w:p w:rsidR="00E964D6" w:rsidRPr="001258AE" w:rsidRDefault="00E964D6" w:rsidP="00FC5302">
      <w:pPr>
        <w:pStyle w:val="Heading4"/>
      </w:pPr>
      <w:bookmarkStart w:id="54" w:name="_Toc294861729"/>
      <w:proofErr w:type="spellStart"/>
      <w:r w:rsidRPr="00FC5302">
        <w:t>Genotoxicity</w:t>
      </w:r>
      <w:bookmarkEnd w:id="54"/>
      <w:proofErr w:type="spellEnd"/>
    </w:p>
    <w:p w:rsidR="00E964D6" w:rsidRPr="00295F2A" w:rsidRDefault="00EE6D80" w:rsidP="00FC5302">
      <w:r>
        <w:t>APR</w:t>
      </w:r>
      <w:r w:rsidR="00E964D6" w:rsidRPr="00295F2A">
        <w:t xml:space="preserve"> was not mutagenic at up to 5 mg/plate (toxic concentration) in both the presence and absence of metabolic activation in standard Salmonella </w:t>
      </w:r>
      <w:proofErr w:type="spellStart"/>
      <w:r w:rsidR="00E964D6" w:rsidRPr="00295F2A">
        <w:t>typhimurium</w:t>
      </w:r>
      <w:proofErr w:type="spellEnd"/>
      <w:r w:rsidR="00E964D6" w:rsidRPr="00295F2A">
        <w:t xml:space="preserve"> strains. Tests of </w:t>
      </w:r>
      <w:r w:rsidR="00E964D6" w:rsidRPr="009F140F">
        <w:rPr>
          <w:i/>
        </w:rPr>
        <w:t xml:space="preserve">in </w:t>
      </w:r>
      <w:r w:rsidR="00E964D6" w:rsidRPr="009F140F">
        <w:rPr>
          <w:i/>
        </w:rPr>
        <w:lastRenderedPageBreak/>
        <w:t>vitro</w:t>
      </w:r>
      <w:r w:rsidR="00E964D6" w:rsidRPr="00295F2A">
        <w:t xml:space="preserve"> (human lymphocytes) and </w:t>
      </w:r>
      <w:r w:rsidR="00E964D6" w:rsidRPr="009F140F">
        <w:rPr>
          <w:i/>
        </w:rPr>
        <w:t>in vivo</w:t>
      </w:r>
      <w:r w:rsidR="00E964D6" w:rsidRPr="00295F2A">
        <w:t xml:space="preserve"> (mouse bone marrow micronucleus test) </w:t>
      </w:r>
      <w:proofErr w:type="spellStart"/>
      <w:r w:rsidR="00E964D6" w:rsidRPr="00295F2A">
        <w:t>clastogenicity</w:t>
      </w:r>
      <w:proofErr w:type="spellEnd"/>
      <w:r w:rsidR="00E964D6" w:rsidRPr="00295F2A">
        <w:t xml:space="preserve"> were also negative. The assays used and the conditions employed were consistent with the relevant </w:t>
      </w:r>
      <w:r w:rsidR="009F140F">
        <w:t>EMA guideline.</w:t>
      </w:r>
      <w:r w:rsidR="00D06E44">
        <w:rPr>
          <w:rStyle w:val="FootnoteReference"/>
        </w:rPr>
        <w:footnoteReference w:id="12"/>
      </w:r>
    </w:p>
    <w:p w:rsidR="00E964D6" w:rsidRPr="00295F2A" w:rsidRDefault="00E964D6" w:rsidP="00FC5302">
      <w:r w:rsidRPr="00295F2A">
        <w:t xml:space="preserve">The impurity RC6, which gave a structural alert for mutagenicity based on computer analysis, showed no activity towards standard Salmonella </w:t>
      </w:r>
      <w:proofErr w:type="spellStart"/>
      <w:r w:rsidRPr="00295F2A">
        <w:t>typhimurium</w:t>
      </w:r>
      <w:proofErr w:type="spellEnd"/>
      <w:r w:rsidRPr="00295F2A">
        <w:t xml:space="preserve"> strains, in both the presence and absence of metabolic activation, when tested (in the presence of </w:t>
      </w:r>
      <w:r w:rsidR="00EE6D80">
        <w:t>APR</w:t>
      </w:r>
      <w:r w:rsidRPr="00295F2A">
        <w:t>) at levels of up to 250 µg/plate.</w:t>
      </w:r>
    </w:p>
    <w:p w:rsidR="00E964D6" w:rsidRPr="001258AE" w:rsidRDefault="00E964D6" w:rsidP="00FC5302">
      <w:pPr>
        <w:pStyle w:val="Heading4"/>
      </w:pPr>
      <w:bookmarkStart w:id="55" w:name="_Toc294861730"/>
      <w:r w:rsidRPr="00FC5302">
        <w:t>Carcinogenicity</w:t>
      </w:r>
      <w:bookmarkEnd w:id="55"/>
    </w:p>
    <w:p w:rsidR="00E964D6" w:rsidRPr="00295F2A" w:rsidRDefault="00E964D6" w:rsidP="00FC5302">
      <w:r w:rsidRPr="00295F2A">
        <w:t xml:space="preserve">These studies used mice (CD-1) and rats (SD) of both sexes given daily oral doses of </w:t>
      </w:r>
      <w:r w:rsidR="00EE6D80">
        <w:t>APR</w:t>
      </w:r>
      <w:r w:rsidRPr="00295F2A">
        <w:t xml:space="preserve"> for up to approximately two years. The design of these studies was consistent with the EMA guideline on evaluation of carcinogenic </w:t>
      </w:r>
      <w:r w:rsidR="001215BD">
        <w:t>potential</w:t>
      </w:r>
      <w:r w:rsidRPr="00295F2A">
        <w:t>.</w:t>
      </w:r>
      <w:r w:rsidR="00536FCB">
        <w:rPr>
          <w:rStyle w:val="FootnoteReference"/>
        </w:rPr>
        <w:footnoteReference w:id="13"/>
      </w:r>
    </w:p>
    <w:p w:rsidR="00E964D6" w:rsidRPr="00295F2A" w:rsidRDefault="00E964D6" w:rsidP="00FC5302">
      <w:r w:rsidRPr="00295F2A">
        <w:t>Dosin</w:t>
      </w:r>
      <w:r w:rsidR="00D06E44">
        <w:t>g of all mouse groups, except low dose (LD)</w:t>
      </w:r>
      <w:r w:rsidRPr="00295F2A">
        <w:t xml:space="preserve"> males, was ceased prior to the scheduled termination at two years in order to allow the survival of useful numbers of animals. HD males received 1000 mg/</w:t>
      </w:r>
      <w:r w:rsidR="00AC1CA4">
        <w:t>kg/day (relative exposure = 7.0</w:t>
      </w:r>
      <w:r w:rsidRPr="00295F2A">
        <w:t>) until week 73, and were then maintained drug</w:t>
      </w:r>
      <w:r w:rsidR="001D7400">
        <w:t xml:space="preserve"> </w:t>
      </w:r>
      <w:r w:rsidRPr="00295F2A">
        <w:t>free until necropsy in w</w:t>
      </w:r>
      <w:r w:rsidR="00ED5EB9">
        <w:t>eek 103. While</w:t>
      </w:r>
      <w:r w:rsidRPr="00295F2A">
        <w:t xml:space="preserve"> HD females received 1000 mg/kg/day (relative exposure = 9.9) until week 7</w:t>
      </w:r>
      <w:r w:rsidR="001D7400">
        <w:t xml:space="preserve">3 and were then maintained drug </w:t>
      </w:r>
      <w:r w:rsidRPr="00295F2A">
        <w:t xml:space="preserve">free until necropsy in week 103. There were no neoplastic findings in male or female mouse groups that could be attributed to dosing with </w:t>
      </w:r>
      <w:r w:rsidR="00EE6D80">
        <w:t>APR</w:t>
      </w:r>
      <w:r w:rsidRPr="00295F2A">
        <w:t>.</w:t>
      </w:r>
    </w:p>
    <w:p w:rsidR="00E964D6" w:rsidRPr="00295F2A" w:rsidRDefault="00E964D6" w:rsidP="00FC5302">
      <w:r w:rsidRPr="00295F2A">
        <w:t xml:space="preserve">Dosing of all male rat groups and of </w:t>
      </w:r>
      <w:r w:rsidR="00C9607A">
        <w:t>mid dose (</w:t>
      </w:r>
      <w:r w:rsidRPr="00295F2A">
        <w:t>MD</w:t>
      </w:r>
      <w:r w:rsidR="00C9607A">
        <w:t>)</w:t>
      </w:r>
      <w:r w:rsidRPr="00295F2A">
        <w:t xml:space="preserve"> and HD female groups was also ceased prior to the scheduled termination in order to allow the survival of useful numbers of animals. HD males received 20 mg/kg/day (relative exposure = 0.08) until week 66, and were then maintained drug-free unt</w:t>
      </w:r>
      <w:r w:rsidR="001D7400">
        <w:t xml:space="preserve">il necropsy in week 95. While </w:t>
      </w:r>
      <w:r w:rsidRPr="00295F2A">
        <w:t xml:space="preserve">HD females received 3 mg/kg/day (relative exposure = 1.0) until week 94 and were then maintained drug-free until necropsy in week 104. There were no neoplastic findings in male or female rat groups that could be attributed to dosing with </w:t>
      </w:r>
      <w:r w:rsidR="00EE6D80">
        <w:t>APR</w:t>
      </w:r>
      <w:r w:rsidRPr="00295F2A">
        <w:t>.</w:t>
      </w:r>
    </w:p>
    <w:p w:rsidR="00E964D6" w:rsidRPr="00295F2A" w:rsidRDefault="00EE6D80" w:rsidP="00FC5302">
      <w:r>
        <w:t>APR</w:t>
      </w:r>
      <w:r w:rsidR="00E964D6" w:rsidRPr="00295F2A">
        <w:t xml:space="preserve"> showed no signals for oncogenic potential in both rats and mice, consistent with its lack of activity in </w:t>
      </w:r>
      <w:proofErr w:type="spellStart"/>
      <w:r w:rsidR="00E964D6" w:rsidRPr="00295F2A">
        <w:t>genotoxicity</w:t>
      </w:r>
      <w:proofErr w:type="spellEnd"/>
      <w:r w:rsidR="00E964D6" w:rsidRPr="00295F2A">
        <w:t xml:space="preserve"> assays. However, relative exposure levels in the rat study were similar to (females) or much lower (males) than clinical exposure at the recommended dose.</w:t>
      </w:r>
    </w:p>
    <w:p w:rsidR="00E964D6" w:rsidRPr="001258AE" w:rsidRDefault="00E964D6" w:rsidP="00FC5302">
      <w:pPr>
        <w:pStyle w:val="Heading4"/>
      </w:pPr>
      <w:r w:rsidRPr="00FC5302">
        <w:t>Reproductive</w:t>
      </w:r>
      <w:r>
        <w:t xml:space="preserve"> toxicity</w:t>
      </w:r>
    </w:p>
    <w:p w:rsidR="00E964D6" w:rsidRPr="00295F2A" w:rsidRDefault="00EE6D80" w:rsidP="00FC5302">
      <w:r>
        <w:t>APR</w:t>
      </w:r>
      <w:r w:rsidR="00E964D6" w:rsidRPr="00295F2A">
        <w:t xml:space="preserve"> was assessed for effects on fertility (both sexes), embryof</w:t>
      </w:r>
      <w:r w:rsidR="00D06E44">
        <w:t>o</w:t>
      </w:r>
      <w:r w:rsidR="00E964D6" w:rsidRPr="00295F2A">
        <w:t xml:space="preserve">etal </w:t>
      </w:r>
      <w:r w:rsidR="00AE25A8">
        <w:t>and pre</w:t>
      </w:r>
      <w:r w:rsidR="00E964D6" w:rsidRPr="00295F2A">
        <w:t xml:space="preserve">/postnatal development, and juvenile animals in mice (CD-1), and for effects on </w:t>
      </w:r>
      <w:proofErr w:type="spellStart"/>
      <w:r w:rsidR="00E964D6" w:rsidRPr="00295F2A">
        <w:t>embryof</w:t>
      </w:r>
      <w:r w:rsidR="00D06E44">
        <w:t>o</w:t>
      </w:r>
      <w:r w:rsidR="00E964D6" w:rsidRPr="00295F2A">
        <w:t>etal</w:t>
      </w:r>
      <w:proofErr w:type="spellEnd"/>
      <w:r w:rsidR="00E964D6" w:rsidRPr="00295F2A">
        <w:t xml:space="preserve"> development in </w:t>
      </w:r>
      <w:proofErr w:type="spellStart"/>
      <w:r w:rsidR="00E964D6" w:rsidRPr="00295F2A">
        <w:t>cynomolgus</w:t>
      </w:r>
      <w:proofErr w:type="spellEnd"/>
      <w:r w:rsidR="00E964D6" w:rsidRPr="00295F2A">
        <w:t xml:space="preserve"> monkeys. The choice of mice and monkeys was reasonable given that (of the more usually used species) rats were very sensitive to </w:t>
      </w:r>
      <w:r>
        <w:t>APR</w:t>
      </w:r>
      <w:r w:rsidR="001D7400">
        <w:t xml:space="preserve"> </w:t>
      </w:r>
      <w:r w:rsidR="00E964D6" w:rsidRPr="00295F2A">
        <w:t xml:space="preserve">induced toxicity and first-pass metabolism of </w:t>
      </w:r>
      <w:r>
        <w:t>APR</w:t>
      </w:r>
      <w:r w:rsidR="00E964D6" w:rsidRPr="00295F2A">
        <w:t xml:space="preserve"> in rabbits was so extensive that adequate systemic exposure would not have been achieved with oral administration in that species. The scope and design of the studies were appropriate and consistent with the relevant</w:t>
      </w:r>
      <w:r w:rsidR="001D7400">
        <w:t xml:space="preserve"> EMA guideline</w:t>
      </w:r>
      <w:r w:rsidR="00E964D6" w:rsidRPr="00295F2A">
        <w:t>.</w:t>
      </w:r>
      <w:r w:rsidR="001D7400">
        <w:rPr>
          <w:rStyle w:val="FootnoteReference"/>
        </w:rPr>
        <w:footnoteReference w:id="14"/>
      </w:r>
      <w:r w:rsidR="00E964D6" w:rsidRPr="00295F2A">
        <w:t xml:space="preserve"> All pivotal studies were performed to GLP standards.</w:t>
      </w:r>
    </w:p>
    <w:p w:rsidR="00AE25A8" w:rsidRDefault="00AE25A8" w:rsidP="00FC5302">
      <w:pPr>
        <w:pStyle w:val="Heading5"/>
      </w:pPr>
      <w:r w:rsidRPr="00DE7CDB">
        <w:t xml:space="preserve">Relative </w:t>
      </w:r>
      <w:r w:rsidRPr="00FC5302">
        <w:t>exposure</w:t>
      </w:r>
    </w:p>
    <w:p w:rsidR="00E964D6" w:rsidRDefault="00E964D6" w:rsidP="00295F2A">
      <w:r w:rsidRPr="00295F2A">
        <w:t xml:space="preserve">As shown in Table </w:t>
      </w:r>
      <w:r w:rsidR="009461B9">
        <w:t>5</w:t>
      </w:r>
      <w:r w:rsidRPr="00295F2A">
        <w:t xml:space="preserve">, relative exposures to </w:t>
      </w:r>
      <w:r w:rsidR="00EE6D80">
        <w:t>APR</w:t>
      </w:r>
      <w:r w:rsidRPr="00295F2A">
        <w:t xml:space="preserve"> at NOAEL for general/reproductive toxicity in mouse and monkey studies were similar to clinical exposure based on AUC.</w:t>
      </w:r>
    </w:p>
    <w:p w:rsidR="00AE25A8" w:rsidRDefault="00AE25A8" w:rsidP="00AE25A8">
      <w:pPr>
        <w:pStyle w:val="TableTitle"/>
      </w:pPr>
      <w:r>
        <w:lastRenderedPageBreak/>
        <w:t xml:space="preserve">Table </w:t>
      </w:r>
      <w:r w:rsidR="009461B9">
        <w:t>5</w:t>
      </w:r>
      <w:r>
        <w:t>:</w:t>
      </w:r>
      <w:r w:rsidRPr="004C5C28">
        <w:t xml:space="preserve"> </w:t>
      </w:r>
      <w:r w:rsidRPr="00AE25A8">
        <w:t xml:space="preserve">Relative exposure in reproductive toxicity </w:t>
      </w:r>
      <w:proofErr w:type="spellStart"/>
      <w:r w:rsidRPr="00AE25A8">
        <w:t>studies</w:t>
      </w:r>
      <w:r>
        <w:t>.</w:t>
      </w:r>
      <w:r w:rsidR="000213BD" w:rsidRPr="000213BD">
        <w:rPr>
          <w:vertAlign w:val="superscript"/>
        </w:rPr>
        <w:t>a</w:t>
      </w:r>
      <w:proofErr w:type="spellEnd"/>
    </w:p>
    <w:p w:rsidR="00AE25A8" w:rsidRDefault="004E7DDB" w:rsidP="00FC5302">
      <w:r>
        <w:rPr>
          <w:noProof/>
          <w:lang w:eastAsia="en-AU"/>
        </w:rPr>
        <w:drawing>
          <wp:inline distT="0" distB="0" distL="0" distR="0" wp14:anchorId="4CE8CD9D" wp14:editId="1A24D5D5">
            <wp:extent cx="4875076" cy="3865164"/>
            <wp:effectExtent l="0" t="0" r="1905" b="2540"/>
            <wp:docPr id="7" name="Picture 7" descr="Table 5: Relative exposure in reproductive toxicity studies." title="Table 5: Relative exposure in reproductiv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76315" cy="3866146"/>
                    </a:xfrm>
                    <a:prstGeom prst="rect">
                      <a:avLst/>
                    </a:prstGeom>
                  </pic:spPr>
                </pic:pic>
              </a:graphicData>
            </a:graphic>
          </wp:inline>
        </w:drawing>
      </w:r>
    </w:p>
    <w:p w:rsidR="000213BD" w:rsidRDefault="000213BD" w:rsidP="00FC5302">
      <w:pPr>
        <w:pStyle w:val="TableDescription"/>
      </w:pPr>
      <w:proofErr w:type="spellStart"/>
      <w:r>
        <w:rPr>
          <w:position w:val="-2"/>
          <w:vertAlign w:val="superscript"/>
        </w:rPr>
        <w:t>a</w:t>
      </w:r>
      <w:proofErr w:type="spellEnd"/>
      <w:r>
        <w:rPr>
          <w:position w:val="-2"/>
          <w:vertAlign w:val="superscript"/>
        </w:rPr>
        <w:t xml:space="preserve"> </w:t>
      </w:r>
      <w:r>
        <w:t xml:space="preserve">All listed studies are GLP compliant; </w:t>
      </w:r>
      <w:r>
        <w:rPr>
          <w:vertAlign w:val="superscript"/>
        </w:rPr>
        <w:t xml:space="preserve">b </w:t>
      </w:r>
      <w:r>
        <w:t xml:space="preserve">doses given </w:t>
      </w:r>
      <w:proofErr w:type="spellStart"/>
      <w:r>
        <w:t>po</w:t>
      </w:r>
      <w:proofErr w:type="spellEnd"/>
      <w:r>
        <w:t xml:space="preserve"> (gavage); </w:t>
      </w:r>
      <w:r>
        <w:rPr>
          <w:vertAlign w:val="superscript"/>
        </w:rPr>
        <w:t xml:space="preserve">c </w:t>
      </w:r>
      <w:proofErr w:type="spellStart"/>
      <w:r>
        <w:t>animal:human</w:t>
      </w:r>
      <w:proofErr w:type="spellEnd"/>
      <w:r>
        <w:t xml:space="preserve"> plasma AUC</w:t>
      </w:r>
      <w:r>
        <w:rPr>
          <w:vertAlign w:val="subscript"/>
        </w:rPr>
        <w:t>0–24</w:t>
      </w:r>
      <w:r>
        <w:rPr>
          <w:w w:val="50"/>
          <w:vertAlign w:val="subscript"/>
        </w:rPr>
        <w:t> </w:t>
      </w:r>
      <w:r>
        <w:rPr>
          <w:vertAlign w:val="subscript"/>
        </w:rPr>
        <w:t>h</w:t>
      </w:r>
      <w:r>
        <w:t xml:space="preserve"> based on human value for 30 mg BID of </w:t>
      </w:r>
      <w:r>
        <w:rPr>
          <w:kern w:val="2"/>
        </w:rPr>
        <w:t>7545</w:t>
      </w:r>
      <w:r>
        <w:t xml:space="preserve">; </w:t>
      </w:r>
      <w:r>
        <w:rPr>
          <w:vertAlign w:val="superscript"/>
        </w:rPr>
        <w:t xml:space="preserve">d </w:t>
      </w:r>
      <w:r w:rsidRPr="00EC5221">
        <w:rPr>
          <w:b/>
        </w:rPr>
        <w:t>values at NOAEL dose for male or female general toxicity</w:t>
      </w:r>
      <w:r>
        <w:rPr>
          <w:b/>
        </w:rPr>
        <w:t xml:space="preserve"> (including juveniles)</w:t>
      </w:r>
      <w:r w:rsidRPr="00EC5221">
        <w:rPr>
          <w:b/>
        </w:rPr>
        <w:t xml:space="preserve"> are boxed, for male or female fertility are bolded, and values at NOAEL dose for embryof</w:t>
      </w:r>
      <w:r w:rsidR="006E419F">
        <w:rPr>
          <w:b/>
        </w:rPr>
        <w:t>o</w:t>
      </w:r>
      <w:r w:rsidRPr="00EC5221">
        <w:rPr>
          <w:b/>
        </w:rPr>
        <w:t xml:space="preserve">etal or pre-/postnatal development </w:t>
      </w:r>
      <w:r>
        <w:rPr>
          <w:b/>
        </w:rPr>
        <w:t xml:space="preserve">toxicity </w:t>
      </w:r>
      <w:r w:rsidRPr="00EC5221">
        <w:rPr>
          <w:b/>
        </w:rPr>
        <w:t>are underlined</w:t>
      </w:r>
      <w:r>
        <w:t xml:space="preserve"> (in </w:t>
      </w:r>
      <w:r w:rsidR="006E419F">
        <w:t>S</w:t>
      </w:r>
      <w:r>
        <w:t xml:space="preserve">tudy </w:t>
      </w:r>
      <w:r>
        <w:rPr>
          <w:kern w:val="2"/>
        </w:rPr>
        <w:t xml:space="preserve">CC-10004-TOX-001, the NOAEL for male and female fertility was &lt;LD; </w:t>
      </w:r>
      <w:r w:rsidR="006E419F">
        <w:t>S</w:t>
      </w:r>
      <w:r>
        <w:t xml:space="preserve">tudy </w:t>
      </w:r>
      <w:r>
        <w:rPr>
          <w:kern w:val="2"/>
        </w:rPr>
        <w:t>CC-10004-TOX-001</w:t>
      </w:r>
      <w:r>
        <w:t xml:space="preserve"> did not include TK measurements and so the corresponding AUC values for Day 28 of study </w:t>
      </w:r>
      <w:r>
        <w:rPr>
          <w:kern w:val="2"/>
        </w:rPr>
        <w:t xml:space="preserve">CC-10004-TOX-002 have been used; </w:t>
      </w:r>
      <w:r>
        <w:t xml:space="preserve">in </w:t>
      </w:r>
      <w:r w:rsidR="006E419F">
        <w:t>S</w:t>
      </w:r>
      <w:r>
        <w:t xml:space="preserve">tudy </w:t>
      </w:r>
      <w:r>
        <w:rPr>
          <w:kern w:val="2"/>
        </w:rPr>
        <w:t xml:space="preserve">CC-10004-TOX-011, the </w:t>
      </w:r>
      <w:r>
        <w:t xml:space="preserve">NOAEL for male fertility was &gt;HD; </w:t>
      </w:r>
      <w:r w:rsidR="006E419F">
        <w:t>S</w:t>
      </w:r>
      <w:r>
        <w:t xml:space="preserve">tudy </w:t>
      </w:r>
      <w:r>
        <w:rPr>
          <w:kern w:val="2"/>
        </w:rPr>
        <w:t>CC-10004-TOX-1139</w:t>
      </w:r>
      <w:r>
        <w:t xml:space="preserve"> did not include TK measurements and so the AUC values for 10 and 80 mg/kg/day have been taken from </w:t>
      </w:r>
      <w:r w:rsidR="006E419F">
        <w:t>S</w:t>
      </w:r>
      <w:r>
        <w:t xml:space="preserve">tudy </w:t>
      </w:r>
      <w:r>
        <w:rPr>
          <w:kern w:val="2"/>
        </w:rPr>
        <w:t>CC-10004-TOX-012</w:t>
      </w:r>
      <w:r>
        <w:t>).</w:t>
      </w:r>
    </w:p>
    <w:p w:rsidR="00D17508" w:rsidRPr="00D17508" w:rsidRDefault="00D17508" w:rsidP="00791F01">
      <w:r w:rsidRPr="00D17508">
        <w:t xml:space="preserve">Results from oral dosing of pregnant mice and monkeys showed that </w:t>
      </w:r>
      <w:r w:rsidR="00EE6D80">
        <w:t>APR</w:t>
      </w:r>
      <w:r w:rsidRPr="00D17508">
        <w:t xml:space="preserve"> crossed the placenta. The f</w:t>
      </w:r>
      <w:r w:rsidR="007A2953">
        <w:t>o</w:t>
      </w:r>
      <w:r w:rsidRPr="00D17508">
        <w:t xml:space="preserve">etal to maternal plasma concentration ratio of </w:t>
      </w:r>
      <w:r w:rsidR="00EE6D80">
        <w:t>APR</w:t>
      </w:r>
      <w:r w:rsidRPr="00D17508">
        <w:t xml:space="preserve"> at 5 h after dosing </w:t>
      </w:r>
      <w:r w:rsidR="002339C5">
        <w:t>of monkeys was in the range 0.3-</w:t>
      </w:r>
      <w:r w:rsidRPr="00D17508">
        <w:t xml:space="preserve">0.4. Following oral dosing of lactating mice with </w:t>
      </w:r>
      <w:r w:rsidR="00EE6D80">
        <w:t>APR</w:t>
      </w:r>
      <w:r w:rsidRPr="00D17508">
        <w:t xml:space="preserve">, the drug </w:t>
      </w:r>
      <w:r w:rsidR="00B73561">
        <w:t xml:space="preserve">was present in milk by 1 h post </w:t>
      </w:r>
      <w:r w:rsidRPr="00D17508">
        <w:t xml:space="preserve">dose at levels about 50% higher than those in plasma. </w:t>
      </w:r>
      <w:r w:rsidR="00EE6D80">
        <w:t>APR</w:t>
      </w:r>
      <w:r w:rsidRPr="00D17508">
        <w:t xml:space="preserve"> was undetectable in mouse plasma and milk by 24 h post</w:t>
      </w:r>
      <w:r w:rsidR="00B73561">
        <w:t xml:space="preserve"> </w:t>
      </w:r>
      <w:r w:rsidRPr="00D17508">
        <w:t>dose.</w:t>
      </w:r>
    </w:p>
    <w:p w:rsidR="00D17508" w:rsidRPr="00D17508" w:rsidRDefault="00D17508" w:rsidP="00791F01">
      <w:r w:rsidRPr="00D17508">
        <w:t xml:space="preserve">Dosing of female mice at relative exposures of around 2 and above produced a lengthening of the </w:t>
      </w:r>
      <w:r w:rsidR="007A2953">
        <w:t>o</w:t>
      </w:r>
      <w:r w:rsidRPr="00D17508">
        <w:t xml:space="preserve">estrus cycle and a decrease in mating activity. There were no effects of </w:t>
      </w:r>
      <w:r w:rsidR="00EE6D80">
        <w:t>APR</w:t>
      </w:r>
      <w:r w:rsidRPr="00D17508">
        <w:t xml:space="preserve"> in mice on mean numbers of corpora </w:t>
      </w:r>
      <w:proofErr w:type="spellStart"/>
      <w:r w:rsidRPr="00D17508">
        <w:t>lutea</w:t>
      </w:r>
      <w:proofErr w:type="spellEnd"/>
      <w:r w:rsidRPr="00D17508">
        <w:t xml:space="preserve">, implantations, or pre-implantation loss. Male mice treated at similar relative exposures showed an increase in testis weight, although this increase was not correlated with changes in testis histology or changes in sperm values. </w:t>
      </w:r>
    </w:p>
    <w:p w:rsidR="00D17508" w:rsidRPr="00D17508" w:rsidRDefault="00EE6D80" w:rsidP="00791F01">
      <w:r>
        <w:t>APR</w:t>
      </w:r>
      <w:r w:rsidR="00D17508" w:rsidRPr="00D17508">
        <w:t xml:space="preserve"> treatment did not cause malformations in mice or monkeys up to approximately 4 and 8 times clinical exposure (based on AUC). However, </w:t>
      </w:r>
      <w:proofErr w:type="spellStart"/>
      <w:r w:rsidR="00D17508" w:rsidRPr="00D17508">
        <w:t>embryolethal</w:t>
      </w:r>
      <w:proofErr w:type="spellEnd"/>
      <w:r w:rsidR="00D17508" w:rsidRPr="00D17508">
        <w:t xml:space="preserve"> effects were noted in both species at lo</w:t>
      </w:r>
      <w:r w:rsidR="00B73561">
        <w:t>w relative exposure levels (~</w:t>
      </w:r>
      <w:r w:rsidR="00D17508" w:rsidRPr="00D17508">
        <w:t>2 based on AUC).</w:t>
      </w:r>
    </w:p>
    <w:p w:rsidR="00D17508" w:rsidRPr="00D17508" w:rsidRDefault="00D17508" w:rsidP="00791F01">
      <w:r w:rsidRPr="00D17508">
        <w:t>Increased embryof</w:t>
      </w:r>
      <w:r w:rsidR="007A2953">
        <w:t>o</w:t>
      </w:r>
      <w:r w:rsidRPr="00D17508">
        <w:t>etal loss, reduced f</w:t>
      </w:r>
      <w:r w:rsidR="007A2953">
        <w:t>o</w:t>
      </w:r>
      <w:r w:rsidRPr="00D17508">
        <w:t>etal weight and delayed ossification were observed in a combined female mouse fertility and embryof</w:t>
      </w:r>
      <w:r w:rsidR="007A2953">
        <w:t>o</w:t>
      </w:r>
      <w:r w:rsidRPr="00D17508">
        <w:t xml:space="preserve">etal developmental toxicity </w:t>
      </w:r>
      <w:proofErr w:type="gramStart"/>
      <w:r w:rsidRPr="00D17508">
        <w:t>study</w:t>
      </w:r>
      <w:proofErr w:type="gramEnd"/>
      <w:r w:rsidRPr="00D17508">
        <w:t xml:space="preserve"> at just over twice clinical exposure (AUC). The maternal and developmental NOEL was 10 mg/kg/day (1.3</w:t>
      </w:r>
      <w:r w:rsidR="00B73561">
        <w:t xml:space="preserve"> </w:t>
      </w:r>
      <w:r w:rsidRPr="00D17508">
        <w:t>fold clinical exposure based on AUC).</w:t>
      </w:r>
    </w:p>
    <w:p w:rsidR="00D17508" w:rsidRPr="00D17508" w:rsidRDefault="00D17508" w:rsidP="00791F01">
      <w:r w:rsidRPr="00D17508">
        <w:t>A dose</w:t>
      </w:r>
      <w:r w:rsidR="00B73561">
        <w:t xml:space="preserve"> </w:t>
      </w:r>
      <w:r w:rsidRPr="00D17508">
        <w:t xml:space="preserve">related increase in prenatal loss (abortions) was observed following oral </w:t>
      </w:r>
      <w:r w:rsidR="00EE6D80">
        <w:t>APR</w:t>
      </w:r>
      <w:r w:rsidRPr="00D17508">
        <w:t xml:space="preserve"> treatment in a monkey embryof</w:t>
      </w:r>
      <w:r w:rsidR="007A2953">
        <w:t>o</w:t>
      </w:r>
      <w:r w:rsidRPr="00D17508">
        <w:t>etal developmental toxicity study at close to twice clinical exposure. The NOEL was 20 mg/kg/day (1.3</w:t>
      </w:r>
      <w:r w:rsidR="00B73561">
        <w:t xml:space="preserve"> </w:t>
      </w:r>
      <w:r w:rsidRPr="00D17508">
        <w:t>fold clinical exposure based on AUC).</w:t>
      </w:r>
    </w:p>
    <w:p w:rsidR="00D17508" w:rsidRPr="00D17508" w:rsidRDefault="00B73561" w:rsidP="00791F01">
      <w:r>
        <w:lastRenderedPageBreak/>
        <w:t>In a pre</w:t>
      </w:r>
      <w:r w:rsidR="00D17508" w:rsidRPr="00D17508">
        <w:t xml:space="preserve"> and postnatal study in mice, </w:t>
      </w:r>
      <w:r w:rsidR="00EE6D80">
        <w:t>APR</w:t>
      </w:r>
      <w:r w:rsidR="00D17508" w:rsidRPr="00D17508">
        <w:t xml:space="preserve"> was administered orally to pregnant female mice at doses of 10, 80 or 300 mg/kg/day from Day 6 of gestation to Day 20 of lactation, with weaning on Day 21. Dystocia, reduced viability, and redu</w:t>
      </w:r>
      <w:r>
        <w:t xml:space="preserve">ced birth weights occurred at ≥ </w:t>
      </w:r>
      <w:r w:rsidR="00D17508" w:rsidRPr="00D17508">
        <w:t>80 mg/kg/day (≥ 4.0</w:t>
      </w:r>
      <w:r>
        <w:t xml:space="preserve"> </w:t>
      </w:r>
      <w:r w:rsidR="00D17508" w:rsidRPr="00D17508">
        <w:t>fold clinical exposure based on AUC). The NOEL for maternal toxicity and the F1 generation was 10 mg/kg/day (1.3</w:t>
      </w:r>
      <w:r>
        <w:t xml:space="preserve"> </w:t>
      </w:r>
      <w:r w:rsidR="00D17508" w:rsidRPr="00D17508">
        <w:t xml:space="preserve">fold clinical </w:t>
      </w:r>
      <w:r>
        <w:t xml:space="preserve">AUC). In the absence of a cross </w:t>
      </w:r>
      <w:r w:rsidR="00D17508" w:rsidRPr="00D17508">
        <w:t xml:space="preserve">fostering study it cannot be determined whether the decreased viability was the result of exposure in utero, ingestion of </w:t>
      </w:r>
      <w:r w:rsidR="00EE6D80">
        <w:t>APR</w:t>
      </w:r>
      <w:r w:rsidR="00D17508" w:rsidRPr="00D17508">
        <w:t xml:space="preserve"> via the milk during lactation, or a combination of the two.</w:t>
      </w:r>
    </w:p>
    <w:p w:rsidR="00D17508" w:rsidRPr="00F4668F" w:rsidRDefault="00D17508" w:rsidP="00791F01">
      <w:pPr>
        <w:pStyle w:val="Heading4"/>
      </w:pPr>
      <w:r>
        <w:t>Australian pre</w:t>
      </w:r>
      <w:r w:rsidRPr="00F4668F">
        <w:t>gnancy classification</w:t>
      </w:r>
      <w:r>
        <w:t xml:space="preserve"> and </w:t>
      </w:r>
      <w:r w:rsidRPr="00791F01">
        <w:t>contraindication</w:t>
      </w:r>
      <w:r>
        <w:t xml:space="preserve"> in pregnancy and lactation</w:t>
      </w:r>
    </w:p>
    <w:p w:rsidR="00D17508" w:rsidRPr="00660BE0" w:rsidRDefault="00D17508" w:rsidP="00791F01">
      <w:r w:rsidRPr="00660BE0">
        <w:t xml:space="preserve">Both the European </w:t>
      </w:r>
      <w:r w:rsidR="005140E2" w:rsidRPr="005140E2">
        <w:t>Summary of Product Characteristics</w:t>
      </w:r>
      <w:r w:rsidRPr="00660BE0">
        <w:t xml:space="preserve"> and the Canadian product monographs note that </w:t>
      </w:r>
      <w:r w:rsidR="00EE6D80">
        <w:t>APR</w:t>
      </w:r>
      <w:r w:rsidRPr="00660BE0">
        <w:t xml:space="preserve"> is contraindicated in pregnancy while the US FDA label does not include pregnancy as a contraindication. The </w:t>
      </w:r>
      <w:r w:rsidR="00654301">
        <w:t>s</w:t>
      </w:r>
      <w:r w:rsidRPr="00660BE0">
        <w:t xml:space="preserve">ponsor was requested to comment on whether </w:t>
      </w:r>
      <w:r w:rsidR="00EE6D80">
        <w:t>APR</w:t>
      </w:r>
      <w:r w:rsidRPr="00660BE0">
        <w:t xml:space="preserve"> should be contraindicated in pregnancy or not</w:t>
      </w:r>
      <w:r w:rsidR="00B73561">
        <w:t>. The S</w:t>
      </w:r>
      <w:r w:rsidRPr="00660BE0">
        <w:t>p</w:t>
      </w:r>
      <w:r w:rsidR="00654301">
        <w:t>onsor suggested that the embryo</w:t>
      </w:r>
      <w:r w:rsidRPr="00660BE0">
        <w:t>f</w:t>
      </w:r>
      <w:r w:rsidR="00654301">
        <w:t>o</w:t>
      </w:r>
      <w:r w:rsidRPr="00660BE0">
        <w:t>etal lethality findings do not warrant contraindication in pregnancy, noting the following:</w:t>
      </w:r>
    </w:p>
    <w:p w:rsidR="00D17508" w:rsidRPr="00660BE0" w:rsidRDefault="00D17508" w:rsidP="00791F01">
      <w:pPr>
        <w:pStyle w:val="ListBullet"/>
      </w:pPr>
      <w:r w:rsidRPr="00660BE0">
        <w:t xml:space="preserve">The </w:t>
      </w:r>
      <w:r w:rsidRPr="00791F01">
        <w:t>mechanism</w:t>
      </w:r>
      <w:r w:rsidRPr="00660BE0">
        <w:t xml:space="preserve"> by which PDE4 inhibitors induce such an effect is not well understood.</w:t>
      </w:r>
    </w:p>
    <w:p w:rsidR="00D17508" w:rsidRPr="00660BE0" w:rsidRDefault="00D17508" w:rsidP="00791F01">
      <w:pPr>
        <w:pStyle w:val="ListBullet"/>
      </w:pPr>
      <w:r w:rsidRPr="00660BE0">
        <w:t>Human studies suggest that Th1-Th2 cytokine balance is important in the survival of the f</w:t>
      </w:r>
      <w:r w:rsidR="00A3500E">
        <w:t>o</w:t>
      </w:r>
      <w:r w:rsidRPr="00660BE0">
        <w:t xml:space="preserve">etus in the maternal uterus, with a Th-2 bias (IL-6, IL-10) and Th-1 bias (TNF-α) being associated with successful and unsuccessful pregnancies, </w:t>
      </w:r>
      <w:r w:rsidRPr="00791F01">
        <w:t>respectively</w:t>
      </w:r>
      <w:r w:rsidRPr="00660BE0">
        <w:t>.</w:t>
      </w:r>
    </w:p>
    <w:p w:rsidR="00D17508" w:rsidRPr="00660BE0" w:rsidRDefault="00D17508" w:rsidP="00791F01">
      <w:pPr>
        <w:pStyle w:val="ListBullet"/>
      </w:pPr>
      <w:r w:rsidRPr="00660BE0">
        <w:t xml:space="preserve">The mechanisms that lead to abortion in mice seem to be different from those in humans. PDE4 inhibitors have been shown to </w:t>
      </w:r>
      <w:r w:rsidR="00A3500E">
        <w:t xml:space="preserve">increase IL-6 production in LPS </w:t>
      </w:r>
      <w:r w:rsidRPr="00660BE0">
        <w:t xml:space="preserve">stimulated whole blood from mouse and rat but not in monkey and </w:t>
      </w:r>
      <w:r w:rsidRPr="00791F01">
        <w:t>human</w:t>
      </w:r>
      <w:r w:rsidRPr="00660BE0">
        <w:t xml:space="preserve">. Therefore, the </w:t>
      </w:r>
      <w:r w:rsidR="00A3500E">
        <w:t>observation of increased embryo</w:t>
      </w:r>
      <w:r w:rsidRPr="00660BE0">
        <w:t>f</w:t>
      </w:r>
      <w:r w:rsidR="00A3500E">
        <w:t>o</w:t>
      </w:r>
      <w:r w:rsidRPr="00660BE0">
        <w:t>etal loss may be the result of elevation of IL-6 in this species.</w:t>
      </w:r>
    </w:p>
    <w:p w:rsidR="00D17508" w:rsidRPr="00660BE0" w:rsidRDefault="00D17508" w:rsidP="00791F01">
      <w:r w:rsidRPr="00660BE0">
        <w:t xml:space="preserve">At best, the </w:t>
      </w:r>
      <w:r w:rsidR="00A3500E">
        <w:t>s</w:t>
      </w:r>
      <w:r w:rsidRPr="00660BE0">
        <w:t xml:space="preserve">ponsor’s arguments potentially explain the </w:t>
      </w:r>
      <w:proofErr w:type="spellStart"/>
      <w:r w:rsidRPr="00660BE0">
        <w:t>embryolethal</w:t>
      </w:r>
      <w:proofErr w:type="spellEnd"/>
      <w:r w:rsidRPr="00660BE0">
        <w:t xml:space="preserve"> effects in mice. However, the </w:t>
      </w:r>
      <w:proofErr w:type="spellStart"/>
      <w:r w:rsidRPr="00660BE0">
        <w:t>embryolethal</w:t>
      </w:r>
      <w:proofErr w:type="spellEnd"/>
      <w:r w:rsidRPr="00660BE0">
        <w:t xml:space="preserve"> effect in monkeys at low relative exposure levels is still concerning, and the </w:t>
      </w:r>
      <w:r w:rsidR="00A3500E">
        <w:t>s</w:t>
      </w:r>
      <w:r w:rsidRPr="00660BE0">
        <w:t>ponsor admits that “the mechanisms of abortion in monkeys is less well understood” and that “the presence of complicated cytokine networks and overlapping biological activities make a clear understanding of mechanisms in pregnancy maintenance very difficult.”</w:t>
      </w:r>
    </w:p>
    <w:p w:rsidR="00D17508" w:rsidRPr="00660BE0" w:rsidRDefault="00D17508" w:rsidP="00791F01">
      <w:r w:rsidRPr="00660BE0">
        <w:t xml:space="preserve">Overall, taking into consideration the </w:t>
      </w:r>
      <w:r w:rsidR="008635E6">
        <w:t xml:space="preserve">relevant </w:t>
      </w:r>
      <w:r w:rsidRPr="00660BE0">
        <w:t xml:space="preserve">EMA </w:t>
      </w:r>
      <w:r w:rsidR="008635E6">
        <w:t>guideline</w:t>
      </w:r>
      <w:r w:rsidR="008635E6">
        <w:rPr>
          <w:rStyle w:val="FootnoteReference"/>
        </w:rPr>
        <w:footnoteReference w:id="15"/>
      </w:r>
      <w:r w:rsidR="008635E6">
        <w:t xml:space="preserve"> </w:t>
      </w:r>
      <w:r w:rsidR="00282EC1">
        <w:t>a</w:t>
      </w:r>
      <w:r w:rsidRPr="00660BE0">
        <w:t xml:space="preserve">nd the evidence for </w:t>
      </w:r>
      <w:proofErr w:type="gramStart"/>
      <w:r w:rsidRPr="00660BE0">
        <w:t>placental</w:t>
      </w:r>
      <w:proofErr w:type="gramEnd"/>
      <w:r w:rsidRPr="00660BE0">
        <w:t xml:space="preserve"> transfer and excretion of </w:t>
      </w:r>
      <w:r w:rsidR="00EE6D80">
        <w:t>APR</w:t>
      </w:r>
      <w:r w:rsidRPr="00660BE0">
        <w:t xml:space="preserve"> into milk, embryolethality in two species at similar to anticipated human exposure in embryof</w:t>
      </w:r>
      <w:r w:rsidR="00654301">
        <w:t>o</w:t>
      </w:r>
      <w:r w:rsidRPr="00660BE0">
        <w:t xml:space="preserve">etal development studies, and the decreased viability in the pre-postnatal study in mice, it is recommended that </w:t>
      </w:r>
      <w:r w:rsidR="00EE6D80">
        <w:t>APR</w:t>
      </w:r>
      <w:r w:rsidRPr="00660BE0">
        <w:t xml:space="preserve"> be contraindicated in both pregnancy and lactation (as is the case in both Canada and the EU). This is also consistent with what is already noted in the Risk Management Plan Version 3.0.</w:t>
      </w:r>
      <w:r w:rsidR="002B6593">
        <w:t xml:space="preserve"> </w:t>
      </w:r>
      <w:r w:rsidRPr="00660BE0">
        <w:t>An Australian Pregnancy Category of B3 is recommended:</w:t>
      </w:r>
    </w:p>
    <w:p w:rsidR="00D17508" w:rsidRPr="00791F01" w:rsidRDefault="00D17508" w:rsidP="00791F01">
      <w:pPr>
        <w:pStyle w:val="ListBullet"/>
        <w:numPr>
          <w:ilvl w:val="0"/>
          <w:numId w:val="0"/>
        </w:numPr>
        <w:ind w:left="360"/>
        <w:rPr>
          <w:i/>
        </w:rPr>
      </w:pPr>
      <w:r w:rsidRPr="00791F01">
        <w:rPr>
          <w:i/>
        </w:rPr>
        <w:t>“Drugs which have been taken by only a limited number of pregnant women and women of childbearing age, without an increase in the frequency of malformation or other direct or indirect harmful effects on the human f</w:t>
      </w:r>
      <w:r w:rsidR="00282EC1" w:rsidRPr="00791F01">
        <w:rPr>
          <w:i/>
        </w:rPr>
        <w:t>o</w:t>
      </w:r>
      <w:r w:rsidRPr="00791F01">
        <w:rPr>
          <w:i/>
        </w:rPr>
        <w:t>etus having been observed. Studies in animals have shown evidence of an increased occurrence of f</w:t>
      </w:r>
      <w:r w:rsidR="00282EC1" w:rsidRPr="00791F01">
        <w:rPr>
          <w:i/>
        </w:rPr>
        <w:t>o</w:t>
      </w:r>
      <w:r w:rsidRPr="00791F01">
        <w:rPr>
          <w:i/>
        </w:rPr>
        <w:t>etal damage, the significance of which is considered uncertain in humans.”</w:t>
      </w:r>
    </w:p>
    <w:p w:rsidR="00D17508" w:rsidRPr="00660BE0" w:rsidRDefault="00D17508" w:rsidP="00791F01">
      <w:r w:rsidRPr="00660BE0">
        <w:t>The uncertainty of the clinical relevance of the animal findings is being addressed by Pregnancy Exposure Registries being established in the US and Canada (RMP, Version 3.0).</w:t>
      </w:r>
    </w:p>
    <w:p w:rsidR="00D17508" w:rsidRDefault="00D17508" w:rsidP="00791F01">
      <w:pPr>
        <w:pStyle w:val="Heading4"/>
      </w:pPr>
      <w:r>
        <w:lastRenderedPageBreak/>
        <w:t xml:space="preserve">Local </w:t>
      </w:r>
      <w:r w:rsidRPr="00791F01">
        <w:t>tolerance</w:t>
      </w:r>
    </w:p>
    <w:p w:rsidR="00D17508" w:rsidRPr="00660BE0" w:rsidRDefault="00D17508" w:rsidP="00791F01">
      <w:r w:rsidRPr="00660BE0">
        <w:t xml:space="preserve">Rabbits given one topical application of </w:t>
      </w:r>
      <w:r w:rsidR="00EE6D80">
        <w:t>APR</w:t>
      </w:r>
      <w:r w:rsidRPr="00660BE0">
        <w:t xml:space="preserve"> onto shaved skin showed no signs of irritation. Results after multiple rounds of exposure of guinea pig skin suggested that </w:t>
      </w:r>
      <w:r w:rsidR="00EE6D80">
        <w:t>APR</w:t>
      </w:r>
      <w:r w:rsidRPr="00660BE0">
        <w:t xml:space="preserve"> is a weak sensitiser to irritation in that system.</w:t>
      </w:r>
    </w:p>
    <w:p w:rsidR="00D17508" w:rsidRDefault="00D17508" w:rsidP="00791F01">
      <w:pPr>
        <w:pStyle w:val="Heading4"/>
      </w:pPr>
      <w:proofErr w:type="spellStart"/>
      <w:r w:rsidRPr="00791F01">
        <w:t>Phototoxicity</w:t>
      </w:r>
      <w:proofErr w:type="spellEnd"/>
    </w:p>
    <w:p w:rsidR="00D17508" w:rsidRPr="00660BE0" w:rsidRDefault="00EE6D80" w:rsidP="00791F01">
      <w:r>
        <w:t>APR</w:t>
      </w:r>
      <w:r w:rsidR="00D17508" w:rsidRPr="00660BE0">
        <w:t xml:space="preserve"> showed no ability to increase the toxicity of ultraviolet light towards mouse 3T3 fibroblasts. This suggests that </w:t>
      </w:r>
      <w:r>
        <w:t>APR</w:t>
      </w:r>
      <w:r w:rsidR="00D17508" w:rsidRPr="00660BE0">
        <w:t xml:space="preserve"> is not a photosensitiser.</w:t>
      </w:r>
    </w:p>
    <w:p w:rsidR="00D17508" w:rsidRDefault="00D17508" w:rsidP="00791F01">
      <w:pPr>
        <w:pStyle w:val="Heading4"/>
      </w:pPr>
      <w:r w:rsidRPr="00791F01">
        <w:t>Impurities</w:t>
      </w:r>
    </w:p>
    <w:p w:rsidR="00D17508" w:rsidRPr="00660BE0" w:rsidRDefault="00D17508" w:rsidP="00791F01">
      <w:r w:rsidRPr="00660BE0">
        <w:t xml:space="preserve">The proposed acceptance criteria for impurities in the drug substance are below the ICH qualification threshold. One of these impurities gave a negative response in bacterial mutagenicity testing. According to the sponsor, no degradation products have been found in </w:t>
      </w:r>
      <w:r w:rsidR="00EE6D80">
        <w:t>APR</w:t>
      </w:r>
      <w:r w:rsidRPr="00660BE0">
        <w:t xml:space="preserve"> tablets.</w:t>
      </w:r>
    </w:p>
    <w:p w:rsidR="00D17508" w:rsidRPr="00D14021" w:rsidRDefault="00D17508" w:rsidP="00791F01">
      <w:pPr>
        <w:pStyle w:val="Heading4"/>
      </w:pPr>
      <w:r w:rsidRPr="00791F01">
        <w:t>Paediatric</w:t>
      </w:r>
      <w:r w:rsidRPr="00D14021">
        <w:t xml:space="preserve"> use</w:t>
      </w:r>
    </w:p>
    <w:p w:rsidR="00D17508" w:rsidRPr="00660BE0" w:rsidRDefault="00EE6D80" w:rsidP="00791F01">
      <w:r>
        <w:t>APR</w:t>
      </w:r>
      <w:r w:rsidR="00D17508" w:rsidRPr="00660BE0">
        <w:t xml:space="preserve"> is not proposed for paediatric use. Nevertheless, the response of juvenile mice to d</w:t>
      </w:r>
      <w:r w:rsidR="000D06C0">
        <w:t xml:space="preserve">osing with </w:t>
      </w:r>
      <w:r>
        <w:t>APR</w:t>
      </w:r>
      <w:r w:rsidR="000D06C0">
        <w:t xml:space="preserve"> from </w:t>
      </w:r>
      <w:r w:rsidR="00282EC1">
        <w:t>postnatal day (</w:t>
      </w:r>
      <w:r w:rsidR="000D06C0">
        <w:t>PND</w:t>
      </w:r>
      <w:r w:rsidR="00282EC1">
        <w:t xml:space="preserve">) </w:t>
      </w:r>
      <w:r w:rsidR="000D06C0">
        <w:t>7-</w:t>
      </w:r>
      <w:r w:rsidR="00D17508" w:rsidRPr="00660BE0">
        <w:t xml:space="preserve">97 was examined. Deaths of female mice, which were attributed to </w:t>
      </w:r>
      <w:r>
        <w:t>APR</w:t>
      </w:r>
      <w:r w:rsidR="00D17508" w:rsidRPr="00660BE0">
        <w:t xml:space="preserve"> dosing, occurred mostly in the first week of dosing and at relative exposures of around two (see Table </w:t>
      </w:r>
      <w:r w:rsidR="009461B9">
        <w:t>5</w:t>
      </w:r>
      <w:r w:rsidR="00D17508" w:rsidRPr="00660BE0">
        <w:t xml:space="preserve">). This suggests that juveniles may be particularly sensitive to </w:t>
      </w:r>
      <w:r>
        <w:t>APR</w:t>
      </w:r>
      <w:r w:rsidR="00061465">
        <w:t xml:space="preserve"> </w:t>
      </w:r>
      <w:r w:rsidR="00D17508" w:rsidRPr="00660BE0">
        <w:t>induced effects.</w:t>
      </w:r>
      <w:r w:rsidR="00FA7A24">
        <w:rPr>
          <w:rStyle w:val="FootnoteReference"/>
        </w:rPr>
        <w:footnoteReference w:id="16"/>
      </w:r>
    </w:p>
    <w:p w:rsidR="008E7846" w:rsidRDefault="008E7846" w:rsidP="00791F01">
      <w:pPr>
        <w:pStyle w:val="Heading3"/>
      </w:pPr>
      <w:bookmarkStart w:id="56" w:name="_Toc247691515"/>
      <w:bookmarkStart w:id="57" w:name="_Toc314842499"/>
      <w:bookmarkStart w:id="58" w:name="_Toc436140475"/>
      <w:r>
        <w:t xml:space="preserve">Nonclinical </w:t>
      </w:r>
      <w:r w:rsidRPr="00791F01">
        <w:t>summary</w:t>
      </w:r>
      <w:r>
        <w:t xml:space="preserve"> and conclusions</w:t>
      </w:r>
      <w:bookmarkEnd w:id="56"/>
      <w:bookmarkEnd w:id="57"/>
      <w:bookmarkEnd w:id="58"/>
    </w:p>
    <w:p w:rsidR="008E7846" w:rsidRDefault="00D121CF" w:rsidP="00791F01">
      <w:pPr>
        <w:pStyle w:val="Heading4"/>
      </w:pPr>
      <w:r w:rsidRPr="00791F01">
        <w:t>Summary</w:t>
      </w:r>
    </w:p>
    <w:p w:rsidR="007B52DA" w:rsidRPr="007B52DA" w:rsidRDefault="007B52DA" w:rsidP="00791F01">
      <w:pPr>
        <w:pStyle w:val="ListBullet"/>
      </w:pPr>
      <w:r w:rsidRPr="007B52DA">
        <w:t xml:space="preserve">The </w:t>
      </w:r>
      <w:r>
        <w:t>nonclinical</w:t>
      </w:r>
      <w:r w:rsidRPr="007B52DA">
        <w:t xml:space="preserve"> studies were comprehensive and of high quality, and the pivotal toxicological studies were performed to GLP standards.</w:t>
      </w:r>
    </w:p>
    <w:p w:rsidR="007B52DA" w:rsidRPr="007B52DA" w:rsidRDefault="00EE6D80" w:rsidP="00791F01">
      <w:pPr>
        <w:pStyle w:val="ListBullet"/>
      </w:pPr>
      <w:r>
        <w:t>APR</w:t>
      </w:r>
      <w:r w:rsidR="007B52DA" w:rsidRPr="007B52DA">
        <w:t xml:space="preserve"> inhibited a range of human PDE4A, 4B, 4C, and 4D isoforms with IC50 values ranging from 14 to 118 </w:t>
      </w:r>
      <w:proofErr w:type="spellStart"/>
      <w:r w:rsidR="007B52DA" w:rsidRPr="007B52DA">
        <w:t>nM</w:t>
      </w:r>
      <w:proofErr w:type="spellEnd"/>
      <w:r w:rsidR="007B52DA" w:rsidRPr="007B52DA">
        <w:t xml:space="preserve">. Compared with other PDE4 inhibitors, it was more potent than </w:t>
      </w:r>
      <w:proofErr w:type="spellStart"/>
      <w:r w:rsidR="007B52DA" w:rsidRPr="007B52DA">
        <w:t>rolipram</w:t>
      </w:r>
      <w:proofErr w:type="spellEnd"/>
      <w:r w:rsidR="007B52DA" w:rsidRPr="007B52DA">
        <w:t xml:space="preserve">, of similar potency to </w:t>
      </w:r>
      <w:proofErr w:type="spellStart"/>
      <w:r w:rsidR="007B52DA" w:rsidRPr="007B52DA">
        <w:t>cilomilast</w:t>
      </w:r>
      <w:proofErr w:type="spellEnd"/>
      <w:r w:rsidR="007B52DA" w:rsidRPr="007B52DA">
        <w:t xml:space="preserve">, and less potent than </w:t>
      </w:r>
      <w:proofErr w:type="spellStart"/>
      <w:r w:rsidR="007B52DA" w:rsidRPr="007B52DA">
        <w:t>roflumilast</w:t>
      </w:r>
      <w:proofErr w:type="spellEnd"/>
      <w:r w:rsidR="007B52DA" w:rsidRPr="007B52DA">
        <w:t xml:space="preserve">. In vitro studies showed that </w:t>
      </w:r>
      <w:r>
        <w:t>APR</w:t>
      </w:r>
      <w:r w:rsidR="007B52DA" w:rsidRPr="007B52DA">
        <w:t xml:space="preserve"> inhibited </w:t>
      </w:r>
      <w:r w:rsidR="007B52DA" w:rsidRPr="00791F01">
        <w:t>release</w:t>
      </w:r>
      <w:r w:rsidR="007B52DA" w:rsidRPr="007B52DA">
        <w:t xml:space="preserve"> of TNF-α and other pro-inflammatory proteins by human PBMC or monocytes following exposure to LPS (IC50 = 77 </w:t>
      </w:r>
      <w:proofErr w:type="spellStart"/>
      <w:r w:rsidR="007B52DA" w:rsidRPr="007B52DA">
        <w:t>nM</w:t>
      </w:r>
      <w:proofErr w:type="spellEnd"/>
      <w:r w:rsidR="007B52DA" w:rsidRPr="007B52DA">
        <w:t xml:space="preserve"> for TNF-α), and also had potent anti-angiogenic activity (IC50 of 0.14 µM in the human umbilical cord vessel ring assay) and anti-osteoclast activity. Both activities are potentially significant for the proposed indications for </w:t>
      </w:r>
      <w:r>
        <w:t>APR</w:t>
      </w:r>
      <w:r w:rsidR="007B52DA" w:rsidRPr="007B52DA">
        <w:t xml:space="preserve">. </w:t>
      </w:r>
      <w:r w:rsidR="007B52DA" w:rsidRPr="00FA226D">
        <w:rPr>
          <w:i/>
        </w:rPr>
        <w:t>In vivo</w:t>
      </w:r>
      <w:r w:rsidR="007B52DA" w:rsidRPr="007B52DA">
        <w:t xml:space="preserve"> studies showed that </w:t>
      </w:r>
      <w:r>
        <w:t>APR</w:t>
      </w:r>
      <w:r w:rsidR="007B52DA" w:rsidRPr="007B52DA">
        <w:t xml:space="preserve"> had activity in a model of </w:t>
      </w:r>
      <w:r w:rsidR="00204432">
        <w:t>PSOR</w:t>
      </w:r>
      <w:r w:rsidR="007B52DA" w:rsidRPr="007B52DA">
        <w:t xml:space="preserve"> using immunocompromised mice that had received human skin grafts and been injected with activated NK cells derived from psoriatic patient blood; although results in models of arthritis were equivocal. </w:t>
      </w:r>
    </w:p>
    <w:p w:rsidR="007B52DA" w:rsidRPr="007B52DA" w:rsidRDefault="007B52DA" w:rsidP="00791F01">
      <w:pPr>
        <w:pStyle w:val="ListBullet"/>
      </w:pPr>
      <w:r w:rsidRPr="007B52DA">
        <w:t>In large</w:t>
      </w:r>
      <w:r w:rsidR="00FA226D">
        <w:t xml:space="preserve"> </w:t>
      </w:r>
      <w:r w:rsidRPr="007B52DA">
        <w:t xml:space="preserve">scale screens for inhibitory </w:t>
      </w:r>
      <w:r w:rsidRPr="00791F01">
        <w:t>activity</w:t>
      </w:r>
      <w:r w:rsidRPr="007B52DA">
        <w:t xml:space="preserve">, </w:t>
      </w:r>
      <w:r w:rsidR="00EE6D80">
        <w:t>APR</w:t>
      </w:r>
      <w:r w:rsidRPr="007B52DA">
        <w:t xml:space="preserve"> showed no significant inhibitory activity towards other PDE families, kinases, various other enzymes, and cell</w:t>
      </w:r>
      <w:r w:rsidR="00FA226D">
        <w:t xml:space="preserve"> </w:t>
      </w:r>
      <w:r w:rsidRPr="007B52DA">
        <w:t xml:space="preserve">surface receptors. In one study, </w:t>
      </w:r>
      <w:r w:rsidR="00EE6D80">
        <w:t>APR</w:t>
      </w:r>
      <w:r w:rsidRPr="007B52DA">
        <w:t xml:space="preserve"> showed inhibition of the </w:t>
      </w:r>
      <w:proofErr w:type="spellStart"/>
      <w:r w:rsidRPr="007B52DA">
        <w:t>hERG</w:t>
      </w:r>
      <w:proofErr w:type="spellEnd"/>
      <w:r w:rsidRPr="007B52DA">
        <w:t xml:space="preserve"> potassium current, however, in a more comprehensive investigation that result was not confirmed. </w:t>
      </w:r>
      <w:r w:rsidR="00EE6D80">
        <w:t>APR</w:t>
      </w:r>
      <w:r w:rsidRPr="007B52DA">
        <w:t xml:space="preserve"> lacks the pharmacophore responsible for the binding of thalidomide to </w:t>
      </w:r>
      <w:proofErr w:type="spellStart"/>
      <w:r w:rsidRPr="007B52DA">
        <w:t>cereblon</w:t>
      </w:r>
      <w:proofErr w:type="spellEnd"/>
      <w:r w:rsidRPr="007B52DA">
        <w:t>, and various systems confirmed the different properties and mechanisms of action for the two drugs in inhibiting TNF-α synthesis.</w:t>
      </w:r>
    </w:p>
    <w:p w:rsidR="007B52DA" w:rsidRPr="007B52DA" w:rsidRDefault="007B52DA" w:rsidP="00791F01">
      <w:pPr>
        <w:pStyle w:val="ListBullet"/>
      </w:pPr>
      <w:r w:rsidRPr="007B52DA">
        <w:lastRenderedPageBreak/>
        <w:t>The results from safety pharmacology studies (including investigation of QT prolongation potential) were generally unremarkable and did not raise any issues of clinical concern.</w:t>
      </w:r>
    </w:p>
    <w:p w:rsidR="007B52DA" w:rsidRPr="007B52DA" w:rsidRDefault="007B52DA" w:rsidP="00791F01">
      <w:pPr>
        <w:pStyle w:val="ListBullet"/>
      </w:pPr>
      <w:r w:rsidRPr="007B52DA">
        <w:t xml:space="preserve">Pharmacokinetic studies in mice, rats, monkeys, and humans demonstrated relatively rapid absorption and plasma elimination kinetics. AUC and </w:t>
      </w:r>
      <w:proofErr w:type="spellStart"/>
      <w:r w:rsidRPr="007B52DA">
        <w:t>Cmax</w:t>
      </w:r>
      <w:proofErr w:type="spellEnd"/>
      <w:r w:rsidRPr="007B52DA">
        <w:t xml:space="preserve"> values for orally administered </w:t>
      </w:r>
      <w:r w:rsidR="00EE6D80">
        <w:t>APR</w:t>
      </w:r>
      <w:r w:rsidRPr="007B52DA">
        <w:t xml:space="preserve"> increased </w:t>
      </w:r>
      <w:r w:rsidRPr="00791F01">
        <w:t>approximately</w:t>
      </w:r>
      <w:r w:rsidRPr="007B52DA">
        <w:t xml:space="preserve"> proportionally with dose, although the increases were less than dose proportional at the higher doses used in many of the animal studies. </w:t>
      </w:r>
      <w:r w:rsidR="00EE6D80">
        <w:t>APR</w:t>
      </w:r>
      <w:r w:rsidRPr="007B52DA">
        <w:t xml:space="preserve"> showed a moderate value for volume of distrib</w:t>
      </w:r>
      <w:r w:rsidR="00FA226D">
        <w:t>ution in rodents and humans (~1-</w:t>
      </w:r>
      <w:r w:rsidRPr="007B52DA">
        <w:t xml:space="preserve">2 L/kg). It was concluded that the animal species used provided reasonable models for studying the effects of human dosing with </w:t>
      </w:r>
      <w:r w:rsidR="00EE6D80">
        <w:t>APR</w:t>
      </w:r>
      <w:r w:rsidRPr="007B52DA">
        <w:t>.</w:t>
      </w:r>
    </w:p>
    <w:p w:rsidR="007B52DA" w:rsidRPr="007B52DA" w:rsidRDefault="007B52DA" w:rsidP="00791F01">
      <w:pPr>
        <w:pStyle w:val="ListBullet"/>
      </w:pPr>
      <w:r w:rsidRPr="007B52DA">
        <w:t>For all animal species examined, excretion was predominantly via the f</w:t>
      </w:r>
      <w:r w:rsidR="00FA226D">
        <w:t>a</w:t>
      </w:r>
      <w:r w:rsidRPr="007B52DA">
        <w:t>eces, and in mice it was shown that bile was the major route.</w:t>
      </w:r>
    </w:p>
    <w:p w:rsidR="007B52DA" w:rsidRPr="007B52DA" w:rsidRDefault="00EE6D80" w:rsidP="00791F01">
      <w:pPr>
        <w:pStyle w:val="ListBullet"/>
      </w:pPr>
      <w:r>
        <w:t>APR</w:t>
      </w:r>
      <w:r w:rsidR="007B52DA" w:rsidRPr="007B52DA">
        <w:t xml:space="preserve"> showed a moderate level of binding to human plasma proteins (~68% unbound), with little effect of con</w:t>
      </w:r>
      <w:r w:rsidR="00FA226D">
        <w:t>centration (over the range ~0.5-</w:t>
      </w:r>
      <w:r w:rsidR="007B52DA" w:rsidRPr="007B52DA">
        <w:t xml:space="preserve">5 µM) on the extent of binding. Following oral dosing, radiolabelled </w:t>
      </w:r>
      <w:r>
        <w:t>APR</w:t>
      </w:r>
      <w:r w:rsidR="007B52DA" w:rsidRPr="007B52DA">
        <w:t xml:space="preserve"> showed an extensive tissue distribution in mice. Most tissues contained higher levels of radioactivity than blood at 2 h post</w:t>
      </w:r>
      <w:r w:rsidR="00FA226D">
        <w:t xml:space="preserve"> </w:t>
      </w:r>
      <w:r w:rsidR="007B52DA" w:rsidRPr="007B52DA">
        <w:t xml:space="preserve">dose. Tissues with high levels of radioactivity </w:t>
      </w:r>
      <w:r w:rsidR="007B52DA" w:rsidRPr="00791F01">
        <w:t>included</w:t>
      </w:r>
      <w:r w:rsidR="007B52DA" w:rsidRPr="007B52DA">
        <w:t xml:space="preserve"> liver, gall bladder, kidney, and GI mucosa. Tissues with lower levels of radioactivity than blood included bone marrow, testis, spinal cord, and brain. This suggests that there is only a low level of transport of </w:t>
      </w:r>
      <w:r>
        <w:t>APR</w:t>
      </w:r>
      <w:r w:rsidR="007B52DA" w:rsidRPr="007B52DA">
        <w:t xml:space="preserve"> and its metabolites across the blood-brain barrier in mice.</w:t>
      </w:r>
    </w:p>
    <w:p w:rsidR="007B52DA" w:rsidRPr="007B52DA" w:rsidRDefault="00EE6D80" w:rsidP="00791F01">
      <w:pPr>
        <w:pStyle w:val="ListBullet"/>
      </w:pPr>
      <w:r>
        <w:t>APR</w:t>
      </w:r>
      <w:r w:rsidR="007B52DA" w:rsidRPr="007B52DA">
        <w:t xml:space="preserve"> underwent a significant level of metabolism in the species examined. </w:t>
      </w:r>
      <w:r>
        <w:t>APR</w:t>
      </w:r>
      <w:r w:rsidR="007B52DA" w:rsidRPr="007B52DA">
        <w:t xml:space="preserve"> was subject to enzyme catalysed </w:t>
      </w:r>
      <w:proofErr w:type="spellStart"/>
      <w:r w:rsidR="007B52DA" w:rsidRPr="007B52DA">
        <w:t>deethylation</w:t>
      </w:r>
      <w:proofErr w:type="spellEnd"/>
      <w:r w:rsidR="007B52DA" w:rsidRPr="007B52DA">
        <w:t xml:space="preserve"> and/or demethylation reactions that could be followed by </w:t>
      </w:r>
      <w:proofErr w:type="spellStart"/>
      <w:r w:rsidR="007B52DA" w:rsidRPr="007B52DA">
        <w:t>glucuronidation</w:t>
      </w:r>
      <w:proofErr w:type="spellEnd"/>
      <w:r w:rsidR="007B52DA" w:rsidRPr="007B52DA">
        <w:t xml:space="preserve">. The </w:t>
      </w:r>
      <w:r w:rsidR="007B52DA" w:rsidRPr="00791F01">
        <w:t>drug</w:t>
      </w:r>
      <w:r w:rsidR="007B52DA" w:rsidRPr="007B52DA">
        <w:t xml:space="preserve"> could also undergo spontaneous hydrolysis followed by the aforementioned </w:t>
      </w:r>
      <w:proofErr w:type="spellStart"/>
      <w:r w:rsidR="007B52DA" w:rsidRPr="007B52DA">
        <w:t>enzymic</w:t>
      </w:r>
      <w:proofErr w:type="spellEnd"/>
      <w:r w:rsidR="007B52DA" w:rsidRPr="007B52DA">
        <w:t xml:space="preserve"> reactions. Glucuronide conjugate of </w:t>
      </w:r>
      <w:proofErr w:type="spellStart"/>
      <w:r w:rsidR="007B52DA" w:rsidRPr="007B52DA">
        <w:t>demethyl</w:t>
      </w:r>
      <w:proofErr w:type="spellEnd"/>
      <w:r w:rsidR="007B52DA" w:rsidRPr="007B52DA">
        <w:t xml:space="preserve"> </w:t>
      </w:r>
      <w:r>
        <w:t>APR</w:t>
      </w:r>
      <w:r w:rsidR="007B52DA" w:rsidRPr="007B52DA">
        <w:t xml:space="preserve"> was the major metabolite produced under </w:t>
      </w:r>
      <w:r w:rsidR="007B52DA" w:rsidRPr="00FA226D">
        <w:rPr>
          <w:i/>
        </w:rPr>
        <w:t xml:space="preserve">in vitro </w:t>
      </w:r>
      <w:r w:rsidR="007B52DA" w:rsidRPr="007B52DA">
        <w:t xml:space="preserve">culture conditions by rat, rabbit, monkey, and human hepatocytes. This metabolite, and to a lesser extent its precursor, </w:t>
      </w:r>
      <w:proofErr w:type="spellStart"/>
      <w:r w:rsidR="007B52DA" w:rsidRPr="007B52DA">
        <w:t>demethyl</w:t>
      </w:r>
      <w:proofErr w:type="spellEnd"/>
      <w:r w:rsidR="007B52DA" w:rsidRPr="007B52DA">
        <w:t xml:space="preserve"> </w:t>
      </w:r>
      <w:r>
        <w:t>APR</w:t>
      </w:r>
      <w:r w:rsidR="007B52DA" w:rsidRPr="007B52DA">
        <w:t xml:space="preserve">, was also prominent in plasma samples from mouse and monkey studies. The </w:t>
      </w:r>
      <w:r>
        <w:t>APR</w:t>
      </w:r>
      <w:r w:rsidR="007B52DA" w:rsidRPr="007B52DA">
        <w:t xml:space="preserve"> metabolites identified in humans were also found in one or more animal species. </w:t>
      </w:r>
      <w:r w:rsidR="007B52DA" w:rsidRPr="00FA226D">
        <w:rPr>
          <w:i/>
        </w:rPr>
        <w:t>In vitro</w:t>
      </w:r>
      <w:r w:rsidR="007B52DA" w:rsidRPr="007B52DA">
        <w:t xml:space="preserve"> studies with human CYP enzymes showed that </w:t>
      </w:r>
      <w:proofErr w:type="spellStart"/>
      <w:r w:rsidR="007B52DA" w:rsidRPr="007B52DA">
        <w:t>demethyl</w:t>
      </w:r>
      <w:proofErr w:type="spellEnd"/>
      <w:r w:rsidR="007B52DA" w:rsidRPr="007B52DA">
        <w:t xml:space="preserve"> </w:t>
      </w:r>
      <w:r>
        <w:t>APR</w:t>
      </w:r>
      <w:r w:rsidR="007B52DA" w:rsidRPr="007B52DA">
        <w:t xml:space="preserve"> was only produced by CYP3A4. That enzyme was also the most active generator of </w:t>
      </w:r>
      <w:proofErr w:type="spellStart"/>
      <w:r w:rsidR="007B52DA" w:rsidRPr="007B52DA">
        <w:t>deethyl</w:t>
      </w:r>
      <w:proofErr w:type="spellEnd"/>
      <w:r w:rsidR="007B52DA" w:rsidRPr="007B52DA">
        <w:t xml:space="preserve"> </w:t>
      </w:r>
      <w:r>
        <w:t>APR</w:t>
      </w:r>
      <w:r w:rsidR="007B52DA" w:rsidRPr="007B52DA">
        <w:t xml:space="preserve">, although CYP2A6 and (to lesser extents) CYP1A2 and CYP2C8 could also contribute to </w:t>
      </w:r>
      <w:proofErr w:type="spellStart"/>
      <w:r w:rsidR="007B52DA" w:rsidRPr="007B52DA">
        <w:t>deethyl</w:t>
      </w:r>
      <w:proofErr w:type="spellEnd"/>
      <w:r w:rsidR="007B52DA" w:rsidRPr="007B52DA">
        <w:t xml:space="preserve"> </w:t>
      </w:r>
      <w:r>
        <w:t>APR</w:t>
      </w:r>
      <w:r w:rsidR="007B52DA" w:rsidRPr="007B52DA">
        <w:t xml:space="preserve"> production. Given that CYP1A2 and CYP2A6 activities in human liver </w:t>
      </w:r>
      <w:proofErr w:type="spellStart"/>
      <w:r w:rsidR="007B52DA" w:rsidRPr="007B52DA">
        <w:t>microsomes</w:t>
      </w:r>
      <w:proofErr w:type="spellEnd"/>
      <w:r w:rsidR="007B52DA" w:rsidRPr="007B52DA">
        <w:t xml:space="preserve"> are about 1% and 26%, respectively, of CYP3A4 activity, it is likely that, under </w:t>
      </w:r>
      <w:r w:rsidR="007B52DA" w:rsidRPr="00FA226D">
        <w:rPr>
          <w:i/>
        </w:rPr>
        <w:t>in vivo</w:t>
      </w:r>
      <w:r w:rsidR="007B52DA" w:rsidRPr="007B52DA">
        <w:t xml:space="preserve"> conditions, both </w:t>
      </w:r>
      <w:proofErr w:type="spellStart"/>
      <w:r w:rsidR="007B52DA" w:rsidRPr="007B52DA">
        <w:t>demethyl</w:t>
      </w:r>
      <w:proofErr w:type="spellEnd"/>
      <w:r w:rsidR="007B52DA" w:rsidRPr="007B52DA">
        <w:t xml:space="preserve"> and </w:t>
      </w:r>
      <w:proofErr w:type="spellStart"/>
      <w:r w:rsidR="007B52DA" w:rsidRPr="007B52DA">
        <w:t>deethyl</w:t>
      </w:r>
      <w:proofErr w:type="spellEnd"/>
      <w:r w:rsidR="007B52DA" w:rsidRPr="007B52DA">
        <w:t xml:space="preserve"> </w:t>
      </w:r>
      <w:r>
        <w:t>APR</w:t>
      </w:r>
      <w:r w:rsidR="007B52DA" w:rsidRPr="007B52DA">
        <w:t xml:space="preserve"> are predominantly produced by CYP3A4 activity.</w:t>
      </w:r>
    </w:p>
    <w:p w:rsidR="007B52DA" w:rsidRPr="007B52DA" w:rsidRDefault="00EE6D80" w:rsidP="00791F01">
      <w:pPr>
        <w:pStyle w:val="ListBullet"/>
      </w:pPr>
      <w:r>
        <w:t>APR</w:t>
      </w:r>
      <w:r w:rsidR="007B52DA" w:rsidRPr="007B52DA">
        <w:t xml:space="preserve"> was not an inhibitor of various CYP isoforms and showed only weak induction of CYP3A4 activity at high concentrations. It was concluded that </w:t>
      </w:r>
      <w:r>
        <w:t>APR</w:t>
      </w:r>
      <w:r w:rsidR="007B52DA" w:rsidRPr="007B52DA">
        <w:t xml:space="preserve"> is unlikely to produce drug interactions via CYP inhibition or induction.</w:t>
      </w:r>
    </w:p>
    <w:p w:rsidR="007B52DA" w:rsidRPr="007B52DA" w:rsidRDefault="00EE6D80" w:rsidP="00791F01">
      <w:pPr>
        <w:pStyle w:val="ListBullet"/>
      </w:pPr>
      <w:r>
        <w:t>APR</w:t>
      </w:r>
      <w:r w:rsidR="007B52DA" w:rsidRPr="007B52DA">
        <w:t xml:space="preserve"> is a low affinity P-</w:t>
      </w:r>
      <w:proofErr w:type="spellStart"/>
      <w:r w:rsidR="007B52DA" w:rsidRPr="007B52DA">
        <w:t>gp</w:t>
      </w:r>
      <w:proofErr w:type="spellEnd"/>
      <w:r w:rsidR="007B52DA" w:rsidRPr="007B52DA">
        <w:t xml:space="preserve"> </w:t>
      </w:r>
      <w:r w:rsidR="007B52DA" w:rsidRPr="00791F01">
        <w:t>substrate</w:t>
      </w:r>
      <w:r w:rsidR="007B52DA" w:rsidRPr="007B52DA">
        <w:t xml:space="preserve"> and a weak P-</w:t>
      </w:r>
      <w:proofErr w:type="spellStart"/>
      <w:r w:rsidR="007B52DA" w:rsidRPr="007B52DA">
        <w:t>gp</w:t>
      </w:r>
      <w:proofErr w:type="spellEnd"/>
      <w:r w:rsidR="007B52DA" w:rsidRPr="007B52DA">
        <w:t xml:space="preserve"> inhibitor. The results suggested that </w:t>
      </w:r>
      <w:r>
        <w:t>APR</w:t>
      </w:r>
      <w:r w:rsidR="007B52DA" w:rsidRPr="007B52DA">
        <w:t xml:space="preserve"> has low potential to affect the tissue efflux of other P-</w:t>
      </w:r>
      <w:proofErr w:type="spellStart"/>
      <w:r w:rsidR="007B52DA" w:rsidRPr="007B52DA">
        <w:t>gp</w:t>
      </w:r>
      <w:proofErr w:type="spellEnd"/>
      <w:r w:rsidR="007B52DA" w:rsidRPr="007B52DA">
        <w:t xml:space="preserve"> substrates. </w:t>
      </w:r>
      <w:r>
        <w:t>APR</w:t>
      </w:r>
      <w:r w:rsidR="007B52DA" w:rsidRPr="007B52DA">
        <w:t xml:space="preserve"> was not a substrate of the efflux transporter BCRP or of the uptake transporters OAT1, OAT3, OATP1B1, OATP1B3, and OCT2.</w:t>
      </w:r>
    </w:p>
    <w:p w:rsidR="007B52DA" w:rsidRPr="007B52DA" w:rsidRDefault="007B52DA" w:rsidP="00791F01">
      <w:pPr>
        <w:pStyle w:val="ListBullet"/>
      </w:pPr>
      <w:r w:rsidRPr="007B52DA">
        <w:t xml:space="preserve">The feature of the repeat-dose toxicity studies was the difference in response between rodents and monkeys. </w:t>
      </w:r>
      <w:r w:rsidRPr="00791F01">
        <w:t>Both</w:t>
      </w:r>
      <w:r w:rsidRPr="007B52DA">
        <w:t xml:space="preserve"> mice and rats demonstrated sensitivity to an </w:t>
      </w:r>
      <w:r w:rsidR="00EE6D80">
        <w:t>APR</w:t>
      </w:r>
      <w:r w:rsidR="00E65D0F">
        <w:t xml:space="preserve"> </w:t>
      </w:r>
      <w:r w:rsidRPr="007B52DA">
        <w:t xml:space="preserve">induced pro-inflammatory response, whilst monkeys did not. Targets for </w:t>
      </w:r>
      <w:r w:rsidR="00EE6D80">
        <w:t>APR</w:t>
      </w:r>
      <w:r w:rsidR="00E65D0F">
        <w:t xml:space="preserve"> </w:t>
      </w:r>
      <w:r w:rsidRPr="007B52DA">
        <w:t xml:space="preserve">induced inflammation in rodents included vasculature, heart, GI tract, lung, mesentery, and thymus. This interspecific difference in </w:t>
      </w:r>
      <w:r w:rsidRPr="00C53B95">
        <w:rPr>
          <w:i/>
        </w:rPr>
        <w:t>in vivo</w:t>
      </w:r>
      <w:r w:rsidRPr="007B52DA">
        <w:t xml:space="preserve"> response was correlated with the </w:t>
      </w:r>
      <w:r w:rsidRPr="00E65D0F">
        <w:rPr>
          <w:i/>
        </w:rPr>
        <w:t xml:space="preserve">in vitro </w:t>
      </w:r>
      <w:r w:rsidRPr="007B52DA">
        <w:t xml:space="preserve">response of monocytes from these species to activation by LPS in the presence of </w:t>
      </w:r>
      <w:r w:rsidR="00EE6D80">
        <w:t>APR</w:t>
      </w:r>
      <w:r w:rsidRPr="007B52DA">
        <w:t xml:space="preserve">. Whereas </w:t>
      </w:r>
      <w:r w:rsidR="00EE6D80">
        <w:t>APR</w:t>
      </w:r>
      <w:r w:rsidRPr="007B52DA">
        <w:t xml:space="preserve"> showed little effect or modest inhibition of IL-6 (mediator of acute phase response) production by LPS</w:t>
      </w:r>
      <w:r w:rsidR="00E65D0F">
        <w:t xml:space="preserve"> </w:t>
      </w:r>
      <w:r w:rsidRPr="007B52DA">
        <w:t xml:space="preserve">stimulated human or monkey blood, </w:t>
      </w:r>
      <w:r w:rsidR="00EE6D80">
        <w:t>APR</w:t>
      </w:r>
      <w:r w:rsidRPr="007B52DA">
        <w:t xml:space="preserve"> elevated </w:t>
      </w:r>
      <w:r w:rsidRPr="007B52DA">
        <w:lastRenderedPageBreak/>
        <w:t xml:space="preserve">IL-6 production in mouse and rat blood. Hence, rodents may be a poor model for </w:t>
      </w:r>
      <w:r w:rsidR="00EE6D80">
        <w:t>APR</w:t>
      </w:r>
      <w:r w:rsidR="00E65D0F">
        <w:t xml:space="preserve"> </w:t>
      </w:r>
      <w:r w:rsidRPr="007B52DA">
        <w:t>induced toxicity in humans.</w:t>
      </w:r>
    </w:p>
    <w:p w:rsidR="007B52DA" w:rsidRPr="007B52DA" w:rsidRDefault="00EE6D80" w:rsidP="00791F01">
      <w:pPr>
        <w:pStyle w:val="ListBullet"/>
      </w:pPr>
      <w:r>
        <w:t>APR</w:t>
      </w:r>
      <w:r w:rsidR="007B52DA" w:rsidRPr="007B52DA">
        <w:t xml:space="preserve"> showed no evidence for induction of mutations in standard bacterial reverse mutation assays. </w:t>
      </w:r>
      <w:r>
        <w:t>APR</w:t>
      </w:r>
      <w:r w:rsidR="007B52DA" w:rsidRPr="007B52DA">
        <w:t xml:space="preserve"> also showed no </w:t>
      </w:r>
      <w:r w:rsidR="007B52DA" w:rsidRPr="00791F01">
        <w:t>evidence</w:t>
      </w:r>
      <w:r w:rsidR="007B52DA" w:rsidRPr="007B52DA">
        <w:t xml:space="preserve"> for </w:t>
      </w:r>
      <w:proofErr w:type="spellStart"/>
      <w:r w:rsidR="007B52DA" w:rsidRPr="007B52DA">
        <w:t>clastogenicity</w:t>
      </w:r>
      <w:proofErr w:type="spellEnd"/>
      <w:r w:rsidR="007B52DA" w:rsidRPr="007B52DA">
        <w:t xml:space="preserve"> in both </w:t>
      </w:r>
      <w:r w:rsidR="007B52DA" w:rsidRPr="00E65D0F">
        <w:rPr>
          <w:i/>
        </w:rPr>
        <w:t>in vitro</w:t>
      </w:r>
      <w:r w:rsidR="007B52DA" w:rsidRPr="007B52DA">
        <w:t xml:space="preserve"> (human peripheral blood lymphocytes) and </w:t>
      </w:r>
      <w:r w:rsidR="007B52DA" w:rsidRPr="00E65D0F">
        <w:rPr>
          <w:i/>
        </w:rPr>
        <w:t>in vivo</w:t>
      </w:r>
      <w:r w:rsidR="007B52DA" w:rsidRPr="007B52DA">
        <w:t xml:space="preserve"> (mouse bone marrow micronucleus) assays. Consistent with its lack of </w:t>
      </w:r>
      <w:proofErr w:type="spellStart"/>
      <w:r w:rsidR="007B52DA" w:rsidRPr="007B52DA">
        <w:t>genotoxic</w:t>
      </w:r>
      <w:proofErr w:type="spellEnd"/>
      <w:r w:rsidR="007B52DA" w:rsidRPr="007B52DA">
        <w:t xml:space="preserve"> activity, </w:t>
      </w:r>
      <w:r>
        <w:t>APR</w:t>
      </w:r>
      <w:r w:rsidR="007B52DA" w:rsidRPr="007B52DA">
        <w:t xml:space="preserve"> showed no evidence for induction of tumours in mice or rats of both sexes.</w:t>
      </w:r>
    </w:p>
    <w:p w:rsidR="007B52DA" w:rsidRPr="007B52DA" w:rsidRDefault="007B52DA" w:rsidP="008D3180">
      <w:pPr>
        <w:pStyle w:val="ListBullet"/>
      </w:pPr>
      <w:r w:rsidRPr="007B52DA">
        <w:t xml:space="preserve">Following oral dosing, </w:t>
      </w:r>
      <w:r w:rsidR="00EE6D80">
        <w:t>APR</w:t>
      </w:r>
      <w:r w:rsidRPr="007B52DA">
        <w:t xml:space="preserve"> was shown to cross the placenta in mice and monkeys and was found in mouse milk. </w:t>
      </w:r>
      <w:proofErr w:type="spellStart"/>
      <w:r w:rsidRPr="007B52DA">
        <w:t>Embryof</w:t>
      </w:r>
      <w:r w:rsidR="00E65D0F">
        <w:t>o</w:t>
      </w:r>
      <w:r w:rsidRPr="007B52DA">
        <w:t>etal</w:t>
      </w:r>
      <w:proofErr w:type="spellEnd"/>
      <w:r w:rsidRPr="007B52DA">
        <w:t xml:space="preserve"> </w:t>
      </w:r>
      <w:r w:rsidRPr="00791F01">
        <w:t>development</w:t>
      </w:r>
      <w:r w:rsidRPr="007B52DA">
        <w:t xml:space="preserve"> studies with </w:t>
      </w:r>
      <w:r w:rsidR="00EE6D80">
        <w:t>APR</w:t>
      </w:r>
      <w:r w:rsidRPr="007B52DA">
        <w:t xml:space="preserve"> showed no malformat</w:t>
      </w:r>
      <w:r w:rsidR="00E65D0F">
        <w:t xml:space="preserve">ions in either mice (up to 3.9 </w:t>
      </w:r>
      <w:proofErr w:type="gramStart"/>
      <w:r w:rsidRPr="007B52DA">
        <w:t>times</w:t>
      </w:r>
      <w:proofErr w:type="gramEnd"/>
      <w:r w:rsidRPr="007B52DA">
        <w:t xml:space="preserve"> clinical exposure; AUC) or monkeys (up to 8.3</w:t>
      </w:r>
      <w:r w:rsidR="00E65D0F">
        <w:t xml:space="preserve"> </w:t>
      </w:r>
      <w:r w:rsidRPr="007B52DA">
        <w:t>times clinical exposure; AUC). However, dosing of female mice at relative exposures of around 2 and above produced increases in the incidence of early resorptions and decreases in the mean number of live f</w:t>
      </w:r>
      <w:r w:rsidR="00047BA4">
        <w:t>o</w:t>
      </w:r>
      <w:r w:rsidRPr="007B52DA">
        <w:t xml:space="preserve">etuses per litter, and dosing of </w:t>
      </w:r>
      <w:proofErr w:type="spellStart"/>
      <w:r w:rsidRPr="007B52DA">
        <w:t>cynomolgus</w:t>
      </w:r>
      <w:proofErr w:type="spellEnd"/>
      <w:r w:rsidRPr="007B52DA">
        <w:t xml:space="preserve"> monkeys at relative exposures of around 2 and above also produced increases in </w:t>
      </w:r>
      <w:proofErr w:type="spellStart"/>
      <w:r w:rsidRPr="007B52DA">
        <w:t>embryofetal</w:t>
      </w:r>
      <w:proofErr w:type="spellEnd"/>
      <w:r w:rsidRPr="007B52DA">
        <w:t xml:space="preserve"> loss. There were no effects of </w:t>
      </w:r>
      <w:r w:rsidR="00EE6D80">
        <w:t>APR</w:t>
      </w:r>
      <w:r w:rsidRPr="007B52DA">
        <w:t xml:space="preserve"> in mice on mean numbers of corpora </w:t>
      </w:r>
      <w:proofErr w:type="spellStart"/>
      <w:r w:rsidRPr="007B52DA">
        <w:t>lutea</w:t>
      </w:r>
      <w:proofErr w:type="spellEnd"/>
      <w:r w:rsidRPr="007B52DA">
        <w:t>, implantations, or pre-</w:t>
      </w:r>
      <w:r w:rsidRPr="008D3180">
        <w:t>implantation</w:t>
      </w:r>
      <w:r w:rsidRPr="007B52DA">
        <w:t xml:space="preserve"> loss. Dystocia, reduced viability, and reduced birth weights were observed in a mouse pr</w:t>
      </w:r>
      <w:r w:rsidR="00047BA4">
        <w:t xml:space="preserve">e- and postnatal study at ≥ 4.0 </w:t>
      </w:r>
      <w:r w:rsidRPr="007B52DA">
        <w:t>fold clinical exposure (based on AUC), with a NOEL for maternal toxicity and F1 generation established at 1.3</w:t>
      </w:r>
      <w:r w:rsidR="00047BA4">
        <w:t xml:space="preserve"> </w:t>
      </w:r>
      <w:r w:rsidRPr="007B52DA">
        <w:t>fold clinical AUC.</w:t>
      </w:r>
    </w:p>
    <w:p w:rsidR="007B52DA" w:rsidRPr="007B52DA" w:rsidRDefault="007B52DA" w:rsidP="008D3180">
      <w:pPr>
        <w:pStyle w:val="ListBullet"/>
      </w:pPr>
      <w:r w:rsidRPr="00047BA4">
        <w:rPr>
          <w:i/>
        </w:rPr>
        <w:t>In vitro</w:t>
      </w:r>
      <w:r w:rsidRPr="007B52DA">
        <w:t xml:space="preserve"> studies using the mouse 3T3 cell line demonstrated no increase in ultraviolet radiation</w:t>
      </w:r>
      <w:r w:rsidR="00047BA4">
        <w:t xml:space="preserve"> </w:t>
      </w:r>
      <w:r w:rsidRPr="007B52DA">
        <w:t xml:space="preserve">induced </w:t>
      </w:r>
      <w:r w:rsidRPr="008D3180">
        <w:t>cytotoxicity</w:t>
      </w:r>
      <w:r w:rsidRPr="007B52DA">
        <w:t xml:space="preserve"> following incubation with </w:t>
      </w:r>
      <w:r w:rsidR="00EE6D80">
        <w:t>APR</w:t>
      </w:r>
      <w:r w:rsidRPr="007B52DA">
        <w:t>, suggesting that the test article is not a photosensitiser.</w:t>
      </w:r>
    </w:p>
    <w:p w:rsidR="00D121CF" w:rsidRDefault="00D121CF" w:rsidP="008D3180">
      <w:pPr>
        <w:pStyle w:val="Heading4"/>
      </w:pPr>
      <w:r>
        <w:t xml:space="preserve">Conclusions and </w:t>
      </w:r>
      <w:r w:rsidRPr="008D3180">
        <w:t>recommendation</w:t>
      </w:r>
    </w:p>
    <w:p w:rsidR="007F063C" w:rsidRPr="007F063C" w:rsidRDefault="007F063C" w:rsidP="008D3180">
      <w:pPr>
        <w:pStyle w:val="ListBullet"/>
      </w:pPr>
      <w:r w:rsidRPr="007F063C">
        <w:t xml:space="preserve">The </w:t>
      </w:r>
      <w:r w:rsidRPr="008D3180">
        <w:t>nonclinical</w:t>
      </w:r>
      <w:r w:rsidRPr="007F063C">
        <w:t xml:space="preserve"> studies presented were comprehensive and had no major deficiencies.</w:t>
      </w:r>
    </w:p>
    <w:p w:rsidR="007F063C" w:rsidRPr="007F063C" w:rsidRDefault="007F063C" w:rsidP="008D3180">
      <w:pPr>
        <w:pStyle w:val="ListBullet"/>
      </w:pPr>
      <w:r w:rsidRPr="007F063C">
        <w:t xml:space="preserve">The results of the primary pharmacology studies support the use of </w:t>
      </w:r>
      <w:r w:rsidR="00EE6D80">
        <w:t>APR</w:t>
      </w:r>
      <w:r w:rsidRPr="007F063C">
        <w:t xml:space="preserve"> for the treatment of </w:t>
      </w:r>
      <w:r w:rsidRPr="008D3180">
        <w:t>moderate</w:t>
      </w:r>
      <w:r w:rsidRPr="007F063C">
        <w:t xml:space="preserve"> to severe plaque </w:t>
      </w:r>
      <w:r w:rsidR="00204432">
        <w:t>PSOR</w:t>
      </w:r>
      <w:r w:rsidRPr="007F063C">
        <w:t xml:space="preserve">. </w:t>
      </w:r>
      <w:r w:rsidRPr="00047BA4">
        <w:rPr>
          <w:i/>
        </w:rPr>
        <w:t xml:space="preserve">In vivo </w:t>
      </w:r>
      <w:r w:rsidRPr="007F063C">
        <w:t xml:space="preserve">studies in support of its use for </w:t>
      </w:r>
      <w:proofErr w:type="spellStart"/>
      <w:r w:rsidR="00852871">
        <w:t>PsA</w:t>
      </w:r>
      <w:proofErr w:type="spellEnd"/>
      <w:r w:rsidRPr="007F063C">
        <w:t xml:space="preserve"> were equivocal.</w:t>
      </w:r>
    </w:p>
    <w:p w:rsidR="007F063C" w:rsidRPr="007F063C" w:rsidRDefault="007F063C" w:rsidP="008D3180">
      <w:pPr>
        <w:pStyle w:val="ListBullet"/>
      </w:pPr>
      <w:r w:rsidRPr="007F063C">
        <w:t xml:space="preserve">Secondary pharmacodynamics and safety pharmacology studies did not identify any unexpected </w:t>
      </w:r>
      <w:r w:rsidRPr="008D3180">
        <w:t>clinical</w:t>
      </w:r>
      <w:r w:rsidRPr="007F063C">
        <w:t xml:space="preserve"> hazards.</w:t>
      </w:r>
    </w:p>
    <w:p w:rsidR="007F063C" w:rsidRPr="007F063C" w:rsidRDefault="007F063C" w:rsidP="008D3180">
      <w:pPr>
        <w:pStyle w:val="ListBullet"/>
      </w:pPr>
      <w:r w:rsidRPr="007F063C">
        <w:t xml:space="preserve">CYP3A4 is the major enzyme in the metabolism of </w:t>
      </w:r>
      <w:r w:rsidR="00EE6D80">
        <w:t>APR</w:t>
      </w:r>
      <w:r w:rsidRPr="007F063C">
        <w:t xml:space="preserve">; thus plasma </w:t>
      </w:r>
      <w:r w:rsidR="00EE6D80">
        <w:t>APR</w:t>
      </w:r>
      <w:r w:rsidRPr="007F063C">
        <w:t xml:space="preserve"> levels could be affected by </w:t>
      </w:r>
      <w:r w:rsidRPr="008D3180">
        <w:t>drugs</w:t>
      </w:r>
      <w:r w:rsidRPr="007F063C">
        <w:t xml:space="preserve"> that inhibit or induce CYP3A4. </w:t>
      </w:r>
      <w:r w:rsidR="00EE6D80">
        <w:t>APR</w:t>
      </w:r>
      <w:r w:rsidRPr="007F063C">
        <w:t xml:space="preserve"> is a substrate of P-</w:t>
      </w:r>
      <w:proofErr w:type="spellStart"/>
      <w:r w:rsidRPr="007F063C">
        <w:t>gp</w:t>
      </w:r>
      <w:proofErr w:type="spellEnd"/>
      <w:r w:rsidRPr="007F063C">
        <w:t>, and P-</w:t>
      </w:r>
      <w:proofErr w:type="spellStart"/>
      <w:r w:rsidRPr="007F063C">
        <w:t>gp</w:t>
      </w:r>
      <w:proofErr w:type="spellEnd"/>
      <w:r w:rsidRPr="007F063C">
        <w:t xml:space="preserve"> inhibitors could increase plasma </w:t>
      </w:r>
      <w:r w:rsidR="00EE6D80">
        <w:t>APR</w:t>
      </w:r>
      <w:r w:rsidRPr="007F063C">
        <w:t xml:space="preserve"> levels.</w:t>
      </w:r>
    </w:p>
    <w:p w:rsidR="007F063C" w:rsidRPr="007F063C" w:rsidRDefault="007F063C" w:rsidP="008D3180">
      <w:pPr>
        <w:pStyle w:val="ListBullet"/>
      </w:pPr>
      <w:r w:rsidRPr="007F063C">
        <w:t>In rodent repeat</w:t>
      </w:r>
      <w:r w:rsidR="00047BA4">
        <w:t xml:space="preserve"> </w:t>
      </w:r>
      <w:r w:rsidRPr="007F063C">
        <w:t xml:space="preserve">dose studies, </w:t>
      </w:r>
      <w:r w:rsidR="00EE6D80">
        <w:t>APR</w:t>
      </w:r>
      <w:r w:rsidRPr="007F063C">
        <w:t xml:space="preserve"> induced inflammation in tissues such as vasculature, heart, GI </w:t>
      </w:r>
      <w:r w:rsidRPr="008D3180">
        <w:t>tract</w:t>
      </w:r>
      <w:r w:rsidRPr="007F063C">
        <w:t>, lung, mesentery, and thymus. This inflammatory response was not induced in monkeys. PDE4</w:t>
      </w:r>
      <w:r w:rsidR="00047BA4">
        <w:t xml:space="preserve"> </w:t>
      </w:r>
      <w:r w:rsidRPr="008D3180">
        <w:t>inhibitors</w:t>
      </w:r>
      <w:r w:rsidRPr="007F063C">
        <w:t xml:space="preserve">, including </w:t>
      </w:r>
      <w:r w:rsidR="00EE6D80">
        <w:t>APR</w:t>
      </w:r>
      <w:r w:rsidRPr="007F063C">
        <w:t xml:space="preserve">, have been demonstrated to induce inflammatory perivascular changes on histopathology consistent with vasculitis in animal studies. The </w:t>
      </w:r>
      <w:r w:rsidR="00047BA4">
        <w:t>s</w:t>
      </w:r>
      <w:r w:rsidRPr="007F063C">
        <w:t xml:space="preserve">ponsor’s Clinical Expert Report notes that no patients in the Phase </w:t>
      </w:r>
      <w:r w:rsidR="00047BA4">
        <w:t>III</w:t>
      </w:r>
      <w:r w:rsidRPr="007F063C">
        <w:t xml:space="preserve"> studies (</w:t>
      </w:r>
      <w:proofErr w:type="spellStart"/>
      <w:r w:rsidRPr="007F063C">
        <w:t>PsA</w:t>
      </w:r>
      <w:proofErr w:type="spellEnd"/>
      <w:r w:rsidRPr="007F063C">
        <w:t xml:space="preserve"> or PSOR) were identified as experiencing vasculitis. </w:t>
      </w:r>
    </w:p>
    <w:p w:rsidR="007F063C" w:rsidRPr="007F063C" w:rsidRDefault="007F063C" w:rsidP="008D3180">
      <w:pPr>
        <w:pStyle w:val="ListBullet"/>
      </w:pPr>
      <w:r w:rsidRPr="007F063C">
        <w:t xml:space="preserve">The evidence presented suggested </w:t>
      </w:r>
      <w:r w:rsidRPr="008D3180">
        <w:t>that</w:t>
      </w:r>
      <w:r w:rsidRPr="007F063C">
        <w:t xml:space="preserve"> </w:t>
      </w:r>
      <w:r w:rsidR="00EE6D80">
        <w:t>APR</w:t>
      </w:r>
      <w:r w:rsidRPr="007F063C">
        <w:t xml:space="preserve"> does not pose a </w:t>
      </w:r>
      <w:proofErr w:type="spellStart"/>
      <w:r w:rsidRPr="007F063C">
        <w:t>genotoxic</w:t>
      </w:r>
      <w:proofErr w:type="spellEnd"/>
      <w:r w:rsidRPr="007F063C">
        <w:t xml:space="preserve"> or carcinogenic risk.</w:t>
      </w:r>
    </w:p>
    <w:p w:rsidR="007F063C" w:rsidRPr="007F063C" w:rsidRDefault="007F063C" w:rsidP="008D3180">
      <w:pPr>
        <w:pStyle w:val="ListBullet"/>
      </w:pPr>
      <w:r w:rsidRPr="007F063C">
        <w:t xml:space="preserve">While no increases in malformations were noted, it is recommended that </w:t>
      </w:r>
      <w:r w:rsidR="00EE6D80">
        <w:t>APR</w:t>
      </w:r>
      <w:r w:rsidRPr="007F063C">
        <w:t xml:space="preserve"> be contraindicated in pregn</w:t>
      </w:r>
      <w:r w:rsidR="00343CBD">
        <w:t xml:space="preserve">ancy (similar to Canada and </w:t>
      </w:r>
      <w:r w:rsidRPr="007F063C">
        <w:t>E</w:t>
      </w:r>
      <w:r w:rsidR="00152F95">
        <w:t>U</w:t>
      </w:r>
      <w:r w:rsidRPr="007F063C">
        <w:t xml:space="preserve">) based on the </w:t>
      </w:r>
      <w:proofErr w:type="spellStart"/>
      <w:r w:rsidRPr="007F063C">
        <w:t>embryolethal</w:t>
      </w:r>
      <w:proofErr w:type="spellEnd"/>
      <w:r w:rsidRPr="007F063C">
        <w:t xml:space="preserve"> </w:t>
      </w:r>
      <w:proofErr w:type="gramStart"/>
      <w:r w:rsidRPr="007F063C">
        <w:t>effects</w:t>
      </w:r>
      <w:proofErr w:type="gramEnd"/>
      <w:r w:rsidRPr="007F063C">
        <w:t xml:space="preserve"> obse</w:t>
      </w:r>
      <w:r w:rsidR="00615E4F">
        <w:t xml:space="preserve">rved in two species at only 2 </w:t>
      </w:r>
      <w:r w:rsidRPr="007F063C">
        <w:t>fold clinical exposure (based on AUC). An Australian Pregnancy</w:t>
      </w:r>
      <w:r w:rsidR="008D3180">
        <w:t xml:space="preserve"> Category of B3 is recommended.</w:t>
      </w:r>
    </w:p>
    <w:p w:rsidR="007F063C" w:rsidRPr="007F063C" w:rsidRDefault="007F063C" w:rsidP="008D3180">
      <w:pPr>
        <w:pStyle w:val="ListBullet"/>
      </w:pPr>
      <w:r w:rsidRPr="007F063C">
        <w:t xml:space="preserve">It is recommended that </w:t>
      </w:r>
      <w:r w:rsidR="00EE6D80">
        <w:t>APR</w:t>
      </w:r>
      <w:r w:rsidRPr="007F063C">
        <w:t xml:space="preserve"> also be contraindicated in lactation (similar to Canada and </w:t>
      </w:r>
      <w:r w:rsidR="00615E4F">
        <w:t>EU</w:t>
      </w:r>
      <w:r w:rsidRPr="007F063C">
        <w:t xml:space="preserve">) based on the detection of </w:t>
      </w:r>
      <w:r w:rsidR="00EE6D80" w:rsidRPr="008D3180">
        <w:t>APR</w:t>
      </w:r>
      <w:r w:rsidRPr="007F063C">
        <w:t xml:space="preserve"> in the milk of lactating mice </w:t>
      </w:r>
      <w:r w:rsidR="00AC4ECB">
        <w:t xml:space="preserve">and the increased </w:t>
      </w:r>
      <w:r w:rsidR="00AC4ECB">
        <w:lastRenderedPageBreak/>
        <w:t>peri/</w:t>
      </w:r>
      <w:r w:rsidRPr="007F063C">
        <w:t>postnatal pup mortality and reduced pup body weights observed during the first week of lactation.</w:t>
      </w:r>
    </w:p>
    <w:p w:rsidR="007F063C" w:rsidRPr="007F063C" w:rsidRDefault="007F063C" w:rsidP="008D3180">
      <w:pPr>
        <w:pStyle w:val="ListBullet"/>
      </w:pPr>
      <w:r w:rsidRPr="007F063C">
        <w:t xml:space="preserve">There are no </w:t>
      </w:r>
      <w:r w:rsidRPr="008D3180">
        <w:t>nonclinical</w:t>
      </w:r>
      <w:r w:rsidRPr="007F063C">
        <w:t xml:space="preserve"> objections to the registration of </w:t>
      </w:r>
      <w:r w:rsidR="00EE6D80">
        <w:t>APR</w:t>
      </w:r>
      <w:r w:rsidRPr="007F063C">
        <w:t>.</w:t>
      </w:r>
    </w:p>
    <w:p w:rsidR="008E7846" w:rsidRPr="00254787" w:rsidRDefault="008E7846" w:rsidP="008D3180">
      <w:pPr>
        <w:pStyle w:val="Heading2"/>
      </w:pPr>
      <w:bookmarkStart w:id="59" w:name="_Toc196046462"/>
      <w:bookmarkStart w:id="60" w:name="_Toc247691516"/>
      <w:bookmarkStart w:id="61" w:name="_Toc314842500"/>
      <w:bookmarkStart w:id="62" w:name="_Toc163441353"/>
      <w:bookmarkStart w:id="63" w:name="_Toc163441348"/>
      <w:bookmarkStart w:id="64" w:name="_Toc436140476"/>
      <w:r>
        <w:t xml:space="preserve">IV. </w:t>
      </w:r>
      <w:r w:rsidRPr="008D3180">
        <w:t>Clinical</w:t>
      </w:r>
      <w:bookmarkEnd w:id="59"/>
      <w:r>
        <w:t xml:space="preserve"> </w:t>
      </w:r>
      <w:r w:rsidR="003A7F6C">
        <w:t>f</w:t>
      </w:r>
      <w:r>
        <w:t>indings</w:t>
      </w:r>
      <w:bookmarkEnd w:id="60"/>
      <w:bookmarkEnd w:id="61"/>
      <w:bookmarkEnd w:id="64"/>
    </w:p>
    <w:p w:rsidR="008E7846" w:rsidRDefault="008E7846" w:rsidP="008D3180">
      <w:pPr>
        <w:pStyle w:val="Heading3"/>
      </w:pPr>
      <w:bookmarkStart w:id="65" w:name="_Toc196046463"/>
      <w:bookmarkStart w:id="66" w:name="_Toc247691517"/>
      <w:bookmarkStart w:id="67" w:name="_Toc314842501"/>
      <w:bookmarkStart w:id="68" w:name="_Toc436140477"/>
      <w:r w:rsidRPr="008D3180">
        <w:t>Introduction</w:t>
      </w:r>
      <w:bookmarkEnd w:id="65"/>
      <w:bookmarkEnd w:id="66"/>
      <w:bookmarkEnd w:id="67"/>
      <w:bookmarkEnd w:id="68"/>
    </w:p>
    <w:p w:rsidR="008925CB" w:rsidRPr="008925CB" w:rsidRDefault="008925CB" w:rsidP="008D3180">
      <w:bookmarkStart w:id="69" w:name="_Toc196046464"/>
      <w:bookmarkStart w:id="70" w:name="_Toc247691518"/>
      <w:bookmarkStart w:id="71" w:name="_Toc314842502"/>
      <w:r w:rsidRPr="008925CB">
        <w:t xml:space="preserve">The submission contains 5 clinical efficacy/safety studies for the requested indication of </w:t>
      </w:r>
      <w:proofErr w:type="spellStart"/>
      <w:r w:rsidRPr="008925CB">
        <w:t>PsA.</w:t>
      </w:r>
      <w:proofErr w:type="spellEnd"/>
      <w:r w:rsidRPr="008925CB">
        <w:t xml:space="preserve"> Th</w:t>
      </w:r>
      <w:r w:rsidR="00AF6E44">
        <w:t>is includes a supporting Phase II</w:t>
      </w:r>
      <w:r w:rsidRPr="008925CB">
        <w:t xml:space="preserve"> trial (Study PSA-0</w:t>
      </w:r>
      <w:r w:rsidR="004D0A91">
        <w:t>01), 3 replicate pivotal Phase III</w:t>
      </w:r>
      <w:r w:rsidRPr="008925CB">
        <w:t xml:space="preserve"> controlled trials in subjects with active </w:t>
      </w:r>
      <w:proofErr w:type="spellStart"/>
      <w:r w:rsidRPr="008925CB">
        <w:t>PsA</w:t>
      </w:r>
      <w:proofErr w:type="spellEnd"/>
      <w:r w:rsidRPr="008925CB">
        <w:t xml:space="preserve"> despite conventional and/or biologic </w:t>
      </w:r>
      <w:r w:rsidR="001D2994">
        <w:t xml:space="preserve">disease </w:t>
      </w:r>
      <w:r w:rsidR="001D2994" w:rsidRPr="00D96223">
        <w:t>modifying anti</w:t>
      </w:r>
      <w:r w:rsidR="001D2994">
        <w:t xml:space="preserve"> </w:t>
      </w:r>
      <w:r w:rsidR="001D2994" w:rsidRPr="00D96223">
        <w:t>rhe</w:t>
      </w:r>
      <w:r w:rsidR="001D2994">
        <w:t>umatic drugs (</w:t>
      </w:r>
      <w:r w:rsidRPr="008925CB">
        <w:t>DMARDs</w:t>
      </w:r>
      <w:r w:rsidR="001D2994">
        <w:t>)</w:t>
      </w:r>
      <w:r w:rsidRPr="008925CB">
        <w:t xml:space="preserve"> (Studies PSA-002, PSA-003 and PSA-0</w:t>
      </w:r>
      <w:r w:rsidR="00C24C43">
        <w:t>04), and another pivotal Phase III</w:t>
      </w:r>
      <w:r w:rsidRPr="008925CB">
        <w:t xml:space="preserve"> trial in adult patients with active </w:t>
      </w:r>
      <w:proofErr w:type="spellStart"/>
      <w:r w:rsidRPr="008925CB">
        <w:t>PsA</w:t>
      </w:r>
      <w:proofErr w:type="spellEnd"/>
      <w:r w:rsidRPr="008925CB">
        <w:t xml:space="preserve"> who were DMARD naïve (Study PSA-005). Studies PSA-002, PSA-003 and PSA-004 evaluated </w:t>
      </w:r>
      <w:r w:rsidR="00EE6D80">
        <w:t>APR</w:t>
      </w:r>
      <w:r w:rsidRPr="008925CB">
        <w:t xml:space="preserve"> as a monotherapy or in combination with conventional DMARDs and were designed with similar schema, eligibility criteria, as well as doses and regimens of therapy. Study PSA-005 evaluated </w:t>
      </w:r>
      <w:r w:rsidR="00EE6D80">
        <w:t>APR</w:t>
      </w:r>
      <w:r w:rsidRPr="008925CB">
        <w:t xml:space="preserve"> as monotherapy. The submission included data collected up to 52 weeks for Studies PSA-002, PSA-003 and PSA-004, and up to 24 weeks in Study PSA-005 (although the planned duration of treatment follow-up is 52 weeks in this trial). The studies were designed to evaluate the effect of </w:t>
      </w:r>
      <w:r w:rsidR="00EE6D80">
        <w:t>APR</w:t>
      </w:r>
      <w:r w:rsidRPr="008925CB">
        <w:t xml:space="preserve"> on </w:t>
      </w:r>
      <w:proofErr w:type="spellStart"/>
      <w:r w:rsidRPr="008925CB">
        <w:t>PsA</w:t>
      </w:r>
      <w:proofErr w:type="spellEnd"/>
      <w:r w:rsidRPr="008925CB">
        <w:t xml:space="preserve"> signs and </w:t>
      </w:r>
      <w:proofErr w:type="gramStart"/>
      <w:r w:rsidRPr="008925CB">
        <w:t>symptoms,</w:t>
      </w:r>
      <w:proofErr w:type="gramEnd"/>
      <w:r w:rsidRPr="008925CB">
        <w:t xml:space="preserve"> physical functioning and health related quality of life (QOL</w:t>
      </w:r>
      <w:r w:rsidR="008D3180">
        <w:t>).</w:t>
      </w:r>
    </w:p>
    <w:p w:rsidR="008925CB" w:rsidRPr="008925CB" w:rsidRDefault="008925CB" w:rsidP="008D3180">
      <w:r w:rsidRPr="008925CB">
        <w:t>For the indication of PSOR, the submission contained 6 clinical studies: 2 open</w:t>
      </w:r>
      <w:r w:rsidR="00CB0F56">
        <w:t xml:space="preserve"> label Phase II</w:t>
      </w:r>
      <w:r w:rsidRPr="008925CB">
        <w:t xml:space="preserve"> trials (Studies PSOR-001 and PSOR-004), 2 randomi</w:t>
      </w:r>
      <w:r w:rsidR="00892C1B">
        <w:t>s</w:t>
      </w:r>
      <w:r w:rsidRPr="008925CB">
        <w:t>ed Phase 2 trials (Studies PSOR-</w:t>
      </w:r>
      <w:proofErr w:type="gramStart"/>
      <w:r w:rsidRPr="008925CB">
        <w:t>003 and</w:t>
      </w:r>
      <w:r w:rsidR="00892C1B">
        <w:t xml:space="preserve"> PSOR-005) and 2 pivotal Phase III</w:t>
      </w:r>
      <w:r w:rsidRPr="008925CB">
        <w:t xml:space="preserve"> trials (Studies PSOR-008 and PSOR-009).</w:t>
      </w:r>
      <w:proofErr w:type="gramEnd"/>
      <w:r w:rsidRPr="008925CB">
        <w:t xml:space="preserve"> In this s</w:t>
      </w:r>
      <w:r w:rsidR="001F1DCE">
        <w:t>ubmission, the 2 pivotal Phase III</w:t>
      </w:r>
      <w:r w:rsidRPr="008925CB">
        <w:t xml:space="preserve"> studies collected data up to 52 weeks and the primary efficacy endpoint for evaluating improvement in PSOR was the proportion of subjects achieving </w:t>
      </w:r>
      <w:r w:rsidR="003E5C3A" w:rsidRPr="00D96EF6">
        <w:t xml:space="preserve">Psoriasis Area Severity Index </w:t>
      </w:r>
      <w:r w:rsidR="003E5C3A">
        <w:t>(</w:t>
      </w:r>
      <w:r w:rsidRPr="008925CB">
        <w:t>PASI</w:t>
      </w:r>
      <w:r w:rsidR="003E5C3A">
        <w:t>)</w:t>
      </w:r>
      <w:r w:rsidRPr="008925CB">
        <w:t xml:space="preserve"> 50 or PASI 70 response at week 16. In addition, subjects were secondarily evaluated for dermatology related QOL outcomes.</w:t>
      </w:r>
    </w:p>
    <w:p w:rsidR="008925CB" w:rsidRPr="008925CB" w:rsidRDefault="008925CB" w:rsidP="008D3180">
      <w:r w:rsidRPr="008925CB">
        <w:t xml:space="preserve">In support of the submission, the pharmacology of </w:t>
      </w:r>
      <w:r w:rsidR="00EE6D80">
        <w:t>APR</w:t>
      </w:r>
      <w:r w:rsidRPr="008925CB">
        <w:t xml:space="preserve"> has been characterised in 16 clinical pharmacology st</w:t>
      </w:r>
      <w:r w:rsidR="00852871">
        <w:t>udies, with pharmacokinetic</w:t>
      </w:r>
      <w:r w:rsidRPr="008925CB">
        <w:t xml:space="preserve"> features additionally examined in the Phase </w:t>
      </w:r>
      <w:r w:rsidR="00F83B07">
        <w:t>III</w:t>
      </w:r>
      <w:r w:rsidRPr="008925CB">
        <w:t xml:space="preserve"> clinical tria</w:t>
      </w:r>
      <w:r w:rsidR="008D3180">
        <w:t xml:space="preserve">l program in both </w:t>
      </w:r>
      <w:proofErr w:type="spellStart"/>
      <w:r w:rsidR="008D3180">
        <w:t>PsA</w:t>
      </w:r>
      <w:proofErr w:type="spellEnd"/>
      <w:r w:rsidR="008D3180">
        <w:t xml:space="preserve"> and PSOR.</w:t>
      </w:r>
    </w:p>
    <w:p w:rsidR="00605AD4" w:rsidRPr="00605AD4" w:rsidRDefault="00605AD4" w:rsidP="008D3180">
      <w:pPr>
        <w:pStyle w:val="Heading4"/>
      </w:pPr>
      <w:r w:rsidRPr="00605AD4">
        <w:t xml:space="preserve">Clinical </w:t>
      </w:r>
      <w:r w:rsidR="003D13F1" w:rsidRPr="008D3180">
        <w:t>r</w:t>
      </w:r>
      <w:r w:rsidRPr="008D3180">
        <w:t>ationale</w:t>
      </w:r>
    </w:p>
    <w:p w:rsidR="00D96EF6" w:rsidRDefault="00D96EF6" w:rsidP="008D3180">
      <w:proofErr w:type="spellStart"/>
      <w:r>
        <w:t>PsA</w:t>
      </w:r>
      <w:proofErr w:type="spellEnd"/>
      <w:r>
        <w:t xml:space="preserve"> is a chronic inflammatory arthritis associated with skin </w:t>
      </w:r>
      <w:r w:rsidR="00204432">
        <w:t>PSOR</w:t>
      </w:r>
      <w:r>
        <w:t xml:space="preserve"> which typically onsets between the ages of 30 and 55 years, and affects men and women equally. Skin PSOR has prevalence in the general population of 2-3%, and it is estimated that approximately 30% of patients with ski</w:t>
      </w:r>
      <w:r w:rsidR="009341CB">
        <w:t xml:space="preserve">n PSOR develop </w:t>
      </w:r>
      <w:proofErr w:type="spellStart"/>
      <w:r w:rsidR="009341CB">
        <w:t>PsA</w:t>
      </w:r>
      <w:r>
        <w:t>.</w:t>
      </w:r>
      <w:proofErr w:type="spellEnd"/>
      <w:r w:rsidR="009341CB">
        <w:rPr>
          <w:rStyle w:val="FootnoteReference"/>
        </w:rPr>
        <w:footnoteReference w:id="17"/>
      </w:r>
      <w:r>
        <w:t xml:space="preserve"> </w:t>
      </w:r>
      <w:proofErr w:type="spellStart"/>
      <w:r>
        <w:t>PsA</w:t>
      </w:r>
      <w:proofErr w:type="spellEnd"/>
      <w:r>
        <w:t xml:space="preserve"> is a multifaceted and heterogeneous disease, which affects the joints, soft tissues (</w:t>
      </w:r>
      <w:proofErr w:type="spellStart"/>
      <w:r>
        <w:t>enthesitis</w:t>
      </w:r>
      <w:proofErr w:type="spellEnd"/>
      <w:r>
        <w:t xml:space="preserve"> and </w:t>
      </w:r>
      <w:proofErr w:type="spellStart"/>
      <w:r>
        <w:t>dactylitis</w:t>
      </w:r>
      <w:proofErr w:type="spellEnd"/>
      <w:r>
        <w:t xml:space="preserve">) and skin. All of the disease manifestations may impact upon functional capacity and QOL. There is also increased mortality with persistent, severely active </w:t>
      </w:r>
      <w:proofErr w:type="spellStart"/>
      <w:r>
        <w:t>PsA.</w:t>
      </w:r>
      <w:proofErr w:type="spellEnd"/>
      <w:r>
        <w:t xml:space="preserve"> Peripheral joint involvement with </w:t>
      </w:r>
      <w:proofErr w:type="spellStart"/>
      <w:r>
        <w:t>PsA</w:t>
      </w:r>
      <w:proofErr w:type="spellEnd"/>
      <w:r>
        <w:t xml:space="preserve"> may be </w:t>
      </w:r>
      <w:proofErr w:type="spellStart"/>
      <w:r>
        <w:t>polyarticular</w:t>
      </w:r>
      <w:proofErr w:type="spellEnd"/>
      <w:r>
        <w:t xml:space="preserve"> (35-40%) or </w:t>
      </w:r>
      <w:proofErr w:type="spellStart"/>
      <w:r>
        <w:t>oligoarticular</w:t>
      </w:r>
      <w:proofErr w:type="spellEnd"/>
      <w:r>
        <w:t xml:space="preserve"> (20-35%), and axial involvement (spondylitis) has been reported in 10-25% of patients. Current approved treatment options in Australia for moderately to severely active </w:t>
      </w:r>
      <w:proofErr w:type="spellStart"/>
      <w:r>
        <w:t>PsA</w:t>
      </w:r>
      <w:proofErr w:type="spellEnd"/>
      <w:r>
        <w:t xml:space="preserve"> include </w:t>
      </w:r>
      <w:proofErr w:type="spellStart"/>
      <w:r w:rsidR="00C63B6B">
        <w:t>n</w:t>
      </w:r>
      <w:r w:rsidR="00C63B6B" w:rsidRPr="00C63B6B">
        <w:t>on</w:t>
      </w:r>
      <w:r w:rsidR="00C63B6B">
        <w:t xml:space="preserve"> steroidal</w:t>
      </w:r>
      <w:proofErr w:type="spellEnd"/>
      <w:r w:rsidR="00C63B6B">
        <w:t xml:space="preserve"> </w:t>
      </w:r>
      <w:proofErr w:type="spellStart"/>
      <w:r w:rsidR="00C63B6B">
        <w:t xml:space="preserve">anti </w:t>
      </w:r>
      <w:r w:rsidR="00C63B6B" w:rsidRPr="00C63B6B">
        <w:t>inflammatory</w:t>
      </w:r>
      <w:proofErr w:type="spellEnd"/>
      <w:r w:rsidR="00C63B6B" w:rsidRPr="00C63B6B">
        <w:t xml:space="preserve"> drug</w:t>
      </w:r>
      <w:r w:rsidR="00C63B6B">
        <w:t>s (</w:t>
      </w:r>
      <w:r>
        <w:t>NSAIDs</w:t>
      </w:r>
      <w:r w:rsidR="00C63B6B">
        <w:t>)</w:t>
      </w:r>
      <w:r>
        <w:t>; conventional non</w:t>
      </w:r>
      <w:r w:rsidR="00DB7063">
        <w:t xml:space="preserve"> </w:t>
      </w:r>
      <w:r>
        <w:t xml:space="preserve">biological DMARDs such as methotrexate (MTX), sulfasalazine (SSZ), </w:t>
      </w:r>
      <w:proofErr w:type="spellStart"/>
      <w:r>
        <w:t>leflunomide</w:t>
      </w:r>
      <w:proofErr w:type="spellEnd"/>
      <w:r>
        <w:t xml:space="preserve"> (LEF) and cyclosporine (</w:t>
      </w:r>
      <w:proofErr w:type="spellStart"/>
      <w:r>
        <w:t>CsA</w:t>
      </w:r>
      <w:proofErr w:type="spellEnd"/>
      <w:r>
        <w:t>); as well as several anti</w:t>
      </w:r>
      <w:r w:rsidR="00662C5D">
        <w:t>-</w:t>
      </w:r>
      <w:r>
        <w:t xml:space="preserve">TNF drugs. Recent literature suggests that conventional DMARDs have modest </w:t>
      </w:r>
      <w:r>
        <w:lastRenderedPageBreak/>
        <w:t xml:space="preserve">efficacy in treating the signs and symptoms of </w:t>
      </w:r>
      <w:proofErr w:type="spellStart"/>
      <w:r>
        <w:t>PsA.</w:t>
      </w:r>
      <w:proofErr w:type="spellEnd"/>
      <w:r>
        <w:t xml:space="preserve"> In addition, while anti</w:t>
      </w:r>
      <w:r w:rsidR="00DB7063">
        <w:t xml:space="preserve"> </w:t>
      </w:r>
      <w:r>
        <w:t xml:space="preserve">TNF drugs have been shown to demonstrate significant efficacy in treating active </w:t>
      </w:r>
      <w:proofErr w:type="spellStart"/>
      <w:r>
        <w:t>PsA</w:t>
      </w:r>
      <w:proofErr w:type="spellEnd"/>
      <w:r>
        <w:t>, a substantial proportion of patients are not achieving meaningful American College of Rheumatology (ACR) responses. Based on the current literature for anti</w:t>
      </w:r>
      <w:r w:rsidR="00DB7063">
        <w:t xml:space="preserve"> </w:t>
      </w:r>
      <w:r>
        <w:t xml:space="preserve">TNF therapies, ACR20 response rates range from 50-60% and ACR50 response rates are approximately 30-40%. As such, there is an unmet need for additional therapies for active, treatment refractory </w:t>
      </w:r>
      <w:proofErr w:type="spellStart"/>
      <w:r>
        <w:t>PsA.</w:t>
      </w:r>
      <w:proofErr w:type="spellEnd"/>
    </w:p>
    <w:p w:rsidR="00D96EF6" w:rsidRDefault="00D96EF6" w:rsidP="008D3180">
      <w:r>
        <w:t>PSOR is a common, inflammatory and proliferative skin disease with a genetic determinant. Although PSOR</w:t>
      </w:r>
      <w:r w:rsidRPr="00AF614B">
        <w:t xml:space="preserve"> may occur at any age</w:t>
      </w:r>
      <w:r>
        <w:t>,</w:t>
      </w:r>
      <w:r w:rsidRPr="00AF614B">
        <w:t xml:space="preserve"> </w:t>
      </w:r>
      <w:r w:rsidR="00E97D55">
        <w:t>two</w:t>
      </w:r>
      <w:r>
        <w:t xml:space="preserve"> age </w:t>
      </w:r>
      <w:r w:rsidRPr="00AF614B">
        <w:t>peaks</w:t>
      </w:r>
      <w:r>
        <w:t xml:space="preserve"> of</w:t>
      </w:r>
      <w:r w:rsidRPr="00AF614B">
        <w:t xml:space="preserve"> onset are </w:t>
      </w:r>
      <w:r>
        <w:t>iden</w:t>
      </w:r>
      <w:r w:rsidRPr="00AF614B">
        <w:t>t</w:t>
      </w:r>
      <w:r>
        <w:t>ifi</w:t>
      </w:r>
      <w:r w:rsidRPr="00AF614B">
        <w:t>ed</w:t>
      </w:r>
      <w:r>
        <w:t>:</w:t>
      </w:r>
      <w:r w:rsidRPr="00AF614B">
        <w:t xml:space="preserve"> second decade of life </w:t>
      </w:r>
      <w:r>
        <w:t xml:space="preserve">(early onset) </w:t>
      </w:r>
      <w:r w:rsidRPr="00AF614B">
        <w:t>and fifth</w:t>
      </w:r>
      <w:r>
        <w:t xml:space="preserve"> </w:t>
      </w:r>
      <w:r w:rsidRPr="00AF614B">
        <w:t>decade</w:t>
      </w:r>
      <w:r>
        <w:t xml:space="preserve"> (late onset)</w:t>
      </w:r>
      <w:r w:rsidRPr="00AF614B">
        <w:t xml:space="preserve">. </w:t>
      </w:r>
      <w:r>
        <w:t>Chronic stable p</w:t>
      </w:r>
      <w:r w:rsidRPr="00AF614B">
        <w:t xml:space="preserve">laque </w:t>
      </w:r>
      <w:r>
        <w:t>PSOR</w:t>
      </w:r>
      <w:r w:rsidRPr="00AF614B">
        <w:t xml:space="preserve"> </w:t>
      </w:r>
      <w:r>
        <w:t xml:space="preserve">(PSOR vulgaris) </w:t>
      </w:r>
      <w:r w:rsidRPr="00AF614B">
        <w:t xml:space="preserve">is the most common form of the disease, </w:t>
      </w:r>
      <w:r>
        <w:t>a</w:t>
      </w:r>
      <w:r w:rsidRPr="00AF614B">
        <w:t>cc</w:t>
      </w:r>
      <w:r>
        <w:t>ount</w:t>
      </w:r>
      <w:r w:rsidRPr="00AF614B">
        <w:t xml:space="preserve">ing </w:t>
      </w:r>
      <w:r>
        <w:t xml:space="preserve">for </w:t>
      </w:r>
      <w:r w:rsidRPr="00AF614B">
        <w:t>8</w:t>
      </w:r>
      <w:r>
        <w:t>5-90</w:t>
      </w:r>
      <w:r w:rsidRPr="00AF614B">
        <w:t>%</w:t>
      </w:r>
      <w:r>
        <w:t xml:space="preserve"> of all cases.</w:t>
      </w:r>
      <w:r w:rsidRPr="00AF614B">
        <w:t xml:space="preserve"> While the majority of patients have mild </w:t>
      </w:r>
      <w:r>
        <w:t>PSOR</w:t>
      </w:r>
      <w:r w:rsidRPr="00AF614B">
        <w:t>, s</w:t>
      </w:r>
      <w:r>
        <w:t>t</w:t>
      </w:r>
      <w:r w:rsidRPr="00AF614B">
        <w:t>u</w:t>
      </w:r>
      <w:r>
        <w:t>dies have fou</w:t>
      </w:r>
      <w:r w:rsidRPr="00AF614B">
        <w:t>nd</w:t>
      </w:r>
      <w:r>
        <w:t xml:space="preserve"> </w:t>
      </w:r>
      <w:r w:rsidRPr="00AF614B">
        <w:t>that 2</w:t>
      </w:r>
      <w:r>
        <w:t>5</w:t>
      </w:r>
      <w:r w:rsidRPr="00AF614B">
        <w:t>% of patients reported their disease as moderate</w:t>
      </w:r>
      <w:r>
        <w:t>,</w:t>
      </w:r>
      <w:r w:rsidRPr="00AF614B">
        <w:t xml:space="preserve"> and </w:t>
      </w:r>
      <w:r>
        <w:t>10</w:t>
      </w:r>
      <w:r w:rsidRPr="00AF614B">
        <w:t>% as severe</w:t>
      </w:r>
      <w:r>
        <w:t>. PSOR can be disabling, affecting the physical, social and psychological wellbeing of patients. Plaque PSOR manifests as thickened, well</w:t>
      </w:r>
      <w:r w:rsidR="00D9634B">
        <w:t xml:space="preserve"> </w:t>
      </w:r>
      <w:r>
        <w:t xml:space="preserve">demarcated, erythematous patches of skin covered with silvery scales. The lesions often arise in predisposed areas such as the extensor aspects of the knees and elbows, but can be generalised. Other sites affected by PSOR include the nails, scalp, palms, soles and </w:t>
      </w:r>
      <w:proofErr w:type="spellStart"/>
      <w:r>
        <w:t>intertriginous</w:t>
      </w:r>
      <w:proofErr w:type="spellEnd"/>
      <w:r>
        <w:t xml:space="preserve"> areas. The skin lesions frequently cause symptoms of pruritus and discomfort. Topical agents such as salicylic acid, corticosteroids (CS) and vitamin D analogues are often used as a first line therapy, particularly if the PSOR is localised. Phototherapy with UVB or </w:t>
      </w:r>
      <w:proofErr w:type="spellStart"/>
      <w:r>
        <w:t>psoralen</w:t>
      </w:r>
      <w:proofErr w:type="spellEnd"/>
      <w:r>
        <w:t xml:space="preserve"> + UVA is often used as a first line treatment for widespread </w:t>
      </w:r>
      <w:proofErr w:type="gramStart"/>
      <w:r>
        <w:t>PSOR,</w:t>
      </w:r>
      <w:proofErr w:type="gramEnd"/>
      <w:r>
        <w:t xml:space="preserve"> or as a second line treatment if topical therapy is insufficient. Systemic treatment with oral </w:t>
      </w:r>
      <w:proofErr w:type="spellStart"/>
      <w:r>
        <w:t>retinoids</w:t>
      </w:r>
      <w:proofErr w:type="spellEnd"/>
      <w:r>
        <w:t xml:space="preserve">, MTX and </w:t>
      </w:r>
      <w:proofErr w:type="spellStart"/>
      <w:r>
        <w:t>CsA</w:t>
      </w:r>
      <w:proofErr w:type="spellEnd"/>
      <w:r>
        <w:t xml:space="preserve"> are indicated in severe forms of PSOR. All of the systemic treatments have demonstrated efficacy but their long-term use is limited by potential risks and toxicities. Biologic therapies such as anti-TNF drugs and </w:t>
      </w:r>
      <w:proofErr w:type="spellStart"/>
      <w:r>
        <w:t>ustekinumab</w:t>
      </w:r>
      <w:proofErr w:type="spellEnd"/>
      <w:r>
        <w:t xml:space="preserve"> have been demonstrated to be highly effective in the treatment of moderate to severe PSOR but their use is limited by the risk of significant </w:t>
      </w:r>
      <w:r w:rsidR="00D9634B">
        <w:t>a</w:t>
      </w:r>
      <w:r>
        <w:t xml:space="preserve">dverse </w:t>
      </w:r>
      <w:r w:rsidR="00D9634B">
        <w:t>e</w:t>
      </w:r>
      <w:r>
        <w:t>vents (AEs) such as serious infection and malignancy potential. Despite the variety of treatment options available in PSOR, patients are often dissatisfied (&gt;70% prevalence) with current therapy options due to lack of sustained efficacy, adverse events and/or treatment inconvenience. Hence, there is an unmet need for additional therapies for moderate to severe PSOR, which is refractory to topical treatment.</w:t>
      </w:r>
    </w:p>
    <w:p w:rsidR="00D96EF6" w:rsidRDefault="00EE6D80" w:rsidP="008D3180">
      <w:r>
        <w:t>APR</w:t>
      </w:r>
      <w:r w:rsidR="00D96EF6">
        <w:t xml:space="preserve"> is a novel, oral, small molecule inhibitor of PDE4 that works </w:t>
      </w:r>
      <w:proofErr w:type="spellStart"/>
      <w:r w:rsidR="00D96EF6">
        <w:t>intracellularly</w:t>
      </w:r>
      <w:proofErr w:type="spellEnd"/>
      <w:r w:rsidR="00D96EF6">
        <w:t xml:space="preserve"> to modulate a network of pro- and anti-inflammatory mediators, and has a different mechanism of action to conventional DMARDs, systemic therapies and biologic drugs. </w:t>
      </w:r>
      <w:r w:rsidR="00D96EF6" w:rsidRPr="00B56A1B">
        <w:t>P</w:t>
      </w:r>
      <w:r w:rsidR="00D96EF6">
        <w:t>DE</w:t>
      </w:r>
      <w:r w:rsidR="00D96EF6" w:rsidRPr="00B56A1B">
        <w:t xml:space="preserve">4 is a </w:t>
      </w:r>
      <w:proofErr w:type="spellStart"/>
      <w:r w:rsidR="00B477B0">
        <w:t>cAMP</w:t>
      </w:r>
      <w:proofErr w:type="spellEnd"/>
      <w:r w:rsidR="00B477B0">
        <w:t xml:space="preserve"> </w:t>
      </w:r>
      <w:r w:rsidR="00D96EF6" w:rsidRPr="00B56A1B">
        <w:t>specific PDE and the</w:t>
      </w:r>
      <w:r w:rsidR="00D96EF6">
        <w:t xml:space="preserve"> </w:t>
      </w:r>
      <w:r w:rsidR="00D96EF6" w:rsidRPr="00B56A1B">
        <w:t xml:space="preserve">dominant PDE in inflammatory cells. Inhibition of PDE4 elevates intracellular </w:t>
      </w:r>
      <w:proofErr w:type="spellStart"/>
      <w:r w:rsidR="00D96EF6" w:rsidRPr="00B56A1B">
        <w:t>cAMP</w:t>
      </w:r>
      <w:proofErr w:type="spellEnd"/>
      <w:r w:rsidR="00D96EF6" w:rsidRPr="00B56A1B">
        <w:t xml:space="preserve"> levels,</w:t>
      </w:r>
      <w:r w:rsidR="00D96EF6">
        <w:t xml:space="preserve"> </w:t>
      </w:r>
      <w:r w:rsidR="00D96EF6" w:rsidRPr="00B56A1B">
        <w:t>which in turn down</w:t>
      </w:r>
      <w:r w:rsidR="00D96EF6">
        <w:t>-</w:t>
      </w:r>
      <w:r w:rsidR="00D96EF6" w:rsidRPr="00B56A1B">
        <w:t xml:space="preserve">regulates the inflammatory response by modulating the expression of </w:t>
      </w:r>
      <w:r w:rsidR="00D96EF6">
        <w:t>T</w:t>
      </w:r>
      <w:r w:rsidR="00D96EF6" w:rsidRPr="00B56A1B">
        <w:t>umo</w:t>
      </w:r>
      <w:r w:rsidR="00D96EF6">
        <w:t>u</w:t>
      </w:r>
      <w:r w:rsidR="00D96EF6" w:rsidRPr="00B56A1B">
        <w:t>r</w:t>
      </w:r>
      <w:r w:rsidR="00D96EF6">
        <w:t xml:space="preserve"> N</w:t>
      </w:r>
      <w:r w:rsidR="00D96EF6" w:rsidRPr="00B56A1B">
        <w:t xml:space="preserve">ecrosis </w:t>
      </w:r>
      <w:r w:rsidR="00D96EF6">
        <w:t>F</w:t>
      </w:r>
      <w:r w:rsidR="00D96EF6" w:rsidRPr="00B56A1B">
        <w:t xml:space="preserve">actor (TNF), </w:t>
      </w:r>
      <w:r w:rsidR="00295874">
        <w:t>IL</w:t>
      </w:r>
      <w:r w:rsidR="00D96EF6" w:rsidRPr="00B56A1B">
        <w:t>-23, IL-17, and other pro</w:t>
      </w:r>
      <w:r w:rsidR="00D96EF6">
        <w:t>-</w:t>
      </w:r>
      <w:r w:rsidR="00D96EF6" w:rsidRPr="00B56A1B">
        <w:t>inflammatory cytokines.</w:t>
      </w:r>
      <w:r w:rsidR="00D96EF6">
        <w:t xml:space="preserve"> </w:t>
      </w:r>
      <w:r w:rsidR="00D96EF6" w:rsidRPr="00B56A1B">
        <w:t xml:space="preserve">Elevation of </w:t>
      </w:r>
      <w:proofErr w:type="spellStart"/>
      <w:r w:rsidR="00D96EF6" w:rsidRPr="00B56A1B">
        <w:t>cAMP</w:t>
      </w:r>
      <w:proofErr w:type="spellEnd"/>
      <w:r w:rsidR="00D96EF6" w:rsidRPr="00B56A1B">
        <w:t xml:space="preserve"> also increases anti-inflammatory cytokines. These pro- and</w:t>
      </w:r>
      <w:r w:rsidR="00D96EF6">
        <w:t xml:space="preserve"> </w:t>
      </w:r>
      <w:r w:rsidR="00D96EF6" w:rsidRPr="00B56A1B">
        <w:t xml:space="preserve">anti-inflammatory mediators have been implicated in </w:t>
      </w:r>
      <w:r w:rsidR="00D96EF6">
        <w:t>PSOR</w:t>
      </w:r>
      <w:r w:rsidR="00D96EF6" w:rsidRPr="00B56A1B">
        <w:t xml:space="preserve"> and </w:t>
      </w:r>
      <w:proofErr w:type="spellStart"/>
      <w:r w:rsidR="00D96EF6" w:rsidRPr="00B56A1B">
        <w:t>PsA</w:t>
      </w:r>
      <w:r w:rsidR="00D96EF6">
        <w:t>.</w:t>
      </w:r>
      <w:proofErr w:type="spellEnd"/>
      <w:r w:rsidR="00D96EF6">
        <w:t xml:space="preserve"> IL-23 induces the T-helper 17 (Th17) pathway and promotes the secretion of various other pro-inflammatory cytokines such as IL-17, IL-21 and IL-22. IL-23 is highly expressed in the </w:t>
      </w:r>
      <w:proofErr w:type="spellStart"/>
      <w:r w:rsidR="00D96EF6">
        <w:t>synovium</w:t>
      </w:r>
      <w:proofErr w:type="spellEnd"/>
      <w:r w:rsidR="00D96EF6">
        <w:t xml:space="preserve"> and </w:t>
      </w:r>
      <w:proofErr w:type="spellStart"/>
      <w:r w:rsidR="00D96EF6">
        <w:t>entheses</w:t>
      </w:r>
      <w:proofErr w:type="spellEnd"/>
      <w:r w:rsidR="00D96EF6">
        <w:t xml:space="preserve"> of patients with </w:t>
      </w:r>
      <w:proofErr w:type="spellStart"/>
      <w:proofErr w:type="gramStart"/>
      <w:r w:rsidR="00D96EF6">
        <w:t>PsA</w:t>
      </w:r>
      <w:proofErr w:type="spellEnd"/>
      <w:r w:rsidR="00D96EF6">
        <w:t>,</w:t>
      </w:r>
      <w:proofErr w:type="gramEnd"/>
      <w:r w:rsidR="00D96EF6">
        <w:t xml:space="preserve"> and patients with PSOR over-express these cytokines in plaques. Overall, </w:t>
      </w:r>
      <w:r>
        <w:t>APR</w:t>
      </w:r>
      <w:r w:rsidR="00D96EF6">
        <w:t xml:space="preserve"> appears to have robust biological plausibility in being able to treat both PSOR and </w:t>
      </w:r>
      <w:proofErr w:type="spellStart"/>
      <w:r w:rsidR="00D96EF6">
        <w:t>PsA</w:t>
      </w:r>
      <w:proofErr w:type="spellEnd"/>
      <w:r w:rsidR="00D96EF6">
        <w:t xml:space="preserve"> through inhibition of the TNF, IL-23 and Th17 cytokine pathways, which are central to the pathology of t</w:t>
      </w:r>
      <w:r w:rsidR="0030438D">
        <w:t>he diseases</w:t>
      </w:r>
      <w:r w:rsidR="00D96EF6">
        <w:t>.</w:t>
      </w:r>
      <w:r w:rsidR="0030438D">
        <w:rPr>
          <w:rStyle w:val="FootnoteReference"/>
        </w:rPr>
        <w:footnoteReference w:id="18"/>
      </w:r>
    </w:p>
    <w:p w:rsidR="00605AD4" w:rsidRPr="00605AD4" w:rsidRDefault="00605AD4" w:rsidP="008D3180">
      <w:pPr>
        <w:pStyle w:val="Heading4"/>
      </w:pPr>
      <w:r w:rsidRPr="008D3180">
        <w:lastRenderedPageBreak/>
        <w:t>Guidance</w:t>
      </w:r>
    </w:p>
    <w:p w:rsidR="00D96EF6" w:rsidRDefault="00D96EF6" w:rsidP="008D3180">
      <w:r>
        <w:t>This submission was consistent with the pre-submission planning advice given to the</w:t>
      </w:r>
      <w:r w:rsidR="00324983">
        <w:t xml:space="preserve"> sponsor by the TGA. There are two</w:t>
      </w:r>
      <w:r>
        <w:t xml:space="preserve"> regulatory guidelines relevant</w:t>
      </w:r>
      <w:r w:rsidR="00324983">
        <w:t xml:space="preserve"> to the requested indications, one</w:t>
      </w:r>
      <w:r>
        <w:t xml:space="preserve"> for each of the proposed treatment indications. For the </w:t>
      </w:r>
      <w:proofErr w:type="spellStart"/>
      <w:r>
        <w:t>PsA</w:t>
      </w:r>
      <w:proofErr w:type="spellEnd"/>
      <w:r>
        <w:t xml:space="preserve"> indication, the TGA has adopted the EU guideline “Guideline on Clinical Investigation for Medicinal Products for the Treatment of Psoriatic Arthri</w:t>
      </w:r>
      <w:r w:rsidR="00852DE9">
        <w:t>tis”</w:t>
      </w:r>
      <w:r>
        <w:t>.</w:t>
      </w:r>
      <w:r w:rsidR="00852DE9">
        <w:rPr>
          <w:rStyle w:val="FootnoteReference"/>
        </w:rPr>
        <w:footnoteReference w:id="19"/>
      </w:r>
      <w:r>
        <w:t xml:space="preserve"> For the PSOR indication, the TGA has adopted the EU guideline “Guideline on Clinical Investigation for Medicinal Products for the Treatment of Psor</w:t>
      </w:r>
      <w:r w:rsidR="008D4737">
        <w:t>iasis”.</w:t>
      </w:r>
      <w:r w:rsidR="008D4737">
        <w:rPr>
          <w:rStyle w:val="FootnoteReference"/>
        </w:rPr>
        <w:footnoteReference w:id="20"/>
      </w:r>
    </w:p>
    <w:p w:rsidR="00D96EF6" w:rsidRDefault="00D96EF6" w:rsidP="008D3180">
      <w:r>
        <w:t xml:space="preserve">For the proposed treatment indication of active </w:t>
      </w:r>
      <w:proofErr w:type="spellStart"/>
      <w:r>
        <w:t>PsA</w:t>
      </w:r>
      <w:proofErr w:type="spellEnd"/>
      <w:r>
        <w:t xml:space="preserve">, the </w:t>
      </w:r>
      <w:r w:rsidR="00507657">
        <w:t xml:space="preserve">sponsor has submitted 4 pivotal </w:t>
      </w:r>
      <w:r>
        <w:t xml:space="preserve">studies (PSA-002, PSA-003, PSA-004 and PSA-005), which are supported by a single Phase </w:t>
      </w:r>
      <w:r w:rsidR="00555E9A">
        <w:t>II</w:t>
      </w:r>
      <w:r>
        <w:t xml:space="preserve"> trial (PSA-001). Three of the 4 pivotal trials have provided study reports for up to 52 weeks of therapy for efficacy and safety evaluation. In this submission, the 24</w:t>
      </w:r>
      <w:r w:rsidR="009F267D">
        <w:t xml:space="preserve"> </w:t>
      </w:r>
      <w:r>
        <w:t xml:space="preserve">week report has been provided for the other pivotal Phase </w:t>
      </w:r>
      <w:r w:rsidR="00507657">
        <w:t>III</w:t>
      </w:r>
      <w:r>
        <w:t xml:space="preserve"> studies (PSA-005), but the trial is ongoing with the 52</w:t>
      </w:r>
      <w:r w:rsidR="00AE0A8B">
        <w:t xml:space="preserve"> </w:t>
      </w:r>
      <w:r>
        <w:t xml:space="preserve">week data not yet available for consideration. </w:t>
      </w:r>
      <w:proofErr w:type="spellStart"/>
      <w:r>
        <w:t>PsA</w:t>
      </w:r>
      <w:proofErr w:type="spellEnd"/>
      <w:r>
        <w:t xml:space="preserve"> is a chronic disease and therefo</w:t>
      </w:r>
      <w:r w:rsidR="00555E9A">
        <w:t>re</w:t>
      </w:r>
      <w:r>
        <w:t xml:space="preserve"> symptomatic treatment is expected to be maintained in the long term. The regulatory guideline relating to the assessment of a drug treatment in </w:t>
      </w:r>
      <w:proofErr w:type="spellStart"/>
      <w:r>
        <w:t>PsA</w:t>
      </w:r>
      <w:proofErr w:type="spellEnd"/>
      <w:r>
        <w:t xml:space="preserve"> states that clinical efficacy can be demonstrated over 12-24 weeks of therapy in a controlled trial, but maintenance of treatment effect require</w:t>
      </w:r>
      <w:r w:rsidR="00AE0A8B">
        <w:t xml:space="preserve">s longer duration studies (for example, </w:t>
      </w:r>
      <w:r>
        <w:t>1 year). The guideline also recommends for the provision of an adequate safety database that a minimum of 300 to 600 patients should be exposed to the proposed marketing dose for 6 months, and at least 100 patients be expo</w:t>
      </w:r>
      <w:r w:rsidR="008D3180">
        <w:t>sed for a minimum of 12 months.</w:t>
      </w:r>
    </w:p>
    <w:p w:rsidR="00D96EF6" w:rsidRDefault="00D96EF6" w:rsidP="008D3180">
      <w:r>
        <w:t xml:space="preserve">In </w:t>
      </w:r>
      <w:proofErr w:type="spellStart"/>
      <w:r>
        <w:t>PsA</w:t>
      </w:r>
      <w:proofErr w:type="spellEnd"/>
      <w:r>
        <w:t xml:space="preserve"> subjects, there are 5 main domains to assess efficacy (each</w:t>
      </w:r>
      <w:r w:rsidR="008D3180">
        <w:t xml:space="preserve"> with recommended instruments):</w:t>
      </w:r>
    </w:p>
    <w:p w:rsidR="00D96EF6" w:rsidRPr="00D96EF6" w:rsidRDefault="00D96EF6" w:rsidP="008D3180">
      <w:pPr>
        <w:pStyle w:val="ListBullet"/>
      </w:pPr>
      <w:r w:rsidRPr="008D3180">
        <w:t>Improvement</w:t>
      </w:r>
      <w:r w:rsidRPr="00D96EF6">
        <w:t xml:space="preserve"> of symptoms and signs of peripheral arthritis (</w:t>
      </w:r>
      <w:r w:rsidR="000B5BEC">
        <w:t xml:space="preserve">for example, </w:t>
      </w:r>
      <w:r w:rsidRPr="00D96EF6">
        <w:t>using ACR clinical criteria),</w:t>
      </w:r>
    </w:p>
    <w:p w:rsidR="00D96EF6" w:rsidRPr="00D96EF6" w:rsidRDefault="00D96EF6" w:rsidP="008D3180">
      <w:pPr>
        <w:pStyle w:val="ListBullet"/>
      </w:pPr>
      <w:r w:rsidRPr="008D3180">
        <w:t>Improve</w:t>
      </w:r>
      <w:r w:rsidR="000B5BEC" w:rsidRPr="008D3180">
        <w:t>ment</w:t>
      </w:r>
      <w:r w:rsidR="000B5BEC">
        <w:t xml:space="preserve"> of physical function (for example, </w:t>
      </w:r>
      <w:r w:rsidRPr="00D96EF6">
        <w:t xml:space="preserve">using </w:t>
      </w:r>
      <w:r w:rsidR="00416321" w:rsidRPr="00416321">
        <w:t>Health Assessment Questionnaire Disability Index</w:t>
      </w:r>
      <w:r w:rsidR="00524F11" w:rsidRPr="00524F11">
        <w:t xml:space="preserve"> </w:t>
      </w:r>
      <w:r w:rsidR="00524F11">
        <w:t>[</w:t>
      </w:r>
      <w:r w:rsidRPr="00D96EF6">
        <w:t>HAQ</w:t>
      </w:r>
      <w:r w:rsidR="00416321">
        <w:t>-DI</w:t>
      </w:r>
      <w:r w:rsidR="00524F11">
        <w:t>]</w:t>
      </w:r>
      <w:r w:rsidRPr="00D96EF6">
        <w:t>),</w:t>
      </w:r>
    </w:p>
    <w:p w:rsidR="00D96EF6" w:rsidRPr="00D96EF6" w:rsidRDefault="00D96EF6" w:rsidP="008D3180">
      <w:pPr>
        <w:pStyle w:val="ListBullet"/>
      </w:pPr>
      <w:r w:rsidRPr="008D3180">
        <w:t>Improvement</w:t>
      </w:r>
      <w:r w:rsidRPr="00D96EF6">
        <w:t xml:space="preserve"> of symptoms and physical function related to axial disease (</w:t>
      </w:r>
      <w:r w:rsidR="0056462E">
        <w:t xml:space="preserve">for example, </w:t>
      </w:r>
      <w:r w:rsidRPr="00D96EF6">
        <w:t xml:space="preserve">using </w:t>
      </w:r>
      <w:r w:rsidR="00253D68" w:rsidRPr="00253D68">
        <w:t xml:space="preserve">Bath Ankylosing Spondylitis Disease Activity Index </w:t>
      </w:r>
      <w:r w:rsidR="00253D68">
        <w:t>[</w:t>
      </w:r>
      <w:r w:rsidRPr="00D96EF6">
        <w:t>BASDAI</w:t>
      </w:r>
      <w:r w:rsidR="00253D68">
        <w:t>]</w:t>
      </w:r>
      <w:r w:rsidRPr="00D96EF6">
        <w:t>),</w:t>
      </w:r>
    </w:p>
    <w:p w:rsidR="00D96EF6" w:rsidRPr="00D96EF6" w:rsidRDefault="00D96EF6" w:rsidP="008D3180">
      <w:pPr>
        <w:pStyle w:val="ListBullet"/>
      </w:pPr>
      <w:r w:rsidRPr="00D96EF6">
        <w:t xml:space="preserve">Slowing or prevention of </w:t>
      </w:r>
      <w:r w:rsidRPr="008D3180">
        <w:t>structural</w:t>
      </w:r>
      <w:r w:rsidRPr="00D96EF6">
        <w:t xml:space="preserve"> damage (</w:t>
      </w:r>
      <w:r w:rsidR="0056462E">
        <w:t xml:space="preserve">for example, </w:t>
      </w:r>
      <w:r w:rsidRPr="00D96EF6">
        <w:t>using modified Sharp score), and</w:t>
      </w:r>
    </w:p>
    <w:p w:rsidR="00D96EF6" w:rsidRPr="00D96EF6" w:rsidRDefault="008D3180" w:rsidP="008D3180">
      <w:pPr>
        <w:pStyle w:val="ListBullet"/>
      </w:pPr>
      <w:r>
        <w:t>Prevention of disability.</w:t>
      </w:r>
    </w:p>
    <w:p w:rsidR="00D96EF6" w:rsidRDefault="00D96EF6" w:rsidP="008D3180">
      <w:r>
        <w:t>For the proposed treatment indication of active PSOR, the sponsor has submitted 2 pivotal studies (PSOR-008 and PSOR-009) involving a total of 1275 subjects, which are supported by 4 Phase 2 trials (2 of whom were randomised). The 2 pivotal trials have study reports up to 52 weeks of therapy for efficacy and safety evaluation. PSOR is a chronic relapsing disease and 1 year of intermittent or prolonged treatment (as appropriate) is recommended in the regulatory guideline. Although treatment duration of 8-12 weeks is generally sufficient to demonstrate short</w:t>
      </w:r>
      <w:r w:rsidR="009F267D">
        <w:t xml:space="preserve"> </w:t>
      </w:r>
      <w:r>
        <w:t>term efficacy, the guideline states that the aim of trials should be to get a good estimate of the time to initial and maximal response, the duration of efficacy after cessation of therapy, as well as the potential for rebound phenomena. A second course of treatment in relapsing patients should also be evaluated. For this purpose, evaluation for efficacy at the end of short</w:t>
      </w:r>
      <w:r w:rsidR="0057623E">
        <w:t xml:space="preserve"> </w:t>
      </w:r>
      <w:r>
        <w:t>term treatment (8-12 weeks) and during a follow-up of 3-6 months after cessation of therapy is needed. There is no accepted</w:t>
      </w:r>
      <w:r w:rsidR="002B6593">
        <w:t xml:space="preserve"> </w:t>
      </w:r>
      <w:r>
        <w:t xml:space="preserve">“gold standard” for systemic treatment of severe PSOR, and the choice of </w:t>
      </w:r>
      <w:r>
        <w:lastRenderedPageBreak/>
        <w:t>comparator should be done in relation to the investigational therapy. Rebound is defined as worsening o</w:t>
      </w:r>
      <w:r w:rsidR="009F267D">
        <w:t xml:space="preserve">f PSOR over baseline value (for example, </w:t>
      </w:r>
      <w:r>
        <w:t xml:space="preserve">PASI score &gt;125%) or new pustular, </w:t>
      </w:r>
      <w:proofErr w:type="spellStart"/>
      <w:r>
        <w:t>erythrodermic</w:t>
      </w:r>
      <w:proofErr w:type="spellEnd"/>
      <w:r>
        <w:t xml:space="preserve"> or more inflammatory PSOR occurring within 2 months of stopping therapy. A worsening of PSOR beyond 2 months of treatment may represent the natural course of PSOR, and is arbitrarily defined as relapse rather than </w:t>
      </w:r>
      <w:r w:rsidR="008D3180">
        <w:t>rebound on theoretical grounds.</w:t>
      </w:r>
    </w:p>
    <w:p w:rsidR="00D96EF6" w:rsidRDefault="00D96EF6" w:rsidP="008D3180">
      <w:r>
        <w:t>In PSOR, the guideline recommends 5 investigator</w:t>
      </w:r>
      <w:r w:rsidR="009F267D">
        <w:t xml:space="preserve"> </w:t>
      </w:r>
      <w:r>
        <w:t>assessed ways t</w:t>
      </w:r>
      <w:r w:rsidR="008D3180">
        <w:t>o assess response to treatment:</w:t>
      </w:r>
    </w:p>
    <w:p w:rsidR="00D96EF6" w:rsidRPr="00D96EF6" w:rsidRDefault="00D96EF6" w:rsidP="008D3180">
      <w:pPr>
        <w:pStyle w:val="ListBullet"/>
      </w:pPr>
      <w:r w:rsidRPr="008D3180">
        <w:t>Visual</w:t>
      </w:r>
      <w:r w:rsidRPr="00D96EF6">
        <w:t xml:space="preserve"> assessment of index lesions using variables such as</w:t>
      </w:r>
      <w:r w:rsidR="008D3180">
        <w:t xml:space="preserve"> erythema, scale and elevation,</w:t>
      </w:r>
    </w:p>
    <w:p w:rsidR="00D96EF6" w:rsidRPr="00D96EF6" w:rsidRDefault="00D96EF6" w:rsidP="008D3180">
      <w:pPr>
        <w:pStyle w:val="ListBullet"/>
      </w:pPr>
      <w:r w:rsidRPr="00D96EF6">
        <w:t>BSA (</w:t>
      </w:r>
      <w:r w:rsidRPr="008D3180">
        <w:t>Body</w:t>
      </w:r>
      <w:r w:rsidRPr="00D96EF6">
        <w:t xml:space="preserve"> Surface Area) measurement (palm of</w:t>
      </w:r>
      <w:r w:rsidR="008D3180">
        <w:t xml:space="preserve"> hand is </w:t>
      </w:r>
      <w:r w:rsidR="008D3180" w:rsidRPr="008D3180">
        <w:t>approximately</w:t>
      </w:r>
      <w:r w:rsidR="008D3180">
        <w:t xml:space="preserve"> 1% BSA),</w:t>
      </w:r>
    </w:p>
    <w:p w:rsidR="00D96EF6" w:rsidRPr="00D96EF6" w:rsidRDefault="00D96EF6" w:rsidP="008D3180">
      <w:pPr>
        <w:pStyle w:val="ListBullet"/>
      </w:pPr>
      <w:r w:rsidRPr="00D96EF6">
        <w:t xml:space="preserve">Clinical signs score (sum of signs [redness, scale and elevation] and </w:t>
      </w:r>
      <w:r w:rsidRPr="008D3180">
        <w:t>symptoms</w:t>
      </w:r>
      <w:r w:rsidRPr="00D96EF6">
        <w:t xml:space="preserve"> [pruritus]),</w:t>
      </w:r>
    </w:p>
    <w:p w:rsidR="00D96EF6" w:rsidRPr="00D96EF6" w:rsidRDefault="00D96EF6" w:rsidP="008D3180">
      <w:pPr>
        <w:pStyle w:val="ListBullet"/>
      </w:pPr>
      <w:r w:rsidRPr="008D3180">
        <w:t>Physician’s</w:t>
      </w:r>
      <w:r w:rsidRPr="00D96EF6">
        <w:t xml:space="preserve"> Global Assessment (</w:t>
      </w:r>
      <w:proofErr w:type="spellStart"/>
      <w:r w:rsidRPr="00D96EF6">
        <w:t>PhGA</w:t>
      </w:r>
      <w:proofErr w:type="spellEnd"/>
      <w:r w:rsidRPr="00D96EF6">
        <w:t>) of improvement, and</w:t>
      </w:r>
    </w:p>
    <w:p w:rsidR="00D96EF6" w:rsidRPr="00D96EF6" w:rsidRDefault="003E5C3A" w:rsidP="008D3180">
      <w:pPr>
        <w:pStyle w:val="ListBullet"/>
      </w:pPr>
      <w:r w:rsidRPr="008D3180">
        <w:t>PASI</w:t>
      </w:r>
      <w:r w:rsidR="008D3180">
        <w:t>.</w:t>
      </w:r>
    </w:p>
    <w:p w:rsidR="00D96EF6" w:rsidRDefault="00D96EF6" w:rsidP="008D3180">
      <w:r>
        <w:t>Patient assessed measures are also important in PSOR studies to support the investigator assessments. These included health related QOL outcomes as well as symptom improvement, tolerability of the investigational product and Patient’s Global Assessment (</w:t>
      </w:r>
      <w:proofErr w:type="spellStart"/>
      <w:r>
        <w:t>PtGA</w:t>
      </w:r>
      <w:proofErr w:type="spellEnd"/>
      <w:r>
        <w:t>) of change.</w:t>
      </w:r>
    </w:p>
    <w:p w:rsidR="00605AD4" w:rsidRPr="00605AD4" w:rsidRDefault="00605AD4" w:rsidP="008D3180">
      <w:pPr>
        <w:pStyle w:val="Heading4"/>
      </w:pPr>
      <w:r w:rsidRPr="00605AD4">
        <w:t xml:space="preserve">Contents of the </w:t>
      </w:r>
      <w:r w:rsidRPr="008D3180">
        <w:t>clinical</w:t>
      </w:r>
      <w:r w:rsidRPr="00605AD4">
        <w:t xml:space="preserve"> dossier</w:t>
      </w:r>
    </w:p>
    <w:p w:rsidR="00D96EF6" w:rsidRDefault="00D96EF6" w:rsidP="008D3180">
      <w:r>
        <w:t>The submission contained the following clinical information:</w:t>
      </w:r>
    </w:p>
    <w:p w:rsidR="00D96EF6" w:rsidRPr="00D96EF6" w:rsidRDefault="00D96EF6" w:rsidP="008D3180">
      <w:pPr>
        <w:pStyle w:val="ListBullet"/>
      </w:pPr>
      <w:r w:rsidRPr="00D96EF6">
        <w:t>16 clinical pharmacology studies, including 15 that provided pharmacokinetic data and 1 that provided pharmacodynamic data.</w:t>
      </w:r>
    </w:p>
    <w:p w:rsidR="00D96EF6" w:rsidRPr="00D96EF6" w:rsidRDefault="00D96EF6" w:rsidP="008D3180">
      <w:pPr>
        <w:pStyle w:val="ListBullet"/>
      </w:pPr>
      <w:r w:rsidRPr="00D96EF6">
        <w:t>5 popul</w:t>
      </w:r>
      <w:r w:rsidR="0057623E">
        <w:t>ation pharmacokinetic analyses</w:t>
      </w:r>
      <w:r w:rsidRPr="00D96EF6">
        <w:t xml:space="preserve"> using datasets collected in Studies PSA-001, PSA-002, PSOR-005, PSOR-008 and </w:t>
      </w:r>
      <w:r w:rsidRPr="008D3180">
        <w:t>RA</w:t>
      </w:r>
      <w:r w:rsidRPr="00D96EF6">
        <w:t>-002.</w:t>
      </w:r>
    </w:p>
    <w:p w:rsidR="00D96EF6" w:rsidRPr="00D96EF6" w:rsidRDefault="00D96EF6" w:rsidP="008D3180">
      <w:pPr>
        <w:pStyle w:val="ListBullet"/>
      </w:pPr>
      <w:r w:rsidRPr="00D96EF6">
        <w:t>6 p</w:t>
      </w:r>
      <w:r w:rsidR="0057623E">
        <w:t>ivotal efficacy/safety studies:</w:t>
      </w:r>
      <w:r w:rsidRPr="00D96EF6">
        <w:t xml:space="preserve"> 4 relating to the </w:t>
      </w:r>
      <w:proofErr w:type="spellStart"/>
      <w:r w:rsidRPr="00D96EF6">
        <w:t>PsA</w:t>
      </w:r>
      <w:proofErr w:type="spellEnd"/>
      <w:r w:rsidRPr="00D96EF6">
        <w:t xml:space="preserve"> indication (Studies PSA-002, PSA-003, PSA-004 and PSA-005) and 2 for the PSOR indication (PSOR-008 and PSOR-009).</w:t>
      </w:r>
    </w:p>
    <w:p w:rsidR="00D96EF6" w:rsidRPr="00D96EF6" w:rsidRDefault="0057623E" w:rsidP="008D3180">
      <w:pPr>
        <w:pStyle w:val="ListBullet"/>
      </w:pPr>
      <w:r>
        <w:t>2 dose finding studies:</w:t>
      </w:r>
      <w:r w:rsidR="00D96EF6" w:rsidRPr="00D96EF6">
        <w:t xml:space="preserve"> 1 in </w:t>
      </w:r>
      <w:proofErr w:type="spellStart"/>
      <w:r w:rsidR="00D96EF6" w:rsidRPr="00D96EF6">
        <w:t>PsA</w:t>
      </w:r>
      <w:proofErr w:type="spellEnd"/>
      <w:r w:rsidR="00D96EF6" w:rsidRPr="00D96EF6">
        <w:t xml:space="preserve"> (Study PSA-001) and 1 in PSOR (Study PSOR-005).</w:t>
      </w:r>
    </w:p>
    <w:p w:rsidR="00D96EF6" w:rsidRPr="00D96EF6" w:rsidRDefault="00D96EF6" w:rsidP="008D3180">
      <w:pPr>
        <w:pStyle w:val="ListBullet"/>
      </w:pPr>
      <w:r w:rsidRPr="00D96EF6">
        <w:t>3 other efficacy/safety studies conducted in adult subjects with PSOR (Studies PSOR-001, PSOR-004 and PSOR-003). In addition, the submission contained 3 clinical studies in different patient groups as supporting safety and PK data. These studies were ASTH-001 (mild asthma), BCT-001 (</w:t>
      </w:r>
      <w:proofErr w:type="spellStart"/>
      <w:r w:rsidRPr="00D96EF6">
        <w:t>Behcet’s</w:t>
      </w:r>
      <w:proofErr w:type="spellEnd"/>
      <w:r w:rsidRPr="00D96EF6">
        <w:t xml:space="preserve"> Disease) and RA-002 (Rheumatoid Arthritis).</w:t>
      </w:r>
    </w:p>
    <w:p w:rsidR="00D96EF6" w:rsidRPr="00D96EF6" w:rsidRDefault="00D96EF6" w:rsidP="008D3180">
      <w:pPr>
        <w:pStyle w:val="ListBullet"/>
      </w:pPr>
      <w:r w:rsidRPr="00D96EF6">
        <w:t xml:space="preserve">No pooled analyses or meta-analyses were part of this submission; however, the sponsor provided a </w:t>
      </w:r>
      <w:r w:rsidRPr="008D3180">
        <w:t>comparison</w:t>
      </w:r>
      <w:r w:rsidRPr="00D96EF6">
        <w:t xml:space="preserve"> and analysis of the results across the similarly designed and conducted Phase </w:t>
      </w:r>
      <w:r w:rsidR="0057623E">
        <w:t>III</w:t>
      </w:r>
      <w:r w:rsidRPr="00D96EF6">
        <w:t xml:space="preserve"> trials in each of the proposed treatment indications.</w:t>
      </w:r>
    </w:p>
    <w:p w:rsidR="00605AD4" w:rsidRPr="00605AD4" w:rsidRDefault="00605AD4" w:rsidP="008D3180">
      <w:pPr>
        <w:pStyle w:val="Heading4"/>
      </w:pPr>
      <w:r w:rsidRPr="008D3180">
        <w:t>Paediatric</w:t>
      </w:r>
      <w:r w:rsidRPr="00605AD4">
        <w:t xml:space="preserve"> data</w:t>
      </w:r>
    </w:p>
    <w:p w:rsidR="003164FC" w:rsidRDefault="003164FC" w:rsidP="008D3180">
      <w:r>
        <w:t>The submission d</w:t>
      </w:r>
      <w:r w:rsidR="008D3180">
        <w:t>id not include paediatric data.</w:t>
      </w:r>
    </w:p>
    <w:p w:rsidR="00605AD4" w:rsidRDefault="00605AD4" w:rsidP="008D3180">
      <w:pPr>
        <w:pStyle w:val="Heading4"/>
      </w:pPr>
      <w:r w:rsidRPr="00605AD4">
        <w:t xml:space="preserve">Good clinical </w:t>
      </w:r>
      <w:r w:rsidRPr="008D3180">
        <w:t>practice</w:t>
      </w:r>
    </w:p>
    <w:p w:rsidR="003164FC" w:rsidRDefault="003164FC" w:rsidP="008D3180">
      <w:bookmarkStart w:id="72" w:name="_Toc241374282"/>
      <w:r>
        <w:t>All of the studies in</w:t>
      </w:r>
      <w:r w:rsidRPr="00CC4BCB">
        <w:t xml:space="preserve"> the </w:t>
      </w:r>
      <w:r w:rsidR="00EE6D80">
        <w:t>APR</w:t>
      </w:r>
      <w:r>
        <w:t xml:space="preserve"> clinical development program</w:t>
      </w:r>
      <w:r w:rsidRPr="00CC4BCB">
        <w:t xml:space="preserve"> </w:t>
      </w:r>
      <w:r>
        <w:t xml:space="preserve">for the treatment and prevention of </w:t>
      </w:r>
      <w:proofErr w:type="spellStart"/>
      <w:r>
        <w:t>PsA</w:t>
      </w:r>
      <w:proofErr w:type="spellEnd"/>
      <w:r>
        <w:t xml:space="preserve"> and PSOR </w:t>
      </w:r>
      <w:r w:rsidRPr="00CC4BCB">
        <w:t>were conducted in accordance with the principles of Good Clinical Practice (GCP) and compliance with</w:t>
      </w:r>
      <w:r>
        <w:t xml:space="preserve"> eth</w:t>
      </w:r>
      <w:r w:rsidR="00662C5D">
        <w:t>ical requirements were</w:t>
      </w:r>
      <w:r>
        <w:t xml:space="preserve"> met.</w:t>
      </w:r>
    </w:p>
    <w:p w:rsidR="008E7846" w:rsidRPr="00254787" w:rsidRDefault="008E7846" w:rsidP="008D3180">
      <w:pPr>
        <w:pStyle w:val="Heading3"/>
      </w:pPr>
      <w:bookmarkStart w:id="73" w:name="_Toc436140478"/>
      <w:bookmarkEnd w:id="72"/>
      <w:r w:rsidRPr="008D3180">
        <w:lastRenderedPageBreak/>
        <w:t>Pharmacokinetics</w:t>
      </w:r>
      <w:bookmarkEnd w:id="62"/>
      <w:bookmarkEnd w:id="69"/>
      <w:bookmarkEnd w:id="70"/>
      <w:bookmarkEnd w:id="71"/>
      <w:bookmarkEnd w:id="73"/>
    </w:p>
    <w:p w:rsidR="00605AD4" w:rsidRDefault="00605AD4" w:rsidP="008D3180">
      <w:pPr>
        <w:pStyle w:val="Heading4"/>
      </w:pPr>
      <w:r>
        <w:t xml:space="preserve">Studies providing </w:t>
      </w:r>
      <w:r w:rsidRPr="008D3180">
        <w:t>pharmacokinetic</w:t>
      </w:r>
      <w:r w:rsidR="008D3180">
        <w:t xml:space="preserve"> data</w:t>
      </w:r>
    </w:p>
    <w:p w:rsidR="00357E21" w:rsidRDefault="00357E21" w:rsidP="008D3180">
      <w:r>
        <w:t xml:space="preserve">A total of 16 clinical pharmacology studies in humans have been conducted with </w:t>
      </w:r>
      <w:r w:rsidR="00EE6D80">
        <w:t>APR</w:t>
      </w:r>
      <w:r>
        <w:t>, 13 of which were in healthy subjects (n</w:t>
      </w:r>
      <w:r w:rsidR="004C61D6">
        <w:t xml:space="preserve"> </w:t>
      </w:r>
      <w:r>
        <w:t>=</w:t>
      </w:r>
      <w:r w:rsidR="004C61D6">
        <w:t xml:space="preserve"> </w:t>
      </w:r>
      <w:r>
        <w:t>422) and 3 trials were in non-healthy subjects (n</w:t>
      </w:r>
      <w:r w:rsidR="004C61D6">
        <w:t xml:space="preserve"> </w:t>
      </w:r>
      <w:r>
        <w:t>=</w:t>
      </w:r>
      <w:r w:rsidR="004C61D6">
        <w:t xml:space="preserve"> </w:t>
      </w:r>
      <w:r>
        <w:t xml:space="preserve">39). The non-healthy subjects comprise 15 subjects with </w:t>
      </w:r>
      <w:proofErr w:type="spellStart"/>
      <w:r>
        <w:t>PsA</w:t>
      </w:r>
      <w:proofErr w:type="spellEnd"/>
      <w:r>
        <w:t xml:space="preserve"> or rheumatoid arthritis (RA), 8 subjects with severe renal impairment and 16 subjects with hepatic impairment. In the non-crossover studies, 108 subjects received a single dose of </w:t>
      </w:r>
      <w:r w:rsidR="00EE6D80">
        <w:t>APR</w:t>
      </w:r>
      <w:r>
        <w:t xml:space="preserve"> and 75 subjects received multiple doses of </w:t>
      </w:r>
      <w:r w:rsidR="00EE6D80">
        <w:t>APR</w:t>
      </w:r>
      <w:r>
        <w:t xml:space="preserve">. In the crossover trials, 143 subjects received single doses and 110 subjects received multiple doses of </w:t>
      </w:r>
      <w:r w:rsidR="00EE6D80">
        <w:t>APR</w:t>
      </w:r>
      <w:r w:rsidR="008D3180">
        <w:t>.</w:t>
      </w:r>
    </w:p>
    <w:p w:rsidR="00357E21" w:rsidRDefault="00357E21" w:rsidP="008D3180">
      <w:r>
        <w:t xml:space="preserve">All of the clinical pharmacology studies have been completed. Table </w:t>
      </w:r>
      <w:r w:rsidR="009461B9">
        <w:t>6</w:t>
      </w:r>
      <w:r>
        <w:t xml:space="preserve"> shows the studies r</w:t>
      </w:r>
      <w:r w:rsidR="003F2134">
        <w:t>elating to each pharmacokinetic</w:t>
      </w:r>
      <w:r>
        <w:t xml:space="preserve"> topic and the location of each study summary. None of the </w:t>
      </w:r>
      <w:r w:rsidR="003F2134">
        <w:t>pharmacokinetic</w:t>
      </w:r>
      <w:r>
        <w:t xml:space="preserve"> studies had deficiencies that excluded their results from consideration.</w:t>
      </w:r>
    </w:p>
    <w:p w:rsidR="006B656A" w:rsidRDefault="006B656A" w:rsidP="008D3180">
      <w:pPr>
        <w:pStyle w:val="TableTitle"/>
      </w:pPr>
      <w:proofErr w:type="gramStart"/>
      <w:r>
        <w:t xml:space="preserve">Table </w:t>
      </w:r>
      <w:r w:rsidR="009461B9">
        <w:t>6</w:t>
      </w:r>
      <w:r>
        <w:t>:</w:t>
      </w:r>
      <w:r w:rsidRPr="004C5C28">
        <w:t xml:space="preserve"> </w:t>
      </w:r>
      <w:r w:rsidR="007E4BE7" w:rsidRPr="007E4BE7">
        <w:t xml:space="preserve">Submitted </w:t>
      </w:r>
      <w:r w:rsidR="00CE1158">
        <w:t>p</w:t>
      </w:r>
      <w:r w:rsidR="007E4BE7" w:rsidRPr="007E4BE7">
        <w:t xml:space="preserve">harmacokinetic </w:t>
      </w:r>
      <w:r w:rsidR="00CE1158">
        <w:t>s</w:t>
      </w:r>
      <w:r w:rsidR="007E4BE7" w:rsidRPr="007E4BE7">
        <w:t xml:space="preserve">tudies for </w:t>
      </w:r>
      <w:r w:rsidR="00EE6D80">
        <w:t>APR</w:t>
      </w:r>
      <w:r>
        <w:t>.</w:t>
      </w:r>
      <w:proofErr w:type="gramEnd"/>
    </w:p>
    <w:p w:rsidR="003D13F1" w:rsidRDefault="00FC6043" w:rsidP="008D3180">
      <w:r>
        <w:rPr>
          <w:noProof/>
          <w:lang w:eastAsia="en-AU"/>
        </w:rPr>
        <w:drawing>
          <wp:inline distT="0" distB="0" distL="0" distR="0" wp14:anchorId="1530FD5D" wp14:editId="13748A04">
            <wp:extent cx="4936639" cy="4471456"/>
            <wp:effectExtent l="0" t="0" r="0" b="5715"/>
            <wp:docPr id="3" name="Picture 3" descr="Table 6: Submitted pharmacokinetic studies for APR." title="Table 6: Submitted pharmacokinetic studies for 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36063" cy="4470934"/>
                    </a:xfrm>
                    <a:prstGeom prst="rect">
                      <a:avLst/>
                    </a:prstGeom>
                  </pic:spPr>
                </pic:pic>
              </a:graphicData>
            </a:graphic>
          </wp:inline>
        </w:drawing>
      </w:r>
    </w:p>
    <w:p w:rsidR="005B0C74" w:rsidRDefault="005B0C74" w:rsidP="008D3180">
      <w:pPr>
        <w:pStyle w:val="TableDescription"/>
      </w:pPr>
      <w:r w:rsidRPr="00AF6927">
        <w:t>†</w:t>
      </w:r>
      <w:r>
        <w:t xml:space="preserve"> Bioequivalence of different formulations.</w:t>
      </w:r>
    </w:p>
    <w:p w:rsidR="005B0C74" w:rsidRDefault="005B0C74" w:rsidP="008D3180">
      <w:pPr>
        <w:pStyle w:val="TableDescription"/>
        <w:rPr>
          <w:szCs w:val="20"/>
        </w:rPr>
      </w:pPr>
      <w:r w:rsidRPr="00BF3808">
        <w:t>§</w:t>
      </w:r>
      <w:r>
        <w:rPr>
          <w:szCs w:val="20"/>
        </w:rPr>
        <w:t xml:space="preserve"> Subjects who would be eligible to receive </w:t>
      </w:r>
      <w:r w:rsidR="00EE6D80">
        <w:rPr>
          <w:szCs w:val="20"/>
        </w:rPr>
        <w:t>APR</w:t>
      </w:r>
      <w:r>
        <w:rPr>
          <w:szCs w:val="20"/>
        </w:rPr>
        <w:t xml:space="preserve"> if approved for the proposed treatment indications.</w:t>
      </w:r>
    </w:p>
    <w:p w:rsidR="00F00CE7" w:rsidRDefault="00F00CE7" w:rsidP="008D3180">
      <w:r>
        <w:t>Of the 16 clinical pharmacology studies:</w:t>
      </w:r>
    </w:p>
    <w:p w:rsidR="00F00CE7" w:rsidRPr="00357E21" w:rsidRDefault="00F00CE7" w:rsidP="008D3180">
      <w:pPr>
        <w:pStyle w:val="ListBullet"/>
      </w:pPr>
      <w:r w:rsidRPr="00357E21">
        <w:t>Nine were single</w:t>
      </w:r>
      <w:r w:rsidR="00E96BD3">
        <w:t xml:space="preserve"> </w:t>
      </w:r>
      <w:r w:rsidRPr="00357E21">
        <w:t>dose studies in health</w:t>
      </w:r>
      <w:r w:rsidR="00E96BD3">
        <w:t>y subjects that evaluated the pharmacokinetics</w:t>
      </w:r>
      <w:r w:rsidRPr="00357E21">
        <w:t xml:space="preserve">, bioavailability, food effect, drug interaction with ketoconazole and rifampicin, and the effects of age, gender, and ethnicity (Japanese/Chinese/Caucasian) on </w:t>
      </w:r>
      <w:r w:rsidR="00E96BD3">
        <w:t>pharmacokinetics</w:t>
      </w:r>
      <w:r w:rsidRPr="00357E21">
        <w:t>.</w:t>
      </w:r>
    </w:p>
    <w:p w:rsidR="00F00CE7" w:rsidRPr="00357E21" w:rsidRDefault="00F00CE7" w:rsidP="008D3180">
      <w:pPr>
        <w:pStyle w:val="ListBullet"/>
      </w:pPr>
      <w:r w:rsidRPr="00357E21">
        <w:lastRenderedPageBreak/>
        <w:t>Two were single</w:t>
      </w:r>
      <w:r w:rsidR="00E96BD3">
        <w:t xml:space="preserve"> </w:t>
      </w:r>
      <w:r w:rsidRPr="00357E21">
        <w:t xml:space="preserve">dose trials in </w:t>
      </w:r>
      <w:proofErr w:type="spellStart"/>
      <w:r w:rsidRPr="00357E21">
        <w:t>non</w:t>
      </w:r>
      <w:r w:rsidR="00E96BD3">
        <w:t xml:space="preserve"> </w:t>
      </w:r>
      <w:r w:rsidRPr="00357E21">
        <w:t>healthy</w:t>
      </w:r>
      <w:proofErr w:type="spellEnd"/>
      <w:r w:rsidRPr="00357E21">
        <w:t xml:space="preserve"> subjects that evaluated the effect of hepatic or renal impairment on the </w:t>
      </w:r>
      <w:r w:rsidR="00E96BD3">
        <w:t>pharmacokinetics</w:t>
      </w:r>
      <w:r w:rsidRPr="00357E21">
        <w:t xml:space="preserve"> of </w:t>
      </w:r>
      <w:r w:rsidR="00EE6D80">
        <w:t>APR</w:t>
      </w:r>
      <w:r w:rsidRPr="00357E21">
        <w:t>.</w:t>
      </w:r>
    </w:p>
    <w:p w:rsidR="00F00CE7" w:rsidRPr="00357E21" w:rsidRDefault="00F00CE7" w:rsidP="008D3180">
      <w:pPr>
        <w:pStyle w:val="ListBullet"/>
      </w:pPr>
      <w:r w:rsidRPr="00357E21">
        <w:t>Four were multiple</w:t>
      </w:r>
      <w:r w:rsidR="00E96BD3">
        <w:t xml:space="preserve"> </w:t>
      </w:r>
      <w:r w:rsidRPr="00357E21">
        <w:t xml:space="preserve">dose studies in healthy subjects that evaluated </w:t>
      </w:r>
      <w:r w:rsidR="009D1495">
        <w:t>pharmacokinetics</w:t>
      </w:r>
      <w:r w:rsidRPr="00357E21">
        <w:t xml:space="preserve">, drug interaction with oral contraceptives (OC), and 1 trial </w:t>
      </w:r>
      <w:r w:rsidRPr="008D3180">
        <w:t>was</w:t>
      </w:r>
      <w:r w:rsidRPr="00357E21">
        <w:t xml:space="preserve"> a thorough assessment of the effect of </w:t>
      </w:r>
      <w:r w:rsidR="00EE6D80">
        <w:t>APR</w:t>
      </w:r>
      <w:r w:rsidRPr="00357E21">
        <w:t xml:space="preserve"> on the QT interval corrected (</w:t>
      </w:r>
      <w:proofErr w:type="spellStart"/>
      <w:r w:rsidRPr="00357E21">
        <w:t>QTc</w:t>
      </w:r>
      <w:proofErr w:type="spellEnd"/>
      <w:r w:rsidRPr="00357E21">
        <w:t xml:space="preserve">). The </w:t>
      </w:r>
      <w:proofErr w:type="spellStart"/>
      <w:r w:rsidRPr="00357E21">
        <w:t>QTc</w:t>
      </w:r>
      <w:proofErr w:type="spellEnd"/>
      <w:r w:rsidRPr="00357E21">
        <w:t xml:space="preserve"> interval study (PK-008) will be covered in the pharmacodynamic section of this report.</w:t>
      </w:r>
    </w:p>
    <w:p w:rsidR="00F00CE7" w:rsidRDefault="00F00CE7" w:rsidP="008D3180">
      <w:pPr>
        <w:pStyle w:val="ListBullet"/>
      </w:pPr>
      <w:r w:rsidRPr="00357E21">
        <w:t>One was a multiple</w:t>
      </w:r>
      <w:r w:rsidR="009D1495">
        <w:t xml:space="preserve"> </w:t>
      </w:r>
      <w:r w:rsidRPr="00357E21">
        <w:t xml:space="preserve">dose study in non-healthy (special population) subjects that evaluated the </w:t>
      </w:r>
      <w:r w:rsidR="00763FAE">
        <w:t>pharmacokinetic</w:t>
      </w:r>
      <w:r w:rsidRPr="00357E21">
        <w:t xml:space="preserve"> interaction with </w:t>
      </w:r>
      <w:r>
        <w:t xml:space="preserve">MTX in </w:t>
      </w:r>
      <w:r w:rsidRPr="008D3180">
        <w:t>subjects</w:t>
      </w:r>
      <w:r>
        <w:t xml:space="preserve"> with </w:t>
      </w:r>
      <w:proofErr w:type="spellStart"/>
      <w:r>
        <w:t>PsA</w:t>
      </w:r>
      <w:proofErr w:type="spellEnd"/>
      <w:r>
        <w:t xml:space="preserve"> or RA.</w:t>
      </w:r>
    </w:p>
    <w:p w:rsidR="00F00CE7" w:rsidRPr="00357E21" w:rsidRDefault="00F00CE7" w:rsidP="008D3180">
      <w:r w:rsidRPr="00357E21">
        <w:t xml:space="preserve">In addition, the </w:t>
      </w:r>
      <w:r w:rsidR="00431690">
        <w:t>pharmacokinetics</w:t>
      </w:r>
      <w:r w:rsidRPr="00357E21">
        <w:t xml:space="preserve"> of </w:t>
      </w:r>
      <w:r w:rsidR="00EE6D80">
        <w:t>APR</w:t>
      </w:r>
      <w:r w:rsidRPr="00357E21">
        <w:t xml:space="preserve"> was al</w:t>
      </w:r>
      <w:r w:rsidR="00431690">
        <w:t>so evaluated in 9 of the Phase II</w:t>
      </w:r>
      <w:r w:rsidRPr="00357E21">
        <w:t xml:space="preserve"> </w:t>
      </w:r>
      <w:r w:rsidR="00431690">
        <w:t>or III</w:t>
      </w:r>
      <w:r w:rsidRPr="00357E21">
        <w:t xml:space="preserve"> studies in subjects with </w:t>
      </w:r>
      <w:proofErr w:type="spellStart"/>
      <w:r w:rsidRPr="00357E21">
        <w:t>PsA</w:t>
      </w:r>
      <w:proofErr w:type="spellEnd"/>
      <w:r w:rsidRPr="00357E21">
        <w:t>, PSOR, asthma and RA.</w:t>
      </w:r>
    </w:p>
    <w:p w:rsidR="00605AD4" w:rsidRPr="00FB2770" w:rsidRDefault="00605AD4" w:rsidP="008D3180">
      <w:pPr>
        <w:pStyle w:val="Heading4"/>
      </w:pPr>
      <w:r w:rsidRPr="008D3180">
        <w:t>Evaluator’s</w:t>
      </w:r>
      <w:r>
        <w:t xml:space="preserve"> conclusions on pharmacokinetics</w:t>
      </w:r>
    </w:p>
    <w:p w:rsidR="001709BA" w:rsidRDefault="00EE6D80" w:rsidP="008D3180">
      <w:bookmarkStart w:id="74" w:name="_Toc196046481"/>
      <w:bookmarkStart w:id="75" w:name="_Toc247691520"/>
      <w:bookmarkStart w:id="76" w:name="_Toc314842503"/>
      <w:r>
        <w:t>APR</w:t>
      </w:r>
      <w:r w:rsidR="001709BA">
        <w:t xml:space="preserve"> is well absorbed after oral administration with an absolute oral bioavailabi</w:t>
      </w:r>
      <w:r w:rsidR="00AC5C8A">
        <w:t xml:space="preserve">lity of 73%, and a </w:t>
      </w:r>
      <w:proofErr w:type="spellStart"/>
      <w:r w:rsidR="001709BA">
        <w:t>T</w:t>
      </w:r>
      <w:r w:rsidR="001709BA">
        <w:rPr>
          <w:vertAlign w:val="subscript"/>
        </w:rPr>
        <w:t>max</w:t>
      </w:r>
      <w:proofErr w:type="spellEnd"/>
      <w:r w:rsidR="001709BA">
        <w:t xml:space="preserve"> of 2</w:t>
      </w:r>
      <w:r w:rsidR="00AC5C8A">
        <w:t>.5 h</w:t>
      </w:r>
      <w:r w:rsidR="001709BA">
        <w:t xml:space="preserve">. </w:t>
      </w:r>
      <w:r>
        <w:t>APR</w:t>
      </w:r>
      <w:r w:rsidR="001709BA">
        <w:t xml:space="preserve"> demonstrates linear </w:t>
      </w:r>
      <w:r w:rsidR="00B62EE0">
        <w:t>pharmacokinetics</w:t>
      </w:r>
      <w:r w:rsidR="001709BA">
        <w:t xml:space="preserve"> with a dose proportional increase in systemic exposure over the dose range of 10-100 mg daily. There is minimal accumulation of the drug when </w:t>
      </w:r>
      <w:r>
        <w:t>APR</w:t>
      </w:r>
      <w:r w:rsidR="001709BA">
        <w:t xml:space="preserve"> is administered twice daily versus once daily. Co-administration of food does not alter bioavailability.</w:t>
      </w:r>
    </w:p>
    <w:p w:rsidR="001709BA" w:rsidRDefault="001709BA" w:rsidP="008D3180">
      <w:r>
        <w:t xml:space="preserve">Human plasma protein binding of </w:t>
      </w:r>
      <w:r w:rsidR="00EE6D80">
        <w:t>APR</w:t>
      </w:r>
      <w:r>
        <w:t xml:space="preserve"> is approximately 68%. The mean apparent volume of distribution is 87</w:t>
      </w:r>
      <w:r w:rsidR="001E6F28">
        <w:t xml:space="preserve"> </w:t>
      </w:r>
      <w:r>
        <w:t xml:space="preserve">L, which is consistent with extravascular distribution. </w:t>
      </w:r>
      <w:r w:rsidR="00EE6D80">
        <w:t>APR</w:t>
      </w:r>
      <w:r>
        <w:t xml:space="preserve"> is extensively metaboli</w:t>
      </w:r>
      <w:r w:rsidR="007D317B">
        <w:t>s</w:t>
      </w:r>
      <w:r>
        <w:t xml:space="preserve">ed through hepatic cytochrome oxidative metabolism with subsequent </w:t>
      </w:r>
      <w:proofErr w:type="spellStart"/>
      <w:r>
        <w:t>glucuronidation</w:t>
      </w:r>
      <w:proofErr w:type="spellEnd"/>
      <w:r>
        <w:t>, and non</w:t>
      </w:r>
      <w:r w:rsidR="007D317B">
        <w:t xml:space="preserve"> </w:t>
      </w:r>
      <w:r>
        <w:t xml:space="preserve">CYP mediated hydrolysis. The primary pathway of metabolism is by CYP3A4 with a minor contribution from CYP1A2 and CYP2A6. </w:t>
      </w:r>
      <w:r w:rsidR="00EE6D80">
        <w:t>APR</w:t>
      </w:r>
      <w:r w:rsidR="0081742A">
        <w:t xml:space="preserve"> does</w:t>
      </w:r>
      <w:r>
        <w:t xml:space="preserve"> not inhibit or induce CYP enzymes </w:t>
      </w:r>
      <w:r w:rsidRPr="00721A70">
        <w:rPr>
          <w:i/>
        </w:rPr>
        <w:t>in vitro</w:t>
      </w:r>
      <w:r>
        <w:t xml:space="preserve">, suggesting that it is unlikely to have clinically significant drug-drug interactions with medicines metabolized by the CYP enzymes. Co-administration of the strong CYP3A4 inducer rifampicin resulted in a 72% reduction of </w:t>
      </w:r>
      <w:r w:rsidR="00EE6D80">
        <w:t>APR</w:t>
      </w:r>
      <w:r>
        <w:t xml:space="preserve"> exposure (AUC). The proposed PI recommends avoiding the concomitant use of strong CYP450 inducers with </w:t>
      </w:r>
      <w:r w:rsidR="00EE6D80">
        <w:t>APR</w:t>
      </w:r>
      <w:r>
        <w:t xml:space="preserve">. </w:t>
      </w:r>
      <w:r w:rsidRPr="00172651">
        <w:rPr>
          <w:i/>
        </w:rPr>
        <w:t>In vitro</w:t>
      </w:r>
      <w:r>
        <w:t xml:space="preserve"> data suggests that </w:t>
      </w:r>
      <w:r w:rsidR="00EE6D80">
        <w:t>APR</w:t>
      </w:r>
      <w:r>
        <w:t xml:space="preserve"> is a substrate and a weak inhibitor of p-</w:t>
      </w:r>
      <w:proofErr w:type="gramStart"/>
      <w:r>
        <w:t>glycoprotein,</w:t>
      </w:r>
      <w:proofErr w:type="gramEnd"/>
      <w:r>
        <w:t xml:space="preserve"> however </w:t>
      </w:r>
      <w:r w:rsidRPr="00172651">
        <w:rPr>
          <w:i/>
        </w:rPr>
        <w:t>in vivo</w:t>
      </w:r>
      <w:r>
        <w:t xml:space="preserve"> data indicates that </w:t>
      </w:r>
      <w:r w:rsidR="00EE6D80">
        <w:t>APR</w:t>
      </w:r>
      <w:r>
        <w:t xml:space="preserve"> is unlikely to have drug-drug interactions with medicines that are inhibitors of p-glycoprotein. </w:t>
      </w:r>
      <w:r w:rsidR="00EE6D80">
        <w:t>APR</w:t>
      </w:r>
      <w:r>
        <w:t xml:space="preserve"> has no effect upon other drug transporter systems.</w:t>
      </w:r>
    </w:p>
    <w:p w:rsidR="001709BA" w:rsidRDefault="00EE6D80" w:rsidP="008D3180">
      <w:r>
        <w:t>APR</w:t>
      </w:r>
      <w:r w:rsidR="001709BA">
        <w:t xml:space="preserve"> has an el</w:t>
      </w:r>
      <w:r w:rsidR="001E6F28">
        <w:t>imination half-life of 5-7 h</w:t>
      </w:r>
      <w:r w:rsidR="001709BA">
        <w:t>. No formal studies have been conducted in patients with mild to moderate renal impairment. However, patients with severe renal impairment are recommended to receive a reduced dose of 30</w:t>
      </w:r>
      <w:r w:rsidR="007D317B">
        <w:t xml:space="preserve"> </w:t>
      </w:r>
      <w:r w:rsidR="001709BA">
        <w:t>mg once daily based on data in 8 subjects given a single 30</w:t>
      </w:r>
      <w:r w:rsidR="007D317B">
        <w:t xml:space="preserve"> </w:t>
      </w:r>
      <w:r w:rsidR="001709BA">
        <w:t xml:space="preserve">mg dose of </w:t>
      </w:r>
      <w:r>
        <w:t>APR</w:t>
      </w:r>
      <w:r w:rsidR="001709BA">
        <w:t xml:space="preserve"> which resulted in the AUC and </w:t>
      </w:r>
      <w:proofErr w:type="spellStart"/>
      <w:r w:rsidR="001709BA">
        <w:t>C</w:t>
      </w:r>
      <w:r w:rsidR="001709BA">
        <w:rPr>
          <w:vertAlign w:val="subscript"/>
        </w:rPr>
        <w:t>max</w:t>
      </w:r>
      <w:proofErr w:type="spellEnd"/>
      <w:r w:rsidR="001709BA">
        <w:rPr>
          <w:vertAlign w:val="subscript"/>
        </w:rPr>
        <w:t xml:space="preserve"> </w:t>
      </w:r>
      <w:r w:rsidR="001709BA">
        <w:t xml:space="preserve">of </w:t>
      </w:r>
      <w:r>
        <w:t>APR</w:t>
      </w:r>
      <w:r w:rsidR="001709BA">
        <w:t xml:space="preserve"> increasing by 89% and 42%, respectively. No dose adjustments are recommended for patients with hepatic impairment. There is no significant impact of age and gender on </w:t>
      </w:r>
      <w:r>
        <w:t>APR</w:t>
      </w:r>
      <w:r w:rsidR="001709BA">
        <w:t xml:space="preserve"> exposure. However, subject weight (&gt;100 kg) may result in faster clearance and a larger volume of distribution for </w:t>
      </w:r>
      <w:r>
        <w:t>APR</w:t>
      </w:r>
      <w:r w:rsidR="008D3180">
        <w:t>.</w:t>
      </w:r>
    </w:p>
    <w:p w:rsidR="008E7846" w:rsidRDefault="008E7846" w:rsidP="008D3180">
      <w:pPr>
        <w:pStyle w:val="Heading3"/>
      </w:pPr>
      <w:bookmarkStart w:id="77" w:name="_Toc436140479"/>
      <w:r w:rsidRPr="008D3180">
        <w:t>Pharmacodynamics</w:t>
      </w:r>
      <w:bookmarkEnd w:id="63"/>
      <w:bookmarkEnd w:id="74"/>
      <w:bookmarkEnd w:id="75"/>
      <w:bookmarkEnd w:id="76"/>
      <w:bookmarkEnd w:id="77"/>
    </w:p>
    <w:p w:rsidR="00605AD4" w:rsidRDefault="00605AD4" w:rsidP="008D3180">
      <w:pPr>
        <w:pStyle w:val="Heading4"/>
      </w:pPr>
      <w:r>
        <w:t xml:space="preserve">Studies </w:t>
      </w:r>
      <w:r w:rsidRPr="008D3180">
        <w:t>providing</w:t>
      </w:r>
      <w:r>
        <w:t xml:space="preserve"> </w:t>
      </w:r>
      <w:proofErr w:type="spellStart"/>
      <w:r>
        <w:t>pharmacodynamic</w:t>
      </w:r>
      <w:proofErr w:type="spellEnd"/>
      <w:r>
        <w:t xml:space="preserve"> data</w:t>
      </w:r>
    </w:p>
    <w:p w:rsidR="001709BA" w:rsidRDefault="007D317B" w:rsidP="008D3180">
      <w:r>
        <w:t>The pharmacodynamics</w:t>
      </w:r>
      <w:r w:rsidR="001709BA">
        <w:t xml:space="preserve"> of </w:t>
      </w:r>
      <w:r w:rsidR="00EE6D80">
        <w:t>APR</w:t>
      </w:r>
      <w:r w:rsidR="001709BA">
        <w:t xml:space="preserve"> has been studied in 3 PSOR trials (PSOR-001, PSOR-004 and P</w:t>
      </w:r>
      <w:r>
        <w:t xml:space="preserve">SOR-009), 1 </w:t>
      </w:r>
      <w:proofErr w:type="spellStart"/>
      <w:r>
        <w:t>PsA</w:t>
      </w:r>
      <w:proofErr w:type="spellEnd"/>
      <w:r>
        <w:t xml:space="preserve"> study (PSA-002), </w:t>
      </w:r>
      <w:r w:rsidR="001709BA">
        <w:t xml:space="preserve">and 1 specific QT trial (Study PK-008). None of the </w:t>
      </w:r>
      <w:r>
        <w:t>pharmacodynamic</w:t>
      </w:r>
      <w:r w:rsidR="001709BA">
        <w:t xml:space="preserve"> studies had deficiencies that excluded their results from consideration.</w:t>
      </w:r>
    </w:p>
    <w:p w:rsidR="00605AD4" w:rsidRDefault="00605AD4" w:rsidP="008D3180">
      <w:pPr>
        <w:pStyle w:val="Heading4"/>
      </w:pPr>
      <w:r>
        <w:lastRenderedPageBreak/>
        <w:t xml:space="preserve">Evaluator’s conclusions on </w:t>
      </w:r>
      <w:r w:rsidRPr="008D3180">
        <w:t>pharmacodynamics</w:t>
      </w:r>
    </w:p>
    <w:p w:rsidR="00EA27B1" w:rsidRDefault="00EA27B1" w:rsidP="008D3180">
      <w:r>
        <w:t xml:space="preserve">In both the </w:t>
      </w:r>
      <w:proofErr w:type="spellStart"/>
      <w:r>
        <w:t>PsA</w:t>
      </w:r>
      <w:proofErr w:type="spellEnd"/>
      <w:r>
        <w:t xml:space="preserve"> and PSOR trial programs, the biomarker analysis was exploratory in nature and designed to assess the effect of 2 doses of </w:t>
      </w:r>
      <w:r w:rsidR="00EE6D80">
        <w:t>APR</w:t>
      </w:r>
      <w:r>
        <w:t xml:space="preserve"> (20</w:t>
      </w:r>
      <w:r w:rsidR="001A292D">
        <w:t xml:space="preserve"> </w:t>
      </w:r>
      <w:r>
        <w:t>mg and 30</w:t>
      </w:r>
      <w:r w:rsidR="001A292D">
        <w:t xml:space="preserve"> </w:t>
      </w:r>
      <w:r>
        <w:t xml:space="preserve">mg twice daily) on a panel of 47 biomarkers associated with systemic inflammation. The </w:t>
      </w:r>
      <w:r w:rsidR="001A292D">
        <w:t>pharmacodynamic</w:t>
      </w:r>
      <w:r>
        <w:t xml:space="preserve"> sub-study of PSA-002 indicates that </w:t>
      </w:r>
      <w:r w:rsidR="00EE6D80">
        <w:t>APR</w:t>
      </w:r>
      <w:r>
        <w:t xml:space="preserve"> therapy (particularly, the 30</w:t>
      </w:r>
      <w:r w:rsidR="001A292D">
        <w:t xml:space="preserve"> </w:t>
      </w:r>
      <w:r>
        <w:t xml:space="preserve">mg twice daily regimen) may affect the plasma concentrations of several cytokines relevant to </w:t>
      </w:r>
      <w:proofErr w:type="spellStart"/>
      <w:r>
        <w:t>PsA</w:t>
      </w:r>
      <w:proofErr w:type="spellEnd"/>
      <w:r>
        <w:t xml:space="preserve">, but the clinical relevance of this observation is unclear. Similarly, the </w:t>
      </w:r>
      <w:r w:rsidR="001A292D">
        <w:t>pharmacodynamic</w:t>
      </w:r>
      <w:r>
        <w:t xml:space="preserve"> sub-study of PSOR-009 indicates that </w:t>
      </w:r>
      <w:r w:rsidR="00EE6D80">
        <w:t>APR</w:t>
      </w:r>
      <w:r>
        <w:t xml:space="preserve"> therapy may affect the plasma concentrations of several cytokines relevant to PSOR, but the clinical relevance of this observation is not established.</w:t>
      </w:r>
    </w:p>
    <w:p w:rsidR="00EA27B1" w:rsidRDefault="00EA27B1" w:rsidP="008D3180">
      <w:r>
        <w:t xml:space="preserve">In Studies PSOR-001 and PSOR-004, treatment with </w:t>
      </w:r>
      <w:r w:rsidR="00EE6D80">
        <w:t>APR</w:t>
      </w:r>
      <w:r>
        <w:t xml:space="preserve"> was associated with a decrease in dendritic cells and T</w:t>
      </w:r>
      <w:r w:rsidR="001A292D">
        <w:t xml:space="preserve"> </w:t>
      </w:r>
      <w:r>
        <w:t xml:space="preserve">cells infiltrating skin lesions, within the epidermis and dermis. Both studies also showed a significant decrease in </w:t>
      </w:r>
      <w:r w:rsidR="001A292D">
        <w:t>i</w:t>
      </w:r>
      <w:r w:rsidR="001A292D" w:rsidRPr="001A292D">
        <w:t xml:space="preserve">nducible Nitric Oxide Synthase </w:t>
      </w:r>
      <w:r w:rsidR="001A292D">
        <w:t>(</w:t>
      </w:r>
      <w:proofErr w:type="spellStart"/>
      <w:r>
        <w:t>iNOS</w:t>
      </w:r>
      <w:proofErr w:type="spellEnd"/>
      <w:r w:rsidR="001A292D">
        <w:t>)</w:t>
      </w:r>
      <w:r>
        <w:t xml:space="preserve"> gene expression in skin lesion biopsies taken 2, 4 or 12 weeks after treatment initiation. In Study PSOR-001, decreased whole blood TNF expression (</w:t>
      </w:r>
      <w:r w:rsidRPr="00AE0E7E">
        <w:rPr>
          <w:i/>
        </w:rPr>
        <w:t>ex vivo</w:t>
      </w:r>
      <w:r>
        <w:t>) in response t</w:t>
      </w:r>
      <w:r w:rsidR="00E15801">
        <w:t>o endotoxin was observed 2 h</w:t>
      </w:r>
      <w:r>
        <w:t xml:space="preserve"> after dosing with </w:t>
      </w:r>
      <w:r w:rsidR="00EE6D80">
        <w:t>APR</w:t>
      </w:r>
      <w:r>
        <w:t xml:space="preserve">. In Study PSOR-004, </w:t>
      </w:r>
      <w:r w:rsidR="00EE6D80">
        <w:t>APR</w:t>
      </w:r>
      <w:r>
        <w:t xml:space="preserve"> reduced lesion epidermal thickness and expression of pro-inflammatory genes and cytokines, including </w:t>
      </w:r>
      <w:proofErr w:type="spellStart"/>
      <w:r>
        <w:t>iNOS</w:t>
      </w:r>
      <w:proofErr w:type="spellEnd"/>
      <w:r>
        <w:t xml:space="preserve">, IL-12/IL-23p40, IL-17A, IL-22 and IL-8. The </w:t>
      </w:r>
      <w:r w:rsidR="001A292D">
        <w:t>pharmacodynamic</w:t>
      </w:r>
      <w:r>
        <w:t xml:space="preserve"> results of these 2 earlier phase PSOR trials support the biological activity of </w:t>
      </w:r>
      <w:r w:rsidR="00EE6D80">
        <w:t>APR</w:t>
      </w:r>
      <w:r>
        <w:t xml:space="preserve"> in treating PSOR.</w:t>
      </w:r>
    </w:p>
    <w:p w:rsidR="00EA27B1" w:rsidRDefault="00EA27B1" w:rsidP="00EA27B1">
      <w:r>
        <w:t>A well</w:t>
      </w:r>
      <w:r w:rsidR="001A292D">
        <w:t xml:space="preserve"> </w:t>
      </w:r>
      <w:r>
        <w:t xml:space="preserve">conducted QT study (PK-008) has been performed for </w:t>
      </w:r>
      <w:r w:rsidR="00EE6D80">
        <w:t>APR</w:t>
      </w:r>
      <w:r>
        <w:t xml:space="preserve"> and the findings indicate no significant </w:t>
      </w:r>
      <w:proofErr w:type="spellStart"/>
      <w:r>
        <w:t>QTc</w:t>
      </w:r>
      <w:proofErr w:type="spellEnd"/>
      <w:r>
        <w:t xml:space="preserve"> prolongation effect was detected at the doses tested (up to 100</w:t>
      </w:r>
      <w:r w:rsidR="001A292D">
        <w:t xml:space="preserve"> </w:t>
      </w:r>
      <w:r>
        <w:t>mg daily).</w:t>
      </w:r>
    </w:p>
    <w:p w:rsidR="008E7846" w:rsidRPr="00630FB7" w:rsidRDefault="00605AD4" w:rsidP="008D3180">
      <w:pPr>
        <w:pStyle w:val="Heading3"/>
      </w:pPr>
      <w:bookmarkStart w:id="78" w:name="_Toc436140480"/>
      <w:r>
        <w:t xml:space="preserve">Dosage </w:t>
      </w:r>
      <w:r w:rsidRPr="008D3180">
        <w:t>selection</w:t>
      </w:r>
      <w:r>
        <w:t xml:space="preserve"> for the pivotal studies</w:t>
      </w:r>
      <w:bookmarkEnd w:id="78"/>
    </w:p>
    <w:p w:rsidR="00EA27B1" w:rsidRDefault="00EA27B1" w:rsidP="008D3180">
      <w:bookmarkStart w:id="79" w:name="_Toc163441372"/>
      <w:bookmarkStart w:id="80" w:name="_Toc196046485"/>
      <w:bookmarkStart w:id="81" w:name="_Toc247691521"/>
      <w:bookmarkStart w:id="82" w:name="_Toc314842504"/>
      <w:r>
        <w:t xml:space="preserve">The effects of </w:t>
      </w:r>
      <w:r w:rsidR="00EE6D80">
        <w:t>APR</w:t>
      </w:r>
      <w:r>
        <w:t xml:space="preserve"> 20</w:t>
      </w:r>
      <w:r w:rsidR="001E1C5E">
        <w:t xml:space="preserve"> </w:t>
      </w:r>
      <w:r>
        <w:t xml:space="preserve">mg twice daily and </w:t>
      </w:r>
      <w:r w:rsidR="00EE6D80">
        <w:t>APR</w:t>
      </w:r>
      <w:r>
        <w:t xml:space="preserve"> 30</w:t>
      </w:r>
      <w:r w:rsidR="007E79FB">
        <w:t xml:space="preserve"> </w:t>
      </w:r>
      <w:r>
        <w:t xml:space="preserve">mg twice daily compared with </w:t>
      </w:r>
      <w:r w:rsidR="0011514D">
        <w:t xml:space="preserve">placebo </w:t>
      </w:r>
      <w:r>
        <w:t>(</w:t>
      </w:r>
      <w:r w:rsidR="00EF2586">
        <w:t>PBO) were studied in the Phase III</w:t>
      </w:r>
      <w:r>
        <w:t xml:space="preserve"> program to assess the benefit-risk of </w:t>
      </w:r>
      <w:r w:rsidR="00EE6D80">
        <w:t>APR</w:t>
      </w:r>
      <w:r>
        <w:t xml:space="preserve"> in both </w:t>
      </w:r>
      <w:proofErr w:type="spellStart"/>
      <w:r>
        <w:t>PsA</w:t>
      </w:r>
      <w:proofErr w:type="spellEnd"/>
      <w:r>
        <w:t xml:space="preserve"> and PSOR.</w:t>
      </w:r>
      <w:r w:rsidR="000F7001">
        <w:rPr>
          <w:rStyle w:val="FootnoteReference"/>
        </w:rPr>
        <w:footnoteReference w:id="21"/>
      </w:r>
      <w:r>
        <w:t xml:space="preserve"> These doses of </w:t>
      </w:r>
      <w:r w:rsidR="00EE6D80">
        <w:t>APR</w:t>
      </w:r>
      <w:r>
        <w:t xml:space="preserve"> were chosen for investigation in the Phase </w:t>
      </w:r>
      <w:r w:rsidR="00EF2586">
        <w:t>III program based on the non</w:t>
      </w:r>
      <w:r>
        <w:t>clinical and clinical pharmacol</w:t>
      </w:r>
      <w:r w:rsidR="00EF2586">
        <w:t>ogy data, as well as two Phase II</w:t>
      </w:r>
      <w:r>
        <w:t xml:space="preserve"> trials: one in </w:t>
      </w:r>
      <w:proofErr w:type="spellStart"/>
      <w:r>
        <w:t>PsA</w:t>
      </w:r>
      <w:proofErr w:type="spellEnd"/>
      <w:r>
        <w:t xml:space="preserve"> (Study PSA-001) and one in PSOR (PSOR-005). </w:t>
      </w:r>
      <w:r w:rsidRPr="00F463FC">
        <w:rPr>
          <w:i/>
        </w:rPr>
        <w:t>In vitro</w:t>
      </w:r>
      <w:r>
        <w:t xml:space="preserve"> data and the results from early phase clinical studies (PSA-001 and PSOR-005) indicated that both the </w:t>
      </w:r>
      <w:r w:rsidR="00EE6D80">
        <w:t>APR</w:t>
      </w:r>
      <w:r>
        <w:t xml:space="preserve"> 20</w:t>
      </w:r>
      <w:r w:rsidR="00EF2586">
        <w:t xml:space="preserve"> </w:t>
      </w:r>
      <w:r>
        <w:t>mg and 30</w:t>
      </w:r>
      <w:r w:rsidR="00EF2586">
        <w:t xml:space="preserve"> </w:t>
      </w:r>
      <w:r>
        <w:t xml:space="preserve">mg twice daily doses maintained the level of </w:t>
      </w:r>
      <w:r w:rsidR="00EE6D80">
        <w:t>APR</w:t>
      </w:r>
      <w:r>
        <w:t xml:space="preserve"> above the </w:t>
      </w:r>
      <w:r w:rsidR="0059001C">
        <w:t>IC50</w:t>
      </w:r>
      <w:r>
        <w:t xml:space="preserve"> for inhibiting the production of TNF-α, IL-2, IL-8, IL-12, interferon-gamma (IFN-γ), and MCP-1, which are key cytokines in the pathophysiology of both </w:t>
      </w:r>
      <w:proofErr w:type="spellStart"/>
      <w:r>
        <w:t>PsA</w:t>
      </w:r>
      <w:proofErr w:type="spellEnd"/>
      <w:r>
        <w:t xml:space="preserve"> and PSOR</w:t>
      </w:r>
      <w:r w:rsidR="0059001C">
        <w:t>.</w:t>
      </w:r>
      <w:r w:rsidR="0059001C">
        <w:rPr>
          <w:rStyle w:val="FootnoteReference"/>
        </w:rPr>
        <w:footnoteReference w:id="22"/>
      </w:r>
      <w:r>
        <w:t xml:space="preserve"> In addition, the 2 treatment indications have a common and overlapping target clinical population.</w:t>
      </w:r>
    </w:p>
    <w:p w:rsidR="00EA27B1" w:rsidRDefault="00185C8E" w:rsidP="008D3180">
      <w:r>
        <w:t>The Phase II</w:t>
      </w:r>
      <w:r w:rsidR="00EA27B1">
        <w:t xml:space="preserve"> Study (PSA-001) evaluated the efficacy and safety of 2 dose regimens of </w:t>
      </w:r>
      <w:r w:rsidR="00EE6D80">
        <w:t>APR</w:t>
      </w:r>
      <w:r w:rsidR="00EA27B1">
        <w:t xml:space="preserve"> (20</w:t>
      </w:r>
      <w:r>
        <w:t xml:space="preserve"> </w:t>
      </w:r>
      <w:r w:rsidR="00EA27B1">
        <w:t>mg twice daily and 40</w:t>
      </w:r>
      <w:r>
        <w:t xml:space="preserve"> </w:t>
      </w:r>
      <w:r w:rsidR="00EA27B1">
        <w:t xml:space="preserve">mg once daily) compared with PBO over 12 weeks of treatment in adult subjects with active </w:t>
      </w:r>
      <w:proofErr w:type="spellStart"/>
      <w:r w:rsidR="00EA27B1">
        <w:t>PsA.</w:t>
      </w:r>
      <w:proofErr w:type="spellEnd"/>
      <w:r w:rsidR="00EA27B1">
        <w:t xml:space="preserve"> Separation of the modified ACR20 response rates between the active and PBO arms was seen as early as week 4 after initiation of study treatment. A statistically greater proportion of subjects in the </w:t>
      </w:r>
      <w:r w:rsidR="00EE6D80">
        <w:t>APR</w:t>
      </w:r>
      <w:r w:rsidR="00EA27B1">
        <w:t xml:space="preserve"> 20</w:t>
      </w:r>
      <w:r>
        <w:t xml:space="preserve"> </w:t>
      </w:r>
      <w:r w:rsidR="00EA27B1">
        <w:t xml:space="preserve">mg twice daily treatment group versus the PBO arm achieved ACR20 (43.5% versus 11.8%, respectively; p &lt;0.001) and ACR50 responses at </w:t>
      </w:r>
      <w:r>
        <w:t>W</w:t>
      </w:r>
      <w:r w:rsidR="00EA27B1">
        <w:t xml:space="preserve">eek 12 (17.4% versus 2.9%, respectively; p = 0.012). The </w:t>
      </w:r>
      <w:r w:rsidR="00EE6D80">
        <w:t>APR</w:t>
      </w:r>
      <w:r w:rsidR="00EA27B1">
        <w:t xml:space="preserve"> 40</w:t>
      </w:r>
      <w:r>
        <w:t xml:space="preserve"> </w:t>
      </w:r>
      <w:r w:rsidR="00EA27B1">
        <w:t xml:space="preserve">mg once daily treatment group also achieved statistical superiority compared with PBO for the rate of ACR20 response at </w:t>
      </w:r>
      <w:r>
        <w:t>W</w:t>
      </w:r>
      <w:r w:rsidR="00EA27B1">
        <w:t>eek 12 (35.8</w:t>
      </w:r>
      <w:r>
        <w:t xml:space="preserve">% versus 11.8%, respectively; p </w:t>
      </w:r>
      <w:r w:rsidR="00EA27B1">
        <w:t>=</w:t>
      </w:r>
      <w:r>
        <w:t xml:space="preserve"> </w:t>
      </w:r>
      <w:r w:rsidR="00EA27B1">
        <w:t xml:space="preserve">0.002), but not for the proportion of subjects achieving ACR50 response (13.4% versus 2.9%, respectively; p = 0.056). The safety and tolerability profile of </w:t>
      </w:r>
      <w:r w:rsidR="00EE6D80">
        <w:t>APR</w:t>
      </w:r>
      <w:r w:rsidR="00EA27B1">
        <w:t xml:space="preserve"> was comparable between the 2 dosing groups, although the once daily regimen had more AEs leading to </w:t>
      </w:r>
      <w:r w:rsidR="00EA27B1">
        <w:lastRenderedPageBreak/>
        <w:t xml:space="preserve">treatment discontinuation than the twice daily posology. Because this study showed numerically higher ACR response rates and comparable safety, twice daily dosing of </w:t>
      </w:r>
      <w:r w:rsidR="00EE6D80">
        <w:t>APR</w:t>
      </w:r>
      <w:r w:rsidR="00EA27B1">
        <w:t xml:space="preserve"> was selected over once daily dosi</w:t>
      </w:r>
      <w:r>
        <w:t>ng for evaluation in the Phase III</w:t>
      </w:r>
      <w:r w:rsidR="00EA27B1">
        <w:t xml:space="preserve"> </w:t>
      </w:r>
      <w:proofErr w:type="spellStart"/>
      <w:r w:rsidR="00EA27B1">
        <w:t>PsA</w:t>
      </w:r>
      <w:proofErr w:type="spellEnd"/>
      <w:r w:rsidR="00EA27B1">
        <w:t xml:space="preserve"> program.</w:t>
      </w:r>
    </w:p>
    <w:p w:rsidR="00EA27B1" w:rsidRDefault="00EA27B1" w:rsidP="008D3180">
      <w:r>
        <w:t xml:space="preserve">Efficacy </w:t>
      </w:r>
      <w:r w:rsidR="00185C8E">
        <w:t>and safety data from the Phase II</w:t>
      </w:r>
      <w:r>
        <w:t xml:space="preserve"> study in subjects with moderate to severe PSOR (Study PSOR-005) demonstrated a clear dose-response relationship for the studied doses (</w:t>
      </w:r>
      <w:r w:rsidR="00EE6D80">
        <w:t>APR</w:t>
      </w:r>
      <w:r>
        <w:t xml:space="preserve"> 10</w:t>
      </w:r>
      <w:r w:rsidR="00185C8E">
        <w:t xml:space="preserve"> </w:t>
      </w:r>
      <w:r>
        <w:t>mg, 20</w:t>
      </w:r>
      <w:r w:rsidR="00185C8E">
        <w:t xml:space="preserve"> </w:t>
      </w:r>
      <w:r>
        <w:t>mg and 30</w:t>
      </w:r>
      <w:r w:rsidR="00185C8E">
        <w:t xml:space="preserve"> </w:t>
      </w:r>
      <w:r>
        <w:t xml:space="preserve">mg – all given as twice daily regimens). The primary endpoint of the trial was the proportion of subjects achieving a PASI 75 response at </w:t>
      </w:r>
      <w:r w:rsidR="00185C8E">
        <w:t>W</w:t>
      </w:r>
      <w:r>
        <w:t xml:space="preserve">eek 16. This was achieved in a statistically greater proportion of subjects in the </w:t>
      </w:r>
      <w:r w:rsidR="00EE6D80">
        <w:t>APR</w:t>
      </w:r>
      <w:r>
        <w:t xml:space="preserve"> 20</w:t>
      </w:r>
      <w:r w:rsidR="008E5786">
        <w:t xml:space="preserve"> </w:t>
      </w:r>
      <w:r>
        <w:t xml:space="preserve">mg and </w:t>
      </w:r>
      <w:r w:rsidR="00EE6D80">
        <w:t>APR</w:t>
      </w:r>
      <w:r>
        <w:t xml:space="preserve"> 30</w:t>
      </w:r>
      <w:r w:rsidR="00185C8E">
        <w:t xml:space="preserve"> </w:t>
      </w:r>
      <w:r>
        <w:t xml:space="preserve">mg treatment groups (28.7% and 40.9%, respectively) versus 5.7% in the PBO arm (p &lt;0.0001 for both pair-wise comparisons). However, the </w:t>
      </w:r>
      <w:r w:rsidR="00EE6D80">
        <w:t>APR</w:t>
      </w:r>
      <w:r>
        <w:t xml:space="preserve"> 10</w:t>
      </w:r>
      <w:r w:rsidR="00185C8E">
        <w:t xml:space="preserve"> </w:t>
      </w:r>
      <w:r>
        <w:t xml:space="preserve">mg twice daily treatment group did not record a statistically greater rate of PASI 75 response at 16 weeks compared with control (11.2%; p = 0.1846 for comparison versus PBO). Separation of the PASI 75 response rate between the active and PBO arms was seen at </w:t>
      </w:r>
      <w:r w:rsidR="008E5786">
        <w:t>W</w:t>
      </w:r>
      <w:r>
        <w:t xml:space="preserve">eek 4 in the </w:t>
      </w:r>
      <w:r w:rsidR="00EE6D80">
        <w:t>APR</w:t>
      </w:r>
      <w:r>
        <w:t xml:space="preserve"> 30</w:t>
      </w:r>
      <w:r w:rsidR="008E5786">
        <w:t xml:space="preserve"> </w:t>
      </w:r>
      <w:r>
        <w:t xml:space="preserve">mg group and at </w:t>
      </w:r>
      <w:r w:rsidR="008E5786">
        <w:t>W</w:t>
      </w:r>
      <w:r>
        <w:t xml:space="preserve">eek 8 in the </w:t>
      </w:r>
      <w:r w:rsidR="00EE6D80">
        <w:t>APR</w:t>
      </w:r>
      <w:r>
        <w:t xml:space="preserve"> 20</w:t>
      </w:r>
      <w:r w:rsidR="008E5786">
        <w:t xml:space="preserve"> </w:t>
      </w:r>
      <w:r>
        <w:t xml:space="preserve">mg arm. The safety and tolerability of </w:t>
      </w:r>
      <w:r w:rsidR="00EE6D80">
        <w:t>APR</w:t>
      </w:r>
      <w:r>
        <w:t xml:space="preserve"> was acceptable and comparable in both the </w:t>
      </w:r>
      <w:r w:rsidR="00EE6D80">
        <w:t>APR</w:t>
      </w:r>
      <w:r>
        <w:t xml:space="preserve"> 20</w:t>
      </w:r>
      <w:r w:rsidR="008E5786">
        <w:t xml:space="preserve"> </w:t>
      </w:r>
      <w:r>
        <w:t>mg and 30</w:t>
      </w:r>
      <w:r w:rsidR="008E5786">
        <w:t xml:space="preserve"> </w:t>
      </w:r>
      <w:r>
        <w:t xml:space="preserve">mg treatment groups, with no clinically significant safety signals observed at either of these doses. In addition, the </w:t>
      </w:r>
      <w:r w:rsidR="00EE6D80">
        <w:t>APR</w:t>
      </w:r>
      <w:r>
        <w:t xml:space="preserve"> 20</w:t>
      </w:r>
      <w:r w:rsidR="008E5786">
        <w:t xml:space="preserve"> </w:t>
      </w:r>
      <w:r>
        <w:t>mg and 30</w:t>
      </w:r>
      <w:r w:rsidR="008E5786">
        <w:t xml:space="preserve"> </w:t>
      </w:r>
      <w:r w:rsidR="000405C6">
        <w:t xml:space="preserve">mg treatment groups displayed </w:t>
      </w:r>
      <w:proofErr w:type="spellStart"/>
      <w:r w:rsidR="000405C6">
        <w:t>Cmin</w:t>
      </w:r>
      <w:proofErr w:type="spellEnd"/>
      <w:r>
        <w:t xml:space="preserve"> con</w:t>
      </w:r>
      <w:r w:rsidR="000405C6">
        <w:t>centrations that exceeded the IC50</w:t>
      </w:r>
      <w:r>
        <w:rPr>
          <w:vertAlign w:val="subscript"/>
        </w:rPr>
        <w:t xml:space="preserve"> </w:t>
      </w:r>
      <w:r>
        <w:t>for inhibiting the production of multiple PDE4</w:t>
      </w:r>
      <w:r w:rsidR="00DB4B3C">
        <w:t xml:space="preserve"> </w:t>
      </w:r>
      <w:r>
        <w:t>dependant cytokines in Study PSOR-005.</w:t>
      </w:r>
    </w:p>
    <w:p w:rsidR="00EA27B1" w:rsidRDefault="00EA27B1" w:rsidP="008D3180">
      <w:r>
        <w:t xml:space="preserve">Overall, given the similar pathophysiology (as well as genetic and immunologic associations) between PSOR and </w:t>
      </w:r>
      <w:proofErr w:type="spellStart"/>
      <w:r>
        <w:t>PsA</w:t>
      </w:r>
      <w:proofErr w:type="spellEnd"/>
      <w:r>
        <w:t xml:space="preserve">, the sponsor has reasonably justified why it examined </w:t>
      </w:r>
      <w:r w:rsidR="00EE6D80">
        <w:t>APR</w:t>
      </w:r>
      <w:r>
        <w:t xml:space="preserve"> at doses of 20</w:t>
      </w:r>
      <w:r w:rsidR="00DB4B3C">
        <w:t xml:space="preserve"> </w:t>
      </w:r>
      <w:r>
        <w:t>mg and 30</w:t>
      </w:r>
      <w:r w:rsidR="00DB4B3C">
        <w:t xml:space="preserve"> </w:t>
      </w:r>
      <w:r>
        <w:t xml:space="preserve">mg twice daily in the Phase </w:t>
      </w:r>
      <w:r w:rsidR="00DB4B3C">
        <w:t>III</w:t>
      </w:r>
      <w:r>
        <w:t xml:space="preserve"> study program for both treatment indications. The results of Study PSA-001 supported a twice daily (versus once daily) dosing strategy with </w:t>
      </w:r>
      <w:r w:rsidR="00EE6D80">
        <w:t>APR</w:t>
      </w:r>
      <w:r>
        <w:t xml:space="preserve"> (both arms received a total of </w:t>
      </w:r>
      <w:r w:rsidR="00EE6D80">
        <w:t>APR</w:t>
      </w:r>
      <w:r>
        <w:t xml:space="preserve"> 40</w:t>
      </w:r>
      <w:r w:rsidR="00DB4B3C">
        <w:t xml:space="preserve"> </w:t>
      </w:r>
      <w:r>
        <w:t xml:space="preserve">mg/day). The results of Study PSOR-005 demonstrated a clear dose-response relationship for </w:t>
      </w:r>
      <w:r w:rsidR="00EE6D80">
        <w:t>APR</w:t>
      </w:r>
      <w:r>
        <w:t xml:space="preserve"> 20</w:t>
      </w:r>
      <w:r w:rsidR="00DB4B3C">
        <w:t xml:space="preserve"> </w:t>
      </w:r>
      <w:r>
        <w:t>mg and 30</w:t>
      </w:r>
      <w:r w:rsidR="00DB4B3C">
        <w:t xml:space="preserve"> </w:t>
      </w:r>
      <w:r>
        <w:t>mg (both giv</w:t>
      </w:r>
      <w:r w:rsidR="00DB4B3C">
        <w:t xml:space="preserve">en as twice daily regimens, that is, </w:t>
      </w:r>
      <w:r>
        <w:t xml:space="preserve">a total daily </w:t>
      </w:r>
      <w:r w:rsidR="00EE6D80">
        <w:t>APR</w:t>
      </w:r>
      <w:r>
        <w:t xml:space="preserve"> dose of 40-60</w:t>
      </w:r>
      <w:r w:rsidR="00DB4B3C">
        <w:t xml:space="preserve"> </w:t>
      </w:r>
      <w:r w:rsidR="008D3180">
        <w:t>mg).</w:t>
      </w:r>
    </w:p>
    <w:p w:rsidR="00EA27B1" w:rsidRDefault="00EA27B1" w:rsidP="008D3180">
      <w:r>
        <w:t xml:space="preserve">In addition, the incidence and doses of background treatment with conventional DMARDs (mainly, MTX), CS and NSAID when used by patients in the pivotal </w:t>
      </w:r>
      <w:proofErr w:type="spellStart"/>
      <w:r>
        <w:t>PsA</w:t>
      </w:r>
      <w:proofErr w:type="spellEnd"/>
      <w:r>
        <w:t xml:space="preserve"> studies were appropriate, and consistent with contemporary clinical practice in Australia. Similarly, in the pivotal PSOR studies, background treatment with topical, systemic therapies and phototherapy was appropriate.</w:t>
      </w:r>
    </w:p>
    <w:p w:rsidR="008E7846" w:rsidRPr="00254787" w:rsidRDefault="008E7846" w:rsidP="008D3180">
      <w:pPr>
        <w:pStyle w:val="Heading3"/>
      </w:pPr>
      <w:bookmarkStart w:id="83" w:name="_Toc436140481"/>
      <w:r w:rsidRPr="008D3180">
        <w:t>Efficacy</w:t>
      </w:r>
      <w:bookmarkEnd w:id="79"/>
      <w:bookmarkEnd w:id="80"/>
      <w:bookmarkEnd w:id="81"/>
      <w:bookmarkEnd w:id="82"/>
      <w:bookmarkEnd w:id="83"/>
    </w:p>
    <w:p w:rsidR="00DA4493" w:rsidRDefault="00DA4493" w:rsidP="008D3180">
      <w:pPr>
        <w:pStyle w:val="Heading4"/>
      </w:pPr>
      <w:bookmarkStart w:id="84" w:name="_Ref271126605"/>
      <w:bookmarkStart w:id="85" w:name="_Toc272414657"/>
      <w:bookmarkStart w:id="86" w:name="_Toc290846282"/>
      <w:bookmarkStart w:id="87" w:name="_Toc396481305"/>
      <w:bookmarkStart w:id="88" w:name="_Toc184439992"/>
      <w:bookmarkStart w:id="89" w:name="_Toc184440279"/>
      <w:bookmarkStart w:id="90" w:name="_Toc184444657"/>
      <w:bookmarkStart w:id="91" w:name="_Toc196046487"/>
      <w:r w:rsidRPr="003C0A48">
        <w:t>Evaluator’s conclusions on clinical efficacy for</w:t>
      </w:r>
      <w:r>
        <w:t xml:space="preserve"> </w:t>
      </w:r>
      <w:r w:rsidRPr="003C0A48">
        <w:t>indication 1</w:t>
      </w:r>
      <w:bookmarkEnd w:id="84"/>
      <w:bookmarkEnd w:id="85"/>
      <w:bookmarkEnd w:id="86"/>
      <w:r>
        <w:t xml:space="preserve">: Treatment of active </w:t>
      </w:r>
      <w:proofErr w:type="spellStart"/>
      <w:r w:rsidR="00852871">
        <w:t>PsA</w:t>
      </w:r>
      <w:proofErr w:type="spellEnd"/>
      <w:r>
        <w:t xml:space="preserve"> in </w:t>
      </w:r>
      <w:r w:rsidRPr="008D3180">
        <w:t>adult</w:t>
      </w:r>
      <w:r>
        <w:t xml:space="preserve"> patients</w:t>
      </w:r>
      <w:bookmarkEnd w:id="87"/>
    </w:p>
    <w:p w:rsidR="00DA4493" w:rsidRDefault="00DA4493" w:rsidP="008D3180">
      <w:r>
        <w:t xml:space="preserve">The primary dataset used for assessing the efficacy of </w:t>
      </w:r>
      <w:r w:rsidR="00EE6D80">
        <w:t>APR</w:t>
      </w:r>
      <w:r>
        <w:t xml:space="preserve"> in adult subjects wi</w:t>
      </w:r>
      <w:r w:rsidR="00E8655B">
        <w:t xml:space="preserve">th active </w:t>
      </w:r>
      <w:proofErr w:type="spellStart"/>
      <w:r w:rsidR="00E8655B">
        <w:t>PsA</w:t>
      </w:r>
      <w:proofErr w:type="spellEnd"/>
      <w:r w:rsidR="00E8655B">
        <w:t xml:space="preserve"> involved 4 Phase III</w:t>
      </w:r>
      <w:r>
        <w:t xml:space="preserve"> studies. In t</w:t>
      </w:r>
      <w:r w:rsidR="00E317EB">
        <w:t>his submission, 3 of the Phase III</w:t>
      </w:r>
      <w:r>
        <w:t xml:space="preserve"> studies (PSA-002, PSA-003 and PSA-004) submitted a 52</w:t>
      </w:r>
      <w:r w:rsidR="00757081">
        <w:t xml:space="preserve"> </w:t>
      </w:r>
      <w:r>
        <w:t>week efficacy report, and Study PSA-005 submitted a 24</w:t>
      </w:r>
      <w:r w:rsidR="00757081">
        <w:t xml:space="preserve"> </w:t>
      </w:r>
      <w:r>
        <w:t xml:space="preserve">week efficacy report. Studies PSA-002, PSA-003 and PSA-004 were highly similar in design and conduct except that Study PSA-004 enrolled subjects with PSOR at baseline and additionally assessed skin response as a secondary endpoint. Study PSA-005 evaluated </w:t>
      </w:r>
      <w:r w:rsidR="00EE6D80">
        <w:t>APR</w:t>
      </w:r>
      <w:r>
        <w:t xml:space="preserve"> as a monother</w:t>
      </w:r>
      <w:r w:rsidR="00757081">
        <w:t>apy, whereas the 3 other Phase III</w:t>
      </w:r>
      <w:r>
        <w:t xml:space="preserve"> trials assessed </w:t>
      </w:r>
      <w:r w:rsidR="00EE6D80">
        <w:t>APR</w:t>
      </w:r>
      <w:r>
        <w:t xml:space="preserve"> as either monotherapy or in combination with conventional DMARDs. All of the studies were designed as 24</w:t>
      </w:r>
      <w:r w:rsidR="00757081">
        <w:t xml:space="preserve"> </w:t>
      </w:r>
      <w:r>
        <w:t>week, randomi</w:t>
      </w:r>
      <w:r w:rsidR="006A7D12">
        <w:t>s</w:t>
      </w:r>
      <w:r>
        <w:t>ed, PBO</w:t>
      </w:r>
      <w:r w:rsidR="00757081">
        <w:t xml:space="preserve"> </w:t>
      </w:r>
      <w:r>
        <w:t>controlled, double</w:t>
      </w:r>
      <w:r w:rsidR="00757081">
        <w:t xml:space="preserve"> </w:t>
      </w:r>
      <w:r>
        <w:t>blind, parallel group, mul</w:t>
      </w:r>
      <w:r w:rsidR="00757081">
        <w:t>ti</w:t>
      </w:r>
      <w:r>
        <w:t xml:space="preserve">centre studies conducted in patients 18 years of age or older with active </w:t>
      </w:r>
      <w:proofErr w:type="spellStart"/>
      <w:r>
        <w:t>PsA</w:t>
      </w:r>
      <w:proofErr w:type="spellEnd"/>
      <w:r>
        <w:t xml:space="preserve"> (defined as 3 or more tender and swollen joints at baseline in accordance with </w:t>
      </w:r>
      <w:proofErr w:type="spellStart"/>
      <w:r w:rsidR="005035FE" w:rsidRPr="001660C5">
        <w:rPr>
          <w:b/>
        </w:rPr>
        <w:t>C</w:t>
      </w:r>
      <w:r w:rsidR="005035FE" w:rsidRPr="005035FE">
        <w:t>l</w:t>
      </w:r>
      <w:r w:rsidR="005035FE" w:rsidRPr="001660C5">
        <w:rPr>
          <w:b/>
        </w:rPr>
        <w:t>AS</w:t>
      </w:r>
      <w:r w:rsidR="005035FE" w:rsidRPr="005035FE">
        <w:t>sification</w:t>
      </w:r>
      <w:proofErr w:type="spellEnd"/>
      <w:r w:rsidR="005035FE" w:rsidRPr="005035FE">
        <w:t xml:space="preserve"> criteria for </w:t>
      </w:r>
      <w:r w:rsidR="005035FE" w:rsidRPr="001660C5">
        <w:rPr>
          <w:b/>
        </w:rPr>
        <w:t>P</w:t>
      </w:r>
      <w:r w:rsidR="005035FE" w:rsidRPr="005035FE">
        <w:t xml:space="preserve">soriatic </w:t>
      </w:r>
      <w:proofErr w:type="spellStart"/>
      <w:r w:rsidR="005035FE" w:rsidRPr="001660C5">
        <w:rPr>
          <w:b/>
        </w:rPr>
        <w:t>AR</w:t>
      </w:r>
      <w:r w:rsidR="005035FE" w:rsidRPr="005035FE">
        <w:t>thritis</w:t>
      </w:r>
      <w:proofErr w:type="spellEnd"/>
      <w:r w:rsidR="00314476" w:rsidRPr="00314476">
        <w:t xml:space="preserve"> </w:t>
      </w:r>
      <w:r w:rsidR="00314476">
        <w:t>[</w:t>
      </w:r>
      <w:r>
        <w:t>CA</w:t>
      </w:r>
      <w:r w:rsidR="00314476">
        <w:t>SPAR] criteria). In all 4 Phase III</w:t>
      </w:r>
      <w:r>
        <w:t xml:space="preserve"> studies, subjects in the PBO arm were allowed to enter early escape to active treatment with </w:t>
      </w:r>
      <w:r w:rsidR="00EE6D80">
        <w:t>APR</w:t>
      </w:r>
      <w:r>
        <w:t xml:space="preserve"> in a blinded manner if failing to sufficiently respond </w:t>
      </w:r>
      <w:r w:rsidR="007C45AC">
        <w:t xml:space="preserve">by Week 16; hence, the true PBO </w:t>
      </w:r>
      <w:r>
        <w:t>controlled study periods were 16 weeks in du</w:t>
      </w:r>
      <w:r w:rsidR="007C45AC">
        <w:t>ration. In each of the 4 Phase III</w:t>
      </w:r>
      <w:r>
        <w:t xml:space="preserve"> trials, subjects were </w:t>
      </w:r>
      <w:r>
        <w:lastRenderedPageBreak/>
        <w:t>randomi</w:t>
      </w:r>
      <w:r w:rsidR="007C45AC">
        <w:t>s</w:t>
      </w:r>
      <w:r>
        <w:t xml:space="preserve">ed in a 1:1:1 ratio to receive oral treatment with </w:t>
      </w:r>
      <w:r w:rsidR="00EE6D80">
        <w:t>APR</w:t>
      </w:r>
      <w:r>
        <w:t xml:space="preserve"> 20</w:t>
      </w:r>
      <w:r w:rsidR="007C45AC">
        <w:t xml:space="preserve"> </w:t>
      </w:r>
      <w:r>
        <w:t xml:space="preserve">mg twice daily, </w:t>
      </w:r>
      <w:r w:rsidR="00EE6D80">
        <w:t>APR</w:t>
      </w:r>
      <w:r>
        <w:t xml:space="preserve"> 30</w:t>
      </w:r>
      <w:r w:rsidR="007C45AC">
        <w:t xml:space="preserve"> </w:t>
      </w:r>
      <w:r>
        <w:t>mg twice daily, or matching PBO tablets. In 3 of the 4 pivotal studies, treatment assignments were stratified based on conventional DMARD use, and the enrolment of patients with a documented treatment failure to anti</w:t>
      </w:r>
      <w:r w:rsidR="007C45AC">
        <w:t xml:space="preserve"> </w:t>
      </w:r>
      <w:r>
        <w:t xml:space="preserve">TNF drugs was limited to </w:t>
      </w:r>
      <w:r w:rsidR="007C45AC">
        <w:t>≤</w:t>
      </w:r>
      <w:r>
        <w:t xml:space="preserve">10% of all subjects. The sponsor is only seeking approval of the </w:t>
      </w:r>
      <w:r w:rsidR="00EE6D80">
        <w:t>APR</w:t>
      </w:r>
      <w:r>
        <w:t xml:space="preserve"> 30</w:t>
      </w:r>
      <w:r w:rsidR="0073185B">
        <w:t xml:space="preserve"> </w:t>
      </w:r>
      <w:r>
        <w:t>mg twice daily posology.</w:t>
      </w:r>
    </w:p>
    <w:p w:rsidR="00DA4493" w:rsidRDefault="00DA4493" w:rsidP="008D3180">
      <w:r>
        <w:t>The primary efficac</w:t>
      </w:r>
      <w:r w:rsidR="0073185B">
        <w:t>y endpoint used by all 4 Phase III</w:t>
      </w:r>
      <w:r>
        <w:t xml:space="preserve"> studies was the proportion of subjects achieving a ≥20% improvement of the ACR response criteria at </w:t>
      </w:r>
      <w:r w:rsidR="0073185B">
        <w:t>W</w:t>
      </w:r>
      <w:r>
        <w:t xml:space="preserve">eek 16. The ACR20 endpoint was modified for </w:t>
      </w:r>
      <w:proofErr w:type="spellStart"/>
      <w:r>
        <w:t>PsA</w:t>
      </w:r>
      <w:proofErr w:type="spellEnd"/>
      <w:r>
        <w:t xml:space="preserve"> by the addition of the DIP joints of the toes and carpometacarpal joints to the total joint counts (78 tender joints and 76 swollen joints). The major secondary endpoint for all 4 studies was the </w:t>
      </w:r>
      <w:proofErr w:type="gramStart"/>
      <w:r>
        <w:t xml:space="preserve">assessment of </w:t>
      </w:r>
      <w:r w:rsidR="00EE6D80">
        <w:t>APR</w:t>
      </w:r>
      <w:r>
        <w:t xml:space="preserve"> on physical function as measured by the </w:t>
      </w:r>
      <w:r w:rsidR="008C5BD5">
        <w:t>least squares (LS) mean</w:t>
      </w:r>
      <w:proofErr w:type="gramEnd"/>
      <w:r>
        <w:t xml:space="preserve"> change from baseline in the HAQ-DI score at </w:t>
      </w:r>
      <w:r w:rsidR="00467C9B">
        <w:t>W</w:t>
      </w:r>
      <w:r>
        <w:t xml:space="preserve">eek 16. Both of these endpoints have been validated and used in previous approvals of other drugs indicated for patients with active </w:t>
      </w:r>
      <w:proofErr w:type="spellStart"/>
      <w:r>
        <w:t>PsA</w:t>
      </w:r>
      <w:proofErr w:type="spellEnd"/>
      <w:r>
        <w:t xml:space="preserve">, </w:t>
      </w:r>
      <w:r w:rsidR="006A7D12">
        <w:t>and are accepted by relevant international specialist groups</w:t>
      </w:r>
      <w:r>
        <w:t xml:space="preserve">. The ACR criteria for assessing disease activity includes several subjective assessments susceptible to bias, but in all of the trials appropriate blinding of investigators and subjects were undertaken. This submission is seeking an indication in active </w:t>
      </w:r>
      <w:proofErr w:type="spellStart"/>
      <w:r>
        <w:t>PsA</w:t>
      </w:r>
      <w:proofErr w:type="spellEnd"/>
      <w:r>
        <w:t>, and in general is consistent with the TGA adopted regulatory guideline pertaining to the requested extension of indication</w:t>
      </w:r>
      <w:r w:rsidR="00056EE0">
        <w:t>.</w:t>
      </w:r>
      <w:r w:rsidR="000240CF">
        <w:rPr>
          <w:rStyle w:val="FootnoteReference"/>
        </w:rPr>
        <w:footnoteReference w:id="23"/>
      </w:r>
      <w:r w:rsidR="00056EE0">
        <w:t xml:space="preserve"> In the Phase III</w:t>
      </w:r>
      <w:r>
        <w:t xml:space="preserve"> trials, the choice of clinical (joints and skin), physical functioning and QOL endpoints, as well as the statistical analysis were appropriately performed.</w:t>
      </w:r>
    </w:p>
    <w:p w:rsidR="00DA4493" w:rsidRDefault="00DA4493" w:rsidP="008D3180">
      <w:r>
        <w:t>The baseline demographic and disease related characteristics of patients in each of the 4 studies are similar to those in the anticipated Australian patient cohort, and therefore generalisation of these results to the Australian context is expected. However, there are some caveats to the generali</w:t>
      </w:r>
      <w:r w:rsidR="00F90F49">
        <w:t>s</w:t>
      </w:r>
      <w:r>
        <w:t>ability of the treatment population. For example, all of the trials excluded patients who were at a significant risk of infection, or who had various abnormal labor</w:t>
      </w:r>
      <w:r w:rsidR="00F90F49">
        <w:t xml:space="preserve">atory results at baseline (for example, </w:t>
      </w:r>
      <w:r>
        <w:t>abnormal haematology or liver function tests).</w:t>
      </w:r>
    </w:p>
    <w:p w:rsidR="00DA4493" w:rsidRDefault="00DA4493" w:rsidP="008D3180">
      <w:r>
        <w:t xml:space="preserve">Analysis of the primary endpoint for Studies PSA-002, PSA-003 and PSA-004 demonstrated a statistically greater proportion of </w:t>
      </w:r>
      <w:r w:rsidR="00EE6D80">
        <w:t>APR</w:t>
      </w:r>
      <w:r>
        <w:t xml:space="preserve"> 30mg (32.1-40.7%; </w:t>
      </w:r>
      <w:r w:rsidR="00A50C85">
        <w:t>p</w:t>
      </w:r>
      <w:r w:rsidR="00A50C85" w:rsidRPr="00F90F49">
        <w:t xml:space="preserve"> ≤ </w:t>
      </w:r>
      <w:r>
        <w:t xml:space="preserve">0.0060 for all comparisons) and </w:t>
      </w:r>
      <w:r w:rsidR="00EE6D80">
        <w:t>APR</w:t>
      </w:r>
      <w:r>
        <w:t xml:space="preserve"> 20</w:t>
      </w:r>
      <w:r w:rsidR="008B2884">
        <w:t xml:space="preserve"> </w:t>
      </w:r>
      <w:r>
        <w:t>mg (28.4-37.4%; p</w:t>
      </w:r>
      <w:r w:rsidR="00F90F49" w:rsidRPr="00F90F49">
        <w:t xml:space="preserve"> ≤ </w:t>
      </w:r>
      <w:r>
        <w:t xml:space="preserve">0.0295 for all comparisons) treated subjects achieved a modified ACR20 response at </w:t>
      </w:r>
      <w:r w:rsidR="00CD359B">
        <w:t>W</w:t>
      </w:r>
      <w:r>
        <w:t>eek 16 compared to PBO</w:t>
      </w:r>
      <w:r w:rsidR="00CD359B">
        <w:t xml:space="preserve"> </w:t>
      </w:r>
      <w:r>
        <w:t xml:space="preserve">treated subjects (18.3-19.0%). Results for the ACR50 and ACR70 response rate at </w:t>
      </w:r>
      <w:r w:rsidR="00CD359B">
        <w:t>W</w:t>
      </w:r>
      <w:r>
        <w:t xml:space="preserve">eek 16 were consistent with the ACR20 data. Efficacy results generally supported a greater numerical advantage for the </w:t>
      </w:r>
      <w:r w:rsidR="00EE6D80">
        <w:t>APR</w:t>
      </w:r>
      <w:r>
        <w:t xml:space="preserve"> 30</w:t>
      </w:r>
      <w:r w:rsidR="00CD359B">
        <w:t xml:space="preserve"> </w:t>
      </w:r>
      <w:r>
        <w:t xml:space="preserve">mg twice daily regimen compared to the </w:t>
      </w:r>
      <w:r w:rsidR="00EE6D80">
        <w:t>APR</w:t>
      </w:r>
      <w:r>
        <w:t xml:space="preserve"> 20</w:t>
      </w:r>
      <w:r w:rsidR="00CD359B">
        <w:t xml:space="preserve"> </w:t>
      </w:r>
      <w:r>
        <w:t xml:space="preserve">mg twice daily posology, but there were limited statistically significant analyses to support the conclusion that </w:t>
      </w:r>
      <w:r w:rsidR="00EE6D80">
        <w:t>APR</w:t>
      </w:r>
      <w:r>
        <w:t xml:space="preserve"> 30</w:t>
      </w:r>
      <w:r w:rsidR="00CD359B">
        <w:t xml:space="preserve"> </w:t>
      </w:r>
      <w:r>
        <w:t xml:space="preserve">mg twice daily was superior to </w:t>
      </w:r>
      <w:r w:rsidR="00EE6D80">
        <w:t>APR</w:t>
      </w:r>
      <w:r>
        <w:t xml:space="preserve"> 20</w:t>
      </w:r>
      <w:r w:rsidR="00CD359B">
        <w:t xml:space="preserve"> </w:t>
      </w:r>
      <w:r>
        <w:t>mg twice daily. Study PSA-004 demonstrated statistical superiority for 30</w:t>
      </w:r>
      <w:r w:rsidR="00CD359B">
        <w:t xml:space="preserve"> </w:t>
      </w:r>
      <w:r>
        <w:t>mg versus 20</w:t>
      </w:r>
      <w:r w:rsidR="00CD359B">
        <w:t xml:space="preserve"> </w:t>
      </w:r>
      <w:r>
        <w:t xml:space="preserve">mg twice daily for the rate of ACR20 response at </w:t>
      </w:r>
      <w:r w:rsidR="00CD359B">
        <w:t>W</w:t>
      </w:r>
      <w:r>
        <w:t>eek 16, and Study PSA-003 showed the 20</w:t>
      </w:r>
      <w:r w:rsidR="00CD359B">
        <w:t xml:space="preserve"> </w:t>
      </w:r>
      <w:r>
        <w:t>mg dose regimen was numerically better than the 30</w:t>
      </w:r>
      <w:r w:rsidR="00CD359B">
        <w:t xml:space="preserve"> </w:t>
      </w:r>
      <w:r>
        <w:t>mg regimen, but this latter observation was not statistically confirmed.</w:t>
      </w:r>
    </w:p>
    <w:p w:rsidR="00DA4493" w:rsidRDefault="00EE6D80" w:rsidP="008D3180">
      <w:r>
        <w:t>APR</w:t>
      </w:r>
      <w:r w:rsidR="00DA4493">
        <w:t xml:space="preserve"> treatment (both dose regimens) was also associated with an improvement in the HAQ-DI score from bas</w:t>
      </w:r>
      <w:r w:rsidR="00CD359B">
        <w:t>eline, and the majority of pair</w:t>
      </w:r>
      <w:r w:rsidR="00DA4493">
        <w:t xml:space="preserve">wise comparisons between </w:t>
      </w:r>
      <w:r>
        <w:t>APR</w:t>
      </w:r>
      <w:r w:rsidR="00DA4493">
        <w:t xml:space="preserve"> and PBO reached statistical significance. The treatment effect size for </w:t>
      </w:r>
      <w:r>
        <w:t>APR</w:t>
      </w:r>
      <w:r w:rsidR="00DA4493">
        <w:t xml:space="preserve"> 30</w:t>
      </w:r>
      <w:r w:rsidR="00CD359B">
        <w:t xml:space="preserve"> </w:t>
      </w:r>
      <w:r w:rsidR="00DA4493">
        <w:t>mg twice daily for the LS mean change in HAQ-DI from baseline to week 16 ranged from -0.19 to -0.24 versus -0.05 to -0.09 for PBO</w:t>
      </w:r>
      <w:r w:rsidR="00CD359B">
        <w:t xml:space="preserve"> </w:t>
      </w:r>
      <w:r w:rsidR="00DA4493">
        <w:t xml:space="preserve">treated subjects. For the </w:t>
      </w:r>
      <w:r>
        <w:t>APR</w:t>
      </w:r>
      <w:r w:rsidR="00DA4493">
        <w:t xml:space="preserve"> 20</w:t>
      </w:r>
      <w:r w:rsidR="00CD359B">
        <w:t xml:space="preserve"> </w:t>
      </w:r>
      <w:r w:rsidR="00DA4493">
        <w:t>mg twice daily treated subjects</w:t>
      </w:r>
      <w:r w:rsidR="00CD359B">
        <w:t>,</w:t>
      </w:r>
      <w:r w:rsidR="00DA4493">
        <w:t xml:space="preserve"> the LS mean change in HAQ-DI from baseline to </w:t>
      </w:r>
      <w:r w:rsidR="00FF23F2">
        <w:t>W</w:t>
      </w:r>
      <w:r w:rsidR="00DA4493">
        <w:t xml:space="preserve">eek 16 </w:t>
      </w:r>
      <w:r w:rsidR="00FF23F2">
        <w:t>was</w:t>
      </w:r>
      <w:r w:rsidR="00DA4493">
        <w:t xml:space="preserve"> from -0.13 to -0.20. Several other secondary efficacy measures examinin</w:t>
      </w:r>
      <w:r w:rsidR="00C96F0A">
        <w:t xml:space="preserve">g other clinical outcomes (for example, </w:t>
      </w:r>
      <w:r w:rsidR="00BD1E05">
        <w:t>P</w:t>
      </w:r>
      <w:r w:rsidR="00C96F0A" w:rsidRPr="00C96F0A">
        <w:t xml:space="preserve">soriatic </w:t>
      </w:r>
      <w:r w:rsidR="00BD1E05">
        <w:t>A</w:t>
      </w:r>
      <w:r w:rsidR="00C96F0A" w:rsidRPr="00C96F0A">
        <w:t xml:space="preserve">rthritis </w:t>
      </w:r>
      <w:r w:rsidR="00BD1E05">
        <w:t>R</w:t>
      </w:r>
      <w:r w:rsidR="00C96F0A" w:rsidRPr="00C96F0A">
        <w:t xml:space="preserve">esponse </w:t>
      </w:r>
      <w:r w:rsidR="00BD1E05">
        <w:t>C</w:t>
      </w:r>
      <w:r w:rsidR="00C96F0A" w:rsidRPr="00C96F0A">
        <w:t xml:space="preserve">riteria </w:t>
      </w:r>
      <w:r w:rsidR="00C96F0A">
        <w:t>(</w:t>
      </w:r>
      <w:proofErr w:type="spellStart"/>
      <w:r w:rsidR="00DA4493">
        <w:t>PsARC</w:t>
      </w:r>
      <w:proofErr w:type="spellEnd"/>
      <w:r w:rsidR="00C96F0A">
        <w:t>)</w:t>
      </w:r>
      <w:r w:rsidR="00DA4493">
        <w:t xml:space="preserve"> response; as well as PASI response in Study PSA-004) and health related QOL endpoints (physical </w:t>
      </w:r>
      <w:proofErr w:type="gramStart"/>
      <w:r w:rsidR="00DA4493">
        <w:t>function</w:t>
      </w:r>
      <w:proofErr w:type="gramEnd"/>
      <w:r w:rsidR="00DA4493">
        <w:t xml:space="preserve"> domain scores of </w:t>
      </w:r>
      <w:r w:rsidR="00DA4493">
        <w:lastRenderedPageBreak/>
        <w:t xml:space="preserve">SF-36 and mean change from baseline in FACIT-F score) also demonstrated improvements with </w:t>
      </w:r>
      <w:r>
        <w:t>APR</w:t>
      </w:r>
      <w:r w:rsidR="00DA4493">
        <w:t>.</w:t>
      </w:r>
      <w:r w:rsidR="002F48A8">
        <w:t xml:space="preserve"> However, in most of the Phase III</w:t>
      </w:r>
      <w:r w:rsidR="00DA4493">
        <w:t xml:space="preserve"> studies </w:t>
      </w:r>
      <w:r>
        <w:t>APR</w:t>
      </w:r>
      <w:r w:rsidR="00DA4493">
        <w:t xml:space="preserve"> 30</w:t>
      </w:r>
      <w:r w:rsidR="002F48A8">
        <w:t xml:space="preserve"> </w:t>
      </w:r>
      <w:r w:rsidR="00DA4493">
        <w:t xml:space="preserve">mg twice daily produced numerically greater improvements in </w:t>
      </w:r>
      <w:proofErr w:type="spellStart"/>
      <w:r w:rsidR="00DA4493">
        <w:t>enthesitis</w:t>
      </w:r>
      <w:proofErr w:type="spellEnd"/>
      <w:r w:rsidR="00DA4493">
        <w:t xml:space="preserve"> and </w:t>
      </w:r>
      <w:proofErr w:type="spellStart"/>
      <w:r w:rsidR="00DA4493">
        <w:t>dactylitis</w:t>
      </w:r>
      <w:proofErr w:type="spellEnd"/>
      <w:r w:rsidR="00DA4493">
        <w:t xml:space="preserve"> scores, but often the difference did not achieve statistical superiority compared with PBO. In the pivotal Phase </w:t>
      </w:r>
      <w:r w:rsidR="002F48A8">
        <w:t>III</w:t>
      </w:r>
      <w:r w:rsidR="00DA4493">
        <w:t xml:space="preserve"> studies, clinical response was maintained for up to 52 weeks of treatment but observations taken after 24</w:t>
      </w:r>
      <w:r w:rsidR="008D3180">
        <w:t xml:space="preserve"> weeks were not PBO controlled.</w:t>
      </w:r>
    </w:p>
    <w:p w:rsidR="00DA4493" w:rsidRDefault="002F48A8" w:rsidP="008D3180">
      <w:r>
        <w:t>Although the Phase III</w:t>
      </w:r>
      <w:r w:rsidR="00DA4493">
        <w:t xml:space="preserve"> studies were not designed to compare the efficacy of con</w:t>
      </w:r>
      <w:r>
        <w:t xml:space="preserve">comitant DMARD, or that of anti </w:t>
      </w:r>
      <w:r w:rsidR="00DA4493">
        <w:t>TNF experienced versus anti</w:t>
      </w:r>
      <w:r>
        <w:t xml:space="preserve"> </w:t>
      </w:r>
      <w:r w:rsidR="00DA4493">
        <w:t xml:space="preserve">TNF naïve groups, </w:t>
      </w:r>
      <w:r w:rsidR="00EE6D80">
        <w:t>APR</w:t>
      </w:r>
      <w:r w:rsidR="00DA4493">
        <w:t xml:space="preserve"> demonstrated superior efficacy compared to PBO regardless of concurrent DMARD use and, importantly among the majority of anti</w:t>
      </w:r>
      <w:r>
        <w:t xml:space="preserve"> </w:t>
      </w:r>
      <w:r w:rsidR="008D3180">
        <w:t>TNF experienced patients.</w:t>
      </w:r>
    </w:p>
    <w:p w:rsidR="00DA4493" w:rsidRDefault="00DA4493" w:rsidP="008D3180">
      <w:r>
        <w:t>Study PSA-005 was di</w:t>
      </w:r>
      <w:r w:rsidR="002F48A8">
        <w:t>fferent from the other 3 Phase III</w:t>
      </w:r>
      <w:r>
        <w:t xml:space="preserve"> trials in that it enrolled subjects who were DMARD naïve, and concomitant DMARD therapy was prohibited during the study. The results of this trial showed a similar rate of ACR20 response at </w:t>
      </w:r>
      <w:r w:rsidR="002F48A8">
        <w:t>W</w:t>
      </w:r>
      <w:r>
        <w:t xml:space="preserve">eeks 16 (28.0-30.7%) and 24 (24.4-29.1%) with both doses of </w:t>
      </w:r>
      <w:r w:rsidR="00EE6D80">
        <w:t>APR</w:t>
      </w:r>
      <w:r>
        <w:t>, but the 30</w:t>
      </w:r>
      <w:r w:rsidR="002F48A8">
        <w:t xml:space="preserve"> </w:t>
      </w:r>
      <w:r>
        <w:t xml:space="preserve">mg twice daily regimen demonstrated a greater treatment effect compared with </w:t>
      </w:r>
      <w:r w:rsidR="00EE6D80">
        <w:t>APR</w:t>
      </w:r>
      <w:r>
        <w:t xml:space="preserve"> 20</w:t>
      </w:r>
      <w:r w:rsidR="002F48A8">
        <w:t xml:space="preserve"> </w:t>
      </w:r>
      <w:r>
        <w:t xml:space="preserve">mg twice daily for the LS mean change from baseline in HAQ-DI score at </w:t>
      </w:r>
      <w:r w:rsidR="002F48A8">
        <w:t>W</w:t>
      </w:r>
      <w:r>
        <w:t>eeks 16 and 24 (-0.156 versus -0.207).</w:t>
      </w:r>
    </w:p>
    <w:p w:rsidR="00DA4493" w:rsidRDefault="00DA4493" w:rsidP="008D3180">
      <w:r>
        <w:t xml:space="preserve">The supporting Study PSA-001 supported the observation that </w:t>
      </w:r>
      <w:r w:rsidR="00EE6D80">
        <w:t>APR</w:t>
      </w:r>
      <w:r>
        <w:t xml:space="preserve"> therapy (20</w:t>
      </w:r>
      <w:r w:rsidR="002F48A8">
        <w:t xml:space="preserve"> </w:t>
      </w:r>
      <w:r>
        <w:t>mg twice daily and 40</w:t>
      </w:r>
      <w:r w:rsidR="002F48A8">
        <w:t xml:space="preserve"> </w:t>
      </w:r>
      <w:r>
        <w:t>mg once daily) results in clinically meaningful improvements in joint disease activity. It assessed the primary efficacy outcome at 12 weeks (rate of ACR20 response) but continued collecting data in an extension phase. A</w:t>
      </w:r>
      <w:r w:rsidRPr="00363E9B">
        <w:t>t</w:t>
      </w:r>
      <w:r w:rsidR="002F48A8">
        <w:t xml:space="preserve"> W</w:t>
      </w:r>
      <w:r w:rsidRPr="00363E9B">
        <w:t>ee</w:t>
      </w:r>
      <w:r>
        <w:t>k 12</w:t>
      </w:r>
      <w:r w:rsidRPr="00363E9B">
        <w:t xml:space="preserve">, both </w:t>
      </w:r>
      <w:r w:rsidR="00EE6D80">
        <w:t>APR</w:t>
      </w:r>
      <w:r>
        <w:t xml:space="preserve"> treatment</w:t>
      </w:r>
      <w:r w:rsidRPr="00363E9B">
        <w:t xml:space="preserve"> arms had a significantly greater proportion of</w:t>
      </w:r>
      <w:r>
        <w:t xml:space="preserve"> </w:t>
      </w:r>
      <w:r w:rsidRPr="00363E9B">
        <w:t>subjects achieving</w:t>
      </w:r>
      <w:r>
        <w:t xml:space="preserve"> an</w:t>
      </w:r>
      <w:r w:rsidRPr="00363E9B">
        <w:t xml:space="preserve"> ACR20 </w:t>
      </w:r>
      <w:r>
        <w:t>r</w:t>
      </w:r>
      <w:r w:rsidRPr="00363E9B">
        <w:t>e</w:t>
      </w:r>
      <w:r>
        <w:t xml:space="preserve">sponse: </w:t>
      </w:r>
      <w:r w:rsidRPr="00363E9B">
        <w:t>35.8%</w:t>
      </w:r>
      <w:r>
        <w:t xml:space="preserve"> (24/67)</w:t>
      </w:r>
      <w:r w:rsidRPr="00363E9B">
        <w:t xml:space="preserve"> of subjects </w:t>
      </w:r>
      <w:r>
        <w:t>i</w:t>
      </w:r>
      <w:r w:rsidRPr="00363E9B">
        <w:t>n</w:t>
      </w:r>
      <w:r>
        <w:t xml:space="preserve"> </w:t>
      </w:r>
      <w:r w:rsidR="00EE6D80">
        <w:t>APR</w:t>
      </w:r>
      <w:r>
        <w:t xml:space="preserve"> </w:t>
      </w:r>
      <w:r w:rsidRPr="00363E9B">
        <w:t>40</w:t>
      </w:r>
      <w:r w:rsidR="002F48A8">
        <w:t xml:space="preserve"> </w:t>
      </w:r>
      <w:r w:rsidRPr="00363E9B">
        <w:t xml:space="preserve">mg </w:t>
      </w:r>
      <w:r>
        <w:t>once daily group</w:t>
      </w:r>
      <w:r w:rsidRPr="00363E9B">
        <w:t xml:space="preserve"> and 43.5%</w:t>
      </w:r>
      <w:r>
        <w:t xml:space="preserve"> (30/69)</w:t>
      </w:r>
      <w:r w:rsidRPr="00363E9B">
        <w:t xml:space="preserve"> of subjects </w:t>
      </w:r>
      <w:r>
        <w:t>i</w:t>
      </w:r>
      <w:r w:rsidRPr="00363E9B">
        <w:t xml:space="preserve">n </w:t>
      </w:r>
      <w:r>
        <w:t xml:space="preserve">the </w:t>
      </w:r>
      <w:r w:rsidR="00EE6D80">
        <w:t>APR</w:t>
      </w:r>
      <w:r>
        <w:t xml:space="preserve"> </w:t>
      </w:r>
      <w:r w:rsidRPr="00363E9B">
        <w:t xml:space="preserve">20mg </w:t>
      </w:r>
      <w:r>
        <w:t>twice daily arm</w:t>
      </w:r>
      <w:r w:rsidRPr="00363E9B">
        <w:t xml:space="preserve"> compared to 11.8%</w:t>
      </w:r>
      <w:r>
        <w:t xml:space="preserve"> (8/68)</w:t>
      </w:r>
      <w:r w:rsidRPr="00363E9B">
        <w:t xml:space="preserve"> of patients in the </w:t>
      </w:r>
      <w:r>
        <w:t>PBO g</w:t>
      </w:r>
      <w:r w:rsidRPr="00363E9B">
        <w:t>r</w:t>
      </w:r>
      <w:r>
        <w:t>oup</w:t>
      </w:r>
      <w:r w:rsidRPr="00363E9B">
        <w:t xml:space="preserve"> (p</w:t>
      </w:r>
      <w:r w:rsidR="002F48A8">
        <w:t xml:space="preserve"> </w:t>
      </w:r>
      <w:r w:rsidRPr="00363E9B">
        <w:t>=</w:t>
      </w:r>
      <w:r w:rsidR="002F48A8">
        <w:t xml:space="preserve"> </w:t>
      </w:r>
      <w:r w:rsidRPr="00363E9B">
        <w:t>0.002 and p</w:t>
      </w:r>
      <w:r w:rsidR="002F48A8">
        <w:t xml:space="preserve"> </w:t>
      </w:r>
      <w:r w:rsidRPr="00363E9B">
        <w:t>&lt;</w:t>
      </w:r>
      <w:r w:rsidR="002F48A8">
        <w:t xml:space="preserve"> </w:t>
      </w:r>
      <w:r w:rsidRPr="00363E9B">
        <w:t>0.001, respectively)</w:t>
      </w:r>
      <w:r>
        <w:t xml:space="preserve">. Separation of the ACR20 response rates between the active </w:t>
      </w:r>
      <w:r w:rsidR="00EE6D80">
        <w:t>APR</w:t>
      </w:r>
      <w:r>
        <w:t xml:space="preserve"> and </w:t>
      </w:r>
      <w:r w:rsidR="0011514D">
        <w:t>PBO</w:t>
      </w:r>
      <w:r>
        <w:t xml:space="preserve"> arms was seen as early as </w:t>
      </w:r>
      <w:r w:rsidR="002F48A8">
        <w:t>Week 4 and continued through to W</w:t>
      </w:r>
      <w:r>
        <w:t>eek 12.</w:t>
      </w:r>
    </w:p>
    <w:p w:rsidR="00DA4493" w:rsidRDefault="00DA4493" w:rsidP="008D3180">
      <w:r>
        <w:t xml:space="preserve">Overall, the data in this submission supports the efficacy of </w:t>
      </w:r>
      <w:r w:rsidR="00EE6D80">
        <w:t>APR</w:t>
      </w:r>
      <w:r>
        <w:t xml:space="preserve"> 30</w:t>
      </w:r>
      <w:r w:rsidR="002F48A8">
        <w:t xml:space="preserve"> </w:t>
      </w:r>
      <w:r>
        <w:t xml:space="preserve">mg twice daily in the treatment of established active </w:t>
      </w:r>
      <w:proofErr w:type="spellStart"/>
      <w:r>
        <w:t>PsA</w:t>
      </w:r>
      <w:proofErr w:type="spellEnd"/>
      <w:r>
        <w:t xml:space="preserve"> in adult patients from a</w:t>
      </w:r>
      <w:r w:rsidR="002F48A8">
        <w:t xml:space="preserve"> clinical perspective (that is, </w:t>
      </w:r>
      <w:r>
        <w:t xml:space="preserve">in beneficially treating the symptoms and signs, as well as improving physical functioning) in those with moderately to severely active disease at baseline, with or without concurrent DMARD and/or NSAID. There were numerical and statistically significant improvements with </w:t>
      </w:r>
      <w:r w:rsidR="00EE6D80">
        <w:t>APR</w:t>
      </w:r>
      <w:r>
        <w:t xml:space="preserve"> versus PBO in terms of clinical response, physical function and some aspects of health related QOL. However, the magnitude of the treatment effect size with </w:t>
      </w:r>
      <w:r w:rsidR="00EE6D80">
        <w:t>APR</w:t>
      </w:r>
      <w:r>
        <w:t xml:space="preserve"> was modest and smaller than reported for other targeted DMARD therapies, including anti-TNF drugs. Of the 2 </w:t>
      </w:r>
      <w:r w:rsidR="00EE6D80">
        <w:t>APR</w:t>
      </w:r>
      <w:r w:rsidR="002F48A8">
        <w:t xml:space="preserve"> doses examined in the Phase III</w:t>
      </w:r>
      <w:r>
        <w:t xml:space="preserve"> </w:t>
      </w:r>
      <w:proofErr w:type="spellStart"/>
      <w:r>
        <w:t>PsA</w:t>
      </w:r>
      <w:proofErr w:type="spellEnd"/>
      <w:r>
        <w:t xml:space="preserve"> program, the 30</w:t>
      </w:r>
      <w:r w:rsidR="002F48A8">
        <w:t xml:space="preserve"> </w:t>
      </w:r>
      <w:r>
        <w:t>mg twice daily regimen (versus the 20</w:t>
      </w:r>
      <w:r w:rsidR="002F48A8">
        <w:t xml:space="preserve"> </w:t>
      </w:r>
      <w:r>
        <w:t>mg twice daily posology) produced higher numerical responses in most settings.</w:t>
      </w:r>
    </w:p>
    <w:p w:rsidR="00904A92" w:rsidRDefault="00904A92" w:rsidP="008D3180">
      <w:pPr>
        <w:pStyle w:val="Heading4"/>
      </w:pPr>
      <w:bookmarkStart w:id="92" w:name="_Toc396481315"/>
      <w:bookmarkStart w:id="93" w:name="_Toc163441378"/>
      <w:bookmarkStart w:id="94" w:name="_Toc196046495"/>
      <w:bookmarkStart w:id="95" w:name="_Toc247691522"/>
      <w:bookmarkStart w:id="96" w:name="_Toc314842505"/>
      <w:bookmarkEnd w:id="88"/>
      <w:bookmarkEnd w:id="89"/>
      <w:bookmarkEnd w:id="90"/>
      <w:bookmarkEnd w:id="91"/>
      <w:r w:rsidRPr="003C0A48">
        <w:t>Evaluator’s conclusions on clinical efficacy for</w:t>
      </w:r>
      <w:r>
        <w:t xml:space="preserve"> </w:t>
      </w:r>
      <w:r w:rsidRPr="003C0A48">
        <w:t xml:space="preserve">indication </w:t>
      </w:r>
      <w:r>
        <w:t xml:space="preserve">2: Treatment of adult patients with moderate to severe plaque </w:t>
      </w:r>
      <w:r w:rsidR="00204432">
        <w:t>PSOR</w:t>
      </w:r>
      <w:r>
        <w:t xml:space="preserve"> who are candidates for phototherapy or systemic therapy</w:t>
      </w:r>
      <w:bookmarkEnd w:id="92"/>
    </w:p>
    <w:p w:rsidR="00904A92" w:rsidRDefault="00904A92" w:rsidP="008D3180">
      <w:r>
        <w:t xml:space="preserve">This submission contains 2 pivotal Phase </w:t>
      </w:r>
      <w:r w:rsidR="002F48A8">
        <w:t>III</w:t>
      </w:r>
      <w:r>
        <w:t xml:space="preserve"> studies (PSOR-008 and PSOR-009) involving a total of 1</w:t>
      </w:r>
      <w:r w:rsidR="002F48A8">
        <w:t>275 subjects, and 4 non pivotal Phase II</w:t>
      </w:r>
      <w:r>
        <w:t xml:space="preserve"> trials (including a randomi</w:t>
      </w:r>
      <w:r w:rsidR="002F48A8">
        <w:t xml:space="preserve">sed, dose </w:t>
      </w:r>
      <w:r>
        <w:t xml:space="preserve">ranging </w:t>
      </w:r>
      <w:r w:rsidR="002F48A8">
        <w:t>S</w:t>
      </w:r>
      <w:r>
        <w:t>tudy PS0R-005) to support the proposed treatment indication of moderate to severe plaque PSOR in adult subjects. The 2 pivotal studies were of similar design and both consisted of a 16</w:t>
      </w:r>
      <w:r w:rsidR="002F48A8">
        <w:t xml:space="preserve"> </w:t>
      </w:r>
      <w:r>
        <w:t>week randomi</w:t>
      </w:r>
      <w:r w:rsidR="002F48A8">
        <w:t>s</w:t>
      </w:r>
      <w:r>
        <w:t>ed, double</w:t>
      </w:r>
      <w:r w:rsidR="002F48A8">
        <w:t xml:space="preserve"> </w:t>
      </w:r>
      <w:r>
        <w:t>blind, PBO</w:t>
      </w:r>
      <w:r w:rsidR="002F48A8">
        <w:t xml:space="preserve"> </w:t>
      </w:r>
      <w:r>
        <w:t>controlled phase followed by a 20</w:t>
      </w:r>
      <w:r w:rsidR="002F48A8">
        <w:t xml:space="preserve"> </w:t>
      </w:r>
      <w:r>
        <w:t>week, randomi</w:t>
      </w:r>
      <w:r w:rsidR="002F48A8">
        <w:t>s</w:t>
      </w:r>
      <w:r>
        <w:t>ed, double</w:t>
      </w:r>
      <w:r w:rsidR="002F48A8">
        <w:t xml:space="preserve"> </w:t>
      </w:r>
      <w:r>
        <w:t xml:space="preserve">blind treatment withdrawal period. </w:t>
      </w:r>
      <w:r w:rsidR="002F48A8">
        <w:t>In this submission, both Phase III</w:t>
      </w:r>
      <w:r>
        <w:t xml:space="preserve"> PSOR studies submitted a 52</w:t>
      </w:r>
      <w:r w:rsidR="00B90BBA">
        <w:t xml:space="preserve"> </w:t>
      </w:r>
      <w:r>
        <w:t>we</w:t>
      </w:r>
      <w:r w:rsidR="00B90BBA">
        <w:t>ek efficacy report. Both Phase III</w:t>
      </w:r>
      <w:r>
        <w:t xml:space="preserve"> studies recruited adult patients with moderately to severely active PSOR (well defined and adhered to) of at least 12 months duration prior to screening. Eligible subjects were also required to be candidates for systemic or phototherapy, which is consistent with the requested treatment in</w:t>
      </w:r>
      <w:r w:rsidR="00584B50">
        <w:t>dication. In both of the Phase III</w:t>
      </w:r>
      <w:r>
        <w:t xml:space="preserve"> studies, the primary efficacy </w:t>
      </w:r>
      <w:r>
        <w:lastRenderedPageBreak/>
        <w:t>endpoint was the rate of PASI 75 response assessed at 16 weeks, which is a clinically meaningful outc</w:t>
      </w:r>
      <w:r w:rsidR="00584B50">
        <w:t>ome. The main supporting Phase II</w:t>
      </w:r>
      <w:r>
        <w:t xml:space="preserve"> study (PSOR-005) also assessed the primary efficacy outcome of PASI 75 response at 16 weeks but continued collecting data beyond 52 weeks.</w:t>
      </w:r>
    </w:p>
    <w:p w:rsidR="00904A92" w:rsidRDefault="00904A92" w:rsidP="008D3180">
      <w:r>
        <w:t>This submission is seeking an indication in active PSOR, and in general is consistent with the TGA adopted regulatory guideline pertaining to the requested indication</w:t>
      </w:r>
      <w:r w:rsidR="00584B50">
        <w:t>.</w:t>
      </w:r>
      <w:r w:rsidR="00584B50">
        <w:rPr>
          <w:rStyle w:val="FootnoteReference"/>
        </w:rPr>
        <w:footnoteReference w:id="24"/>
      </w:r>
      <w:r w:rsidR="00584B50">
        <w:t xml:space="preserve"> </w:t>
      </w:r>
      <w:r w:rsidR="00530C3B">
        <w:t>In the Phase II and III trials, the choice of clinical and QOL endpoints was satisfactory, and the statistical analyses were appropriately performed</w:t>
      </w:r>
      <w:r w:rsidR="008D3180">
        <w:t>.</w:t>
      </w:r>
    </w:p>
    <w:p w:rsidR="00904A92" w:rsidRDefault="00904A92" w:rsidP="008D3180">
      <w:r>
        <w:t xml:space="preserve">The baseline demographic and disease related characteristics of patients in each of the Phase </w:t>
      </w:r>
      <w:r w:rsidR="001C393D">
        <w:t>II and III</w:t>
      </w:r>
      <w:r>
        <w:t xml:space="preserve"> Studies are similar to those in the anticipated Australian patient cohort, and therefore generali</w:t>
      </w:r>
      <w:r w:rsidR="001C393D">
        <w:t>s</w:t>
      </w:r>
      <w:r>
        <w:t>ation of these results to the Australian context is expected. However, there are some caveats to the generali</w:t>
      </w:r>
      <w:r w:rsidR="000B6BF1">
        <w:t>s</w:t>
      </w:r>
      <w:r>
        <w:t>ability of the treatment population. For example, all of the trials excluded patients who were at a significant risk of infection, history of major illness including past history of cancer or who had various abnormal labor</w:t>
      </w:r>
      <w:r w:rsidR="000B6BF1">
        <w:t xml:space="preserve">atory results at baseline (for example, </w:t>
      </w:r>
      <w:r>
        <w:t>abnormal haematology or liver function tests, as well as haemoglobin A1c &gt;9.0%).</w:t>
      </w:r>
    </w:p>
    <w:p w:rsidR="00904A92" w:rsidRDefault="00904A92" w:rsidP="008D3180">
      <w:r>
        <w:t xml:space="preserve">The pivotal trials enrolled patients with moderately-severely active PSOR, and demonstrated that </w:t>
      </w:r>
      <w:r w:rsidR="00EE6D80">
        <w:t>APR</w:t>
      </w:r>
      <w:r>
        <w:t xml:space="preserve"> is an effective treatment in those who are candidates for systemic or phototherapy. The majority of patients (&gt;90%) had received treatment with at least 1 therapy, of which dermatological </w:t>
      </w:r>
      <w:r w:rsidR="003D5A54">
        <w:t xml:space="preserve">agents (&gt;85%) such as topical </w:t>
      </w:r>
      <w:r w:rsidR="003D5A54" w:rsidRPr="003D5A54">
        <w:t>corticosteroids</w:t>
      </w:r>
      <w:r>
        <w:t xml:space="preserve"> was the most common. In addition, approximately two-third</w:t>
      </w:r>
      <w:r w:rsidR="0010006B">
        <w:t>s of all patients in the Phase III</w:t>
      </w:r>
      <w:r>
        <w:t xml:space="preserve"> studies had previously received either systemic therapy (mainly, MTX or </w:t>
      </w:r>
      <w:proofErr w:type="spellStart"/>
      <w:r>
        <w:t>CsA</w:t>
      </w:r>
      <w:proofErr w:type="spellEnd"/>
      <w:r>
        <w:t>) or phototherapy, and about 30% had prior biologic t</w:t>
      </w:r>
      <w:r w:rsidR="00A24050">
        <w:t xml:space="preserve">reatment exposure (mainly, anti </w:t>
      </w:r>
      <w:r>
        <w:t>TNF drugs). The primary efficacy endpoin</w:t>
      </w:r>
      <w:r w:rsidR="00113632">
        <w:t>t of both Phase III</w:t>
      </w:r>
      <w:r>
        <w:t xml:space="preserve"> studies was the proportion of subjects who achieved a PASI 75 response at 16 weeks, and this was achieved in both trials. In the PSOR-008 Study, more patients treated with </w:t>
      </w:r>
      <w:r w:rsidR="00EE6D80">
        <w:t>APR</w:t>
      </w:r>
      <w:r>
        <w:t xml:space="preserve"> 30</w:t>
      </w:r>
      <w:r w:rsidR="00BB3A82">
        <w:t xml:space="preserve"> </w:t>
      </w:r>
      <w:r>
        <w:t xml:space="preserve">mg twice daily (33.1%; 186/562) achieved this outcome versus 5.3% (15/282) of patients in the PBO group. In the PSOR-009 Study, the PASI 75 response rates showed a similar benefit in favour of </w:t>
      </w:r>
      <w:r w:rsidR="00EE6D80">
        <w:t>APR</w:t>
      </w:r>
      <w:r>
        <w:t xml:space="preserve"> (28.8% [79/274] with </w:t>
      </w:r>
      <w:r w:rsidR="00EE6D80">
        <w:t>APR</w:t>
      </w:r>
      <w:r>
        <w:t xml:space="preserve"> 30</w:t>
      </w:r>
      <w:r w:rsidR="00BB3A82">
        <w:t xml:space="preserve"> </w:t>
      </w:r>
      <w:r>
        <w:t xml:space="preserve">mg twice daily versus 5.8% [8/137] in the PBO group). The PBO response rates were low in both studies, which is </w:t>
      </w:r>
      <w:r w:rsidR="00456952">
        <w:t xml:space="preserve">what should be expected in well </w:t>
      </w:r>
      <w:r>
        <w:t xml:space="preserve">conducted PSOR studies using PASI 75 response rate as the primary efficacy outcome. Many secondary efficacy measures examining other clinical outcomes (such as significant improvements in </w:t>
      </w:r>
      <w:r w:rsidR="00456952" w:rsidRPr="00456952">
        <w:t xml:space="preserve">static Physician Global Assessment </w:t>
      </w:r>
      <w:r w:rsidR="00456952">
        <w:t>(</w:t>
      </w:r>
      <w:proofErr w:type="spellStart"/>
      <w:r>
        <w:t>sPGA</w:t>
      </w:r>
      <w:proofErr w:type="spellEnd"/>
      <w:r w:rsidR="00456952">
        <w:t>)</w:t>
      </w:r>
      <w:r>
        <w:t xml:space="preserve"> scores, PSOR affected %BSA and mean change from baseline in PASI score) as well as QOL endpoints (such as the mean changes from baseline in </w:t>
      </w:r>
      <w:r w:rsidR="0076069C" w:rsidRPr="0076069C">
        <w:t xml:space="preserve">Dermatology Life Quality Index </w:t>
      </w:r>
      <w:r w:rsidR="0076069C">
        <w:t>[</w:t>
      </w:r>
      <w:r>
        <w:t>DLQI</w:t>
      </w:r>
      <w:r w:rsidR="0076069C">
        <w:t>]</w:t>
      </w:r>
      <w:r>
        <w:t xml:space="preserve"> and SF-36 MCS scores) also demonstrated clinically significant changes with </w:t>
      </w:r>
      <w:r w:rsidR="00EE6D80">
        <w:t>APR</w:t>
      </w:r>
      <w:r>
        <w:t xml:space="preserve">. Additionally, improvements in measures of disease activity affecting the nails and scalp (NAPSI scores and </w:t>
      </w:r>
      <w:proofErr w:type="spellStart"/>
      <w:r>
        <w:t>scPGA</w:t>
      </w:r>
      <w:proofErr w:type="spellEnd"/>
      <w:r>
        <w:t xml:space="preserve"> change) were also attained with </w:t>
      </w:r>
      <w:r w:rsidR="00EE6D80">
        <w:t>APR</w:t>
      </w:r>
      <w:r w:rsidR="001C4FCB">
        <w:t xml:space="preserve"> therapy. In both Phase III</w:t>
      </w:r>
      <w:r>
        <w:t xml:space="preserve"> PSOR studies, an important secondary endpoint was the rate and time to loss of treatment effect upon </w:t>
      </w:r>
      <w:r w:rsidR="00EE6D80">
        <w:t>APR</w:t>
      </w:r>
      <w:r>
        <w:t xml:space="preserve"> withdrawal. Both trials showed that continuation of </w:t>
      </w:r>
      <w:r w:rsidR="00EE6D80">
        <w:t>APR</w:t>
      </w:r>
      <w:r>
        <w:t xml:space="preserve"> was superior to treatment withdrawal in maintaining clinically significant improvements beyond an initial treatment course. Similarly, the time to loss of treatment effect was much shorter in patients who were withdrawn from </w:t>
      </w:r>
      <w:r w:rsidR="00EE6D80">
        <w:t>APR</w:t>
      </w:r>
      <w:r>
        <w:t xml:space="preserve"> versus continued therapy. In Study PSOR-008, the median time to first loss of PASI 75 response was 5.1 weeks for PBO (n=64 of 77) and 17.7 weeks for </w:t>
      </w:r>
      <w:r w:rsidR="00EE6D80">
        <w:t>APR</w:t>
      </w:r>
      <w:r>
        <w:t xml:space="preserve"> 30mg twice daily (n</w:t>
      </w:r>
      <w:r w:rsidR="005E5E0E">
        <w:t xml:space="preserve"> </w:t>
      </w:r>
      <w:r>
        <w:t>=</w:t>
      </w:r>
      <w:r w:rsidR="005E5E0E">
        <w:t xml:space="preserve"> </w:t>
      </w:r>
      <w:r>
        <w:t>40 of 77; p</w:t>
      </w:r>
      <w:r w:rsidR="005E5E0E">
        <w:t xml:space="preserve"> </w:t>
      </w:r>
      <w:r>
        <w:t>&lt;</w:t>
      </w:r>
      <w:r w:rsidR="005E5E0E">
        <w:t xml:space="preserve"> </w:t>
      </w:r>
      <w:r>
        <w:t>0.0001). In Study PSOR-009, the PASI 50 responders who were re-randomi</w:t>
      </w:r>
      <w:r w:rsidR="005E5E0E">
        <w:t>s</w:t>
      </w:r>
      <w:r>
        <w:t xml:space="preserve">ed to PBO at </w:t>
      </w:r>
      <w:r w:rsidR="005E5E0E">
        <w:t>W</w:t>
      </w:r>
      <w:r>
        <w:t>eek 32 lost 50% of their improvement at a median time of 12.4 weeks for PBO (n</w:t>
      </w:r>
      <w:r w:rsidR="005E5E0E">
        <w:t xml:space="preserve"> </w:t>
      </w:r>
      <w:r>
        <w:t>=</w:t>
      </w:r>
      <w:r w:rsidR="005E5E0E">
        <w:t xml:space="preserve"> </w:t>
      </w:r>
      <w:r>
        <w:t xml:space="preserve">35 of 62) compared with 21.9 weeks for continued </w:t>
      </w:r>
      <w:r w:rsidR="00EE6D80">
        <w:t>APR</w:t>
      </w:r>
      <w:r>
        <w:t xml:space="preserve"> 30</w:t>
      </w:r>
      <w:r w:rsidR="005E5E0E">
        <w:t xml:space="preserve"> </w:t>
      </w:r>
      <w:r>
        <w:t>mg twice daily (n</w:t>
      </w:r>
      <w:r w:rsidR="005E5E0E">
        <w:t xml:space="preserve"> </w:t>
      </w:r>
      <w:r>
        <w:t>=</w:t>
      </w:r>
      <w:r w:rsidR="005E5E0E">
        <w:t xml:space="preserve"> </w:t>
      </w:r>
      <w:r>
        <w:t>7 of 61; p</w:t>
      </w:r>
      <w:r w:rsidR="0043344F">
        <w:t xml:space="preserve"> </w:t>
      </w:r>
      <w:r>
        <w:t>&lt;</w:t>
      </w:r>
      <w:r w:rsidR="0043344F">
        <w:t xml:space="preserve"> </w:t>
      </w:r>
      <w:r>
        <w:t>0.0001).</w:t>
      </w:r>
    </w:p>
    <w:p w:rsidR="00904A92" w:rsidRDefault="0043344F" w:rsidP="008D3180">
      <w:r>
        <w:lastRenderedPageBreak/>
        <w:t>In the dose-ranging Phase II</w:t>
      </w:r>
      <w:r w:rsidR="00904A92">
        <w:t xml:space="preserve"> Study PSOR-005, there was a clear dose response relationship for </w:t>
      </w:r>
      <w:r w:rsidR="00EE6D80">
        <w:t>APR</w:t>
      </w:r>
      <w:r w:rsidR="00904A92">
        <w:t xml:space="preserve"> over the studied dose range of 10</w:t>
      </w:r>
      <w:r w:rsidR="00304688">
        <w:t xml:space="preserve"> </w:t>
      </w:r>
      <w:r w:rsidR="00904A92">
        <w:t>mg twice daily, 20</w:t>
      </w:r>
      <w:r w:rsidR="00304688">
        <w:t xml:space="preserve"> </w:t>
      </w:r>
      <w:r w:rsidR="00904A92">
        <w:t>mg twice daily and 30</w:t>
      </w:r>
      <w:r w:rsidR="00304688">
        <w:t xml:space="preserve"> </w:t>
      </w:r>
      <w:r w:rsidR="00904A92">
        <w:t xml:space="preserve">mg twice daily. A statistically greater proportion of subjects treated with </w:t>
      </w:r>
      <w:r w:rsidR="00EE6D80">
        <w:t>APR</w:t>
      </w:r>
      <w:r w:rsidR="00904A92">
        <w:t xml:space="preserve"> 20</w:t>
      </w:r>
      <w:r w:rsidR="00304688">
        <w:t xml:space="preserve"> </w:t>
      </w:r>
      <w:r w:rsidR="00904A92">
        <w:t xml:space="preserve">mg and </w:t>
      </w:r>
      <w:r w:rsidR="00EE6D80">
        <w:t>APR</w:t>
      </w:r>
      <w:r w:rsidR="00904A92">
        <w:t xml:space="preserve"> 30</w:t>
      </w:r>
      <w:r w:rsidR="00304688">
        <w:t xml:space="preserve"> </w:t>
      </w:r>
      <w:r w:rsidR="00904A92">
        <w:t xml:space="preserve">mg twice daily in Study PSOR-005 achieved a PASI 75 response at </w:t>
      </w:r>
      <w:r w:rsidR="00304688">
        <w:t>W</w:t>
      </w:r>
      <w:r w:rsidR="00904A92">
        <w:t>eek 16 (28.7% [25/87] and 40.9% [36/88], respectively) compared with PBO</w:t>
      </w:r>
      <w:r w:rsidR="00304688">
        <w:t xml:space="preserve"> </w:t>
      </w:r>
      <w:r w:rsidR="00904A92">
        <w:t xml:space="preserve">treated subjects (5.7%; 5/88). However, the proportion of subjects reaching PASI 75 response at </w:t>
      </w:r>
      <w:r w:rsidR="00304688">
        <w:t>W</w:t>
      </w:r>
      <w:r w:rsidR="00904A92">
        <w:t xml:space="preserve">eek 16 was not statistically different in the </w:t>
      </w:r>
      <w:r w:rsidR="00EE6D80">
        <w:t>APR</w:t>
      </w:r>
      <w:r w:rsidR="00904A92">
        <w:t xml:space="preserve"> 10</w:t>
      </w:r>
      <w:r w:rsidR="00304688">
        <w:t xml:space="preserve"> </w:t>
      </w:r>
      <w:r w:rsidR="00904A92">
        <w:t>mg twice daily group (11.2%; 10/89) compared to PBO (p</w:t>
      </w:r>
      <w:r w:rsidR="00304688">
        <w:t xml:space="preserve"> </w:t>
      </w:r>
      <w:r w:rsidR="00904A92">
        <w:t>=</w:t>
      </w:r>
      <w:r w:rsidR="00304688">
        <w:t xml:space="preserve"> </w:t>
      </w:r>
      <w:r w:rsidR="00904A92">
        <w:t xml:space="preserve">0.1846). The majority of secondary efficacy endpoints supported the observation that </w:t>
      </w:r>
      <w:r w:rsidR="00EE6D80">
        <w:t>APR</w:t>
      </w:r>
      <w:r w:rsidR="00904A92">
        <w:t xml:space="preserve"> 10</w:t>
      </w:r>
      <w:r w:rsidR="00304688">
        <w:t xml:space="preserve"> </w:t>
      </w:r>
      <w:r w:rsidR="00904A92">
        <w:t xml:space="preserve">mg twice daily was of no significant benefit compared with PBO, but </w:t>
      </w:r>
      <w:r w:rsidR="00EE6D80">
        <w:t>APR</w:t>
      </w:r>
      <w:r w:rsidR="00904A92">
        <w:t xml:space="preserve"> doses of 20</w:t>
      </w:r>
      <w:r w:rsidR="00304688">
        <w:t xml:space="preserve"> </w:t>
      </w:r>
      <w:r w:rsidR="00904A92">
        <w:t>mg and 30</w:t>
      </w:r>
      <w:r w:rsidR="00304688">
        <w:t xml:space="preserve"> </w:t>
      </w:r>
      <w:r w:rsidR="00904A92">
        <w:t>mg twice daily demonstrated a consistent dose-response relationship. In addition, for subjects who continued in that trial, clinical response was maintained for up to 52 weeks o</w:t>
      </w:r>
      <w:r w:rsidR="00304688">
        <w:t xml:space="preserve">f </w:t>
      </w:r>
      <w:proofErr w:type="gramStart"/>
      <w:r w:rsidR="00304688">
        <w:t>treatment.</w:t>
      </w:r>
      <w:proofErr w:type="gramEnd"/>
      <w:r w:rsidR="00304688">
        <w:t xml:space="preserve"> The 3 other Phase II studies (2 of which were open </w:t>
      </w:r>
      <w:r w:rsidR="00904A92">
        <w:t>label, and 1 randomi</w:t>
      </w:r>
      <w:r w:rsidR="00304688">
        <w:t>s</w:t>
      </w:r>
      <w:r w:rsidR="00904A92">
        <w:t xml:space="preserve">ed) supported the observation that </w:t>
      </w:r>
      <w:r w:rsidR="00EE6D80">
        <w:t>APR</w:t>
      </w:r>
      <w:r w:rsidR="00904A92">
        <w:t xml:space="preserve"> therapy results in clinically meaningful improvements in PSOR disease activity. Clinical response to </w:t>
      </w:r>
      <w:r w:rsidR="00EE6D80">
        <w:t>APR</w:t>
      </w:r>
      <w:r w:rsidR="00904A92">
        <w:t xml:space="preserve"> appears to onset after 4 weeks of therapy, and peaks 16 weeks after treatment initiation.</w:t>
      </w:r>
    </w:p>
    <w:p w:rsidR="00904A92" w:rsidRDefault="00904A92" w:rsidP="008D3180">
      <w:r>
        <w:t xml:space="preserve">Overall, the data in this submission supports the efficacy of </w:t>
      </w:r>
      <w:r w:rsidR="00EE6D80">
        <w:t>APR</w:t>
      </w:r>
      <w:r>
        <w:t xml:space="preserve"> in the treatment of active PSOR fr</w:t>
      </w:r>
      <w:r w:rsidR="00304688">
        <w:t xml:space="preserve">om a clinical perspective (that is, </w:t>
      </w:r>
      <w:r>
        <w:t>in beneficially treating the symptoms [pruritus] and signs of PSOR [PASI scores and %</w:t>
      </w:r>
      <w:r w:rsidR="001B014B">
        <w:t xml:space="preserve"> </w:t>
      </w:r>
      <w:r>
        <w:t xml:space="preserve">BSA affected]) in those with moderate-severely active disease at baseline, who are candidates for systemic or phototherapy. Subgroup analyses across multiple demographic and disease characteristics were performed and there was no clear association between PSOR severity, prior systemic treatment and subject BMI at baseline in predicting response to </w:t>
      </w:r>
      <w:r w:rsidR="00EE6D80">
        <w:t>APR</w:t>
      </w:r>
      <w:r>
        <w:t xml:space="preserve"> but this may require a larger number of subjects in </w:t>
      </w:r>
      <w:r w:rsidR="008D3180">
        <w:t>each subgroup to be elucidated.</w:t>
      </w:r>
    </w:p>
    <w:p w:rsidR="008E7846" w:rsidRPr="002E238E" w:rsidRDefault="008E7846" w:rsidP="008D3180">
      <w:pPr>
        <w:pStyle w:val="Heading3"/>
      </w:pPr>
      <w:bookmarkStart w:id="97" w:name="_Toc436140482"/>
      <w:r w:rsidRPr="008D3180">
        <w:t>Safety</w:t>
      </w:r>
      <w:bookmarkEnd w:id="93"/>
      <w:bookmarkEnd w:id="94"/>
      <w:bookmarkEnd w:id="95"/>
      <w:bookmarkEnd w:id="96"/>
      <w:bookmarkEnd w:id="97"/>
    </w:p>
    <w:p w:rsidR="00605AD4" w:rsidRPr="00605AD4" w:rsidRDefault="00605AD4" w:rsidP="008D3180">
      <w:pPr>
        <w:pStyle w:val="Heading4"/>
      </w:pPr>
      <w:bookmarkStart w:id="98" w:name="_Toc247691524"/>
      <w:bookmarkStart w:id="99" w:name="_Toc314842508"/>
      <w:bookmarkStart w:id="100" w:name="_Toc196046504"/>
      <w:bookmarkStart w:id="101" w:name="_Toc163441390"/>
      <w:r w:rsidRPr="00605AD4">
        <w:t xml:space="preserve">Studies </w:t>
      </w:r>
      <w:r w:rsidRPr="008D3180">
        <w:t>providing</w:t>
      </w:r>
      <w:r w:rsidRPr="00605AD4">
        <w:t xml:space="preserve"> safety data</w:t>
      </w:r>
    </w:p>
    <w:p w:rsidR="00AD6D75" w:rsidRDefault="00AD6D75" w:rsidP="008D3180">
      <w:bookmarkStart w:id="102" w:name="_Ref268776745"/>
      <w:r>
        <w:t>The following studies provided evaluable safety data:</w:t>
      </w:r>
    </w:p>
    <w:p w:rsidR="00AD6D75" w:rsidRPr="00027276" w:rsidRDefault="00AD6D75" w:rsidP="008D3180">
      <w:pPr>
        <w:pStyle w:val="Heading4"/>
      </w:pPr>
      <w:r w:rsidRPr="00027276">
        <w:t>Pivotal efficacy studies</w:t>
      </w:r>
      <w:bookmarkEnd w:id="102"/>
    </w:p>
    <w:p w:rsidR="00AD6D75" w:rsidRDefault="00AD6D75" w:rsidP="008D3180">
      <w:r>
        <w:t>In the pivotal efficacy studies, the following safety data were collected:</w:t>
      </w:r>
    </w:p>
    <w:p w:rsidR="00AD6D75" w:rsidRDefault="001B014B" w:rsidP="008D3180">
      <w:pPr>
        <w:pStyle w:val="ListBullet"/>
      </w:pPr>
      <w:r>
        <w:t>General AEs</w:t>
      </w:r>
      <w:r w:rsidR="00AD6D75">
        <w:t xml:space="preserve"> were assessed by completion of the AE Case Report Form (CRF) and physical </w:t>
      </w:r>
      <w:r w:rsidR="00AD6D75" w:rsidRPr="008D3180">
        <w:t>examination</w:t>
      </w:r>
      <w:r w:rsidR="00AD6D75">
        <w:t xml:space="preserve"> at baseline; </w:t>
      </w:r>
      <w:r>
        <w:t>W</w:t>
      </w:r>
      <w:r w:rsidR="00AD6D75">
        <w:t>eeks 4, 16, 24 and 28 weeks; and every 12 weeks thereafter.</w:t>
      </w:r>
    </w:p>
    <w:p w:rsidR="00AD6D75" w:rsidRDefault="00AD6D75" w:rsidP="008D3180">
      <w:pPr>
        <w:pStyle w:val="ListBullet"/>
      </w:pPr>
      <w:r>
        <w:t xml:space="preserve">AEs of particular interest, including hypersensitivity, infections (serious and opportunistic), major adverse cardiovascular events, psychiatric disorders and malignancies </w:t>
      </w:r>
      <w:r w:rsidRPr="008D3180">
        <w:t>were</w:t>
      </w:r>
      <w:r>
        <w:t xml:space="preserve"> assessed by CRF and physical examination as per the schedule for general AE evaluation.</w:t>
      </w:r>
    </w:p>
    <w:p w:rsidR="00AD6D75" w:rsidRDefault="00AD6D75" w:rsidP="008D3180">
      <w:pPr>
        <w:pStyle w:val="ListBullet"/>
      </w:pPr>
      <w:r>
        <w:t xml:space="preserve">Laboratory tests, including </w:t>
      </w:r>
      <w:r w:rsidRPr="008D3180">
        <w:t>haematology</w:t>
      </w:r>
      <w:r>
        <w:t xml:space="preserve">, biochemistry and urinalysis were performed at baseline and every 4 weeks until </w:t>
      </w:r>
      <w:r w:rsidR="001B014B">
        <w:t>W</w:t>
      </w:r>
      <w:r>
        <w:t>eek 28, and then every 12 weeks thereafter.</w:t>
      </w:r>
    </w:p>
    <w:p w:rsidR="00AD6D75" w:rsidRDefault="00AD6D75" w:rsidP="008D3180">
      <w:pPr>
        <w:pStyle w:val="ListBullet"/>
      </w:pPr>
      <w:r>
        <w:t xml:space="preserve">Vital signs such as blood pressure, heart rate, weight and temperature were performed at each </w:t>
      </w:r>
      <w:r w:rsidRPr="008D3180">
        <w:t>scheduled</w:t>
      </w:r>
      <w:r>
        <w:t xml:space="preserve"> study visit.</w:t>
      </w:r>
    </w:p>
    <w:p w:rsidR="00AD6D75" w:rsidRDefault="00AD6D75" w:rsidP="008D3180">
      <w:r>
        <w:t>For</w:t>
      </w:r>
      <w:r w:rsidR="001B014B">
        <w:t xml:space="preserve"> the Phase III</w:t>
      </w:r>
      <w:r>
        <w:t xml:space="preserve"> </w:t>
      </w:r>
      <w:proofErr w:type="spellStart"/>
      <w:r>
        <w:t>PsA</w:t>
      </w:r>
      <w:proofErr w:type="spellEnd"/>
      <w:r>
        <w:t xml:space="preserve"> dataset (Studies PSA-002, -003, -004 and -005), safety analyses were provided for 4 analysis periods: </w:t>
      </w:r>
      <w:r w:rsidR="00DE2C51">
        <w:t>W</w:t>
      </w:r>
      <w:r>
        <w:t xml:space="preserve">eeks 0-16, </w:t>
      </w:r>
      <w:r w:rsidR="00DE2C51">
        <w:t>W</w:t>
      </w:r>
      <w:r>
        <w:t xml:space="preserve">eeks 0-24, </w:t>
      </w:r>
      <w:r w:rsidR="00DE2C51">
        <w:t>W</w:t>
      </w:r>
      <w:r>
        <w:t xml:space="preserve">eeks 0-52 and the total </w:t>
      </w:r>
      <w:r w:rsidR="00EE6D80">
        <w:t>APR</w:t>
      </w:r>
      <w:r>
        <w:t xml:space="preserve"> </w:t>
      </w:r>
      <w:r w:rsidR="00DE2C51">
        <w:t>exposure period. For the Phase III</w:t>
      </w:r>
      <w:r>
        <w:t xml:space="preserve"> PSOR dataset (PSOR-008 and PSOR-009), safety analyses were provided for 3 analysis periods: </w:t>
      </w:r>
      <w:r w:rsidR="00E02B31">
        <w:t>W</w:t>
      </w:r>
      <w:r>
        <w:t xml:space="preserve">eeks 0-16, </w:t>
      </w:r>
      <w:r w:rsidR="00E02B31">
        <w:t>W</w:t>
      </w:r>
      <w:r>
        <w:t xml:space="preserve">eeks 0 to 52 and the total </w:t>
      </w:r>
      <w:r w:rsidR="00EE6D80">
        <w:t>APR</w:t>
      </w:r>
      <w:r>
        <w:t xml:space="preserve"> exposure period. </w:t>
      </w:r>
      <w:r w:rsidRPr="00EE7598">
        <w:t xml:space="preserve">The </w:t>
      </w:r>
      <w:r w:rsidR="00EE6D80">
        <w:t>APR</w:t>
      </w:r>
      <w:r>
        <w:t xml:space="preserve"> </w:t>
      </w:r>
      <w:r w:rsidRPr="00EE7598">
        <w:t xml:space="preserve">exposure period encompassed all </w:t>
      </w:r>
      <w:r>
        <w:t>safety</w:t>
      </w:r>
      <w:r w:rsidRPr="00EE7598">
        <w:t xml:space="preserve"> data from the</w:t>
      </w:r>
      <w:r>
        <w:t xml:space="preserve"> </w:t>
      </w:r>
      <w:r w:rsidRPr="00EE7598">
        <w:t xml:space="preserve">first dose of </w:t>
      </w:r>
      <w:r w:rsidR="00EE6D80">
        <w:t>APR</w:t>
      </w:r>
      <w:r w:rsidRPr="00EE7598">
        <w:t xml:space="preserve"> up to </w:t>
      </w:r>
      <w:r w:rsidR="00E02B31">
        <w:t>Week 52 (that is</w:t>
      </w:r>
      <w:r w:rsidRPr="00EE7598">
        <w:t xml:space="preserve">, data from </w:t>
      </w:r>
      <w:r>
        <w:t>w</w:t>
      </w:r>
      <w:r w:rsidRPr="00EE7598">
        <w:t xml:space="preserve">eeks 0 to 52 </w:t>
      </w:r>
      <w:r>
        <w:t>f</w:t>
      </w:r>
      <w:r w:rsidRPr="00EE7598">
        <w:t>or all subjects initially randomi</w:t>
      </w:r>
      <w:r w:rsidR="00E02B31">
        <w:t>s</w:t>
      </w:r>
      <w:r w:rsidRPr="00EE7598">
        <w:t xml:space="preserve">ed to </w:t>
      </w:r>
      <w:r w:rsidR="00EE6D80">
        <w:t>APR</w:t>
      </w:r>
      <w:r w:rsidRPr="00EE7598">
        <w:t xml:space="preserve">, data from </w:t>
      </w:r>
      <w:r w:rsidR="00E02B31">
        <w:t>W</w:t>
      </w:r>
      <w:r w:rsidRPr="00EE7598">
        <w:t>eeks 16 to</w:t>
      </w:r>
      <w:r>
        <w:t xml:space="preserve"> </w:t>
      </w:r>
      <w:r w:rsidRPr="00EE7598">
        <w:t>52 [</w:t>
      </w:r>
      <w:r>
        <w:t xml:space="preserve">up to </w:t>
      </w:r>
      <w:r w:rsidRPr="00EE7598">
        <w:t xml:space="preserve">36 weeks exposure] for </w:t>
      </w:r>
      <w:r>
        <w:t>PBO</w:t>
      </w:r>
      <w:r w:rsidR="00E02B31">
        <w:t xml:space="preserve"> </w:t>
      </w:r>
      <w:r w:rsidRPr="00EE7598">
        <w:t xml:space="preserve">treated </w:t>
      </w:r>
      <w:r w:rsidRPr="00EE7598">
        <w:lastRenderedPageBreak/>
        <w:t>subjects who entered E</w:t>
      </w:r>
      <w:r w:rsidR="00DA7A59">
        <w:t xml:space="preserve">arly </w:t>
      </w:r>
      <w:r w:rsidRPr="00EE7598">
        <w:t>E</w:t>
      </w:r>
      <w:r w:rsidR="00DA7A59">
        <w:t>scape (EE)</w:t>
      </w:r>
      <w:r w:rsidRPr="00EE7598">
        <w:t xml:space="preserve"> at</w:t>
      </w:r>
      <w:r>
        <w:t xml:space="preserve"> </w:t>
      </w:r>
      <w:r w:rsidR="00DA7A59">
        <w:t>W</w:t>
      </w:r>
      <w:r w:rsidRPr="00EE7598">
        <w:t xml:space="preserve">eek 16, and data from </w:t>
      </w:r>
      <w:r w:rsidR="00DA7A59">
        <w:t>W</w:t>
      </w:r>
      <w:r w:rsidRPr="00EE7598">
        <w:t>eeks</w:t>
      </w:r>
      <w:r>
        <w:t xml:space="preserve"> </w:t>
      </w:r>
      <w:r w:rsidRPr="00EE7598">
        <w:t xml:space="preserve">24 to 52 [up to 28 weeks exposure] for </w:t>
      </w:r>
      <w:r>
        <w:t xml:space="preserve">PBO </w:t>
      </w:r>
      <w:r w:rsidRPr="00EE7598">
        <w:t>treated</w:t>
      </w:r>
      <w:r>
        <w:t xml:space="preserve"> </w:t>
      </w:r>
      <w:r w:rsidRPr="00EE7598">
        <w:t>subjects who were re-randomi</w:t>
      </w:r>
      <w:r w:rsidR="00DA7A59">
        <w:t>s</w:t>
      </w:r>
      <w:r w:rsidRPr="00EE7598">
        <w:t xml:space="preserve">ed to </w:t>
      </w:r>
      <w:r w:rsidR="00EE6D80">
        <w:t>APR</w:t>
      </w:r>
      <w:r w:rsidRPr="00EE7598">
        <w:t xml:space="preserve"> at </w:t>
      </w:r>
      <w:r>
        <w:t>w</w:t>
      </w:r>
      <w:r w:rsidRPr="00EE7598">
        <w:t>eek 24).</w:t>
      </w:r>
      <w:r>
        <w:t xml:space="preserve"> </w:t>
      </w:r>
      <w:r w:rsidRPr="007B124B">
        <w:t>The analyses of AEs and markedly abnormal clinical laboratory values</w:t>
      </w:r>
      <w:r>
        <w:t xml:space="preserve"> </w:t>
      </w:r>
      <w:r w:rsidRPr="007B124B">
        <w:t>were conducted using subject incidence</w:t>
      </w:r>
      <w:r>
        <w:t xml:space="preserve">, as well as using the </w:t>
      </w:r>
      <w:r w:rsidRPr="007B124B">
        <w:t>Exposure-</w:t>
      </w:r>
      <w:r>
        <w:t>A</w:t>
      </w:r>
      <w:r w:rsidRPr="007B124B">
        <w:t xml:space="preserve">djusted </w:t>
      </w:r>
      <w:r>
        <w:t>I</w:t>
      </w:r>
      <w:r w:rsidRPr="007B124B">
        <w:t xml:space="preserve">ncidence </w:t>
      </w:r>
      <w:r>
        <w:t>R</w:t>
      </w:r>
      <w:r w:rsidRPr="007B124B">
        <w:t>ate (EAIR</w:t>
      </w:r>
      <w:r>
        <w:t>) expressed as the number of events occurring per 100 patient</w:t>
      </w:r>
      <w:r w:rsidR="00AE0608">
        <w:t xml:space="preserve"> </w:t>
      </w:r>
      <w:r w:rsidR="008D3180">
        <w:t>years (PY).</w:t>
      </w:r>
    </w:p>
    <w:p w:rsidR="00AD6D75" w:rsidRPr="00261F5E" w:rsidRDefault="00AD6D75" w:rsidP="008D3180">
      <w:r>
        <w:t xml:space="preserve">Blinded independent adjudication of treatment emergent AEs of </w:t>
      </w:r>
      <w:r w:rsidRPr="00261F5E">
        <w:t>Major Adverse Cardiac Events (MACE)</w:t>
      </w:r>
      <w:r>
        <w:t>, malignancies and serious infections (including opportunistic infection) recorded in any subjec</w:t>
      </w:r>
      <w:r w:rsidR="00AE0608">
        <w:t>t enrolled in any of the Phase II or III</w:t>
      </w:r>
      <w:r>
        <w:t xml:space="preserve"> studies was also pe</w:t>
      </w:r>
      <w:r w:rsidR="00DB47B2">
        <w:t>rformed</w:t>
      </w:r>
      <w:r>
        <w:t>.</w:t>
      </w:r>
    </w:p>
    <w:p w:rsidR="00AD6D75" w:rsidRPr="00840122" w:rsidRDefault="00AD6D75" w:rsidP="008D3180">
      <w:pPr>
        <w:pStyle w:val="Heading4"/>
      </w:pPr>
      <w:r w:rsidRPr="00027276">
        <w:t xml:space="preserve">Pivotal studies that assessed </w:t>
      </w:r>
      <w:r>
        <w:t>safety as a primary outcome</w:t>
      </w:r>
    </w:p>
    <w:p w:rsidR="00AD6D75" w:rsidRDefault="00AD6D75" w:rsidP="008D3180">
      <w:r>
        <w:t xml:space="preserve">No studies in either the </w:t>
      </w:r>
      <w:proofErr w:type="spellStart"/>
      <w:r>
        <w:t>PsA</w:t>
      </w:r>
      <w:proofErr w:type="spellEnd"/>
      <w:r>
        <w:t xml:space="preserve"> or PSOR program were pivotal studies that assess</w:t>
      </w:r>
      <w:r w:rsidR="008D3180">
        <w:t>ed safety as a primary outcome.</w:t>
      </w:r>
    </w:p>
    <w:p w:rsidR="00AD6D75" w:rsidRDefault="00AD6D75" w:rsidP="008D3180">
      <w:pPr>
        <w:pStyle w:val="Heading4"/>
      </w:pPr>
      <w:r>
        <w:t>Dose</w:t>
      </w:r>
      <w:r w:rsidR="00641958">
        <w:t xml:space="preserve"> </w:t>
      </w:r>
      <w:r w:rsidRPr="008D3180">
        <w:t>response</w:t>
      </w:r>
      <w:r>
        <w:t xml:space="preserve"> and </w:t>
      </w:r>
      <w:proofErr w:type="spellStart"/>
      <w:r>
        <w:t>non</w:t>
      </w:r>
      <w:r w:rsidR="00641958">
        <w:t xml:space="preserve"> </w:t>
      </w:r>
      <w:r>
        <w:t>pivotal</w:t>
      </w:r>
      <w:proofErr w:type="spellEnd"/>
      <w:r>
        <w:t xml:space="preserve"> efficacy studies</w:t>
      </w:r>
    </w:p>
    <w:p w:rsidR="00AD6D75" w:rsidRDefault="00AD6D75" w:rsidP="008D3180">
      <w:r>
        <w:t>The dose</w:t>
      </w:r>
      <w:r w:rsidR="00641958">
        <w:t xml:space="preserve"> </w:t>
      </w:r>
      <w:r>
        <w:t xml:space="preserve">response and </w:t>
      </w:r>
      <w:proofErr w:type="spellStart"/>
      <w:r>
        <w:t>non</w:t>
      </w:r>
      <w:r w:rsidR="00641958">
        <w:t xml:space="preserve"> </w:t>
      </w:r>
      <w:r>
        <w:t>pivotal</w:t>
      </w:r>
      <w:proofErr w:type="spellEnd"/>
      <w:r>
        <w:t xml:space="preserve"> efficacy studies that provided safety data </w:t>
      </w:r>
      <w:r w:rsidR="00091816">
        <w:t>we</w:t>
      </w:r>
      <w:r>
        <w:t>re as follows:</w:t>
      </w:r>
    </w:p>
    <w:p w:rsidR="00AD6D75" w:rsidRPr="00E72A2A" w:rsidRDefault="00AD6D75" w:rsidP="008D3180">
      <w:pPr>
        <w:pStyle w:val="ListBullet"/>
      </w:pPr>
      <w:r>
        <w:t>For the treatment indication of PSOR</w:t>
      </w:r>
      <w:r w:rsidR="00FA6ED0">
        <w:t xml:space="preserve"> there were 2 open</w:t>
      </w:r>
      <w:r w:rsidR="00641958">
        <w:t xml:space="preserve"> </w:t>
      </w:r>
      <w:r w:rsidR="00FA6ED0">
        <w:t>label Phase II</w:t>
      </w:r>
      <w:r>
        <w:t xml:space="preserve"> trials (Studies PSOR-</w:t>
      </w:r>
      <w:r w:rsidRPr="008D3180">
        <w:t>001</w:t>
      </w:r>
      <w:r>
        <w:t xml:space="preserve"> and PSOR-004) and 2 randomi</w:t>
      </w:r>
      <w:r w:rsidR="00FA6ED0">
        <w:t>s</w:t>
      </w:r>
      <w:r>
        <w:t xml:space="preserve">ed </w:t>
      </w:r>
      <w:r w:rsidR="00FA6ED0">
        <w:t xml:space="preserve">Phase </w:t>
      </w:r>
      <w:r w:rsidR="0088371D">
        <w:t>II</w:t>
      </w:r>
      <w:r>
        <w:t xml:space="preserve"> trials (Studies PSOR-003 and PSOR-005).</w:t>
      </w:r>
    </w:p>
    <w:p w:rsidR="00AD6D75" w:rsidRPr="00E72A2A" w:rsidRDefault="00AD6D75" w:rsidP="008D3180">
      <w:pPr>
        <w:pStyle w:val="ListBullet"/>
      </w:pPr>
      <w:r>
        <w:t xml:space="preserve">For the treatment indication of </w:t>
      </w:r>
      <w:proofErr w:type="spellStart"/>
      <w:r>
        <w:t>PsA</w:t>
      </w:r>
      <w:proofErr w:type="spellEnd"/>
      <w:r>
        <w:t xml:space="preserve">, </w:t>
      </w:r>
      <w:r w:rsidRPr="00E72A2A">
        <w:t xml:space="preserve">Study </w:t>
      </w:r>
      <w:r w:rsidR="0088371D">
        <w:t>PSA-001</w:t>
      </w:r>
      <w:r w:rsidR="00E84AFD">
        <w:t>,</w:t>
      </w:r>
      <w:r w:rsidR="0088371D">
        <w:t xml:space="preserve"> which was </w:t>
      </w:r>
      <w:r w:rsidR="00E84AFD">
        <w:t xml:space="preserve">a </w:t>
      </w:r>
      <w:r w:rsidR="0088371D">
        <w:t>Phase II</w:t>
      </w:r>
      <w:r>
        <w:t xml:space="preserve"> dose</w:t>
      </w:r>
      <w:r w:rsidR="00641958">
        <w:t xml:space="preserve"> </w:t>
      </w:r>
      <w:r>
        <w:t>ranging trial</w:t>
      </w:r>
      <w:r w:rsidR="00E84AFD">
        <w:t>,</w:t>
      </w:r>
      <w:r>
        <w:t xml:space="preserve"> </w:t>
      </w:r>
      <w:r w:rsidRPr="008D3180">
        <w:t>provided</w:t>
      </w:r>
      <w:r w:rsidRPr="00E72A2A">
        <w:t xml:space="preserve"> </w:t>
      </w:r>
      <w:r>
        <w:t xml:space="preserve">safety </w:t>
      </w:r>
      <w:r w:rsidRPr="00E72A2A">
        <w:t xml:space="preserve">data on </w:t>
      </w:r>
      <w:r w:rsidR="00EE6D80">
        <w:t>APR</w:t>
      </w:r>
      <w:r>
        <w:t xml:space="preserve"> as per the</w:t>
      </w:r>
      <w:r w:rsidR="0088371D">
        <w:t xml:space="preserve"> same assessments as the Phase III</w:t>
      </w:r>
      <w:r>
        <w:t xml:space="preserve"> </w:t>
      </w:r>
      <w:proofErr w:type="spellStart"/>
      <w:r>
        <w:t>PsA</w:t>
      </w:r>
      <w:proofErr w:type="spellEnd"/>
      <w:r>
        <w:t xml:space="preserve"> program</w:t>
      </w:r>
      <w:r w:rsidRPr="00E72A2A">
        <w:t>.</w:t>
      </w:r>
    </w:p>
    <w:p w:rsidR="00AD6D75" w:rsidRDefault="00AD6D75" w:rsidP="008D3180">
      <w:pPr>
        <w:pStyle w:val="Heading4"/>
      </w:pPr>
      <w:r>
        <w:t xml:space="preserve">Other studies evaluable for </w:t>
      </w:r>
      <w:r w:rsidRPr="008D3180">
        <w:t>safety</w:t>
      </w:r>
      <w:r>
        <w:t xml:space="preserve"> only</w:t>
      </w:r>
    </w:p>
    <w:p w:rsidR="00AD6D75" w:rsidRDefault="00AD6D75" w:rsidP="008D3180">
      <w:r w:rsidRPr="00F33C87">
        <w:t xml:space="preserve">In all of the </w:t>
      </w:r>
      <w:r>
        <w:t xml:space="preserve">other treatment indication studies (BCT-001, ASTH-001 and RA-002), </w:t>
      </w:r>
      <w:r w:rsidR="00EE6D80">
        <w:t>APR</w:t>
      </w:r>
      <w:r>
        <w:t xml:space="preserve"> </w:t>
      </w:r>
      <w:r w:rsidRPr="00F33C87">
        <w:t xml:space="preserve">was well tolerated in </w:t>
      </w:r>
      <w:r>
        <w:t>g</w:t>
      </w:r>
      <w:r w:rsidRPr="00F33C87">
        <w:t>e</w:t>
      </w:r>
      <w:r>
        <w:t>n</w:t>
      </w:r>
      <w:r w:rsidRPr="00F33C87">
        <w:t>e</w:t>
      </w:r>
      <w:r>
        <w:t>r</w:t>
      </w:r>
      <w:r w:rsidRPr="00F33C87">
        <w:t>a</w:t>
      </w:r>
      <w:r>
        <w:t>l with</w:t>
      </w:r>
      <w:r w:rsidRPr="00F33C87">
        <w:t xml:space="preserve"> </w:t>
      </w:r>
      <w:r>
        <w:t>g</w:t>
      </w:r>
      <w:r w:rsidRPr="00F33C87">
        <w:t>astrointestinal AEs</w:t>
      </w:r>
      <w:r>
        <w:t xml:space="preserve"> </w:t>
      </w:r>
      <w:r w:rsidRPr="00F33C87">
        <w:t>(</w:t>
      </w:r>
      <w:r>
        <w:t>such as</w:t>
      </w:r>
      <w:r w:rsidRPr="00F33C87">
        <w:t xml:space="preserve"> nausea, diarrhoea and vomiting) occurr</w:t>
      </w:r>
      <w:r>
        <w:t>ing</w:t>
      </w:r>
      <w:r w:rsidRPr="00F33C87">
        <w:t xml:space="preserve"> more frequently in subjects receiving</w:t>
      </w:r>
      <w:r>
        <w:t xml:space="preserve"> </w:t>
      </w:r>
      <w:r w:rsidR="00EE6D80">
        <w:t>APR</w:t>
      </w:r>
      <w:r w:rsidRPr="00F33C87">
        <w:t xml:space="preserve"> than those </w:t>
      </w:r>
      <w:r>
        <w:t>tak</w:t>
      </w:r>
      <w:r w:rsidRPr="00F33C87">
        <w:t xml:space="preserve">ing </w:t>
      </w:r>
      <w:r>
        <w:t>PBO</w:t>
      </w:r>
      <w:r w:rsidRPr="00F33C87">
        <w:t>. Most of the AEs were mild-to-moderate in severity.</w:t>
      </w:r>
      <w:r>
        <w:t xml:space="preserve"> </w:t>
      </w:r>
      <w:r w:rsidRPr="00F33C87">
        <w:t xml:space="preserve">Few subjects discontinued </w:t>
      </w:r>
      <w:r w:rsidR="00EE6D80">
        <w:t>APR</w:t>
      </w:r>
      <w:r w:rsidRPr="00F33C87">
        <w:t xml:space="preserve"> to AEs</w:t>
      </w:r>
      <w:r>
        <w:t>,</w:t>
      </w:r>
      <w:r w:rsidRPr="00F33C87">
        <w:t xml:space="preserve"> and most discontinuations were due to</w:t>
      </w:r>
      <w:r>
        <w:t xml:space="preserve"> </w:t>
      </w:r>
      <w:r w:rsidRPr="00F33C87">
        <w:t>disease flare</w:t>
      </w:r>
      <w:r>
        <w:t xml:space="preserve"> or insufficient efficacy</w:t>
      </w:r>
      <w:r w:rsidRPr="00F33C87">
        <w:t>. The types of AEs observed in th</w:t>
      </w:r>
      <w:r>
        <w:t>e</w:t>
      </w:r>
      <w:r w:rsidRPr="00F33C87">
        <w:t>s</w:t>
      </w:r>
      <w:r>
        <w:t>e</w:t>
      </w:r>
      <w:r w:rsidRPr="00F33C87">
        <w:t xml:space="preserve"> </w:t>
      </w:r>
      <w:r>
        <w:t xml:space="preserve">3 </w:t>
      </w:r>
      <w:r w:rsidRPr="00F33C87">
        <w:t>stud</w:t>
      </w:r>
      <w:r>
        <w:t>ies</w:t>
      </w:r>
      <w:r w:rsidRPr="00F33C87">
        <w:t xml:space="preserve"> </w:t>
      </w:r>
      <w:r>
        <w:t>we</w:t>
      </w:r>
      <w:r w:rsidRPr="00F33C87">
        <w:t xml:space="preserve">re </w:t>
      </w:r>
      <w:r>
        <w:t>c</w:t>
      </w:r>
      <w:r w:rsidRPr="00F33C87">
        <w:t>onsistent with the</w:t>
      </w:r>
      <w:r>
        <w:t xml:space="preserve"> </w:t>
      </w:r>
      <w:r w:rsidRPr="00F33C87">
        <w:t xml:space="preserve">safety profile of </w:t>
      </w:r>
      <w:r w:rsidR="00EE6D80">
        <w:t>APR</w:t>
      </w:r>
      <w:r w:rsidRPr="00F33C87">
        <w:t>. Furthermore, the frequency of AEs reported between</w:t>
      </w:r>
      <w:r>
        <w:t xml:space="preserve"> PBO</w:t>
      </w:r>
      <w:r w:rsidRPr="00F33C87">
        <w:t xml:space="preserve"> and </w:t>
      </w:r>
      <w:r w:rsidR="00EE6D80">
        <w:t>APR</w:t>
      </w:r>
      <w:r>
        <w:t xml:space="preserve"> </w:t>
      </w:r>
      <w:r w:rsidRPr="00F33C87">
        <w:t>treated subjects had a similar fold increase to that observed in</w:t>
      </w:r>
      <w:r>
        <w:t xml:space="preserve"> the</w:t>
      </w:r>
      <w:r w:rsidRPr="00F33C87">
        <w:t xml:space="preserve"> </w:t>
      </w:r>
      <w:proofErr w:type="spellStart"/>
      <w:r>
        <w:t>PsA</w:t>
      </w:r>
      <w:proofErr w:type="spellEnd"/>
      <w:r>
        <w:t xml:space="preserve"> and PSOR trials</w:t>
      </w:r>
      <w:r w:rsidRPr="00F33C87">
        <w:t>. There were no unusual or unexpected safety findings in th</w:t>
      </w:r>
      <w:r>
        <w:t>e</w:t>
      </w:r>
      <w:r w:rsidRPr="00F33C87">
        <w:t>s</w:t>
      </w:r>
      <w:r>
        <w:t xml:space="preserve">e 3 </w:t>
      </w:r>
      <w:r w:rsidRPr="00F33C87">
        <w:t>stud</w:t>
      </w:r>
      <w:r>
        <w:t>ies</w:t>
      </w:r>
      <w:r w:rsidRPr="00F33C87">
        <w:t>.</w:t>
      </w:r>
    </w:p>
    <w:p w:rsidR="00AD6D75" w:rsidRPr="00891E8F" w:rsidRDefault="00AD6D75" w:rsidP="008D3180">
      <w:pPr>
        <w:pStyle w:val="Heading5"/>
      </w:pPr>
      <w:r w:rsidRPr="00891E8F">
        <w:t>Study BCT-</w:t>
      </w:r>
      <w:r w:rsidRPr="008D3180">
        <w:t>001</w:t>
      </w:r>
    </w:p>
    <w:p w:rsidR="00AD6D75" w:rsidRDefault="00AD6D75" w:rsidP="008D3180">
      <w:r>
        <w:t>This</w:t>
      </w:r>
      <w:r w:rsidR="0088371D">
        <w:t xml:space="preserve"> was a Phase II</w:t>
      </w:r>
      <w:r w:rsidRPr="00F33C87">
        <w:t>, multicentr</w:t>
      </w:r>
      <w:r>
        <w:t>e</w:t>
      </w:r>
      <w:r w:rsidRPr="00F33C87">
        <w:t>, randomi</w:t>
      </w:r>
      <w:r w:rsidR="0088371D">
        <w:t>s</w:t>
      </w:r>
      <w:r w:rsidRPr="00F33C87">
        <w:t xml:space="preserve">ed, </w:t>
      </w:r>
      <w:r>
        <w:t>PBO</w:t>
      </w:r>
      <w:r w:rsidR="0088371D">
        <w:t xml:space="preserve"> </w:t>
      </w:r>
      <w:r w:rsidRPr="00F33C87">
        <w:t>controlled, double</w:t>
      </w:r>
      <w:r w:rsidR="0088371D">
        <w:t xml:space="preserve"> </w:t>
      </w:r>
      <w:r w:rsidRPr="00F33C87">
        <w:t>blind,</w:t>
      </w:r>
      <w:r>
        <w:t xml:space="preserve"> </w:t>
      </w:r>
      <w:r w:rsidRPr="00F33C87">
        <w:t>parallel</w:t>
      </w:r>
      <w:r w:rsidR="0088371D">
        <w:t xml:space="preserve"> </w:t>
      </w:r>
      <w:r w:rsidRPr="00F33C87">
        <w:t xml:space="preserve">group study of </w:t>
      </w:r>
      <w:r w:rsidR="00EE6D80">
        <w:t>APR</w:t>
      </w:r>
      <w:r w:rsidRPr="00F33C87">
        <w:t xml:space="preserve"> in the treatment of </w:t>
      </w:r>
      <w:proofErr w:type="spellStart"/>
      <w:r w:rsidRPr="00F33C87">
        <w:t>Behçet’s</w:t>
      </w:r>
      <w:proofErr w:type="spellEnd"/>
      <w:r w:rsidRPr="00F33C87">
        <w:t xml:space="preserve"> disease. The study included a 12</w:t>
      </w:r>
      <w:r w:rsidR="0088371D">
        <w:t xml:space="preserve"> </w:t>
      </w:r>
      <w:r w:rsidRPr="00F33C87">
        <w:t xml:space="preserve">week </w:t>
      </w:r>
      <w:r>
        <w:t>PBO</w:t>
      </w:r>
      <w:r w:rsidR="0088371D">
        <w:t xml:space="preserve"> </w:t>
      </w:r>
      <w:r w:rsidRPr="00F33C87">
        <w:t xml:space="preserve">controlled </w:t>
      </w:r>
      <w:r>
        <w:t>t</w:t>
      </w:r>
      <w:r w:rsidRPr="00F33C87">
        <w:t xml:space="preserve">reatment </w:t>
      </w:r>
      <w:r>
        <w:t>p</w:t>
      </w:r>
      <w:r w:rsidRPr="00F33C87">
        <w:t>hase and a 12</w:t>
      </w:r>
      <w:r w:rsidR="0088371D">
        <w:t xml:space="preserve"> </w:t>
      </w:r>
      <w:r w:rsidRPr="00F33C87">
        <w:t xml:space="preserve">week blinded </w:t>
      </w:r>
      <w:r>
        <w:t>e</w:t>
      </w:r>
      <w:r w:rsidRPr="00F33C87">
        <w:t xml:space="preserve">xtension </w:t>
      </w:r>
      <w:r>
        <w:t>p</w:t>
      </w:r>
      <w:r w:rsidRPr="00F33C87">
        <w:t>e</w:t>
      </w:r>
      <w:r>
        <w:t>riod</w:t>
      </w:r>
      <w:r w:rsidRPr="00F33C87">
        <w:t>. A total of</w:t>
      </w:r>
      <w:r>
        <w:t xml:space="preserve"> </w:t>
      </w:r>
      <w:r w:rsidRPr="00F33C87">
        <w:t>56 subjects were randomi</w:t>
      </w:r>
      <w:r w:rsidR="0088371D">
        <w:t>s</w:t>
      </w:r>
      <w:r w:rsidRPr="00F33C87">
        <w:t xml:space="preserve">ed to </w:t>
      </w:r>
      <w:r>
        <w:t xml:space="preserve">PBO </w:t>
      </w:r>
      <w:r w:rsidRPr="00F33C87">
        <w:t>and 55 subjects were randomi</w:t>
      </w:r>
      <w:r w:rsidR="0088371D">
        <w:t>s</w:t>
      </w:r>
      <w:r w:rsidRPr="00F33C87">
        <w:t xml:space="preserve">ed to </w:t>
      </w:r>
      <w:r w:rsidR="00EE6D80">
        <w:t>APR</w:t>
      </w:r>
      <w:r w:rsidRPr="00F33C87">
        <w:t xml:space="preserve"> 30</w:t>
      </w:r>
      <w:r w:rsidR="0088371D">
        <w:t xml:space="preserve"> </w:t>
      </w:r>
      <w:r>
        <w:t>mg twice daily</w:t>
      </w:r>
      <w:r w:rsidRPr="00F33C87">
        <w:t>. The</w:t>
      </w:r>
      <w:r>
        <w:t xml:space="preserve"> </w:t>
      </w:r>
      <w:r w:rsidRPr="00F33C87">
        <w:t xml:space="preserve">mean duration of </w:t>
      </w:r>
      <w:r>
        <w:t xml:space="preserve">follow-up </w:t>
      </w:r>
      <w:r w:rsidRPr="00F33C87">
        <w:t xml:space="preserve">in the </w:t>
      </w:r>
      <w:r>
        <w:t>t</w:t>
      </w:r>
      <w:r w:rsidRPr="00F33C87">
        <w:t xml:space="preserve">reatment </w:t>
      </w:r>
      <w:r>
        <w:t>p</w:t>
      </w:r>
      <w:r w:rsidRPr="00F33C87">
        <w:t xml:space="preserve">hase was 10.65 weeks in the </w:t>
      </w:r>
      <w:r>
        <w:t>PBO</w:t>
      </w:r>
      <w:r w:rsidRPr="00F33C87">
        <w:t xml:space="preserve"> group and</w:t>
      </w:r>
      <w:r>
        <w:t xml:space="preserve"> </w:t>
      </w:r>
      <w:r w:rsidRPr="00F33C87">
        <w:t xml:space="preserve">11.43 weeks in the </w:t>
      </w:r>
      <w:r w:rsidR="00EE6D80">
        <w:t>APR</w:t>
      </w:r>
      <w:r w:rsidRPr="00F33C87">
        <w:t xml:space="preserve"> </w:t>
      </w:r>
      <w:r>
        <w:t>a</w:t>
      </w:r>
      <w:r w:rsidRPr="00F33C87">
        <w:t>r</w:t>
      </w:r>
      <w:r>
        <w:t>m</w:t>
      </w:r>
      <w:r w:rsidRPr="00F33C87">
        <w:t>. In the 12</w:t>
      </w:r>
      <w:r w:rsidR="0088371D">
        <w:t xml:space="preserve"> </w:t>
      </w:r>
      <w:r w:rsidRPr="00F33C87">
        <w:t xml:space="preserve">week </w:t>
      </w:r>
      <w:r>
        <w:t>e</w:t>
      </w:r>
      <w:r w:rsidRPr="00F33C87">
        <w:t xml:space="preserve">xtension </w:t>
      </w:r>
      <w:r>
        <w:t>p</w:t>
      </w:r>
      <w:r w:rsidRPr="00F33C87">
        <w:t>hase, subjects who had</w:t>
      </w:r>
      <w:r>
        <w:t xml:space="preserve"> </w:t>
      </w:r>
      <w:r w:rsidRPr="00F33C87">
        <w:t xml:space="preserve">received </w:t>
      </w:r>
      <w:r>
        <w:t>PBO</w:t>
      </w:r>
      <w:r w:rsidRPr="00F33C87">
        <w:t xml:space="preserve"> during the </w:t>
      </w:r>
      <w:r>
        <w:t>initial t</w:t>
      </w:r>
      <w:r w:rsidRPr="00F33C87">
        <w:t xml:space="preserve">reatment </w:t>
      </w:r>
      <w:r>
        <w:t>p</w:t>
      </w:r>
      <w:r w:rsidRPr="00F33C87">
        <w:t xml:space="preserve">hase were switched to </w:t>
      </w:r>
      <w:r w:rsidR="00EE6D80">
        <w:t>APR</w:t>
      </w:r>
      <w:r w:rsidRPr="00F33C87">
        <w:t xml:space="preserve"> 30</w:t>
      </w:r>
      <w:r w:rsidR="0088371D">
        <w:t xml:space="preserve"> </w:t>
      </w:r>
      <w:r>
        <w:t>mg twice daily</w:t>
      </w:r>
      <w:r w:rsidRPr="00F33C87">
        <w:t>. Subjects who were</w:t>
      </w:r>
      <w:r>
        <w:t xml:space="preserve"> </w:t>
      </w:r>
      <w:r w:rsidRPr="00F33C87">
        <w:t>randomi</w:t>
      </w:r>
      <w:r w:rsidR="0088371D">
        <w:t>s</w:t>
      </w:r>
      <w:r w:rsidRPr="00F33C87">
        <w:t xml:space="preserve">ed to </w:t>
      </w:r>
      <w:r w:rsidR="00EE6D80">
        <w:t>APR</w:t>
      </w:r>
      <w:r w:rsidRPr="00F33C87">
        <w:t xml:space="preserve"> continued to receive the same dose o</w:t>
      </w:r>
      <w:r>
        <w:t xml:space="preserve">f </w:t>
      </w:r>
      <w:r w:rsidR="00EE6D80">
        <w:t>APR</w:t>
      </w:r>
      <w:r w:rsidRPr="00F33C87">
        <w:t xml:space="preserve">. Mean exposure to </w:t>
      </w:r>
      <w:r w:rsidR="00EE6D80">
        <w:t>APR</w:t>
      </w:r>
      <w:r w:rsidRPr="00F33C87">
        <w:t xml:space="preserve"> in the </w:t>
      </w:r>
      <w:r>
        <w:t>e</w:t>
      </w:r>
      <w:r w:rsidRPr="00F33C87">
        <w:t xml:space="preserve">xtension </w:t>
      </w:r>
      <w:r>
        <w:t>p</w:t>
      </w:r>
      <w:r w:rsidRPr="00F33C87">
        <w:t>hase was 12.1</w:t>
      </w:r>
      <w:r>
        <w:t xml:space="preserve"> </w:t>
      </w:r>
      <w:r w:rsidRPr="00F33C87">
        <w:t>weeks in the</w:t>
      </w:r>
      <w:r>
        <w:t xml:space="preserve"> PBO to </w:t>
      </w:r>
      <w:r w:rsidR="00EE6D80">
        <w:t>APR</w:t>
      </w:r>
      <w:r w:rsidRPr="00F33C87">
        <w:t xml:space="preserve"> </w:t>
      </w:r>
      <w:r>
        <w:t>switch</w:t>
      </w:r>
      <w:r w:rsidRPr="00F33C87">
        <w:t xml:space="preserve"> group and 22.0 weeks in the </w:t>
      </w:r>
      <w:r>
        <w:t xml:space="preserve">continued </w:t>
      </w:r>
      <w:r w:rsidR="00EE6D80">
        <w:t>APR</w:t>
      </w:r>
      <w:r w:rsidRPr="00F33C87">
        <w:t xml:space="preserve"> </w:t>
      </w:r>
      <w:r>
        <w:t xml:space="preserve">treatment </w:t>
      </w:r>
      <w:r w:rsidRPr="00F33C87">
        <w:t>group.</w:t>
      </w:r>
    </w:p>
    <w:p w:rsidR="00AD6D75" w:rsidRPr="00891E8F" w:rsidRDefault="00AD6D75" w:rsidP="008D3180">
      <w:pPr>
        <w:pStyle w:val="Heading5"/>
      </w:pPr>
      <w:r w:rsidRPr="00891E8F">
        <w:t>Study ASTH-001</w:t>
      </w:r>
    </w:p>
    <w:p w:rsidR="00AD6D75" w:rsidRDefault="0088371D" w:rsidP="008D3180">
      <w:r>
        <w:t>Study ASTH-001 was a Phase II</w:t>
      </w:r>
      <w:r w:rsidR="00AD6D75" w:rsidRPr="00AD7CBC">
        <w:t>, multicentr</w:t>
      </w:r>
      <w:r w:rsidR="00AD6D75">
        <w:t>e</w:t>
      </w:r>
      <w:r w:rsidR="00AD6D75" w:rsidRPr="00AD7CBC">
        <w:t>, randomi</w:t>
      </w:r>
      <w:r>
        <w:t>s</w:t>
      </w:r>
      <w:r w:rsidR="00AD6D75" w:rsidRPr="00AD7CBC">
        <w:t xml:space="preserve">ed, </w:t>
      </w:r>
      <w:r w:rsidR="00AD6D75">
        <w:t>PBO</w:t>
      </w:r>
      <w:r>
        <w:t xml:space="preserve"> </w:t>
      </w:r>
      <w:r w:rsidR="00AD6D75" w:rsidRPr="00AD7CBC">
        <w:t>controlled, parallel</w:t>
      </w:r>
      <w:r>
        <w:t xml:space="preserve"> </w:t>
      </w:r>
      <w:r w:rsidR="00AD6D75" w:rsidRPr="00AD7CBC">
        <w:t>group,</w:t>
      </w:r>
      <w:r w:rsidR="00AD6D75">
        <w:t xml:space="preserve"> </w:t>
      </w:r>
      <w:r w:rsidR="00AD6D75" w:rsidRPr="00AD7CBC">
        <w:t>exercise</w:t>
      </w:r>
      <w:r>
        <w:t xml:space="preserve"> </w:t>
      </w:r>
      <w:r w:rsidR="00AD6D75" w:rsidRPr="00AD7CBC">
        <w:t xml:space="preserve">challenge study comparing </w:t>
      </w:r>
      <w:r w:rsidR="00AD6D75">
        <w:t>2</w:t>
      </w:r>
      <w:r w:rsidR="00AD6D75" w:rsidRPr="00AD7CBC">
        <w:t xml:space="preserve"> oral doses of </w:t>
      </w:r>
      <w:r w:rsidR="00EE6D80">
        <w:t>APR</w:t>
      </w:r>
      <w:r w:rsidR="00AD6D75" w:rsidRPr="00AD7CBC">
        <w:t xml:space="preserve"> with </w:t>
      </w:r>
      <w:r w:rsidR="00AD6D75">
        <w:t xml:space="preserve">PBO </w:t>
      </w:r>
      <w:r w:rsidR="00AD6D75" w:rsidRPr="00AD7CBC">
        <w:t>administered for</w:t>
      </w:r>
      <w:r w:rsidR="00AD6D75">
        <w:t xml:space="preserve"> </w:t>
      </w:r>
      <w:r w:rsidR="00AD6D75" w:rsidRPr="00AD7CBC">
        <w:t>29 days in subjects with mild asthma. A total of 73 subjects were enrolled and randomi</w:t>
      </w:r>
      <w:r>
        <w:t>s</w:t>
      </w:r>
      <w:r w:rsidR="00AD6D75" w:rsidRPr="00AD7CBC">
        <w:t>ed to</w:t>
      </w:r>
      <w:r w:rsidR="00AD6D75">
        <w:t xml:space="preserve"> </w:t>
      </w:r>
      <w:r w:rsidR="00AD6D75" w:rsidRPr="00AD7CBC">
        <w:lastRenderedPageBreak/>
        <w:t xml:space="preserve">treatment: 26 subjects received </w:t>
      </w:r>
      <w:r w:rsidR="00EE6D80">
        <w:t>APR</w:t>
      </w:r>
      <w:r w:rsidR="00AD6D75" w:rsidRPr="00AD7CBC">
        <w:t xml:space="preserve"> 20</w:t>
      </w:r>
      <w:r>
        <w:t xml:space="preserve"> </w:t>
      </w:r>
      <w:r w:rsidR="00AD6D75">
        <w:t>mg once daily</w:t>
      </w:r>
      <w:r w:rsidR="00AD6D75" w:rsidRPr="00AD7CBC">
        <w:t xml:space="preserve">, 23 subjects received </w:t>
      </w:r>
      <w:r w:rsidR="00EE6D80">
        <w:t>APR</w:t>
      </w:r>
      <w:r w:rsidR="00AD6D75" w:rsidRPr="00AD7CBC">
        <w:t xml:space="preserve"> 20</w:t>
      </w:r>
      <w:r>
        <w:t xml:space="preserve"> </w:t>
      </w:r>
      <w:r w:rsidR="00AD6D75">
        <w:t>mg twice daily</w:t>
      </w:r>
      <w:r w:rsidR="00AD6D75" w:rsidRPr="00AD7CBC">
        <w:t xml:space="preserve"> and 24 subjects</w:t>
      </w:r>
      <w:r w:rsidR="00AD6D75">
        <w:t xml:space="preserve"> </w:t>
      </w:r>
      <w:r w:rsidR="00AD6D75" w:rsidRPr="00AD7CBC">
        <w:t xml:space="preserve">received </w:t>
      </w:r>
      <w:r w:rsidR="00AD6D75">
        <w:t>PBO</w:t>
      </w:r>
      <w:r w:rsidR="00AD6D75" w:rsidRPr="00AD7CBC">
        <w:t>. The mean duration of treatment was 28.2 days, 27.7 days, and 28.5 days for</w:t>
      </w:r>
      <w:r w:rsidR="00AD6D75">
        <w:t xml:space="preserve"> </w:t>
      </w:r>
      <w:r w:rsidR="00AD6D75" w:rsidRPr="00AD7CBC">
        <w:t xml:space="preserve">the </w:t>
      </w:r>
      <w:r w:rsidR="00EE6D80">
        <w:t>APR</w:t>
      </w:r>
      <w:r w:rsidR="00AD6D75" w:rsidRPr="00AD7CBC">
        <w:t xml:space="preserve"> 20</w:t>
      </w:r>
      <w:r>
        <w:t xml:space="preserve"> </w:t>
      </w:r>
      <w:r w:rsidR="00AD6D75">
        <w:t>mg once daily</w:t>
      </w:r>
      <w:r w:rsidR="00AD6D75" w:rsidRPr="00AD7CBC">
        <w:t>,</w:t>
      </w:r>
      <w:r w:rsidR="00AD6D75">
        <w:t xml:space="preserve"> </w:t>
      </w:r>
      <w:r w:rsidR="00EE6D80">
        <w:t>APR</w:t>
      </w:r>
      <w:r w:rsidR="00AD6D75" w:rsidRPr="00AD7CBC">
        <w:t xml:space="preserve"> 20</w:t>
      </w:r>
      <w:r>
        <w:t xml:space="preserve"> </w:t>
      </w:r>
      <w:r w:rsidR="00AD6D75">
        <w:t>mg twice daily</w:t>
      </w:r>
      <w:r w:rsidR="00AD6D75" w:rsidRPr="00AD7CBC">
        <w:t xml:space="preserve"> and </w:t>
      </w:r>
      <w:r w:rsidR="00AD6D75">
        <w:t>PBO</w:t>
      </w:r>
      <w:r w:rsidR="00AD6D75" w:rsidRPr="00AD7CBC">
        <w:t xml:space="preserve"> groups, respectively.</w:t>
      </w:r>
    </w:p>
    <w:p w:rsidR="00AD6D75" w:rsidRPr="00891E8F" w:rsidRDefault="00AD6D75" w:rsidP="008D3180">
      <w:pPr>
        <w:pStyle w:val="Heading5"/>
      </w:pPr>
      <w:r w:rsidRPr="00891E8F">
        <w:t xml:space="preserve">Study </w:t>
      </w:r>
      <w:r w:rsidRPr="008D3180">
        <w:t>RA</w:t>
      </w:r>
      <w:r w:rsidRPr="00891E8F">
        <w:t>-002</w:t>
      </w:r>
    </w:p>
    <w:p w:rsidR="00AD6D75" w:rsidRPr="00F33C87" w:rsidRDefault="00AD6D75" w:rsidP="008D3180">
      <w:r>
        <w:t>Study RA-002</w:t>
      </w:r>
      <w:r w:rsidR="0014076D">
        <w:t xml:space="preserve"> was a Phase II</w:t>
      </w:r>
      <w:r w:rsidRPr="00F33C87">
        <w:t>, multicentr</w:t>
      </w:r>
      <w:r>
        <w:t>e (43 sites in 3 countries)</w:t>
      </w:r>
      <w:r w:rsidRPr="00F33C87">
        <w:t>, randomi</w:t>
      </w:r>
      <w:r w:rsidR="0014076D">
        <w:t>s</w:t>
      </w:r>
      <w:r w:rsidRPr="00F33C87">
        <w:t xml:space="preserve">ed, </w:t>
      </w:r>
      <w:r>
        <w:t>PBO</w:t>
      </w:r>
      <w:r w:rsidR="0014076D">
        <w:t xml:space="preserve"> </w:t>
      </w:r>
      <w:r w:rsidRPr="00F33C87">
        <w:t>controlled, double</w:t>
      </w:r>
      <w:r w:rsidR="0014076D">
        <w:t xml:space="preserve"> </w:t>
      </w:r>
      <w:r w:rsidRPr="00F33C87">
        <w:t>blind,</w:t>
      </w:r>
      <w:r>
        <w:t xml:space="preserve"> </w:t>
      </w:r>
      <w:r w:rsidRPr="00F33C87">
        <w:t>parallel</w:t>
      </w:r>
      <w:r w:rsidR="0014076D">
        <w:t xml:space="preserve"> </w:t>
      </w:r>
      <w:r w:rsidRPr="00F33C87">
        <w:t xml:space="preserve">group study </w:t>
      </w:r>
      <w:r>
        <w:t>designed t</w:t>
      </w:r>
      <w:r w:rsidRPr="00F33C87">
        <w:t>o</w:t>
      </w:r>
      <w:r>
        <w:t xml:space="preserve"> assess the efficacy and safety of 2 doses of</w:t>
      </w:r>
      <w:r w:rsidRPr="00F33C87">
        <w:t xml:space="preserve"> </w:t>
      </w:r>
      <w:r w:rsidR="00EE6D80">
        <w:t>APR</w:t>
      </w:r>
      <w:r w:rsidRPr="00F33C87">
        <w:t xml:space="preserve"> </w:t>
      </w:r>
      <w:r>
        <w:t xml:space="preserve">compared to PBO </w:t>
      </w:r>
      <w:r w:rsidRPr="00F33C87">
        <w:t xml:space="preserve">in the treatment of </w:t>
      </w:r>
      <w:r>
        <w:t xml:space="preserve">active RA receiving concomitant stable </w:t>
      </w:r>
      <w:r w:rsidRPr="00F33C87">
        <w:t>d</w:t>
      </w:r>
      <w:r>
        <w:t>o</w:t>
      </w:r>
      <w:r w:rsidRPr="00F33C87">
        <w:t>ses</w:t>
      </w:r>
      <w:r>
        <w:t xml:space="preserve"> of MTX</w:t>
      </w:r>
      <w:r w:rsidRPr="00F33C87">
        <w:t>. The study included a 2</w:t>
      </w:r>
      <w:r>
        <w:t>4</w:t>
      </w:r>
      <w:r w:rsidR="0014076D">
        <w:t xml:space="preserve"> </w:t>
      </w:r>
      <w:r w:rsidRPr="00F33C87">
        <w:t xml:space="preserve">week </w:t>
      </w:r>
      <w:r>
        <w:t>PBO</w:t>
      </w:r>
      <w:r w:rsidR="0014076D">
        <w:t xml:space="preserve"> </w:t>
      </w:r>
      <w:r w:rsidRPr="00F33C87">
        <w:t xml:space="preserve">controlled </w:t>
      </w:r>
      <w:r>
        <w:t>t</w:t>
      </w:r>
      <w:r w:rsidRPr="00F33C87">
        <w:t xml:space="preserve">reatment </w:t>
      </w:r>
      <w:r>
        <w:t>p</w:t>
      </w:r>
      <w:r w:rsidRPr="00F33C87">
        <w:t>hase</w:t>
      </w:r>
      <w:r>
        <w:t xml:space="preserve"> (with provision for early escape at </w:t>
      </w:r>
      <w:r w:rsidR="0014076D">
        <w:t>W</w:t>
      </w:r>
      <w:r>
        <w:t xml:space="preserve">eek 16 in </w:t>
      </w:r>
      <w:proofErr w:type="spellStart"/>
      <w:r>
        <w:t>non</w:t>
      </w:r>
      <w:r w:rsidR="0014076D">
        <w:t xml:space="preserve"> </w:t>
      </w:r>
      <w:r>
        <w:t>responding</w:t>
      </w:r>
      <w:proofErr w:type="spellEnd"/>
      <w:r>
        <w:t xml:space="preserve"> subjects) followed by</w:t>
      </w:r>
      <w:r w:rsidRPr="00F33C87">
        <w:t xml:space="preserve"> a</w:t>
      </w:r>
      <w:r>
        <w:t>nother</w:t>
      </w:r>
      <w:r w:rsidRPr="00F33C87">
        <w:t xml:space="preserve"> 2</w:t>
      </w:r>
      <w:r>
        <w:t>4</w:t>
      </w:r>
      <w:r w:rsidR="00E002FB">
        <w:t xml:space="preserve"> </w:t>
      </w:r>
      <w:r w:rsidRPr="00F33C87">
        <w:t>week</w:t>
      </w:r>
      <w:r>
        <w:t>, double</w:t>
      </w:r>
      <w:r w:rsidR="0014076D">
        <w:t xml:space="preserve"> b</w:t>
      </w:r>
      <w:r w:rsidRPr="00F33C87">
        <w:t>lind</w:t>
      </w:r>
      <w:r>
        <w:t xml:space="preserve"> ac</w:t>
      </w:r>
      <w:r w:rsidRPr="00F33C87">
        <w:t>ti</w:t>
      </w:r>
      <w:r>
        <w:t>ve treatment phase</w:t>
      </w:r>
      <w:r w:rsidRPr="00F33C87">
        <w:t>. A total of</w:t>
      </w:r>
      <w:r>
        <w:t xml:space="preserve"> 79</w:t>
      </w:r>
      <w:r w:rsidRPr="00F33C87">
        <w:t xml:space="preserve"> subjects were randomi</w:t>
      </w:r>
      <w:r w:rsidR="0014076D">
        <w:t>s</w:t>
      </w:r>
      <w:r w:rsidRPr="00F33C87">
        <w:t xml:space="preserve">ed to </w:t>
      </w:r>
      <w:r>
        <w:t>PBO, 82</w:t>
      </w:r>
      <w:r w:rsidRPr="00F33C87">
        <w:t xml:space="preserve"> subjects were randomi</w:t>
      </w:r>
      <w:r w:rsidR="00AE7264">
        <w:t>s</w:t>
      </w:r>
      <w:r w:rsidRPr="00F33C87">
        <w:t xml:space="preserve">ed to </w:t>
      </w:r>
      <w:r w:rsidR="00EE6D80">
        <w:t>APR</w:t>
      </w:r>
      <w:r w:rsidRPr="00F33C87">
        <w:t xml:space="preserve"> </w:t>
      </w:r>
      <w:r>
        <w:t>2</w:t>
      </w:r>
      <w:r w:rsidRPr="00F33C87">
        <w:t>0</w:t>
      </w:r>
      <w:r w:rsidR="0014076D">
        <w:t xml:space="preserve"> </w:t>
      </w:r>
      <w:r>
        <w:t xml:space="preserve">mg twice daily and 76 subjects </w:t>
      </w:r>
      <w:r w:rsidRPr="00F33C87">
        <w:t>were randomi</w:t>
      </w:r>
      <w:r w:rsidR="0014076D">
        <w:t>s</w:t>
      </w:r>
      <w:r w:rsidRPr="00F33C87">
        <w:t xml:space="preserve">ed to </w:t>
      </w:r>
      <w:r w:rsidR="00EE6D80">
        <w:t>APR</w:t>
      </w:r>
      <w:r w:rsidRPr="00F33C87">
        <w:t xml:space="preserve"> </w:t>
      </w:r>
      <w:r>
        <w:t>3</w:t>
      </w:r>
      <w:r w:rsidRPr="00F33C87">
        <w:t>0</w:t>
      </w:r>
      <w:r w:rsidR="0014076D">
        <w:t xml:space="preserve"> </w:t>
      </w:r>
      <w:r>
        <w:t>mg twice daily</w:t>
      </w:r>
      <w:r w:rsidRPr="00F33C87">
        <w:t>. The</w:t>
      </w:r>
      <w:r>
        <w:t xml:space="preserve"> trial failed to</w:t>
      </w:r>
      <w:r w:rsidRPr="00F33C87">
        <w:t xml:space="preserve"> </w:t>
      </w:r>
      <w:r>
        <w:t xml:space="preserve">demonstrate that </w:t>
      </w:r>
      <w:r w:rsidR="00EE6D80">
        <w:t>APR</w:t>
      </w:r>
      <w:r>
        <w:t xml:space="preserve"> (either dose) versus PBO could produce a statistically significant reduction in the signs and symptoms of RA (using ACR response criteria) and functional improvement (using HAQ-DI score changes) at 16-24</w:t>
      </w:r>
      <w:r w:rsidRPr="00F33C87">
        <w:t xml:space="preserve"> </w:t>
      </w:r>
      <w:r>
        <w:t>weeks of treatment follow-up. T</w:t>
      </w:r>
      <w:r w:rsidRPr="00F33C87">
        <w:t xml:space="preserve">he </w:t>
      </w:r>
      <w:r>
        <w:t xml:space="preserve">study was halted at </w:t>
      </w:r>
      <w:r w:rsidR="0014076D">
        <w:t>W</w:t>
      </w:r>
      <w:r>
        <w:t>eek 24 due to the lack of t</w:t>
      </w:r>
      <w:r w:rsidRPr="00F33C87">
        <w:t xml:space="preserve">reatment </w:t>
      </w:r>
      <w:r>
        <w:t>efficacy. Of the 237 subjects randomised at baseline, 198 (83.5%) completed the PBO controlled phase (</w:t>
      </w:r>
      <w:r w:rsidR="0014076D">
        <w:t>W</w:t>
      </w:r>
      <w:r>
        <w:t>eek 24 visit), including 88.6% of patients in the PBO</w:t>
      </w:r>
      <w:r w:rsidRPr="00F33C87">
        <w:t xml:space="preserve"> group</w:t>
      </w:r>
      <w:r>
        <w:t>, 8</w:t>
      </w:r>
      <w:r w:rsidRPr="00F33C87">
        <w:t>1.</w:t>
      </w:r>
      <w:r>
        <w:t>7%</w:t>
      </w:r>
      <w:r w:rsidRPr="00F33C87">
        <w:t xml:space="preserve"> </w:t>
      </w:r>
      <w:r>
        <w:t xml:space="preserve">of subjects </w:t>
      </w:r>
      <w:r w:rsidRPr="00F33C87">
        <w:t xml:space="preserve">in the </w:t>
      </w:r>
      <w:r w:rsidR="00EE6D80">
        <w:t>APR</w:t>
      </w:r>
      <w:r w:rsidRPr="00F33C87">
        <w:t xml:space="preserve"> </w:t>
      </w:r>
      <w:r>
        <w:t>20</w:t>
      </w:r>
      <w:r w:rsidR="0014076D">
        <w:t xml:space="preserve"> </w:t>
      </w:r>
      <w:r>
        <w:t>mg a</w:t>
      </w:r>
      <w:r w:rsidRPr="00F33C87">
        <w:t>r</w:t>
      </w:r>
      <w:r>
        <w:t>m and 80.3% of patients i</w:t>
      </w:r>
      <w:r w:rsidRPr="00F33C87">
        <w:t xml:space="preserve">n the </w:t>
      </w:r>
      <w:r w:rsidR="00EE6D80">
        <w:t>APR</w:t>
      </w:r>
      <w:r w:rsidRPr="00F33C87">
        <w:t xml:space="preserve"> 30</w:t>
      </w:r>
      <w:r w:rsidR="0014076D">
        <w:t xml:space="preserve"> </w:t>
      </w:r>
      <w:r>
        <w:t>mg group</w:t>
      </w:r>
      <w:r w:rsidR="008D3180">
        <w:t>.</w:t>
      </w:r>
    </w:p>
    <w:p w:rsidR="00AD6D75" w:rsidRPr="00891E8F" w:rsidRDefault="00AD6D75" w:rsidP="008D3180">
      <w:pPr>
        <w:pStyle w:val="Heading5"/>
      </w:pPr>
      <w:r>
        <w:t>Clinical p</w:t>
      </w:r>
      <w:r w:rsidRPr="00891E8F">
        <w:t xml:space="preserve">harmacology </w:t>
      </w:r>
      <w:r w:rsidRPr="008D3180">
        <w:t>studies</w:t>
      </w:r>
    </w:p>
    <w:p w:rsidR="00AD6D75" w:rsidRDefault="00AD6D75" w:rsidP="008D3180">
      <w:r>
        <w:t xml:space="preserve">The clinical pharmacology program consisted of 16 studies that enrolled 422 healthy subjects, 15 patients with either </w:t>
      </w:r>
      <w:proofErr w:type="spellStart"/>
      <w:r>
        <w:t>PsA</w:t>
      </w:r>
      <w:proofErr w:type="spellEnd"/>
      <w:r>
        <w:t xml:space="preserve"> or RA, 8 subjects with severe renal impairment and 16 subjects with hepatic impairment. In the clinical pharmacology studies, 251 subjects received either a single dose or single doses of </w:t>
      </w:r>
      <w:r w:rsidR="00EE6D80">
        <w:t>APR</w:t>
      </w:r>
      <w:r>
        <w:t xml:space="preserve"> separated by a washout period, and 104 subjects received between 2-7 days of </w:t>
      </w:r>
      <w:r w:rsidR="00EE6D80">
        <w:t>APR</w:t>
      </w:r>
      <w:r>
        <w:t xml:space="preserve"> dosing, 35 subjects took </w:t>
      </w:r>
      <w:r w:rsidR="00EE6D80">
        <w:t>APR</w:t>
      </w:r>
      <w:r>
        <w:t xml:space="preserve"> for 8-1</w:t>
      </w:r>
      <w:r w:rsidR="0014076D">
        <w:t xml:space="preserve">3 days and 44 subjects received ≥ </w:t>
      </w:r>
      <w:r>
        <w:t>14 days of therapy. The clinical pharmacology studies will be presented as a dataset in this report.</w:t>
      </w:r>
    </w:p>
    <w:p w:rsidR="00605AD4" w:rsidRPr="00605AD4" w:rsidRDefault="00605AD4" w:rsidP="008D3180">
      <w:pPr>
        <w:pStyle w:val="Heading4"/>
      </w:pPr>
      <w:r w:rsidRPr="00605AD4">
        <w:t xml:space="preserve">Patient </w:t>
      </w:r>
      <w:r w:rsidRPr="008D3180">
        <w:t>exposure</w:t>
      </w:r>
    </w:p>
    <w:p w:rsidR="00F53758" w:rsidRPr="00F53758" w:rsidRDefault="00F53758" w:rsidP="008D3180">
      <w:r w:rsidRPr="00F53758">
        <w:t>This submission</w:t>
      </w:r>
      <w:r w:rsidR="00AE7264">
        <w:t xml:space="preserve"> contained a total of 14 Phase II or III</w:t>
      </w:r>
      <w:r w:rsidRPr="00F53758">
        <w:t xml:space="preserve"> studies (5 in </w:t>
      </w:r>
      <w:proofErr w:type="spellStart"/>
      <w:r w:rsidRPr="00F53758">
        <w:t>PsA</w:t>
      </w:r>
      <w:proofErr w:type="spellEnd"/>
      <w:r w:rsidRPr="00F53758">
        <w:t xml:space="preserve">, 6 in PSOR, 1 in RA, 1 in </w:t>
      </w:r>
      <w:proofErr w:type="spellStart"/>
      <w:r w:rsidRPr="00F53758">
        <w:t>Behçet’s</w:t>
      </w:r>
      <w:proofErr w:type="spellEnd"/>
      <w:r w:rsidRPr="00F53758">
        <w:t xml:space="preserve"> disease and 1 in asthma) as the primary supporting database for clinical safety. In these trials, the following </w:t>
      </w:r>
      <w:r w:rsidR="00EE6D80">
        <w:t>APR</w:t>
      </w:r>
      <w:r w:rsidRPr="00F53758">
        <w:t xml:space="preserve"> dosage regimens were evaluated: 10mg twice daily, 20</w:t>
      </w:r>
      <w:r w:rsidR="00AE7264">
        <w:t xml:space="preserve"> </w:t>
      </w:r>
      <w:r w:rsidRPr="00F53758">
        <w:t>mg once daily, 20</w:t>
      </w:r>
      <w:r w:rsidR="00AE7264">
        <w:t xml:space="preserve"> </w:t>
      </w:r>
      <w:r w:rsidRPr="00F53758">
        <w:t>mg twice daily, 40</w:t>
      </w:r>
      <w:r w:rsidR="00AE7264">
        <w:t xml:space="preserve"> </w:t>
      </w:r>
      <w:r w:rsidRPr="00F53758">
        <w:t xml:space="preserve">mg once daily and 30mg twice daily. The safety cut-off dates for inclusion of </w:t>
      </w:r>
      <w:r w:rsidR="00AE7264">
        <w:t xml:space="preserve">safety information </w:t>
      </w:r>
      <w:r w:rsidR="00E002FB">
        <w:t>we</w:t>
      </w:r>
      <w:r w:rsidR="00AE7264">
        <w:t xml:space="preserve">re 1 March </w:t>
      </w:r>
      <w:r w:rsidRPr="00F53758">
        <w:t xml:space="preserve">2013 for the </w:t>
      </w:r>
      <w:proofErr w:type="spellStart"/>
      <w:r w:rsidRPr="00F53758">
        <w:t>PsA</w:t>
      </w:r>
      <w:proofErr w:type="spellEnd"/>
      <w:r w:rsidRPr="00F53758">
        <w:t xml:space="preserve"> dataset and </w:t>
      </w:r>
      <w:r w:rsidR="00AE7264">
        <w:t>11 January</w:t>
      </w:r>
      <w:r w:rsidRPr="00F53758">
        <w:t xml:space="preserve"> 2013 for the PSOR dataset.</w:t>
      </w:r>
    </w:p>
    <w:p w:rsidR="00F53758" w:rsidRPr="00F53758" w:rsidRDefault="00F53758" w:rsidP="008D3180">
      <w:r w:rsidRPr="00F53758">
        <w:t xml:space="preserve">A summary of the total exposure to </w:t>
      </w:r>
      <w:r w:rsidR="00EE6D80">
        <w:t>APR</w:t>
      </w:r>
      <w:r w:rsidRPr="00F53758">
        <w:t>, which includes subjects initially randomi</w:t>
      </w:r>
      <w:r w:rsidR="00F666D6">
        <w:t>s</w:t>
      </w:r>
      <w:r w:rsidRPr="00F53758">
        <w:t xml:space="preserve">ed to </w:t>
      </w:r>
      <w:r w:rsidR="00EE6D80">
        <w:t>APR</w:t>
      </w:r>
      <w:r w:rsidRPr="00F53758">
        <w:t xml:space="preserve"> in all studies as well as PBO</w:t>
      </w:r>
      <w:r w:rsidR="00434E9F">
        <w:t xml:space="preserve"> </w:t>
      </w:r>
      <w:r w:rsidRPr="00F53758">
        <w:t>treated subjects who switched</w:t>
      </w:r>
      <w:r>
        <w:t xml:space="preserve"> to </w:t>
      </w:r>
      <w:r w:rsidR="00EE6D80">
        <w:t>APR</w:t>
      </w:r>
      <w:r w:rsidR="009879A2">
        <w:t>,</w:t>
      </w:r>
      <w:r>
        <w:t xml:space="preserve"> is presented in Table </w:t>
      </w:r>
      <w:r w:rsidR="009461B9">
        <w:t>7</w:t>
      </w:r>
      <w:r w:rsidRPr="00F53758">
        <w:t xml:space="preserve">. A total of 4089 subjects have received at least 1 dose of </w:t>
      </w:r>
      <w:r w:rsidR="00EE6D80">
        <w:t>APR</w:t>
      </w:r>
      <w:r w:rsidRPr="00F53758">
        <w:t xml:space="preserve">. A total of 3049 (74.6%) subjects have received </w:t>
      </w:r>
      <w:r w:rsidR="00EE6D80">
        <w:t>APR</w:t>
      </w:r>
      <w:r w:rsidRPr="00F53758">
        <w:t xml:space="preserve"> for at least 24 weeks, including 1024 (70.6%) subjects who received </w:t>
      </w:r>
      <w:r w:rsidR="00EE6D80">
        <w:t>APR</w:t>
      </w:r>
      <w:r w:rsidRPr="00F53758">
        <w:t xml:space="preserve"> 20</w:t>
      </w:r>
      <w:r w:rsidR="00F666D6">
        <w:t xml:space="preserve"> </w:t>
      </w:r>
      <w:r w:rsidRPr="00F53758">
        <w:t xml:space="preserve">mg twice daily and 1930 (81.9%) subjects who received </w:t>
      </w:r>
      <w:r w:rsidR="00EE6D80">
        <w:t>APR</w:t>
      </w:r>
      <w:r w:rsidRPr="00F53758">
        <w:t xml:space="preserve"> 30</w:t>
      </w:r>
      <w:r w:rsidR="00F666D6">
        <w:t xml:space="preserve"> </w:t>
      </w:r>
      <w:r w:rsidRPr="00F53758">
        <w:t xml:space="preserve">mg twice daily. A total of 1631 (39.9%) subjects have been exposed to </w:t>
      </w:r>
      <w:r w:rsidR="00EE6D80">
        <w:t>APR</w:t>
      </w:r>
      <w:r w:rsidRPr="00F53758">
        <w:t xml:space="preserve"> for at least 52 weeks in completed and ongoing studies, including 510 (35.2%) subjects treated with </w:t>
      </w:r>
      <w:r w:rsidR="00EE6D80">
        <w:t>APR</w:t>
      </w:r>
      <w:r w:rsidRPr="00F53758">
        <w:t xml:space="preserve"> 20</w:t>
      </w:r>
      <w:r w:rsidR="00F666D6">
        <w:t xml:space="preserve"> </w:t>
      </w:r>
      <w:r w:rsidRPr="00F53758">
        <w:t xml:space="preserve">mg twice daily and 1107 (47.0%) subjects treated with </w:t>
      </w:r>
      <w:r w:rsidR="00EE6D80">
        <w:t>APR</w:t>
      </w:r>
      <w:r w:rsidRPr="00F53758">
        <w:t xml:space="preserve"> 30mg twice daily (as of the cut-off dates for this submission).</w:t>
      </w:r>
    </w:p>
    <w:p w:rsidR="00F53758" w:rsidRPr="008D3180" w:rsidRDefault="00F53758" w:rsidP="00881FBB">
      <w:pPr>
        <w:pStyle w:val="TableTitle"/>
      </w:pPr>
      <w:r>
        <w:t xml:space="preserve">Table </w:t>
      </w:r>
      <w:r w:rsidR="009461B9">
        <w:t>7</w:t>
      </w:r>
      <w:r>
        <w:t>:</w:t>
      </w:r>
      <w:r w:rsidRPr="004C5C28">
        <w:t xml:space="preserve"> </w:t>
      </w:r>
      <w:r w:rsidR="00CE175A" w:rsidRPr="00CE175A">
        <w:t xml:space="preserve">Summary of </w:t>
      </w:r>
      <w:r w:rsidR="00CE175A" w:rsidRPr="008D3180">
        <w:t>Total</w:t>
      </w:r>
      <w:r w:rsidR="00CE175A" w:rsidRPr="00CE175A">
        <w:t xml:space="preserve"> Patient Exposure to </w:t>
      </w:r>
      <w:r w:rsidR="00EE6D80">
        <w:t>APR</w:t>
      </w:r>
      <w:r>
        <w:t>.</w:t>
      </w:r>
    </w:p>
    <w:p w:rsidR="004C545A" w:rsidRDefault="002D4788" w:rsidP="00881FBB">
      <w:r>
        <w:rPr>
          <w:noProof/>
          <w:lang w:eastAsia="en-AU"/>
        </w:rPr>
        <w:drawing>
          <wp:inline distT="0" distB="0" distL="0" distR="0" wp14:anchorId="19FDD182" wp14:editId="395B1E2D">
            <wp:extent cx="4465414" cy="2461702"/>
            <wp:effectExtent l="0" t="0" r="0" b="0"/>
            <wp:docPr id="9" name="Picture 9" descr="Table 7: Summary of Total Patient Exposure to APR." title="Table 7: Summary of Total Patient Exposure to 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71932" cy="2465295"/>
                    </a:xfrm>
                    <a:prstGeom prst="rect">
                      <a:avLst/>
                    </a:prstGeom>
                  </pic:spPr>
                </pic:pic>
              </a:graphicData>
            </a:graphic>
          </wp:inline>
        </w:drawing>
      </w:r>
    </w:p>
    <w:p w:rsidR="002D4788" w:rsidRDefault="002D4788" w:rsidP="00881FBB">
      <w:r>
        <w:rPr>
          <w:noProof/>
          <w:lang w:eastAsia="en-AU"/>
        </w:rPr>
        <w:drawing>
          <wp:inline distT="0" distB="0" distL="0" distR="0" wp14:anchorId="77A175CB" wp14:editId="0830D799">
            <wp:extent cx="5400040" cy="1928091"/>
            <wp:effectExtent l="0" t="0" r="0" b="0"/>
            <wp:docPr id="10" name="Picture 10" descr="Table 7 - Table description" title="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1928091"/>
                    </a:xfrm>
                    <a:prstGeom prst="rect">
                      <a:avLst/>
                    </a:prstGeom>
                  </pic:spPr>
                </pic:pic>
              </a:graphicData>
            </a:graphic>
          </wp:inline>
        </w:drawing>
      </w:r>
    </w:p>
    <w:p w:rsidR="00AA4446" w:rsidRPr="00FE7FEF" w:rsidRDefault="000F2EB0" w:rsidP="00881FBB">
      <w:pPr>
        <w:pStyle w:val="Heading5"/>
      </w:pPr>
      <w:proofErr w:type="spellStart"/>
      <w:r>
        <w:t>PsA</w:t>
      </w:r>
      <w:proofErr w:type="spellEnd"/>
      <w:r>
        <w:t xml:space="preserve"> Phase III</w:t>
      </w:r>
      <w:r w:rsidR="00AA4446" w:rsidRPr="00FE7FEF">
        <w:t xml:space="preserve"> </w:t>
      </w:r>
      <w:r w:rsidRPr="00881FBB">
        <w:t>d</w:t>
      </w:r>
      <w:r w:rsidR="00AA4446" w:rsidRPr="00881FBB">
        <w:t>ata</w:t>
      </w:r>
      <w:r w:rsidR="00AA4446" w:rsidRPr="00FE7FEF">
        <w:t xml:space="preserve"> </w:t>
      </w:r>
      <w:r>
        <w:t>p</w:t>
      </w:r>
      <w:r w:rsidR="00AA4446" w:rsidRPr="00FE7FEF">
        <w:t>ool</w:t>
      </w:r>
    </w:p>
    <w:p w:rsidR="00AA4446" w:rsidRDefault="00AA4446" w:rsidP="00881FBB">
      <w:r>
        <w:t>A total of 1945 subjects are</w:t>
      </w:r>
      <w:r w:rsidR="00434E9F">
        <w:t xml:space="preserve"> included in the treated Phase III</w:t>
      </w:r>
      <w:r>
        <w:t xml:space="preserve"> </w:t>
      </w:r>
      <w:proofErr w:type="spellStart"/>
      <w:r>
        <w:t>PsA</w:t>
      </w:r>
      <w:proofErr w:type="spellEnd"/>
      <w:r>
        <w:t xml:space="preserve"> dataset, including 972 subjects who have received </w:t>
      </w:r>
      <w:r w:rsidR="00EE6D80">
        <w:t>APR</w:t>
      </w:r>
      <w:r>
        <w:t xml:space="preserve"> 20</w:t>
      </w:r>
      <w:r w:rsidR="00434E9F">
        <w:t xml:space="preserve"> </w:t>
      </w:r>
      <w:r>
        <w:t xml:space="preserve">mg twice daily and 973 subjects who have received </w:t>
      </w:r>
      <w:r w:rsidR="00EE6D80">
        <w:t>APR</w:t>
      </w:r>
      <w:r>
        <w:t xml:space="preserve"> 30</w:t>
      </w:r>
      <w:r w:rsidR="00434E9F">
        <w:t xml:space="preserve"> </w:t>
      </w:r>
      <w:r>
        <w:t xml:space="preserve">mg twice daily. Overall, 1607 (82.6%) subjects have received </w:t>
      </w:r>
      <w:r w:rsidR="00EE6D80">
        <w:t>APR</w:t>
      </w:r>
      <w:r>
        <w:t xml:space="preserve"> for at least 24 weeks, including 790 (81.3%) subjects who have received </w:t>
      </w:r>
      <w:r w:rsidR="00EE6D80">
        <w:t>APR</w:t>
      </w:r>
      <w:r>
        <w:t xml:space="preserve"> 20</w:t>
      </w:r>
      <w:r w:rsidR="00434E9F">
        <w:t xml:space="preserve"> </w:t>
      </w:r>
      <w:r>
        <w:t xml:space="preserve">mg twice daily and 817 (84.0%) subjects who have received </w:t>
      </w:r>
      <w:r w:rsidR="00EE6D80">
        <w:t>APR</w:t>
      </w:r>
      <w:r>
        <w:t xml:space="preserve"> 30</w:t>
      </w:r>
      <w:r w:rsidR="00434E9F">
        <w:t xml:space="preserve"> </w:t>
      </w:r>
      <w:r>
        <w:t xml:space="preserve">mg twice daily. A total of 962 (49.5%) subjects </w:t>
      </w:r>
      <w:r w:rsidR="009879A2">
        <w:t>were</w:t>
      </w:r>
      <w:r>
        <w:t xml:space="preserve"> exposed to </w:t>
      </w:r>
      <w:r w:rsidR="00EE6D80">
        <w:t>APR</w:t>
      </w:r>
      <w:r>
        <w:t xml:space="preserve"> for at least 52 weeks, including 467 (48.0%) subjects in the </w:t>
      </w:r>
      <w:r w:rsidR="00EE6D80">
        <w:t>APR</w:t>
      </w:r>
      <w:r>
        <w:t xml:space="preserve"> 20</w:t>
      </w:r>
      <w:r w:rsidR="00434E9F">
        <w:t xml:space="preserve"> </w:t>
      </w:r>
      <w:r>
        <w:t xml:space="preserve">mg twice daily group and 495 (50.9%) subjects in the </w:t>
      </w:r>
      <w:r w:rsidR="00EE6D80">
        <w:t>APR</w:t>
      </w:r>
      <w:r>
        <w:t xml:space="preserve"> 30mg twice daily cohort. A summary of the total exposure to </w:t>
      </w:r>
      <w:r w:rsidR="00EE6D80">
        <w:t>APR</w:t>
      </w:r>
      <w:r w:rsidR="00434E9F">
        <w:t xml:space="preserve"> in the Phase III</w:t>
      </w:r>
      <w:r>
        <w:t xml:space="preserve"> </w:t>
      </w:r>
      <w:proofErr w:type="spellStart"/>
      <w:r>
        <w:t>PsA</w:t>
      </w:r>
      <w:proofErr w:type="spellEnd"/>
      <w:r>
        <w:t xml:space="preserve"> dataset, which includes subjects initially randomi</w:t>
      </w:r>
      <w:r w:rsidR="00434E9F">
        <w:t>s</w:t>
      </w:r>
      <w:r>
        <w:t xml:space="preserve">ed to </w:t>
      </w:r>
      <w:r w:rsidR="00EE6D80">
        <w:t>APR</w:t>
      </w:r>
      <w:r>
        <w:t xml:space="preserve">, as well as PBO </w:t>
      </w:r>
      <w:proofErr w:type="gramStart"/>
      <w:r>
        <w:t>patients</w:t>
      </w:r>
      <w:proofErr w:type="gramEnd"/>
      <w:r>
        <w:t xml:space="preserve"> who switched to </w:t>
      </w:r>
      <w:r w:rsidR="00EE6D80">
        <w:t>APR</w:t>
      </w:r>
      <w:r w:rsidR="00B05AF5">
        <w:t xml:space="preserve">, is presented in Table </w:t>
      </w:r>
      <w:r w:rsidR="009461B9">
        <w:t>8</w:t>
      </w:r>
      <w:r w:rsidR="00434E9F">
        <w:t>. In the Phase III</w:t>
      </w:r>
      <w:r>
        <w:t xml:space="preserve"> </w:t>
      </w:r>
      <w:proofErr w:type="spellStart"/>
      <w:r>
        <w:t>PsA</w:t>
      </w:r>
      <w:proofErr w:type="spellEnd"/>
      <w:r>
        <w:t xml:space="preserve"> dataset, a total of 648 subjects received </w:t>
      </w:r>
      <w:r w:rsidR="00EE6D80">
        <w:t>APR</w:t>
      </w:r>
      <w:r>
        <w:t xml:space="preserve"> with concomitant DMARD therapy (including 329 subjects treated with </w:t>
      </w:r>
      <w:r w:rsidR="00EE6D80">
        <w:t>APR</w:t>
      </w:r>
      <w:r>
        <w:t xml:space="preserve"> 20</w:t>
      </w:r>
      <w:r w:rsidR="00434E9F">
        <w:t xml:space="preserve"> </w:t>
      </w:r>
      <w:r>
        <w:t xml:space="preserve">mg twice daily and 319 subjects treated with </w:t>
      </w:r>
      <w:r w:rsidR="00EE6D80">
        <w:t>APR</w:t>
      </w:r>
      <w:r>
        <w:t xml:space="preserve"> 30</w:t>
      </w:r>
      <w:r w:rsidR="00434E9F">
        <w:t xml:space="preserve"> </w:t>
      </w:r>
      <w:r>
        <w:t xml:space="preserve">mg twice daily). A total of 700 subjects received </w:t>
      </w:r>
      <w:r w:rsidR="00EE6D80">
        <w:t>APR</w:t>
      </w:r>
      <w:r>
        <w:t xml:space="preserve"> witho</w:t>
      </w:r>
      <w:r w:rsidR="00881FBB">
        <w:t>ut concomitant DMARD treatment.</w:t>
      </w:r>
    </w:p>
    <w:p w:rsidR="003934C8" w:rsidRDefault="003934C8" w:rsidP="00881FBB">
      <w:pPr>
        <w:pStyle w:val="TableTitle"/>
      </w:pPr>
      <w:r>
        <w:lastRenderedPageBreak/>
        <w:t xml:space="preserve">Table </w:t>
      </w:r>
      <w:r w:rsidR="009461B9">
        <w:t>8</w:t>
      </w:r>
      <w:r>
        <w:t>:</w:t>
      </w:r>
      <w:r w:rsidRPr="004C5C28">
        <w:t xml:space="preserve"> </w:t>
      </w:r>
      <w:r w:rsidR="009A5869" w:rsidRPr="009A5869">
        <w:t xml:space="preserve">Summary of Total Patient </w:t>
      </w:r>
      <w:r w:rsidR="009A5869" w:rsidRPr="00881FBB">
        <w:t>Exposure</w:t>
      </w:r>
      <w:r w:rsidR="009A5869" w:rsidRPr="009A5869">
        <w:t xml:space="preserve"> to </w:t>
      </w:r>
      <w:r w:rsidR="00EE6D80">
        <w:t>APR</w:t>
      </w:r>
      <w:r w:rsidR="00434E9F">
        <w:t xml:space="preserve"> in Phase III</w:t>
      </w:r>
      <w:r w:rsidR="009A5869" w:rsidRPr="009A5869">
        <w:t xml:space="preserve"> </w:t>
      </w:r>
      <w:proofErr w:type="spellStart"/>
      <w:r w:rsidR="00852871">
        <w:t>PsA</w:t>
      </w:r>
      <w:proofErr w:type="spellEnd"/>
      <w:r w:rsidR="009A5869" w:rsidRPr="009A5869">
        <w:t xml:space="preserve"> Dataset</w:t>
      </w:r>
      <w:r>
        <w:t>.</w:t>
      </w:r>
    </w:p>
    <w:p w:rsidR="003934C8" w:rsidRDefault="002D4788" w:rsidP="00881FBB">
      <w:r>
        <w:rPr>
          <w:noProof/>
          <w:lang w:eastAsia="en-AU"/>
        </w:rPr>
        <w:drawing>
          <wp:inline distT="0" distB="0" distL="0" distR="0" wp14:anchorId="54CBBCCE" wp14:editId="27171BD4">
            <wp:extent cx="5400040" cy="1897514"/>
            <wp:effectExtent l="0" t="0" r="0" b="7620"/>
            <wp:docPr id="11" name="Picture 11" descr="Table 8: Summary of Total Patient Exposure to APR in Phase III PsA Dataset." title="Table 8: Summary of Total Patient Exposure to APR in Phase III PsA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1897514"/>
                    </a:xfrm>
                    <a:prstGeom prst="rect">
                      <a:avLst/>
                    </a:prstGeom>
                  </pic:spPr>
                </pic:pic>
              </a:graphicData>
            </a:graphic>
          </wp:inline>
        </w:drawing>
      </w:r>
    </w:p>
    <w:p w:rsidR="00280D5F" w:rsidRPr="009C1BD6" w:rsidRDefault="00280D5F" w:rsidP="00881FBB">
      <w:pPr>
        <w:pStyle w:val="Heading5"/>
      </w:pPr>
      <w:r w:rsidRPr="009C1BD6">
        <w:t xml:space="preserve">PSOR Phase </w:t>
      </w:r>
      <w:r w:rsidR="00011743">
        <w:t>III</w:t>
      </w:r>
      <w:r w:rsidR="00011743" w:rsidRPr="00FE7FEF">
        <w:t xml:space="preserve"> </w:t>
      </w:r>
      <w:r w:rsidR="00011743" w:rsidRPr="00881FBB">
        <w:t>data</w:t>
      </w:r>
      <w:r w:rsidR="00011743" w:rsidRPr="00FE7FEF">
        <w:t xml:space="preserve"> </w:t>
      </w:r>
      <w:r w:rsidR="00011743">
        <w:t>p</w:t>
      </w:r>
      <w:r w:rsidR="00011743" w:rsidRPr="00FE7FEF">
        <w:t>ool</w:t>
      </w:r>
    </w:p>
    <w:p w:rsidR="00280D5F" w:rsidRDefault="00280D5F" w:rsidP="00881FBB">
      <w:r>
        <w:t>A total</w:t>
      </w:r>
      <w:r w:rsidR="00434E9F">
        <w:t xml:space="preserve"> of 1184 subjects in the Phase III</w:t>
      </w:r>
      <w:r>
        <w:t xml:space="preserve"> PSOR dataset received </w:t>
      </w:r>
      <w:r w:rsidR="00EE6D80">
        <w:t>APR</w:t>
      </w:r>
      <w:r>
        <w:t xml:space="preserve"> 30</w:t>
      </w:r>
      <w:r w:rsidR="00434E9F">
        <w:t xml:space="preserve"> </w:t>
      </w:r>
      <w:r>
        <w:t>mg twice daily, which includes subjects initially randomi</w:t>
      </w:r>
      <w:r w:rsidR="00434E9F">
        <w:t>s</w:t>
      </w:r>
      <w:r>
        <w:t xml:space="preserve">ed to </w:t>
      </w:r>
      <w:r w:rsidR="00EE6D80">
        <w:t>APR</w:t>
      </w:r>
      <w:r>
        <w:t xml:space="preserve">, as well as PBO subjects who were switched to receive </w:t>
      </w:r>
      <w:r w:rsidR="00EE6D80">
        <w:t>APR</w:t>
      </w:r>
      <w:r>
        <w:t xml:space="preserve">. Overall, 968 (81.8%) subjects with PSOR have received </w:t>
      </w:r>
      <w:r w:rsidR="00EE6D80">
        <w:t>APR</w:t>
      </w:r>
      <w:r>
        <w:t xml:space="preserve"> 30</w:t>
      </w:r>
      <w:r w:rsidR="00FA51C9">
        <w:t xml:space="preserve"> </w:t>
      </w:r>
      <w:r>
        <w:t xml:space="preserve">mg twice daily for at least 24 weeks, and a total of 564 (47.6%) subjects had been exposed to the same dose of </w:t>
      </w:r>
      <w:r w:rsidR="00EE6D80">
        <w:t>APR</w:t>
      </w:r>
      <w:r>
        <w:t xml:space="preserve"> for at least 52 weeks. A summary of exposure to </w:t>
      </w:r>
      <w:r w:rsidR="00EE6D80">
        <w:t>APR</w:t>
      </w:r>
      <w:r w:rsidR="00FA51C9">
        <w:t xml:space="preserve"> in the Phase III</w:t>
      </w:r>
      <w:r>
        <w:t xml:space="preserve"> PSOR</w:t>
      </w:r>
      <w:r w:rsidR="00B05AF5">
        <w:t xml:space="preserve"> dataset is provided in Table </w:t>
      </w:r>
      <w:r w:rsidR="009461B9">
        <w:t>9</w:t>
      </w:r>
      <w:r>
        <w:t xml:space="preserve">. </w:t>
      </w:r>
    </w:p>
    <w:p w:rsidR="00280D5F" w:rsidRDefault="00280D5F" w:rsidP="00881FBB">
      <w:pPr>
        <w:pStyle w:val="TableTitle"/>
      </w:pPr>
      <w:r>
        <w:t xml:space="preserve">Table </w:t>
      </w:r>
      <w:r w:rsidR="009461B9">
        <w:t>9</w:t>
      </w:r>
      <w:r>
        <w:t>:</w:t>
      </w:r>
      <w:r w:rsidRPr="004C5C28">
        <w:t xml:space="preserve"> </w:t>
      </w:r>
      <w:r w:rsidR="009A5869" w:rsidRPr="009A5869">
        <w:t xml:space="preserve">Summary of Total Patient Exposure to </w:t>
      </w:r>
      <w:r w:rsidR="00EE6D80">
        <w:t>APR</w:t>
      </w:r>
      <w:r w:rsidR="009A5869" w:rsidRPr="009A5869">
        <w:t xml:space="preserve"> in Phase 3 </w:t>
      </w:r>
      <w:r w:rsidR="00204432">
        <w:t>PSOR</w:t>
      </w:r>
      <w:r w:rsidR="009A5869" w:rsidRPr="009A5869">
        <w:t xml:space="preserve"> Dataset</w:t>
      </w:r>
      <w:r>
        <w:t>.</w:t>
      </w:r>
    </w:p>
    <w:p w:rsidR="00280D5F" w:rsidRPr="00F53758" w:rsidRDefault="002D4788" w:rsidP="00881FBB">
      <w:r>
        <w:rPr>
          <w:noProof/>
          <w:lang w:eastAsia="en-AU"/>
        </w:rPr>
        <w:drawing>
          <wp:inline distT="0" distB="0" distL="0" distR="0" wp14:anchorId="3C936A8F" wp14:editId="7E6BC1EB">
            <wp:extent cx="5400040" cy="2008284"/>
            <wp:effectExtent l="0" t="0" r="0" b="0"/>
            <wp:docPr id="12" name="Picture 12" descr="Table 9: Summary of Total Patient Exposure to APR in Phase 3 PSOR Dataset." title="Table 9: Summary of Total Patient Exposure to APR in Phase 3 PSOR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2008284"/>
                    </a:xfrm>
                    <a:prstGeom prst="rect">
                      <a:avLst/>
                    </a:prstGeom>
                  </pic:spPr>
                </pic:pic>
              </a:graphicData>
            </a:graphic>
          </wp:inline>
        </w:drawing>
      </w:r>
    </w:p>
    <w:p w:rsidR="00605AD4" w:rsidRPr="00605AD4" w:rsidRDefault="00605AD4" w:rsidP="00881FBB">
      <w:pPr>
        <w:pStyle w:val="Heading4"/>
      </w:pPr>
      <w:r w:rsidRPr="00605AD4">
        <w:t xml:space="preserve">Safety issues with the </w:t>
      </w:r>
      <w:r w:rsidRPr="00881FBB">
        <w:t>potential</w:t>
      </w:r>
      <w:r w:rsidRPr="00605AD4">
        <w:t xml:space="preserve"> for major regulatory impact</w:t>
      </w:r>
    </w:p>
    <w:p w:rsidR="003A3BE8" w:rsidRPr="003B65A6" w:rsidRDefault="003A3BE8" w:rsidP="00881FBB">
      <w:pPr>
        <w:pStyle w:val="Heading5"/>
      </w:pPr>
      <w:bookmarkStart w:id="103" w:name="_Toc272414682"/>
      <w:bookmarkStart w:id="104" w:name="_Toc290846320"/>
      <w:bookmarkStart w:id="105" w:name="_Toc396481336"/>
      <w:r w:rsidRPr="003B65A6">
        <w:t xml:space="preserve">Psychiatric </w:t>
      </w:r>
      <w:r w:rsidR="00881FBB" w:rsidRPr="00881FBB">
        <w:t>d</w:t>
      </w:r>
      <w:r w:rsidRPr="00881FBB">
        <w:t>isorders</w:t>
      </w:r>
      <w:bookmarkEnd w:id="103"/>
      <w:bookmarkEnd w:id="104"/>
      <w:bookmarkEnd w:id="105"/>
    </w:p>
    <w:p w:rsidR="003A3BE8" w:rsidRDefault="003A3BE8" w:rsidP="00881FBB">
      <w:r>
        <w:t xml:space="preserve">In the Phase </w:t>
      </w:r>
      <w:r w:rsidR="00FA51C9">
        <w:t>III</w:t>
      </w:r>
      <w:r>
        <w:t xml:space="preserve"> </w:t>
      </w:r>
      <w:proofErr w:type="spellStart"/>
      <w:r>
        <w:t>PsA</w:t>
      </w:r>
      <w:proofErr w:type="spellEnd"/>
      <w:r>
        <w:t xml:space="preserve"> trials, treatment with </w:t>
      </w:r>
      <w:r w:rsidR="00EE6D80">
        <w:t>APR</w:t>
      </w:r>
      <w:r>
        <w:t xml:space="preserve"> was associated with increased rates of reported AEs of depression. Between </w:t>
      </w:r>
      <w:r w:rsidR="00FA51C9">
        <w:t>W</w:t>
      </w:r>
      <w:r>
        <w:t xml:space="preserve">eeks 0 and 16 (PBO controlled periods), 1.0% (10/998) of patients treated with </w:t>
      </w:r>
      <w:r w:rsidR="00EE6D80">
        <w:t>APR</w:t>
      </w:r>
      <w:r>
        <w:t xml:space="preserve"> reported depression or depressed mood compared with 0.8% (4/49</w:t>
      </w:r>
      <w:r w:rsidR="00FA51C9">
        <w:t>5) treated with PBO. Further</w:t>
      </w:r>
      <w:r>
        <w:t xml:space="preserve">, during the clinical trials, 0.3% (4/1441) of patients treated with </w:t>
      </w:r>
      <w:r w:rsidR="00EE6D80">
        <w:t>APR</w:t>
      </w:r>
      <w:r>
        <w:t xml:space="preserve"> discontinued due to depression or depressed mood versus no PBO treated subjects (0/495). Between </w:t>
      </w:r>
      <w:r w:rsidR="00FA51C9">
        <w:t>Weeks 0 and 16 in the Phase III</w:t>
      </w:r>
      <w:r>
        <w:t xml:space="preserve"> </w:t>
      </w:r>
      <w:proofErr w:type="spellStart"/>
      <w:r>
        <w:t>PsA</w:t>
      </w:r>
      <w:proofErr w:type="spellEnd"/>
      <w:r>
        <w:t xml:space="preserve"> studies, serious depression was recorded in 2/1945 (0.1%) of patients treated with </w:t>
      </w:r>
      <w:r w:rsidR="00EE6D80">
        <w:t>APR</w:t>
      </w:r>
      <w:r>
        <w:t xml:space="preserve"> (1 subject receiving 20</w:t>
      </w:r>
      <w:r w:rsidR="00FA51C9">
        <w:t xml:space="preserve"> </w:t>
      </w:r>
      <w:r>
        <w:t>mg twice daily and the other subject was treated with 30</w:t>
      </w:r>
      <w:r w:rsidR="00FA51C9">
        <w:t xml:space="preserve"> </w:t>
      </w:r>
      <w:r>
        <w:t xml:space="preserve">mg twice daily), and serious anxiety in 1/1945 (0.1%). No PBO treated subject experienced serious depression or anxiety. The event rate for depression and anxiety did not increase over time with continued </w:t>
      </w:r>
      <w:r w:rsidR="00EE6D80">
        <w:t>APR</w:t>
      </w:r>
      <w:r w:rsidR="00FA51C9">
        <w:t xml:space="preserve"> therapy. In the Phase III</w:t>
      </w:r>
      <w:r>
        <w:t xml:space="preserve"> PSOR studies, only 1 patient (0.1% of 1184) d</w:t>
      </w:r>
      <w:r w:rsidR="009879A2">
        <w:t>eveloped serious depression. This</w:t>
      </w:r>
      <w:r>
        <w:t xml:space="preserve"> patient withdrew from the trial because of this AE. </w:t>
      </w:r>
    </w:p>
    <w:p w:rsidR="003A3BE8" w:rsidRDefault="003A3BE8" w:rsidP="00881FBB">
      <w:r>
        <w:t xml:space="preserve">In the total </w:t>
      </w:r>
      <w:r w:rsidR="00EE6D80">
        <w:t>APR</w:t>
      </w:r>
      <w:r>
        <w:t xml:space="preserve"> dataset (including </w:t>
      </w:r>
      <w:r w:rsidR="00FA51C9">
        <w:t>all Phase II and III</w:t>
      </w:r>
      <w:r>
        <w:t xml:space="preserve"> studies), </w:t>
      </w:r>
      <w:r w:rsidR="0028214C">
        <w:t>7</w:t>
      </w:r>
      <w:r>
        <w:t xml:space="preserve"> patients have experienced serious </w:t>
      </w:r>
      <w:proofErr w:type="spellStart"/>
      <w:r>
        <w:t>self</w:t>
      </w:r>
      <w:r w:rsidR="00FA51C9">
        <w:t xml:space="preserve"> </w:t>
      </w:r>
      <w:r>
        <w:t>injury</w:t>
      </w:r>
      <w:proofErr w:type="spellEnd"/>
      <w:r>
        <w:t xml:space="preserve"> (2 had suicidal ideation, 3 attempted suicide</w:t>
      </w:r>
      <w:r w:rsidR="00AF50B9">
        <w:t>,</w:t>
      </w:r>
      <w:r>
        <w:t xml:space="preserve"> and </w:t>
      </w:r>
      <w:r w:rsidR="0028214C">
        <w:t>2</w:t>
      </w:r>
      <w:r>
        <w:t xml:space="preserve"> had a completed </w:t>
      </w:r>
      <w:proofErr w:type="gramStart"/>
      <w:r>
        <w:lastRenderedPageBreak/>
        <w:t>suicide</w:t>
      </w:r>
      <w:proofErr w:type="gramEnd"/>
      <w:r>
        <w:t>).</w:t>
      </w:r>
      <w:r w:rsidR="0028214C">
        <w:rPr>
          <w:rStyle w:val="FootnoteReference"/>
        </w:rPr>
        <w:footnoteReference w:id="25"/>
      </w:r>
      <w:r>
        <w:t xml:space="preserve"> In these 5 cases, 3 received treatment with </w:t>
      </w:r>
      <w:r w:rsidR="00EE6D80">
        <w:t>APR</w:t>
      </w:r>
      <w:r>
        <w:t xml:space="preserve"> 30</w:t>
      </w:r>
      <w:r w:rsidR="00AF50B9">
        <w:t xml:space="preserve"> </w:t>
      </w:r>
      <w:r>
        <w:t xml:space="preserve">mg twice daily, 2 took </w:t>
      </w:r>
      <w:r w:rsidR="00EE6D80">
        <w:t>APR</w:t>
      </w:r>
      <w:r>
        <w:t xml:space="preserve"> 20</w:t>
      </w:r>
      <w:r w:rsidR="00AF50B9">
        <w:t xml:space="preserve"> </w:t>
      </w:r>
      <w:r>
        <w:t xml:space="preserve">mg twice daily and 1 subject was receiving PBO. </w:t>
      </w:r>
      <w:proofErr w:type="gramStart"/>
      <w:r>
        <w:t>Based on epidemiological data, the incidence of suicidal ideation and attempt lies within the expected range for matched subjects.</w:t>
      </w:r>
      <w:proofErr w:type="gramEnd"/>
    </w:p>
    <w:p w:rsidR="003A3BE8" w:rsidRPr="003B65A6" w:rsidRDefault="003A3BE8" w:rsidP="00881FBB">
      <w:pPr>
        <w:pStyle w:val="Heading5"/>
      </w:pPr>
      <w:bookmarkStart w:id="106" w:name="_Toc272414683"/>
      <w:bookmarkStart w:id="107" w:name="_Toc290846321"/>
      <w:bookmarkStart w:id="108" w:name="_Toc396481337"/>
      <w:r w:rsidRPr="003B65A6">
        <w:t xml:space="preserve">Weight </w:t>
      </w:r>
      <w:r w:rsidR="00881FBB" w:rsidRPr="00881FBB">
        <w:t>l</w:t>
      </w:r>
      <w:r w:rsidRPr="00881FBB">
        <w:t>oss</w:t>
      </w:r>
      <w:bookmarkEnd w:id="106"/>
      <w:bookmarkEnd w:id="107"/>
      <w:bookmarkEnd w:id="108"/>
    </w:p>
    <w:p w:rsidR="003A3BE8" w:rsidRDefault="003A3BE8" w:rsidP="00881FBB">
      <w:r>
        <w:t>Betwee</w:t>
      </w:r>
      <w:r w:rsidR="00AF50B9">
        <w:t xml:space="preserve">n weeks 0 and 16 in the Phase III </w:t>
      </w:r>
      <w:proofErr w:type="spellStart"/>
      <w:r>
        <w:t>PsA</w:t>
      </w:r>
      <w:proofErr w:type="spellEnd"/>
      <w:r>
        <w:t xml:space="preserve"> studies, weight loss of 5-10% was recorded in 35/972 (4.0%) of patients treated with </w:t>
      </w:r>
      <w:r w:rsidR="00EE6D80">
        <w:t>APR</w:t>
      </w:r>
      <w:r>
        <w:t xml:space="preserve"> 20</w:t>
      </w:r>
      <w:r w:rsidR="00AF50B9">
        <w:t xml:space="preserve"> </w:t>
      </w:r>
      <w:r>
        <w:t xml:space="preserve">mg twice daily and 35/973 (4.1%) of subjects treated with </w:t>
      </w:r>
      <w:r w:rsidR="00EE6D80">
        <w:t>APR</w:t>
      </w:r>
      <w:r>
        <w:t xml:space="preserve"> 30mg twice daily. Weight loss &gt;10% was experienced by 6 (0.7%) and 7 (0.8%) of patients in the </w:t>
      </w:r>
      <w:r w:rsidR="00EE6D80">
        <w:t>APR</w:t>
      </w:r>
      <w:r>
        <w:t xml:space="preserve"> 20mg twice daily and </w:t>
      </w:r>
      <w:r w:rsidR="00EE6D80">
        <w:t>APR</w:t>
      </w:r>
      <w:r>
        <w:t xml:space="preserve"> 30</w:t>
      </w:r>
      <w:r w:rsidR="00AF50B9">
        <w:t xml:space="preserve"> </w:t>
      </w:r>
      <w:r>
        <w:t xml:space="preserve">mg twice daily groups, respectively. In the </w:t>
      </w:r>
      <w:r w:rsidR="00EE6D80">
        <w:t>APR</w:t>
      </w:r>
      <w:r>
        <w:t xml:space="preserve"> exposure period, weight loss of 5-10% was recorded in 98/972 (10.4%) of patients receiving </w:t>
      </w:r>
      <w:r w:rsidR="00EE6D80">
        <w:t>APR</w:t>
      </w:r>
      <w:r>
        <w:t xml:space="preserve"> 20</w:t>
      </w:r>
      <w:r w:rsidR="00AF50B9">
        <w:t xml:space="preserve"> </w:t>
      </w:r>
      <w:r>
        <w:t xml:space="preserve">mg twice daily and 120/973 (12.7%) of patients taking </w:t>
      </w:r>
      <w:r w:rsidR="00EE6D80">
        <w:t>APR</w:t>
      </w:r>
      <w:r>
        <w:t xml:space="preserve"> 30</w:t>
      </w:r>
      <w:r w:rsidR="00AF50B9">
        <w:t xml:space="preserve"> </w:t>
      </w:r>
      <w:r>
        <w:t xml:space="preserve">mg twice daily. Weight loss &gt;10% was experienced by 42 (4.5%) and 36 (3.8%) of patients in the </w:t>
      </w:r>
      <w:r w:rsidR="00EE6D80">
        <w:t>APR</w:t>
      </w:r>
      <w:r>
        <w:t xml:space="preserve"> 20</w:t>
      </w:r>
      <w:r w:rsidR="00AF50B9">
        <w:t xml:space="preserve"> </w:t>
      </w:r>
      <w:r>
        <w:t xml:space="preserve">mg twice daily and </w:t>
      </w:r>
      <w:r w:rsidR="00EE6D80">
        <w:t>APR</w:t>
      </w:r>
      <w:r>
        <w:t xml:space="preserve"> 30</w:t>
      </w:r>
      <w:r w:rsidR="00AF50B9">
        <w:t xml:space="preserve"> </w:t>
      </w:r>
      <w:r>
        <w:t>mg twice daily groups, respectively.</w:t>
      </w:r>
    </w:p>
    <w:p w:rsidR="003A3BE8" w:rsidRPr="003B65A6" w:rsidRDefault="00AF50B9" w:rsidP="00881FBB">
      <w:r>
        <w:t>In the Phase III</w:t>
      </w:r>
      <w:r w:rsidR="003A3BE8">
        <w:t xml:space="preserve"> PSOR studies, a total of 132/1184 (11.7%) of patients treated with </w:t>
      </w:r>
      <w:r w:rsidR="00EE6D80">
        <w:t>APR</w:t>
      </w:r>
      <w:r w:rsidR="003A3BE8">
        <w:t xml:space="preserve"> recorded weight loss of 5-10% between </w:t>
      </w:r>
      <w:r>
        <w:t>W</w:t>
      </w:r>
      <w:r w:rsidR="003A3BE8">
        <w:t xml:space="preserve">eeks 0 and 16, and 22 (0.2%) of subjects experienced &gt;10% weight reduction. In the </w:t>
      </w:r>
      <w:r w:rsidR="00EE6D80">
        <w:t>APR</w:t>
      </w:r>
      <w:r w:rsidR="003A3BE8">
        <w:t xml:space="preserve"> exposure period, a total of 162 subjects (14.3% of 1184) recorded weight loss of 5-10% and 65 (5</w:t>
      </w:r>
      <w:r w:rsidR="00881FBB">
        <w:t>.7%) recorded &gt;10% weight loss.</w:t>
      </w:r>
    </w:p>
    <w:p w:rsidR="003A3BE8" w:rsidRPr="003B65A6" w:rsidRDefault="003A3BE8" w:rsidP="00881FBB">
      <w:pPr>
        <w:pStyle w:val="Heading5"/>
      </w:pPr>
      <w:bookmarkStart w:id="109" w:name="_Toc272414684"/>
      <w:bookmarkStart w:id="110" w:name="_Toc290846322"/>
      <w:bookmarkStart w:id="111" w:name="_Toc396481338"/>
      <w:r w:rsidRPr="003B65A6">
        <w:t xml:space="preserve">Hypersensitivity </w:t>
      </w:r>
      <w:r w:rsidR="00881FBB" w:rsidRPr="00881FBB">
        <w:t>r</w:t>
      </w:r>
      <w:r w:rsidRPr="00881FBB">
        <w:t>eactions</w:t>
      </w:r>
      <w:bookmarkEnd w:id="109"/>
      <w:bookmarkEnd w:id="110"/>
      <w:bookmarkEnd w:id="111"/>
    </w:p>
    <w:p w:rsidR="003A3BE8" w:rsidRDefault="003A3BE8" w:rsidP="00881FBB">
      <w:r>
        <w:t xml:space="preserve">Between </w:t>
      </w:r>
      <w:r w:rsidR="00AF50B9">
        <w:t>Weeks 0 and 16 in the Phase III</w:t>
      </w:r>
      <w:r>
        <w:t xml:space="preserve"> </w:t>
      </w:r>
      <w:proofErr w:type="spellStart"/>
      <w:r>
        <w:t>PsA</w:t>
      </w:r>
      <w:proofErr w:type="spellEnd"/>
      <w:r>
        <w:t xml:space="preserve"> studies, hypersensitivity reactions were reported for 3/1945 (0.2%) of </w:t>
      </w:r>
      <w:r w:rsidR="00EE6D80">
        <w:t>APR</w:t>
      </w:r>
      <w:r>
        <w:t xml:space="preserve"> treated subjects and no PBO patients. In the </w:t>
      </w:r>
      <w:r w:rsidR="00EE6D80">
        <w:t>APR</w:t>
      </w:r>
      <w:r>
        <w:t xml:space="preserve"> exposure period, hypersensitivity was recorded in 4/1945 (0.4%) of patients receiving </w:t>
      </w:r>
      <w:r w:rsidR="00EE6D80">
        <w:t>APR</w:t>
      </w:r>
      <w:r>
        <w:t xml:space="preserve">. One patient who took </w:t>
      </w:r>
      <w:r w:rsidR="00EE6D80">
        <w:t>APR</w:t>
      </w:r>
      <w:r>
        <w:t xml:space="preserve"> 40</w:t>
      </w:r>
      <w:r w:rsidR="00AF50B9">
        <w:t xml:space="preserve"> </w:t>
      </w:r>
      <w:r>
        <w:t xml:space="preserve">mg once daily in Study PSA-001 discontinued due to recurrent hypersensitivity reactions. The first reaction occurred on </w:t>
      </w:r>
      <w:r w:rsidR="00737E37">
        <w:t>S</w:t>
      </w:r>
      <w:r>
        <w:t xml:space="preserve">tudy </w:t>
      </w:r>
      <w:r w:rsidR="00AF50B9">
        <w:t>D</w:t>
      </w:r>
      <w:r>
        <w:t xml:space="preserve">ay 27 and involved throat tightness, pruritus and </w:t>
      </w:r>
      <w:proofErr w:type="spellStart"/>
      <w:r>
        <w:t>urticaria</w:t>
      </w:r>
      <w:proofErr w:type="spellEnd"/>
      <w:r>
        <w:t xml:space="preserve">. This AE resolved within 2 days but recurred twice upon rechallenge with </w:t>
      </w:r>
      <w:r w:rsidR="00EE6D80">
        <w:t>APR</w:t>
      </w:r>
      <w:r w:rsidR="00881FBB">
        <w:t>.</w:t>
      </w:r>
    </w:p>
    <w:p w:rsidR="003A3BE8" w:rsidRPr="003B65A6" w:rsidRDefault="003A3BE8" w:rsidP="00881FBB">
      <w:proofErr w:type="gramStart"/>
      <w:r>
        <w:t xml:space="preserve">In the Phase </w:t>
      </w:r>
      <w:r w:rsidR="00AF50B9">
        <w:t>III</w:t>
      </w:r>
      <w:r>
        <w:t xml:space="preserve"> PSOR studies, a total of 4/1184 (0.3%) of patients treated with </w:t>
      </w:r>
      <w:r w:rsidR="00EE6D80">
        <w:t>APR</w:t>
      </w:r>
      <w:r>
        <w:t xml:space="preserve"> 30</w:t>
      </w:r>
      <w:r w:rsidR="00AF50B9">
        <w:t xml:space="preserve"> </w:t>
      </w:r>
      <w:r>
        <w:t xml:space="preserve">mg twice daily reported hypersensitivity AEs between </w:t>
      </w:r>
      <w:r w:rsidR="00AF50B9">
        <w:t>W</w:t>
      </w:r>
      <w:r>
        <w:t>eeks 0 and 16.</w:t>
      </w:r>
      <w:proofErr w:type="gramEnd"/>
      <w:r>
        <w:t xml:space="preserve"> In the </w:t>
      </w:r>
      <w:r w:rsidR="00EE6D80">
        <w:t>APR</w:t>
      </w:r>
      <w:r>
        <w:t xml:space="preserve"> exposure period, a total of 8 subjects (0.7% of 1184) reported hypersensitivity reactions, including 1 case of anaphylaxis in patient taking </w:t>
      </w:r>
      <w:r w:rsidR="00EE6D80">
        <w:t>APR</w:t>
      </w:r>
      <w:r>
        <w:t xml:space="preserve"> 10</w:t>
      </w:r>
      <w:r w:rsidR="00737E37">
        <w:t xml:space="preserve"> </w:t>
      </w:r>
      <w:r>
        <w:t>mg twice daily (</w:t>
      </w:r>
      <w:r w:rsidR="00737E37">
        <w:t>S</w:t>
      </w:r>
      <w:r>
        <w:t xml:space="preserve">tudy </w:t>
      </w:r>
      <w:r w:rsidR="00737E37">
        <w:t>D</w:t>
      </w:r>
      <w:r>
        <w:t>ay 136).</w:t>
      </w:r>
    </w:p>
    <w:p w:rsidR="003A3BE8" w:rsidRPr="003B65A6" w:rsidRDefault="003A3BE8" w:rsidP="00881FBB">
      <w:pPr>
        <w:pStyle w:val="Heading5"/>
      </w:pPr>
      <w:bookmarkStart w:id="112" w:name="_Toc241374323"/>
      <w:bookmarkStart w:id="113" w:name="_Toc272414685"/>
      <w:bookmarkStart w:id="114" w:name="_Toc290846323"/>
      <w:bookmarkStart w:id="115" w:name="_Toc396481339"/>
      <w:r w:rsidRPr="003B65A6">
        <w:t xml:space="preserve">Unwanted immunological </w:t>
      </w:r>
      <w:r w:rsidRPr="00881FBB">
        <w:t>events</w:t>
      </w:r>
      <w:bookmarkEnd w:id="112"/>
      <w:bookmarkEnd w:id="113"/>
      <w:bookmarkEnd w:id="114"/>
      <w:bookmarkEnd w:id="115"/>
    </w:p>
    <w:p w:rsidR="003A3BE8" w:rsidRDefault="00EE6D80" w:rsidP="003A3BE8">
      <w:r>
        <w:t>APR</w:t>
      </w:r>
      <w:r w:rsidR="003A3BE8">
        <w:t xml:space="preserve"> is not a biologic DMARD and the issue of </w:t>
      </w:r>
      <w:proofErr w:type="spellStart"/>
      <w:r w:rsidR="003A3BE8">
        <w:t>anti</w:t>
      </w:r>
      <w:r w:rsidR="00737E37">
        <w:t xml:space="preserve"> </w:t>
      </w:r>
      <w:r w:rsidR="003A3BE8">
        <w:t>drug</w:t>
      </w:r>
      <w:proofErr w:type="spellEnd"/>
      <w:r w:rsidR="003A3BE8">
        <w:t xml:space="preserve"> antibodies is not applicable to this drug.</w:t>
      </w:r>
    </w:p>
    <w:p w:rsidR="003A3BE8" w:rsidRDefault="003A3BE8" w:rsidP="00881FBB">
      <w:r>
        <w:t xml:space="preserve">PDE4-inhibitors, including </w:t>
      </w:r>
      <w:r w:rsidR="00EE6D80">
        <w:t>APR</w:t>
      </w:r>
      <w:r>
        <w:t xml:space="preserve">, have been demonstrated to induce inflammatory perivascular changes on histopathology consistent with vasculitis in animal studies. Consequently, investigators were instructed to monitor for any clinical signs and symptoms of vasculitis during the </w:t>
      </w:r>
      <w:r w:rsidR="00EE6D80">
        <w:t>APR</w:t>
      </w:r>
      <w:r>
        <w:t xml:space="preserve"> clinical program. No patients in the Phase 3 studies (</w:t>
      </w:r>
      <w:proofErr w:type="spellStart"/>
      <w:r>
        <w:t>PsA</w:t>
      </w:r>
      <w:proofErr w:type="spellEnd"/>
      <w:r>
        <w:t xml:space="preserve"> or PSOR) were identified as experiencing vasculitis. Two subjects involved in a RA trial were reported to have vasculitis. However, 1 of those subjects (given </w:t>
      </w:r>
      <w:r w:rsidR="00EE6D80">
        <w:t>APR</w:t>
      </w:r>
      <w:r>
        <w:t xml:space="preserve"> 30mg twice daily) was diagnosed with rheumatoid vasculitis, which resulted in discontinuation from the study. The second subject with RA (randomi</w:t>
      </w:r>
      <w:r w:rsidR="00737E37">
        <w:t>s</w:t>
      </w:r>
      <w:r>
        <w:t xml:space="preserve">ed to PBO) was diagnosed with cutaneous vasculitis, which subsequently resolved. As vasculitis is known to occur in patients with RA, the data does not support an association between </w:t>
      </w:r>
      <w:r w:rsidR="00EE6D80">
        <w:t>APR</w:t>
      </w:r>
      <w:r>
        <w:t xml:space="preserve"> and vasculitis.</w:t>
      </w:r>
    </w:p>
    <w:p w:rsidR="00605AD4" w:rsidRPr="00605AD4" w:rsidRDefault="00605AD4" w:rsidP="00881FBB">
      <w:pPr>
        <w:pStyle w:val="Heading4"/>
      </w:pPr>
      <w:r w:rsidRPr="00605AD4">
        <w:lastRenderedPageBreak/>
        <w:t>Post</w:t>
      </w:r>
      <w:r w:rsidR="005B5B21">
        <w:t xml:space="preserve"> </w:t>
      </w:r>
      <w:r w:rsidRPr="00605AD4">
        <w:t xml:space="preserve">marketing </w:t>
      </w:r>
      <w:r w:rsidRPr="00881FBB">
        <w:t>data</w:t>
      </w:r>
    </w:p>
    <w:p w:rsidR="003A3BE8" w:rsidRDefault="003A3BE8" w:rsidP="00881FBB">
      <w:r>
        <w:t xml:space="preserve">Not applicable as </w:t>
      </w:r>
      <w:r w:rsidR="00EE6D80">
        <w:t>APR</w:t>
      </w:r>
      <w:r>
        <w:t xml:space="preserve"> at the time of this submission had not received registration anywhere in the world for the treatment of </w:t>
      </w:r>
      <w:proofErr w:type="spellStart"/>
      <w:r>
        <w:t>PsA</w:t>
      </w:r>
      <w:proofErr w:type="spellEnd"/>
      <w:r>
        <w:t xml:space="preserve"> or PSOR.</w:t>
      </w:r>
    </w:p>
    <w:p w:rsidR="00605AD4" w:rsidRPr="00605AD4" w:rsidRDefault="00605AD4" w:rsidP="00881FBB">
      <w:pPr>
        <w:pStyle w:val="Heading4"/>
      </w:pPr>
      <w:r w:rsidRPr="00605AD4">
        <w:t xml:space="preserve">Evaluator’s conclusions </w:t>
      </w:r>
      <w:r w:rsidRPr="00881FBB">
        <w:t>on</w:t>
      </w:r>
      <w:r w:rsidRPr="00605AD4">
        <w:t xml:space="preserve"> safety</w:t>
      </w:r>
    </w:p>
    <w:p w:rsidR="003A3BE8" w:rsidRDefault="003A3BE8" w:rsidP="00881FBB">
      <w:r>
        <w:t xml:space="preserve">A total of 2401 subjects have received </w:t>
      </w:r>
      <w:r w:rsidR="00EE6D80">
        <w:t>APR</w:t>
      </w:r>
      <w:r w:rsidR="00737E37">
        <w:t xml:space="preserve"> in Phase II</w:t>
      </w:r>
      <w:r>
        <w:t xml:space="preserve"> and </w:t>
      </w:r>
      <w:r w:rsidR="00737E37">
        <w:t>III</w:t>
      </w:r>
      <w:r>
        <w:t xml:space="preserve"> clinical studies for the treatment of </w:t>
      </w:r>
      <w:proofErr w:type="spellStart"/>
      <w:r>
        <w:t>PsA</w:t>
      </w:r>
      <w:proofErr w:type="spellEnd"/>
      <w:r>
        <w:t>, PSOR and RA in doses ranging from 10</w:t>
      </w:r>
      <w:r w:rsidR="008D1784">
        <w:t xml:space="preserve"> </w:t>
      </w:r>
      <w:r>
        <w:t>mg twice daily to 30</w:t>
      </w:r>
      <w:r w:rsidR="008D1784">
        <w:t xml:space="preserve"> </w:t>
      </w:r>
      <w:r>
        <w:t xml:space="preserve">mg twice daily. A total of 672 subjects in the overall </w:t>
      </w:r>
      <w:r w:rsidR="00EE6D80">
        <w:t>APR</w:t>
      </w:r>
      <w:r>
        <w:t xml:space="preserve"> exposure dataset have received </w:t>
      </w:r>
      <w:r w:rsidR="00EE6D80">
        <w:t>APR</w:t>
      </w:r>
      <w:r>
        <w:t xml:space="preserve"> 30</w:t>
      </w:r>
      <w:r w:rsidR="008D1784">
        <w:t xml:space="preserve"> </w:t>
      </w:r>
      <w:r>
        <w:t xml:space="preserve">mg twice daily (the proposed registration dose) for at least 24 </w:t>
      </w:r>
      <w:proofErr w:type="gramStart"/>
      <w:r>
        <w:t>weeks,</w:t>
      </w:r>
      <w:proofErr w:type="gramEnd"/>
      <w:r>
        <w:t xml:space="preserve"> and 269 subjects have received </w:t>
      </w:r>
      <w:r w:rsidR="00EE6D80">
        <w:t>APR</w:t>
      </w:r>
      <w:r>
        <w:t xml:space="preserve"> 30</w:t>
      </w:r>
      <w:r w:rsidR="008D1784">
        <w:t xml:space="preserve"> </w:t>
      </w:r>
      <w:r>
        <w:t xml:space="preserve">mg twice daily for at least 48 weeks. Overall, there is a sufficient volume of data to make a meaningful assessment of </w:t>
      </w:r>
      <w:r w:rsidR="00EE6D80">
        <w:t>APR</w:t>
      </w:r>
      <w:r>
        <w:t xml:space="preserve"> safety for up to 52 weeks of treatment in the newly proposed treatment indications of active </w:t>
      </w:r>
      <w:proofErr w:type="spellStart"/>
      <w:r>
        <w:t>PsA</w:t>
      </w:r>
      <w:proofErr w:type="spellEnd"/>
      <w:r>
        <w:t xml:space="preserve"> and PSOR.</w:t>
      </w:r>
    </w:p>
    <w:p w:rsidR="003A3BE8" w:rsidRPr="0081426C" w:rsidRDefault="003A3BE8" w:rsidP="00881FBB">
      <w:r>
        <w:t>In general, t</w:t>
      </w:r>
      <w:r w:rsidRPr="00DF1878">
        <w:t xml:space="preserve">he </w:t>
      </w:r>
      <w:r>
        <w:t xml:space="preserve">study populations had </w:t>
      </w:r>
      <w:r w:rsidRPr="00DF1878">
        <w:t>baseline</w:t>
      </w:r>
      <w:r>
        <w:t xml:space="preserve"> characteristics (demographic, disease-related and co-morbidity)</w:t>
      </w:r>
      <w:r w:rsidRPr="00DF1878">
        <w:t xml:space="preserve"> indicative of the intended target population for the claimed indication</w:t>
      </w:r>
      <w:r>
        <w:t>s</w:t>
      </w:r>
      <w:r w:rsidRPr="00DF1878">
        <w:t xml:space="preserve">. </w:t>
      </w:r>
      <w:r>
        <w:t>The studies enrolled almost equal proportions of male and female subjects who were mainly Caucasian (&gt;90%) and middle aged (median age of 51 years). However, the pivotal studies excluded patients with a high baseline risk of infection. In addition, there is no or very limited experience in certain patient subgroups of relevance including subjects with renal or hepatic impairment, pregnant or lactating women, and those with a low body weight (&lt;50 kg).</w:t>
      </w:r>
    </w:p>
    <w:p w:rsidR="003A3BE8" w:rsidRDefault="003A3BE8" w:rsidP="00881FBB">
      <w:r>
        <w:t xml:space="preserve">The overall frequency of all AEs were higher in the </w:t>
      </w:r>
      <w:r w:rsidR="00EE6D80">
        <w:t>APR</w:t>
      </w:r>
      <w:r>
        <w:t xml:space="preserve"> treatment groups versus PBO, and generally had a slightly higher incidence in the </w:t>
      </w:r>
      <w:r w:rsidR="00EE6D80">
        <w:t>APR</w:t>
      </w:r>
      <w:r>
        <w:t xml:space="preserve"> 30mg twice daily groups compared with </w:t>
      </w:r>
      <w:r w:rsidR="00EE6D80">
        <w:t>APR</w:t>
      </w:r>
      <w:r>
        <w:t xml:space="preserve"> 20</w:t>
      </w:r>
      <w:r w:rsidR="008D1784">
        <w:t xml:space="preserve"> </w:t>
      </w:r>
      <w:r>
        <w:t xml:space="preserve">mg twice daily treatment arms. The most frequently reported AEs were gastrointestinal disorders (mainly, diarrhoea and nausea) and headache, both of which occurred at a higher frequency in the </w:t>
      </w:r>
      <w:r w:rsidR="00EE6D80">
        <w:t>APR</w:t>
      </w:r>
      <w:r>
        <w:t xml:space="preserve"> treatment groups in a dose</w:t>
      </w:r>
      <w:r w:rsidR="00EB4133">
        <w:t xml:space="preserve"> </w:t>
      </w:r>
      <w:r>
        <w:t xml:space="preserve">dependant manner. The majority (&gt;95%) of AEs were reported as mild to moderate in severity. The highest incidence of diarrhoea, nausea and headache events occurred with the first 14 days of initiating </w:t>
      </w:r>
      <w:r w:rsidR="00EE6D80">
        <w:t>APR</w:t>
      </w:r>
      <w:r>
        <w:t xml:space="preserve"> therapy and reduced after 30 days. Upper respiratory tract infections were also reported in &gt;5% of subjects and occurred more frequently in subjects receiving </w:t>
      </w:r>
      <w:r w:rsidR="00EE6D80">
        <w:t>APR</w:t>
      </w:r>
      <w:r>
        <w:t xml:space="preserve"> than in those receiving PBO. Most of these infections were mild to moderate in severity, and </w:t>
      </w:r>
      <w:proofErr w:type="spellStart"/>
      <w:r>
        <w:t>self</w:t>
      </w:r>
      <w:r w:rsidR="00EB4133">
        <w:t xml:space="preserve"> </w:t>
      </w:r>
      <w:r>
        <w:t>limiting</w:t>
      </w:r>
      <w:proofErr w:type="spellEnd"/>
      <w:r>
        <w:t xml:space="preserve">. No </w:t>
      </w:r>
      <w:r w:rsidR="008D1784">
        <w:t>serious adverse events (</w:t>
      </w:r>
      <w:r>
        <w:t>SAEs</w:t>
      </w:r>
      <w:r w:rsidR="008D1784">
        <w:t>)</w:t>
      </w:r>
      <w:r>
        <w:t xml:space="preserve"> due to </w:t>
      </w:r>
      <w:r w:rsidR="008D1784">
        <w:t>u</w:t>
      </w:r>
      <w:r w:rsidR="008D1784" w:rsidRPr="008D1784">
        <w:t xml:space="preserve">pper respiratory tract infections </w:t>
      </w:r>
      <w:r w:rsidR="008D1784">
        <w:t>(</w:t>
      </w:r>
      <w:r>
        <w:t>URTI</w:t>
      </w:r>
      <w:r w:rsidR="008D1784">
        <w:t>s)</w:t>
      </w:r>
      <w:r>
        <w:t xml:space="preserve"> were reported. Diarrhoea, nausea, headache, URTI, vomiting and dyspepsia are included in the PI as potential advers</w:t>
      </w:r>
      <w:r w:rsidR="005C10FC">
        <w:t>e drug reactions. In the Phase III</w:t>
      </w:r>
      <w:r>
        <w:t xml:space="preserve"> studies for both indications, serious adverse events occurred in approximately equal frequencies between PBO and </w:t>
      </w:r>
      <w:r w:rsidR="00EE6D80">
        <w:t>APR</w:t>
      </w:r>
      <w:r>
        <w:t xml:space="preserve"> treated subjects. Safety analyses did not suggest a clinically important difference in the type of SAEs between </w:t>
      </w:r>
      <w:r w:rsidR="00EE6D80">
        <w:t>APR</w:t>
      </w:r>
      <w:r>
        <w:t xml:space="preserve"> treated subjects and those treated with PBO.</w:t>
      </w:r>
    </w:p>
    <w:p w:rsidR="003A3BE8" w:rsidRDefault="003A3BE8" w:rsidP="00881FBB">
      <w:r>
        <w:t xml:space="preserve">A total of 7 deaths have been reported in the broader </w:t>
      </w:r>
      <w:r w:rsidR="00EE6D80">
        <w:t>APR</w:t>
      </w:r>
      <w:r w:rsidR="00251EF9">
        <w:t xml:space="preserve"> development program. One </w:t>
      </w:r>
      <w:r>
        <w:t>death occurr</w:t>
      </w:r>
      <w:r w:rsidR="00251EF9">
        <w:t>ed</w:t>
      </w:r>
      <w:r>
        <w:t xml:space="preserve"> in the </w:t>
      </w:r>
      <w:proofErr w:type="spellStart"/>
      <w:r>
        <w:t>PsA</w:t>
      </w:r>
      <w:proofErr w:type="spellEnd"/>
      <w:r>
        <w:t xml:space="preserve"> studies (subject received </w:t>
      </w:r>
      <w:r w:rsidR="00EE6D80">
        <w:t>APR</w:t>
      </w:r>
      <w:r>
        <w:t xml:space="preserve"> 20</w:t>
      </w:r>
      <w:r w:rsidR="0079252A">
        <w:t xml:space="preserve"> </w:t>
      </w:r>
      <w:r>
        <w:t xml:space="preserve">mg twice daily), 5 deaths were reported during the PSOR studies (2 given PBO, 2 received </w:t>
      </w:r>
      <w:r w:rsidR="00EE6D80">
        <w:t>APR</w:t>
      </w:r>
      <w:r>
        <w:t xml:space="preserve">, and 1 initially received </w:t>
      </w:r>
      <w:r w:rsidR="00EE6D80">
        <w:t>APR</w:t>
      </w:r>
      <w:r>
        <w:t xml:space="preserve"> but then was re-randomised to PBO during the randomi</w:t>
      </w:r>
      <w:r w:rsidR="0079252A">
        <w:t>s</w:t>
      </w:r>
      <w:r>
        <w:t>ed withdrawal phase)</w:t>
      </w:r>
      <w:r w:rsidR="005945FD">
        <w:t>,</w:t>
      </w:r>
      <w:r>
        <w:t xml:space="preserve"> and 1 additional death </w:t>
      </w:r>
      <w:r w:rsidR="005945FD">
        <w:t xml:space="preserve">was </w:t>
      </w:r>
      <w:r>
        <w:t xml:space="preserve">possibly related to </w:t>
      </w:r>
      <w:r w:rsidR="00EE6D80">
        <w:t>APR</w:t>
      </w:r>
      <w:r>
        <w:t xml:space="preserve"> therapy occurred in patient with RA. Two of the</w:t>
      </w:r>
      <w:r w:rsidR="0028214C">
        <w:t xml:space="preserve"> deaths were apparent suicides</w:t>
      </w:r>
      <w:r>
        <w:t>,</w:t>
      </w:r>
      <w:r w:rsidR="0028214C">
        <w:rPr>
          <w:rStyle w:val="FootnoteReference"/>
        </w:rPr>
        <w:footnoteReference w:id="26"/>
      </w:r>
      <w:r>
        <w:t xml:space="preserve"> which is concerning since the PDE4</w:t>
      </w:r>
      <w:r w:rsidR="0079252A">
        <w:t xml:space="preserve"> </w:t>
      </w:r>
      <w:r>
        <w:t xml:space="preserve">inhibitor </w:t>
      </w:r>
      <w:proofErr w:type="spellStart"/>
      <w:r>
        <w:t>roflumilast</w:t>
      </w:r>
      <w:proofErr w:type="spellEnd"/>
      <w:r>
        <w:t xml:space="preserve"> has a warning included in its PI about the potentia</w:t>
      </w:r>
      <w:r w:rsidRPr="00881FBB">
        <w:t>l</w:t>
      </w:r>
      <w:r>
        <w:t xml:space="preserve"> for increased psychiatric events, including depression and suicidal behaviour. A review of the psychiatric AEs in the </w:t>
      </w:r>
      <w:r w:rsidR="00EE6D80">
        <w:t>APR</w:t>
      </w:r>
      <w:r>
        <w:t xml:space="preserve"> program has been performed. Review of the data concluded that the current data su</w:t>
      </w:r>
      <w:r w:rsidR="00EF649E">
        <w:t>bmitted in this application do</w:t>
      </w:r>
      <w:r>
        <w:t xml:space="preserve"> not suggest an increased risk of suicidal behaviour in patients treated with </w:t>
      </w:r>
      <w:r w:rsidR="00EE6D80">
        <w:t>APR</w:t>
      </w:r>
      <w:r w:rsidR="0079252A">
        <w:t>. However, in the Phase III</w:t>
      </w:r>
      <w:r>
        <w:t xml:space="preserve"> </w:t>
      </w:r>
      <w:proofErr w:type="spellStart"/>
      <w:r>
        <w:t>PsA</w:t>
      </w:r>
      <w:proofErr w:type="spellEnd"/>
      <w:r>
        <w:t xml:space="preserve"> studies patients treated with </w:t>
      </w:r>
      <w:r w:rsidR="00EE6D80">
        <w:t>APR</w:t>
      </w:r>
      <w:r>
        <w:t xml:space="preserve"> </w:t>
      </w:r>
      <w:r>
        <w:lastRenderedPageBreak/>
        <w:t xml:space="preserve">were observed to have a slightly higher incidence of depression or depressed mood, and </w:t>
      </w:r>
      <w:r w:rsidR="00EF649E">
        <w:t xml:space="preserve">greater </w:t>
      </w:r>
      <w:r>
        <w:t>discontinuations due to these AEs compared to PBO treated subjects.</w:t>
      </w:r>
    </w:p>
    <w:p w:rsidR="003A3BE8" w:rsidRDefault="003A3BE8" w:rsidP="00881FBB">
      <w:r>
        <w:t>A treatment</w:t>
      </w:r>
      <w:r w:rsidR="0079252A">
        <w:t xml:space="preserve"> </w:t>
      </w:r>
      <w:r>
        <w:t xml:space="preserve">dependant decrease in body weight was observed in the </w:t>
      </w:r>
      <w:proofErr w:type="spellStart"/>
      <w:r>
        <w:t>PsA</w:t>
      </w:r>
      <w:proofErr w:type="spellEnd"/>
      <w:r>
        <w:t xml:space="preserve"> and PSOR studies. A greater proportion of </w:t>
      </w:r>
      <w:r w:rsidR="00EE6D80">
        <w:t>APR</w:t>
      </w:r>
      <w:r w:rsidR="0079252A">
        <w:t xml:space="preserve"> </w:t>
      </w:r>
      <w:r>
        <w:t>treated subjects experienced a &gt;5% weight loss compared to PBO</w:t>
      </w:r>
      <w:r w:rsidR="0079252A">
        <w:t xml:space="preserve"> </w:t>
      </w:r>
      <w:r>
        <w:t xml:space="preserve">treated subjects. No subject had a weight decrease of &gt;20% and 1 subject discontinued due to weight decrease during the </w:t>
      </w:r>
      <w:r w:rsidR="00EE6D80">
        <w:t>APR</w:t>
      </w:r>
      <w:r>
        <w:t xml:space="preserve"> exposure period. The potential for significant weight loss is included in the PI and is an issue requiring ongoing pharmacovigilance. Analyses of adjudicated events for serious infections, major adverse cardiovascular events and malignancies did not indicate any imbalance between </w:t>
      </w:r>
      <w:r w:rsidR="00EE6D80">
        <w:t>APR</w:t>
      </w:r>
      <w:r>
        <w:t xml:space="preserve"> and PBO treated subjects. Additional analyses evaluating the incidence of tuberculosis, psychiatric events and vasculitis were performed and no safety signal with </w:t>
      </w:r>
      <w:r w:rsidR="00EE6D80">
        <w:t>APR</w:t>
      </w:r>
      <w:r>
        <w:t xml:space="preserve"> therapy was identified.</w:t>
      </w:r>
    </w:p>
    <w:p w:rsidR="003A3BE8" w:rsidRDefault="003A3BE8" w:rsidP="00881FBB">
      <w:r>
        <w:t xml:space="preserve">Markedly abnormal laboratory test results were infrequent and transient. In general, analyses of mild and moderate laboratory abnormalities did not show an increased risk between either </w:t>
      </w:r>
      <w:r w:rsidR="00EE6D80">
        <w:t>APR</w:t>
      </w:r>
      <w:r>
        <w:t xml:space="preserve"> 20 mg twice daily or </w:t>
      </w:r>
      <w:r w:rsidR="00EE6D80">
        <w:t>APR</w:t>
      </w:r>
      <w:r>
        <w:t xml:space="preserve"> 30</w:t>
      </w:r>
      <w:r w:rsidR="0079252A">
        <w:t xml:space="preserve"> </w:t>
      </w:r>
      <w:r>
        <w:t>mg twice daily treatment groups. The vast majority of laboratory abnormalities w</w:t>
      </w:r>
      <w:r w:rsidR="00A76D50">
        <w:t>ere</w:t>
      </w:r>
      <w:r>
        <w:t xml:space="preserve"> transient and did not lead to study drug discontinuation. No cases of hepatic failure, or </w:t>
      </w:r>
      <w:r w:rsidR="004F3ECC">
        <w:t>liver function test (</w:t>
      </w:r>
      <w:r>
        <w:t>LFT</w:t>
      </w:r>
      <w:r w:rsidR="004F3ECC">
        <w:t>)</w:t>
      </w:r>
      <w:r>
        <w:t xml:space="preserve"> elevations meeting </w:t>
      </w:r>
      <w:proofErr w:type="spellStart"/>
      <w:r>
        <w:t>Hy’s</w:t>
      </w:r>
      <w:proofErr w:type="spellEnd"/>
      <w:r>
        <w:t xml:space="preserve"> Law criteria, were reported. </w:t>
      </w:r>
      <w:proofErr w:type="spellStart"/>
      <w:r>
        <w:t>Myelosuppression</w:t>
      </w:r>
      <w:proofErr w:type="spellEnd"/>
      <w:r>
        <w:t xml:space="preserve"> was not observed based on routine laboratory testing.</w:t>
      </w:r>
    </w:p>
    <w:p w:rsidR="003A3BE8" w:rsidRDefault="00EE6D80" w:rsidP="00881FBB">
      <w:r>
        <w:t>APR</w:t>
      </w:r>
      <w:r w:rsidR="003A3BE8">
        <w:t xml:space="preserve"> has demonstrated an acceptable safety profile when used alone or in combination with DMARD therapy including MTX, SSZ and LEF.</w:t>
      </w:r>
    </w:p>
    <w:p w:rsidR="003A3BE8" w:rsidRPr="001117BD" w:rsidRDefault="00A76D50" w:rsidP="00881FBB">
      <w:r>
        <w:t xml:space="preserve">In summary, the data evaluated in this submission are sufficient to assess the overall safety of APR in adult patients with active </w:t>
      </w:r>
      <w:proofErr w:type="spellStart"/>
      <w:r>
        <w:t>PsA</w:t>
      </w:r>
      <w:proofErr w:type="spellEnd"/>
      <w:r>
        <w:t xml:space="preserve"> and/or PSOR. The most commonly occurring AEs associated with APR were diarrhoea, nausea, vomiting, headache and URTI. These AEs typically occurred in the first 14 days after starting APR, were usually mild or moderate in severity, and generally resolved within 30 days while subjects continued receiving APR. Treatment with APR was also associated with weight loss, with approximately 10% of APR treated subjects losing between 5-10% of their body weight over 52 weeks. Except for the AEs of diarrhoea, nausea, vomiting, headache and URTI, no imbalance was observed for adverse events of special interest including adjudicated events of serious infections, major adverse cardiovascular events and malignancies. However, there are limited long-term safety data in the current submission (beyond 52 weeks of treatment follow-up) to assess the risk of some types of AEs such as malignancy and cardiovascular AEs, which will require much greater duration of follow up</w:t>
      </w:r>
      <w:r w:rsidR="003A3BE8">
        <w:t>.</w:t>
      </w:r>
    </w:p>
    <w:p w:rsidR="00605AD4" w:rsidRPr="00605AD4" w:rsidRDefault="00605AD4" w:rsidP="00881FBB">
      <w:pPr>
        <w:pStyle w:val="Heading3"/>
        <w:rPr>
          <w:rFonts w:eastAsia="Cambria"/>
        </w:rPr>
      </w:pPr>
      <w:bookmarkStart w:id="116" w:name="_Toc436140483"/>
      <w:r w:rsidRPr="00605AD4">
        <w:rPr>
          <w:rFonts w:eastAsia="Cambria"/>
        </w:rPr>
        <w:t xml:space="preserve">First </w:t>
      </w:r>
      <w:r w:rsidR="00881FBB">
        <w:rPr>
          <w:rFonts w:eastAsia="Cambria"/>
        </w:rPr>
        <w:t>r</w:t>
      </w:r>
      <w:r w:rsidRPr="00605AD4">
        <w:rPr>
          <w:rFonts w:eastAsia="Cambria"/>
        </w:rPr>
        <w:t xml:space="preserve">ound </w:t>
      </w:r>
      <w:r w:rsidR="00881FBB">
        <w:rPr>
          <w:rFonts w:eastAsia="Cambria"/>
        </w:rPr>
        <w:t>b</w:t>
      </w:r>
      <w:r w:rsidRPr="00605AD4">
        <w:rPr>
          <w:rFonts w:eastAsia="Cambria"/>
        </w:rPr>
        <w:t>enefit-</w:t>
      </w:r>
      <w:r w:rsidR="00881FBB">
        <w:rPr>
          <w:rFonts w:eastAsia="Cambria"/>
        </w:rPr>
        <w:t>r</w:t>
      </w:r>
      <w:r w:rsidRPr="00605AD4">
        <w:rPr>
          <w:rFonts w:eastAsia="Cambria"/>
        </w:rPr>
        <w:t xml:space="preserve">isk </w:t>
      </w:r>
      <w:r w:rsidR="00881FBB" w:rsidRPr="00881FBB">
        <w:rPr>
          <w:rFonts w:eastAsia="Cambria"/>
        </w:rPr>
        <w:t>a</w:t>
      </w:r>
      <w:r w:rsidRPr="00881FBB">
        <w:rPr>
          <w:rFonts w:eastAsia="Cambria"/>
        </w:rPr>
        <w:t>ssessment</w:t>
      </w:r>
      <w:bookmarkEnd w:id="116"/>
    </w:p>
    <w:p w:rsidR="00605AD4" w:rsidRPr="00605AD4" w:rsidRDefault="00605AD4" w:rsidP="00881FBB">
      <w:pPr>
        <w:pStyle w:val="Heading4"/>
      </w:pPr>
      <w:r w:rsidRPr="00605AD4">
        <w:t xml:space="preserve">First round </w:t>
      </w:r>
      <w:r w:rsidRPr="00881FBB">
        <w:t>assessment</w:t>
      </w:r>
      <w:r w:rsidRPr="00605AD4">
        <w:t xml:space="preserve"> of benefits</w:t>
      </w:r>
    </w:p>
    <w:p w:rsidR="007C35B8" w:rsidRPr="007C35B8" w:rsidRDefault="007C35B8" w:rsidP="00881FBB">
      <w:r w:rsidRPr="007C35B8">
        <w:t>The benefits of APR in the proposed usage are:</w:t>
      </w:r>
    </w:p>
    <w:p w:rsidR="007C35B8" w:rsidRPr="007C35B8" w:rsidRDefault="007C35B8" w:rsidP="00881FBB">
      <w:pPr>
        <w:pStyle w:val="ListBullet"/>
      </w:pPr>
      <w:r w:rsidRPr="007C35B8">
        <w:t xml:space="preserve">Clinically meaningful improvements in the </w:t>
      </w:r>
      <w:r w:rsidR="0076069C">
        <w:t xml:space="preserve">signs and symptoms of </w:t>
      </w:r>
      <w:proofErr w:type="spellStart"/>
      <w:r w:rsidR="0076069C">
        <w:t>PsA</w:t>
      </w:r>
      <w:proofErr w:type="spellEnd"/>
      <w:r w:rsidR="0076069C">
        <w:t xml:space="preserve"> (that is, </w:t>
      </w:r>
      <w:r w:rsidRPr="007C35B8">
        <w:t xml:space="preserve">ACR response criteria), as well as physical functioning (i.e. change from baseline in HAQ-DI score) when given to patients with active established </w:t>
      </w:r>
      <w:proofErr w:type="spellStart"/>
      <w:r w:rsidRPr="007C35B8">
        <w:t>PsA</w:t>
      </w:r>
      <w:proofErr w:type="spellEnd"/>
      <w:r w:rsidRPr="007C35B8">
        <w:t xml:space="preserve">, many of whom have failed to respond to conventional </w:t>
      </w:r>
      <w:r w:rsidRPr="00881FBB">
        <w:t>treatment</w:t>
      </w:r>
      <w:r w:rsidRPr="007C35B8">
        <w:t xml:space="preserve"> (DMARD [mainly MTX] and NSAID).</w:t>
      </w:r>
      <w:r w:rsidR="002B6593">
        <w:t xml:space="preserve"> </w:t>
      </w:r>
    </w:p>
    <w:p w:rsidR="007C35B8" w:rsidRPr="007C35B8" w:rsidRDefault="007C35B8" w:rsidP="00881FBB">
      <w:pPr>
        <w:pStyle w:val="ListBullet"/>
      </w:pPr>
      <w:r w:rsidRPr="007C35B8">
        <w:t xml:space="preserve">Clinically meaningful improvements </w:t>
      </w:r>
      <w:r w:rsidRPr="00881FBB">
        <w:t>in</w:t>
      </w:r>
      <w:r w:rsidRPr="007C35B8">
        <w:t xml:space="preserve"> the signs and symptoms of PS</w:t>
      </w:r>
      <w:r w:rsidR="0076069C">
        <w:t xml:space="preserve">OR (that is, </w:t>
      </w:r>
      <w:r w:rsidRPr="007C35B8">
        <w:t>PASI score changes), as w</w:t>
      </w:r>
      <w:r w:rsidR="0076069C">
        <w:t xml:space="preserve">ell as health related QOL (for example, </w:t>
      </w:r>
      <w:r w:rsidRPr="007C35B8">
        <w:t>DLQI scores) when given to patients with moderately to severely active PSOR who are candidates for systemic or phototherapy.</w:t>
      </w:r>
    </w:p>
    <w:p w:rsidR="007C35B8" w:rsidRPr="007C35B8" w:rsidRDefault="007C35B8" w:rsidP="00881FBB">
      <w:pPr>
        <w:pStyle w:val="ListBullet"/>
      </w:pPr>
      <w:r w:rsidRPr="007C35B8">
        <w:lastRenderedPageBreak/>
        <w:t xml:space="preserve">Provides an alternative therapy (different mechanism of action) to current drugs in patients </w:t>
      </w:r>
      <w:r w:rsidRPr="00881FBB">
        <w:t>with</w:t>
      </w:r>
      <w:r w:rsidRPr="007C35B8">
        <w:t xml:space="preserve"> active </w:t>
      </w:r>
      <w:proofErr w:type="spellStart"/>
      <w:r w:rsidRPr="007C35B8">
        <w:t>PsA</w:t>
      </w:r>
      <w:proofErr w:type="spellEnd"/>
      <w:r w:rsidRPr="007C35B8">
        <w:t xml:space="preserve"> or PSOR who have failed to respond to conventional treatment.</w:t>
      </w:r>
    </w:p>
    <w:p w:rsidR="007C35B8" w:rsidRPr="007C35B8" w:rsidRDefault="007C35B8" w:rsidP="00881FBB">
      <w:pPr>
        <w:pStyle w:val="ListBullet"/>
      </w:pPr>
      <w:r w:rsidRPr="007C35B8">
        <w:t>Convenient</w:t>
      </w:r>
      <w:r w:rsidR="008C12B3">
        <w:t xml:space="preserve"> </w:t>
      </w:r>
      <w:r w:rsidR="008C12B3" w:rsidRPr="00881FBB">
        <w:t>dosing</w:t>
      </w:r>
      <w:r w:rsidR="008C12B3">
        <w:t xml:space="preserve"> schedule (every 12 h</w:t>
      </w:r>
      <w:r w:rsidRPr="007C35B8">
        <w:t>) using a convenient mode of administration (oral therapy).</w:t>
      </w:r>
    </w:p>
    <w:p w:rsidR="00605AD4" w:rsidRPr="00605AD4" w:rsidRDefault="00605AD4" w:rsidP="00881FBB">
      <w:pPr>
        <w:pStyle w:val="Heading4"/>
      </w:pPr>
      <w:r w:rsidRPr="00605AD4">
        <w:t>First round assessment of risks</w:t>
      </w:r>
    </w:p>
    <w:p w:rsidR="007C35B8" w:rsidRDefault="007C35B8" w:rsidP="00881FBB">
      <w:r>
        <w:t>The risks of APR in the proposed usage are:</w:t>
      </w:r>
    </w:p>
    <w:p w:rsidR="007C35B8" w:rsidRDefault="007C35B8" w:rsidP="00881FBB">
      <w:pPr>
        <w:pStyle w:val="ListBullet"/>
      </w:pPr>
      <w:r>
        <w:t xml:space="preserve">Higher incidence of gastrointestinal adverse events such as nausea, vomiting and diarrhoea, which </w:t>
      </w:r>
      <w:r w:rsidRPr="00881FBB">
        <w:t>increase</w:t>
      </w:r>
      <w:r>
        <w:t xml:space="preserve"> in a dose dependent manner with APR. These were a common cause of drug discontinuation and typically occurred in the first 14 days after starting treatment.</w:t>
      </w:r>
    </w:p>
    <w:p w:rsidR="007C35B8" w:rsidRDefault="007C35B8" w:rsidP="00881FBB">
      <w:pPr>
        <w:pStyle w:val="ListBullet"/>
      </w:pPr>
      <w:r>
        <w:t xml:space="preserve">APR is associated with weight loss in a dose independent manner with approximately 10% of patients </w:t>
      </w:r>
      <w:r w:rsidRPr="00881FBB">
        <w:t>losing</w:t>
      </w:r>
      <w:r>
        <w:t xml:space="preserve"> between 5-10%</w:t>
      </w:r>
      <w:r w:rsidR="00881FBB">
        <w:t xml:space="preserve"> of their baseline body weight.</w:t>
      </w:r>
    </w:p>
    <w:p w:rsidR="007C35B8" w:rsidRDefault="007C35B8" w:rsidP="00881FBB">
      <w:pPr>
        <w:pStyle w:val="ListBullet"/>
      </w:pPr>
      <w:r>
        <w:t xml:space="preserve">Slightly increased incidence of depression or depressed mood compared to PBO treated subjects, which may result in treatment </w:t>
      </w:r>
      <w:r w:rsidRPr="00881FBB">
        <w:t>discontinuations</w:t>
      </w:r>
      <w:r w:rsidR="00881FBB">
        <w:t>.</w:t>
      </w:r>
    </w:p>
    <w:p w:rsidR="007C35B8" w:rsidRDefault="007C35B8" w:rsidP="00881FBB">
      <w:pPr>
        <w:pStyle w:val="ListBullet"/>
      </w:pPr>
      <w:r>
        <w:t>Possible signal of adverse effects on liver function tests with a higher frequency of APR treated subjects developing increases in serum transaminases compared with PBO.</w:t>
      </w:r>
    </w:p>
    <w:p w:rsidR="00605AD4" w:rsidRPr="00605AD4" w:rsidRDefault="00605AD4" w:rsidP="00881FBB">
      <w:pPr>
        <w:pStyle w:val="Heading4"/>
      </w:pPr>
      <w:r w:rsidRPr="00605AD4">
        <w:t>First round assessment of benefit-risk balance</w:t>
      </w:r>
    </w:p>
    <w:p w:rsidR="007C35B8" w:rsidRDefault="007C35B8" w:rsidP="00881FBB">
      <w:r>
        <w:t>The benefit-risk balance of APR</w:t>
      </w:r>
      <w:r w:rsidRPr="007974F6">
        <w:t xml:space="preserve"> </w:t>
      </w:r>
      <w:r>
        <w:t xml:space="preserve">for up to 52 weeks of treatment follow-up in the target populations of adult subjects with active </w:t>
      </w:r>
      <w:proofErr w:type="spellStart"/>
      <w:r>
        <w:t>PsA</w:t>
      </w:r>
      <w:proofErr w:type="spellEnd"/>
      <w:r>
        <w:t xml:space="preserve"> and PSOR is favourable.</w:t>
      </w:r>
    </w:p>
    <w:p w:rsidR="007C35B8" w:rsidRPr="00264100" w:rsidRDefault="007C35B8" w:rsidP="00881FBB">
      <w:pPr>
        <w:pStyle w:val="Heading5"/>
      </w:pPr>
      <w:proofErr w:type="spellStart"/>
      <w:r w:rsidRPr="00881FBB">
        <w:t>PsA</w:t>
      </w:r>
      <w:proofErr w:type="spellEnd"/>
      <w:r>
        <w:t xml:space="preserve"> i</w:t>
      </w:r>
      <w:r w:rsidRPr="00264100">
        <w:t>ndication</w:t>
      </w:r>
    </w:p>
    <w:p w:rsidR="007C35B8" w:rsidRDefault="007C35B8" w:rsidP="00881FBB">
      <w:r>
        <w:t xml:space="preserve">The overall benefit-risk assessment supports approval of APR for the treatment of active </w:t>
      </w:r>
      <w:proofErr w:type="spellStart"/>
      <w:r>
        <w:t>PsA</w:t>
      </w:r>
      <w:proofErr w:type="spellEnd"/>
      <w:r>
        <w:t xml:space="preserve"> in adult patients. The submitted data demonstrated consistent efficacy in favour of APR versus PBO in </w:t>
      </w:r>
      <w:proofErr w:type="spellStart"/>
      <w:r>
        <w:t>PsA.</w:t>
      </w:r>
      <w:proofErr w:type="spellEnd"/>
      <w:r>
        <w:t xml:space="preserve"> Of the 2 APR doses examined, the 30</w:t>
      </w:r>
      <w:r w:rsidR="00424AE5">
        <w:t xml:space="preserve"> </w:t>
      </w:r>
      <w:r>
        <w:t>mg twice daily regimen provided higher numerical responses compared with the 20</w:t>
      </w:r>
      <w:r w:rsidR="00424AE5">
        <w:t xml:space="preserve"> </w:t>
      </w:r>
      <w:r>
        <w:t>mg twice daily posology. The overall magnitude of the treatment effect size was modest compared to biologic therapies. The major safety findings identified in the program were gastrointestinal AEs and weight loss. Given the nature of the safety findings and the lack of a clear dose related AE profile (apart from gastrointestinal AEs), the 30</w:t>
      </w:r>
      <w:r w:rsidR="00424AE5">
        <w:t xml:space="preserve"> </w:t>
      </w:r>
      <w:r>
        <w:t xml:space="preserve">mg twice daily dose of APR is acceptable as the proposed dose regimen. Appropriately, the registration proposes an upward titration of APR during the first week of treatment, which was undertaken during the Phase </w:t>
      </w:r>
      <w:r w:rsidR="00424AE5">
        <w:t>III</w:t>
      </w:r>
      <w:r>
        <w:t xml:space="preserve"> studies and appears to lessen the incidence of gastrointestinal AEs.</w:t>
      </w:r>
    </w:p>
    <w:p w:rsidR="007C35B8" w:rsidRPr="00264100" w:rsidRDefault="007C35B8" w:rsidP="00881FBB">
      <w:pPr>
        <w:pStyle w:val="Heading5"/>
      </w:pPr>
      <w:r>
        <w:t xml:space="preserve">PSOR </w:t>
      </w:r>
      <w:r w:rsidRPr="00881FBB">
        <w:t>indication</w:t>
      </w:r>
    </w:p>
    <w:p w:rsidR="007C35B8" w:rsidRDefault="007C35B8" w:rsidP="00881FBB">
      <w:r>
        <w:t xml:space="preserve">The overall benefit-risk assessment supports approval of APR for the treatment of active PSOR in adult patients. The submitted data demonstrated consistent efficacy in a dose related manner for APR versus PBO. The overall magnitude of the treatment effect size was similar to other conventional systemic therapies. The major safety findings (type and incidence) recorded in patients with PSOR </w:t>
      </w:r>
      <w:proofErr w:type="gramStart"/>
      <w:r>
        <w:t>were</w:t>
      </w:r>
      <w:proofErr w:type="gramEnd"/>
      <w:r>
        <w:t xml:space="preserve"> similar to that observed in </w:t>
      </w:r>
      <w:proofErr w:type="spellStart"/>
      <w:r>
        <w:t>PsA</w:t>
      </w:r>
      <w:proofErr w:type="spellEnd"/>
      <w:r>
        <w:t xml:space="preserve"> subjects (mainly, gastrointestinal AEs and weight loss).</w:t>
      </w:r>
    </w:p>
    <w:p w:rsidR="00605AD4" w:rsidRPr="00605AD4" w:rsidRDefault="00605AD4" w:rsidP="00881FBB">
      <w:pPr>
        <w:pStyle w:val="Heading3"/>
        <w:rPr>
          <w:rFonts w:eastAsia="Cambria"/>
        </w:rPr>
      </w:pPr>
      <w:bookmarkStart w:id="117" w:name="_Toc436140484"/>
      <w:r w:rsidRPr="00605AD4">
        <w:rPr>
          <w:rFonts w:eastAsia="Cambria"/>
        </w:rPr>
        <w:lastRenderedPageBreak/>
        <w:t xml:space="preserve">First </w:t>
      </w:r>
      <w:r w:rsidR="00881FBB">
        <w:rPr>
          <w:rFonts w:eastAsia="Cambria"/>
        </w:rPr>
        <w:t>r</w:t>
      </w:r>
      <w:r w:rsidRPr="00605AD4">
        <w:rPr>
          <w:rFonts w:eastAsia="Cambria"/>
        </w:rPr>
        <w:t xml:space="preserve">ound </w:t>
      </w:r>
      <w:r w:rsidR="00881FBB">
        <w:rPr>
          <w:rFonts w:eastAsia="Cambria"/>
        </w:rPr>
        <w:t>r</w:t>
      </w:r>
      <w:r w:rsidRPr="00605AD4">
        <w:rPr>
          <w:rFonts w:eastAsia="Cambria"/>
        </w:rPr>
        <w:t xml:space="preserve">ecommendation </w:t>
      </w:r>
      <w:r w:rsidR="00881FBB">
        <w:rPr>
          <w:rFonts w:eastAsia="Cambria"/>
        </w:rPr>
        <w:t>r</w:t>
      </w:r>
      <w:r w:rsidRPr="00605AD4">
        <w:rPr>
          <w:rFonts w:eastAsia="Cambria"/>
        </w:rPr>
        <w:t xml:space="preserve">egarding </w:t>
      </w:r>
      <w:r w:rsidR="00881FBB" w:rsidRPr="00881FBB">
        <w:rPr>
          <w:rFonts w:eastAsia="Cambria"/>
        </w:rPr>
        <w:t>a</w:t>
      </w:r>
      <w:r w:rsidRPr="00881FBB">
        <w:rPr>
          <w:rFonts w:eastAsia="Cambria"/>
        </w:rPr>
        <w:t>uthorisation</w:t>
      </w:r>
      <w:bookmarkEnd w:id="117"/>
    </w:p>
    <w:p w:rsidR="00E21718" w:rsidRPr="00264100" w:rsidRDefault="00E21718" w:rsidP="00881FBB">
      <w:pPr>
        <w:pStyle w:val="Heading4"/>
      </w:pPr>
      <w:proofErr w:type="spellStart"/>
      <w:r w:rsidRPr="00264100">
        <w:t>PsA</w:t>
      </w:r>
      <w:proofErr w:type="spellEnd"/>
      <w:r w:rsidRPr="00264100">
        <w:t xml:space="preserve"> </w:t>
      </w:r>
      <w:r w:rsidR="00881FBB" w:rsidRPr="00881FBB">
        <w:t>i</w:t>
      </w:r>
      <w:r w:rsidRPr="00881FBB">
        <w:t>ndication</w:t>
      </w:r>
    </w:p>
    <w:p w:rsidR="00E21718" w:rsidRDefault="00E21718" w:rsidP="00881FBB">
      <w:r>
        <w:t xml:space="preserve">The evaluator recommends acceptance of the sponsor’s proposed registration of APR for the treatment indication of active </w:t>
      </w:r>
      <w:proofErr w:type="spellStart"/>
      <w:r>
        <w:t>PsA</w:t>
      </w:r>
      <w:proofErr w:type="spellEnd"/>
      <w:r>
        <w:t xml:space="preserve"> in adult patients. Approximately hal</w:t>
      </w:r>
      <w:r w:rsidR="00492DEC">
        <w:t>f of all subjects in the Phase III</w:t>
      </w:r>
      <w:r>
        <w:t xml:space="preserve"> </w:t>
      </w:r>
      <w:proofErr w:type="spellStart"/>
      <w:r>
        <w:t>PsA</w:t>
      </w:r>
      <w:proofErr w:type="spellEnd"/>
      <w:r>
        <w:t xml:space="preserve"> studies took MTX concurrently with APR, and the beneficial clinical responses in those not taking concomitant DMARD (usually MTX) were similar. The sponsor has not proposed in the treatment indication the use of APR in patients </w:t>
      </w:r>
      <w:r w:rsidR="00A66861">
        <w:t xml:space="preserve">with </w:t>
      </w:r>
      <w:proofErr w:type="spellStart"/>
      <w:r w:rsidR="00A66861">
        <w:t>PsA</w:t>
      </w:r>
      <w:proofErr w:type="spellEnd"/>
      <w:r w:rsidR="00A66861">
        <w:t xml:space="preserve"> with or without DMARD. M</w:t>
      </w:r>
      <w:r w:rsidR="00492DEC">
        <w:t>ost of the Phase III</w:t>
      </w:r>
      <w:r>
        <w:t xml:space="preserve"> studies recruited subjects with active </w:t>
      </w:r>
      <w:proofErr w:type="spellStart"/>
      <w:r>
        <w:t>PsA</w:t>
      </w:r>
      <w:proofErr w:type="spellEnd"/>
      <w:r>
        <w:t xml:space="preserve"> who had failed to adequately respond to conventional treatment (DMARD [mainly MTX] and/or NSAID), but did include a subset of patients with prior biologic therapy exposure (mainly, anti</w:t>
      </w:r>
      <w:r w:rsidR="00492DEC">
        <w:t xml:space="preserve"> </w:t>
      </w:r>
      <w:r>
        <w:t>TNF medicines). Regarding posology, e</w:t>
      </w:r>
      <w:r w:rsidR="00492DEC">
        <w:t>fficacy results from the Phase III</w:t>
      </w:r>
      <w:r>
        <w:t xml:space="preserve"> program generally supported a greater numerical advantage for the APR 30</w:t>
      </w:r>
      <w:r w:rsidR="00492DEC">
        <w:t xml:space="preserve"> </w:t>
      </w:r>
      <w:r>
        <w:t>mg twice daily regimen compared to the APR 20</w:t>
      </w:r>
      <w:r w:rsidR="00492DEC">
        <w:t xml:space="preserve"> </w:t>
      </w:r>
      <w:r>
        <w:t>mg twice daily posology, but there were limited statistically significant analyses to support the conclusion that APR 30</w:t>
      </w:r>
      <w:r w:rsidR="00492DEC">
        <w:t xml:space="preserve"> </w:t>
      </w:r>
      <w:r>
        <w:t>mg twice daily was superior to APR 20</w:t>
      </w:r>
      <w:r w:rsidR="00492DEC">
        <w:t xml:space="preserve"> </w:t>
      </w:r>
      <w:r>
        <w:t>mg twice daily. Apart from gastrointestinal AEs (usually of mild-moderate severity and seen at the commencement of therapy), safety was similar in both AP</w:t>
      </w:r>
      <w:r w:rsidR="00492DEC">
        <w:t>R treatment regimens. As such, the evaluator</w:t>
      </w:r>
      <w:r>
        <w:t xml:space="preserve"> recommend</w:t>
      </w:r>
      <w:r w:rsidR="00492DEC">
        <w:t>s</w:t>
      </w:r>
      <w:r>
        <w:t xml:space="preserve"> acceptance of the sponsor’s proposed registration of the 30</w:t>
      </w:r>
      <w:r w:rsidR="00492DEC">
        <w:t xml:space="preserve"> </w:t>
      </w:r>
      <w:r>
        <w:t xml:space="preserve">mg twice daily regimen for adult patients with active </w:t>
      </w:r>
      <w:proofErr w:type="spellStart"/>
      <w:r>
        <w:t>PsA.</w:t>
      </w:r>
      <w:proofErr w:type="spellEnd"/>
    </w:p>
    <w:p w:rsidR="00E21718" w:rsidRPr="00264100" w:rsidRDefault="00881FBB" w:rsidP="00881FBB">
      <w:pPr>
        <w:pStyle w:val="Heading4"/>
      </w:pPr>
      <w:r>
        <w:t xml:space="preserve">PSOR </w:t>
      </w:r>
      <w:r w:rsidRPr="00881FBB">
        <w:t>i</w:t>
      </w:r>
      <w:r w:rsidR="00E21718" w:rsidRPr="00881FBB">
        <w:t>ndication</w:t>
      </w:r>
    </w:p>
    <w:p w:rsidR="00E21718" w:rsidRDefault="00E21718" w:rsidP="00881FBB">
      <w:r>
        <w:t>The evaluator also recommends acceptance of the sponsor’s proposed registration of APR for the treatment indication of active PSOR in adult patients. The proposed wording of treatment indication in patients with PSOR has an additional element relating to potential patients being candidates for systemic or phototherapy. The current submission provides robust evidence of improving the symptoms and signs of active PSOR, as well as health related QOL. Regarding posology in PSOR, only the 30</w:t>
      </w:r>
      <w:r w:rsidR="00492DEC">
        <w:t xml:space="preserve"> </w:t>
      </w:r>
      <w:r>
        <w:t>mg twice daily dose of APR</w:t>
      </w:r>
      <w:r w:rsidR="00492DEC">
        <w:t xml:space="preserve"> was investigated in the Phase III</w:t>
      </w:r>
      <w:r>
        <w:t xml:space="preserve"> program. In addition, the dose finding trial (Study PSOR-005) demonstrated a clear dose response relationship for APR, which supported the advantage of the 30</w:t>
      </w:r>
      <w:r w:rsidR="00492DEC">
        <w:t xml:space="preserve"> </w:t>
      </w:r>
      <w:r>
        <w:t>mg twice daily regimen compared to the APR 20</w:t>
      </w:r>
      <w:r w:rsidR="00492DEC">
        <w:t xml:space="preserve"> </w:t>
      </w:r>
      <w:r>
        <w:t xml:space="preserve">mg twice daily dose in treating adult patients with active PSOR. </w:t>
      </w:r>
    </w:p>
    <w:p w:rsidR="00E21718" w:rsidRPr="003F1EF9" w:rsidRDefault="00492DEC" w:rsidP="00881FBB">
      <w:pPr>
        <w:pStyle w:val="Heading4"/>
      </w:pPr>
      <w:r>
        <w:t xml:space="preserve">Both </w:t>
      </w:r>
      <w:r w:rsidRPr="00881FBB">
        <w:t>i</w:t>
      </w:r>
      <w:r w:rsidR="00E21718" w:rsidRPr="00881FBB">
        <w:t>ndications</w:t>
      </w:r>
    </w:p>
    <w:p w:rsidR="00E21718" w:rsidRDefault="00E21718" w:rsidP="00881FBB">
      <w:r>
        <w:t xml:space="preserve">Should approval of the sponsor’s proposed registration of treatment indications be granted, the evaluator also recommends that approval be subject </w:t>
      </w:r>
      <w:proofErr w:type="gramStart"/>
      <w:r>
        <w:t>to:</w:t>
      </w:r>
      <w:proofErr w:type="gramEnd"/>
    </w:p>
    <w:p w:rsidR="00E21718" w:rsidRPr="00E21718" w:rsidRDefault="00E21718" w:rsidP="00881FBB">
      <w:pPr>
        <w:pStyle w:val="ListBullet"/>
      </w:pPr>
      <w:r w:rsidRPr="00E21718">
        <w:t xml:space="preserve">Satisfactory response </w:t>
      </w:r>
      <w:r w:rsidRPr="00881FBB">
        <w:t>to</w:t>
      </w:r>
      <w:r w:rsidRPr="00E21718">
        <w:t xml:space="preserve"> the questions</w:t>
      </w:r>
      <w:r w:rsidR="00C05632">
        <w:t xml:space="preserve"> below;</w:t>
      </w:r>
      <w:r w:rsidRPr="00E21718">
        <w:t xml:space="preserve"> </w:t>
      </w:r>
    </w:p>
    <w:p w:rsidR="00E21718" w:rsidRPr="00E21718" w:rsidRDefault="00E21718" w:rsidP="00881FBB">
      <w:pPr>
        <w:pStyle w:val="ListBullet"/>
      </w:pPr>
      <w:r w:rsidRPr="00E21718">
        <w:t xml:space="preserve">Regular </w:t>
      </w:r>
      <w:r w:rsidR="00C05632">
        <w:t xml:space="preserve">periodic safety </w:t>
      </w:r>
      <w:r w:rsidR="00C05632" w:rsidRPr="00881FBB">
        <w:t>update</w:t>
      </w:r>
      <w:r w:rsidR="00C05632">
        <w:t xml:space="preserve"> reports; </w:t>
      </w:r>
      <w:r w:rsidRPr="00E21718">
        <w:t>and</w:t>
      </w:r>
      <w:r w:rsidR="002B6593">
        <w:t xml:space="preserve"> </w:t>
      </w:r>
    </w:p>
    <w:p w:rsidR="00E21718" w:rsidRPr="00E21718" w:rsidRDefault="00E21718" w:rsidP="00881FBB">
      <w:pPr>
        <w:pStyle w:val="ListBullet"/>
      </w:pPr>
      <w:r w:rsidRPr="00E21718">
        <w:t xml:space="preserve">When available, the </w:t>
      </w:r>
      <w:r w:rsidRPr="00881FBB">
        <w:t>sponsor</w:t>
      </w:r>
      <w:r w:rsidRPr="00E21718">
        <w:t xml:space="preserve"> provides the TGA with the final clinical study reports for the extension phases of each study, as well as the </w:t>
      </w:r>
      <w:r w:rsidR="00492DEC">
        <w:t>W</w:t>
      </w:r>
      <w:r w:rsidRPr="00E21718">
        <w:t>eek 52 report for Study PSA-005.</w:t>
      </w:r>
    </w:p>
    <w:p w:rsidR="00605AD4" w:rsidRPr="00605AD4" w:rsidRDefault="00605AD4" w:rsidP="00881FBB">
      <w:pPr>
        <w:pStyle w:val="Heading3"/>
        <w:rPr>
          <w:rFonts w:eastAsia="Cambria"/>
        </w:rPr>
      </w:pPr>
      <w:bookmarkStart w:id="118" w:name="_Toc436140485"/>
      <w:r w:rsidRPr="00605AD4">
        <w:rPr>
          <w:rFonts w:eastAsia="Cambria"/>
        </w:rPr>
        <w:t xml:space="preserve">Clinical </w:t>
      </w:r>
      <w:r w:rsidR="00881FBB" w:rsidRPr="00881FBB">
        <w:rPr>
          <w:rFonts w:eastAsia="Cambria"/>
        </w:rPr>
        <w:t>q</w:t>
      </w:r>
      <w:r w:rsidRPr="00881FBB">
        <w:rPr>
          <w:rFonts w:eastAsia="Cambria"/>
        </w:rPr>
        <w:t>uestions</w:t>
      </w:r>
      <w:bookmarkEnd w:id="118"/>
    </w:p>
    <w:p w:rsidR="00612A98" w:rsidRPr="00016DAB" w:rsidRDefault="00612A98" w:rsidP="00881FBB">
      <w:r>
        <w:t xml:space="preserve">Below are the questions from the clinical evaluator. </w:t>
      </w:r>
      <w:r w:rsidRPr="00016DAB">
        <w:t>For details of the sponsor’s responses and the evaluator’s comments on the sponsor’s responses</w:t>
      </w:r>
      <w:r>
        <w:t>,</w:t>
      </w:r>
      <w:r w:rsidRPr="00016DAB">
        <w:t xml:space="preserve"> see Attachment 2</w:t>
      </w:r>
      <w:r>
        <w:t xml:space="preserve"> of this AusPAR.</w:t>
      </w:r>
    </w:p>
    <w:p w:rsidR="00174636" w:rsidRPr="00A379D6" w:rsidRDefault="00174636" w:rsidP="00881FBB">
      <w:pPr>
        <w:pStyle w:val="Heading4"/>
      </w:pPr>
      <w:bookmarkStart w:id="119" w:name="_Toc272414702"/>
      <w:bookmarkStart w:id="120" w:name="_Toc290846342"/>
      <w:bookmarkStart w:id="121" w:name="_Toc396481354"/>
      <w:r w:rsidRPr="00881FBB">
        <w:t>Pharmacokinetics</w:t>
      </w:r>
      <w:bookmarkEnd w:id="119"/>
      <w:bookmarkEnd w:id="120"/>
      <w:bookmarkEnd w:id="121"/>
    </w:p>
    <w:p w:rsidR="00174636" w:rsidRDefault="002B6593" w:rsidP="00881FBB">
      <w:pPr>
        <w:pStyle w:val="ListBullet"/>
      </w:pPr>
      <w:r>
        <w:t>APR</w:t>
      </w:r>
      <w:r w:rsidR="00174636">
        <w:t xml:space="preserve"> is primarily eliminated as </w:t>
      </w:r>
      <w:r w:rsidR="00174636" w:rsidRPr="00881FBB">
        <w:t>metabolites</w:t>
      </w:r>
      <w:r w:rsidR="00174636">
        <w:t xml:space="preserve"> </w:t>
      </w:r>
      <w:r w:rsidR="007E7DE6">
        <w:t xml:space="preserve">formed by cytochrome P450 (CYP) </w:t>
      </w:r>
      <w:r w:rsidR="00174636">
        <w:t>mediated oxidative metabolism via CYP3A4, 1A2 and 2A6 enzymes. Could the sponsor comment on whether there has been any evaluation of the consequences of genetic polymorphism in these CYP enzymes, and if not, are there any potential clinical consequences?</w:t>
      </w:r>
    </w:p>
    <w:p w:rsidR="00174636" w:rsidRDefault="00174636" w:rsidP="00881FBB">
      <w:pPr>
        <w:pStyle w:val="ListBullet"/>
      </w:pPr>
      <w:r>
        <w:t xml:space="preserve">None of the clinical pharmacology studies in this submission appear to have evaluated the effect of administration timing on the bioavailability and pharmacokinetic parameters of </w:t>
      </w:r>
      <w:r w:rsidR="002B6593">
        <w:t>APR</w:t>
      </w:r>
      <w:r>
        <w:t xml:space="preserve">. Could the sponsor comment on whether diurnal variation in </w:t>
      </w:r>
      <w:r w:rsidR="002B6593">
        <w:t>APR</w:t>
      </w:r>
      <w:r>
        <w:t xml:space="preserve"> pharmacokinetic parameters has been examined and any potential impact? </w:t>
      </w:r>
    </w:p>
    <w:p w:rsidR="00174636" w:rsidRDefault="00174636" w:rsidP="00881FBB">
      <w:pPr>
        <w:pStyle w:val="ListBullet"/>
      </w:pPr>
      <w:r>
        <w:t xml:space="preserve">Could the sponsor provide a summary assessment of the intra-subject and inter-subject variability for the pharmacokinetics of </w:t>
      </w:r>
      <w:r w:rsidR="002B6593">
        <w:t>APR</w:t>
      </w:r>
      <w:r>
        <w:t>, and comment on whether or not such variability may be clinically relevant?</w:t>
      </w:r>
    </w:p>
    <w:p w:rsidR="00174636" w:rsidRDefault="00174636" w:rsidP="00881FBB">
      <w:pPr>
        <w:pStyle w:val="ListBullet"/>
      </w:pPr>
      <w:r>
        <w:t xml:space="preserve">Could the sponsor justify </w:t>
      </w:r>
      <w:r w:rsidRPr="00881FBB">
        <w:t>how</w:t>
      </w:r>
      <w:r w:rsidR="007E7DE6">
        <w:t xml:space="preserve"> the pre </w:t>
      </w:r>
      <w:r w:rsidRPr="00095345">
        <w:t>specified</w:t>
      </w:r>
      <w:r>
        <w:t xml:space="preserve">, clinically relevant 90% CI bioequivalence </w:t>
      </w:r>
      <w:r w:rsidRPr="00881FBB">
        <w:t>margin</w:t>
      </w:r>
      <w:r>
        <w:t xml:space="preserve"> of </w:t>
      </w:r>
      <w:r w:rsidRPr="00095345">
        <w:t>5</w:t>
      </w:r>
      <w:r>
        <w:t xml:space="preserve">0% to 200% for pharmacokinetic parameters </w:t>
      </w:r>
      <w:r w:rsidRPr="00095345">
        <w:t xml:space="preserve">in Study </w:t>
      </w:r>
      <w:r>
        <w:t>CP-025</w:t>
      </w:r>
      <w:r w:rsidRPr="00095345">
        <w:t xml:space="preserve"> was </w:t>
      </w:r>
      <w:r>
        <w:t>determined as</w:t>
      </w:r>
      <w:r w:rsidRPr="00095345">
        <w:t xml:space="preserve"> </w:t>
      </w:r>
      <w:r>
        <w:t>t</w:t>
      </w:r>
      <w:r w:rsidRPr="00095345">
        <w:t>h</w:t>
      </w:r>
      <w:r>
        <w:t>i</w:t>
      </w:r>
      <w:r w:rsidRPr="00095345">
        <w:t>s appear</w:t>
      </w:r>
      <w:r>
        <w:t>s</w:t>
      </w:r>
      <w:r w:rsidRPr="00095345">
        <w:t xml:space="preserve"> to be overly generous</w:t>
      </w:r>
      <w:r>
        <w:t>?</w:t>
      </w:r>
    </w:p>
    <w:p w:rsidR="00174636" w:rsidRPr="00A379D6" w:rsidRDefault="00174636" w:rsidP="00881FBB">
      <w:pPr>
        <w:pStyle w:val="Heading4"/>
      </w:pPr>
      <w:bookmarkStart w:id="122" w:name="_Toc272414703"/>
      <w:bookmarkStart w:id="123" w:name="_Toc290846343"/>
      <w:bookmarkStart w:id="124" w:name="_Toc396481355"/>
      <w:r w:rsidRPr="00881FBB">
        <w:t>Pharmacodynamics</w:t>
      </w:r>
      <w:bookmarkEnd w:id="122"/>
      <w:bookmarkEnd w:id="123"/>
      <w:bookmarkEnd w:id="124"/>
    </w:p>
    <w:p w:rsidR="00174636" w:rsidRPr="00A379D6" w:rsidRDefault="00174636" w:rsidP="00881FBB">
      <w:r>
        <w:t>Nil</w:t>
      </w:r>
    </w:p>
    <w:p w:rsidR="00174636" w:rsidRPr="00A379D6" w:rsidRDefault="00174636" w:rsidP="00881FBB">
      <w:pPr>
        <w:pStyle w:val="Heading4"/>
      </w:pPr>
      <w:bookmarkStart w:id="125" w:name="_Toc272414704"/>
      <w:bookmarkStart w:id="126" w:name="_Toc290846344"/>
      <w:bookmarkStart w:id="127" w:name="_Toc396481356"/>
      <w:r w:rsidRPr="00881FBB">
        <w:t>Efficacy</w:t>
      </w:r>
      <w:bookmarkEnd w:id="125"/>
      <w:bookmarkEnd w:id="126"/>
      <w:bookmarkEnd w:id="127"/>
    </w:p>
    <w:p w:rsidR="00174636" w:rsidRDefault="007E7DE6" w:rsidP="00881FBB">
      <w:pPr>
        <w:pStyle w:val="ListBullet"/>
      </w:pPr>
      <w:r>
        <w:t xml:space="preserve">Subjects with a body weight of ≥ </w:t>
      </w:r>
      <w:r w:rsidR="00174636">
        <w:t xml:space="preserve">100 kg appear to have a higher clearance and larger volume of distribution for </w:t>
      </w:r>
      <w:r w:rsidR="002B6593">
        <w:t>APR</w:t>
      </w:r>
      <w:r w:rsidR="00174636">
        <w:t xml:space="preserve">, and the clinical pharmacology studies suggested that this may not be of clinical significance. However, in the subgroup analyses of Study PSA-005 for the primary efficacy endpoint, </w:t>
      </w:r>
      <w:r w:rsidR="002B6593">
        <w:t>APR</w:t>
      </w:r>
      <w:r w:rsidR="00174636">
        <w:t xml:space="preserve"> did not appear to result in a significant treatment related effect for patients weighing </w:t>
      </w:r>
      <w:r w:rsidR="00CD60D6">
        <w:t>≥ 100 kg</w:t>
      </w:r>
      <w:r w:rsidR="00174636">
        <w:t xml:space="preserve">. Could the sponsor comment on the impact of subject obesity upon clinical efficacy with </w:t>
      </w:r>
      <w:r w:rsidR="002B6593">
        <w:t>APR</w:t>
      </w:r>
      <w:r w:rsidR="00881FBB">
        <w:t>?</w:t>
      </w:r>
    </w:p>
    <w:p w:rsidR="00174636" w:rsidRPr="00A379D6" w:rsidRDefault="00174636" w:rsidP="00881FBB">
      <w:pPr>
        <w:pStyle w:val="ListBullet"/>
      </w:pPr>
      <w:r>
        <w:t xml:space="preserve">In Study PSOR-005, the majority of subjects who entered the first extension phase completed follow-up to </w:t>
      </w:r>
      <w:r w:rsidR="003650B7">
        <w:t>W</w:t>
      </w:r>
      <w:r>
        <w:t>eek 52 (74.6%; 156/209). However, only a small number of patients (n</w:t>
      </w:r>
      <w:r w:rsidR="003650B7">
        <w:t xml:space="preserve"> </w:t>
      </w:r>
      <w:r>
        <w:t>=</w:t>
      </w:r>
      <w:r w:rsidR="003650B7">
        <w:t xml:space="preserve"> </w:t>
      </w:r>
      <w:r>
        <w:t>33) entered the long</w:t>
      </w:r>
      <w:r w:rsidR="003650B7">
        <w:t xml:space="preserve"> </w:t>
      </w:r>
      <w:r>
        <w:t xml:space="preserve">term extension phase (beyond </w:t>
      </w:r>
      <w:r w:rsidR="003650B7">
        <w:t>W</w:t>
      </w:r>
      <w:r>
        <w:t xml:space="preserve">eek 52), 28 of which are still continuing at </w:t>
      </w:r>
      <w:r w:rsidR="003650B7">
        <w:t>W</w:t>
      </w:r>
      <w:r>
        <w:t xml:space="preserve">eek 88. Could the sponsor comment as to why participating patient numbers decreased significantly after </w:t>
      </w:r>
      <w:r w:rsidR="003650B7">
        <w:t>W</w:t>
      </w:r>
      <w:r>
        <w:t>eek 52. Was the reduced participation beyond 52 weeks due to waning efficacy, adver</w:t>
      </w:r>
      <w:r w:rsidR="00881FBB">
        <w:t>se events or some other reason?</w:t>
      </w:r>
    </w:p>
    <w:p w:rsidR="00174636" w:rsidRPr="00A379D6" w:rsidRDefault="00174636" w:rsidP="00881FBB">
      <w:pPr>
        <w:pStyle w:val="Heading4"/>
      </w:pPr>
      <w:bookmarkStart w:id="128" w:name="_Toc272414705"/>
      <w:bookmarkStart w:id="129" w:name="_Toc290846345"/>
      <w:bookmarkStart w:id="130" w:name="_Toc396481357"/>
      <w:r w:rsidRPr="00881FBB">
        <w:t>Safety</w:t>
      </w:r>
      <w:bookmarkEnd w:id="128"/>
      <w:bookmarkEnd w:id="129"/>
      <w:bookmarkEnd w:id="130"/>
    </w:p>
    <w:p w:rsidR="00174636" w:rsidRDefault="00174636" w:rsidP="00881FBB">
      <w:pPr>
        <w:pStyle w:val="ListBullet"/>
      </w:pPr>
      <w:r>
        <w:t xml:space="preserve">As </w:t>
      </w:r>
      <w:r w:rsidR="002B6593">
        <w:t>APR</w:t>
      </w:r>
      <w:r>
        <w:t xml:space="preserve"> is known to affect various cytokines in the inflammatory response, has the sponsor performed any vaccine sub-studies in patients with </w:t>
      </w:r>
      <w:proofErr w:type="spellStart"/>
      <w:r w:rsidR="00852871">
        <w:t>PsA</w:t>
      </w:r>
      <w:proofErr w:type="spellEnd"/>
      <w:r>
        <w:t xml:space="preserve"> or </w:t>
      </w:r>
      <w:r w:rsidR="00204432">
        <w:t>PSOR</w:t>
      </w:r>
      <w:r>
        <w:t xml:space="preserve"> to determine the effect of Otezla on protective immune status?</w:t>
      </w:r>
    </w:p>
    <w:p w:rsidR="00174636" w:rsidRDefault="00174636" w:rsidP="00881FBB">
      <w:pPr>
        <w:pStyle w:val="ListBullet"/>
      </w:pPr>
      <w:r>
        <w:t>For the adjudicated safety concerns of special interest (MACE, serious infection and mali</w:t>
      </w:r>
      <w:r w:rsidR="003650B7">
        <w:t>gnancy) in the completed Phase II and III</w:t>
      </w:r>
      <w:r>
        <w:t xml:space="preserve"> studies (for any treatment indication), could the sponsor provide the relative risks and upper limit of the 95% confidence limit for relative risk, in addition to the point estimates (EAIR) which have currently been provided for </w:t>
      </w:r>
      <w:r w:rsidR="002B6593">
        <w:t>APR</w:t>
      </w:r>
      <w:r>
        <w:t xml:space="preserve"> versus </w:t>
      </w:r>
      <w:r w:rsidR="0011514D">
        <w:t>PBO</w:t>
      </w:r>
      <w:r w:rsidR="00881FBB">
        <w:t>?</w:t>
      </w:r>
    </w:p>
    <w:p w:rsidR="007162EB" w:rsidRDefault="007162EB" w:rsidP="00881FBB">
      <w:pPr>
        <w:pStyle w:val="Heading3"/>
      </w:pPr>
      <w:bookmarkStart w:id="131" w:name="_Toc436140486"/>
      <w:r>
        <w:t xml:space="preserve">Population </w:t>
      </w:r>
      <w:r w:rsidR="00881FBB" w:rsidRPr="00881FBB">
        <w:t>p</w:t>
      </w:r>
      <w:r w:rsidRPr="00881FBB">
        <w:t>harmacokinetics</w:t>
      </w:r>
      <w:bookmarkEnd w:id="131"/>
    </w:p>
    <w:p w:rsidR="007162EB" w:rsidRDefault="009461B9" w:rsidP="00881FBB">
      <w:r>
        <w:t>Table 10</w:t>
      </w:r>
      <w:r w:rsidR="00625854">
        <w:t xml:space="preserve"> shows s</w:t>
      </w:r>
      <w:r w:rsidR="00625854" w:rsidRPr="00625854">
        <w:t xml:space="preserve">tudies providing </w:t>
      </w:r>
      <w:r w:rsidR="002544C2">
        <w:t xml:space="preserve">pharmacokinetic/pharmacodynamic (PK/PD) </w:t>
      </w:r>
      <w:r w:rsidR="00625854" w:rsidRPr="00625854">
        <w:t>data</w:t>
      </w:r>
      <w:r w:rsidR="004E5274">
        <w:t>.</w:t>
      </w:r>
    </w:p>
    <w:p w:rsidR="00625854" w:rsidRDefault="009461B9" w:rsidP="00881FBB">
      <w:pPr>
        <w:pStyle w:val="TableTitle"/>
      </w:pPr>
      <w:proofErr w:type="gramStart"/>
      <w:r>
        <w:t>Table 10</w:t>
      </w:r>
      <w:r w:rsidR="00625854">
        <w:t>:</w:t>
      </w:r>
      <w:r w:rsidR="00625854" w:rsidRPr="004C5C28">
        <w:t xml:space="preserve"> </w:t>
      </w:r>
      <w:r w:rsidR="00625854" w:rsidRPr="00625854">
        <w:t xml:space="preserve">Studies </w:t>
      </w:r>
      <w:r w:rsidR="00625854" w:rsidRPr="00881FBB">
        <w:t>providing</w:t>
      </w:r>
      <w:r w:rsidR="00625854" w:rsidRPr="00625854">
        <w:t xml:space="preserve"> PK/PD data</w:t>
      </w:r>
      <w:r w:rsidR="00625854">
        <w:t>.</w:t>
      </w:r>
      <w:proofErr w:type="gramEnd"/>
    </w:p>
    <w:p w:rsidR="00625854" w:rsidRDefault="00D95A73" w:rsidP="00881FBB">
      <w:r>
        <w:rPr>
          <w:noProof/>
          <w:lang w:eastAsia="en-AU"/>
        </w:rPr>
        <w:drawing>
          <wp:inline distT="0" distB="0" distL="0" distR="0" wp14:anchorId="06FB49A3" wp14:editId="7144B007">
            <wp:extent cx="4673440" cy="3780693"/>
            <wp:effectExtent l="0" t="0" r="0" b="0"/>
            <wp:docPr id="19" name="Picture 19" descr="Table 10: Studies providing PK/PD data." title="Table 10: Studies providing PK/P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71779" cy="3779350"/>
                    </a:xfrm>
                    <a:prstGeom prst="rect">
                      <a:avLst/>
                    </a:prstGeom>
                  </pic:spPr>
                </pic:pic>
              </a:graphicData>
            </a:graphic>
          </wp:inline>
        </w:drawing>
      </w:r>
    </w:p>
    <w:p w:rsidR="00F36A4A" w:rsidRPr="00F36A4A" w:rsidRDefault="00F36A4A" w:rsidP="00881FBB">
      <w:pPr>
        <w:pStyle w:val="Heading4"/>
      </w:pPr>
      <w:bookmarkStart w:id="132" w:name="_Toc330714170"/>
      <w:bookmarkStart w:id="133" w:name="_Toc407187410"/>
      <w:r w:rsidRPr="00F36A4A">
        <w:t xml:space="preserve">Evaluator’s overall conclusions on the </w:t>
      </w:r>
      <w:r w:rsidRPr="00881FBB">
        <w:t>population</w:t>
      </w:r>
      <w:r w:rsidRPr="00F36A4A">
        <w:t xml:space="preserve"> pharmacokinetic</w:t>
      </w:r>
      <w:bookmarkEnd w:id="132"/>
      <w:r w:rsidRPr="00F36A4A">
        <w:t xml:space="preserve"> analysis</w:t>
      </w:r>
      <w:bookmarkEnd w:id="133"/>
    </w:p>
    <w:p w:rsidR="00F36A4A" w:rsidRPr="00F36A4A" w:rsidRDefault="00F36A4A" w:rsidP="00881FBB">
      <w:r w:rsidRPr="00F36A4A">
        <w:t xml:space="preserve">The modelling processes were conducted and </w:t>
      </w:r>
      <w:r w:rsidR="006E0AA5">
        <w:t>reported in accordance with published guidelines.</w:t>
      </w:r>
      <w:r w:rsidR="007E7371">
        <w:rPr>
          <w:rStyle w:val="FootnoteReference"/>
        </w:rPr>
        <w:footnoteReference w:id="27"/>
      </w:r>
      <w:r w:rsidR="00052F92">
        <w:t xml:space="preserve"> </w:t>
      </w:r>
      <w:r w:rsidRPr="00F36A4A">
        <w:t xml:space="preserve">However, in the opinion of the </w:t>
      </w:r>
      <w:r w:rsidR="00052F92">
        <w:t>e</w:t>
      </w:r>
      <w:r w:rsidRPr="00F36A4A">
        <w:t>valuator, within this guideline there is considerable latitude in methodology an</w:t>
      </w:r>
      <w:r w:rsidR="00881FBB">
        <w:t>d in interpretation of results.</w:t>
      </w:r>
    </w:p>
    <w:p w:rsidR="00F36A4A" w:rsidRPr="00F36A4A" w:rsidRDefault="00F36A4A" w:rsidP="00881FBB">
      <w:r w:rsidRPr="00F36A4A">
        <w:t>The base structural model was similar for all five studies and was confirme</w:t>
      </w:r>
      <w:r w:rsidR="00B10E54">
        <w:t xml:space="preserve">d by the external validations. </w:t>
      </w:r>
      <w:r w:rsidRPr="00F36A4A">
        <w:t xml:space="preserve">The error model used by the </w:t>
      </w:r>
      <w:r w:rsidR="00B10E54">
        <w:t>s</w:t>
      </w:r>
      <w:r w:rsidRPr="00F36A4A">
        <w:t xml:space="preserve">ponsor differed from the external validations in that the </w:t>
      </w:r>
      <w:r w:rsidR="00BA39C8">
        <w:t>s</w:t>
      </w:r>
      <w:r w:rsidRPr="00F36A4A">
        <w:t>ponsor</w:t>
      </w:r>
      <w:r w:rsidR="00B10E54">
        <w:t xml:space="preserve"> did not estimate </w:t>
      </w:r>
      <w:r w:rsidR="00014E33" w:rsidRPr="00014E33">
        <w:t xml:space="preserve">Between Subject Variability </w:t>
      </w:r>
      <w:r w:rsidR="00014E33">
        <w:t>(</w:t>
      </w:r>
      <w:r w:rsidR="00B10E54">
        <w:t>BSV</w:t>
      </w:r>
      <w:r w:rsidR="00014E33">
        <w:t>)</w:t>
      </w:r>
      <w:r w:rsidR="00B10E54">
        <w:t xml:space="preserve"> for </w:t>
      </w:r>
      <w:r w:rsidR="00C7169C" w:rsidRPr="00C7169C">
        <w:t xml:space="preserve">Lag time of absorption </w:t>
      </w:r>
      <w:r w:rsidR="00C7169C">
        <w:t>(</w:t>
      </w:r>
      <w:r w:rsidR="00B10E54">
        <w:t>LAG</w:t>
      </w:r>
      <w:r w:rsidR="00C7169C">
        <w:t>)</w:t>
      </w:r>
      <w:r w:rsidR="00B10E54">
        <w:t xml:space="preserve">. </w:t>
      </w:r>
      <w:r w:rsidRPr="00F36A4A">
        <w:t xml:space="preserve">The </w:t>
      </w:r>
      <w:r w:rsidR="00E13282">
        <w:t>e</w:t>
      </w:r>
      <w:r w:rsidRPr="00F36A4A">
        <w:t>valuator considers a BSV for LAG to be appropriate because of all the parameters it appeared to be the one with the greatest variability.</w:t>
      </w:r>
    </w:p>
    <w:p w:rsidR="00F36A4A" w:rsidRPr="00F36A4A" w:rsidRDefault="00F36A4A" w:rsidP="00881FBB">
      <w:r w:rsidRPr="00F36A4A">
        <w:t>G</w:t>
      </w:r>
      <w:r w:rsidR="00071B63">
        <w:t>oodness-of-</w:t>
      </w:r>
      <w:r w:rsidRPr="00F36A4A">
        <w:t>fit plots were provided for all of the models and indicated an appropriate</w:t>
      </w:r>
      <w:r w:rsidR="00616B97">
        <w:t xml:space="preserve"> specification for the models. However, </w:t>
      </w:r>
      <w:r w:rsidR="00616B97" w:rsidRPr="00616B97">
        <w:t>Visual Predictive Check</w:t>
      </w:r>
      <w:r w:rsidR="00616B97">
        <w:t>s (VPCs)</w:t>
      </w:r>
      <w:r w:rsidRPr="00F36A4A">
        <w:t xml:space="preserve"> were not p</w:t>
      </w:r>
      <w:r w:rsidR="00201380">
        <w:t xml:space="preserve">rovided for all of the models. </w:t>
      </w:r>
      <w:r w:rsidRPr="00F36A4A">
        <w:t>The best model, as judged by VPC, of all the studies was RA-002.</w:t>
      </w:r>
    </w:p>
    <w:p w:rsidR="00F36A4A" w:rsidRPr="00F36A4A" w:rsidRDefault="00F36A4A" w:rsidP="00881FBB">
      <w:r w:rsidRPr="00F36A4A">
        <w:t>The covariate models were developed using all</w:t>
      </w:r>
      <w:r w:rsidR="00201380">
        <w:t xml:space="preserve"> the available covariate data. </w:t>
      </w:r>
      <w:r w:rsidRPr="00F36A4A">
        <w:t xml:space="preserve">The covariate model building process used by the </w:t>
      </w:r>
      <w:r w:rsidR="00201380">
        <w:t>s</w:t>
      </w:r>
      <w:r w:rsidRPr="00F36A4A">
        <w:t xml:space="preserve">ponsor was less rigorous than that believed to be appropriate by the </w:t>
      </w:r>
      <w:r w:rsidR="00201380">
        <w:t>e</w:t>
      </w:r>
      <w:r w:rsidRPr="00F36A4A">
        <w:t>valuator</w:t>
      </w:r>
      <w:r w:rsidR="00201380">
        <w:t xml:space="preserve">. </w:t>
      </w:r>
      <w:r w:rsidRPr="00F36A4A">
        <w:t xml:space="preserve">The p-values used in the covariate modelling by the </w:t>
      </w:r>
      <w:r w:rsidR="00201380">
        <w:t>s</w:t>
      </w:r>
      <w:r w:rsidRPr="00F36A4A">
        <w:t>ponsor were overly generous given the large quantity of data available.</w:t>
      </w:r>
    </w:p>
    <w:p w:rsidR="00F36A4A" w:rsidRPr="00F36A4A" w:rsidRDefault="00F36A4A" w:rsidP="00881FBB">
      <w:r w:rsidRPr="00F36A4A">
        <w:t xml:space="preserve">It is not clear how </w:t>
      </w:r>
      <w:r w:rsidR="00032465">
        <w:t>gender</w:t>
      </w:r>
      <w:r w:rsidRPr="00F36A4A">
        <w:t xml:space="preserve"> would influence the </w:t>
      </w:r>
      <w:r w:rsidR="002F7F07">
        <w:t>a</w:t>
      </w:r>
      <w:r w:rsidR="002F7F07" w:rsidRPr="002F7F07">
        <w:t xml:space="preserve">pparent </w:t>
      </w:r>
      <w:r w:rsidR="002F7F07">
        <w:t>c</w:t>
      </w:r>
      <w:r w:rsidR="002F7F07" w:rsidRPr="002F7F07">
        <w:t xml:space="preserve">learance </w:t>
      </w:r>
      <w:r w:rsidR="002F7F07">
        <w:t>(</w:t>
      </w:r>
      <w:r w:rsidRPr="00F36A4A">
        <w:t>CL/F</w:t>
      </w:r>
      <w:r w:rsidR="002F7F07">
        <w:t>)</w:t>
      </w:r>
      <w:r w:rsidRPr="00F36A4A">
        <w:t xml:space="preserve"> of apremilast</w:t>
      </w:r>
      <w:r w:rsidR="008B1A4E">
        <w:t xml:space="preserve">, which </w:t>
      </w:r>
      <w:r w:rsidRPr="00F36A4A">
        <w:t>questions the plausibility of the models</w:t>
      </w:r>
      <w:r w:rsidR="00201380">
        <w:t xml:space="preserve">. </w:t>
      </w:r>
      <w:r w:rsidRPr="00F36A4A">
        <w:t>This concept does not appear to be supported by the kn</w:t>
      </w:r>
      <w:r w:rsidR="002F7F07">
        <w:t xml:space="preserve">own disposition of apremilast. </w:t>
      </w:r>
      <w:r w:rsidRPr="00F36A4A">
        <w:t>Apremilast has multiple pathways of elimination and it is not clear whether sex would in</w:t>
      </w:r>
      <w:r w:rsidR="002F7F07">
        <w:t xml:space="preserve">fluence any of these pathways. </w:t>
      </w:r>
      <w:r w:rsidRPr="00F36A4A">
        <w:t xml:space="preserve">Hence, in the opinion of the </w:t>
      </w:r>
      <w:r w:rsidR="00B81DF9">
        <w:t>e</w:t>
      </w:r>
      <w:r w:rsidRPr="00F36A4A">
        <w:t>valuator, sex may be a confounder for the effect of body weight.</w:t>
      </w:r>
      <w:r w:rsidR="002F7F07">
        <w:t xml:space="preserve"> </w:t>
      </w:r>
      <w:r w:rsidRPr="00F36A4A">
        <w:t>The known pharmacology of apremilast does not provide a plausible explanation as to why gender should have an observable effect on CL/F, other than the difference in body size between the genders.</w:t>
      </w:r>
    </w:p>
    <w:p w:rsidR="00F36A4A" w:rsidRPr="00F36A4A" w:rsidRDefault="00F36A4A" w:rsidP="00881FBB">
      <w:r w:rsidRPr="00F36A4A">
        <w:t>No dosing regimens were simulat</w:t>
      </w:r>
      <w:r w:rsidR="008B1A4E">
        <w:t>ed from the models. In the opinion of the e</w:t>
      </w:r>
      <w:r w:rsidRPr="00F36A4A">
        <w:t xml:space="preserve">valuator, the models would not be appropriate for simulating dosing strategies in </w:t>
      </w:r>
      <w:r w:rsidR="008B1A4E">
        <w:t xml:space="preserve">other populations (for example, </w:t>
      </w:r>
      <w:r w:rsidR="00881FBB">
        <w:t>paediatric).</w:t>
      </w:r>
    </w:p>
    <w:p w:rsidR="00F36A4A" w:rsidRPr="00F36A4A" w:rsidRDefault="00F36A4A" w:rsidP="00881FBB">
      <w:r w:rsidRPr="00F36A4A">
        <w:t>The modelling process does not appear to have influenced the proposed dosing regimen for apremilast.  This dosing regimen appe</w:t>
      </w:r>
      <w:r w:rsidR="00271761">
        <w:t>ars to be based upon the Phase II</w:t>
      </w:r>
      <w:r w:rsidRPr="00F36A4A">
        <w:t xml:space="preserve"> and </w:t>
      </w:r>
      <w:r w:rsidR="00271761">
        <w:t>Phase III</w:t>
      </w:r>
      <w:r w:rsidRPr="00F36A4A">
        <w:t xml:space="preserve"> studies rather than </w:t>
      </w:r>
      <w:r w:rsidR="009D4BD3">
        <w:t xml:space="preserve">upon modelling and simulation. </w:t>
      </w:r>
      <w:r w:rsidR="00271761">
        <w:t>Hence, although the pharmacodynamic</w:t>
      </w:r>
      <w:r w:rsidRPr="00F36A4A">
        <w:t xml:space="preserve"> models were (in the opinion of the </w:t>
      </w:r>
      <w:r w:rsidR="009D4BD3">
        <w:t>e</w:t>
      </w:r>
      <w:r w:rsidRPr="00F36A4A">
        <w:t>valuator) flawed</w:t>
      </w:r>
      <w:r w:rsidR="00F566E6">
        <w:t>,</w:t>
      </w:r>
      <w:r w:rsidRPr="00F36A4A">
        <w:t xml:space="preserve"> they did not</w:t>
      </w:r>
      <w:r w:rsidR="00881FBB">
        <w:t xml:space="preserve"> influence the dosing strategy.</w:t>
      </w:r>
    </w:p>
    <w:p w:rsidR="00F36A4A" w:rsidRDefault="00F36A4A" w:rsidP="00881FBB">
      <w:r w:rsidRPr="00F36A4A">
        <w:t>The results of the population PK</w:t>
      </w:r>
      <w:r w:rsidR="009D4BD3">
        <w:t>/</w:t>
      </w:r>
      <w:r w:rsidRPr="00F36A4A">
        <w:t xml:space="preserve">PD models do not appear to have informed the sections of the </w:t>
      </w:r>
      <w:r>
        <w:t>PI</w:t>
      </w:r>
      <w:r w:rsidRPr="00F36A4A">
        <w:t xml:space="preserve"> document relating to pharmac</w:t>
      </w:r>
      <w:r w:rsidR="00277AE7">
        <w:t xml:space="preserve">okinetics or pharmacodynamics. </w:t>
      </w:r>
      <w:r w:rsidRPr="00F36A4A">
        <w:t>The models do indicate that CL/F is significantly reduced in disease states and this i</w:t>
      </w:r>
      <w:r w:rsidR="00277AE7">
        <w:t xml:space="preserve">nformation should be included. </w:t>
      </w:r>
      <w:r w:rsidRPr="00F36A4A">
        <w:t>However, as the dosing strategy is based on the actual clinical trial data, there is no need to advise dosing adjustment because of disease state.</w:t>
      </w:r>
      <w:r w:rsidR="00277AE7">
        <w:t xml:space="preserve"> </w:t>
      </w:r>
      <w:r w:rsidRPr="00F36A4A">
        <w:t xml:space="preserve">There were no other findings from the studies that might be used to inform the </w:t>
      </w:r>
      <w:r w:rsidR="00BC679C">
        <w:t>PI</w:t>
      </w:r>
      <w:r w:rsidR="00277AE7">
        <w:t xml:space="preserve"> document (for example, </w:t>
      </w:r>
      <w:r w:rsidRPr="00F36A4A">
        <w:t>use in special populations).</w:t>
      </w:r>
    </w:p>
    <w:p w:rsidR="00C247AA" w:rsidRPr="00605AD4" w:rsidRDefault="00C247AA" w:rsidP="00881FBB">
      <w:pPr>
        <w:pStyle w:val="Heading3"/>
        <w:rPr>
          <w:rFonts w:eastAsia="Cambria"/>
        </w:rPr>
      </w:pPr>
      <w:bookmarkStart w:id="134" w:name="_Toc436140487"/>
      <w:r w:rsidRPr="00605AD4">
        <w:rPr>
          <w:rFonts w:eastAsia="Cambria"/>
        </w:rPr>
        <w:t xml:space="preserve">First </w:t>
      </w:r>
      <w:r w:rsidR="00881FBB">
        <w:rPr>
          <w:rFonts w:eastAsia="Cambria"/>
        </w:rPr>
        <w:t>r</w:t>
      </w:r>
      <w:r w:rsidRPr="00605AD4">
        <w:rPr>
          <w:rFonts w:eastAsia="Cambria"/>
        </w:rPr>
        <w:t xml:space="preserve">ound </w:t>
      </w:r>
      <w:r w:rsidR="00881FBB">
        <w:rPr>
          <w:rFonts w:eastAsia="Cambria"/>
        </w:rPr>
        <w:t>b</w:t>
      </w:r>
      <w:r w:rsidRPr="00605AD4">
        <w:rPr>
          <w:rFonts w:eastAsia="Cambria"/>
        </w:rPr>
        <w:t>enefit-</w:t>
      </w:r>
      <w:r w:rsidR="00881FBB">
        <w:rPr>
          <w:rFonts w:eastAsia="Cambria"/>
        </w:rPr>
        <w:t>r</w:t>
      </w:r>
      <w:r w:rsidRPr="00605AD4">
        <w:rPr>
          <w:rFonts w:eastAsia="Cambria"/>
        </w:rPr>
        <w:t xml:space="preserve">isk </w:t>
      </w:r>
      <w:r w:rsidR="00881FBB" w:rsidRPr="00881FBB">
        <w:rPr>
          <w:rFonts w:eastAsia="Cambria"/>
        </w:rPr>
        <w:t>a</w:t>
      </w:r>
      <w:r w:rsidRPr="00881FBB">
        <w:rPr>
          <w:rFonts w:eastAsia="Cambria"/>
        </w:rPr>
        <w:t>ssessment</w:t>
      </w:r>
      <w:bookmarkEnd w:id="134"/>
    </w:p>
    <w:p w:rsidR="00C247AA" w:rsidRPr="00011D81" w:rsidRDefault="00C247AA" w:rsidP="00881FBB">
      <w:pPr>
        <w:pStyle w:val="Heading4"/>
      </w:pPr>
      <w:bookmarkStart w:id="135" w:name="_Toc236802592"/>
      <w:bookmarkStart w:id="136" w:name="_Toc241374331"/>
      <w:bookmarkStart w:id="137" w:name="_Ref272160836"/>
      <w:bookmarkStart w:id="138" w:name="_Toc272414693"/>
      <w:bookmarkStart w:id="139" w:name="_Toc290846331"/>
      <w:bookmarkStart w:id="140" w:name="_Toc290888868"/>
      <w:bookmarkStart w:id="141" w:name="_Toc407187416"/>
      <w:r w:rsidRPr="00011D81">
        <w:t xml:space="preserve">First round </w:t>
      </w:r>
      <w:r w:rsidRPr="00881FBB">
        <w:t>assessment</w:t>
      </w:r>
      <w:r w:rsidRPr="00011D81">
        <w:t xml:space="preserve"> of benefits</w:t>
      </w:r>
      <w:bookmarkEnd w:id="135"/>
      <w:bookmarkEnd w:id="136"/>
      <w:bookmarkEnd w:id="137"/>
      <w:bookmarkEnd w:id="138"/>
      <w:bookmarkEnd w:id="139"/>
      <w:bookmarkEnd w:id="140"/>
      <w:bookmarkEnd w:id="141"/>
    </w:p>
    <w:p w:rsidR="00C247AA" w:rsidRPr="00C247AA" w:rsidRDefault="00C247AA" w:rsidP="00881FBB">
      <w:r w:rsidRPr="00C247AA">
        <w:t>The population PK</w:t>
      </w:r>
      <w:r>
        <w:t>/</w:t>
      </w:r>
      <w:r w:rsidRPr="00C247AA">
        <w:t>PD mode</w:t>
      </w:r>
      <w:r>
        <w:t>l</w:t>
      </w:r>
      <w:r w:rsidRPr="00C247AA">
        <w:t>ling suggested a concentration-response relationship exists for apremilast for all the three indications studied: active psoriat</w:t>
      </w:r>
      <w:r w:rsidR="00B24D6F">
        <w:t xml:space="preserve">ic arthritis in adult patients, </w:t>
      </w:r>
      <w:r w:rsidRPr="00C247AA">
        <w:t xml:space="preserve">adult patients with moderate to severe plaque psoriasis, and adult patients with RA who had </w:t>
      </w:r>
      <w:r w:rsidR="00B24D6F">
        <w:t xml:space="preserve">an inadequate response to MTX. </w:t>
      </w:r>
      <w:r w:rsidRPr="00C247AA">
        <w:t>The studies did not successfully identify the nature of these concentration response relationships because of limitations in the data and in the mode</w:t>
      </w:r>
      <w:r w:rsidR="00B24D6F">
        <w:t>l</w:t>
      </w:r>
      <w:r w:rsidRPr="00C247AA">
        <w:t>ling approach. Overall, the studies did not indicate that dosing modification was required on the basis of physical or demographic characteristics.</w:t>
      </w:r>
    </w:p>
    <w:p w:rsidR="00C247AA" w:rsidRPr="00C247AA" w:rsidRDefault="00B24D6F" w:rsidP="00881FBB">
      <w:r>
        <w:t>The pharmacokinetics</w:t>
      </w:r>
      <w:r w:rsidR="00C247AA" w:rsidRPr="00C247AA">
        <w:t xml:space="preserve"> of apremilast </w:t>
      </w:r>
      <w:proofErr w:type="gramStart"/>
      <w:r w:rsidR="00032465">
        <w:t>are</w:t>
      </w:r>
      <w:proofErr w:type="gramEnd"/>
      <w:r w:rsidR="00C247AA" w:rsidRPr="00C247AA">
        <w:t xml:space="preserve"> affected by disease state for each of the three study populations (active psoriatic arthritis in adult patients; adult patients with moderate to severe plaque psoriasis, and adult patients with RA who had a</w:t>
      </w:r>
      <w:r>
        <w:t xml:space="preserve">n inadequate response to MTX). </w:t>
      </w:r>
      <w:r w:rsidR="00C247AA" w:rsidRPr="00C247AA">
        <w:t xml:space="preserve">Clearance is decreased compared to healthy volunteers for all three populations.  However, the dosing regimens for each indication have been based on clinical trial data and do not require modification </w:t>
      </w:r>
      <w:r>
        <w:t>on the basis of the pharmacokinetic studies. The s</w:t>
      </w:r>
      <w:r w:rsidR="00C247AA" w:rsidRPr="00C247AA">
        <w:t xml:space="preserve">ponsor did not simulate any alternative dosing strategies from the population </w:t>
      </w:r>
      <w:r w:rsidR="00CE2105" w:rsidRPr="00C247AA">
        <w:t>PK</w:t>
      </w:r>
      <w:r w:rsidR="00CE2105">
        <w:t>/</w:t>
      </w:r>
      <w:r w:rsidR="00CE2105" w:rsidRPr="00C247AA">
        <w:t xml:space="preserve">PD </w:t>
      </w:r>
      <w:r w:rsidR="00C247AA" w:rsidRPr="00C247AA">
        <w:t>models.</w:t>
      </w:r>
    </w:p>
    <w:p w:rsidR="00C247AA" w:rsidRPr="00C247AA" w:rsidRDefault="00C247AA" w:rsidP="00881FBB">
      <w:r w:rsidRPr="00C247AA">
        <w:t>The Summary of Clinical Pharmacology states that clearance is reduced by 30%</w:t>
      </w:r>
      <w:r w:rsidR="00CE2105">
        <w:t xml:space="preserve"> in females compared to males. However, the population pharmacokinetic</w:t>
      </w:r>
      <w:r w:rsidRPr="00C247AA">
        <w:t xml:space="preserve"> studies are not sufficiently rob</w:t>
      </w:r>
      <w:r w:rsidR="00E37C1A">
        <w:t xml:space="preserve">ust to justify this statement. </w:t>
      </w:r>
      <w:r w:rsidRPr="00C247AA">
        <w:t xml:space="preserve">The known pharmacology of apremilast does not provide a plausible explanation as to why gender should have an observable effect on CL/F, other than the difference in </w:t>
      </w:r>
      <w:r w:rsidR="00E37C1A">
        <w:t xml:space="preserve">body size between the genders. </w:t>
      </w:r>
      <w:r w:rsidRPr="00C247AA">
        <w:t xml:space="preserve">The statement regarding clearance and gender has not been included in the </w:t>
      </w:r>
      <w:r w:rsidR="00E37C1A">
        <w:t>PI</w:t>
      </w:r>
      <w:r w:rsidRPr="00C247AA">
        <w:t xml:space="preserve"> document.</w:t>
      </w:r>
    </w:p>
    <w:p w:rsidR="00C247AA" w:rsidRPr="00011D81" w:rsidRDefault="00C247AA" w:rsidP="00881FBB">
      <w:pPr>
        <w:pStyle w:val="Heading4"/>
      </w:pPr>
      <w:bookmarkStart w:id="142" w:name="_Toc236802596"/>
      <w:bookmarkStart w:id="143" w:name="_Toc241374334"/>
      <w:bookmarkStart w:id="144" w:name="_Ref272160964"/>
      <w:bookmarkStart w:id="145" w:name="_Toc272414694"/>
      <w:bookmarkStart w:id="146" w:name="_Toc290846332"/>
      <w:bookmarkStart w:id="147" w:name="_Toc290888869"/>
      <w:bookmarkStart w:id="148" w:name="_Toc407187417"/>
      <w:r w:rsidRPr="00011D81">
        <w:t>First round assessment of risks</w:t>
      </w:r>
      <w:bookmarkEnd w:id="142"/>
      <w:bookmarkEnd w:id="143"/>
      <w:bookmarkEnd w:id="144"/>
      <w:bookmarkEnd w:id="145"/>
      <w:bookmarkEnd w:id="146"/>
      <w:bookmarkEnd w:id="147"/>
      <w:bookmarkEnd w:id="148"/>
    </w:p>
    <w:p w:rsidR="00C247AA" w:rsidRPr="00CE5561" w:rsidRDefault="00C247AA" w:rsidP="00881FBB">
      <w:r w:rsidRPr="00CE5561">
        <w:t xml:space="preserve">The population </w:t>
      </w:r>
      <w:r w:rsidR="00CE5561" w:rsidRPr="00CE5561">
        <w:t xml:space="preserve">PK/PD </w:t>
      </w:r>
      <w:r w:rsidRPr="00CE5561">
        <w:t>studies did not indicate a concentration-response relationship between a</w:t>
      </w:r>
      <w:r w:rsidR="00CE5561">
        <w:t xml:space="preserve">premilast and adverse effects. </w:t>
      </w:r>
      <w:r w:rsidRPr="00CE5561">
        <w:t>However, the analyses were limited by the paucity of AE data and there were insufficient data to be able to identify such relationships.</w:t>
      </w:r>
    </w:p>
    <w:p w:rsidR="00C247AA" w:rsidRPr="001C7154" w:rsidRDefault="00C247AA" w:rsidP="00881FBB">
      <w:pPr>
        <w:pStyle w:val="Heading4"/>
      </w:pPr>
      <w:bookmarkStart w:id="149" w:name="_Toc236802597"/>
      <w:bookmarkStart w:id="150" w:name="_Toc241374335"/>
      <w:bookmarkStart w:id="151" w:name="_Toc272414695"/>
      <w:bookmarkStart w:id="152" w:name="_Toc290846333"/>
      <w:bookmarkStart w:id="153" w:name="_Toc290888870"/>
      <w:bookmarkStart w:id="154" w:name="_Toc407187418"/>
      <w:r w:rsidRPr="001C7154">
        <w:t xml:space="preserve">First round </w:t>
      </w:r>
      <w:r w:rsidRPr="00881FBB">
        <w:t>assessment</w:t>
      </w:r>
      <w:r w:rsidRPr="001C7154">
        <w:t xml:space="preserve"> of benefit-risk balance</w:t>
      </w:r>
      <w:bookmarkEnd w:id="149"/>
      <w:bookmarkEnd w:id="150"/>
      <w:bookmarkEnd w:id="151"/>
      <w:bookmarkEnd w:id="152"/>
      <w:bookmarkEnd w:id="153"/>
      <w:bookmarkEnd w:id="154"/>
    </w:p>
    <w:p w:rsidR="00C247AA" w:rsidRPr="00CE5561" w:rsidRDefault="00C247AA" w:rsidP="00881FBB">
      <w:r w:rsidRPr="00CE5561">
        <w:t>The results of the population PK</w:t>
      </w:r>
      <w:r w:rsidR="00CE5561" w:rsidRPr="00CE5561">
        <w:t>/</w:t>
      </w:r>
      <w:r w:rsidRPr="00CE5561">
        <w:t>PD studies do not appear to alter the benefit-risk balance.</w:t>
      </w:r>
    </w:p>
    <w:p w:rsidR="007933D8" w:rsidRPr="00605AD4" w:rsidRDefault="007933D8" w:rsidP="00881FBB">
      <w:pPr>
        <w:pStyle w:val="Heading3"/>
        <w:rPr>
          <w:rFonts w:eastAsia="Cambria"/>
        </w:rPr>
      </w:pPr>
      <w:bookmarkStart w:id="155" w:name="_Toc436140488"/>
      <w:r w:rsidRPr="00605AD4">
        <w:rPr>
          <w:rFonts w:eastAsia="Cambria"/>
        </w:rPr>
        <w:t xml:space="preserve">First </w:t>
      </w:r>
      <w:r w:rsidR="00881FBB">
        <w:rPr>
          <w:rFonts w:eastAsia="Cambria"/>
        </w:rPr>
        <w:t>r</w:t>
      </w:r>
      <w:r w:rsidRPr="00605AD4">
        <w:rPr>
          <w:rFonts w:eastAsia="Cambria"/>
        </w:rPr>
        <w:t xml:space="preserve">ound </w:t>
      </w:r>
      <w:r w:rsidR="00881FBB">
        <w:rPr>
          <w:rFonts w:eastAsia="Cambria"/>
        </w:rPr>
        <w:t>r</w:t>
      </w:r>
      <w:r>
        <w:rPr>
          <w:rFonts w:eastAsia="Cambria"/>
        </w:rPr>
        <w:t xml:space="preserve">ecommendation </w:t>
      </w:r>
      <w:r w:rsidR="00881FBB">
        <w:rPr>
          <w:rFonts w:eastAsia="Cambria"/>
        </w:rPr>
        <w:t>r</w:t>
      </w:r>
      <w:r>
        <w:rPr>
          <w:rFonts w:eastAsia="Cambria"/>
        </w:rPr>
        <w:t xml:space="preserve">egarding </w:t>
      </w:r>
      <w:r w:rsidR="00881FBB" w:rsidRPr="00881FBB">
        <w:rPr>
          <w:rFonts w:eastAsia="Cambria"/>
        </w:rPr>
        <w:t>a</w:t>
      </w:r>
      <w:r w:rsidRPr="00881FBB">
        <w:rPr>
          <w:rFonts w:eastAsia="Cambria"/>
        </w:rPr>
        <w:t>uthorisation</w:t>
      </w:r>
      <w:bookmarkEnd w:id="155"/>
    </w:p>
    <w:p w:rsidR="007933D8" w:rsidRPr="007933D8" w:rsidRDefault="007933D8" w:rsidP="00881FBB">
      <w:r w:rsidRPr="007933D8">
        <w:t xml:space="preserve">The </w:t>
      </w:r>
      <w:r w:rsidR="00CE4E2B">
        <w:t>e</w:t>
      </w:r>
      <w:r w:rsidRPr="007933D8">
        <w:t>valuator does not have any objections arising from the population PK</w:t>
      </w:r>
      <w:r w:rsidR="00DE41E3">
        <w:t>/</w:t>
      </w:r>
      <w:r w:rsidRPr="007933D8">
        <w:t>PD studies to the approval of apremilast for the indications of active psoriatic arthritis in adult patients</w:t>
      </w:r>
      <w:r w:rsidR="00BF3FBF">
        <w:t>,</w:t>
      </w:r>
      <w:r w:rsidRPr="007933D8">
        <w:t xml:space="preserve"> adult patients with moderate to severe plaque psoriasis, and adult patients with RA who had an inadequate response to MTX.</w:t>
      </w:r>
    </w:p>
    <w:p w:rsidR="005157D2" w:rsidRPr="00605AD4" w:rsidRDefault="005157D2" w:rsidP="00881FBB">
      <w:pPr>
        <w:pStyle w:val="Heading3"/>
        <w:rPr>
          <w:rFonts w:eastAsia="Cambria"/>
        </w:rPr>
      </w:pPr>
      <w:bookmarkStart w:id="156" w:name="_Toc436140489"/>
      <w:r w:rsidRPr="00605AD4">
        <w:rPr>
          <w:rFonts w:eastAsia="Cambria"/>
        </w:rPr>
        <w:t xml:space="preserve">Clinical </w:t>
      </w:r>
      <w:r w:rsidR="00881FBB" w:rsidRPr="00881FBB">
        <w:rPr>
          <w:rFonts w:eastAsia="Cambria"/>
        </w:rPr>
        <w:t>q</w:t>
      </w:r>
      <w:r w:rsidRPr="00881FBB">
        <w:rPr>
          <w:rFonts w:eastAsia="Cambria"/>
        </w:rPr>
        <w:t>uestions</w:t>
      </w:r>
      <w:bookmarkEnd w:id="156"/>
    </w:p>
    <w:p w:rsidR="005157D2" w:rsidRPr="00DE29D9" w:rsidRDefault="005157D2" w:rsidP="00881FBB">
      <w:pPr>
        <w:pStyle w:val="ListBullet"/>
      </w:pPr>
      <w:r w:rsidRPr="00DE29D9">
        <w:t xml:space="preserve">What are the proposed </w:t>
      </w:r>
      <w:r w:rsidRPr="00881FBB">
        <w:t>mechanisms</w:t>
      </w:r>
      <w:r w:rsidRPr="00DE29D9">
        <w:t xml:space="preserve"> by which sex would influence the CL/F of apremilast?</w:t>
      </w:r>
    </w:p>
    <w:p w:rsidR="00C247AA" w:rsidRDefault="00DE29D9" w:rsidP="00881FBB">
      <w:pPr>
        <w:pStyle w:val="Heading4"/>
      </w:pPr>
      <w:r>
        <w:t xml:space="preserve">Pharmaceutical </w:t>
      </w:r>
      <w:r w:rsidR="00881FBB">
        <w:t>s</w:t>
      </w:r>
      <w:r>
        <w:t>ub-</w:t>
      </w:r>
      <w:r w:rsidR="00881FBB">
        <w:t>c</w:t>
      </w:r>
      <w:r>
        <w:t xml:space="preserve">ommittee, </w:t>
      </w:r>
      <w:r w:rsidR="00881FBB">
        <w:t>s</w:t>
      </w:r>
      <w:r>
        <w:t xml:space="preserve">ection 31 </w:t>
      </w:r>
      <w:r w:rsidRPr="00881FBB">
        <w:t>questions</w:t>
      </w:r>
    </w:p>
    <w:p w:rsidR="008A65C8" w:rsidRPr="00EC2946" w:rsidRDefault="008A65C8" w:rsidP="00881FBB">
      <w:pPr>
        <w:pStyle w:val="ListBullet"/>
      </w:pPr>
      <w:r w:rsidRPr="00EC2946">
        <w:t>Please justify the choice of a one compartment pharmacokinetic model given that a 2 compartment pharmacokinetic model was fou</w:t>
      </w:r>
      <w:r w:rsidR="00EC2946">
        <w:t xml:space="preserve">nd in some of the studies (for example, </w:t>
      </w:r>
      <w:r w:rsidRPr="00EC2946">
        <w:t xml:space="preserve">PSA‐001 and PSA-002) to be the </w:t>
      </w:r>
      <w:r w:rsidRPr="00881FBB">
        <w:t>model</w:t>
      </w:r>
      <w:r w:rsidRPr="00EC2946">
        <w:t xml:space="preserve"> which provided the best fit to the concentration‐time data.</w:t>
      </w:r>
    </w:p>
    <w:p w:rsidR="008A65C8" w:rsidRPr="00EC2946" w:rsidRDefault="008A65C8" w:rsidP="00881FBB">
      <w:pPr>
        <w:pStyle w:val="ListBullet"/>
      </w:pPr>
      <w:r w:rsidRPr="00EC2946">
        <w:t>Please justify the choices made in the cov</w:t>
      </w:r>
      <w:r w:rsidR="00C72D39">
        <w:t xml:space="preserve">ariate model building process. The Pharmaceutical Sub-Committee </w:t>
      </w:r>
      <w:r w:rsidRPr="00EC2946">
        <w:t xml:space="preserve">noted that the decrease in </w:t>
      </w:r>
      <w:r w:rsidR="00DE41E3">
        <w:t>clearance (</w:t>
      </w:r>
      <w:r w:rsidRPr="00EC2946">
        <w:t>CL</w:t>
      </w:r>
      <w:r w:rsidR="00DE41E3">
        <w:t>)</w:t>
      </w:r>
      <w:r w:rsidRPr="00EC2946">
        <w:t xml:space="preserve"> between patients with disease and healthy subjects m</w:t>
      </w:r>
      <w:r w:rsidR="00C72D39">
        <w:t>ay reflect a difference in age.</w:t>
      </w:r>
      <w:r w:rsidRPr="00EC2946">
        <w:t xml:space="preserve"> Provide an analysis of the effects of each of the </w:t>
      </w:r>
      <w:r w:rsidRPr="00881FBB">
        <w:t>covariates</w:t>
      </w:r>
      <w:r w:rsidRPr="00EC2946">
        <w:t>: sex, body weight (lean and total), age, and disease state on the PK of apremilast to distinguish these.</w:t>
      </w:r>
    </w:p>
    <w:p w:rsidR="008A65C8" w:rsidRPr="00EC2946" w:rsidRDefault="008A65C8" w:rsidP="00881FBB">
      <w:pPr>
        <w:pStyle w:val="ListBullet"/>
      </w:pPr>
      <w:r w:rsidRPr="00EC2946">
        <w:t xml:space="preserve">The </w:t>
      </w:r>
      <w:r w:rsidR="00C72D39">
        <w:t xml:space="preserve">Pharmaceutical Sub-Committee </w:t>
      </w:r>
      <w:r w:rsidRPr="00EC2946">
        <w:t xml:space="preserve">noted that </w:t>
      </w:r>
      <w:r w:rsidRPr="00881FBB">
        <w:t>modelling</w:t>
      </w:r>
      <w:r w:rsidRPr="00EC2946">
        <w:t xml:space="preserve"> showed a decrease in clearance in females compared with males, and a decrease in clearance in patients when compared with healthy volunteers. Noting that the patient population was on average older and heavier than the healthy population, </w:t>
      </w:r>
      <w:r w:rsidR="003C6689">
        <w:t>the sponsor</w:t>
      </w:r>
      <w:r w:rsidRPr="00EC2946">
        <w:t xml:space="preserve"> is asked to clarify whether the decrease in CL between males and females reflects a difference in lean body weight.</w:t>
      </w:r>
    </w:p>
    <w:p w:rsidR="00EC2946" w:rsidRPr="00EC2946" w:rsidRDefault="00EC2946" w:rsidP="00EC2946">
      <w:pPr>
        <w:pStyle w:val="ListBullet"/>
      </w:pPr>
      <w:r w:rsidRPr="00EC2946">
        <w:t>Given the apparent finding that CL is approximately 30% lower in females than in males, the PSC is of the view that if this relationship is confirmed then a dose reduction m</w:t>
      </w:r>
      <w:r w:rsidR="00494D4B">
        <w:t xml:space="preserve">ay be recommended for females. </w:t>
      </w:r>
      <w:r w:rsidR="003C6689">
        <w:t>The sponsor</w:t>
      </w:r>
      <w:r w:rsidRPr="00EC2946">
        <w:t xml:space="preserve"> is requested to address this issue including performing simulations from the model in regards to their impact on dose recommendations.</w:t>
      </w:r>
    </w:p>
    <w:p w:rsidR="00EC2946" w:rsidRPr="00EC2946" w:rsidRDefault="00EC2946" w:rsidP="00881FBB">
      <w:pPr>
        <w:pStyle w:val="ListBullet"/>
      </w:pPr>
      <w:r w:rsidRPr="00EC2946">
        <w:t>Please amend the proposed Australian PI to state th</w:t>
      </w:r>
      <w:r w:rsidR="00941851">
        <w:t>e pharmacokinetic</w:t>
      </w:r>
      <w:r w:rsidRPr="00EC2946">
        <w:t xml:space="preserve"> parameters (including CL values) in patients and to include relevant find</w:t>
      </w:r>
      <w:r w:rsidR="00494D4B">
        <w:t xml:space="preserve">ings of covariate re-analysis. </w:t>
      </w:r>
      <w:r w:rsidRPr="00EC2946">
        <w:t>The following information should be included in the PI</w:t>
      </w:r>
      <w:r w:rsidR="00494D4B">
        <w:t xml:space="preserve"> and, where relevant, in the C</w:t>
      </w:r>
      <w:r w:rsidR="00B9440A">
        <w:t>onsumer Medicines Information (</w:t>
      </w:r>
      <w:r w:rsidR="00494D4B">
        <w:t>CMI)</w:t>
      </w:r>
      <w:r w:rsidRPr="00EC2946">
        <w:t>.</w:t>
      </w:r>
    </w:p>
    <w:p w:rsidR="00EC2946" w:rsidRPr="00881FBB" w:rsidRDefault="00EC2946" w:rsidP="00881FBB">
      <w:pPr>
        <w:pStyle w:val="ListBullet2"/>
      </w:pPr>
      <w:r w:rsidRPr="00881FBB">
        <w:t>PSA-002 found a diff</w:t>
      </w:r>
      <w:r w:rsidR="00941851" w:rsidRPr="00881FBB">
        <w:t xml:space="preserve">erent CL for patients with </w:t>
      </w:r>
      <w:proofErr w:type="spellStart"/>
      <w:r w:rsidR="00941851" w:rsidRPr="00881FBB">
        <w:t>PsA</w:t>
      </w:r>
      <w:proofErr w:type="spellEnd"/>
    </w:p>
    <w:p w:rsidR="00EC2946" w:rsidRPr="00881FBB" w:rsidRDefault="0043256C" w:rsidP="00881FBB">
      <w:pPr>
        <w:pStyle w:val="ListBullet2"/>
      </w:pPr>
      <w:r w:rsidRPr="00881FBB">
        <w:t>PSOR-005 only found Lean Body Weight (LBW)</w:t>
      </w:r>
      <w:r w:rsidR="00EC2946" w:rsidRPr="00881FBB">
        <w:t xml:space="preserve"> to be a factor, not disease</w:t>
      </w:r>
    </w:p>
    <w:p w:rsidR="00EC2946" w:rsidRPr="00881FBB" w:rsidRDefault="00EC2946" w:rsidP="00881FBB">
      <w:pPr>
        <w:pStyle w:val="ListBullet2"/>
      </w:pPr>
      <w:r w:rsidRPr="00881FBB">
        <w:t>PSOR-008 found CL was reduced 20% in patients with psoriasis</w:t>
      </w:r>
    </w:p>
    <w:p w:rsidR="00EC2946" w:rsidRPr="00881FBB" w:rsidRDefault="00EC2946" w:rsidP="00881FBB">
      <w:pPr>
        <w:pStyle w:val="ListBullet2"/>
      </w:pPr>
      <w:r w:rsidRPr="00881FBB">
        <w:t>RA-002-PK found reduced CL by 30% (not 11.2L/h, but 7.6 L/h) for patients with RA, an effect of weight and gender on CL, and of weight on volume of distribution (V).</w:t>
      </w:r>
    </w:p>
    <w:p w:rsidR="00EC2946" w:rsidRPr="00180599" w:rsidRDefault="00EC2946" w:rsidP="00881FBB">
      <w:pPr>
        <w:pStyle w:val="ListBullet"/>
      </w:pPr>
      <w:r w:rsidRPr="00180599">
        <w:t>As part of its response concerning dose, the sponsor should provide analyses using clinical trial data that explore the apparent differences in efficacy and safety of the doses investigated (20 mg and 30 mg) and the benefit-risk profile at each dose level.</w:t>
      </w:r>
    </w:p>
    <w:p w:rsidR="00DB7A2F" w:rsidRPr="00605AD4" w:rsidRDefault="00DB7A2F" w:rsidP="00881FBB">
      <w:pPr>
        <w:pStyle w:val="Heading3"/>
        <w:rPr>
          <w:rFonts w:eastAsia="Cambria"/>
        </w:rPr>
      </w:pPr>
      <w:bookmarkStart w:id="157" w:name="_Toc436140490"/>
      <w:r>
        <w:rPr>
          <w:rFonts w:eastAsia="Cambria"/>
        </w:rPr>
        <w:t>Second</w:t>
      </w:r>
      <w:r w:rsidRPr="00605AD4">
        <w:rPr>
          <w:rFonts w:eastAsia="Cambria"/>
        </w:rPr>
        <w:t xml:space="preserve"> </w:t>
      </w:r>
      <w:r w:rsidR="00881FBB">
        <w:rPr>
          <w:rFonts w:eastAsia="Cambria"/>
        </w:rPr>
        <w:t>r</w:t>
      </w:r>
      <w:r w:rsidRPr="00605AD4">
        <w:rPr>
          <w:rFonts w:eastAsia="Cambria"/>
        </w:rPr>
        <w:t xml:space="preserve">ound </w:t>
      </w:r>
      <w:r w:rsidR="00881FBB">
        <w:rPr>
          <w:rFonts w:eastAsia="Cambria"/>
        </w:rPr>
        <w:t>b</w:t>
      </w:r>
      <w:r w:rsidRPr="00605AD4">
        <w:rPr>
          <w:rFonts w:eastAsia="Cambria"/>
        </w:rPr>
        <w:t>enefit-</w:t>
      </w:r>
      <w:r w:rsidR="00881FBB">
        <w:rPr>
          <w:rFonts w:eastAsia="Cambria"/>
        </w:rPr>
        <w:t>r</w:t>
      </w:r>
      <w:r w:rsidRPr="00605AD4">
        <w:rPr>
          <w:rFonts w:eastAsia="Cambria"/>
        </w:rPr>
        <w:t xml:space="preserve">isk </w:t>
      </w:r>
      <w:r w:rsidR="00881FBB" w:rsidRPr="00881FBB">
        <w:rPr>
          <w:rFonts w:eastAsia="Cambria"/>
        </w:rPr>
        <w:t>a</w:t>
      </w:r>
      <w:r w:rsidRPr="00881FBB">
        <w:rPr>
          <w:rFonts w:eastAsia="Cambria"/>
        </w:rPr>
        <w:t>ssessment</w:t>
      </w:r>
      <w:bookmarkEnd w:id="157"/>
    </w:p>
    <w:p w:rsidR="00DB7A2F" w:rsidRPr="00011D81" w:rsidRDefault="00AE0697" w:rsidP="00881FBB">
      <w:pPr>
        <w:pStyle w:val="Heading4"/>
      </w:pPr>
      <w:r>
        <w:t>Second</w:t>
      </w:r>
      <w:r w:rsidR="00DB7A2F" w:rsidRPr="00011D81">
        <w:t xml:space="preserve"> round </w:t>
      </w:r>
      <w:r w:rsidR="00DB7A2F" w:rsidRPr="00881FBB">
        <w:t>assessment</w:t>
      </w:r>
      <w:r w:rsidR="00DB7A2F" w:rsidRPr="00011D81">
        <w:t xml:space="preserve"> of benefits</w:t>
      </w:r>
    </w:p>
    <w:p w:rsidR="00DB7A2F" w:rsidRPr="00C247AA" w:rsidRDefault="003F3FC5" w:rsidP="00881FBB">
      <w:r w:rsidRPr="003F3FC5">
        <w:t xml:space="preserve">After consideration of the responses to clinical questions, the benefits of apremilast in the proposed usage are unchanged from those identified in </w:t>
      </w:r>
      <w:r>
        <w:t>the first round</w:t>
      </w:r>
      <w:r w:rsidRPr="003F3FC5">
        <w:t>.</w:t>
      </w:r>
    </w:p>
    <w:p w:rsidR="00DB7A2F" w:rsidRPr="00011D81" w:rsidRDefault="00AE0697" w:rsidP="00881FBB">
      <w:pPr>
        <w:pStyle w:val="Heading4"/>
      </w:pPr>
      <w:r>
        <w:t>Second</w:t>
      </w:r>
      <w:r w:rsidRPr="00011D81">
        <w:t xml:space="preserve"> </w:t>
      </w:r>
      <w:r w:rsidR="00DB7A2F" w:rsidRPr="00011D81">
        <w:t xml:space="preserve">round </w:t>
      </w:r>
      <w:r w:rsidR="00DB7A2F" w:rsidRPr="00881FBB">
        <w:t>assessment</w:t>
      </w:r>
      <w:r w:rsidR="00DB7A2F" w:rsidRPr="00011D81">
        <w:t xml:space="preserve"> of risks</w:t>
      </w:r>
    </w:p>
    <w:p w:rsidR="00687DF7" w:rsidRPr="00C247AA" w:rsidRDefault="00687DF7" w:rsidP="00881FBB">
      <w:r w:rsidRPr="003F3FC5">
        <w:t xml:space="preserve">After consideration of the responses to </w:t>
      </w:r>
      <w:r>
        <w:t>clinical questions, the risks</w:t>
      </w:r>
      <w:r w:rsidRPr="003F3FC5">
        <w:t xml:space="preserve"> of apremilast in the proposed usage are unchanged from those identified in </w:t>
      </w:r>
      <w:r>
        <w:t>the first round</w:t>
      </w:r>
      <w:r w:rsidRPr="003F3FC5">
        <w:t>.</w:t>
      </w:r>
    </w:p>
    <w:p w:rsidR="00DB7A2F" w:rsidRPr="001C7154" w:rsidRDefault="00AE0697" w:rsidP="00881FBB">
      <w:pPr>
        <w:pStyle w:val="Heading4"/>
      </w:pPr>
      <w:r>
        <w:t>Second</w:t>
      </w:r>
      <w:r w:rsidRPr="00011D81">
        <w:t xml:space="preserve"> </w:t>
      </w:r>
      <w:r w:rsidR="00DB7A2F" w:rsidRPr="001C7154">
        <w:t>round assessment of benefit-risk balance</w:t>
      </w:r>
    </w:p>
    <w:p w:rsidR="00DB7A2F" w:rsidRPr="00CE5561" w:rsidRDefault="00986A7B" w:rsidP="00881FBB">
      <w:r w:rsidRPr="00986A7B">
        <w:t>The benefit-risk balance is unchanged from that identified in</w:t>
      </w:r>
      <w:r w:rsidR="00265DE6" w:rsidRPr="00265DE6">
        <w:t xml:space="preserve"> </w:t>
      </w:r>
      <w:r w:rsidR="00265DE6">
        <w:t>the first round.</w:t>
      </w:r>
    </w:p>
    <w:p w:rsidR="00DB7A2F" w:rsidRPr="00605AD4" w:rsidRDefault="00AE0697" w:rsidP="00881FBB">
      <w:pPr>
        <w:pStyle w:val="Heading3"/>
        <w:rPr>
          <w:rFonts w:eastAsia="Cambria"/>
        </w:rPr>
      </w:pPr>
      <w:bookmarkStart w:id="158" w:name="_Toc436140491"/>
      <w:r>
        <w:rPr>
          <w:rFonts w:eastAsia="Cambria"/>
        </w:rPr>
        <w:t>Second</w:t>
      </w:r>
      <w:r w:rsidRPr="00605AD4">
        <w:rPr>
          <w:rFonts w:eastAsia="Cambria"/>
        </w:rPr>
        <w:t xml:space="preserve"> </w:t>
      </w:r>
      <w:r w:rsidR="00881FBB">
        <w:rPr>
          <w:rFonts w:eastAsia="Cambria"/>
        </w:rPr>
        <w:t>r</w:t>
      </w:r>
      <w:r w:rsidR="00DB7A2F" w:rsidRPr="00605AD4">
        <w:rPr>
          <w:rFonts w:eastAsia="Cambria"/>
        </w:rPr>
        <w:t xml:space="preserve">ound </w:t>
      </w:r>
      <w:r w:rsidR="00881FBB">
        <w:rPr>
          <w:rFonts w:eastAsia="Cambria"/>
        </w:rPr>
        <w:t>r</w:t>
      </w:r>
      <w:r w:rsidR="00DB7A2F">
        <w:rPr>
          <w:rFonts w:eastAsia="Cambria"/>
        </w:rPr>
        <w:t xml:space="preserve">ecommendation </w:t>
      </w:r>
      <w:r w:rsidR="00881FBB">
        <w:rPr>
          <w:rFonts w:eastAsia="Cambria"/>
        </w:rPr>
        <w:t>r</w:t>
      </w:r>
      <w:r w:rsidR="00DB7A2F">
        <w:rPr>
          <w:rFonts w:eastAsia="Cambria"/>
        </w:rPr>
        <w:t xml:space="preserve">egarding </w:t>
      </w:r>
      <w:r w:rsidR="00881FBB" w:rsidRPr="00881FBB">
        <w:rPr>
          <w:rFonts w:eastAsia="Cambria"/>
        </w:rPr>
        <w:t>a</w:t>
      </w:r>
      <w:r w:rsidR="00DB7A2F" w:rsidRPr="00881FBB">
        <w:rPr>
          <w:rFonts w:eastAsia="Cambria"/>
        </w:rPr>
        <w:t>uthorisation</w:t>
      </w:r>
      <w:bookmarkEnd w:id="158"/>
    </w:p>
    <w:p w:rsidR="00DB7A2F" w:rsidRPr="007933D8" w:rsidRDefault="00744A7D" w:rsidP="00881FBB">
      <w:r w:rsidRPr="00744A7D">
        <w:t xml:space="preserve">The </w:t>
      </w:r>
      <w:r w:rsidR="00B575C0">
        <w:t>e</w:t>
      </w:r>
      <w:r w:rsidRPr="00744A7D">
        <w:t>valuator does not have any objections arising from the population PK</w:t>
      </w:r>
      <w:r w:rsidR="001959D7">
        <w:t>/</w:t>
      </w:r>
      <w:r w:rsidRPr="00744A7D">
        <w:t xml:space="preserve">PD studies to the approval of apremilast for the indications of active </w:t>
      </w:r>
      <w:proofErr w:type="spellStart"/>
      <w:r w:rsidR="009A503D">
        <w:t>PsA</w:t>
      </w:r>
      <w:proofErr w:type="spellEnd"/>
      <w:r w:rsidR="0031564B">
        <w:t xml:space="preserve"> in adult patients,</w:t>
      </w:r>
      <w:r w:rsidRPr="00744A7D">
        <w:t xml:space="preserve"> adult patients with moder</w:t>
      </w:r>
      <w:r w:rsidR="0031564B">
        <w:t xml:space="preserve">ate to severe plaque psoriasis, </w:t>
      </w:r>
      <w:r w:rsidRPr="00744A7D">
        <w:t>and adult patients with RA who had an inadequate response to MTX.</w:t>
      </w:r>
    </w:p>
    <w:p w:rsidR="008E7846" w:rsidRPr="00E41208" w:rsidRDefault="008E7846" w:rsidP="00881FBB">
      <w:pPr>
        <w:pStyle w:val="Heading2"/>
      </w:pPr>
      <w:bookmarkStart w:id="159" w:name="_Toc436140492"/>
      <w:r w:rsidRPr="00E41208">
        <w:t xml:space="preserve">V. </w:t>
      </w:r>
      <w:r w:rsidRPr="00881FBB">
        <w:t>Pharmacovigilance</w:t>
      </w:r>
      <w:r w:rsidRPr="00E41208">
        <w:t xml:space="preserve"> </w:t>
      </w:r>
      <w:r>
        <w:t>f</w:t>
      </w:r>
      <w:r w:rsidRPr="00E41208">
        <w:t>indings</w:t>
      </w:r>
      <w:bookmarkEnd w:id="98"/>
      <w:bookmarkEnd w:id="99"/>
      <w:bookmarkEnd w:id="159"/>
    </w:p>
    <w:p w:rsidR="008E7846" w:rsidRDefault="00386150" w:rsidP="00881FBB">
      <w:pPr>
        <w:pStyle w:val="Heading3"/>
        <w:rPr>
          <w:lang w:eastAsia="en-AU"/>
        </w:rPr>
      </w:pPr>
      <w:bookmarkStart w:id="160" w:name="_Toc247691526"/>
      <w:bookmarkStart w:id="161" w:name="_Toc314842509"/>
      <w:bookmarkStart w:id="162" w:name="_Toc436140493"/>
      <w:r>
        <w:rPr>
          <w:lang w:eastAsia="en-AU"/>
        </w:rPr>
        <w:t xml:space="preserve">Risk </w:t>
      </w:r>
      <w:r w:rsidRPr="00881FBB">
        <w:t>m</w:t>
      </w:r>
      <w:r w:rsidR="008E7846" w:rsidRPr="00881FBB">
        <w:t>anagement</w:t>
      </w:r>
      <w:r w:rsidR="008E7846">
        <w:rPr>
          <w:lang w:eastAsia="en-AU"/>
        </w:rPr>
        <w:t xml:space="preserve"> </w:t>
      </w:r>
      <w:r>
        <w:rPr>
          <w:lang w:eastAsia="en-AU"/>
        </w:rPr>
        <w:t>p</w:t>
      </w:r>
      <w:r w:rsidR="008E7846">
        <w:rPr>
          <w:lang w:eastAsia="en-AU"/>
        </w:rPr>
        <w:t>lan</w:t>
      </w:r>
      <w:bookmarkEnd w:id="160"/>
      <w:bookmarkEnd w:id="161"/>
      <w:bookmarkEnd w:id="162"/>
    </w:p>
    <w:p w:rsidR="008E7846" w:rsidRDefault="008E7846" w:rsidP="00881FBB">
      <w:pPr>
        <w:rPr>
          <w:lang w:eastAsia="en-AU"/>
        </w:rPr>
      </w:pPr>
      <w:r>
        <w:rPr>
          <w:lang w:eastAsia="en-AU"/>
        </w:rPr>
        <w:t xml:space="preserve">The sponsor submitted a </w:t>
      </w:r>
      <w:r w:rsidR="00BF3FA6" w:rsidRPr="00BF3FA6">
        <w:rPr>
          <w:lang w:eastAsia="en-AU"/>
        </w:rPr>
        <w:t xml:space="preserve">Risk Management Plan </w:t>
      </w:r>
      <w:r w:rsidR="00981C93">
        <w:rPr>
          <w:lang w:eastAsia="en-AU"/>
        </w:rPr>
        <w:t xml:space="preserve">(RMP) </w:t>
      </w:r>
      <w:r w:rsidR="00BF3FA6" w:rsidRPr="00BF3FA6">
        <w:rPr>
          <w:lang w:eastAsia="en-AU"/>
        </w:rPr>
        <w:t xml:space="preserve">Version in EU-RMP format Version 3.0 (dated 10 </w:t>
      </w:r>
      <w:r w:rsidR="00792620">
        <w:rPr>
          <w:lang w:eastAsia="en-AU"/>
        </w:rPr>
        <w:t>October 2014, Data Lock Point [DLP]</w:t>
      </w:r>
      <w:r w:rsidR="00BF3FA6">
        <w:rPr>
          <w:lang w:eastAsia="en-AU"/>
        </w:rPr>
        <w:t xml:space="preserve"> 1 March 2013 [</w:t>
      </w:r>
      <w:proofErr w:type="spellStart"/>
      <w:r w:rsidR="00852871">
        <w:rPr>
          <w:lang w:eastAsia="en-AU"/>
        </w:rPr>
        <w:t>PsA</w:t>
      </w:r>
      <w:proofErr w:type="spellEnd"/>
      <w:r w:rsidR="00BF3FA6">
        <w:rPr>
          <w:lang w:eastAsia="en-AU"/>
        </w:rPr>
        <w:t>]</w:t>
      </w:r>
      <w:r w:rsidR="00BF3FA6" w:rsidRPr="00BF3FA6">
        <w:rPr>
          <w:lang w:eastAsia="en-AU"/>
        </w:rPr>
        <w:t xml:space="preserve"> and</w:t>
      </w:r>
      <w:r w:rsidR="00BF3FA6">
        <w:rPr>
          <w:lang w:eastAsia="en-AU"/>
        </w:rPr>
        <w:t xml:space="preserve"> DLP 11 January 2013 [</w:t>
      </w:r>
      <w:r w:rsidR="00204432">
        <w:rPr>
          <w:lang w:eastAsia="en-AU"/>
        </w:rPr>
        <w:t>PSOR</w:t>
      </w:r>
      <w:r w:rsidR="00BF3FA6">
        <w:rPr>
          <w:lang w:eastAsia="en-AU"/>
        </w:rPr>
        <w:t>]</w:t>
      </w:r>
      <w:r w:rsidR="00BF3FA6" w:rsidRPr="00BF3FA6">
        <w:rPr>
          <w:lang w:eastAsia="en-AU"/>
        </w:rPr>
        <w:t xml:space="preserve">) and Australian Specific Annex </w:t>
      </w:r>
      <w:r w:rsidR="005044BD">
        <w:rPr>
          <w:lang w:eastAsia="en-AU"/>
        </w:rPr>
        <w:t xml:space="preserve">(ASA) </w:t>
      </w:r>
      <w:r w:rsidR="00BF3FA6" w:rsidRPr="00BF3FA6">
        <w:rPr>
          <w:lang w:eastAsia="en-AU"/>
        </w:rPr>
        <w:t>Version 2.0 (dated October 2014)</w:t>
      </w:r>
      <w:r w:rsidR="00BF3FA6">
        <w:rPr>
          <w:lang w:eastAsia="en-AU"/>
        </w:rPr>
        <w:t xml:space="preserve"> </w:t>
      </w:r>
      <w:r>
        <w:rPr>
          <w:lang w:eastAsia="en-AU"/>
        </w:rPr>
        <w:t>which was reviewed by the TGA’s Office of Product Review (OPR).</w:t>
      </w:r>
    </w:p>
    <w:p w:rsidR="008E7846" w:rsidRDefault="003A7F6C" w:rsidP="00881FBB">
      <w:pPr>
        <w:pStyle w:val="Heading4"/>
        <w:rPr>
          <w:lang w:eastAsia="en-AU"/>
        </w:rPr>
      </w:pPr>
      <w:r>
        <w:rPr>
          <w:lang w:eastAsia="en-AU"/>
        </w:rPr>
        <w:t xml:space="preserve">Safety </w:t>
      </w:r>
      <w:r w:rsidRPr="00881FBB">
        <w:t>s</w:t>
      </w:r>
      <w:r w:rsidR="008E7846" w:rsidRPr="00881FBB">
        <w:t>pecification</w:t>
      </w:r>
    </w:p>
    <w:p w:rsidR="0030047E" w:rsidRDefault="0030047E" w:rsidP="00881FBB">
      <w:pPr>
        <w:rPr>
          <w:lang w:eastAsia="en-AU"/>
        </w:rPr>
      </w:pPr>
      <w:r>
        <w:rPr>
          <w:lang w:eastAsia="en-AU"/>
        </w:rPr>
        <w:t>The sponsor provided a summary of ongoing safety concerns which are shown at Table</w:t>
      </w:r>
      <w:r w:rsidR="00B229D8">
        <w:rPr>
          <w:lang w:eastAsia="en-AU"/>
        </w:rPr>
        <w:t xml:space="preserve"> 1</w:t>
      </w:r>
      <w:r w:rsidR="009461B9">
        <w:rPr>
          <w:lang w:eastAsia="en-AU"/>
        </w:rPr>
        <w:t>1</w:t>
      </w:r>
      <w:r w:rsidR="00B229D8">
        <w:rPr>
          <w:lang w:eastAsia="en-AU"/>
        </w:rPr>
        <w:t>.</w:t>
      </w:r>
      <w:r w:rsidR="00506CC0">
        <w:rPr>
          <w:rStyle w:val="FootnoteReference"/>
          <w:lang w:eastAsia="en-AU"/>
        </w:rPr>
        <w:footnoteReference w:id="28"/>
      </w:r>
    </w:p>
    <w:p w:rsidR="00B229D8" w:rsidRDefault="00B229D8" w:rsidP="00881FBB">
      <w:pPr>
        <w:pStyle w:val="TableTitle"/>
      </w:pPr>
      <w:proofErr w:type="gramStart"/>
      <w:r>
        <w:t>Table 1</w:t>
      </w:r>
      <w:r w:rsidR="009461B9">
        <w:t>1</w:t>
      </w:r>
      <w:r>
        <w:t>:</w:t>
      </w:r>
      <w:r w:rsidRPr="004C5C28">
        <w:t xml:space="preserve"> </w:t>
      </w:r>
      <w:r w:rsidRPr="00881FBB">
        <w:t>Ongoing</w:t>
      </w:r>
      <w:r>
        <w:t xml:space="preserve"> safety concerns.</w:t>
      </w:r>
      <w:proofErr w:type="gramEnd"/>
    </w:p>
    <w:p w:rsidR="0030047E" w:rsidRDefault="00242F31" w:rsidP="00881FBB">
      <w:pPr>
        <w:rPr>
          <w:lang w:eastAsia="en-AU"/>
        </w:rPr>
      </w:pPr>
      <w:r>
        <w:rPr>
          <w:noProof/>
          <w:lang w:eastAsia="en-AU"/>
        </w:rPr>
        <w:drawing>
          <wp:inline distT="0" distB="0" distL="0" distR="0" wp14:anchorId="7321F71F" wp14:editId="791266C1">
            <wp:extent cx="5400040" cy="1186740"/>
            <wp:effectExtent l="0" t="0" r="0" b="0"/>
            <wp:docPr id="13" name="Picture 13" descr="Table 11: Ongoing safety concerns." title="Table 11: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1186740"/>
                    </a:xfrm>
                    <a:prstGeom prst="rect">
                      <a:avLst/>
                    </a:prstGeom>
                  </pic:spPr>
                </pic:pic>
              </a:graphicData>
            </a:graphic>
          </wp:inline>
        </w:drawing>
      </w:r>
    </w:p>
    <w:p w:rsidR="008E7846" w:rsidRDefault="008E7846" w:rsidP="00881FBB">
      <w:pPr>
        <w:pStyle w:val="Heading4"/>
        <w:rPr>
          <w:lang w:eastAsia="en-AU"/>
        </w:rPr>
      </w:pPr>
      <w:r w:rsidRPr="00881FBB">
        <w:t>Pharmacovigilance</w:t>
      </w:r>
      <w:r>
        <w:rPr>
          <w:lang w:eastAsia="en-AU"/>
        </w:rPr>
        <w:t xml:space="preserve"> </w:t>
      </w:r>
      <w:r w:rsidR="003A7F6C">
        <w:rPr>
          <w:lang w:eastAsia="en-AU"/>
        </w:rPr>
        <w:t>p</w:t>
      </w:r>
      <w:r>
        <w:rPr>
          <w:lang w:eastAsia="en-AU"/>
        </w:rPr>
        <w:t>lan</w:t>
      </w:r>
    </w:p>
    <w:p w:rsidR="003F56AD" w:rsidRPr="003F56AD" w:rsidRDefault="003F56AD" w:rsidP="00881FBB">
      <w:r w:rsidRPr="003F56AD">
        <w:t xml:space="preserve">The sponsor proposes routine and additional pharmacovigilance activities </w:t>
      </w:r>
      <w:r>
        <w:t>as</w:t>
      </w:r>
      <w:r w:rsidRPr="003F56AD">
        <w:t xml:space="preserve"> summarised in Table </w:t>
      </w:r>
      <w:r>
        <w:t>1</w:t>
      </w:r>
      <w:r w:rsidR="009461B9">
        <w:t>2</w:t>
      </w:r>
      <w:r w:rsidRPr="003F56AD">
        <w:t>.</w:t>
      </w:r>
    </w:p>
    <w:p w:rsidR="003F56AD" w:rsidRDefault="003F56AD" w:rsidP="00881FBB">
      <w:pPr>
        <w:pStyle w:val="TableTitle"/>
      </w:pPr>
      <w:proofErr w:type="gramStart"/>
      <w:r>
        <w:t xml:space="preserve">Table </w:t>
      </w:r>
      <w:r w:rsidRPr="00881FBB">
        <w:t>1</w:t>
      </w:r>
      <w:r w:rsidR="009461B9" w:rsidRPr="00881FBB">
        <w:t>2</w:t>
      </w:r>
      <w:r>
        <w:t>:</w:t>
      </w:r>
      <w:r w:rsidRPr="004C5C28">
        <w:t xml:space="preserve"> </w:t>
      </w:r>
      <w:r w:rsidRPr="003F56AD">
        <w:t>Additional pharmacovigilance activities (planned or ongoing</w:t>
      </w:r>
      <w:r>
        <w:t>).</w:t>
      </w:r>
      <w:proofErr w:type="gramEnd"/>
    </w:p>
    <w:p w:rsidR="008E7846" w:rsidRPr="003F56AD" w:rsidRDefault="00B87554" w:rsidP="00881FBB">
      <w:r>
        <w:rPr>
          <w:noProof/>
          <w:lang w:eastAsia="en-AU"/>
        </w:rPr>
        <w:drawing>
          <wp:inline distT="0" distB="0" distL="0" distR="0" wp14:anchorId="51FCFC1D" wp14:editId="7160C411">
            <wp:extent cx="5400040" cy="2074631"/>
            <wp:effectExtent l="0" t="0" r="0" b="1905"/>
            <wp:docPr id="14" name="Picture 14" descr="Table 12: Additional pharmacovigilance activities (planned or ongoing)." title="Table 12: Additional pharmacovigilance activities (planned or on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074631"/>
                    </a:xfrm>
                    <a:prstGeom prst="rect">
                      <a:avLst/>
                    </a:prstGeom>
                  </pic:spPr>
                </pic:pic>
              </a:graphicData>
            </a:graphic>
          </wp:inline>
        </w:drawing>
      </w:r>
    </w:p>
    <w:p w:rsidR="008E7846" w:rsidRDefault="008E7846" w:rsidP="00881FBB">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4014B1" w:rsidRPr="004014B1" w:rsidRDefault="004014B1" w:rsidP="00881FBB">
      <w:bookmarkStart w:id="163" w:name="_Toc247691527"/>
      <w:r w:rsidRPr="004014B1">
        <w:t>In part VI of the submitted RMP, the sponsor states the following with regard to additional risk minimisation activities:</w:t>
      </w:r>
    </w:p>
    <w:p w:rsidR="004014B1" w:rsidRPr="00881FBB" w:rsidRDefault="004014B1" w:rsidP="00881FBB">
      <w:pPr>
        <w:pStyle w:val="ListBullet"/>
        <w:numPr>
          <w:ilvl w:val="0"/>
          <w:numId w:val="0"/>
        </w:numPr>
        <w:ind w:left="360"/>
        <w:rPr>
          <w:i/>
        </w:rPr>
      </w:pPr>
      <w:r w:rsidRPr="00881FBB">
        <w:rPr>
          <w:i/>
        </w:rPr>
        <w:t>This medicine has no additional risk minimisation measures.</w:t>
      </w:r>
    </w:p>
    <w:p w:rsidR="006F25B8" w:rsidRDefault="006F25B8" w:rsidP="00881FBB">
      <w:pPr>
        <w:pStyle w:val="Heading4"/>
        <w:rPr>
          <w:lang w:eastAsia="en-AU"/>
        </w:rPr>
      </w:pPr>
      <w:r w:rsidRPr="006F25B8">
        <w:rPr>
          <w:lang w:eastAsia="en-AU"/>
        </w:rPr>
        <w:t xml:space="preserve">Reconciliation </w:t>
      </w:r>
      <w:r w:rsidRPr="00881FBB">
        <w:t>of</w:t>
      </w:r>
      <w:r w:rsidRPr="006F25B8">
        <w:rPr>
          <w:lang w:eastAsia="en-AU"/>
        </w:rPr>
        <w:t xml:space="preserve"> issues outlined in the RMP report </w:t>
      </w:r>
    </w:p>
    <w:p w:rsidR="00741470" w:rsidRDefault="00741470" w:rsidP="00881FBB">
      <w:pPr>
        <w:pStyle w:val="Heading5"/>
      </w:pPr>
      <w:r w:rsidRPr="00A24C10">
        <w:t xml:space="preserve">Recommendation </w:t>
      </w:r>
      <w:r>
        <w:t xml:space="preserve">#1 </w:t>
      </w:r>
      <w:r w:rsidRPr="00A24C10">
        <w:t xml:space="preserve">in RMP </w:t>
      </w:r>
      <w:r w:rsidRPr="00881FBB">
        <w:t>evaluation</w:t>
      </w:r>
      <w:r w:rsidRPr="00A24C10">
        <w:t xml:space="preserve"> report</w:t>
      </w:r>
    </w:p>
    <w:p w:rsidR="00741470" w:rsidRPr="000B2059" w:rsidRDefault="004E79C0" w:rsidP="00881FBB">
      <w:r w:rsidRPr="004E79C0">
        <w:t>Safety considerations may be raised by the nonclinical and clinical evalu</w:t>
      </w:r>
      <w:r w:rsidR="006B3C6A">
        <w:t>ators through the consolidated S</w:t>
      </w:r>
      <w:r w:rsidRPr="004E79C0">
        <w:t xml:space="preserve">ection 31 request and/or the </w:t>
      </w:r>
      <w:r w:rsidR="006B3C6A">
        <w:t>n</w:t>
      </w:r>
      <w:r w:rsidRPr="004E79C0">
        <w:t xml:space="preserve">onclinical and </w:t>
      </w:r>
      <w:r w:rsidR="006B3C6A">
        <w:t>c</w:t>
      </w:r>
      <w:r w:rsidRPr="004E79C0">
        <w:t xml:space="preserve">linical </w:t>
      </w:r>
      <w:r w:rsidR="006B3C6A">
        <w:t>e</w:t>
      </w:r>
      <w:r w:rsidRPr="004E79C0">
        <w:t xml:space="preserve">valuation </w:t>
      </w:r>
      <w:r w:rsidR="006B3C6A">
        <w:t>r</w:t>
      </w:r>
      <w:r w:rsidRPr="004E79C0">
        <w:t xml:space="preserve">eports respectively. It is important to ensure that the information provided in response to these includes a consideration of the relevance for the </w:t>
      </w:r>
      <w:r w:rsidR="005B3F70">
        <w:t>RMP</w:t>
      </w:r>
      <w:r w:rsidRPr="004E79C0">
        <w:t>, and any specific information needed to address this issue in the RMP. For any safety considerations so raised, please provide information that is relevant and necessary to address the issue in the RMP.</w:t>
      </w:r>
    </w:p>
    <w:p w:rsidR="00741470" w:rsidRDefault="00741470" w:rsidP="00881FBB">
      <w:pPr>
        <w:pStyle w:val="Heading5"/>
      </w:pPr>
      <w:r>
        <w:t xml:space="preserve">Sponsor </w:t>
      </w:r>
      <w:r w:rsidRPr="00881FBB">
        <w:t>response</w:t>
      </w:r>
    </w:p>
    <w:p w:rsidR="004E79C0" w:rsidRPr="004E79C0" w:rsidRDefault="004E79C0" w:rsidP="00881FBB">
      <w:r w:rsidRPr="004E79C0">
        <w:t xml:space="preserve">EU RMP version 01 and the corresponding </w:t>
      </w:r>
      <w:r w:rsidR="00DF2805">
        <w:t>ASA</w:t>
      </w:r>
      <w:r w:rsidRPr="004E79C0">
        <w:t xml:space="preserve"> version 01 were submitted with the Category 1 submission to register Otezla in Australia. Since the submission of this application (full</w:t>
      </w:r>
      <w:r w:rsidR="00DF2805">
        <w:t xml:space="preserve"> submission made to the TGA on </w:t>
      </w:r>
      <w:r w:rsidRPr="004E79C0">
        <w:t>7 March 2014), the EU RMP has been updated to version 03.</w:t>
      </w:r>
    </w:p>
    <w:p w:rsidR="004E79C0" w:rsidRPr="004E79C0" w:rsidRDefault="004E79C0" w:rsidP="00881FBB">
      <w:r w:rsidRPr="004E79C0">
        <w:t>S</w:t>
      </w:r>
      <w:r w:rsidR="00016768">
        <w:t>ome of the issues raised in the RMP</w:t>
      </w:r>
      <w:r w:rsidRPr="004E79C0">
        <w:t xml:space="preserve"> Evaluation Report Round 1 for this application, have been addressed in the EU RMP version 03. The updated version of the EU RMP is included with this response.</w:t>
      </w:r>
    </w:p>
    <w:p w:rsidR="00741470" w:rsidRPr="004E79C0" w:rsidRDefault="004E79C0" w:rsidP="00881FBB">
      <w:r w:rsidRPr="004E79C0">
        <w:t xml:space="preserve">A draft </w:t>
      </w:r>
      <w:r w:rsidR="00016768">
        <w:t>ASA</w:t>
      </w:r>
      <w:r w:rsidRPr="004E79C0">
        <w:t xml:space="preserve"> version 02 is also submitted with this response. Upon approval of the Otezla application by the TGA</w:t>
      </w:r>
      <w:r w:rsidR="00016768">
        <w:t>,</w:t>
      </w:r>
      <w:r w:rsidRPr="004E79C0">
        <w:t xml:space="preserve"> the </w:t>
      </w:r>
      <w:r w:rsidR="00016768">
        <w:t xml:space="preserve">ASA </w:t>
      </w:r>
      <w:r w:rsidRPr="004E79C0">
        <w:t>will be further updated per the relevant approved details.</w:t>
      </w:r>
    </w:p>
    <w:p w:rsidR="00741470" w:rsidRDefault="00741470" w:rsidP="00881FBB">
      <w:pPr>
        <w:pStyle w:val="Heading5"/>
      </w:pPr>
      <w:r>
        <w:t xml:space="preserve">OPR </w:t>
      </w:r>
      <w:r w:rsidRPr="00881FBB">
        <w:t>evaluator’s</w:t>
      </w:r>
      <w:r>
        <w:t xml:space="preserve"> comment</w:t>
      </w:r>
    </w:p>
    <w:p w:rsidR="00741470" w:rsidRDefault="004E79C0" w:rsidP="00881FBB">
      <w:pPr>
        <w:rPr>
          <w:lang w:eastAsia="en-AU"/>
        </w:rPr>
      </w:pPr>
      <w:r w:rsidRPr="004E79C0">
        <w:rPr>
          <w:lang w:eastAsia="en-AU"/>
        </w:rPr>
        <w:t>This is considered acceptable in the context of this application</w:t>
      </w:r>
      <w:r>
        <w:rPr>
          <w:lang w:eastAsia="en-AU"/>
        </w:rPr>
        <w:t>.</w:t>
      </w:r>
    </w:p>
    <w:p w:rsidR="003E646F" w:rsidRDefault="003E646F" w:rsidP="00881FBB">
      <w:pPr>
        <w:pStyle w:val="Heading5"/>
      </w:pPr>
      <w:r w:rsidRPr="00A24C10">
        <w:t xml:space="preserve">Recommendation </w:t>
      </w:r>
      <w:r>
        <w:t>#</w:t>
      </w:r>
      <w:r w:rsidR="004D5EF6">
        <w:t>2</w:t>
      </w:r>
      <w:r>
        <w:t xml:space="preserve"> </w:t>
      </w:r>
      <w:r w:rsidRPr="00A24C10">
        <w:t xml:space="preserve">in RMP evaluation </w:t>
      </w:r>
      <w:r w:rsidRPr="00881FBB">
        <w:t>report</w:t>
      </w:r>
    </w:p>
    <w:p w:rsidR="003E646F" w:rsidRPr="00CF5A09" w:rsidRDefault="00D50F9E" w:rsidP="00881FBB">
      <w:r w:rsidRPr="00CF5A09">
        <w:t>The sponsor has not provided study protocols or protocol synopses for all studies referenced in t</w:t>
      </w:r>
      <w:r w:rsidR="008D25E2">
        <w:t xml:space="preserve">he pharmacovigilance plan, that is, the Phase III </w:t>
      </w:r>
      <w:r w:rsidRPr="00CF5A09">
        <w:t>studies to collect long</w:t>
      </w:r>
      <w:r w:rsidR="005D5A4B">
        <w:t xml:space="preserve"> </w:t>
      </w:r>
      <w:r w:rsidRPr="00CF5A09">
        <w:t>term data. The sponsor should provide the missing study protocols or protocol synopses, as soon as they become available.</w:t>
      </w:r>
    </w:p>
    <w:p w:rsidR="003E646F" w:rsidRDefault="003E646F" w:rsidP="00881FBB">
      <w:pPr>
        <w:pStyle w:val="Heading5"/>
      </w:pPr>
      <w:r>
        <w:t xml:space="preserve">Sponsor </w:t>
      </w:r>
      <w:r w:rsidRPr="00881FBB">
        <w:t>response</w:t>
      </w:r>
    </w:p>
    <w:p w:rsidR="00CF5A09" w:rsidRPr="00CF5A09" w:rsidRDefault="00CF5A09" w:rsidP="00881FBB">
      <w:r w:rsidRPr="00CF5A09">
        <w:t>The sponsor has provided the available</w:t>
      </w:r>
      <w:r w:rsidR="005D5A4B">
        <w:t xml:space="preserve"> protocol summaries, including Phase III</w:t>
      </w:r>
      <w:r w:rsidRPr="00CF5A09">
        <w:t>, in the updated RMP (version 3.0). The protocol summaries are:</w:t>
      </w:r>
    </w:p>
    <w:p w:rsidR="00CF5A09" w:rsidRPr="00CF5A09" w:rsidRDefault="00CF5A09" w:rsidP="00881FBB">
      <w:pPr>
        <w:pStyle w:val="ListBullet"/>
      </w:pPr>
      <w:proofErr w:type="spellStart"/>
      <w:r w:rsidRPr="00881FBB">
        <w:t>Apremilast</w:t>
      </w:r>
      <w:proofErr w:type="spellEnd"/>
      <w:r w:rsidRPr="00CF5A09">
        <w:t xml:space="preserve"> Disease Registry in the EU</w:t>
      </w:r>
    </w:p>
    <w:p w:rsidR="00CF5A09" w:rsidRPr="00881FBB" w:rsidRDefault="00CF5A09" w:rsidP="00881FBB">
      <w:pPr>
        <w:pStyle w:val="ListBullet2"/>
      </w:pPr>
      <w:r w:rsidRPr="00881FBB">
        <w:t xml:space="preserve">British Society for Rheumatology Biologics Register (BSRBR) for </w:t>
      </w:r>
      <w:proofErr w:type="spellStart"/>
      <w:r w:rsidRPr="00881FBB">
        <w:t>PsA</w:t>
      </w:r>
      <w:proofErr w:type="spellEnd"/>
    </w:p>
    <w:p w:rsidR="00CF5A09" w:rsidRPr="00881FBB" w:rsidRDefault="00CF5A09" w:rsidP="00881FBB">
      <w:pPr>
        <w:pStyle w:val="ListBullet2"/>
      </w:pPr>
      <w:proofErr w:type="spellStart"/>
      <w:r w:rsidRPr="00881FBB">
        <w:t>PsoBest</w:t>
      </w:r>
      <w:proofErr w:type="spellEnd"/>
      <w:r w:rsidRPr="00881FBB">
        <w:t xml:space="preserve"> Registry Study</w:t>
      </w:r>
    </w:p>
    <w:p w:rsidR="00CF5A09" w:rsidRPr="00CF5A09" w:rsidRDefault="00CF5A09" w:rsidP="00881FBB">
      <w:pPr>
        <w:pStyle w:val="ListBullet"/>
      </w:pPr>
      <w:proofErr w:type="spellStart"/>
      <w:r w:rsidRPr="00CF5A09">
        <w:t>Apremilast</w:t>
      </w:r>
      <w:proofErr w:type="spellEnd"/>
      <w:r w:rsidRPr="00CF5A09">
        <w:t xml:space="preserve"> </w:t>
      </w:r>
      <w:r w:rsidRPr="00881FBB">
        <w:t>Pregnancy</w:t>
      </w:r>
      <w:r w:rsidRPr="00CF5A09">
        <w:t xml:space="preserve"> Exposure Registry OTIS Autoimmune Diseases in Pregnancy</w:t>
      </w:r>
    </w:p>
    <w:p w:rsidR="00CF5A09" w:rsidRPr="00881FBB" w:rsidRDefault="00CF5A09" w:rsidP="00881FBB">
      <w:pPr>
        <w:pStyle w:val="ListBullet"/>
      </w:pPr>
      <w:r w:rsidRPr="00881FBB">
        <w:t>CC-10004-PSA-002</w:t>
      </w:r>
    </w:p>
    <w:p w:rsidR="00CF5A09" w:rsidRPr="00881FBB" w:rsidRDefault="00CF5A09" w:rsidP="00881FBB">
      <w:pPr>
        <w:pStyle w:val="ListBullet"/>
      </w:pPr>
      <w:r w:rsidRPr="00881FBB">
        <w:t>CC-10004-PSA-003</w:t>
      </w:r>
    </w:p>
    <w:p w:rsidR="00CF5A09" w:rsidRPr="00881FBB" w:rsidRDefault="00CF5A09" w:rsidP="00881FBB">
      <w:pPr>
        <w:pStyle w:val="ListBullet"/>
      </w:pPr>
      <w:r w:rsidRPr="00881FBB">
        <w:t>CC-10004-PSA-004</w:t>
      </w:r>
    </w:p>
    <w:p w:rsidR="00CF5A09" w:rsidRPr="00881FBB" w:rsidRDefault="00CF5A09" w:rsidP="00881FBB">
      <w:pPr>
        <w:pStyle w:val="ListBullet"/>
      </w:pPr>
      <w:r w:rsidRPr="00881FBB">
        <w:t>CC-10004-PSA-005</w:t>
      </w:r>
    </w:p>
    <w:p w:rsidR="00CF5A09" w:rsidRPr="00881FBB" w:rsidRDefault="00CF5A09" w:rsidP="00881FBB">
      <w:pPr>
        <w:pStyle w:val="ListBullet"/>
      </w:pPr>
      <w:r w:rsidRPr="00881FBB">
        <w:t>CC-10004-PSOR-008</w:t>
      </w:r>
    </w:p>
    <w:p w:rsidR="003E646F" w:rsidRPr="00881FBB" w:rsidRDefault="00CF5A09" w:rsidP="00881FBB">
      <w:pPr>
        <w:pStyle w:val="ListBullet"/>
      </w:pPr>
      <w:r w:rsidRPr="00881FBB">
        <w:t>CC-10004-PSOR-009.</w:t>
      </w:r>
    </w:p>
    <w:p w:rsidR="003E646F" w:rsidRDefault="003E646F" w:rsidP="00881FBB">
      <w:pPr>
        <w:pStyle w:val="Heading5"/>
      </w:pPr>
      <w:r w:rsidRPr="00881FBB">
        <w:t>OPR</w:t>
      </w:r>
      <w:r>
        <w:t xml:space="preserve"> evaluator’s comment</w:t>
      </w:r>
    </w:p>
    <w:p w:rsidR="003E646F" w:rsidRPr="00A23D0A" w:rsidRDefault="004B63A2" w:rsidP="00A23D0A">
      <w:r w:rsidRPr="00A23D0A">
        <w:t>This is considered acceptable in the context of this application.</w:t>
      </w:r>
    </w:p>
    <w:p w:rsidR="003E646F" w:rsidRDefault="003E646F" w:rsidP="00881FBB">
      <w:pPr>
        <w:pStyle w:val="Heading5"/>
      </w:pPr>
      <w:r w:rsidRPr="00881FBB">
        <w:t>Recommendation</w:t>
      </w:r>
      <w:r w:rsidRPr="00A24C10">
        <w:t xml:space="preserve"> </w:t>
      </w:r>
      <w:r>
        <w:t>#</w:t>
      </w:r>
      <w:r w:rsidR="004D5EF6">
        <w:t>3</w:t>
      </w:r>
      <w:r>
        <w:t xml:space="preserve"> </w:t>
      </w:r>
      <w:r w:rsidRPr="00A24C10">
        <w:t>in RMP evaluation report</w:t>
      </w:r>
    </w:p>
    <w:p w:rsidR="00C668F9" w:rsidRPr="00C668F9" w:rsidRDefault="00C668F9" w:rsidP="00881FBB">
      <w:r w:rsidRPr="00C668F9">
        <w:t>Th</w:t>
      </w:r>
      <w:r w:rsidR="00631881">
        <w:t>e following should be added as o</w:t>
      </w:r>
      <w:r w:rsidRPr="00C668F9">
        <w:t xml:space="preserve">ngoing </w:t>
      </w:r>
      <w:r w:rsidR="00631881">
        <w:t>s</w:t>
      </w:r>
      <w:r w:rsidRPr="00C668F9">
        <w:t xml:space="preserve">afety </w:t>
      </w:r>
      <w:r w:rsidR="00631881">
        <w:t>c</w:t>
      </w:r>
      <w:r w:rsidRPr="00C668F9">
        <w:t>oncerns and become part of the pharmacovigilance plan:</w:t>
      </w:r>
    </w:p>
    <w:p w:rsidR="003E646F" w:rsidRPr="00C668F9" w:rsidRDefault="00C668F9" w:rsidP="00881FBB">
      <w:pPr>
        <w:pStyle w:val="ListBullet"/>
      </w:pPr>
      <w:r w:rsidRPr="00881FBB">
        <w:t>Gastrointestinal</w:t>
      </w:r>
      <w:r w:rsidRPr="00C668F9">
        <w:t xml:space="preserve"> effects (including</w:t>
      </w:r>
      <w:r>
        <w:t>, but not limited to diarrhoea)</w:t>
      </w:r>
    </w:p>
    <w:p w:rsidR="003E646F" w:rsidRDefault="003E646F" w:rsidP="00881FBB">
      <w:pPr>
        <w:pStyle w:val="Heading5"/>
      </w:pPr>
      <w:r>
        <w:t xml:space="preserve">Sponsor </w:t>
      </w:r>
      <w:r w:rsidRPr="00881FBB">
        <w:t>response</w:t>
      </w:r>
    </w:p>
    <w:p w:rsidR="003E646F" w:rsidRDefault="00327131" w:rsidP="00881FBB">
      <w:r w:rsidRPr="00E63ECA">
        <w:t xml:space="preserve">The </w:t>
      </w:r>
      <w:r w:rsidR="004A0D5F">
        <w:t>s</w:t>
      </w:r>
      <w:r w:rsidRPr="00E63ECA">
        <w:t>ponsor respectfully does not agree with the proposal to pla</w:t>
      </w:r>
      <w:r w:rsidR="00434A2A">
        <w:t xml:space="preserve">ce </w:t>
      </w:r>
      <w:r w:rsidR="009F3E58">
        <w:t>GI</w:t>
      </w:r>
      <w:r w:rsidRPr="00E63ECA">
        <w:t xml:space="preserve"> effects (including, but not limited to diarrhoea) with the important identified risks in the RMP. The </w:t>
      </w:r>
      <w:r w:rsidR="00434A2A">
        <w:t>s</w:t>
      </w:r>
      <w:r w:rsidRPr="00E63ECA">
        <w:t>ponsor has conducted a systematic analysis of the GI treatment</w:t>
      </w:r>
      <w:r w:rsidR="004A0D5F">
        <w:t xml:space="preserve"> </w:t>
      </w:r>
      <w:r w:rsidRPr="00E63ECA">
        <w:t>emergent adverse events (TEAEs) including severity, seriousness and discontinuation from the clinical studies and no TEA</w:t>
      </w:r>
      <w:r w:rsidR="00C919BB">
        <w:t>E</w:t>
      </w:r>
      <w:r w:rsidRPr="00E63ECA">
        <w:t xml:space="preserve">s lead to overt clinical consequences. GI events, including diarrhoea, nausea and abdominal pain, are reported as commonly associated with the use of other PDE4 inhibitors. During the </w:t>
      </w:r>
      <w:r w:rsidR="002B6593">
        <w:t>APR</w:t>
      </w:r>
      <w:r w:rsidRPr="00E63ECA">
        <w:t xml:space="preserve"> clinical trials, diarrhoea and nausea were the most frequently reported GI TEAEs (Table</w:t>
      </w:r>
      <w:r w:rsidR="00FC3DA3">
        <w:t>s</w:t>
      </w:r>
      <w:r w:rsidRPr="00E63ECA">
        <w:t xml:space="preserve"> </w:t>
      </w:r>
      <w:r w:rsidR="009461B9">
        <w:t>13-14</w:t>
      </w:r>
      <w:r w:rsidRPr="00E63ECA">
        <w:t>), however, the majority of these events were mild or moderate in severity and infrequentl</w:t>
      </w:r>
      <w:r w:rsidR="00404E10">
        <w:t>y (&lt; 2% of subjects) le</w:t>
      </w:r>
      <w:r w:rsidRPr="00E63ECA">
        <w:t>d to discontinuation. Few TEAEs were reported as seri</w:t>
      </w:r>
      <w:r w:rsidR="00C22876">
        <w:t>ous, with no apparent treatment</w:t>
      </w:r>
      <w:r w:rsidRPr="00E63ECA">
        <w:t xml:space="preserve"> or dose</w:t>
      </w:r>
      <w:r w:rsidR="00C22876">
        <w:t xml:space="preserve"> </w:t>
      </w:r>
      <w:r w:rsidRPr="00E63ECA">
        <w:t>related effects. Importantly, these events (predominately diarrhoea and nausea) occurred more frequently during the first two weeks and resolved within four weeks of treatment. The majority of subjects who report</w:t>
      </w:r>
      <w:r w:rsidR="00C22876">
        <w:t>ed diarrhoea in the PSOR Phase III</w:t>
      </w:r>
      <w:r w:rsidRPr="00E63ECA">
        <w:t xml:space="preserve"> studies did not require treatment, while 10% were treated with an </w:t>
      </w:r>
      <w:proofErr w:type="spellStart"/>
      <w:r w:rsidRPr="00E63ECA">
        <w:t>anti</w:t>
      </w:r>
      <w:r w:rsidR="00404E10">
        <w:t xml:space="preserve"> </w:t>
      </w:r>
      <w:r w:rsidRPr="00E63ECA">
        <w:t>diarrhoea</w:t>
      </w:r>
      <w:proofErr w:type="spellEnd"/>
      <w:r w:rsidR="00404E10">
        <w:t xml:space="preserve"> product</w:t>
      </w:r>
      <w:r w:rsidRPr="00E63ECA">
        <w:t xml:space="preserve"> (15/148). Tables </w:t>
      </w:r>
      <w:r w:rsidR="00FC3DA3">
        <w:t>1</w:t>
      </w:r>
      <w:r w:rsidR="009461B9">
        <w:t>3</w:t>
      </w:r>
      <w:r w:rsidRPr="00E63ECA">
        <w:t xml:space="preserve"> and </w:t>
      </w:r>
      <w:r w:rsidR="00FC3DA3">
        <w:t>1</w:t>
      </w:r>
      <w:r w:rsidR="009461B9">
        <w:t>4</w:t>
      </w:r>
      <w:r w:rsidRPr="00E63ECA">
        <w:t xml:space="preserve"> show the overview of TEAEs of diarrhoea and nausea for both indications (PSA and PSOR).</w:t>
      </w:r>
    </w:p>
    <w:p w:rsidR="00E72B98" w:rsidRDefault="00E72B98" w:rsidP="00881FBB">
      <w:pPr>
        <w:pStyle w:val="TableTitle"/>
      </w:pPr>
      <w:r>
        <w:t>Table 1</w:t>
      </w:r>
      <w:r w:rsidR="009461B9">
        <w:t>3</w:t>
      </w:r>
      <w:r>
        <w:t>:</w:t>
      </w:r>
      <w:r w:rsidRPr="004C5C28">
        <w:t xml:space="preserve"> </w:t>
      </w:r>
      <w:r w:rsidR="00187D53">
        <w:t>Overview of TEAEs of diarrhoea durin</w:t>
      </w:r>
      <w:r w:rsidR="004759BC">
        <w:t xml:space="preserve">g the treatment duration period </w:t>
      </w:r>
      <w:r w:rsidR="00187D53">
        <w:t>Weeks 0 to 16 (subjects as treated)</w:t>
      </w:r>
      <w:r>
        <w:t>.</w:t>
      </w:r>
      <w:r w:rsidR="00423FE0">
        <w:t>*</w:t>
      </w:r>
    </w:p>
    <w:p w:rsidR="00E72B98" w:rsidRDefault="00FC3DA3" w:rsidP="00881FBB">
      <w:r>
        <w:rPr>
          <w:noProof/>
          <w:lang w:eastAsia="en-AU"/>
        </w:rPr>
        <w:drawing>
          <wp:inline distT="0" distB="0" distL="0" distR="0" wp14:anchorId="284EB0B8" wp14:editId="6DDE55F0">
            <wp:extent cx="4610123" cy="3483696"/>
            <wp:effectExtent l="0" t="0" r="0" b="2540"/>
            <wp:docPr id="20" name="Picture 20" descr="Table 13: Overview of TEAEs of diarrhoea during the treatment duration period Weeks 0 to 16 (subjects as treated)." title="Table 13: Overview of TEAEs of diarrhoea during the treatment duration period Weeks 0 to 16 (subjec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12690" cy="3485636"/>
                    </a:xfrm>
                    <a:prstGeom prst="rect">
                      <a:avLst/>
                    </a:prstGeom>
                  </pic:spPr>
                </pic:pic>
              </a:graphicData>
            </a:graphic>
          </wp:inline>
        </w:drawing>
      </w:r>
    </w:p>
    <w:p w:rsidR="00E72B98" w:rsidRDefault="00E72B98" w:rsidP="00881FBB">
      <w:pPr>
        <w:pStyle w:val="TableTitle"/>
      </w:pPr>
      <w:r>
        <w:t>Table 1</w:t>
      </w:r>
      <w:r w:rsidR="009461B9">
        <w:t>4</w:t>
      </w:r>
      <w:r>
        <w:t>:</w:t>
      </w:r>
      <w:r w:rsidRPr="004C5C28">
        <w:t xml:space="preserve"> </w:t>
      </w:r>
      <w:r w:rsidR="00423FE0">
        <w:t>Overview of TEAEs of nausea during the treatment duration period Weeks 0 to 16 (</w:t>
      </w:r>
      <w:r w:rsidR="00423FE0" w:rsidRPr="00881FBB">
        <w:t>subjects</w:t>
      </w:r>
      <w:r w:rsidR="00423FE0">
        <w:t xml:space="preserve"> as treated</w:t>
      </w:r>
      <w:r>
        <w:t>).</w:t>
      </w:r>
      <w:r w:rsidR="00423FE0">
        <w:t>*</w:t>
      </w:r>
    </w:p>
    <w:p w:rsidR="00E72B98" w:rsidRPr="00E63ECA" w:rsidRDefault="00573AE6" w:rsidP="00881FBB">
      <w:r>
        <w:rPr>
          <w:noProof/>
          <w:lang w:eastAsia="en-AU"/>
        </w:rPr>
        <w:drawing>
          <wp:inline distT="0" distB="0" distL="0" distR="0" wp14:anchorId="0593C2E4" wp14:editId="10A84B1F">
            <wp:extent cx="4586274" cy="3162373"/>
            <wp:effectExtent l="0" t="0" r="5080" b="0"/>
            <wp:docPr id="24" name="Picture 24" descr="Table 14: Overview of TEAEs of nausea during the treatment duration period Weeks 0 to 16 (subjects as treated)." title="Table 14: Overview of TEAEs of nausea during the treatment duration period Weeks 0 to 16 (subjec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86700" cy="3162667"/>
                    </a:xfrm>
                    <a:prstGeom prst="rect">
                      <a:avLst/>
                    </a:prstGeom>
                  </pic:spPr>
                </pic:pic>
              </a:graphicData>
            </a:graphic>
          </wp:inline>
        </w:drawing>
      </w:r>
    </w:p>
    <w:p w:rsidR="00856DF8" w:rsidRDefault="00856DF8" w:rsidP="00881FBB">
      <w:r w:rsidRPr="00856DF8">
        <w:t xml:space="preserve">The </w:t>
      </w:r>
      <w:r w:rsidR="007761F6">
        <w:t>s</w:t>
      </w:r>
      <w:r w:rsidRPr="00856DF8">
        <w:t>ponsor acknowledges the concern may not be related to only diarrhoea and nausea, but all GI effects. When reviewing GI disor</w:t>
      </w:r>
      <w:r w:rsidR="001630F2">
        <w:t>ders in the PSA and PSOR Phase III</w:t>
      </w:r>
      <w:r w:rsidRPr="00856DF8">
        <w:t xml:space="preserve"> studies, the incidence of serious GI disorders was low and of interest, more subjects receiving </w:t>
      </w:r>
      <w:r w:rsidR="0011514D">
        <w:t>PBO</w:t>
      </w:r>
      <w:r w:rsidRPr="00856DF8">
        <w:t xml:space="preserve"> reported serious TEAE than those treated with </w:t>
      </w:r>
      <w:r w:rsidR="002B6593">
        <w:t>APR</w:t>
      </w:r>
      <w:r w:rsidR="007F5A20">
        <w:t xml:space="preserve"> (0.4% versus</w:t>
      </w:r>
      <w:r w:rsidRPr="00856DF8">
        <w:t xml:space="preserve"> 0.2%) </w:t>
      </w:r>
      <w:proofErr w:type="gramStart"/>
      <w:r w:rsidRPr="00856DF8">
        <w:t xml:space="preserve">(Table </w:t>
      </w:r>
      <w:r w:rsidR="000D63E1">
        <w:t>1</w:t>
      </w:r>
      <w:r w:rsidR="00FA7A24">
        <w:t>5</w:t>
      </w:r>
      <w:r w:rsidRPr="00856DF8">
        <w:t>).</w:t>
      </w:r>
      <w:proofErr w:type="gramEnd"/>
      <w:r w:rsidRPr="00856DF8">
        <w:t xml:space="preserve"> The incidence of serious GI disorders did not increase with the continued use of </w:t>
      </w:r>
      <w:r w:rsidR="002B6593">
        <w:t>APR.</w:t>
      </w:r>
    </w:p>
    <w:p w:rsidR="000951C3" w:rsidRDefault="000951C3" w:rsidP="00881FBB">
      <w:pPr>
        <w:pStyle w:val="TableTitle"/>
      </w:pPr>
      <w:r>
        <w:t>Table 1</w:t>
      </w:r>
      <w:r w:rsidR="00FA7A24">
        <w:t>5</w:t>
      </w:r>
      <w:r>
        <w:t>:</w:t>
      </w:r>
      <w:r w:rsidRPr="004C5C28">
        <w:t xml:space="preserve"> </w:t>
      </w:r>
      <w:r w:rsidR="002B6593">
        <w:t>APR</w:t>
      </w:r>
      <w:r w:rsidR="00B57AD0">
        <w:t xml:space="preserve"> </w:t>
      </w:r>
      <w:r w:rsidR="00B57AD0" w:rsidRPr="00881FBB">
        <w:t>data</w:t>
      </w:r>
      <w:r w:rsidR="00B57AD0">
        <w:t xml:space="preserve"> pool: TEAE of GI disorders SOC during the </w:t>
      </w:r>
      <w:r w:rsidR="0011514D">
        <w:t>PBO</w:t>
      </w:r>
      <w:r w:rsidR="00B57AD0">
        <w:t>-controlled period.</w:t>
      </w:r>
    </w:p>
    <w:p w:rsidR="000951C3" w:rsidRDefault="00D55EE7" w:rsidP="00881FBB">
      <w:r>
        <w:rPr>
          <w:noProof/>
          <w:lang w:eastAsia="en-AU"/>
        </w:rPr>
        <w:drawing>
          <wp:inline distT="0" distB="0" distL="0" distR="0" wp14:anchorId="235690C5" wp14:editId="4AFCAB5C">
            <wp:extent cx="4701026" cy="3021513"/>
            <wp:effectExtent l="0" t="0" r="4445" b="7620"/>
            <wp:docPr id="26" name="Picture 26" descr="Table 15: APR data pool: TEAE of GI disorders SOC during the PBO-controlled period." title="Table 15: APR data pool: TEAE of GI disorders SOC during the PBO-controlled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02672" cy="3022571"/>
                    </a:xfrm>
                    <a:prstGeom prst="rect">
                      <a:avLst/>
                    </a:prstGeom>
                  </pic:spPr>
                </pic:pic>
              </a:graphicData>
            </a:graphic>
          </wp:inline>
        </w:drawing>
      </w:r>
    </w:p>
    <w:p w:rsidR="000951C3" w:rsidRPr="000951C3" w:rsidRDefault="000951C3" w:rsidP="00881FBB">
      <w:r w:rsidRPr="000951C3">
        <w:t xml:space="preserve">The analyses revealed the majority of </w:t>
      </w:r>
      <w:r w:rsidR="007F5A20">
        <w:t>GI</w:t>
      </w:r>
      <w:r w:rsidRPr="000951C3">
        <w:t xml:space="preserve"> events were non</w:t>
      </w:r>
      <w:r w:rsidR="00631881">
        <w:t>-</w:t>
      </w:r>
      <w:r w:rsidRPr="000951C3">
        <w:t xml:space="preserve">serious and mild to moderate in severity. Diarrhoea, nausea, vomiting and upper abdominal pain are listed as adverse drug reactions in product labelling. Serious diarrhoea is assessed in the RMP under Part II/SVIII, </w:t>
      </w:r>
      <w:r w:rsidR="00AE4DB4">
        <w:t>S</w:t>
      </w:r>
      <w:r w:rsidRPr="000951C3">
        <w:t xml:space="preserve">ection 5.1: important pharmacological class effects, and therefore, will be monitored for changes in nature or severity by the </w:t>
      </w:r>
      <w:r w:rsidR="007F5A20">
        <w:t>s</w:t>
      </w:r>
      <w:r w:rsidRPr="000951C3">
        <w:t xml:space="preserve">ponsor via routine pharmacovigilance. The </w:t>
      </w:r>
      <w:r w:rsidR="007F5A20">
        <w:t>s</w:t>
      </w:r>
      <w:r w:rsidRPr="000951C3">
        <w:t>ponsor respectfully does not agree with the proposal to reclassify GI effects with the important identified risks in the RMP</w:t>
      </w:r>
      <w:r>
        <w:t>.</w:t>
      </w:r>
    </w:p>
    <w:p w:rsidR="003E646F" w:rsidRDefault="003E646F" w:rsidP="00881FBB">
      <w:pPr>
        <w:pStyle w:val="Heading5"/>
      </w:pPr>
      <w:r>
        <w:t xml:space="preserve">OPR evaluator’s </w:t>
      </w:r>
      <w:r w:rsidRPr="00881FBB">
        <w:t>comment</w:t>
      </w:r>
    </w:p>
    <w:p w:rsidR="00187D53" w:rsidRPr="00187D53" w:rsidRDefault="007F5A20" w:rsidP="00881FBB">
      <w:r>
        <w:t>In the Section</w:t>
      </w:r>
      <w:r w:rsidR="00187D53" w:rsidRPr="00187D53">
        <w:t xml:space="preserve"> 31 response, the sponsor recognises that GI </w:t>
      </w:r>
      <w:r w:rsidR="00CF7F68">
        <w:t>AEs</w:t>
      </w:r>
      <w:r w:rsidR="00187D53" w:rsidRPr="00187D53">
        <w:t xml:space="preserve"> were the </w:t>
      </w:r>
      <w:r w:rsidR="00881FBB">
        <w:t>most frequently reported TEAEs.</w:t>
      </w:r>
    </w:p>
    <w:p w:rsidR="00187D53" w:rsidRPr="00187D53" w:rsidRDefault="00187D53" w:rsidP="00881FBB">
      <w:r w:rsidRPr="00187D53">
        <w:t>Furthermore, it is noted that 10% of the patients reporting diarrhoea required antidiarrheal treatment. The OPR evaluator considers this to be an overt clinical consequence.</w:t>
      </w:r>
    </w:p>
    <w:p w:rsidR="00187D53" w:rsidRPr="00187D53" w:rsidRDefault="00187D53" w:rsidP="00881FBB">
      <w:r w:rsidRPr="00187D53">
        <w:t>Treatment discontinuation or interruption is likely to be increased outside a clinical trial setting.</w:t>
      </w:r>
    </w:p>
    <w:p w:rsidR="00187D53" w:rsidRPr="00187D53" w:rsidRDefault="00187D53" w:rsidP="00881FBB">
      <w:r w:rsidRPr="00187D53">
        <w:t xml:space="preserve">The </w:t>
      </w:r>
      <w:r w:rsidR="00717BDE">
        <w:t>relevant EMA guidance document</w:t>
      </w:r>
      <w:r w:rsidR="00717BDE">
        <w:rPr>
          <w:rStyle w:val="FootnoteReference"/>
        </w:rPr>
        <w:footnoteReference w:id="29"/>
      </w:r>
      <w:r w:rsidR="00717BDE">
        <w:t xml:space="preserve"> </w:t>
      </w:r>
      <w:r w:rsidRPr="00187D53">
        <w:t>in ‘Part II: Module SVII - Identified and potential risks’ states the following:</w:t>
      </w:r>
    </w:p>
    <w:p w:rsidR="00187D53" w:rsidRPr="009E16C0" w:rsidRDefault="00187D53" w:rsidP="009E16C0">
      <w:pPr>
        <w:pStyle w:val="ListBullet"/>
        <w:numPr>
          <w:ilvl w:val="0"/>
          <w:numId w:val="0"/>
        </w:numPr>
        <w:ind w:left="360"/>
        <w:rPr>
          <w:i/>
        </w:rPr>
      </w:pPr>
      <w:r w:rsidRPr="009E16C0">
        <w:rPr>
          <w:i/>
        </w:rPr>
        <w:t>“In addition, risks, which whilst not normally serious enough to require specific warnings or precautions, but which occur in a significant proportion of the treated population, affect the quality of the treated person’s life, and which could lead to serious consequences if untreated, should also be considered for inclusion, e.g. severe nausea and vomiting with chemotherapy.”</w:t>
      </w:r>
    </w:p>
    <w:p w:rsidR="00187D53" w:rsidRPr="00187D53" w:rsidRDefault="00187D53" w:rsidP="009E16C0">
      <w:r w:rsidRPr="00187D53">
        <w:t>To ensure appropriate reporting ‘Gastrointestinal effects (including, but not limited to diarrhoea)’ should be added as Important Identified Risk.</w:t>
      </w:r>
    </w:p>
    <w:p w:rsidR="003E646F" w:rsidRPr="00187D53" w:rsidRDefault="00187D53" w:rsidP="009E16C0">
      <w:r w:rsidRPr="00187D53">
        <w:t>The recommendation remains.</w:t>
      </w:r>
    </w:p>
    <w:p w:rsidR="003E646F" w:rsidRDefault="003E646F" w:rsidP="009E16C0">
      <w:pPr>
        <w:pStyle w:val="Heading5"/>
      </w:pPr>
      <w:r w:rsidRPr="00A24C10">
        <w:t xml:space="preserve">Recommendation </w:t>
      </w:r>
      <w:r>
        <w:t>#</w:t>
      </w:r>
      <w:r w:rsidR="004D5EF6">
        <w:t>4</w:t>
      </w:r>
      <w:r>
        <w:t xml:space="preserve"> </w:t>
      </w:r>
      <w:r w:rsidRPr="00A24C10">
        <w:t>in RMP evaluation report</w:t>
      </w:r>
    </w:p>
    <w:p w:rsidR="00DE23CB" w:rsidRPr="00C668F9" w:rsidRDefault="00DE23CB" w:rsidP="009E16C0">
      <w:r w:rsidRPr="00C668F9">
        <w:t>Th</w:t>
      </w:r>
      <w:r>
        <w:t>e following should be added as o</w:t>
      </w:r>
      <w:r w:rsidRPr="00C668F9">
        <w:t xml:space="preserve">ngoing </w:t>
      </w:r>
      <w:r>
        <w:t>s</w:t>
      </w:r>
      <w:r w:rsidRPr="00C668F9">
        <w:t xml:space="preserve">afety </w:t>
      </w:r>
      <w:r>
        <w:t>c</w:t>
      </w:r>
      <w:r w:rsidRPr="00C668F9">
        <w:t>oncerns and become part of the pharmacovigilance plan:</w:t>
      </w:r>
    </w:p>
    <w:p w:rsidR="00DE23CB" w:rsidRPr="00C668F9" w:rsidRDefault="00DE23CB" w:rsidP="009E16C0">
      <w:pPr>
        <w:pStyle w:val="ListBullet"/>
      </w:pPr>
      <w:r w:rsidRPr="00DE23CB">
        <w:t>Infections (</w:t>
      </w:r>
      <w:r w:rsidRPr="009E16C0">
        <w:t>including</w:t>
      </w:r>
      <w:r w:rsidRPr="00DE23CB">
        <w:t>, but not limited to URTIs</w:t>
      </w:r>
      <w:r>
        <w:t>)</w:t>
      </w:r>
    </w:p>
    <w:p w:rsidR="003E646F" w:rsidRDefault="003E646F" w:rsidP="009E16C0">
      <w:pPr>
        <w:pStyle w:val="Heading5"/>
      </w:pPr>
      <w:r w:rsidRPr="009E16C0">
        <w:t>Sponsor</w:t>
      </w:r>
      <w:r>
        <w:t xml:space="preserve"> response</w:t>
      </w:r>
    </w:p>
    <w:p w:rsidR="006928A5" w:rsidRPr="006928A5" w:rsidRDefault="006928A5" w:rsidP="009E16C0">
      <w:r w:rsidRPr="006928A5">
        <w:t xml:space="preserve">The </w:t>
      </w:r>
      <w:r w:rsidR="008B7618">
        <w:t>s</w:t>
      </w:r>
      <w:r w:rsidRPr="006928A5">
        <w:t xml:space="preserve">ponsor respectfully does not agree with the proposal to add Infections (including, but not limited to URTIs) as an important identified risk. An extensive evaluation, including the adjudication of serious infections (including opportunistic infections), was performed. Based on the adjudicator’s assessment, no imbalance was observed when comparing the EAIR between subjects who received </w:t>
      </w:r>
      <w:r w:rsidR="0011514D">
        <w:t>PBO</w:t>
      </w:r>
      <w:r w:rsidRPr="006928A5">
        <w:t xml:space="preserve"> and subjects who received </w:t>
      </w:r>
      <w:r w:rsidR="002B6593">
        <w:t>APR</w:t>
      </w:r>
      <w:r w:rsidRPr="006928A5">
        <w:t>. The analysis of upper respiratory tract infections in the pooled data sets revealed that only one of the TEAs was reported as serious. This even</w:t>
      </w:r>
      <w:r w:rsidR="008B7618">
        <w:t>t was chronic tonsillitis (for example,</w:t>
      </w:r>
      <w:r w:rsidRPr="006928A5">
        <w:t xml:space="preserve"> pre-existing) in a patient who received </w:t>
      </w:r>
      <w:r w:rsidR="002B6593">
        <w:t>APR</w:t>
      </w:r>
      <w:r w:rsidRPr="006928A5">
        <w:t xml:space="preserve"> 20 mg BID for treatment of </w:t>
      </w:r>
      <w:proofErr w:type="spellStart"/>
      <w:r w:rsidRPr="006928A5">
        <w:t>PsA.</w:t>
      </w:r>
      <w:proofErr w:type="spellEnd"/>
      <w:r w:rsidRPr="006928A5">
        <w:t xml:space="preserve"> </w:t>
      </w:r>
      <w:r w:rsidR="00706D5A">
        <w:t>URTI</w:t>
      </w:r>
      <w:r w:rsidRPr="006928A5">
        <w:t xml:space="preserve"> is listed as an adverse drug reaction in product labelling.</w:t>
      </w:r>
    </w:p>
    <w:p w:rsidR="003E646F" w:rsidRPr="006928A5" w:rsidRDefault="006928A5" w:rsidP="009E16C0">
      <w:r w:rsidRPr="006928A5">
        <w:t xml:space="preserve">Overall, the incidence of infections did not increase with longer exposure to </w:t>
      </w:r>
      <w:r w:rsidR="002B6593">
        <w:t>APR</w:t>
      </w:r>
      <w:r w:rsidRPr="006928A5">
        <w:t>. The majority were non</w:t>
      </w:r>
      <w:r w:rsidR="00B4368A">
        <w:t>-</w:t>
      </w:r>
      <w:r w:rsidRPr="006928A5">
        <w:t xml:space="preserve">serious and most subjects recovered within two weeks. It has been proposed that because </w:t>
      </w:r>
      <w:r w:rsidR="002B6593">
        <w:t>APR</w:t>
      </w:r>
      <w:r w:rsidRPr="006928A5">
        <w:t xml:space="preserve"> can decrease the effects in the pro-inflammatory mediators, the response of the body to different microorganisms may be compromised. Therefore</w:t>
      </w:r>
      <w:r w:rsidR="003F47C1">
        <w:t>,</w:t>
      </w:r>
      <w:r w:rsidRPr="006928A5">
        <w:t xml:space="preserve"> at the request of other regulatory authorities, the </w:t>
      </w:r>
      <w:r w:rsidR="003F47C1">
        <w:t>s</w:t>
      </w:r>
      <w:r w:rsidRPr="006928A5">
        <w:t>ponsor has agreed to include serious infections as an important potential risk in the RMP.</w:t>
      </w:r>
    </w:p>
    <w:p w:rsidR="003E646F" w:rsidRDefault="003E646F" w:rsidP="009E16C0">
      <w:pPr>
        <w:pStyle w:val="Heading5"/>
      </w:pPr>
      <w:r>
        <w:t xml:space="preserve">OPR evaluator’s </w:t>
      </w:r>
      <w:r w:rsidRPr="009E16C0">
        <w:t>comment</w:t>
      </w:r>
    </w:p>
    <w:p w:rsidR="006928A5" w:rsidRPr="006928A5" w:rsidRDefault="006928A5" w:rsidP="009E16C0">
      <w:r w:rsidRPr="006928A5">
        <w:t>This is considered acceptable in the context of this application.</w:t>
      </w:r>
    </w:p>
    <w:p w:rsidR="003E646F" w:rsidRPr="006928A5" w:rsidRDefault="006928A5" w:rsidP="009E16C0">
      <w:r w:rsidRPr="006928A5">
        <w:t>However, this does not constitute a regulatory precedent for this or other medicinal products.</w:t>
      </w:r>
    </w:p>
    <w:p w:rsidR="006928A5" w:rsidRDefault="006928A5" w:rsidP="009E16C0">
      <w:pPr>
        <w:pStyle w:val="Heading5"/>
      </w:pPr>
      <w:r w:rsidRPr="009E16C0">
        <w:t>Recommendation</w:t>
      </w:r>
      <w:r w:rsidRPr="00A24C10">
        <w:t xml:space="preserve"> </w:t>
      </w:r>
      <w:r>
        <w:t xml:space="preserve">#5 </w:t>
      </w:r>
      <w:r w:rsidRPr="00A24C10">
        <w:t>in RMP evaluation report</w:t>
      </w:r>
    </w:p>
    <w:p w:rsidR="006928A5" w:rsidRPr="00C668F9" w:rsidRDefault="006928A5" w:rsidP="009E16C0">
      <w:r w:rsidRPr="00C668F9">
        <w:t>Th</w:t>
      </w:r>
      <w:r>
        <w:t>e following should be added as o</w:t>
      </w:r>
      <w:r w:rsidRPr="00C668F9">
        <w:t xml:space="preserve">ngoing </w:t>
      </w:r>
      <w:r>
        <w:t>s</w:t>
      </w:r>
      <w:r w:rsidRPr="00C668F9">
        <w:t xml:space="preserve">afety </w:t>
      </w:r>
      <w:r>
        <w:t>c</w:t>
      </w:r>
      <w:r w:rsidRPr="00C668F9">
        <w:t>oncerns and become part of the pharmacovigilance plan:</w:t>
      </w:r>
    </w:p>
    <w:p w:rsidR="006928A5" w:rsidRPr="00C668F9" w:rsidRDefault="00FC26A8" w:rsidP="009E16C0">
      <w:pPr>
        <w:pStyle w:val="ListBullet"/>
      </w:pPr>
      <w:r w:rsidRPr="009E16C0">
        <w:t>Weight</w:t>
      </w:r>
      <w:r>
        <w:t xml:space="preserve"> loss</w:t>
      </w:r>
    </w:p>
    <w:p w:rsidR="006928A5" w:rsidRDefault="006928A5" w:rsidP="009E16C0">
      <w:pPr>
        <w:pStyle w:val="Heading5"/>
      </w:pPr>
      <w:r>
        <w:t xml:space="preserve">Sponsor </w:t>
      </w:r>
      <w:r w:rsidRPr="009E16C0">
        <w:t>response</w:t>
      </w:r>
    </w:p>
    <w:p w:rsidR="00FC26A8" w:rsidRPr="00FC26A8" w:rsidRDefault="00FC26A8" w:rsidP="009E16C0">
      <w:r w:rsidRPr="00FC26A8">
        <w:t xml:space="preserve">The </w:t>
      </w:r>
      <w:r w:rsidR="00755F0C">
        <w:t>s</w:t>
      </w:r>
      <w:r w:rsidRPr="00FC26A8">
        <w:t xml:space="preserve">ponsor agrees to reclassify weight loss in version 3 of the RMP. As weight decrease has been reported with other PDE4 inhibitors, the </w:t>
      </w:r>
      <w:r w:rsidR="00590220">
        <w:t>s</w:t>
      </w:r>
      <w:r w:rsidRPr="00FC26A8">
        <w:t>ponsor conducted a systematic analysis of TEAEs of weight decrease and changes in measurements</w:t>
      </w:r>
      <w:r w:rsidR="006A7166">
        <w:t xml:space="preserve"> of weight.</w:t>
      </w:r>
    </w:p>
    <w:p w:rsidR="00FC26A8" w:rsidRPr="00FC26A8" w:rsidRDefault="00FC26A8" w:rsidP="009E16C0">
      <w:r w:rsidRPr="00FC26A8">
        <w:t xml:space="preserve">Some studies of </w:t>
      </w:r>
      <w:r w:rsidR="00204432">
        <w:t>PSOR</w:t>
      </w:r>
      <w:r w:rsidRPr="00FC26A8">
        <w:t xml:space="preserve"> and </w:t>
      </w:r>
      <w:proofErr w:type="spellStart"/>
      <w:r w:rsidRPr="00FC26A8">
        <w:t>PsA</w:t>
      </w:r>
      <w:proofErr w:type="spellEnd"/>
      <w:r w:rsidRPr="00FC26A8">
        <w:t xml:space="preserve"> have </w:t>
      </w:r>
      <w:r w:rsidR="00E82FDC">
        <w:t>reported mean BMI</w:t>
      </w:r>
      <w:r w:rsidRPr="00FC26A8">
        <w:t xml:space="preserve"> of 27 to 29 kg/m</w:t>
      </w:r>
      <w:r w:rsidRPr="00E82FDC">
        <w:rPr>
          <w:vertAlign w:val="superscript"/>
        </w:rPr>
        <w:t>2</w:t>
      </w:r>
      <w:r w:rsidRPr="00FC26A8">
        <w:t xml:space="preserve"> in </w:t>
      </w:r>
      <w:proofErr w:type="spellStart"/>
      <w:r w:rsidRPr="00FC26A8">
        <w:t>PsA</w:t>
      </w:r>
      <w:proofErr w:type="spellEnd"/>
      <w:r w:rsidRPr="00FC26A8">
        <w:t xml:space="preserve"> and </w:t>
      </w:r>
      <w:r w:rsidR="00204432">
        <w:t>PSOR</w:t>
      </w:r>
      <w:r w:rsidRPr="00FC26A8">
        <w:t xml:space="preserve"> patients</w:t>
      </w:r>
      <w:r w:rsidR="00F911F2">
        <w:t>.</w:t>
      </w:r>
      <w:r w:rsidR="00E82FDC">
        <w:rPr>
          <w:rStyle w:val="FootnoteReference"/>
        </w:rPr>
        <w:footnoteReference w:id="30"/>
      </w:r>
      <w:r w:rsidR="00101FB7">
        <w:t xml:space="preserve"> </w:t>
      </w:r>
      <w:r w:rsidRPr="00FC26A8">
        <w:t xml:space="preserve">The population studied with </w:t>
      </w:r>
      <w:proofErr w:type="spellStart"/>
      <w:r w:rsidRPr="00FC26A8">
        <w:t>roflumilast</w:t>
      </w:r>
      <w:proofErr w:type="spellEnd"/>
      <w:r w:rsidRPr="00FC26A8">
        <w:t xml:space="preserve"> had a lower BMI (approximately 26 kg/m</w:t>
      </w:r>
      <w:r w:rsidRPr="00FC26A8">
        <w:rPr>
          <w:vertAlign w:val="superscript"/>
        </w:rPr>
        <w:t>2</w:t>
      </w:r>
      <w:r w:rsidRPr="00FC26A8">
        <w:t xml:space="preserve">) than in the </w:t>
      </w:r>
      <w:r w:rsidR="002B6593">
        <w:t>APR</w:t>
      </w:r>
      <w:r w:rsidR="005974D4">
        <w:t xml:space="preserve"> studies (mean BMI for Phase III</w:t>
      </w:r>
      <w:r w:rsidRPr="00FC26A8">
        <w:t xml:space="preserve"> studies combined was 30.28 kg/m</w:t>
      </w:r>
      <w:r w:rsidRPr="00FC26A8">
        <w:rPr>
          <w:vertAlign w:val="superscript"/>
        </w:rPr>
        <w:t>2</w:t>
      </w:r>
      <w:r w:rsidRPr="00FC26A8">
        <w:t>). Patients with COPD are at a higher risk of clinical conseque</w:t>
      </w:r>
      <w:r w:rsidR="00BD333F">
        <w:t>nces due to weight loss</w:t>
      </w:r>
      <w:r w:rsidRPr="00FC26A8">
        <w:t xml:space="preserve">. The analysis of TEAEs of weight decrease revealed a higher incidence in subjects treated with </w:t>
      </w:r>
      <w:r w:rsidR="002B6593">
        <w:t>APR</w:t>
      </w:r>
      <w:r w:rsidRPr="00FC26A8">
        <w:t xml:space="preserve">, but the overall incidence was low (&lt;2%) and none were serious. Although more subjects treated with </w:t>
      </w:r>
      <w:r w:rsidR="002B6593">
        <w:t>APR</w:t>
      </w:r>
      <w:r w:rsidRPr="00FC26A8">
        <w:t xml:space="preserve"> had a measured weight loss of &gt;5%, no obvious clinical consequences were observed.</w:t>
      </w:r>
    </w:p>
    <w:p w:rsidR="006928A5" w:rsidRPr="00FC26A8" w:rsidRDefault="00FC26A8" w:rsidP="009E16C0">
      <w:r w:rsidRPr="00FC26A8">
        <w:t xml:space="preserve">Although studies have shown the intended treatment population for </w:t>
      </w:r>
      <w:r w:rsidR="002B6593">
        <w:t>APR</w:t>
      </w:r>
      <w:r w:rsidRPr="00FC26A8">
        <w:t xml:space="preserve"> has a mean BMI of 27 kg/m</w:t>
      </w:r>
      <w:r w:rsidRPr="00FC26A8">
        <w:rPr>
          <w:vertAlign w:val="superscript"/>
        </w:rPr>
        <w:t>2</w:t>
      </w:r>
      <w:r w:rsidRPr="00FC26A8">
        <w:t xml:space="preserve"> to 29 kg/m</w:t>
      </w:r>
      <w:r w:rsidRPr="00FC26A8">
        <w:rPr>
          <w:vertAlign w:val="superscript"/>
        </w:rPr>
        <w:t>2</w:t>
      </w:r>
      <w:r w:rsidRPr="00FC26A8">
        <w:t xml:space="preserve">, the </w:t>
      </w:r>
      <w:r w:rsidR="00516D23">
        <w:t>s</w:t>
      </w:r>
      <w:r w:rsidRPr="00FC26A8">
        <w:t xml:space="preserve">ponsor agrees there may be an increased risk of clinical consequences for patients starting </w:t>
      </w:r>
      <w:r w:rsidR="002B6593">
        <w:t>APR</w:t>
      </w:r>
      <w:r w:rsidRPr="00FC26A8">
        <w:t xml:space="preserve"> with a low BMI (&lt;20 kg/m</w:t>
      </w:r>
      <w:r w:rsidRPr="00FC26A8">
        <w:rPr>
          <w:vertAlign w:val="superscript"/>
        </w:rPr>
        <w:t>2</w:t>
      </w:r>
      <w:r w:rsidRPr="00FC26A8">
        <w:t>) than those with BMI of &gt; 20 kg/m</w:t>
      </w:r>
      <w:r w:rsidRPr="00FC26A8">
        <w:rPr>
          <w:vertAlign w:val="superscript"/>
        </w:rPr>
        <w:t>2</w:t>
      </w:r>
      <w:r w:rsidR="00516D23">
        <w:t xml:space="preserve">. Therefore, </w:t>
      </w:r>
      <w:r w:rsidRPr="00FC26A8">
        <w:t xml:space="preserve">as proposed by another regulatory authority, the </w:t>
      </w:r>
      <w:r w:rsidR="0029502A">
        <w:t>s</w:t>
      </w:r>
      <w:r w:rsidRPr="00FC26A8">
        <w:t>ponsor has placed weight decrease in patients with BMI &lt;20 kg/m</w:t>
      </w:r>
      <w:r w:rsidRPr="00FC26A8">
        <w:rPr>
          <w:vertAlign w:val="superscript"/>
        </w:rPr>
        <w:t>2</w:t>
      </w:r>
      <w:r w:rsidRPr="00FC26A8">
        <w:t xml:space="preserve"> with the important identified risks.</w:t>
      </w:r>
    </w:p>
    <w:p w:rsidR="006928A5" w:rsidRDefault="006928A5" w:rsidP="009E16C0">
      <w:pPr>
        <w:pStyle w:val="Heading5"/>
      </w:pPr>
      <w:r>
        <w:t xml:space="preserve">OPR evaluator’s </w:t>
      </w:r>
      <w:r w:rsidRPr="009E16C0">
        <w:t>comment</w:t>
      </w:r>
    </w:p>
    <w:p w:rsidR="006928A5" w:rsidRDefault="00FC26A8" w:rsidP="009E16C0">
      <w:pPr>
        <w:rPr>
          <w:lang w:eastAsia="en-AU"/>
        </w:rPr>
      </w:pPr>
      <w:r w:rsidRPr="00FC26A8">
        <w:rPr>
          <w:lang w:eastAsia="en-AU"/>
        </w:rPr>
        <w:t>This is considered acceptable in the context of this application.</w:t>
      </w:r>
    </w:p>
    <w:p w:rsidR="00615F7F" w:rsidRDefault="00615F7F" w:rsidP="009E16C0">
      <w:pPr>
        <w:pStyle w:val="Heading5"/>
      </w:pPr>
      <w:r w:rsidRPr="00A24C10">
        <w:t xml:space="preserve">Recommendation </w:t>
      </w:r>
      <w:r>
        <w:t>#</w:t>
      </w:r>
      <w:r w:rsidR="001A1AE5">
        <w:t>6</w:t>
      </w:r>
      <w:r>
        <w:t xml:space="preserve"> </w:t>
      </w:r>
      <w:r w:rsidRPr="00A24C10">
        <w:t xml:space="preserve">in RMP </w:t>
      </w:r>
      <w:r w:rsidRPr="009E16C0">
        <w:t>evaluation</w:t>
      </w:r>
      <w:r w:rsidRPr="00A24C10">
        <w:t xml:space="preserve"> report</w:t>
      </w:r>
    </w:p>
    <w:p w:rsidR="00615F7F" w:rsidRPr="00C668F9" w:rsidRDefault="00615F7F" w:rsidP="009E16C0">
      <w:r w:rsidRPr="00C668F9">
        <w:t>Th</w:t>
      </w:r>
      <w:r>
        <w:t>e following should be added as o</w:t>
      </w:r>
      <w:r w:rsidRPr="00C668F9">
        <w:t xml:space="preserve">ngoing </w:t>
      </w:r>
      <w:r>
        <w:t>s</w:t>
      </w:r>
      <w:r w:rsidRPr="00C668F9">
        <w:t xml:space="preserve">afety </w:t>
      </w:r>
      <w:r>
        <w:t>c</w:t>
      </w:r>
      <w:r w:rsidRPr="00C668F9">
        <w:t>oncerns and become part of the pharmacovigilance plan:</w:t>
      </w:r>
    </w:p>
    <w:p w:rsidR="00615F7F" w:rsidRPr="00C668F9" w:rsidRDefault="00AD7403" w:rsidP="009E16C0">
      <w:pPr>
        <w:pStyle w:val="ListBullet"/>
      </w:pPr>
      <w:r w:rsidRPr="00AD7403">
        <w:t xml:space="preserve">Neuropsychiatric </w:t>
      </w:r>
      <w:r w:rsidRPr="009E16C0">
        <w:t>adverse</w:t>
      </w:r>
      <w:r w:rsidRPr="00AD7403">
        <w:t xml:space="preserve"> reactions (including, but not limited to depression</w:t>
      </w:r>
      <w:r w:rsidR="00615F7F">
        <w:t>)</w:t>
      </w:r>
    </w:p>
    <w:p w:rsidR="00615F7F" w:rsidRDefault="00615F7F" w:rsidP="009E16C0">
      <w:pPr>
        <w:pStyle w:val="Heading5"/>
      </w:pPr>
      <w:r>
        <w:t xml:space="preserve">Sponsor </w:t>
      </w:r>
      <w:r w:rsidRPr="009E16C0">
        <w:t>response</w:t>
      </w:r>
    </w:p>
    <w:p w:rsidR="00615F7F" w:rsidRPr="00533B38" w:rsidRDefault="00D44CA3" w:rsidP="009E16C0">
      <w:r w:rsidRPr="00D44CA3">
        <w:t xml:space="preserve">Since version 1 of the RMP (which was submitted to the TGA), at the request of other regulatory authorities, the </w:t>
      </w:r>
      <w:r w:rsidR="00BD333F">
        <w:t>s</w:t>
      </w:r>
      <w:r w:rsidRPr="00D44CA3">
        <w:t>ponsor has reclassified depression as an important identified risk. In addition, the events of nervousness and anxiety have been included as important potential risks in the current version (3.0) of the RMP</w:t>
      </w:r>
      <w:r>
        <w:t>.</w:t>
      </w:r>
    </w:p>
    <w:p w:rsidR="00615F7F" w:rsidRDefault="00615F7F" w:rsidP="009E16C0">
      <w:pPr>
        <w:pStyle w:val="Heading5"/>
      </w:pPr>
      <w:r>
        <w:t xml:space="preserve">OPR </w:t>
      </w:r>
      <w:r w:rsidRPr="009E16C0">
        <w:t>evaluator’s</w:t>
      </w:r>
      <w:r>
        <w:t xml:space="preserve"> comment</w:t>
      </w:r>
    </w:p>
    <w:p w:rsidR="00B33E0C" w:rsidRDefault="00B33E0C" w:rsidP="009E16C0">
      <w:pPr>
        <w:rPr>
          <w:lang w:eastAsia="en-AU"/>
        </w:rPr>
      </w:pPr>
      <w:r w:rsidRPr="00FC26A8">
        <w:rPr>
          <w:lang w:eastAsia="en-AU"/>
        </w:rPr>
        <w:t>This is considered acceptable in the context of this application.</w:t>
      </w:r>
    </w:p>
    <w:p w:rsidR="00615F7F" w:rsidRDefault="00615F7F" w:rsidP="009E16C0">
      <w:pPr>
        <w:pStyle w:val="Heading5"/>
      </w:pPr>
      <w:r w:rsidRPr="009E16C0">
        <w:t>Recommendation</w:t>
      </w:r>
      <w:r w:rsidRPr="00A24C10">
        <w:t xml:space="preserve"> </w:t>
      </w:r>
      <w:r>
        <w:t>#</w:t>
      </w:r>
      <w:r w:rsidR="001A1AE5">
        <w:t>7</w:t>
      </w:r>
      <w:r>
        <w:t xml:space="preserve"> </w:t>
      </w:r>
      <w:r w:rsidRPr="00A24C10">
        <w:t>in RMP evaluation report</w:t>
      </w:r>
    </w:p>
    <w:p w:rsidR="00615F7F" w:rsidRPr="00C668F9" w:rsidRDefault="00615F7F" w:rsidP="009E16C0">
      <w:r w:rsidRPr="00C668F9">
        <w:t>Th</w:t>
      </w:r>
      <w:r>
        <w:t>e following should be added as o</w:t>
      </w:r>
      <w:r w:rsidRPr="00C668F9">
        <w:t xml:space="preserve">ngoing </w:t>
      </w:r>
      <w:r>
        <w:t>s</w:t>
      </w:r>
      <w:r w:rsidRPr="00C668F9">
        <w:t xml:space="preserve">afety </w:t>
      </w:r>
      <w:r>
        <w:t>c</w:t>
      </w:r>
      <w:r w:rsidRPr="00C668F9">
        <w:t>oncerns and become part of the pharmacovigilance plan:</w:t>
      </w:r>
    </w:p>
    <w:p w:rsidR="00615F7F" w:rsidRPr="00C668F9" w:rsidRDefault="00B46C42" w:rsidP="009E16C0">
      <w:pPr>
        <w:pStyle w:val="ListBullet"/>
      </w:pPr>
      <w:r w:rsidRPr="00B46C42">
        <w:t xml:space="preserve">Cardiac </w:t>
      </w:r>
      <w:r w:rsidRPr="009E16C0">
        <w:t>adverse</w:t>
      </w:r>
      <w:r w:rsidRPr="00B46C42">
        <w:t xml:space="preserve"> reactions</w:t>
      </w:r>
    </w:p>
    <w:p w:rsidR="00615F7F" w:rsidRDefault="00615F7F" w:rsidP="009E16C0">
      <w:pPr>
        <w:pStyle w:val="Heading5"/>
      </w:pPr>
      <w:r>
        <w:t>Sponsor response</w:t>
      </w:r>
    </w:p>
    <w:p w:rsidR="00615F7F" w:rsidRPr="00533B38" w:rsidRDefault="00020D6D" w:rsidP="009E16C0">
      <w:r w:rsidRPr="00020D6D">
        <w:t xml:space="preserve">The </w:t>
      </w:r>
      <w:r w:rsidR="00920CF3">
        <w:t>s</w:t>
      </w:r>
      <w:r w:rsidRPr="00020D6D">
        <w:t>ponsor has added MACE (</w:t>
      </w:r>
      <w:r w:rsidR="008010EB">
        <w:t>m</w:t>
      </w:r>
      <w:r w:rsidRPr="00020D6D">
        <w:t xml:space="preserve">ajor adverse cardiac events) and </w:t>
      </w:r>
      <w:r w:rsidR="008010EB">
        <w:t>t</w:t>
      </w:r>
      <w:r w:rsidRPr="00020D6D">
        <w:t>achyarrhythmia to the RMP as an important potential risk</w:t>
      </w:r>
      <w:r>
        <w:t>.</w:t>
      </w:r>
    </w:p>
    <w:p w:rsidR="00615F7F" w:rsidRDefault="00615F7F" w:rsidP="009E16C0">
      <w:pPr>
        <w:pStyle w:val="Heading5"/>
      </w:pPr>
      <w:r>
        <w:t xml:space="preserve">OPR evaluator’s </w:t>
      </w:r>
      <w:r w:rsidRPr="009E16C0">
        <w:t>comment</w:t>
      </w:r>
    </w:p>
    <w:p w:rsidR="00920CF3" w:rsidRDefault="00920CF3" w:rsidP="009E16C0">
      <w:pPr>
        <w:rPr>
          <w:lang w:eastAsia="en-AU"/>
        </w:rPr>
      </w:pPr>
      <w:r w:rsidRPr="00FC26A8">
        <w:rPr>
          <w:lang w:eastAsia="en-AU"/>
        </w:rPr>
        <w:t>This is considered acceptable in the context of this application.</w:t>
      </w:r>
    </w:p>
    <w:p w:rsidR="00615F7F" w:rsidRDefault="00615F7F" w:rsidP="009E16C0">
      <w:pPr>
        <w:pStyle w:val="Heading5"/>
      </w:pPr>
      <w:r w:rsidRPr="00A24C10">
        <w:t xml:space="preserve">Recommendation </w:t>
      </w:r>
      <w:r>
        <w:t>#</w:t>
      </w:r>
      <w:r w:rsidR="001A1AE5">
        <w:t>8</w:t>
      </w:r>
      <w:r>
        <w:t xml:space="preserve"> </w:t>
      </w:r>
      <w:r w:rsidRPr="00A24C10">
        <w:t xml:space="preserve">in RMP </w:t>
      </w:r>
      <w:r w:rsidRPr="009E16C0">
        <w:t>evaluation</w:t>
      </w:r>
      <w:r w:rsidRPr="00A24C10">
        <w:t xml:space="preserve"> report</w:t>
      </w:r>
    </w:p>
    <w:p w:rsidR="00615F7F" w:rsidRPr="00C668F9" w:rsidRDefault="00615F7F" w:rsidP="009E16C0">
      <w:r w:rsidRPr="00C668F9">
        <w:t>Th</w:t>
      </w:r>
      <w:r>
        <w:t>e following should be added as o</w:t>
      </w:r>
      <w:r w:rsidRPr="00C668F9">
        <w:t xml:space="preserve">ngoing </w:t>
      </w:r>
      <w:r>
        <w:t>s</w:t>
      </w:r>
      <w:r w:rsidRPr="00C668F9">
        <w:t xml:space="preserve">afety </w:t>
      </w:r>
      <w:r>
        <w:t>c</w:t>
      </w:r>
      <w:r w:rsidRPr="00C668F9">
        <w:t>oncerns and become part of the pharmacovigilance plan:</w:t>
      </w:r>
    </w:p>
    <w:p w:rsidR="00615F7F" w:rsidRPr="00C668F9" w:rsidRDefault="00D43FC8" w:rsidP="009E16C0">
      <w:pPr>
        <w:pStyle w:val="ListBullet"/>
      </w:pPr>
      <w:r w:rsidRPr="009E16C0">
        <w:t>Pancreatitis</w:t>
      </w:r>
    </w:p>
    <w:p w:rsidR="00615F7F" w:rsidRDefault="00615F7F" w:rsidP="009E16C0">
      <w:pPr>
        <w:pStyle w:val="Heading5"/>
      </w:pPr>
      <w:r>
        <w:t xml:space="preserve">Sponsor </w:t>
      </w:r>
      <w:r w:rsidRPr="009E16C0">
        <w:t>response</w:t>
      </w:r>
    </w:p>
    <w:p w:rsidR="004D145B" w:rsidRPr="009A1696" w:rsidRDefault="004D145B" w:rsidP="009A1696">
      <w:r w:rsidRPr="009A1696">
        <w:t xml:space="preserve">The </w:t>
      </w:r>
      <w:r w:rsidR="009A1696">
        <w:t>s</w:t>
      </w:r>
      <w:r w:rsidRPr="009A1696">
        <w:t xml:space="preserve">ponsor respectfully does not agree with the proposal to add Pancreatitis as an important potential risk. Based on the results of the TEAE analysis, there is no evidence that </w:t>
      </w:r>
      <w:r w:rsidR="002B6593">
        <w:t>APR</w:t>
      </w:r>
      <w:r w:rsidRPr="009A1696">
        <w:t xml:space="preserve"> at doses of 20 mg BID and 30 mg BID increases the risk of pancreatitis.</w:t>
      </w:r>
    </w:p>
    <w:p w:rsidR="00615F7F" w:rsidRPr="009A1696" w:rsidRDefault="004D145B" w:rsidP="009E16C0">
      <w:r w:rsidRPr="009A1696">
        <w:t>In animal studies, no treatment</w:t>
      </w:r>
      <w:r w:rsidR="00FA501B">
        <w:t xml:space="preserve"> </w:t>
      </w:r>
      <w:r w:rsidRPr="009A1696">
        <w:t xml:space="preserve">related finding of pancreatitis was observed in mice and monkeys with treatment durations of up to 6 and 9 months, respectively. In the Apremilast Data Pool, there were 2 subjects with TEAE of acute pancreatitis during the </w:t>
      </w:r>
      <w:r w:rsidR="0011514D">
        <w:t>PBO</w:t>
      </w:r>
      <w:r w:rsidR="00DD0E77">
        <w:t xml:space="preserve"> </w:t>
      </w:r>
      <w:r w:rsidRPr="009A1696">
        <w:t xml:space="preserve">controlled Period, 2 (0.1%) subjects in the </w:t>
      </w:r>
      <w:r w:rsidR="0011514D">
        <w:t>PBO</w:t>
      </w:r>
      <w:r w:rsidRPr="009A1696">
        <w:t xml:space="preserve"> group, and none in the APR groups </w:t>
      </w:r>
      <w:r w:rsidR="00332FBB" w:rsidRPr="009A1696">
        <w:t>(Table 1</w:t>
      </w:r>
      <w:r w:rsidR="00FA7A24">
        <w:t>6</w:t>
      </w:r>
      <w:r w:rsidRPr="009A1696">
        <w:t xml:space="preserve">). During the </w:t>
      </w:r>
      <w:r w:rsidR="002B6593">
        <w:t>APR</w:t>
      </w:r>
      <w:r w:rsidRPr="009A1696">
        <w:t xml:space="preserve"> exposure period, there was 1 subject (&lt;0.1%, EAIR &lt;0.1 per 100 subject</w:t>
      </w:r>
      <w:r w:rsidR="00DD0E77">
        <w:t xml:space="preserve"> </w:t>
      </w:r>
      <w:r w:rsidRPr="009A1696">
        <w:t xml:space="preserve">years) with TEAE of acute pancreatitis in APR 30 </w:t>
      </w:r>
      <w:r w:rsidR="00DD0E77">
        <w:t xml:space="preserve">mg </w:t>
      </w:r>
      <w:r w:rsidRPr="009A1696">
        <w:t>BID group. Additionally, there was 1 subject (0.1%, EAIR 0</w:t>
      </w:r>
      <w:r w:rsidR="003B45A6">
        <w:t xml:space="preserve">.1 per 100 subject years) with </w:t>
      </w:r>
      <w:r w:rsidRPr="009A1696">
        <w:t>TEAE of pancreatitis in APR 20</w:t>
      </w:r>
      <w:r w:rsidR="003B45A6">
        <w:t xml:space="preserve"> mg</w:t>
      </w:r>
      <w:r w:rsidRPr="009A1696">
        <w:t xml:space="preserve"> </w:t>
      </w:r>
      <w:r w:rsidR="00332FBB" w:rsidRPr="009A1696">
        <w:t>BID group (Table 1</w:t>
      </w:r>
      <w:r w:rsidR="00FA7A24">
        <w:t>7</w:t>
      </w:r>
      <w:r w:rsidRPr="009A1696">
        <w:t>).</w:t>
      </w:r>
    </w:p>
    <w:p w:rsidR="00AF5431" w:rsidRDefault="00AF5431" w:rsidP="009E16C0">
      <w:pPr>
        <w:pStyle w:val="TableTitle"/>
      </w:pPr>
      <w:r>
        <w:t>Table 1</w:t>
      </w:r>
      <w:r w:rsidR="00FA7A24">
        <w:t>6</w:t>
      </w:r>
      <w:r>
        <w:t>:</w:t>
      </w:r>
      <w:r w:rsidRPr="004C5C28">
        <w:t xml:space="preserve"> </w:t>
      </w:r>
      <w:r w:rsidR="002B6593">
        <w:t>APR</w:t>
      </w:r>
      <w:r>
        <w:t xml:space="preserve"> data pool: TEAE of </w:t>
      </w:r>
      <w:r w:rsidR="00D67F06">
        <w:t xml:space="preserve">pancreatitis during the </w:t>
      </w:r>
      <w:r w:rsidR="0011514D">
        <w:t>PBO</w:t>
      </w:r>
      <w:r w:rsidR="00D67F06">
        <w:t xml:space="preserve"> controlled period</w:t>
      </w:r>
      <w:r>
        <w:t>.</w:t>
      </w:r>
    </w:p>
    <w:p w:rsidR="00AF5431" w:rsidRDefault="00D86B01" w:rsidP="009E16C0">
      <w:r>
        <w:rPr>
          <w:noProof/>
          <w:lang w:eastAsia="en-AU"/>
        </w:rPr>
        <w:drawing>
          <wp:inline distT="0" distB="0" distL="0" distR="0" wp14:anchorId="5A46C16F" wp14:editId="6777B76F">
            <wp:extent cx="5400040" cy="2787713"/>
            <wp:effectExtent l="0" t="0" r="0" b="0"/>
            <wp:docPr id="29" name="Picture 29" descr="Table 16: APR data pool: TEAE of pancreatitis during the PBO controlled period." title="Table 16: APR data pool: TEAE of pancreatitis during the PBO controlled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2787713"/>
                    </a:xfrm>
                    <a:prstGeom prst="rect">
                      <a:avLst/>
                    </a:prstGeom>
                  </pic:spPr>
                </pic:pic>
              </a:graphicData>
            </a:graphic>
          </wp:inline>
        </w:drawing>
      </w:r>
    </w:p>
    <w:p w:rsidR="00441651" w:rsidRDefault="00441651" w:rsidP="009E16C0">
      <w:pPr>
        <w:pStyle w:val="TableTitle"/>
      </w:pPr>
      <w:r>
        <w:t>Table 1</w:t>
      </w:r>
      <w:r w:rsidR="00FA7A24">
        <w:t>7</w:t>
      </w:r>
      <w:r>
        <w:t>:</w:t>
      </w:r>
      <w:r w:rsidRPr="004C5C28">
        <w:t xml:space="preserve"> </w:t>
      </w:r>
      <w:r w:rsidR="002B6593">
        <w:t>APR</w:t>
      </w:r>
      <w:r w:rsidR="000019D4">
        <w:t xml:space="preserve"> data pool: TEAE of pancreatitis during the </w:t>
      </w:r>
      <w:r w:rsidR="002B6593">
        <w:t>APR</w:t>
      </w:r>
      <w:r w:rsidR="000019D4">
        <w:t xml:space="preserve"> exposure</w:t>
      </w:r>
      <w:r>
        <w:t>.</w:t>
      </w:r>
    </w:p>
    <w:p w:rsidR="00441651" w:rsidRDefault="00D86B01" w:rsidP="009E16C0">
      <w:r>
        <w:rPr>
          <w:noProof/>
          <w:lang w:eastAsia="en-AU"/>
        </w:rPr>
        <w:drawing>
          <wp:inline distT="0" distB="0" distL="0" distR="0" wp14:anchorId="76C4FDAE" wp14:editId="7E44ECAD">
            <wp:extent cx="5400040" cy="2165208"/>
            <wp:effectExtent l="0" t="0" r="0" b="6985"/>
            <wp:docPr id="30" name="Picture 30" descr="Table 17: APR data pool: TEAE of pancreatitis during the APR exposure." title="Table 17: APR data pool: TEAE of pancreatitis during the APR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2165208"/>
                    </a:xfrm>
                    <a:prstGeom prst="rect">
                      <a:avLst/>
                    </a:prstGeom>
                  </pic:spPr>
                </pic:pic>
              </a:graphicData>
            </a:graphic>
          </wp:inline>
        </w:drawing>
      </w:r>
    </w:p>
    <w:p w:rsidR="009D6420" w:rsidRPr="004444F7" w:rsidRDefault="005F2471" w:rsidP="009E16C0">
      <w:r w:rsidRPr="004444F7">
        <w:t xml:space="preserve">Based on the lack of finding of changes in the pancreas in the preclinical toxicology studies and the review of the clinical data, there is no evidence of association of pancreatitis and </w:t>
      </w:r>
      <w:r w:rsidR="002B6593">
        <w:t>APR</w:t>
      </w:r>
      <w:r w:rsidRPr="004444F7">
        <w:t xml:space="preserve">. The </w:t>
      </w:r>
      <w:r w:rsidR="003442CD">
        <w:t>s</w:t>
      </w:r>
      <w:r w:rsidRPr="004444F7">
        <w:t>ponsor respectfully does not agree with the proposal to add Pancreatitis as an important potential risk.</w:t>
      </w:r>
    </w:p>
    <w:p w:rsidR="00615F7F" w:rsidRDefault="00615F7F" w:rsidP="009E16C0">
      <w:pPr>
        <w:pStyle w:val="Heading5"/>
      </w:pPr>
      <w:r>
        <w:t xml:space="preserve">OPR evaluator’s </w:t>
      </w:r>
      <w:r w:rsidRPr="009E16C0">
        <w:t>comment</w:t>
      </w:r>
    </w:p>
    <w:p w:rsidR="00787990" w:rsidRPr="00787990" w:rsidRDefault="00787990" w:rsidP="009E16C0">
      <w:r w:rsidRPr="00787990">
        <w:t>This is considered acceptable in the context of this application.</w:t>
      </w:r>
    </w:p>
    <w:p w:rsidR="00615F7F" w:rsidRPr="00787990" w:rsidRDefault="00787990" w:rsidP="009E16C0">
      <w:r w:rsidRPr="00787990">
        <w:t>However, this does not constitute a regulatory precedent for this or other medicinal products.</w:t>
      </w:r>
    </w:p>
    <w:p w:rsidR="00615F7F" w:rsidRDefault="00615F7F" w:rsidP="009E16C0">
      <w:pPr>
        <w:pStyle w:val="Heading5"/>
      </w:pPr>
      <w:r w:rsidRPr="009E16C0">
        <w:t>Recommendation</w:t>
      </w:r>
      <w:r w:rsidRPr="00A24C10">
        <w:t xml:space="preserve"> </w:t>
      </w:r>
      <w:r>
        <w:t>#</w:t>
      </w:r>
      <w:r w:rsidR="001A1AE5">
        <w:t>9</w:t>
      </w:r>
      <w:r>
        <w:t xml:space="preserve"> </w:t>
      </w:r>
      <w:r w:rsidRPr="00A24C10">
        <w:t>in RMP evaluation report</w:t>
      </w:r>
    </w:p>
    <w:p w:rsidR="00615F7F" w:rsidRPr="00C668F9" w:rsidRDefault="00615F7F" w:rsidP="009E16C0">
      <w:r w:rsidRPr="00C668F9">
        <w:t>Th</w:t>
      </w:r>
      <w:r>
        <w:t>e following should be added as o</w:t>
      </w:r>
      <w:r w:rsidRPr="00C668F9">
        <w:t xml:space="preserve">ngoing </w:t>
      </w:r>
      <w:r>
        <w:t>s</w:t>
      </w:r>
      <w:r w:rsidRPr="00C668F9">
        <w:t xml:space="preserve">afety </w:t>
      </w:r>
      <w:r>
        <w:t>c</w:t>
      </w:r>
      <w:r w:rsidRPr="00C668F9">
        <w:t>oncerns and become part of the pharmacovigilance plan:</w:t>
      </w:r>
    </w:p>
    <w:p w:rsidR="00615F7F" w:rsidRPr="00C668F9" w:rsidRDefault="00517BBB" w:rsidP="009E16C0">
      <w:pPr>
        <w:pStyle w:val="ListBullet"/>
      </w:pPr>
      <w:r w:rsidRPr="00517BBB">
        <w:t>Off</w:t>
      </w:r>
      <w:r w:rsidR="002545B7">
        <w:t xml:space="preserve"> </w:t>
      </w:r>
      <w:r w:rsidRPr="00517BBB">
        <w:t xml:space="preserve">label </w:t>
      </w:r>
      <w:r w:rsidRPr="009E16C0">
        <w:t>use</w:t>
      </w:r>
      <w:r w:rsidRPr="00517BBB">
        <w:t xml:space="preserve"> (including, but not limited to</w:t>
      </w:r>
      <w:r w:rsidR="002545B7">
        <w:t>,</w:t>
      </w:r>
      <w:r w:rsidRPr="00517BBB">
        <w:t xml:space="preserve"> </w:t>
      </w:r>
      <w:r w:rsidR="00476D4F" w:rsidRPr="00476D4F">
        <w:t xml:space="preserve">Chronic Obstructive Pulmonary Disease </w:t>
      </w:r>
      <w:r w:rsidR="00476D4F">
        <w:t>[</w:t>
      </w:r>
      <w:r w:rsidRPr="00517BBB">
        <w:t>COPD</w:t>
      </w:r>
      <w:r w:rsidR="00476D4F">
        <w:t>]</w:t>
      </w:r>
      <w:r w:rsidRPr="00517BBB">
        <w:t xml:space="preserve">, rheumatoid arthritis, </w:t>
      </w:r>
      <w:proofErr w:type="spellStart"/>
      <w:r w:rsidRPr="00517BBB">
        <w:t>Behçet</w:t>
      </w:r>
      <w:proofErr w:type="spellEnd"/>
      <w:r w:rsidRPr="00517BBB">
        <w:t xml:space="preserve"> disease, ankyl</w:t>
      </w:r>
      <w:r w:rsidR="003442CD">
        <w:t>osing spondylitis, weight loss)</w:t>
      </w:r>
    </w:p>
    <w:p w:rsidR="00615F7F" w:rsidRDefault="00615F7F" w:rsidP="009E16C0">
      <w:pPr>
        <w:pStyle w:val="Heading5"/>
      </w:pPr>
      <w:r>
        <w:t xml:space="preserve">Sponsor </w:t>
      </w:r>
      <w:r w:rsidRPr="009E16C0">
        <w:t>response</w:t>
      </w:r>
    </w:p>
    <w:p w:rsidR="00615F7F" w:rsidRPr="00997B8B" w:rsidRDefault="00997B8B" w:rsidP="009E16C0">
      <w:r w:rsidRPr="00997B8B">
        <w:t xml:space="preserve">The </w:t>
      </w:r>
      <w:r>
        <w:t>s</w:t>
      </w:r>
      <w:r w:rsidRPr="00997B8B">
        <w:t>ponsor respectfully does not agree with the proposal to reclassify off</w:t>
      </w:r>
      <w:r w:rsidR="002545B7">
        <w:t xml:space="preserve"> </w:t>
      </w:r>
      <w:r w:rsidRPr="00997B8B">
        <w:t>label use as an important pot</w:t>
      </w:r>
      <w:r w:rsidR="002545B7">
        <w:t>ential risk. The potential for o</w:t>
      </w:r>
      <w:r w:rsidRPr="00997B8B">
        <w:t>ff</w:t>
      </w:r>
      <w:r w:rsidR="002545B7">
        <w:t xml:space="preserve"> </w:t>
      </w:r>
      <w:r w:rsidRPr="00997B8B">
        <w:t xml:space="preserve">label use (including, but not limited to COPD, rheumatoid arthritis, </w:t>
      </w:r>
      <w:proofErr w:type="spellStart"/>
      <w:r w:rsidRPr="00997B8B">
        <w:t>Behçet</w:t>
      </w:r>
      <w:proofErr w:type="spellEnd"/>
      <w:r w:rsidRPr="00997B8B">
        <w:t xml:space="preserve"> disease, ankylosing spondylitis, and weight loss) is adequately describe</w:t>
      </w:r>
      <w:r w:rsidR="009C20A3">
        <w:t xml:space="preserve">d in RMP module SVI, section 5: </w:t>
      </w:r>
      <w:r w:rsidRPr="00997B8B">
        <w:t>Potential for off</w:t>
      </w:r>
      <w:r w:rsidR="00E75BF3">
        <w:t xml:space="preserve"> </w:t>
      </w:r>
      <w:r w:rsidRPr="00997B8B">
        <w:t xml:space="preserve">label use. The risks for a patient who is prescribed </w:t>
      </w:r>
      <w:r w:rsidR="002B6593">
        <w:t>APR</w:t>
      </w:r>
      <w:r w:rsidRPr="00997B8B">
        <w:t xml:space="preserve"> for an authorised indication versus an unauthorised indication are the same. Off</w:t>
      </w:r>
      <w:r w:rsidR="00E75BF3">
        <w:t xml:space="preserve"> </w:t>
      </w:r>
      <w:r w:rsidRPr="00997B8B">
        <w:t xml:space="preserve">label use is not an adverse reaction to a medicinal product and is considered a special situation. The inclusion criteria for the important identified risks or the important potential risks are: adverse reactions; identified and potential interactions with other medicinal products, foods and other substances; and important pharmacological class effects. The </w:t>
      </w:r>
      <w:r>
        <w:t>s</w:t>
      </w:r>
      <w:r w:rsidRPr="00997B8B">
        <w:t>ponsor commits to monitor off</w:t>
      </w:r>
      <w:r w:rsidR="00E75BF3">
        <w:t xml:space="preserve"> </w:t>
      </w:r>
      <w:r w:rsidRPr="00997B8B">
        <w:t>label use through routine pharmacovigilance.</w:t>
      </w:r>
    </w:p>
    <w:p w:rsidR="00615F7F" w:rsidRDefault="00615F7F" w:rsidP="009E16C0">
      <w:pPr>
        <w:pStyle w:val="Heading5"/>
      </w:pPr>
      <w:r>
        <w:t xml:space="preserve">OPR evaluator’s </w:t>
      </w:r>
      <w:r w:rsidRPr="009E16C0">
        <w:t>comment</w:t>
      </w:r>
    </w:p>
    <w:p w:rsidR="000819E5" w:rsidRPr="000819E5" w:rsidRDefault="000819E5" w:rsidP="009E16C0">
      <w:r w:rsidRPr="000819E5">
        <w:t>This is not considered acceptable.</w:t>
      </w:r>
    </w:p>
    <w:p w:rsidR="000819E5" w:rsidRPr="000819E5" w:rsidRDefault="000819E5" w:rsidP="009E16C0">
      <w:r w:rsidRPr="000819E5">
        <w:t>The description of a risk in a RMP is not a sufficient reason for non-inclusion as a Safety Concern.</w:t>
      </w:r>
    </w:p>
    <w:p w:rsidR="000819E5" w:rsidRPr="000819E5" w:rsidRDefault="000819E5" w:rsidP="009E16C0">
      <w:r w:rsidRPr="000819E5">
        <w:t xml:space="preserve">If the sponsor’s </w:t>
      </w:r>
      <w:r w:rsidR="0077386C">
        <w:t>contention</w:t>
      </w:r>
      <w:r w:rsidRPr="000819E5">
        <w:t xml:space="preserve"> were applied to all Safety Concerns, none would have to be included in the RMP, if they were described in the RMP.</w:t>
      </w:r>
    </w:p>
    <w:p w:rsidR="000819E5" w:rsidRPr="000819E5" w:rsidRDefault="000819E5" w:rsidP="009E16C0">
      <w:r w:rsidRPr="000819E5">
        <w:t>The sponsor states:</w:t>
      </w:r>
    </w:p>
    <w:p w:rsidR="000819E5" w:rsidRPr="009E16C0" w:rsidRDefault="000819E5" w:rsidP="009E16C0">
      <w:pPr>
        <w:pStyle w:val="ListBullet"/>
        <w:numPr>
          <w:ilvl w:val="0"/>
          <w:numId w:val="0"/>
        </w:numPr>
        <w:ind w:left="360"/>
        <w:rPr>
          <w:i/>
        </w:rPr>
      </w:pPr>
      <w:r w:rsidRPr="009E16C0">
        <w:rPr>
          <w:i/>
        </w:rPr>
        <w:t>The risks for a patient who is prescribed apremilast for an authorised indication versus an unauthorised indication are the same.</w:t>
      </w:r>
    </w:p>
    <w:p w:rsidR="000819E5" w:rsidRPr="000819E5" w:rsidRDefault="000819E5" w:rsidP="009E16C0">
      <w:r w:rsidRPr="000819E5">
        <w:t>This is incorrect and a potentially dangerous misconception. There are different risks for different indications d</w:t>
      </w:r>
      <w:r w:rsidR="00572E4A">
        <w:t>ue to a variety of factors (for example,</w:t>
      </w:r>
      <w:r w:rsidRPr="000819E5">
        <w:t xml:space="preserve"> different co-morbidities or different populati</w:t>
      </w:r>
      <w:r w:rsidR="00A319CC">
        <w:t>on characteristics). Further</w:t>
      </w:r>
      <w:r w:rsidRPr="000819E5">
        <w:t>, the risks are potentially more significant for an unapproved indication, as they are partly unknown, as the medicinal product has not been tested in the unapproved indication.</w:t>
      </w:r>
    </w:p>
    <w:p w:rsidR="000819E5" w:rsidRPr="000819E5" w:rsidRDefault="000819E5" w:rsidP="009E16C0">
      <w:r w:rsidRPr="000819E5">
        <w:t>The sponsor seems to imply that ‘off label use’ cannot be a Safety Concern. The sponsor states:</w:t>
      </w:r>
    </w:p>
    <w:p w:rsidR="00615F7F" w:rsidRPr="009E16C0" w:rsidRDefault="000819E5" w:rsidP="009E16C0">
      <w:pPr>
        <w:pStyle w:val="ListBullet"/>
        <w:numPr>
          <w:ilvl w:val="0"/>
          <w:numId w:val="0"/>
        </w:numPr>
        <w:ind w:left="360"/>
        <w:rPr>
          <w:i/>
        </w:rPr>
      </w:pPr>
      <w:r w:rsidRPr="009E16C0">
        <w:rPr>
          <w:i/>
        </w:rPr>
        <w:t>The inclusion criteria for the important identified risks or the important potential risks are: adverse reactions; identified and potential interactions with other medicinal products, foods and other substances; and important pharmacological class effects.</w:t>
      </w:r>
    </w:p>
    <w:p w:rsidR="00DD3791" w:rsidRPr="00DD3791" w:rsidRDefault="00DD3791" w:rsidP="009E16C0">
      <w:r w:rsidRPr="00DD3791">
        <w:t xml:space="preserve">The </w:t>
      </w:r>
      <w:r w:rsidR="00FA501B">
        <w:t>relevant EMA guideline</w:t>
      </w:r>
      <w:r w:rsidR="00FA501B">
        <w:rPr>
          <w:rStyle w:val="FootnoteReference"/>
        </w:rPr>
        <w:footnoteReference w:id="31"/>
      </w:r>
      <w:r w:rsidR="00FA501B">
        <w:t xml:space="preserve"> </w:t>
      </w:r>
      <w:r w:rsidRPr="00DD3791">
        <w:t>in ‘Part II: Module SVII - Identified and potential risks’ states the following:</w:t>
      </w:r>
    </w:p>
    <w:p w:rsidR="00DD3791" w:rsidRPr="009E16C0" w:rsidRDefault="00DD3791" w:rsidP="009E16C0">
      <w:pPr>
        <w:pStyle w:val="ListBullet"/>
        <w:numPr>
          <w:ilvl w:val="0"/>
          <w:numId w:val="0"/>
        </w:numPr>
        <w:ind w:left="360"/>
        <w:rPr>
          <w:i/>
        </w:rPr>
      </w:pPr>
      <w:r w:rsidRPr="009E16C0">
        <w:rPr>
          <w:i/>
        </w:rPr>
        <w:t>What constitutes an important risk will depend upon several factors including the impact on the individual patient, the seriousness of the risk and the impact on public health. Normally, any risk which is clinically important and which is/is likely to be included in the contraindications, or warnings and precautions section of the summary of product characteristics (</w:t>
      </w:r>
      <w:proofErr w:type="spellStart"/>
      <w:r w:rsidRPr="009E16C0">
        <w:rPr>
          <w:i/>
        </w:rPr>
        <w:t>SmPC</w:t>
      </w:r>
      <w:proofErr w:type="spellEnd"/>
      <w:r w:rsidRPr="009E16C0">
        <w:rPr>
          <w:i/>
        </w:rPr>
        <w:t>) should be included here. In addition, risks, which whilst not normally serious enough to require specific warnings or precautions, but which occur in a significant proportion of the treated population, affect the quality of the treated person’s life, and which could lead to serious consequences if untreated, should also be considered for inclusion, e.g. severe nausea and vomiting with chemotherapy.</w:t>
      </w:r>
    </w:p>
    <w:p w:rsidR="000819E5" w:rsidRDefault="00DD3791" w:rsidP="009E16C0">
      <w:r w:rsidRPr="00DD3791">
        <w:t>The sponsor appears to imply that only the examples as stated by the sponsor above can be Safety Concerns. This is not the case. The inclusion of ‘off label use’ as a Safety Concern is accepted practice and commonly used</w:t>
      </w:r>
      <w:r>
        <w:t>.</w:t>
      </w:r>
    </w:p>
    <w:p w:rsidR="00207A54" w:rsidRDefault="00207A54" w:rsidP="009E16C0">
      <w:r>
        <w:t xml:space="preserve">The </w:t>
      </w:r>
      <w:r w:rsidR="007C508E" w:rsidRPr="007C508E">
        <w:t>Advisory Committee on the Safety of Medicines</w:t>
      </w:r>
      <w:r w:rsidR="007C508E">
        <w:t xml:space="preserve"> (</w:t>
      </w:r>
      <w:r>
        <w:t>ACSOM</w:t>
      </w:r>
      <w:r w:rsidR="007C508E">
        <w:t>)</w:t>
      </w:r>
      <w:r>
        <w:t xml:space="preserve"> advised that:</w:t>
      </w:r>
    </w:p>
    <w:p w:rsidR="00207A54" w:rsidRPr="009E16C0" w:rsidRDefault="00207A54" w:rsidP="009E16C0">
      <w:pPr>
        <w:pStyle w:val="ListBullet"/>
        <w:numPr>
          <w:ilvl w:val="0"/>
          <w:numId w:val="0"/>
        </w:numPr>
        <w:ind w:left="360"/>
        <w:rPr>
          <w:i/>
        </w:rPr>
      </w:pPr>
      <w:proofErr w:type="gramStart"/>
      <w:r w:rsidRPr="009E16C0">
        <w:rPr>
          <w:i/>
        </w:rPr>
        <w:t>off</w:t>
      </w:r>
      <w:proofErr w:type="gramEnd"/>
      <w:r w:rsidRPr="009E16C0">
        <w:rPr>
          <w:i/>
        </w:rPr>
        <w:t xml:space="preserve"> label use will more than likely occur, however the extent to which this will happen is unclear.</w:t>
      </w:r>
      <w:r w:rsidR="002B6593" w:rsidRPr="009E16C0">
        <w:rPr>
          <w:i/>
        </w:rPr>
        <w:t xml:space="preserve"> </w:t>
      </w:r>
      <w:r w:rsidRPr="009E16C0">
        <w:rPr>
          <w:i/>
        </w:rPr>
        <w:t xml:space="preserve">The committee agreed that apremilast could be used for less severe forms of disease and for other inflammatory disease such as rheumatoid arthritis, </w:t>
      </w:r>
      <w:proofErr w:type="spellStart"/>
      <w:r w:rsidRPr="009E16C0">
        <w:rPr>
          <w:i/>
        </w:rPr>
        <w:t>Behçet</w:t>
      </w:r>
      <w:proofErr w:type="spellEnd"/>
      <w:r w:rsidRPr="009E16C0">
        <w:rPr>
          <w:i/>
        </w:rPr>
        <w:t xml:space="preserve"> disease, ankylosing spondylitis, chronic obstructive pulmonary disease, </w:t>
      </w:r>
      <w:proofErr w:type="spellStart"/>
      <w:r w:rsidRPr="009E16C0">
        <w:rPr>
          <w:i/>
        </w:rPr>
        <w:t>Alzheimers</w:t>
      </w:r>
      <w:proofErr w:type="spellEnd"/>
      <w:r w:rsidRPr="009E16C0">
        <w:rPr>
          <w:i/>
        </w:rPr>
        <w:t>, multiple sclerosis and paediatric use.</w:t>
      </w:r>
    </w:p>
    <w:p w:rsidR="00207A54" w:rsidRPr="00207A54" w:rsidRDefault="00207A54" w:rsidP="009E16C0">
      <w:r w:rsidRPr="00207A54">
        <w:t>In the interest of safety and regulatory consistency, off</w:t>
      </w:r>
      <w:r w:rsidR="00C50A75">
        <w:t xml:space="preserve"> </w:t>
      </w:r>
      <w:r w:rsidRPr="00207A54">
        <w:t>label use needs to be included as an Important Potential Risk.</w:t>
      </w:r>
    </w:p>
    <w:p w:rsidR="00615F7F" w:rsidRDefault="00615F7F" w:rsidP="009E16C0">
      <w:pPr>
        <w:pStyle w:val="Heading5"/>
      </w:pPr>
      <w:r w:rsidRPr="009E16C0">
        <w:t>Recommendation</w:t>
      </w:r>
      <w:r w:rsidRPr="00A24C10">
        <w:t xml:space="preserve"> </w:t>
      </w:r>
      <w:r>
        <w:t>#</w:t>
      </w:r>
      <w:r w:rsidR="001A1AE5">
        <w:t>10</w:t>
      </w:r>
      <w:r>
        <w:t xml:space="preserve"> </w:t>
      </w:r>
      <w:r w:rsidRPr="00A24C10">
        <w:t>in RMP evaluation report</w:t>
      </w:r>
    </w:p>
    <w:p w:rsidR="00615F7F" w:rsidRPr="00C668F9" w:rsidRDefault="00615F7F" w:rsidP="009E16C0">
      <w:r w:rsidRPr="00C668F9">
        <w:t>Th</w:t>
      </w:r>
      <w:r>
        <w:t>e following should be added as o</w:t>
      </w:r>
      <w:r w:rsidRPr="00C668F9">
        <w:t xml:space="preserve">ngoing </w:t>
      </w:r>
      <w:r>
        <w:t>s</w:t>
      </w:r>
      <w:r w:rsidRPr="00C668F9">
        <w:t xml:space="preserve">afety </w:t>
      </w:r>
      <w:r>
        <w:t>c</w:t>
      </w:r>
      <w:r w:rsidRPr="00C668F9">
        <w:t>oncerns and become part of the pharmacovigilance plan:</w:t>
      </w:r>
    </w:p>
    <w:p w:rsidR="00615F7F" w:rsidRPr="00C668F9" w:rsidRDefault="00191496" w:rsidP="009E16C0">
      <w:pPr>
        <w:pStyle w:val="ListBullet"/>
      </w:pPr>
      <w:r>
        <w:t xml:space="preserve">Asian </w:t>
      </w:r>
      <w:r w:rsidRPr="009E16C0">
        <w:t>patients</w:t>
      </w:r>
    </w:p>
    <w:p w:rsidR="00615F7F" w:rsidRDefault="00615F7F" w:rsidP="009E16C0">
      <w:pPr>
        <w:pStyle w:val="Heading5"/>
      </w:pPr>
      <w:r w:rsidRPr="009E16C0">
        <w:t>Sponsor</w:t>
      </w:r>
      <w:r>
        <w:t xml:space="preserve"> response</w:t>
      </w:r>
    </w:p>
    <w:p w:rsidR="00615F7F" w:rsidRPr="00473B12" w:rsidRDefault="00473B12" w:rsidP="00C631BC">
      <w:r w:rsidRPr="00473B12">
        <w:t xml:space="preserve">The </w:t>
      </w:r>
      <w:r w:rsidR="00463A2E">
        <w:t>s</w:t>
      </w:r>
      <w:r w:rsidRPr="00473B12">
        <w:t>ponsor agrees to add this to the missing safety information. T</w:t>
      </w:r>
      <w:r w:rsidR="00463A2E">
        <w:t xml:space="preserve">he </w:t>
      </w:r>
      <w:r w:rsidR="008E78B7">
        <w:t>s</w:t>
      </w:r>
      <w:r w:rsidR="00463A2E">
        <w:t>ponsor evaluated the Phase III</w:t>
      </w:r>
      <w:r w:rsidRPr="00473B12">
        <w:t xml:space="preserve"> data by race (including the Asian population) and ethnicity. Less than 4% of </w:t>
      </w:r>
      <w:r w:rsidR="005D4568">
        <w:t>subjects enrolled in the Phase III</w:t>
      </w:r>
      <w:r w:rsidRPr="00473B12">
        <w:t xml:space="preserve"> studies were Asian and the majority were Caucasian. The safety profile among Asian subjects was similar to the Caucasian subjects. The </w:t>
      </w:r>
      <w:r w:rsidR="005D4568">
        <w:t>s</w:t>
      </w:r>
      <w:r w:rsidRPr="00473B12">
        <w:t>ponsor has clarified that the Asian population was not adequ</w:t>
      </w:r>
      <w:r w:rsidR="005D4568">
        <w:t xml:space="preserve">ately represented in the Phase </w:t>
      </w:r>
      <w:r w:rsidR="00F873B6">
        <w:t>III</w:t>
      </w:r>
      <w:r w:rsidRPr="00473B12">
        <w:t xml:space="preserve"> studies as well as other non-Caucasian populations; therefore, use in patients</w:t>
      </w:r>
      <w:r w:rsidR="005D4568">
        <w:t xml:space="preserve"> of different racial origin, for example, </w:t>
      </w:r>
      <w:r w:rsidRPr="00473B12">
        <w:t>non-Caucasian, is included as missing information in the RMP.</w:t>
      </w:r>
    </w:p>
    <w:p w:rsidR="00615F7F" w:rsidRDefault="00615F7F" w:rsidP="00C631BC">
      <w:pPr>
        <w:pStyle w:val="Heading5"/>
      </w:pPr>
      <w:r>
        <w:t xml:space="preserve">OPR </w:t>
      </w:r>
      <w:r w:rsidRPr="009E16C0">
        <w:t>evaluator’s</w:t>
      </w:r>
      <w:r>
        <w:t xml:space="preserve"> </w:t>
      </w:r>
      <w:r w:rsidRPr="00C631BC">
        <w:t>comment</w:t>
      </w:r>
    </w:p>
    <w:p w:rsidR="00615F7F" w:rsidRPr="00B2216C" w:rsidRDefault="00B2216C" w:rsidP="00C631BC">
      <w:r w:rsidRPr="00B2216C">
        <w:t>This is considered acceptable in the context of this application.</w:t>
      </w:r>
    </w:p>
    <w:p w:rsidR="00615F7F" w:rsidRDefault="00615F7F" w:rsidP="00C631BC">
      <w:pPr>
        <w:pStyle w:val="Heading5"/>
      </w:pPr>
      <w:r w:rsidRPr="00A24C10">
        <w:t xml:space="preserve">Recommendation </w:t>
      </w:r>
      <w:r>
        <w:t>#</w:t>
      </w:r>
      <w:r w:rsidR="001A1AE5">
        <w:t>11</w:t>
      </w:r>
      <w:r>
        <w:t xml:space="preserve"> </w:t>
      </w:r>
      <w:r w:rsidRPr="00A24C10">
        <w:t xml:space="preserve">in RMP </w:t>
      </w:r>
      <w:r w:rsidRPr="00C631BC">
        <w:t>evaluation</w:t>
      </w:r>
      <w:r w:rsidRPr="00A24C10">
        <w:t xml:space="preserve"> report</w:t>
      </w:r>
    </w:p>
    <w:p w:rsidR="00615F7F" w:rsidRPr="00C668F9" w:rsidRDefault="00615F7F" w:rsidP="00C631BC">
      <w:r w:rsidRPr="00C668F9">
        <w:t>Th</w:t>
      </w:r>
      <w:r>
        <w:t>e following should be added as o</w:t>
      </w:r>
      <w:r w:rsidRPr="00C668F9">
        <w:t xml:space="preserve">ngoing </w:t>
      </w:r>
      <w:r>
        <w:t>s</w:t>
      </w:r>
      <w:r w:rsidRPr="00C668F9">
        <w:t xml:space="preserve">afety </w:t>
      </w:r>
      <w:r>
        <w:t>c</w:t>
      </w:r>
      <w:r w:rsidRPr="00C668F9">
        <w:t>oncerns and become part of the pharmacovigilance plan:</w:t>
      </w:r>
    </w:p>
    <w:p w:rsidR="00615F7F" w:rsidRPr="00C668F9" w:rsidRDefault="00331156" w:rsidP="00C631BC">
      <w:pPr>
        <w:pStyle w:val="ListBullet"/>
      </w:pPr>
      <w:r>
        <w:t xml:space="preserve">Effects in </w:t>
      </w:r>
      <w:r w:rsidRPr="00C631BC">
        <w:t>overdose</w:t>
      </w:r>
    </w:p>
    <w:p w:rsidR="00615F7F" w:rsidRDefault="00615F7F" w:rsidP="00C631BC">
      <w:pPr>
        <w:pStyle w:val="Heading5"/>
      </w:pPr>
      <w:r>
        <w:t>Sponsor response</w:t>
      </w:r>
    </w:p>
    <w:p w:rsidR="00331156" w:rsidRPr="00331156" w:rsidRDefault="00331156" w:rsidP="00331156">
      <w:r w:rsidRPr="00331156">
        <w:t xml:space="preserve">The </w:t>
      </w:r>
      <w:r w:rsidR="008E78B7">
        <w:t>S</w:t>
      </w:r>
      <w:r w:rsidRPr="00331156">
        <w:t xml:space="preserve">ponsor agrees with the proposal and has added potential for harm from overdose as missing safety information in the RMP. In </w:t>
      </w:r>
      <w:r w:rsidR="008E78B7">
        <w:t>Phase III</w:t>
      </w:r>
      <w:r w:rsidRPr="00331156">
        <w:t xml:space="preserve"> </w:t>
      </w:r>
      <w:r w:rsidR="002B6593">
        <w:t>APR</w:t>
      </w:r>
      <w:r w:rsidRPr="00331156">
        <w:t xml:space="preserve"> studies, the definition of overdose was not specified. However, the investigators reported events of overdose based on their clinical judgment which were recorded as adverse events. In addition, when a subject’s medication count was reconciled at the study visit and the subject had taken more than expected, this was also recorded as an event overdose.</w:t>
      </w:r>
    </w:p>
    <w:p w:rsidR="00331156" w:rsidRDefault="00331156" w:rsidP="00C631BC">
      <w:r w:rsidRPr="00331156">
        <w:t xml:space="preserve">A total of 40 </w:t>
      </w:r>
      <w:r w:rsidR="006E0211">
        <w:t>AEs</w:t>
      </w:r>
      <w:r w:rsidRPr="00331156">
        <w:t xml:space="preserve"> of overdose in 24 subjects has been reported in the </w:t>
      </w:r>
      <w:r w:rsidR="002B6593">
        <w:t>APR</w:t>
      </w:r>
      <w:r w:rsidR="00151AD8">
        <w:t xml:space="preserve"> Phase II and III</w:t>
      </w:r>
      <w:r w:rsidRPr="00331156">
        <w:t xml:space="preserve"> (</w:t>
      </w:r>
      <w:r w:rsidR="00204432">
        <w:t>PSOR</w:t>
      </w:r>
      <w:r w:rsidR="00151AD8">
        <w:t xml:space="preserve">, </w:t>
      </w:r>
      <w:proofErr w:type="spellStart"/>
      <w:r w:rsidR="00151AD8">
        <w:t>PsA</w:t>
      </w:r>
      <w:proofErr w:type="spellEnd"/>
      <w:r w:rsidR="00151AD8">
        <w:t xml:space="preserve">, </w:t>
      </w:r>
      <w:proofErr w:type="gramStart"/>
      <w:r w:rsidR="00151AD8">
        <w:t>RA</w:t>
      </w:r>
      <w:proofErr w:type="gramEnd"/>
      <w:r w:rsidRPr="00331156">
        <w:t xml:space="preserve">) studies. In most of the reports, the amount of tablets taken was not provided. All events of overdose were reported as accidental or unintentional and none of the overdoses were associated with an </w:t>
      </w:r>
      <w:r w:rsidR="003B4185">
        <w:t>AE</w:t>
      </w:r>
      <w:r w:rsidRPr="00331156">
        <w:t xml:space="preserve">. These events of overdose were study administration errors and not indicative of an overdose with intent to </w:t>
      </w:r>
      <w:proofErr w:type="spellStart"/>
      <w:r w:rsidRPr="00331156">
        <w:t>self</w:t>
      </w:r>
      <w:r w:rsidR="003B4185">
        <w:t xml:space="preserve"> </w:t>
      </w:r>
      <w:r w:rsidRPr="00331156">
        <w:t>harm</w:t>
      </w:r>
      <w:proofErr w:type="spellEnd"/>
      <w:r w:rsidRPr="00331156">
        <w:t>.</w:t>
      </w:r>
    </w:p>
    <w:p w:rsidR="002255DE" w:rsidRPr="002255DE" w:rsidRDefault="002255DE" w:rsidP="00C631BC">
      <w:r w:rsidRPr="002255DE">
        <w:t>In dose</w:t>
      </w:r>
      <w:r w:rsidR="003B4185">
        <w:t xml:space="preserve"> </w:t>
      </w:r>
      <w:r w:rsidRPr="002255DE">
        <w:t>escalation studies, some healthy adults were exposed to a maximum dose of up to 50 mg BID for up to 4.5 days (Studies CC-10004-PK-001 and CC-10004-PK-008) without evidence of dose</w:t>
      </w:r>
      <w:r w:rsidR="000867BA">
        <w:t xml:space="preserve"> </w:t>
      </w:r>
      <w:r w:rsidRPr="002255DE">
        <w:t>limiting toxicities.</w:t>
      </w:r>
    </w:p>
    <w:p w:rsidR="002255DE" w:rsidRPr="002255DE" w:rsidRDefault="002255DE" w:rsidP="00C631BC">
      <w:r w:rsidRPr="002255DE">
        <w:t xml:space="preserve">No clinical or safety issues were identified from the overdoses reported in the </w:t>
      </w:r>
      <w:r w:rsidR="002B6593">
        <w:t>APR</w:t>
      </w:r>
      <w:r w:rsidRPr="002255DE">
        <w:t xml:space="preserve"> clinical program, and no adverse events were reported in association with an overdose. As these reports were unintentional medication errors not resulting in a significant increase in exposure to </w:t>
      </w:r>
      <w:r w:rsidR="002B6593">
        <w:t>APR</w:t>
      </w:r>
      <w:r w:rsidRPr="002255DE">
        <w:t xml:space="preserve">, the </w:t>
      </w:r>
      <w:r w:rsidR="000867BA">
        <w:t>s</w:t>
      </w:r>
      <w:r w:rsidRPr="002255DE">
        <w:t>ponsor agrees with the proposal and has added potential for harm from overdose as missing safety information in the RMP. In the event of overdose, supportive care is advised.</w:t>
      </w:r>
    </w:p>
    <w:p w:rsidR="00615F7F" w:rsidRDefault="00615F7F" w:rsidP="00C631BC">
      <w:pPr>
        <w:pStyle w:val="Heading5"/>
      </w:pPr>
      <w:r>
        <w:t xml:space="preserve">OPR evaluator’s </w:t>
      </w:r>
      <w:r w:rsidRPr="00C631BC">
        <w:t>comment</w:t>
      </w:r>
    </w:p>
    <w:p w:rsidR="00345C71" w:rsidRPr="00B2216C" w:rsidRDefault="00345C71" w:rsidP="00C631BC">
      <w:r w:rsidRPr="00B2216C">
        <w:t>This is considered acceptable in the context of this application.</w:t>
      </w:r>
    </w:p>
    <w:p w:rsidR="00615F7F" w:rsidRDefault="00615F7F" w:rsidP="00C631BC">
      <w:pPr>
        <w:pStyle w:val="Heading5"/>
      </w:pPr>
      <w:r w:rsidRPr="00A24C10">
        <w:t xml:space="preserve">Recommendation </w:t>
      </w:r>
      <w:r>
        <w:t>#</w:t>
      </w:r>
      <w:r w:rsidR="001A1AE5">
        <w:t>12</w:t>
      </w:r>
      <w:r>
        <w:t xml:space="preserve"> </w:t>
      </w:r>
      <w:r w:rsidRPr="00A24C10">
        <w:t xml:space="preserve">in RMP evaluation </w:t>
      </w:r>
      <w:r w:rsidRPr="00C631BC">
        <w:t>report</w:t>
      </w:r>
    </w:p>
    <w:p w:rsidR="0021166D" w:rsidRPr="0021166D" w:rsidRDefault="0021166D" w:rsidP="00C631BC">
      <w:r w:rsidRPr="0021166D">
        <w:t>The following Ongoing Safety Concerns or Missing Information items require additional pharmacovigilance activities in the pharmacovigilance plan:</w:t>
      </w:r>
    </w:p>
    <w:p w:rsidR="0021166D" w:rsidRPr="0021166D" w:rsidRDefault="0021166D" w:rsidP="00C631BC">
      <w:pPr>
        <w:pStyle w:val="ListBullet"/>
      </w:pPr>
      <w:r w:rsidRPr="0021166D">
        <w:t xml:space="preserve">Neuropsychiatric </w:t>
      </w:r>
      <w:r w:rsidRPr="00C631BC">
        <w:t>adverse</w:t>
      </w:r>
      <w:r w:rsidRPr="0021166D">
        <w:t xml:space="preserve"> reactions;</w:t>
      </w:r>
    </w:p>
    <w:p w:rsidR="0021166D" w:rsidRPr="0021166D" w:rsidRDefault="0021166D" w:rsidP="00C631BC">
      <w:pPr>
        <w:pStyle w:val="ListBullet"/>
      </w:pPr>
      <w:r w:rsidRPr="00C631BC">
        <w:t>Vasculitis</w:t>
      </w:r>
      <w:r w:rsidRPr="0021166D">
        <w:t>;</w:t>
      </w:r>
    </w:p>
    <w:p w:rsidR="0021166D" w:rsidRPr="0021166D" w:rsidRDefault="0021166D" w:rsidP="00C631BC">
      <w:pPr>
        <w:pStyle w:val="ListBullet"/>
      </w:pPr>
      <w:r w:rsidRPr="0021166D">
        <w:t>Cardiac adverse reactions;</w:t>
      </w:r>
    </w:p>
    <w:p w:rsidR="0021166D" w:rsidRPr="0021166D" w:rsidRDefault="0021166D" w:rsidP="00C631BC">
      <w:pPr>
        <w:pStyle w:val="ListBullet"/>
      </w:pPr>
      <w:r w:rsidRPr="0021166D">
        <w:t xml:space="preserve">Asian </w:t>
      </w:r>
      <w:r w:rsidRPr="00C631BC">
        <w:t>patients</w:t>
      </w:r>
      <w:r w:rsidRPr="0021166D">
        <w:t>; and</w:t>
      </w:r>
    </w:p>
    <w:p w:rsidR="0021166D" w:rsidRPr="0021166D" w:rsidRDefault="0021166D" w:rsidP="00C631BC">
      <w:pPr>
        <w:pStyle w:val="ListBullet"/>
      </w:pPr>
      <w:r w:rsidRPr="0021166D">
        <w:t xml:space="preserve">Use in </w:t>
      </w:r>
      <w:r w:rsidRPr="00C631BC">
        <w:t>pregnancy</w:t>
      </w:r>
      <w:r w:rsidRPr="0021166D">
        <w:t xml:space="preserve"> and breastfeeding.</w:t>
      </w:r>
    </w:p>
    <w:p w:rsidR="00615F7F" w:rsidRDefault="00615F7F" w:rsidP="00C631BC">
      <w:pPr>
        <w:pStyle w:val="Heading5"/>
      </w:pPr>
      <w:r w:rsidRPr="00C631BC">
        <w:t>Sponsor</w:t>
      </w:r>
      <w:r>
        <w:t xml:space="preserve"> response</w:t>
      </w:r>
    </w:p>
    <w:p w:rsidR="00691F9D" w:rsidRPr="00691F9D" w:rsidRDefault="00691F9D" w:rsidP="00C631BC">
      <w:r w:rsidRPr="00691F9D">
        <w:t xml:space="preserve">To address the remaining concerns and all important identified and potential risks, in addition to routine pharmacovigilance, the </w:t>
      </w:r>
      <w:r w:rsidR="00CB2022">
        <w:t>s</w:t>
      </w:r>
      <w:r w:rsidRPr="00691F9D">
        <w:t xml:space="preserve">ponsor plans to access data from existing disease registries. The </w:t>
      </w:r>
      <w:r w:rsidR="00CB2022">
        <w:t>s</w:t>
      </w:r>
      <w:r w:rsidRPr="00691F9D">
        <w:t xml:space="preserve">ponsor has performed an assessment of available </w:t>
      </w:r>
      <w:r w:rsidR="00204432">
        <w:t>PSOR</w:t>
      </w:r>
      <w:r w:rsidRPr="00691F9D">
        <w:t xml:space="preserve"> and </w:t>
      </w:r>
      <w:proofErr w:type="spellStart"/>
      <w:r w:rsidRPr="00691F9D">
        <w:t>PsA</w:t>
      </w:r>
      <w:proofErr w:type="spellEnd"/>
      <w:r w:rsidRPr="00691F9D">
        <w:t xml:space="preserve"> disease registries across Europe and has explored the feasibility to liaise with selected European registries to collect ‘real</w:t>
      </w:r>
      <w:r w:rsidR="00157005">
        <w:t xml:space="preserve"> </w:t>
      </w:r>
      <w:r w:rsidRPr="00691F9D">
        <w:t>life’ use data.</w:t>
      </w:r>
    </w:p>
    <w:p w:rsidR="00691F9D" w:rsidRPr="00691F9D" w:rsidRDefault="00691F9D" w:rsidP="00C631BC">
      <w:r w:rsidRPr="00691F9D">
        <w:t xml:space="preserve">The </w:t>
      </w:r>
      <w:r w:rsidR="00673E7D">
        <w:t>s</w:t>
      </w:r>
      <w:r w:rsidRPr="00691F9D">
        <w:t>ponsor has identified two registries (synopses provided) One of these (</w:t>
      </w:r>
      <w:proofErr w:type="spellStart"/>
      <w:r w:rsidRPr="00691F9D">
        <w:t>PsoBest</w:t>
      </w:r>
      <w:proofErr w:type="spellEnd"/>
      <w:r w:rsidRPr="00691F9D">
        <w:t xml:space="preserve">) is a well-established registry in patients with </w:t>
      </w:r>
      <w:r w:rsidR="00204432">
        <w:t>PSOR</w:t>
      </w:r>
      <w:r w:rsidRPr="00691F9D">
        <w:t xml:space="preserve"> that is associated with the European Network of </w:t>
      </w:r>
      <w:r w:rsidR="00204432">
        <w:t>PSOR</w:t>
      </w:r>
      <w:r w:rsidRPr="00691F9D">
        <w:t xml:space="preserve"> registries and already includes existing patient cohorts, primarily receiving biologic therapies. A second registry (British Society for Rheumatology Biologics Register [BSRBR] - </w:t>
      </w:r>
      <w:proofErr w:type="spellStart"/>
      <w:r w:rsidRPr="00691F9D">
        <w:t>PsA</w:t>
      </w:r>
      <w:proofErr w:type="spellEnd"/>
      <w:r w:rsidRPr="00691F9D">
        <w:t xml:space="preserve">) is a specific </w:t>
      </w:r>
      <w:proofErr w:type="spellStart"/>
      <w:r w:rsidRPr="00691F9D">
        <w:t>PsA</w:t>
      </w:r>
      <w:proofErr w:type="spellEnd"/>
      <w:r w:rsidRPr="00691F9D">
        <w:t xml:space="preserve"> registry that is in the process of being set up and it is estimated to start by the end of 2015.</w:t>
      </w:r>
    </w:p>
    <w:p w:rsidR="00691F9D" w:rsidRPr="00691F9D" w:rsidRDefault="00691F9D" w:rsidP="00C631BC">
      <w:r w:rsidRPr="00691F9D">
        <w:t xml:space="preserve">The objective of the </w:t>
      </w:r>
      <w:r w:rsidR="002B6593">
        <w:t>APR</w:t>
      </w:r>
      <w:r w:rsidRPr="00691F9D">
        <w:t xml:space="preserve"> cohort within the registries will be to describe the pattern of use of </w:t>
      </w:r>
      <w:r w:rsidR="002B6593">
        <w:t>APR</w:t>
      </w:r>
      <w:r w:rsidRPr="00691F9D">
        <w:t xml:space="preserve"> in the routine clinical treatment of patients with </w:t>
      </w:r>
      <w:r w:rsidR="00204432">
        <w:t>PSOR</w:t>
      </w:r>
      <w:r w:rsidRPr="00691F9D">
        <w:t xml:space="preserve"> or </w:t>
      </w:r>
      <w:proofErr w:type="spellStart"/>
      <w:r w:rsidRPr="00691F9D">
        <w:t>PsA.</w:t>
      </w:r>
      <w:proofErr w:type="spellEnd"/>
      <w:r w:rsidRPr="00691F9D">
        <w:t xml:space="preserve"> These registries will collect adverse events and serious adverse events. The Sponsor proposes to analyse these events to further identify and characterise safety risks in patients exposed to </w:t>
      </w:r>
      <w:r w:rsidR="002B6593">
        <w:t>APR</w:t>
      </w:r>
      <w:r w:rsidRPr="00691F9D">
        <w:t>. Analyses will be conducted at Years 1, 3</w:t>
      </w:r>
      <w:r w:rsidR="00120A5D">
        <w:t>,</w:t>
      </w:r>
      <w:r w:rsidRPr="00691F9D">
        <w:t xml:space="preserve"> and a final analysis at 5 years from the date of the first exposed patient’s entry into the registry. These selected time periods take into consideration that </w:t>
      </w:r>
      <w:r w:rsidR="002B6593">
        <w:t>APR</w:t>
      </w:r>
      <w:r w:rsidRPr="00691F9D">
        <w:t xml:space="preserve"> must be available and accessible to patients to reflect ‘real-life’ use. These intervals of reports ensure that sufficient market penetration is achieved prior to analysis of data, such that the analyses will provide significant and meaningful data.</w:t>
      </w:r>
    </w:p>
    <w:p w:rsidR="00691F9D" w:rsidRPr="00691F9D" w:rsidRDefault="00691F9D" w:rsidP="00C631BC">
      <w:r w:rsidRPr="00691F9D">
        <w:t xml:space="preserve">The </w:t>
      </w:r>
      <w:r w:rsidR="00526B7F">
        <w:t>s</w:t>
      </w:r>
      <w:r w:rsidRPr="00691F9D">
        <w:t>ponsor also proposes to analy</w:t>
      </w:r>
      <w:r w:rsidR="00526B7F">
        <w:t>s</w:t>
      </w:r>
      <w:r w:rsidRPr="00691F9D">
        <w:t>e data from the United Kingdom (UK) Clinical Practice Research Datalink (CPRD; an ongoing longitudinal database that collects data from over 6 million patients in the UK) to further characteri</w:t>
      </w:r>
      <w:r w:rsidR="00E97C55">
        <w:t>s</w:t>
      </w:r>
      <w:r w:rsidRPr="00691F9D">
        <w:t xml:space="preserve">e the safety profile of </w:t>
      </w:r>
      <w:r w:rsidR="002B6593">
        <w:t>APR</w:t>
      </w:r>
      <w:r w:rsidR="00E97C55">
        <w:t xml:space="preserve"> in a ‘real </w:t>
      </w:r>
      <w:r w:rsidRPr="00691F9D">
        <w:t>life</w:t>
      </w:r>
      <w:r w:rsidR="00E97C55">
        <w:t>’</w:t>
      </w:r>
      <w:r w:rsidRPr="00691F9D">
        <w:t xml:space="preserve"> setting. This will be a retrospective cohort study using population</w:t>
      </w:r>
      <w:r w:rsidR="005C5FBC">
        <w:t xml:space="preserve"> </w:t>
      </w:r>
      <w:r w:rsidRPr="00691F9D">
        <w:t>based datasets conducted at Years 1, 3</w:t>
      </w:r>
      <w:r w:rsidR="002431E6">
        <w:t>,</w:t>
      </w:r>
      <w:r w:rsidRPr="00691F9D">
        <w:t xml:space="preserve"> and 5 starting from the date of first commercial availability in UK. An appropriate control population will be selected from the database to estimate risk measures for events mentioned in the </w:t>
      </w:r>
      <w:r w:rsidR="002B6593">
        <w:t>APR</w:t>
      </w:r>
      <w:r w:rsidRPr="00691F9D">
        <w:t xml:space="preserve"> RMP.</w:t>
      </w:r>
    </w:p>
    <w:p w:rsidR="00615F7F" w:rsidRPr="00691F9D" w:rsidRDefault="00691F9D" w:rsidP="00C631BC">
      <w:r w:rsidRPr="00691F9D">
        <w:t xml:space="preserve">In addition to the above proposed assessments, and also included in the updated RMP, the </w:t>
      </w:r>
      <w:proofErr w:type="spellStart"/>
      <w:r w:rsidRPr="00691F9D">
        <w:t>PsA</w:t>
      </w:r>
      <w:proofErr w:type="spellEnd"/>
      <w:r w:rsidRPr="00691F9D">
        <w:t xml:space="preserve"> and </w:t>
      </w:r>
      <w:r w:rsidR="00204432">
        <w:t>PSOR</w:t>
      </w:r>
      <w:r w:rsidR="005C5FBC">
        <w:t xml:space="preserve"> Phase III</w:t>
      </w:r>
      <w:r w:rsidRPr="00691F9D">
        <w:t xml:space="preserve"> clinical studies (CC-10004-PSA-002, -003, -004, -005 and CC-10004- PSOR- 008, -009) are ongoing in the long</w:t>
      </w:r>
      <w:r w:rsidR="005C5FBC">
        <w:t xml:space="preserve"> </w:t>
      </w:r>
      <w:r w:rsidRPr="00691F9D">
        <w:t xml:space="preserve">term extension phase. Patients in these studies will be followed for up to five years while on treatment: these data will provide additional information on long term safety of </w:t>
      </w:r>
      <w:r w:rsidR="002B6593">
        <w:t>APR</w:t>
      </w:r>
      <w:r w:rsidRPr="00691F9D">
        <w:t>.</w:t>
      </w:r>
    </w:p>
    <w:p w:rsidR="00691F9D" w:rsidRPr="00691F9D" w:rsidRDefault="00691F9D" w:rsidP="00C631BC">
      <w:r w:rsidRPr="00691F9D">
        <w:t>To address the missing information related to use in pregnancy, the Sponsor is participating in a pregnancy registry. The Apremilast Pregnancy Exposure R</w:t>
      </w:r>
      <w:r w:rsidR="00F63037">
        <w:t xml:space="preserve">egistry is a </w:t>
      </w:r>
      <w:r w:rsidR="005D5B99">
        <w:t>US</w:t>
      </w:r>
      <w:r w:rsidRPr="00691F9D">
        <w:t xml:space="preserve"> registry designed to monitor planned or unplanned pregnancies in patients exposed to </w:t>
      </w:r>
      <w:r w:rsidR="002B6593">
        <w:t>APR</w:t>
      </w:r>
      <w:r w:rsidRPr="00691F9D">
        <w:t xml:space="preserve"> when used to treat an approved indication in accordance with the current approved prescribing information, who reside in the US or Canada. The </w:t>
      </w:r>
      <w:r w:rsidR="006F6251">
        <w:t xml:space="preserve">registry fulfils a post </w:t>
      </w:r>
      <w:r w:rsidRPr="00691F9D">
        <w:t xml:space="preserve">marketing commitment to the </w:t>
      </w:r>
      <w:r w:rsidR="006F6251">
        <w:t>FDA</w:t>
      </w:r>
      <w:r w:rsidRPr="00691F9D">
        <w:t xml:space="preserve">. The goal of the Registry is to conduct an observational, controlled, prospective, cohort study that will involve follow-up of live born infants to one year of age. The study population includes pregnant women who reside in the US or Canada who has or have not used </w:t>
      </w:r>
      <w:r w:rsidR="002B6593">
        <w:t>APR</w:t>
      </w:r>
      <w:r w:rsidRPr="00691F9D">
        <w:t xml:space="preserve"> for any length of time for an approved indication. The cohort study target sample size is 100 pregnant women in each of three groups:</w:t>
      </w:r>
    </w:p>
    <w:p w:rsidR="00691F9D" w:rsidRPr="00691F9D" w:rsidRDefault="00691F9D" w:rsidP="00691F9D">
      <w:pPr>
        <w:pStyle w:val="ListBullet"/>
      </w:pPr>
      <w:r w:rsidRPr="00691F9D">
        <w:t xml:space="preserve">100 women who have been exposed to </w:t>
      </w:r>
      <w:r w:rsidR="002B6593">
        <w:t>APR</w:t>
      </w:r>
      <w:r w:rsidRPr="00691F9D">
        <w:t xml:space="preserve"> in pregnancy for an approved indication.</w:t>
      </w:r>
    </w:p>
    <w:p w:rsidR="00691F9D" w:rsidRPr="00691F9D" w:rsidRDefault="00691F9D" w:rsidP="00691F9D">
      <w:pPr>
        <w:pStyle w:val="ListBullet"/>
      </w:pPr>
      <w:r w:rsidRPr="00691F9D">
        <w:t>100 women with t</w:t>
      </w:r>
      <w:r w:rsidRPr="00C631BC">
        <w:t>h</w:t>
      </w:r>
      <w:r w:rsidRPr="00691F9D">
        <w:t xml:space="preserve">e same condition for which </w:t>
      </w:r>
      <w:r w:rsidR="002B6593">
        <w:t>APR</w:t>
      </w:r>
      <w:r w:rsidRPr="00691F9D">
        <w:t xml:space="preserve"> is approved but who have not been exposed to </w:t>
      </w:r>
      <w:r w:rsidR="002B6593">
        <w:t>APR</w:t>
      </w:r>
      <w:r w:rsidRPr="00691F9D">
        <w:t xml:space="preserve"> at any time in pregnancy (primary comparison group).</w:t>
      </w:r>
    </w:p>
    <w:p w:rsidR="00691F9D" w:rsidRPr="00691F9D" w:rsidRDefault="00691F9D" w:rsidP="00C631BC">
      <w:pPr>
        <w:pStyle w:val="ListBullet"/>
      </w:pPr>
      <w:r w:rsidRPr="00691F9D">
        <w:t xml:space="preserve">100 healthy women who do not have a condition for which </w:t>
      </w:r>
      <w:r w:rsidR="002B6593">
        <w:t>APR</w:t>
      </w:r>
      <w:r w:rsidRPr="00691F9D">
        <w:t xml:space="preserve"> is approved nor other chronic illness and have </w:t>
      </w:r>
      <w:r w:rsidRPr="00C631BC">
        <w:t>not</w:t>
      </w:r>
      <w:r w:rsidRPr="00691F9D">
        <w:t xml:space="preserve"> taken </w:t>
      </w:r>
      <w:r w:rsidR="002B6593">
        <w:t>APR</w:t>
      </w:r>
      <w:r w:rsidRPr="00691F9D">
        <w:t xml:space="preserve"> in pregnancy.</w:t>
      </w:r>
    </w:p>
    <w:p w:rsidR="00691F9D" w:rsidRPr="00691F9D" w:rsidRDefault="00691F9D" w:rsidP="00C631BC">
      <w:r w:rsidRPr="00691F9D">
        <w:t xml:space="preserve">The primary objective of the Registry is to evaluate any potential increase in the risk of major birth </w:t>
      </w:r>
      <w:proofErr w:type="gramStart"/>
      <w:r w:rsidRPr="00691F9D">
        <w:t>defects,</w:t>
      </w:r>
      <w:proofErr w:type="gramEnd"/>
      <w:r w:rsidRPr="00691F9D">
        <w:t xml:space="preserve"> specifically a pattern of anomalies, in </w:t>
      </w:r>
      <w:r w:rsidR="002B6593">
        <w:t>APR</w:t>
      </w:r>
      <w:r w:rsidRPr="00691F9D">
        <w:t xml:space="preserve"> exposed pregnancies compared to the primary comparison group of disease</w:t>
      </w:r>
      <w:r w:rsidR="0040280A">
        <w:t xml:space="preserve"> </w:t>
      </w:r>
      <w:r w:rsidRPr="00691F9D">
        <w:t>matched unexposed pregnancies. Secondary objectives are to evaluate the potential effect of exposure relative to the secondary comparison group of healthy pregnant women, and the effect of exposure on other adverse pregnancy outcomes including spontaneous abortion or stillbirth, preterm delivery, reduced infant birth size, a pattern of minor malformations, postnatal growth of live born children to one year of age, and incidence of serious or opportunistic infections or malignancies in live born children up to one year of age.</w:t>
      </w:r>
    </w:p>
    <w:p w:rsidR="00691F9D" w:rsidRPr="00691F9D" w:rsidRDefault="00691F9D" w:rsidP="00C631BC">
      <w:r w:rsidRPr="00691F9D">
        <w:t xml:space="preserve">The </w:t>
      </w:r>
      <w:r w:rsidR="0040280A">
        <w:t>s</w:t>
      </w:r>
      <w:r w:rsidRPr="00691F9D">
        <w:t xml:space="preserve">ponsor believes in addition to the routine pharmacovigilance activities and long term safety from the ongoing clinical studies, these registries will provide additional information regarding the safety profile of </w:t>
      </w:r>
      <w:r w:rsidR="002B6593">
        <w:t>APR</w:t>
      </w:r>
      <w:r w:rsidRPr="00691F9D">
        <w:t xml:space="preserve"> (including important identified and potential risks and missing information noted in the RMP) in order to further characteri</w:t>
      </w:r>
      <w:r w:rsidR="00710660">
        <w:t>s</w:t>
      </w:r>
      <w:r w:rsidRPr="00691F9D">
        <w:t xml:space="preserve">e the safety profile of </w:t>
      </w:r>
      <w:r w:rsidR="002B6593">
        <w:t>APR</w:t>
      </w:r>
      <w:r w:rsidRPr="00691F9D">
        <w:t>.</w:t>
      </w:r>
    </w:p>
    <w:p w:rsidR="00615F7F" w:rsidRDefault="00615F7F" w:rsidP="00C631BC">
      <w:pPr>
        <w:pStyle w:val="Heading5"/>
      </w:pPr>
      <w:r>
        <w:t>OPR evaluator’s comment</w:t>
      </w:r>
    </w:p>
    <w:p w:rsidR="00615F7F" w:rsidRPr="00482768" w:rsidRDefault="00691F9D" w:rsidP="00C631BC">
      <w:r w:rsidRPr="00482768">
        <w:t>There is no definite objection to the proposed pharmacovigilance plan.</w:t>
      </w:r>
    </w:p>
    <w:p w:rsidR="00434652" w:rsidRDefault="00434652" w:rsidP="00C631BC">
      <w:pPr>
        <w:pStyle w:val="Heading5"/>
      </w:pPr>
      <w:r w:rsidRPr="00A24C10">
        <w:t xml:space="preserve">Recommendation </w:t>
      </w:r>
      <w:r>
        <w:t xml:space="preserve">#13 </w:t>
      </w:r>
      <w:r w:rsidRPr="00A24C10">
        <w:t xml:space="preserve">in RMP </w:t>
      </w:r>
      <w:r w:rsidRPr="00C631BC">
        <w:t>evaluation</w:t>
      </w:r>
      <w:r w:rsidRPr="00A24C10">
        <w:t xml:space="preserve"> report</w:t>
      </w:r>
    </w:p>
    <w:p w:rsidR="00434652" w:rsidRPr="004672C9" w:rsidRDefault="00710660" w:rsidP="00C631BC">
      <w:r>
        <w:t>With regard to the Phase III</w:t>
      </w:r>
      <w:r w:rsidR="004672C9" w:rsidRPr="004672C9">
        <w:t xml:space="preserve"> studies to collect long</w:t>
      </w:r>
      <w:r w:rsidR="00AE5864">
        <w:t xml:space="preserve"> </w:t>
      </w:r>
      <w:r w:rsidR="004672C9" w:rsidRPr="004672C9">
        <w:t>term data referenced by the pharmacovigilance plan, the sponsor should clarify which studies are meant, and list each of these studies separately in the pharmacovigilance plan and provide study protocols or protocol synopses for those.</w:t>
      </w:r>
    </w:p>
    <w:p w:rsidR="00434652" w:rsidRDefault="00434652" w:rsidP="00C631BC">
      <w:pPr>
        <w:pStyle w:val="Heading5"/>
      </w:pPr>
      <w:r>
        <w:t xml:space="preserve">Sponsor </w:t>
      </w:r>
      <w:r w:rsidRPr="00C631BC">
        <w:t>response</w:t>
      </w:r>
    </w:p>
    <w:p w:rsidR="00434652" w:rsidRPr="00DB149F" w:rsidRDefault="004672C9" w:rsidP="00C631BC">
      <w:r w:rsidRPr="00DB149F">
        <w:t xml:space="preserve">The </w:t>
      </w:r>
      <w:r w:rsidR="00AE5864">
        <w:t>s</w:t>
      </w:r>
      <w:r w:rsidRPr="00DB149F">
        <w:t>ponsor has provided the list of studies and protoc</w:t>
      </w:r>
      <w:r w:rsidR="009D2D3F">
        <w:t>ol synopses</w:t>
      </w:r>
      <w:r w:rsidRPr="00DB149F">
        <w:t>/summaries of these studies in the updated RMP.</w:t>
      </w:r>
    </w:p>
    <w:p w:rsidR="00434652" w:rsidRDefault="00434652" w:rsidP="00C631BC">
      <w:pPr>
        <w:pStyle w:val="Heading5"/>
      </w:pPr>
      <w:r>
        <w:t xml:space="preserve">OPR </w:t>
      </w:r>
      <w:r w:rsidRPr="00C631BC">
        <w:t>evaluator’s</w:t>
      </w:r>
      <w:r>
        <w:t xml:space="preserve"> comment</w:t>
      </w:r>
    </w:p>
    <w:p w:rsidR="00434652" w:rsidRPr="00404AFE" w:rsidRDefault="00DB149F" w:rsidP="00C631BC">
      <w:r w:rsidRPr="00404AFE">
        <w:t>This is considered acceptable in the context of this application.</w:t>
      </w:r>
    </w:p>
    <w:p w:rsidR="00434652" w:rsidRDefault="00434652" w:rsidP="00C631BC">
      <w:pPr>
        <w:pStyle w:val="Heading5"/>
      </w:pPr>
      <w:r w:rsidRPr="00A24C10">
        <w:t xml:space="preserve">Recommendation </w:t>
      </w:r>
      <w:r>
        <w:t xml:space="preserve">#14 </w:t>
      </w:r>
      <w:r w:rsidRPr="00A24C10">
        <w:t xml:space="preserve">in RMP </w:t>
      </w:r>
      <w:r w:rsidRPr="00C631BC">
        <w:t>evaluation</w:t>
      </w:r>
      <w:r w:rsidRPr="00A24C10">
        <w:t xml:space="preserve"> report</w:t>
      </w:r>
    </w:p>
    <w:p w:rsidR="00434652" w:rsidRPr="00025AB5" w:rsidRDefault="00A26806" w:rsidP="00C631BC">
      <w:r w:rsidRPr="00025AB5">
        <w:t>The Ongoing Safety Concerns and Missing Information item identified above by the OPR evaluator should be definitely assigned to existing ongoing or planned, or new planned additional pharmacovigilance activities, and the pharmacovigilance plan updated accordingly.</w:t>
      </w:r>
    </w:p>
    <w:p w:rsidR="00434652" w:rsidRDefault="00434652" w:rsidP="00C631BC">
      <w:pPr>
        <w:pStyle w:val="Heading5"/>
      </w:pPr>
      <w:r>
        <w:t xml:space="preserve">Sponsor </w:t>
      </w:r>
      <w:r w:rsidRPr="00C631BC">
        <w:t>response</w:t>
      </w:r>
    </w:p>
    <w:p w:rsidR="00434652" w:rsidRPr="00DE703A" w:rsidRDefault="00025AB5" w:rsidP="00C631BC">
      <w:r w:rsidRPr="00DE703A">
        <w:t xml:space="preserve">Per the response </w:t>
      </w:r>
      <w:r w:rsidR="00DE703A">
        <w:t>above</w:t>
      </w:r>
      <w:r w:rsidRPr="00DE703A">
        <w:t xml:space="preserve">, EU RMP (version 03) and a draft </w:t>
      </w:r>
      <w:r w:rsidR="006172B8">
        <w:t>ASA</w:t>
      </w:r>
      <w:r w:rsidRPr="00DE703A">
        <w:t xml:space="preserve"> version 02 are included with this response. Upon approval of the Otezla application by the TGA</w:t>
      </w:r>
      <w:r w:rsidR="00363102">
        <w:t>,</w:t>
      </w:r>
      <w:r w:rsidRPr="00DE703A">
        <w:t xml:space="preserve"> the </w:t>
      </w:r>
      <w:r w:rsidR="00363102">
        <w:t>ASA</w:t>
      </w:r>
      <w:r w:rsidRPr="00DE703A">
        <w:t xml:space="preserve"> will be further updated per the relevant approved details.</w:t>
      </w:r>
    </w:p>
    <w:p w:rsidR="00434652" w:rsidRDefault="00434652" w:rsidP="00C631BC">
      <w:pPr>
        <w:pStyle w:val="Heading5"/>
      </w:pPr>
      <w:r>
        <w:t xml:space="preserve">OPR evaluator’s </w:t>
      </w:r>
      <w:r w:rsidRPr="00C631BC">
        <w:t>comment</w:t>
      </w:r>
    </w:p>
    <w:p w:rsidR="00065E81" w:rsidRPr="00EF5574" w:rsidRDefault="00065E81" w:rsidP="00C631BC">
      <w:r w:rsidRPr="00EF5574">
        <w:t>It is noted that the sponsor has made changes to the pharmacovigilance plan.</w:t>
      </w:r>
    </w:p>
    <w:p w:rsidR="00434652" w:rsidRPr="00EF5574" w:rsidRDefault="00065E81" w:rsidP="00EF5574">
      <w:r w:rsidRPr="00EF5574">
        <w:t>But ‘Gastrointestinal effects’ and ‘off</w:t>
      </w:r>
      <w:r w:rsidR="006B70ED">
        <w:t xml:space="preserve"> </w:t>
      </w:r>
      <w:r w:rsidRPr="00EF5574">
        <w:t>label use’ need to be assigned to the appropriate existing additional pharmacov</w:t>
      </w:r>
      <w:r w:rsidR="00EF5574" w:rsidRPr="00EF5574">
        <w:t>igilance activities</w:t>
      </w:r>
      <w:r w:rsidRPr="00EF5574">
        <w:t>.</w:t>
      </w:r>
    </w:p>
    <w:p w:rsidR="00553FED" w:rsidRDefault="00553FED" w:rsidP="00C631BC">
      <w:pPr>
        <w:pStyle w:val="Heading4"/>
        <w:rPr>
          <w:lang w:eastAsia="en-AU"/>
        </w:rPr>
      </w:pPr>
      <w:r>
        <w:rPr>
          <w:lang w:eastAsia="en-AU"/>
        </w:rPr>
        <w:t xml:space="preserve">Summary of </w:t>
      </w:r>
      <w:r w:rsidRPr="00C631BC">
        <w:t>recommendations</w:t>
      </w:r>
    </w:p>
    <w:p w:rsidR="00553FED" w:rsidRPr="006F25B8" w:rsidRDefault="004D5E73" w:rsidP="00C631BC">
      <w:pPr>
        <w:rPr>
          <w:lang w:eastAsia="en-AU"/>
        </w:rPr>
      </w:pPr>
      <w:r w:rsidRPr="004D5E73">
        <w:rPr>
          <w:lang w:eastAsia="en-AU"/>
        </w:rPr>
        <w:t xml:space="preserve">It is considered that the </w:t>
      </w:r>
      <w:r w:rsidR="00CA42B8">
        <w:rPr>
          <w:lang w:eastAsia="en-AU"/>
        </w:rPr>
        <w:t>sponsor’s response to the TGA Section 31 r</w:t>
      </w:r>
      <w:r w:rsidRPr="004D5E73">
        <w:rPr>
          <w:lang w:eastAsia="en-AU"/>
        </w:rPr>
        <w:t>equest has adequately addressed most of the issues identified in the RMP evaluation report. However, there are outstanding issues. Additional recommendations have been made.</w:t>
      </w:r>
    </w:p>
    <w:p w:rsidR="00741470" w:rsidRPr="00107999" w:rsidRDefault="00741470" w:rsidP="00C631BC">
      <w:pPr>
        <w:pStyle w:val="Heading5"/>
      </w:pPr>
      <w:r w:rsidRPr="00107999">
        <w:t xml:space="preserve">Outstanding </w:t>
      </w:r>
      <w:r w:rsidRPr="00C631BC">
        <w:t>issues</w:t>
      </w:r>
    </w:p>
    <w:p w:rsidR="00013DC9" w:rsidRPr="00013DC9" w:rsidRDefault="00013DC9" w:rsidP="00C631BC">
      <w:r w:rsidRPr="00013DC9">
        <w:t xml:space="preserve">It is considered that the sponsor’s response to the </w:t>
      </w:r>
      <w:r w:rsidR="00CA42B8">
        <w:rPr>
          <w:lang w:eastAsia="en-AU"/>
        </w:rPr>
        <w:t>TGA Section 31 r</w:t>
      </w:r>
      <w:r w:rsidR="00CA42B8" w:rsidRPr="004D5E73">
        <w:rPr>
          <w:lang w:eastAsia="en-AU"/>
        </w:rPr>
        <w:t xml:space="preserve">equest </w:t>
      </w:r>
      <w:r w:rsidRPr="00013DC9">
        <w:t>has adequately addressed most of the issues identified in the RMP evaluation report. There are outstanding issues. Additional recommendations have been made based on advice given by the ACSOM.</w:t>
      </w:r>
    </w:p>
    <w:p w:rsidR="00013DC9" w:rsidRPr="004C7143" w:rsidRDefault="00013DC9" w:rsidP="00C631BC">
      <w:pPr>
        <w:pStyle w:val="Heading5"/>
      </w:pPr>
      <w:r w:rsidRPr="004C7143">
        <w:t>Summary of outstanding issues</w:t>
      </w:r>
      <w:r>
        <w:t xml:space="preserve"> (including additional recommendations)</w:t>
      </w:r>
    </w:p>
    <w:p w:rsidR="00013DC9" w:rsidRDefault="00013DC9" w:rsidP="00C631BC">
      <w:pPr>
        <w:pStyle w:val="Heading6"/>
      </w:pPr>
      <w:r w:rsidRPr="004C7143">
        <w:t xml:space="preserve">Recommendations in regard to </w:t>
      </w:r>
      <w:r w:rsidR="00C631BC">
        <w:t>s</w:t>
      </w:r>
      <w:r w:rsidRPr="00C631BC">
        <w:t>afety</w:t>
      </w:r>
      <w:r>
        <w:t xml:space="preserve"> </w:t>
      </w:r>
      <w:r w:rsidR="00C631BC" w:rsidRPr="00C631BC">
        <w:t>c</w:t>
      </w:r>
      <w:r w:rsidRPr="00C631BC">
        <w:t>oncerns</w:t>
      </w:r>
    </w:p>
    <w:p w:rsidR="00013DC9" w:rsidRPr="001627F9" w:rsidRDefault="00013DC9" w:rsidP="00C631BC">
      <w:pPr>
        <w:pStyle w:val="ListBullet"/>
      </w:pPr>
      <w:r w:rsidRPr="001627F9">
        <w:t xml:space="preserve">To ensure appropriate </w:t>
      </w:r>
      <w:r w:rsidRPr="00C631BC">
        <w:t>reporting</w:t>
      </w:r>
      <w:r w:rsidRPr="001627F9">
        <w:t xml:space="preserve"> ‘Gastrointestinal effects (including, but not limited to diarrhoea)’ should be added as Important Identified Risk</w:t>
      </w:r>
    </w:p>
    <w:p w:rsidR="00013DC9" w:rsidRPr="001627F9" w:rsidRDefault="00013DC9" w:rsidP="00C631BC">
      <w:pPr>
        <w:pStyle w:val="ListBullet"/>
      </w:pPr>
      <w:r w:rsidRPr="001627F9">
        <w:t xml:space="preserve">In the interest of </w:t>
      </w:r>
      <w:r w:rsidRPr="00C631BC">
        <w:t>safety</w:t>
      </w:r>
      <w:r w:rsidRPr="001627F9">
        <w:t xml:space="preserve"> and regulatory consistency, off-label use needs to be included as an Important Potential Risk</w:t>
      </w:r>
    </w:p>
    <w:p w:rsidR="00013DC9" w:rsidRDefault="00013DC9" w:rsidP="00C631BC">
      <w:pPr>
        <w:pStyle w:val="Heading6"/>
      </w:pPr>
      <w:r w:rsidRPr="004C7143">
        <w:t xml:space="preserve">Recommendations in regard to </w:t>
      </w:r>
      <w:r>
        <w:t xml:space="preserve">the </w:t>
      </w:r>
      <w:r w:rsidRPr="00C631BC">
        <w:t>pharmacovigilance</w:t>
      </w:r>
      <w:r>
        <w:t xml:space="preserve"> plan</w:t>
      </w:r>
    </w:p>
    <w:p w:rsidR="00013DC9" w:rsidRDefault="00013DC9" w:rsidP="00C631BC">
      <w:pPr>
        <w:pStyle w:val="ListBullet"/>
      </w:pPr>
      <w:r w:rsidRPr="00053988">
        <w:t xml:space="preserve">‘Gastrointestinal effects’ and ‘off-label use’ </w:t>
      </w:r>
      <w:r>
        <w:t xml:space="preserve">should </w:t>
      </w:r>
      <w:r w:rsidRPr="00053988">
        <w:t xml:space="preserve">be assigned to the appropriate existing additional pharmacovigilance </w:t>
      </w:r>
      <w:r w:rsidRPr="00C631BC">
        <w:t>activities</w:t>
      </w:r>
      <w:r>
        <w:t xml:space="preserve"> </w:t>
      </w:r>
    </w:p>
    <w:p w:rsidR="00013DC9" w:rsidRPr="00CD2B8C" w:rsidRDefault="00013DC9" w:rsidP="00C631BC">
      <w:pPr>
        <w:pStyle w:val="ListBullet"/>
      </w:pPr>
      <w:r w:rsidRPr="00CD2B8C">
        <w:t xml:space="preserve">The sponsor </w:t>
      </w:r>
      <w:r w:rsidRPr="00C631BC">
        <w:t>should</w:t>
      </w:r>
      <w:r w:rsidRPr="00CD2B8C">
        <w:t xml:space="preserve"> assign all identified Safety Concerns to the EU Disease</w:t>
      </w:r>
      <w:r w:rsidR="009C7DD1">
        <w:t xml:space="preserve"> Registry</w:t>
      </w:r>
    </w:p>
    <w:p w:rsidR="00013DC9" w:rsidRPr="009869CD" w:rsidRDefault="00013DC9" w:rsidP="00C631BC">
      <w:pPr>
        <w:pStyle w:val="Heading6"/>
      </w:pPr>
      <w:r w:rsidRPr="009869CD">
        <w:t xml:space="preserve">Recommendations in </w:t>
      </w:r>
      <w:r w:rsidRPr="00C631BC">
        <w:t>regard</w:t>
      </w:r>
      <w:r w:rsidRPr="009869CD">
        <w:t xml:space="preserve"> to risk minimisation activities</w:t>
      </w:r>
    </w:p>
    <w:p w:rsidR="00013DC9" w:rsidRPr="009869CD" w:rsidRDefault="00013DC9" w:rsidP="00C631BC">
      <w:pPr>
        <w:pStyle w:val="ListBullet"/>
      </w:pPr>
      <w:r w:rsidRPr="009869CD">
        <w:t>In the ‘Precautions’ section, under a separate heading, the PI should contain a precautionary statement on depression and a statem</w:t>
      </w:r>
      <w:r w:rsidR="009C7DD1">
        <w:t>ent on patients with depression</w:t>
      </w:r>
    </w:p>
    <w:p w:rsidR="00013DC9" w:rsidRPr="009869CD" w:rsidRDefault="00013DC9" w:rsidP="00C631BC">
      <w:pPr>
        <w:pStyle w:val="ListBullet"/>
      </w:pPr>
      <w:r w:rsidRPr="009869CD">
        <w:t xml:space="preserve">In the ‘Precautions’ section, under a separate heading, the PI should contain a precautionary statement on patients </w:t>
      </w:r>
      <w:r w:rsidRPr="00C631BC">
        <w:t>with</w:t>
      </w:r>
      <w:r w:rsidRPr="009869CD">
        <w:t xml:space="preserve"> a HIV co-infection. This should contain a statement that the safety of </w:t>
      </w:r>
      <w:r w:rsidR="002B6593">
        <w:t>APR</w:t>
      </w:r>
      <w:r w:rsidRPr="009869CD">
        <w:t xml:space="preserve"> in HIV patients has not been established</w:t>
      </w:r>
      <w:r w:rsidR="009C7DD1">
        <w:t>.</w:t>
      </w:r>
    </w:p>
    <w:p w:rsidR="00013DC9" w:rsidRPr="009869CD" w:rsidRDefault="00013DC9" w:rsidP="00C631BC">
      <w:pPr>
        <w:pStyle w:val="ListBullet"/>
      </w:pPr>
      <w:r w:rsidRPr="009869CD">
        <w:t xml:space="preserve">In the ‘Precautions’ section, under a separate heading, the PI should contain a precautionary statement on patients with clinically significant bacterial, viral or fungal infections. This should contain a statement that </w:t>
      </w:r>
      <w:r w:rsidR="002B6593">
        <w:t>APR</w:t>
      </w:r>
      <w:r w:rsidRPr="009869CD">
        <w:t xml:space="preserve"> may decrease the effects in the pro-inflammatory </w:t>
      </w:r>
      <w:proofErr w:type="gramStart"/>
      <w:r w:rsidRPr="009869CD">
        <w:t>mediators,</w:t>
      </w:r>
      <w:proofErr w:type="gramEnd"/>
      <w:r w:rsidRPr="009869CD">
        <w:t xml:space="preserve"> the response of the body to different mi</w:t>
      </w:r>
      <w:r w:rsidR="009C7DD1">
        <w:t>croorganisms may be compromised.</w:t>
      </w:r>
    </w:p>
    <w:p w:rsidR="00013DC9" w:rsidRPr="009869CD" w:rsidRDefault="00013DC9" w:rsidP="00C631BC">
      <w:pPr>
        <w:pStyle w:val="ListBullet"/>
      </w:pPr>
      <w:r w:rsidRPr="009869CD">
        <w:t xml:space="preserve">It is recommended to the Delegate the precautionary statement on weight loss additionally contain information on the </w:t>
      </w:r>
      <w:r w:rsidRPr="00C631BC">
        <w:t>type</w:t>
      </w:r>
      <w:r w:rsidRPr="009869CD">
        <w:t xml:space="preserve"> of weight loss, and predictors and risk factors of weight loss in patients taking </w:t>
      </w:r>
      <w:r w:rsidR="002B6593">
        <w:t>APR</w:t>
      </w:r>
      <w:r w:rsidRPr="009869CD">
        <w:t xml:space="preserve">. Furthermore, </w:t>
      </w:r>
      <w:r>
        <w:t>it</w:t>
      </w:r>
      <w:r w:rsidRPr="009869CD">
        <w:t xml:space="preserve"> is recommended to the Delegate to include a statement that weight loss is associated with poorer health outcomes in COPD patients to di</w:t>
      </w:r>
      <w:r w:rsidR="004C7588">
        <w:t xml:space="preserve">scourage off </w:t>
      </w:r>
      <w:r w:rsidRPr="009869CD">
        <w:t>label use in this population or to warn practitioners if used off</w:t>
      </w:r>
      <w:r w:rsidR="004C7588">
        <w:t xml:space="preserve"> </w:t>
      </w:r>
      <w:r w:rsidRPr="009869CD">
        <w:t>label</w:t>
      </w:r>
      <w:r w:rsidR="009C7DD1">
        <w:t>.</w:t>
      </w:r>
    </w:p>
    <w:p w:rsidR="00013DC9" w:rsidRPr="009869CD" w:rsidRDefault="00013DC9" w:rsidP="00C631BC">
      <w:pPr>
        <w:pStyle w:val="ListBullet"/>
      </w:pPr>
      <w:r w:rsidRPr="009869CD">
        <w:t>It is recommended to the Delegat</w:t>
      </w:r>
      <w:r w:rsidR="00EE1B1A">
        <w:t>e that, until meaningful data are</w:t>
      </w:r>
      <w:r w:rsidRPr="009869CD">
        <w:t xml:space="preserve"> available, </w:t>
      </w:r>
      <w:r w:rsidR="002B6593">
        <w:t>APR</w:t>
      </w:r>
      <w:r w:rsidRPr="009869CD">
        <w:t xml:space="preserve"> should be </w:t>
      </w:r>
      <w:r w:rsidRPr="00C631BC">
        <w:t>contraindicated</w:t>
      </w:r>
      <w:r w:rsidRPr="009869CD">
        <w:t xml:space="preserve"> in pregnancy and lactation and appropriate updates ma</w:t>
      </w:r>
      <w:r w:rsidR="00C94FE2">
        <w:t>de to the proposed PI document.</w:t>
      </w:r>
    </w:p>
    <w:p w:rsidR="00013DC9" w:rsidRPr="009869CD" w:rsidRDefault="00013DC9" w:rsidP="00C631BC">
      <w:pPr>
        <w:pStyle w:val="ListBullet"/>
      </w:pPr>
      <w:r w:rsidRPr="009869CD">
        <w:t>The Delegate may wish to consider recommending a maintenance dose lower than the currently recommended 30</w:t>
      </w:r>
      <w:r w:rsidR="00AE505E">
        <w:t xml:space="preserve"> </w:t>
      </w:r>
      <w:r w:rsidR="00AE505E" w:rsidRPr="00C631BC">
        <w:t>mg</w:t>
      </w:r>
      <w:r w:rsidR="00AE505E">
        <w:t xml:space="preserve"> BID</w:t>
      </w:r>
      <w:r w:rsidRPr="009869CD">
        <w:t>, where patients show an adequate respon</w:t>
      </w:r>
      <w:r w:rsidR="00AE505E">
        <w:t>se to a lower dose</w:t>
      </w:r>
      <w:r w:rsidRPr="009869CD">
        <w:t>.</w:t>
      </w:r>
    </w:p>
    <w:p w:rsidR="00013DC9" w:rsidRPr="00305E09" w:rsidRDefault="00013DC9" w:rsidP="00C631BC">
      <w:pPr>
        <w:pStyle w:val="Heading5"/>
      </w:pPr>
      <w:r>
        <w:t xml:space="preserve">Additional </w:t>
      </w:r>
      <w:r w:rsidRPr="00C631BC">
        <w:t>recommendations</w:t>
      </w:r>
    </w:p>
    <w:p w:rsidR="00013DC9" w:rsidRPr="00AC0C78" w:rsidRDefault="00013DC9" w:rsidP="00C631BC">
      <w:pPr>
        <w:pStyle w:val="Heading6"/>
      </w:pPr>
      <w:r w:rsidRPr="00AC0C78">
        <w:t xml:space="preserve">Pregnancy and </w:t>
      </w:r>
      <w:r w:rsidRPr="00C631BC">
        <w:t>lactation</w:t>
      </w:r>
      <w:r w:rsidRPr="00AC0C78">
        <w:t xml:space="preserve"> recommendation</w:t>
      </w:r>
    </w:p>
    <w:p w:rsidR="00013DC9" w:rsidRPr="00107E09" w:rsidRDefault="00013DC9" w:rsidP="00C631BC">
      <w:r w:rsidRPr="00107E09">
        <w:t>The ACSOM provided the following advice:</w:t>
      </w:r>
    </w:p>
    <w:p w:rsidR="00013DC9" w:rsidRPr="00C631BC" w:rsidRDefault="00013DC9" w:rsidP="00C631BC">
      <w:pPr>
        <w:pStyle w:val="ListBullet"/>
        <w:numPr>
          <w:ilvl w:val="0"/>
          <w:numId w:val="0"/>
        </w:numPr>
        <w:ind w:left="360"/>
        <w:rPr>
          <w:i/>
        </w:rPr>
      </w:pPr>
      <w:r w:rsidRPr="00C631BC">
        <w:rPr>
          <w:i/>
        </w:rPr>
        <w:t xml:space="preserve">As the risk in pregnancy is unknown at this point, the PI should include a warning to stop using </w:t>
      </w:r>
      <w:r w:rsidR="002B6593" w:rsidRPr="00C631BC">
        <w:rPr>
          <w:i/>
        </w:rPr>
        <w:t>APR</w:t>
      </w:r>
      <w:r w:rsidRPr="00C631BC">
        <w:rPr>
          <w:i/>
        </w:rPr>
        <w:t xml:space="preserve"> before conception or if pregnant.</w:t>
      </w:r>
      <w:r w:rsidR="002B6593" w:rsidRPr="00C631BC">
        <w:rPr>
          <w:i/>
        </w:rPr>
        <w:t xml:space="preserve"> </w:t>
      </w:r>
      <w:r w:rsidRPr="00C631BC">
        <w:rPr>
          <w:i/>
        </w:rPr>
        <w:t>The committee also noted that the US FDA is requiring a controlled registry for monitoring in pregnancy.</w:t>
      </w:r>
      <w:r w:rsidR="002B6593" w:rsidRPr="00C631BC">
        <w:rPr>
          <w:i/>
        </w:rPr>
        <w:t xml:space="preserve"> </w:t>
      </w:r>
      <w:r w:rsidRPr="00C631BC">
        <w:rPr>
          <w:i/>
        </w:rPr>
        <w:t>The committee also advised that the identified risks could possibly be further mitigated by the consideration of an appropriate initiation dosage.</w:t>
      </w:r>
    </w:p>
    <w:p w:rsidR="00013DC9" w:rsidRPr="00723E05" w:rsidRDefault="00723E05" w:rsidP="00C631BC">
      <w:r>
        <w:t>The nonc</w:t>
      </w:r>
      <w:r w:rsidR="00013DC9" w:rsidRPr="00723E05">
        <w:t xml:space="preserve">linical </w:t>
      </w:r>
      <w:r>
        <w:t>e</w:t>
      </w:r>
      <w:r w:rsidR="00013DC9" w:rsidRPr="00723E05">
        <w:t xml:space="preserve">valuation </w:t>
      </w:r>
      <w:r>
        <w:t>r</w:t>
      </w:r>
      <w:r w:rsidR="00013DC9" w:rsidRPr="00723E05">
        <w:t>eport provides the following summary comment with regard to pregnancy and lactation:</w:t>
      </w:r>
    </w:p>
    <w:p w:rsidR="00723E05" w:rsidRPr="00C631BC" w:rsidRDefault="00013DC9" w:rsidP="00C631BC">
      <w:pPr>
        <w:pStyle w:val="ListBullet"/>
        <w:numPr>
          <w:ilvl w:val="0"/>
          <w:numId w:val="0"/>
        </w:numPr>
        <w:ind w:left="360"/>
        <w:rPr>
          <w:i/>
        </w:rPr>
      </w:pPr>
      <w:r w:rsidRPr="00C631BC">
        <w:rPr>
          <w:i/>
        </w:rPr>
        <w:t xml:space="preserve">While no increases in malformations were noted, it is recommended that </w:t>
      </w:r>
      <w:r w:rsidR="002B6593" w:rsidRPr="00C631BC">
        <w:rPr>
          <w:i/>
        </w:rPr>
        <w:t>APR</w:t>
      </w:r>
      <w:r w:rsidRPr="00C631BC">
        <w:rPr>
          <w:i/>
        </w:rPr>
        <w:t xml:space="preserve"> be contraindicated in pregnancy (similar to Canada and the EMA) based on the </w:t>
      </w:r>
      <w:proofErr w:type="spellStart"/>
      <w:r w:rsidRPr="00C631BC">
        <w:rPr>
          <w:i/>
        </w:rPr>
        <w:t>embryolethal</w:t>
      </w:r>
      <w:proofErr w:type="spellEnd"/>
      <w:r w:rsidRPr="00C631BC">
        <w:rPr>
          <w:i/>
        </w:rPr>
        <w:t xml:space="preserve"> effects observed in two species at only two-fold clinical exposure (based on AUC). An Australian Pregnancy</w:t>
      </w:r>
      <w:r w:rsidR="00723E05" w:rsidRPr="00C631BC">
        <w:rPr>
          <w:i/>
        </w:rPr>
        <w:t xml:space="preserve"> Category of B3 is recommended.</w:t>
      </w:r>
    </w:p>
    <w:p w:rsidR="00013DC9" w:rsidRPr="00C631BC" w:rsidRDefault="00013DC9" w:rsidP="00C631BC">
      <w:pPr>
        <w:pStyle w:val="ListBullet"/>
        <w:numPr>
          <w:ilvl w:val="0"/>
          <w:numId w:val="0"/>
        </w:numPr>
        <w:ind w:left="360"/>
        <w:rPr>
          <w:i/>
        </w:rPr>
      </w:pPr>
      <w:r w:rsidRPr="00C631BC">
        <w:rPr>
          <w:i/>
        </w:rPr>
        <w:t xml:space="preserve">It is recommended that </w:t>
      </w:r>
      <w:r w:rsidR="002B6593" w:rsidRPr="00C631BC">
        <w:rPr>
          <w:i/>
        </w:rPr>
        <w:t>APR</w:t>
      </w:r>
      <w:r w:rsidRPr="00C631BC">
        <w:rPr>
          <w:i/>
        </w:rPr>
        <w:t xml:space="preserve"> also be contraindicated in lactation (similar to Canada and the EMA) based on the detection of </w:t>
      </w:r>
      <w:r w:rsidR="002B6593" w:rsidRPr="00C631BC">
        <w:rPr>
          <w:i/>
        </w:rPr>
        <w:t>APR</w:t>
      </w:r>
      <w:r w:rsidRPr="00C631BC">
        <w:rPr>
          <w:i/>
        </w:rPr>
        <w:t xml:space="preserve"> in the milk of lactating mice and the increased peri- and postnatal pup mortality and reduced pup body weights observed during the first week of lactation.</w:t>
      </w:r>
    </w:p>
    <w:p w:rsidR="00013DC9" w:rsidRPr="001E1C07" w:rsidRDefault="00013DC9" w:rsidP="001E1C07">
      <w:r w:rsidRPr="001E1C07">
        <w:t xml:space="preserve">The OPR </w:t>
      </w:r>
      <w:r w:rsidR="00A854BB">
        <w:t>e</w:t>
      </w:r>
      <w:r w:rsidRPr="001E1C07">
        <w:t>valuator agrees with the advice pr</w:t>
      </w:r>
      <w:r w:rsidR="00321B93">
        <w:t>ovided by the ACSOM and the nonc</w:t>
      </w:r>
      <w:r w:rsidRPr="001E1C07">
        <w:t xml:space="preserve">linical </w:t>
      </w:r>
      <w:r w:rsidR="00321B93">
        <w:t>e</w:t>
      </w:r>
      <w:r w:rsidRPr="001E1C07">
        <w:t xml:space="preserve">valuation </w:t>
      </w:r>
      <w:r w:rsidR="00321B93">
        <w:t>r</w:t>
      </w:r>
      <w:r w:rsidRPr="001E1C07">
        <w:t xml:space="preserve">eport and provides the following additional recommendation: </w:t>
      </w:r>
    </w:p>
    <w:p w:rsidR="00013DC9" w:rsidRPr="001E1C07" w:rsidRDefault="00013DC9" w:rsidP="008637F0">
      <w:r w:rsidRPr="001E1C07">
        <w:t xml:space="preserve">It is recommended to the Delegate that, until meaningful data is available, </w:t>
      </w:r>
      <w:r w:rsidR="002B6593">
        <w:t>APR</w:t>
      </w:r>
      <w:r w:rsidRPr="001E1C07">
        <w:t xml:space="preserve"> should be contraindicated in pregnancy and lactation and appropriate updates made to the proposed PI document.</w:t>
      </w:r>
    </w:p>
    <w:p w:rsidR="00013DC9" w:rsidRPr="001C71FF" w:rsidRDefault="00013DC9" w:rsidP="008637F0">
      <w:pPr>
        <w:pStyle w:val="Heading6"/>
      </w:pPr>
      <w:r w:rsidRPr="008637F0">
        <w:t>Maintenance</w:t>
      </w:r>
      <w:r w:rsidRPr="001C71FF">
        <w:t xml:space="preserve"> dose recommendation to the Delegate</w:t>
      </w:r>
    </w:p>
    <w:p w:rsidR="00013DC9" w:rsidRPr="001E1C07" w:rsidRDefault="00013DC9" w:rsidP="008637F0">
      <w:r w:rsidRPr="001E1C07">
        <w:t>The ACSOM provided the following advice:</w:t>
      </w:r>
    </w:p>
    <w:p w:rsidR="00013DC9" w:rsidRPr="008637F0" w:rsidRDefault="001E1C07" w:rsidP="008637F0">
      <w:pPr>
        <w:pStyle w:val="ListBullet"/>
        <w:numPr>
          <w:ilvl w:val="0"/>
          <w:numId w:val="0"/>
        </w:numPr>
        <w:ind w:left="360"/>
        <w:rPr>
          <w:i/>
        </w:rPr>
      </w:pPr>
      <w:r w:rsidRPr="008637F0">
        <w:rPr>
          <w:i/>
        </w:rPr>
        <w:t>T</w:t>
      </w:r>
      <w:r w:rsidR="00013DC9" w:rsidRPr="008637F0">
        <w:rPr>
          <w:i/>
        </w:rPr>
        <w:t>he committee also noted a safety study on [</w:t>
      </w:r>
      <w:r w:rsidR="002B6593" w:rsidRPr="008637F0">
        <w:rPr>
          <w:i/>
        </w:rPr>
        <w:t>APR</w:t>
      </w:r>
      <w:r w:rsidR="00013DC9" w:rsidRPr="008637F0">
        <w:rPr>
          <w:i/>
        </w:rPr>
        <w:t xml:space="preserve">], where 3,129 patients with </w:t>
      </w:r>
      <w:proofErr w:type="spellStart"/>
      <w:r w:rsidR="00852871" w:rsidRPr="008637F0">
        <w:rPr>
          <w:i/>
        </w:rPr>
        <w:t>PsA</w:t>
      </w:r>
      <w:proofErr w:type="spellEnd"/>
      <w:r w:rsidR="00013DC9" w:rsidRPr="008637F0">
        <w:rPr>
          <w:i/>
        </w:rPr>
        <w:t xml:space="preserve"> or psoriasis were treated with 20</w:t>
      </w:r>
      <w:r w:rsidR="00321B93" w:rsidRPr="008637F0">
        <w:rPr>
          <w:i/>
        </w:rPr>
        <w:t xml:space="preserve"> </w:t>
      </w:r>
      <w:r w:rsidR="00013DC9" w:rsidRPr="008637F0">
        <w:rPr>
          <w:i/>
        </w:rPr>
        <w:t>mg BD dose and 30</w:t>
      </w:r>
      <w:r w:rsidR="00321B93" w:rsidRPr="008637F0">
        <w:rPr>
          <w:i/>
        </w:rPr>
        <w:t xml:space="preserve"> </w:t>
      </w:r>
      <w:r w:rsidR="00013DC9" w:rsidRPr="008637F0">
        <w:rPr>
          <w:i/>
        </w:rPr>
        <w:t>mg BD dose.</w:t>
      </w:r>
      <w:r w:rsidR="002B6593" w:rsidRPr="008637F0">
        <w:rPr>
          <w:i/>
        </w:rPr>
        <w:t xml:space="preserve"> </w:t>
      </w:r>
      <w:r w:rsidR="00013DC9" w:rsidRPr="008637F0">
        <w:rPr>
          <w:i/>
        </w:rPr>
        <w:t xml:space="preserve">The most common adverse events observed were diarrhoea, nausea, headache, </w:t>
      </w:r>
      <w:proofErr w:type="gramStart"/>
      <w:r w:rsidR="00013DC9" w:rsidRPr="008637F0">
        <w:rPr>
          <w:i/>
        </w:rPr>
        <w:t>URTI</w:t>
      </w:r>
      <w:proofErr w:type="gramEnd"/>
      <w:r w:rsidR="00013DC9" w:rsidRPr="008637F0">
        <w:rPr>
          <w:i/>
        </w:rPr>
        <w:t xml:space="preserve"> and weight loss.</w:t>
      </w:r>
      <w:r w:rsidR="002B6593" w:rsidRPr="008637F0">
        <w:rPr>
          <w:i/>
        </w:rPr>
        <w:t xml:space="preserve"> </w:t>
      </w:r>
      <w:r w:rsidR="00013DC9" w:rsidRPr="008637F0">
        <w:rPr>
          <w:i/>
        </w:rPr>
        <w:t>There were no effects on liver function tests but a possible effect on renal function.</w:t>
      </w:r>
      <w:r w:rsidR="002B6593" w:rsidRPr="008637F0">
        <w:rPr>
          <w:i/>
        </w:rPr>
        <w:t xml:space="preserve"> </w:t>
      </w:r>
      <w:r w:rsidR="00013DC9" w:rsidRPr="008637F0">
        <w:rPr>
          <w:i/>
        </w:rPr>
        <w:t>A member advised that starting at a lower dose, such as 20</w:t>
      </w:r>
      <w:r w:rsidR="00321B93" w:rsidRPr="008637F0">
        <w:rPr>
          <w:i/>
        </w:rPr>
        <w:t xml:space="preserve"> </w:t>
      </w:r>
      <w:r w:rsidR="00013DC9" w:rsidRPr="008637F0">
        <w:rPr>
          <w:i/>
        </w:rPr>
        <w:t xml:space="preserve">mg </w:t>
      </w:r>
      <w:proofErr w:type="gramStart"/>
      <w:r w:rsidR="00013DC9" w:rsidRPr="008637F0">
        <w:rPr>
          <w:i/>
        </w:rPr>
        <w:t>BD,</w:t>
      </w:r>
      <w:proofErr w:type="gramEnd"/>
      <w:r w:rsidR="00013DC9" w:rsidRPr="008637F0">
        <w:rPr>
          <w:i/>
        </w:rPr>
        <w:t xml:space="preserve"> may be beneficial to determine if patients respond to lower doses and that this may also minimise the onset of adverse events.</w:t>
      </w:r>
      <w:r w:rsidR="002B6593" w:rsidRPr="008637F0">
        <w:rPr>
          <w:i/>
        </w:rPr>
        <w:t xml:space="preserve"> </w:t>
      </w:r>
      <w:r w:rsidR="00013DC9" w:rsidRPr="008637F0">
        <w:rPr>
          <w:i/>
        </w:rPr>
        <w:t>The TGA advised this suggestion would be referred to the delegate in the Office of Medicines Authorisation (OMA) for further consideration.</w:t>
      </w:r>
    </w:p>
    <w:p w:rsidR="00013DC9" w:rsidRDefault="001E1C07" w:rsidP="008637F0">
      <w:pPr>
        <w:pStyle w:val="Heading6"/>
      </w:pPr>
      <w:r w:rsidRPr="008637F0">
        <w:t>Additional</w:t>
      </w:r>
      <w:r>
        <w:t xml:space="preserve"> recommendation</w:t>
      </w:r>
    </w:p>
    <w:p w:rsidR="00013DC9" w:rsidRPr="001E1C07" w:rsidRDefault="00013DC9" w:rsidP="008637F0">
      <w:r w:rsidRPr="001E1C07">
        <w:t>The Delegate may wish to consider recommending a maintenance dose lower than the currently recommended 30</w:t>
      </w:r>
      <w:r w:rsidR="00FA342C" w:rsidRPr="001E1C07">
        <w:t xml:space="preserve"> </w:t>
      </w:r>
      <w:r w:rsidR="00321B93">
        <w:t>mg BID</w:t>
      </w:r>
      <w:r w:rsidRPr="001E1C07">
        <w:t>, where patients show an adequate response to a lower dose.</w:t>
      </w:r>
    </w:p>
    <w:p w:rsidR="00013DC9" w:rsidRPr="002B0A3F" w:rsidRDefault="00013DC9" w:rsidP="008637F0">
      <w:pPr>
        <w:pStyle w:val="Heading6"/>
      </w:pPr>
      <w:r>
        <w:t xml:space="preserve">Assignment of </w:t>
      </w:r>
      <w:r w:rsidR="008637F0">
        <w:t>s</w:t>
      </w:r>
      <w:r>
        <w:t xml:space="preserve">afety </w:t>
      </w:r>
      <w:r w:rsidR="008637F0">
        <w:t>c</w:t>
      </w:r>
      <w:r>
        <w:t xml:space="preserve">oncerns to the EU </w:t>
      </w:r>
      <w:r w:rsidR="008637F0">
        <w:t>d</w:t>
      </w:r>
      <w:r>
        <w:t xml:space="preserve">isease </w:t>
      </w:r>
      <w:r w:rsidR="008637F0" w:rsidRPr="008637F0">
        <w:t>r</w:t>
      </w:r>
      <w:r w:rsidRPr="008637F0">
        <w:t>egistry</w:t>
      </w:r>
    </w:p>
    <w:p w:rsidR="00013DC9" w:rsidRPr="001E1C07" w:rsidRDefault="00013DC9" w:rsidP="008637F0">
      <w:r w:rsidRPr="001E1C07">
        <w:t>It is noted that not all Safety Concerns and Missing Information items have been assigned the EU Disease Registry additional pharmacovigilance activity. Given the nature of a registry, all Safety Concerns and Missing Information items should be able to be assigned to it.</w:t>
      </w:r>
    </w:p>
    <w:p w:rsidR="00013DC9" w:rsidRDefault="00013DC9" w:rsidP="008637F0">
      <w:pPr>
        <w:pStyle w:val="Heading6"/>
      </w:pPr>
      <w:r>
        <w:t xml:space="preserve">Additional </w:t>
      </w:r>
      <w:r w:rsidRPr="008637F0">
        <w:t>recommendatio</w:t>
      </w:r>
      <w:r w:rsidR="001E1C07" w:rsidRPr="008637F0">
        <w:t>n</w:t>
      </w:r>
    </w:p>
    <w:p w:rsidR="00013DC9" w:rsidRPr="001E1C07" w:rsidRDefault="00013DC9" w:rsidP="008637F0">
      <w:r w:rsidRPr="001E1C07">
        <w:t>The sponsor should assign all identified Safety Concerns and Missing Information items to the EU Disease Registry.</w:t>
      </w:r>
    </w:p>
    <w:p w:rsidR="00013DC9" w:rsidRPr="004C7143" w:rsidRDefault="00013DC9" w:rsidP="008637F0">
      <w:pPr>
        <w:pStyle w:val="Heading5"/>
      </w:pPr>
      <w:r w:rsidRPr="004C7143">
        <w:t xml:space="preserve">Advice from the Advisory Committee on the Safety of </w:t>
      </w:r>
      <w:r w:rsidRPr="008637F0">
        <w:t>Medicines</w:t>
      </w:r>
      <w:r w:rsidRPr="004C7143">
        <w:t xml:space="preserve"> (ACSOM)</w:t>
      </w:r>
    </w:p>
    <w:p w:rsidR="00013DC9" w:rsidRPr="001E1C07" w:rsidRDefault="00013DC9" w:rsidP="008637F0">
      <w:r w:rsidRPr="001E1C07">
        <w:t>The ACSOM advice has been reviewed by the OPR Evaluator and relevant parts are incorporated in the r</w:t>
      </w:r>
      <w:r w:rsidR="00055C0C">
        <w:t xml:space="preserve">econciliation table </w:t>
      </w:r>
      <w:r w:rsidRPr="001E1C07">
        <w:t>and in the outstand</w:t>
      </w:r>
      <w:r w:rsidR="00055C0C">
        <w:t>ing issues section.</w:t>
      </w:r>
    </w:p>
    <w:p w:rsidR="00741470" w:rsidRPr="00E24D4B" w:rsidRDefault="00741470" w:rsidP="008637F0">
      <w:pPr>
        <w:pStyle w:val="Heading5"/>
      </w:pPr>
      <w:r w:rsidRPr="00E24D4B">
        <w:t>Comments on the safety specification of the RMP</w:t>
      </w:r>
    </w:p>
    <w:p w:rsidR="00741470" w:rsidRPr="00E24D4B" w:rsidRDefault="00741470" w:rsidP="008637F0">
      <w:pPr>
        <w:pStyle w:val="Heading6"/>
      </w:pPr>
      <w:r w:rsidRPr="00E24D4B">
        <w:t xml:space="preserve">Clinical </w:t>
      </w:r>
      <w:r>
        <w:t>e</w:t>
      </w:r>
      <w:r w:rsidRPr="00E24D4B">
        <w:t xml:space="preserve">valuation </w:t>
      </w:r>
      <w:r w:rsidRPr="008637F0">
        <w:t>report</w:t>
      </w:r>
    </w:p>
    <w:p w:rsidR="0090651C" w:rsidRPr="0090651C" w:rsidRDefault="0090651C" w:rsidP="008637F0">
      <w:r w:rsidRPr="0090651C">
        <w:t>The clinical evaluator made the following first round summary comment in regard to safety specifications in the draft RMP:</w:t>
      </w:r>
    </w:p>
    <w:p w:rsidR="0090651C" w:rsidRPr="008637F0" w:rsidRDefault="0090651C" w:rsidP="008637F0">
      <w:pPr>
        <w:pStyle w:val="ListBullet"/>
        <w:numPr>
          <w:ilvl w:val="0"/>
          <w:numId w:val="0"/>
        </w:numPr>
        <w:ind w:left="360"/>
        <w:rPr>
          <w:i/>
        </w:rPr>
      </w:pPr>
      <w:r w:rsidRPr="008637F0">
        <w:rPr>
          <w:i/>
        </w:rPr>
        <w:t xml:space="preserve">Module 1 of the submission contained a European Union </w:t>
      </w:r>
      <w:r w:rsidR="00F0494D" w:rsidRPr="008637F0">
        <w:rPr>
          <w:i/>
        </w:rPr>
        <w:t>RMP</w:t>
      </w:r>
      <w:r w:rsidRPr="008637F0">
        <w:rPr>
          <w:i/>
        </w:rPr>
        <w:t xml:space="preserve"> (RMP-version 1.0; dated 13 November 2013) as well as an </w:t>
      </w:r>
      <w:r w:rsidR="00305ED6" w:rsidRPr="008637F0">
        <w:rPr>
          <w:i/>
        </w:rPr>
        <w:t>ASA</w:t>
      </w:r>
      <w:r w:rsidRPr="008637F0">
        <w:rPr>
          <w:i/>
        </w:rPr>
        <w:t xml:space="preserve"> (ASA-version 1.0; dated January 2014) relating to the treatment indications of </w:t>
      </w:r>
      <w:proofErr w:type="spellStart"/>
      <w:r w:rsidRPr="008637F0">
        <w:rPr>
          <w:i/>
        </w:rPr>
        <w:t>PsA</w:t>
      </w:r>
      <w:proofErr w:type="spellEnd"/>
      <w:r w:rsidRPr="008637F0">
        <w:rPr>
          <w:i/>
        </w:rPr>
        <w:t xml:space="preserve"> and PSOR. The Safety Specifications in the draft RMPs are satisfactory in content. The RMPs for Australia outline all of the identified and potential safety concerns with APR therapy, and are consistent with the adverse event profiles reported in the current submission. The sole identified risk is hypersensitivity reactions. The potential risks include infections (including tuberculosis and opportunistic infections), serious diarrhoea, major adverse cardiovascular disorders, vasculitis, decreased weight, psychiatric disorders (depression, anxiety, insomnia and the risk of triggering suicide), gynaecomastia and malignancy (particularly, non-melanoma skin cancers). All of the identified and potential safety concerns with APR are included in the proposed PI.</w:t>
      </w:r>
    </w:p>
    <w:p w:rsidR="0090651C" w:rsidRPr="0090651C" w:rsidRDefault="0090651C" w:rsidP="008637F0">
      <w:r w:rsidRPr="0090651C">
        <w:t>There is no second round clinical evaluation report.</w:t>
      </w:r>
    </w:p>
    <w:p w:rsidR="00741470" w:rsidRPr="004A71C1" w:rsidRDefault="00741470" w:rsidP="008637F0">
      <w:pPr>
        <w:pStyle w:val="Heading6"/>
      </w:pPr>
      <w:r>
        <w:t>Nonc</w:t>
      </w:r>
      <w:r w:rsidRPr="004A71C1">
        <w:t xml:space="preserve">linical </w:t>
      </w:r>
      <w:r>
        <w:t>e</w:t>
      </w:r>
      <w:r w:rsidRPr="004A71C1">
        <w:t xml:space="preserve">valuation </w:t>
      </w:r>
      <w:r>
        <w:t>r</w:t>
      </w:r>
      <w:r w:rsidRPr="004A71C1">
        <w:t xml:space="preserve">eport </w:t>
      </w:r>
    </w:p>
    <w:p w:rsidR="00D40B70" w:rsidRPr="00D40B70" w:rsidRDefault="0025032D" w:rsidP="008637F0">
      <w:r>
        <w:t>The non</w:t>
      </w:r>
      <w:r w:rsidR="00D40B70" w:rsidRPr="00D40B70">
        <w:t xml:space="preserve">clinical evaluator made the following comment in regard to safety </w:t>
      </w:r>
      <w:r w:rsidR="00D40B70">
        <w:t>specifications in the draft RMP.</w:t>
      </w:r>
    </w:p>
    <w:p w:rsidR="00D40B70" w:rsidRPr="008637F0" w:rsidRDefault="008637F0" w:rsidP="008637F0">
      <w:pPr>
        <w:pStyle w:val="Heading7"/>
        <w:ind w:left="720"/>
        <w:rPr>
          <w:b/>
          <w:sz w:val="22"/>
          <w:szCs w:val="22"/>
        </w:rPr>
      </w:pPr>
      <w:r w:rsidRPr="008637F0">
        <w:rPr>
          <w:b/>
          <w:sz w:val="22"/>
          <w:szCs w:val="22"/>
        </w:rPr>
        <w:t>Nonclinical p</w:t>
      </w:r>
      <w:r w:rsidR="00D40B70" w:rsidRPr="008637F0">
        <w:rPr>
          <w:b/>
          <w:sz w:val="22"/>
          <w:szCs w:val="22"/>
        </w:rPr>
        <w:t xml:space="preserve">art of the </w:t>
      </w:r>
      <w:r w:rsidRPr="008637F0">
        <w:rPr>
          <w:b/>
          <w:sz w:val="22"/>
          <w:szCs w:val="22"/>
        </w:rPr>
        <w:t>s</w:t>
      </w:r>
      <w:r w:rsidR="00D40B70" w:rsidRPr="008637F0">
        <w:rPr>
          <w:b/>
          <w:sz w:val="22"/>
          <w:szCs w:val="22"/>
        </w:rPr>
        <w:t xml:space="preserve">afety </w:t>
      </w:r>
      <w:r w:rsidRPr="008637F0">
        <w:rPr>
          <w:b/>
          <w:sz w:val="22"/>
          <w:szCs w:val="22"/>
        </w:rPr>
        <w:t>s</w:t>
      </w:r>
      <w:r w:rsidR="00D40B70" w:rsidRPr="008637F0">
        <w:rPr>
          <w:b/>
          <w:sz w:val="22"/>
          <w:szCs w:val="22"/>
        </w:rPr>
        <w:t>pecification</w:t>
      </w:r>
    </w:p>
    <w:p w:rsidR="00D40B70" w:rsidRPr="0025032D" w:rsidRDefault="00D40B70" w:rsidP="008637F0">
      <w:pPr>
        <w:ind w:left="720"/>
      </w:pPr>
      <w:r w:rsidRPr="0025032D">
        <w:t xml:space="preserve">Results and conclusions drawn from the nonclinical program for </w:t>
      </w:r>
      <w:r w:rsidR="002B6593">
        <w:t>APR</w:t>
      </w:r>
      <w:r w:rsidRPr="0025032D">
        <w:t xml:space="preserve"> detailed in the sponsor’s draft Risk Management Plan (v3.0, updated 10 October 2014) are in general concordance with those of the Nonclinical Evaluator. However, minor amendments (</w:t>
      </w:r>
      <w:r w:rsidRPr="0025032D">
        <w:rPr>
          <w:strike/>
        </w:rPr>
        <w:t>strikethrough</w:t>
      </w:r>
      <w:r w:rsidRPr="0025032D">
        <w:t xml:space="preserve"> = delete; </w:t>
      </w:r>
      <w:r w:rsidRPr="0025032D">
        <w:rPr>
          <w:u w:val="single"/>
        </w:rPr>
        <w:t>underline</w:t>
      </w:r>
      <w:r w:rsidRPr="0025032D">
        <w:t xml:space="preserve"> = insert) to some of the text in Part II, SII, Table 7 and in Table 35 in Section 3.2.7 in Part II, SVII are recommended as follows:</w:t>
      </w:r>
    </w:p>
    <w:p w:rsidR="00D40B70" w:rsidRPr="0025032D" w:rsidRDefault="00D40B70" w:rsidP="0025032D">
      <w:pPr>
        <w:ind w:left="720"/>
        <w:rPr>
          <w:b/>
          <w:u w:val="single"/>
        </w:rPr>
      </w:pPr>
      <w:r w:rsidRPr="0025032D">
        <w:rPr>
          <w:b/>
          <w:u w:val="single"/>
        </w:rPr>
        <w:t>Table 7,</w:t>
      </w:r>
      <w:r w:rsidR="008637F0">
        <w:rPr>
          <w:b/>
          <w:u w:val="single"/>
        </w:rPr>
        <w:t xml:space="preserve"> Part II, SII (pages 37 and 38)</w:t>
      </w:r>
    </w:p>
    <w:p w:rsidR="00D40B70" w:rsidRPr="0025032D" w:rsidRDefault="00D40B70" w:rsidP="0025032D">
      <w:pPr>
        <w:ind w:left="720"/>
        <w:rPr>
          <w:b/>
          <w:u w:val="single"/>
        </w:rPr>
      </w:pPr>
      <w:r w:rsidRPr="0025032D">
        <w:rPr>
          <w:b/>
          <w:u w:val="single"/>
        </w:rPr>
        <w:t>Repeat Dose Toxicity-Relevance to Human Usage</w:t>
      </w:r>
    </w:p>
    <w:p w:rsidR="00D40B70" w:rsidRPr="0025032D" w:rsidRDefault="00D40B70" w:rsidP="0025032D">
      <w:pPr>
        <w:ind w:left="720"/>
      </w:pPr>
      <w:r w:rsidRPr="0025032D">
        <w:t>The following statement should be deleted as the appropriate microscopic pathological analysis has not been routinely performed:</w:t>
      </w:r>
    </w:p>
    <w:p w:rsidR="00D40B70" w:rsidRPr="0025032D" w:rsidRDefault="00D40B70" w:rsidP="0025032D">
      <w:pPr>
        <w:ind w:left="1440"/>
        <w:rPr>
          <w:i/>
          <w:strike/>
        </w:rPr>
      </w:pPr>
      <w:r w:rsidRPr="0025032D">
        <w:rPr>
          <w:i/>
          <w:strike/>
        </w:rPr>
        <w:t>“</w:t>
      </w:r>
      <w:proofErr w:type="spellStart"/>
      <w:r w:rsidRPr="0025032D">
        <w:rPr>
          <w:i/>
          <w:strike/>
        </w:rPr>
        <w:t>Centrilobular</w:t>
      </w:r>
      <w:proofErr w:type="spellEnd"/>
      <w:r w:rsidRPr="0025032D">
        <w:rPr>
          <w:i/>
          <w:strike/>
        </w:rPr>
        <w:t xml:space="preserve"> hepatocellular hypertrophy has not been reported in the apremilast clinical programme”.</w:t>
      </w:r>
    </w:p>
    <w:p w:rsidR="00D40B70" w:rsidRPr="0025032D" w:rsidRDefault="00D40B70" w:rsidP="0025032D">
      <w:pPr>
        <w:ind w:firstLine="568"/>
      </w:pPr>
      <w:r w:rsidRPr="0025032D">
        <w:t>Reproductive and Developmental Toxicity S</w:t>
      </w:r>
      <w:r w:rsidR="0025032D">
        <w:t>afety Concern (from nonclinical</w:t>
      </w:r>
      <w:r w:rsidRPr="0025032D">
        <w:t>)</w:t>
      </w:r>
      <w:r w:rsidR="00BD4E4A">
        <w:t>:</w:t>
      </w:r>
    </w:p>
    <w:p w:rsidR="00D40B70" w:rsidRPr="00D92529" w:rsidRDefault="00D40B70" w:rsidP="00D92529">
      <w:pPr>
        <w:ind w:left="1440"/>
        <w:rPr>
          <w:i/>
        </w:rPr>
      </w:pPr>
      <w:r w:rsidRPr="00D92529">
        <w:rPr>
          <w:i/>
        </w:rPr>
        <w:t xml:space="preserve">“Reproductive and developmental effects of apremilast included prolongation of oestrous cycles in mice, prenatal embryo-foetal loss in mice and monkeys </w:t>
      </w:r>
      <w:r w:rsidRPr="00D92529">
        <w:rPr>
          <w:i/>
          <w:u w:val="single"/>
        </w:rPr>
        <w:t>(about twice clinical AUC)</w:t>
      </w:r>
      <w:r w:rsidRPr="00D92529">
        <w:rPr>
          <w:i/>
        </w:rPr>
        <w:t>, and delayed foetal development (reduced ossification and foetal weight) in mice. The NOAEL for male fertility in mice was &gt; 50 mg/kg/day (2.9-fold clinical AUC)</w:t>
      </w:r>
      <w:proofErr w:type="gramStart"/>
      <w:r w:rsidR="00CD1F51" w:rsidRPr="00D92529">
        <w:rPr>
          <w:i/>
          <w:u w:val="single"/>
        </w:rPr>
        <w:t>.</w:t>
      </w:r>
      <w:r w:rsidRPr="00D92529">
        <w:rPr>
          <w:i/>
          <w:strike/>
        </w:rPr>
        <w:t>,</w:t>
      </w:r>
      <w:proofErr w:type="gramEnd"/>
      <w:r w:rsidRPr="00D92529">
        <w:rPr>
          <w:i/>
        </w:rPr>
        <w:t xml:space="preserve"> </w:t>
      </w:r>
      <w:r w:rsidRPr="00D92529">
        <w:rPr>
          <w:i/>
          <w:strike/>
        </w:rPr>
        <w:t>and the</w:t>
      </w:r>
      <w:r w:rsidRPr="00D92529">
        <w:rPr>
          <w:i/>
        </w:rPr>
        <w:t xml:space="preserve"> </w:t>
      </w:r>
      <w:proofErr w:type="spellStart"/>
      <w:r w:rsidRPr="00D92529">
        <w:rPr>
          <w:i/>
        </w:rPr>
        <w:t>N</w:t>
      </w:r>
      <w:r w:rsidRPr="00D92529">
        <w:rPr>
          <w:i/>
          <w:strike/>
        </w:rPr>
        <w:t>n</w:t>
      </w:r>
      <w:r w:rsidRPr="00D92529">
        <w:rPr>
          <w:i/>
        </w:rPr>
        <w:t>o</w:t>
      </w:r>
      <w:proofErr w:type="spellEnd"/>
      <w:r w:rsidRPr="00D92529">
        <w:rPr>
          <w:i/>
        </w:rPr>
        <w:t xml:space="preserve"> </w:t>
      </w:r>
      <w:r w:rsidRPr="00D92529">
        <w:rPr>
          <w:i/>
          <w:strike/>
        </w:rPr>
        <w:t xml:space="preserve">observed </w:t>
      </w:r>
      <w:r w:rsidRPr="00D92529">
        <w:rPr>
          <w:i/>
          <w:u w:val="single"/>
        </w:rPr>
        <w:t>functional</w:t>
      </w:r>
      <w:r w:rsidRPr="00D92529">
        <w:rPr>
          <w:i/>
        </w:rPr>
        <w:t xml:space="preserve"> effect</w:t>
      </w:r>
      <w:r w:rsidRPr="00D92529">
        <w:rPr>
          <w:i/>
          <w:u w:val="single"/>
        </w:rPr>
        <w:t xml:space="preserve">s on </w:t>
      </w:r>
      <w:r w:rsidRPr="00D92529">
        <w:rPr>
          <w:i/>
          <w:strike/>
        </w:rPr>
        <w:t>level (NOEL) for</w:t>
      </w:r>
      <w:r w:rsidRPr="00D92529">
        <w:rPr>
          <w:i/>
        </w:rPr>
        <w:t xml:space="preserve"> female fertility </w:t>
      </w:r>
      <w:r w:rsidRPr="00D92529">
        <w:rPr>
          <w:i/>
          <w:u w:val="single"/>
        </w:rPr>
        <w:t>were observed</w:t>
      </w:r>
      <w:r w:rsidRPr="00D92529">
        <w:rPr>
          <w:i/>
        </w:rPr>
        <w:t xml:space="preserve"> in mice </w:t>
      </w:r>
      <w:r w:rsidRPr="00D92529">
        <w:rPr>
          <w:i/>
          <w:u w:val="single"/>
        </w:rPr>
        <w:t xml:space="preserve">was 10 </w:t>
      </w:r>
      <w:r w:rsidRPr="00D92529">
        <w:rPr>
          <w:i/>
          <w:strike/>
        </w:rPr>
        <w:t>at up to</w:t>
      </w:r>
      <w:r w:rsidRPr="00D92529">
        <w:rPr>
          <w:i/>
        </w:rPr>
        <w:t xml:space="preserve"> </w:t>
      </w:r>
      <w:r w:rsidRPr="00D92529">
        <w:rPr>
          <w:i/>
          <w:u w:val="single"/>
        </w:rPr>
        <w:t>80</w:t>
      </w:r>
      <w:r w:rsidRPr="00D92529">
        <w:rPr>
          <w:i/>
        </w:rPr>
        <w:t xml:space="preserve"> mg/kg/day (</w:t>
      </w:r>
      <w:r w:rsidRPr="00D92529">
        <w:rPr>
          <w:i/>
          <w:strike/>
        </w:rPr>
        <w:t>1</w:t>
      </w:r>
      <w:r w:rsidRPr="00D92529">
        <w:rPr>
          <w:i/>
          <w:u w:val="single"/>
        </w:rPr>
        <w:t>4</w:t>
      </w:r>
      <w:r w:rsidRPr="00D92529">
        <w:rPr>
          <w:i/>
        </w:rPr>
        <w:t>.0-fold clinical AUC). In the embryo-foetal development studies, the maternal and developmental NOEL in mice and monkeys were 10 and 20 mg/kg/day (1.3- and 1.4-fold clinical AUC), respectively. In a pre and postnatal study in mice, a low incidence of maternal clinical signs (in one animal/group) associated with delivering pups, and increased peri- and postnatal pup mortality and reduced pup body weights through Day 7 of lactation were observed at 80 and 300 mg/kg/day; the NOEL for maternal toxicity and F1 generation was 10 mg/kg/day (1.3-fold clinical AUC). Apremilast was detected in the milk of lactating mice. A detailed discussion of the reproductive toxicity profile is provided in the nonclinical overview.”</w:t>
      </w:r>
    </w:p>
    <w:p w:rsidR="00D40B70" w:rsidRPr="008637F0" w:rsidRDefault="00D40B70" w:rsidP="008637F0">
      <w:pPr>
        <w:pStyle w:val="Heading7"/>
        <w:ind w:left="720"/>
        <w:rPr>
          <w:b/>
          <w:sz w:val="22"/>
          <w:szCs w:val="22"/>
        </w:rPr>
      </w:pPr>
      <w:r w:rsidRPr="008637F0">
        <w:rPr>
          <w:b/>
          <w:sz w:val="22"/>
          <w:szCs w:val="22"/>
        </w:rPr>
        <w:t>Reproductive and Developmental Toxicity - Relevance to Human Usage</w:t>
      </w:r>
    </w:p>
    <w:p w:rsidR="00D40B70" w:rsidRPr="00D92529" w:rsidRDefault="00D40B70" w:rsidP="00D92529">
      <w:pPr>
        <w:ind w:left="1440"/>
        <w:rPr>
          <w:i/>
        </w:rPr>
      </w:pPr>
      <w:r w:rsidRPr="00D92529">
        <w:rPr>
          <w:i/>
        </w:rPr>
        <w:t xml:space="preserve">“Effects of apremilast on pregnancy included </w:t>
      </w:r>
      <w:proofErr w:type="spellStart"/>
      <w:r w:rsidRPr="00D92529">
        <w:rPr>
          <w:i/>
        </w:rPr>
        <w:t>embryofetal</w:t>
      </w:r>
      <w:proofErr w:type="spellEnd"/>
      <w:r w:rsidRPr="00D92529">
        <w:rPr>
          <w:i/>
        </w:rPr>
        <w:t xml:space="preserve"> loss in mice and monkeys, and reduced foetal weights and delayed ossification in mice at doses higher than the currently recommended highest human dose. There are no adequate and well-controlled studies of apremilast in pregnant women. It is not known whether apremilast, or its metabolites, are excreted in human milk.</w:t>
      </w:r>
    </w:p>
    <w:p w:rsidR="00D40B70" w:rsidRPr="00D92529" w:rsidRDefault="00D40B70" w:rsidP="00D92529">
      <w:pPr>
        <w:ind w:left="1440"/>
        <w:rPr>
          <w:i/>
        </w:rPr>
      </w:pPr>
      <w:r w:rsidRPr="00D92529">
        <w:rPr>
          <w:i/>
        </w:rPr>
        <w:t>Apremilast is contraindicated in pregnancy. Information concerning the use of apremilast in pregnancy and breastfeeding is provided in the product label.</w:t>
      </w:r>
    </w:p>
    <w:p w:rsidR="00D40B70" w:rsidRPr="00240E3B" w:rsidRDefault="00D40B70" w:rsidP="00D92529">
      <w:pPr>
        <w:ind w:left="1440"/>
      </w:pPr>
      <w:r w:rsidRPr="00D92529">
        <w:rPr>
          <w:i/>
        </w:rPr>
        <w:t>Prenatal embryo-foetal loss and delayed foetal development (reduced ossification and foetal weight) in pregnant women exposed to apremilast is included as an important potential risk in the RMP (Section 3.2.7). Data from the Pregnancy Exposure Registry (within US and Canadian patients) will be used to evaluate whether there is any increase in the risk of birth defects (specifically, a pattern of anomalies) in exposed pregnancies.”</w:t>
      </w:r>
    </w:p>
    <w:p w:rsidR="00D40B70" w:rsidRPr="00240E3B" w:rsidRDefault="00D40B70" w:rsidP="00240E3B">
      <w:pPr>
        <w:ind w:left="568"/>
        <w:rPr>
          <w:b/>
          <w:u w:val="single"/>
        </w:rPr>
      </w:pPr>
      <w:r w:rsidRPr="00240E3B">
        <w:rPr>
          <w:b/>
          <w:u w:val="single"/>
        </w:rPr>
        <w:t>Table 35 in Section 3.2.7 in Part II, SVII (page 100)</w:t>
      </w:r>
    </w:p>
    <w:p w:rsidR="00D40B70" w:rsidRPr="00240E3B" w:rsidRDefault="00D40B70" w:rsidP="00240E3B">
      <w:pPr>
        <w:ind w:left="568"/>
      </w:pPr>
      <w:r w:rsidRPr="00240E3B">
        <w:rPr>
          <w:b/>
          <w:u w:val="single"/>
        </w:rPr>
        <w:t>Prenatal Embryo-foetal Loss and Delayed Foetal Development (Reduced Ossification and Foetal Weight) in Pregnant Women Exposed to Apremilast - Potential Mechanisms</w:t>
      </w:r>
    </w:p>
    <w:p w:rsidR="00BC0A1F" w:rsidRPr="00BC0A1F" w:rsidRDefault="00BC0A1F" w:rsidP="00BC0A1F">
      <w:pPr>
        <w:ind w:left="1440"/>
        <w:rPr>
          <w:i/>
        </w:rPr>
      </w:pPr>
      <w:r w:rsidRPr="00BC0A1F">
        <w:rPr>
          <w:i/>
        </w:rPr>
        <w:t xml:space="preserve">“Studies in monkeys showed that there is an increased risk of miscarriage or death of the unborn baby in animals </w:t>
      </w:r>
      <w:r w:rsidRPr="005B3C69">
        <w:rPr>
          <w:i/>
          <w:u w:val="single"/>
        </w:rPr>
        <w:t>at</w:t>
      </w:r>
      <w:r w:rsidRPr="00BC0A1F">
        <w:rPr>
          <w:i/>
        </w:rPr>
        <w:t xml:space="preserve"> </w:t>
      </w:r>
      <w:r w:rsidRPr="005B3C69">
        <w:rPr>
          <w:i/>
          <w:strike/>
        </w:rPr>
        <w:t xml:space="preserve">given </w:t>
      </w:r>
      <w:r w:rsidRPr="005B3C69">
        <w:rPr>
          <w:i/>
          <w:u w:val="single"/>
        </w:rPr>
        <w:t>approximately 4 or</w:t>
      </w:r>
      <w:r w:rsidRPr="00BC0A1F">
        <w:rPr>
          <w:i/>
        </w:rPr>
        <w:t xml:space="preserve"> more </w:t>
      </w:r>
      <w:r w:rsidRPr="005B3C69">
        <w:rPr>
          <w:i/>
          <w:u w:val="single"/>
        </w:rPr>
        <w:t>times clinical AUC</w:t>
      </w:r>
      <w:r w:rsidRPr="00BC0A1F">
        <w:rPr>
          <w:i/>
        </w:rPr>
        <w:t xml:space="preserve">) </w:t>
      </w:r>
      <w:r w:rsidRPr="005B3C69">
        <w:rPr>
          <w:i/>
          <w:strike/>
        </w:rPr>
        <w:t>than the dose of apremilast that would be taken by patients</w:t>
      </w:r>
      <w:r w:rsidRPr="00BC0A1F">
        <w:rPr>
          <w:i/>
        </w:rPr>
        <w:t>.”</w:t>
      </w:r>
    </w:p>
    <w:p w:rsidR="00866018" w:rsidRPr="00D9627D" w:rsidRDefault="00866018" w:rsidP="008637F0">
      <w:pPr>
        <w:pStyle w:val="Heading6"/>
      </w:pPr>
      <w:r>
        <w:t xml:space="preserve">OPR </w:t>
      </w:r>
      <w:r w:rsidR="008637F0" w:rsidRPr="008637F0">
        <w:t>e</w:t>
      </w:r>
      <w:r w:rsidRPr="008637F0">
        <w:t>valuator</w:t>
      </w:r>
      <w:r>
        <w:t xml:space="preserve"> comment</w:t>
      </w:r>
    </w:p>
    <w:p w:rsidR="00866018" w:rsidRPr="00390216" w:rsidRDefault="00866018" w:rsidP="008637F0">
      <w:r w:rsidRPr="00390216">
        <w:t xml:space="preserve">The OPR Evaluator agrees with the recommendations made </w:t>
      </w:r>
      <w:r w:rsidR="00BB0DB7">
        <w:t>in the nonc</w:t>
      </w:r>
      <w:r w:rsidRPr="00390216">
        <w:t xml:space="preserve">linical </w:t>
      </w:r>
      <w:r w:rsidR="001A3EDA">
        <w:t>e</w:t>
      </w:r>
      <w:r w:rsidRPr="00390216">
        <w:t xml:space="preserve">valuation </w:t>
      </w:r>
      <w:r w:rsidR="001A3EDA">
        <w:t>r</w:t>
      </w:r>
      <w:r w:rsidRPr="00390216">
        <w:t>eport.</w:t>
      </w:r>
    </w:p>
    <w:p w:rsidR="00741470" w:rsidRPr="00E24D4B" w:rsidRDefault="00741470" w:rsidP="008637F0">
      <w:pPr>
        <w:pStyle w:val="Heading5"/>
      </w:pPr>
      <w:r w:rsidRPr="008B1938">
        <w:t xml:space="preserve">Key </w:t>
      </w:r>
      <w:r w:rsidRPr="008637F0">
        <w:t>changes</w:t>
      </w:r>
      <w:r w:rsidRPr="008B1938">
        <w:t xml:space="preserve"> to the updated </w:t>
      </w:r>
      <w:r>
        <w:t>RMP</w:t>
      </w:r>
    </w:p>
    <w:p w:rsidR="00390216" w:rsidRPr="00390216" w:rsidRDefault="00C40810" w:rsidP="008637F0">
      <w:pPr>
        <w:pStyle w:val="ListBullet"/>
      </w:pPr>
      <w:r>
        <w:t>RMP</w:t>
      </w:r>
      <w:r w:rsidR="00390216" w:rsidRPr="00390216">
        <w:t xml:space="preserve"> Version in EU-RMP format Version 1.0 (dated 13 November 2013, DLP 1 March 2013 (</w:t>
      </w:r>
      <w:proofErr w:type="spellStart"/>
      <w:r w:rsidR="00390216" w:rsidRPr="00390216">
        <w:t>PsA</w:t>
      </w:r>
      <w:proofErr w:type="spellEnd"/>
      <w:r w:rsidR="00390216" w:rsidRPr="00390216">
        <w:t xml:space="preserve">) and DLP </w:t>
      </w:r>
      <w:r w:rsidR="00390216" w:rsidRPr="008637F0">
        <w:t>11</w:t>
      </w:r>
      <w:r w:rsidR="00390216" w:rsidRPr="00390216">
        <w:t xml:space="preserve"> January 2013 (</w:t>
      </w:r>
      <w:r w:rsidR="00204432">
        <w:t>PSOR</w:t>
      </w:r>
      <w:r w:rsidR="00390216" w:rsidRPr="00390216">
        <w:t xml:space="preserve">)) and </w:t>
      </w:r>
      <w:r w:rsidR="0063308F">
        <w:t>ASA</w:t>
      </w:r>
      <w:r w:rsidR="00390216" w:rsidRPr="00390216">
        <w:t xml:space="preserve"> Version 1.0 (dated November 2013)</w:t>
      </w:r>
    </w:p>
    <w:p w:rsidR="00390216" w:rsidRPr="00390216" w:rsidRDefault="00390216" w:rsidP="008637F0">
      <w:proofErr w:type="gramStart"/>
      <w:r w:rsidRPr="00390216">
        <w:t>has</w:t>
      </w:r>
      <w:proofErr w:type="gramEnd"/>
      <w:r w:rsidRPr="00390216">
        <w:t xml:space="preserve"> been superseded by:</w:t>
      </w:r>
    </w:p>
    <w:p w:rsidR="00390216" w:rsidRPr="00390216" w:rsidRDefault="005D2718" w:rsidP="00390216">
      <w:pPr>
        <w:pStyle w:val="ListBullet"/>
      </w:pPr>
      <w:r>
        <w:t>RMP</w:t>
      </w:r>
      <w:r w:rsidR="00390216" w:rsidRPr="00390216">
        <w:t xml:space="preserve"> Version in EU-RMP format Version 3.0 (dated 10 October 2014, DLP 1 March 2013 (</w:t>
      </w:r>
      <w:proofErr w:type="spellStart"/>
      <w:r w:rsidR="00390216" w:rsidRPr="00390216">
        <w:t>PsA</w:t>
      </w:r>
      <w:proofErr w:type="spellEnd"/>
      <w:r w:rsidR="00390216" w:rsidRPr="00390216">
        <w:t>) and DLP 11 January 2013 (</w:t>
      </w:r>
      <w:r w:rsidR="00204432">
        <w:t>PSOR</w:t>
      </w:r>
      <w:r w:rsidR="00390216" w:rsidRPr="00390216">
        <w:t xml:space="preserve">)) and </w:t>
      </w:r>
      <w:r w:rsidR="0063308F">
        <w:t>ASA</w:t>
      </w:r>
      <w:r w:rsidR="00390216" w:rsidRPr="00390216">
        <w:t xml:space="preserve"> Version 2.0 (dated October 2014).</w:t>
      </w:r>
    </w:p>
    <w:p w:rsidR="00741470" w:rsidRDefault="00D332CA" w:rsidP="008637F0">
      <w:r w:rsidRPr="00D332CA">
        <w:t xml:space="preserve">Summary of key changes between EU </w:t>
      </w:r>
      <w:r w:rsidR="000B3C3A">
        <w:t>RMP</w:t>
      </w:r>
      <w:r w:rsidRPr="00D332CA">
        <w:t xml:space="preserve"> Version 1.0 and EU </w:t>
      </w:r>
      <w:r w:rsidR="000B3C3A">
        <w:t>RMP</w:t>
      </w:r>
      <w:r w:rsidRPr="00D332CA">
        <w:t xml:space="preserve"> Version 3.0</w:t>
      </w:r>
      <w:r>
        <w:t xml:space="preserve"> is shown in Table 1</w:t>
      </w:r>
      <w:r w:rsidR="00FA7A24">
        <w:t>8</w:t>
      </w:r>
      <w:r w:rsidR="00E95733">
        <w:t>.</w:t>
      </w:r>
    </w:p>
    <w:p w:rsidR="00D332CA" w:rsidRDefault="00D332CA" w:rsidP="008637F0">
      <w:pPr>
        <w:pStyle w:val="TableTitle"/>
      </w:pPr>
      <w:proofErr w:type="gramStart"/>
      <w:r>
        <w:t>Table 1</w:t>
      </w:r>
      <w:r w:rsidR="00FA7A24">
        <w:t>8</w:t>
      </w:r>
      <w:r>
        <w:t>:</w:t>
      </w:r>
      <w:r w:rsidRPr="004C5C28">
        <w:t xml:space="preserve"> </w:t>
      </w:r>
      <w:r w:rsidRPr="008637F0">
        <w:t>Su</w:t>
      </w:r>
      <w:r w:rsidR="0063308F" w:rsidRPr="008637F0">
        <w:t>mmary</w:t>
      </w:r>
      <w:r w:rsidR="0063308F">
        <w:t xml:space="preserve"> of key changes between EU RMP</w:t>
      </w:r>
      <w:r w:rsidRPr="00D332CA">
        <w:t xml:space="preserve"> Version 1.0 and EU </w:t>
      </w:r>
      <w:r w:rsidR="0063308F">
        <w:t xml:space="preserve">RMP </w:t>
      </w:r>
      <w:r w:rsidRPr="00D332CA">
        <w:t>Version 3.0</w:t>
      </w:r>
      <w:r>
        <w:t>.</w:t>
      </w:r>
      <w:proofErr w:type="gramEnd"/>
    </w:p>
    <w:p w:rsidR="00D332CA" w:rsidRPr="00390216" w:rsidRDefault="00E95733" w:rsidP="008637F0">
      <w:r>
        <w:rPr>
          <w:noProof/>
          <w:lang w:eastAsia="en-AU"/>
        </w:rPr>
        <w:drawing>
          <wp:inline distT="0" distB="0" distL="0" distR="0" wp14:anchorId="35389B6A" wp14:editId="57AF0101">
            <wp:extent cx="4582082" cy="4628098"/>
            <wp:effectExtent l="0" t="0" r="9525" b="1270"/>
            <wp:docPr id="15" name="Picture 15" descr="Table 18: Summary of key changes between EU RMP Version 1.0 and EU RMP Version 3.0." title="Table 18: Summary of key changes between EU RMP Version 1.0 and EU RMP Versio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85899" cy="4631954"/>
                    </a:xfrm>
                    <a:prstGeom prst="rect">
                      <a:avLst/>
                    </a:prstGeom>
                  </pic:spPr>
                </pic:pic>
              </a:graphicData>
            </a:graphic>
          </wp:inline>
        </w:drawing>
      </w:r>
    </w:p>
    <w:p w:rsidR="00E95733" w:rsidRDefault="00E95733" w:rsidP="008637F0">
      <w:r w:rsidRPr="00E95733">
        <w:t>The sponsor has provided an updated table wi</w:t>
      </w:r>
      <w:r>
        <w:t>th a sum</w:t>
      </w:r>
      <w:r w:rsidR="008201F3">
        <w:t>mary of safety concerns (Table</w:t>
      </w:r>
      <w:r w:rsidR="00FA7A24">
        <w:t xml:space="preserve"> 19</w:t>
      </w:r>
      <w:r>
        <w:t>).</w:t>
      </w:r>
    </w:p>
    <w:p w:rsidR="00783FAF" w:rsidRDefault="00FA7A24" w:rsidP="008637F0">
      <w:pPr>
        <w:pStyle w:val="TableTitle"/>
      </w:pPr>
      <w:proofErr w:type="gramStart"/>
      <w:r>
        <w:t>Table 19</w:t>
      </w:r>
      <w:r w:rsidR="00783FAF">
        <w:t>:</w:t>
      </w:r>
      <w:r w:rsidR="00783FAF" w:rsidRPr="004C5C28">
        <w:t xml:space="preserve"> </w:t>
      </w:r>
      <w:r w:rsidR="00783FAF">
        <w:t>U</w:t>
      </w:r>
      <w:r w:rsidR="00783FAF" w:rsidRPr="00E95733">
        <w:t xml:space="preserve">pdated </w:t>
      </w:r>
      <w:r w:rsidR="00783FAF" w:rsidRPr="008637F0">
        <w:t>table</w:t>
      </w:r>
      <w:r w:rsidR="00783FAF" w:rsidRPr="00E95733">
        <w:t xml:space="preserve"> </w:t>
      </w:r>
      <w:r w:rsidR="00783FAF">
        <w:t>of safety concerns.</w:t>
      </w:r>
      <w:proofErr w:type="gramEnd"/>
    </w:p>
    <w:p w:rsidR="00E95733" w:rsidRDefault="00B1449D" w:rsidP="008637F0">
      <w:r>
        <w:rPr>
          <w:noProof/>
          <w:lang w:eastAsia="en-AU"/>
        </w:rPr>
        <w:drawing>
          <wp:inline distT="0" distB="0" distL="0" distR="0" wp14:anchorId="6FC678D9" wp14:editId="2C1715D8">
            <wp:extent cx="4594440" cy="3270102"/>
            <wp:effectExtent l="0" t="0" r="0" b="6985"/>
            <wp:docPr id="16" name="Picture 16" descr="Table 19: Updated table of safety concerns." title="Table 19: Updated table of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00503" cy="3274418"/>
                    </a:xfrm>
                    <a:prstGeom prst="rect">
                      <a:avLst/>
                    </a:prstGeom>
                  </pic:spPr>
                </pic:pic>
              </a:graphicData>
            </a:graphic>
          </wp:inline>
        </w:drawing>
      </w:r>
    </w:p>
    <w:p w:rsidR="002146ED" w:rsidRDefault="00E65F2C" w:rsidP="008637F0">
      <w:pPr>
        <w:rPr>
          <w:b/>
        </w:rPr>
      </w:pPr>
      <w:r>
        <w:t>T</w:t>
      </w:r>
      <w:r w:rsidR="00FE266B">
        <w:t>able 2</w:t>
      </w:r>
      <w:r w:rsidR="00FA7A24">
        <w:t>0</w:t>
      </w:r>
      <w:r w:rsidR="005444C3" w:rsidRPr="00E65F2C">
        <w:t xml:space="preserve"> contains an updated version of the proposed addition</w:t>
      </w:r>
      <w:r w:rsidR="000C6337">
        <w:t>al pharmacovigilance activities.</w:t>
      </w:r>
    </w:p>
    <w:p w:rsidR="005444C3" w:rsidRDefault="005444C3" w:rsidP="008637F0">
      <w:pPr>
        <w:pStyle w:val="TableTitle"/>
      </w:pPr>
      <w:proofErr w:type="gramStart"/>
      <w:r>
        <w:t xml:space="preserve">Table </w:t>
      </w:r>
      <w:r w:rsidR="00FE266B" w:rsidRPr="008637F0">
        <w:t>2</w:t>
      </w:r>
      <w:r w:rsidR="00FA7A24" w:rsidRPr="008637F0">
        <w:t>0</w:t>
      </w:r>
      <w:r>
        <w:t>:</w:t>
      </w:r>
      <w:r w:rsidRPr="004C5C28">
        <w:t xml:space="preserve"> </w:t>
      </w:r>
      <w:r w:rsidR="00CF7663">
        <w:t>U</w:t>
      </w:r>
      <w:r w:rsidR="00B1449D">
        <w:t xml:space="preserve">pdated version of </w:t>
      </w:r>
      <w:r w:rsidR="00CF7663" w:rsidRPr="00E65F2C">
        <w:t>proposed addition</w:t>
      </w:r>
      <w:r w:rsidR="00CF7663">
        <w:t>al pharmacovigilance activities</w:t>
      </w:r>
      <w:r>
        <w:t>.</w:t>
      </w:r>
      <w:proofErr w:type="gramEnd"/>
    </w:p>
    <w:p w:rsidR="005444C3" w:rsidRDefault="00FB5ADB" w:rsidP="008637F0">
      <w:r>
        <w:rPr>
          <w:noProof/>
          <w:lang w:eastAsia="en-AU"/>
        </w:rPr>
        <w:drawing>
          <wp:inline distT="0" distB="0" distL="0" distR="0" wp14:anchorId="0CADC06F" wp14:editId="00BC2850">
            <wp:extent cx="5278837" cy="3922470"/>
            <wp:effectExtent l="0" t="0" r="0" b="1905"/>
            <wp:docPr id="17" name="Picture 17" descr="Table 20: Updated version of proposed additional pharmacovigilance activities." title="Table 20: Updated version of proposed additional pharmacovigil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5911" cy="3920296"/>
                    </a:xfrm>
                    <a:prstGeom prst="rect">
                      <a:avLst/>
                    </a:prstGeom>
                  </pic:spPr>
                </pic:pic>
              </a:graphicData>
            </a:graphic>
          </wp:inline>
        </w:drawing>
      </w:r>
    </w:p>
    <w:p w:rsidR="00FB5ADB" w:rsidRDefault="00FB5ADB" w:rsidP="008637F0">
      <w:r>
        <w:rPr>
          <w:noProof/>
          <w:lang w:eastAsia="en-AU"/>
        </w:rPr>
        <w:drawing>
          <wp:inline distT="0" distB="0" distL="0" distR="0" wp14:anchorId="4D632B33" wp14:editId="707D2ED3">
            <wp:extent cx="5278837" cy="2827788"/>
            <wp:effectExtent l="0" t="0" r="0" b="0"/>
            <wp:docPr id="18" name="Picture 18" descr="Table 20: Updated version of proposed additional pharmacovigilance activities." title="Table 20: Updated version of proposed additional pharmacovigil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85523" cy="2831369"/>
                    </a:xfrm>
                    <a:prstGeom prst="rect">
                      <a:avLst/>
                    </a:prstGeom>
                  </pic:spPr>
                </pic:pic>
              </a:graphicData>
            </a:graphic>
          </wp:inline>
        </w:drawing>
      </w:r>
    </w:p>
    <w:p w:rsidR="00741470" w:rsidRPr="0065641D" w:rsidRDefault="00741470" w:rsidP="008637F0">
      <w:pPr>
        <w:pStyle w:val="Heading5"/>
      </w:pPr>
      <w:r w:rsidRPr="0065641D">
        <w:t xml:space="preserve">Suggested wording </w:t>
      </w:r>
      <w:r w:rsidRPr="008637F0">
        <w:t>for</w:t>
      </w:r>
      <w:r w:rsidRPr="0065641D">
        <w:t xml:space="preserve"> conditions of registration </w:t>
      </w:r>
    </w:p>
    <w:p w:rsidR="00741470" w:rsidRPr="0065641D" w:rsidRDefault="00741470" w:rsidP="008637F0">
      <w:pPr>
        <w:pStyle w:val="Heading6"/>
      </w:pPr>
      <w:r w:rsidRPr="008637F0">
        <w:t>RMP</w:t>
      </w:r>
    </w:p>
    <w:p w:rsidR="00A906E8" w:rsidRDefault="00A906E8" w:rsidP="008637F0">
      <w:pPr>
        <w:rPr>
          <w:lang w:eastAsia="en-AU"/>
        </w:rPr>
      </w:pPr>
      <w:r w:rsidRPr="00A906E8">
        <w:rPr>
          <w:lang w:eastAsia="en-AU"/>
        </w:rPr>
        <w:t>Any changes to which the sponsor agreed become part of the risk management system, whether they are included in the currently available version of the RMP document, or not includ</w:t>
      </w:r>
      <w:r>
        <w:rPr>
          <w:lang w:eastAsia="en-AU"/>
        </w:rPr>
        <w:t>ed, inadvertently or otherwise.</w:t>
      </w:r>
    </w:p>
    <w:p w:rsidR="00A906E8" w:rsidRDefault="00A906E8" w:rsidP="008637F0">
      <w:pPr>
        <w:rPr>
          <w:lang w:eastAsia="en-AU"/>
        </w:rPr>
      </w:pPr>
      <w:r>
        <w:rPr>
          <w:lang w:eastAsia="en-AU"/>
        </w:rPr>
        <w:t>The suggested wording is:</w:t>
      </w:r>
    </w:p>
    <w:p w:rsidR="00741470" w:rsidRPr="00A906E8" w:rsidRDefault="00A906E8" w:rsidP="00A906E8">
      <w:pPr>
        <w:ind w:left="720"/>
        <w:rPr>
          <w:i/>
          <w:lang w:eastAsia="en-AU"/>
        </w:rPr>
      </w:pPr>
      <w:r w:rsidRPr="00A906E8">
        <w:rPr>
          <w:i/>
          <w:lang w:eastAsia="en-AU"/>
        </w:rPr>
        <w:t xml:space="preserve">Implement </w:t>
      </w:r>
      <w:r w:rsidR="00485453">
        <w:rPr>
          <w:i/>
          <w:lang w:eastAsia="en-AU"/>
        </w:rPr>
        <w:t>RMP</w:t>
      </w:r>
      <w:r w:rsidRPr="00A906E8">
        <w:rPr>
          <w:i/>
          <w:lang w:eastAsia="en-AU"/>
        </w:rPr>
        <w:t xml:space="preserve"> in EU-RMP format Version 3.0 (dated 10 October 2014, DLP 1 March 2013 </w:t>
      </w:r>
      <w:r w:rsidR="00A15B41">
        <w:rPr>
          <w:i/>
          <w:lang w:eastAsia="en-AU"/>
        </w:rPr>
        <w:t>[</w:t>
      </w:r>
      <w:proofErr w:type="spellStart"/>
      <w:r w:rsidR="00852871">
        <w:rPr>
          <w:i/>
          <w:lang w:eastAsia="en-AU"/>
        </w:rPr>
        <w:t>PsA</w:t>
      </w:r>
      <w:proofErr w:type="spellEnd"/>
      <w:r w:rsidR="00A15B41">
        <w:rPr>
          <w:i/>
          <w:lang w:eastAsia="en-AU"/>
        </w:rPr>
        <w:t>] and DLP 11 January 2013 [</w:t>
      </w:r>
      <w:r w:rsidR="00204432">
        <w:rPr>
          <w:i/>
          <w:lang w:eastAsia="en-AU"/>
        </w:rPr>
        <w:t>PSOR</w:t>
      </w:r>
      <w:r w:rsidR="00A15B41">
        <w:rPr>
          <w:i/>
          <w:lang w:eastAsia="en-AU"/>
        </w:rPr>
        <w:t>]</w:t>
      </w:r>
      <w:r w:rsidRPr="00A906E8">
        <w:rPr>
          <w:i/>
          <w:lang w:eastAsia="en-AU"/>
        </w:rPr>
        <w:t xml:space="preserve">) and </w:t>
      </w:r>
      <w:r w:rsidR="00CF4289">
        <w:rPr>
          <w:i/>
          <w:lang w:eastAsia="en-AU"/>
        </w:rPr>
        <w:t>ASA</w:t>
      </w:r>
      <w:r w:rsidRPr="00A906E8">
        <w:rPr>
          <w:i/>
          <w:lang w:eastAsia="en-AU"/>
        </w:rPr>
        <w:t xml:space="preserve"> Version 2.0 (dated October 2014) and any future updates as agreed with the TGA as a condition of registration.</w:t>
      </w:r>
    </w:p>
    <w:p w:rsidR="008E7846" w:rsidRPr="00792A32" w:rsidRDefault="008E7846" w:rsidP="008637F0">
      <w:pPr>
        <w:pStyle w:val="Heading2"/>
      </w:pPr>
      <w:bookmarkStart w:id="164" w:name="_Toc314842510"/>
      <w:bookmarkStart w:id="165" w:name="_Toc436140494"/>
      <w:r>
        <w:t xml:space="preserve">VI. </w:t>
      </w:r>
      <w:r w:rsidRPr="008637F0">
        <w:t>Overall</w:t>
      </w:r>
      <w:r w:rsidRPr="00792A32">
        <w:t xml:space="preserve"> </w:t>
      </w:r>
      <w:r>
        <w:t>c</w:t>
      </w:r>
      <w:r w:rsidRPr="00792A32">
        <w:t xml:space="preserve">onclusion and </w:t>
      </w:r>
      <w:r>
        <w:t>r</w:t>
      </w:r>
      <w:r w:rsidRPr="00792A32">
        <w:t>isk/</w:t>
      </w:r>
      <w:r>
        <w:t>b</w:t>
      </w:r>
      <w:r w:rsidRPr="00792A32">
        <w:t xml:space="preserve">enefit </w:t>
      </w:r>
      <w:r>
        <w:t>a</w:t>
      </w:r>
      <w:r w:rsidRPr="00792A32">
        <w:t>ssessment</w:t>
      </w:r>
      <w:bookmarkEnd w:id="100"/>
      <w:bookmarkEnd w:id="163"/>
      <w:bookmarkEnd w:id="164"/>
      <w:bookmarkEnd w:id="165"/>
    </w:p>
    <w:p w:rsidR="008E7846" w:rsidRDefault="008E7846" w:rsidP="008637F0">
      <w:bookmarkStart w:id="166"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637F0">
      <w:pPr>
        <w:pStyle w:val="Heading3"/>
      </w:pPr>
      <w:bookmarkStart w:id="167" w:name="_Toc314842511"/>
      <w:bookmarkStart w:id="168" w:name="_Toc436140495"/>
      <w:r w:rsidRPr="008637F0">
        <w:t>Quality</w:t>
      </w:r>
      <w:bookmarkEnd w:id="166"/>
      <w:bookmarkEnd w:id="167"/>
      <w:bookmarkEnd w:id="168"/>
    </w:p>
    <w:p w:rsidR="001D11D7" w:rsidRPr="001D11D7" w:rsidRDefault="001D11D7" w:rsidP="008637F0">
      <w:bookmarkStart w:id="169" w:name="_Toc314842512"/>
      <w:r w:rsidRPr="001D11D7">
        <w:t>The pharmaceutical chemistry evaluator did not recommend registration at round 1. The round 2 report was not finalised at the time of completion of this overview.</w:t>
      </w:r>
    </w:p>
    <w:p w:rsidR="008E7846" w:rsidRDefault="008E7846" w:rsidP="008637F0">
      <w:pPr>
        <w:pStyle w:val="Heading3"/>
      </w:pPr>
      <w:bookmarkStart w:id="170" w:name="_Toc436140496"/>
      <w:r w:rsidRPr="008637F0">
        <w:t>Nonclinical</w:t>
      </w:r>
      <w:bookmarkEnd w:id="169"/>
      <w:bookmarkEnd w:id="170"/>
    </w:p>
    <w:p w:rsidR="00C66AC7" w:rsidRPr="00C66AC7" w:rsidRDefault="00C66AC7" w:rsidP="008637F0">
      <w:bookmarkStart w:id="171" w:name="_Toc247691530"/>
      <w:bookmarkStart w:id="172" w:name="_Toc314842513"/>
      <w:r w:rsidRPr="00C66AC7">
        <w:t xml:space="preserve">The submitted pre-clinical studies were comprehensive with no major deficiencies. </w:t>
      </w:r>
      <w:r w:rsidRPr="00C66AC7">
        <w:br/>
        <w:t xml:space="preserve">The primary pharmacology studies support the use of </w:t>
      </w:r>
      <w:r w:rsidR="002B6593">
        <w:t>APR</w:t>
      </w:r>
      <w:r w:rsidRPr="00C66AC7">
        <w:t xml:space="preserve"> in the proposed indication for severe plaque </w:t>
      </w:r>
      <w:r w:rsidR="00204432">
        <w:t>PSOR</w:t>
      </w:r>
      <w:r w:rsidR="008549F6">
        <w:t>. However the non</w:t>
      </w:r>
      <w:r w:rsidRPr="00C66AC7">
        <w:t>clinical evaluator stated “</w:t>
      </w:r>
      <w:r w:rsidRPr="008549F6">
        <w:rPr>
          <w:i/>
        </w:rPr>
        <w:t>in vivo</w:t>
      </w:r>
      <w:r w:rsidRPr="00C66AC7">
        <w:t xml:space="preserve"> studies in support of its use for </w:t>
      </w:r>
      <w:proofErr w:type="spellStart"/>
      <w:r w:rsidR="00852871">
        <w:t>PsA</w:t>
      </w:r>
      <w:proofErr w:type="spellEnd"/>
      <w:r w:rsidRPr="00C66AC7">
        <w:t xml:space="preserve"> were equivocal”.</w:t>
      </w:r>
    </w:p>
    <w:p w:rsidR="00C66AC7" w:rsidRPr="00C66AC7" w:rsidRDefault="00C66AC7" w:rsidP="008637F0">
      <w:r w:rsidRPr="00C66AC7">
        <w:t>No unexpected clinical hazards were identified from secondary pharmacodynamic &amp; safety studies.</w:t>
      </w:r>
    </w:p>
    <w:p w:rsidR="00C66AC7" w:rsidRPr="00C66AC7" w:rsidRDefault="00C66AC7" w:rsidP="008637F0">
      <w:r w:rsidRPr="00C66AC7">
        <w:t xml:space="preserve">The primary mechanism of </w:t>
      </w:r>
      <w:r w:rsidR="002B6593">
        <w:t>APR</w:t>
      </w:r>
      <w:r w:rsidRPr="00C66AC7">
        <w:t xml:space="preserve"> metabolism was confirmed to be via CYP34A.</w:t>
      </w:r>
      <w:r w:rsidR="002B6593">
        <w:t xml:space="preserve"> APR</w:t>
      </w:r>
      <w:r w:rsidRPr="00C66AC7">
        <w:t xml:space="preserve"> is a substrate of P-</w:t>
      </w:r>
      <w:proofErr w:type="spellStart"/>
      <w:r w:rsidRPr="00C66AC7">
        <w:t>gp</w:t>
      </w:r>
      <w:proofErr w:type="spellEnd"/>
      <w:r w:rsidRPr="00C66AC7">
        <w:t>, and P-</w:t>
      </w:r>
      <w:proofErr w:type="spellStart"/>
      <w:r w:rsidRPr="00C66AC7">
        <w:t>gp</w:t>
      </w:r>
      <w:proofErr w:type="spellEnd"/>
      <w:r w:rsidRPr="00C66AC7">
        <w:t xml:space="preserve"> inhibitors could increase plasma </w:t>
      </w:r>
      <w:r w:rsidR="002B6593">
        <w:t>APR</w:t>
      </w:r>
      <w:r w:rsidRPr="00C66AC7">
        <w:t xml:space="preserve"> levels.</w:t>
      </w:r>
    </w:p>
    <w:p w:rsidR="00C66AC7" w:rsidRPr="00C66AC7" w:rsidRDefault="00C66AC7" w:rsidP="008637F0">
      <w:r w:rsidRPr="00C66AC7">
        <w:t>Pre-clinical studies in rodents demonstrated vasculitis</w:t>
      </w:r>
      <w:r w:rsidR="006046FF">
        <w:t xml:space="preserve"> </w:t>
      </w:r>
      <w:r w:rsidR="00D3787D">
        <w:t>like changes in</w:t>
      </w:r>
      <w:r w:rsidRPr="00C66AC7">
        <w:t xml:space="preserve"> the vasculature, heart, GI tract, lung, mesentery and thymus. These changes were not demonstrated in monkeys, nor have these findings been observed to date in the limited human exposure.</w:t>
      </w:r>
    </w:p>
    <w:p w:rsidR="00C66AC7" w:rsidRPr="00C66AC7" w:rsidRDefault="002B6593" w:rsidP="00C66AC7">
      <w:r>
        <w:t>APR</w:t>
      </w:r>
      <w:r w:rsidR="00C66AC7" w:rsidRPr="00C66AC7">
        <w:t xml:space="preserve"> does not pose a </w:t>
      </w:r>
      <w:proofErr w:type="spellStart"/>
      <w:r w:rsidR="00C66AC7" w:rsidRPr="00C66AC7">
        <w:t>genotoxic</w:t>
      </w:r>
      <w:proofErr w:type="spellEnd"/>
      <w:r w:rsidR="00C66AC7" w:rsidRPr="00C66AC7">
        <w:t xml:space="preserve"> or carcinogenic risk.</w:t>
      </w:r>
    </w:p>
    <w:p w:rsidR="00C66AC7" w:rsidRPr="00C66AC7" w:rsidRDefault="00C66AC7" w:rsidP="008637F0">
      <w:r w:rsidRPr="00C66AC7">
        <w:t xml:space="preserve">The evaluator recommended that </w:t>
      </w:r>
      <w:r w:rsidR="002B6593">
        <w:t>APR</w:t>
      </w:r>
      <w:r w:rsidRPr="00C66AC7">
        <w:t xml:space="preserve"> be contraindicated in pregnancy based on </w:t>
      </w:r>
      <w:proofErr w:type="spellStart"/>
      <w:r w:rsidRPr="00C66AC7">
        <w:t>embryolethal</w:t>
      </w:r>
      <w:proofErr w:type="spellEnd"/>
      <w:r w:rsidRPr="00C66AC7">
        <w:t xml:space="preserve"> effects observed at two-fold exposure. Pregnancy category B3 is recommended. The Delegate concurs with this advice.</w:t>
      </w:r>
    </w:p>
    <w:p w:rsidR="00C66AC7" w:rsidRPr="00C66AC7" w:rsidRDefault="00C66AC7" w:rsidP="008637F0">
      <w:r w:rsidRPr="00C66AC7">
        <w:t xml:space="preserve">It was recommended that </w:t>
      </w:r>
      <w:r w:rsidR="002B6593">
        <w:t>APR</w:t>
      </w:r>
      <w:r w:rsidRPr="00C66AC7">
        <w:t xml:space="preserve"> be contraindicated in lactation. The Delegate concurs with this advice.</w:t>
      </w:r>
    </w:p>
    <w:p w:rsidR="008E7846" w:rsidRDefault="008E7846" w:rsidP="008637F0">
      <w:pPr>
        <w:pStyle w:val="Heading3"/>
      </w:pPr>
      <w:bookmarkStart w:id="173" w:name="_Toc436140497"/>
      <w:r w:rsidRPr="008637F0">
        <w:t>Clinical</w:t>
      </w:r>
      <w:bookmarkEnd w:id="171"/>
      <w:bookmarkEnd w:id="172"/>
      <w:bookmarkEnd w:id="173"/>
    </w:p>
    <w:p w:rsidR="00DE0971" w:rsidRPr="00DE0971" w:rsidRDefault="00DE0971" w:rsidP="008637F0">
      <w:bookmarkStart w:id="174" w:name="_Toc314842514"/>
      <w:r w:rsidRPr="00DE0971">
        <w:t>The clinical evaluator recommended approval of both of the sponsor</w:t>
      </w:r>
      <w:r w:rsidR="00FB4E98">
        <w:t xml:space="preserve"> </w:t>
      </w:r>
      <w:r w:rsidRPr="00DE0971">
        <w:t>proposed indications.</w:t>
      </w:r>
    </w:p>
    <w:p w:rsidR="00FB4E98" w:rsidRDefault="00DE0971" w:rsidP="008637F0">
      <w:r w:rsidRPr="00DE0971">
        <w:t xml:space="preserve">The clinical evaluator has reviewed the submitted data and </w:t>
      </w:r>
      <w:r w:rsidR="00EE1B1A">
        <w:t xml:space="preserve">it </w:t>
      </w:r>
      <w:r w:rsidRPr="00DE0971">
        <w:t xml:space="preserve">was evaluated using TGA adopted EU </w:t>
      </w:r>
      <w:r w:rsidR="00FB4E98">
        <w:t>guidelines.</w:t>
      </w:r>
      <w:r w:rsidR="009516B2">
        <w:rPr>
          <w:rStyle w:val="FootnoteReference"/>
        </w:rPr>
        <w:footnoteReference w:id="32"/>
      </w:r>
    </w:p>
    <w:p w:rsidR="00DE0971" w:rsidRDefault="00DE0971" w:rsidP="008637F0">
      <w:pPr>
        <w:pStyle w:val="Heading4"/>
      </w:pPr>
      <w:r w:rsidRPr="008637F0">
        <w:t>Pharmacology</w:t>
      </w:r>
    </w:p>
    <w:p w:rsidR="00DE0971" w:rsidRDefault="00DE0971" w:rsidP="008637F0">
      <w:pPr>
        <w:pStyle w:val="Heading5"/>
      </w:pPr>
      <w:r>
        <w:t>Summary of PK data</w:t>
      </w:r>
    </w:p>
    <w:p w:rsidR="00DE0971" w:rsidRPr="003E361F" w:rsidRDefault="002B6593" w:rsidP="008637F0">
      <w:r>
        <w:t>APR</w:t>
      </w:r>
      <w:r w:rsidR="00DE0971" w:rsidRPr="003E361F">
        <w:t xml:space="preserve"> has an absolute bioavailability of ~73% with </w:t>
      </w:r>
      <w:proofErr w:type="spellStart"/>
      <w:r w:rsidR="00DE0971" w:rsidRPr="003E361F">
        <w:t>Cmax</w:t>
      </w:r>
      <w:proofErr w:type="spellEnd"/>
      <w:r w:rsidR="00DE0971" w:rsidRPr="003E361F">
        <w:t xml:space="preserve"> occurring at a </w:t>
      </w:r>
      <w:r w:rsidR="008637F0">
        <w:t>median of ~2.5 hours post dose.</w:t>
      </w:r>
    </w:p>
    <w:p w:rsidR="00DE0971" w:rsidRPr="003E361F" w:rsidRDefault="00DE0971" w:rsidP="008637F0">
      <w:r w:rsidRPr="003E361F">
        <w:t xml:space="preserve">There is no significant influence of food on the absorption of </w:t>
      </w:r>
      <w:r w:rsidR="002B6593">
        <w:t>APR</w:t>
      </w:r>
      <w:r w:rsidRPr="003E361F">
        <w:t>.</w:t>
      </w:r>
    </w:p>
    <w:p w:rsidR="00DE0971" w:rsidRPr="003E361F" w:rsidRDefault="00DE0971" w:rsidP="008637F0">
      <w:r w:rsidRPr="003E361F">
        <w:t xml:space="preserve">Exposure of </w:t>
      </w:r>
      <w:r w:rsidR="002B6593">
        <w:t>APR</w:t>
      </w:r>
      <w:r w:rsidRPr="003E361F">
        <w:t xml:space="preserve"> is dose proportional across doses of 10</w:t>
      </w:r>
      <w:r w:rsidR="008F651C">
        <w:t xml:space="preserve"> </w:t>
      </w:r>
      <w:r w:rsidRPr="003E361F">
        <w:t>mg/day to 80</w:t>
      </w:r>
      <w:r w:rsidR="008F651C">
        <w:t xml:space="preserve"> </w:t>
      </w:r>
      <w:r w:rsidRPr="003E361F">
        <w:t xml:space="preserve">mg/day (multiple dosing). </w:t>
      </w:r>
    </w:p>
    <w:p w:rsidR="00DE0971" w:rsidRPr="003E361F" w:rsidRDefault="00DE0971" w:rsidP="008637F0">
      <w:r w:rsidRPr="003E361F">
        <w:t>Bioavailability was consistent in multi</w:t>
      </w:r>
      <w:r w:rsidR="00773E13">
        <w:t>ple dosing studies</w:t>
      </w:r>
      <w:r w:rsidRPr="003E361F">
        <w:t>.</w:t>
      </w:r>
    </w:p>
    <w:p w:rsidR="00DE0971" w:rsidRPr="003E361F" w:rsidRDefault="00DE0971" w:rsidP="008637F0">
      <w:r w:rsidRPr="003E361F">
        <w:t>Plasma protein binding is approximately 68%. The mean apparent volume of distribution is 87L (approximately extravascular space).</w:t>
      </w:r>
    </w:p>
    <w:p w:rsidR="00DE0971" w:rsidRPr="003E361F" w:rsidRDefault="002B6593" w:rsidP="008637F0">
      <w:r>
        <w:t>APR</w:t>
      </w:r>
      <w:r w:rsidR="00DE0971" w:rsidRPr="003E361F">
        <w:t xml:space="preserve"> is extensively metabolised by cytochrome oxidative metabolism and subsequent </w:t>
      </w:r>
      <w:proofErr w:type="spellStart"/>
      <w:r w:rsidR="00DE0971" w:rsidRPr="003E361F">
        <w:t>glucuronidation</w:t>
      </w:r>
      <w:proofErr w:type="spellEnd"/>
      <w:r w:rsidR="00DE0971" w:rsidRPr="003E361F">
        <w:t xml:space="preserve">. There are no active metabolites of </w:t>
      </w:r>
      <w:r>
        <w:t>APR</w:t>
      </w:r>
      <w:r w:rsidR="00DE0971" w:rsidRPr="003E361F">
        <w:t>.</w:t>
      </w:r>
    </w:p>
    <w:p w:rsidR="00DE0971" w:rsidRPr="003E361F" w:rsidRDefault="00DE0971" w:rsidP="008637F0">
      <w:r w:rsidRPr="003E361F">
        <w:t>Plasma cleara</w:t>
      </w:r>
      <w:r w:rsidR="0088032A">
        <w:t>nce is approximately 10 L/h</w:t>
      </w:r>
      <w:r w:rsidRPr="003E361F">
        <w:t xml:space="preserve"> in healthy subjects; terminal elimination half</w:t>
      </w:r>
      <w:r w:rsidR="0088032A">
        <w:t>-life is approximately 6-9 h</w:t>
      </w:r>
      <w:r w:rsidRPr="003E361F">
        <w:t xml:space="preserve">. Elimination of radiolabelled </w:t>
      </w:r>
      <w:r w:rsidR="002B6593">
        <w:t>APR</w:t>
      </w:r>
      <w:r w:rsidRPr="003E361F">
        <w:t xml:space="preserve"> represented 3% and 7% in urine and faeces</w:t>
      </w:r>
      <w:r w:rsidR="0088032A">
        <w:t>,</w:t>
      </w:r>
      <w:r w:rsidRPr="003E361F">
        <w:t xml:space="preserve"> respectively. Females were observed to have 30% lower clearance than males.</w:t>
      </w:r>
    </w:p>
    <w:p w:rsidR="00DE0971" w:rsidRPr="003E361F" w:rsidRDefault="0088032A" w:rsidP="008637F0">
      <w:r>
        <w:t>The population pharmacokinetics</w:t>
      </w:r>
      <w:r w:rsidR="00DE0971" w:rsidRPr="003E361F">
        <w:t xml:space="preserve"> analysis was based on separate study data rather than pooled data for eligible s</w:t>
      </w:r>
      <w:r w:rsidR="00CB0E32">
        <w:t>ubject</w:t>
      </w:r>
      <w:r w:rsidR="002E22D1">
        <w:t>s</w:t>
      </w:r>
      <w:r w:rsidR="00DE0971" w:rsidRPr="003E361F">
        <w:t>.</w:t>
      </w:r>
    </w:p>
    <w:p w:rsidR="00DE0971" w:rsidRPr="00121C03" w:rsidRDefault="008256DF" w:rsidP="008637F0">
      <w:pPr>
        <w:pStyle w:val="Heading5"/>
      </w:pPr>
      <w:r>
        <w:t xml:space="preserve">Summary of </w:t>
      </w:r>
      <w:proofErr w:type="spellStart"/>
      <w:r w:rsidRPr="008637F0">
        <w:t>pharmacodynamic</w:t>
      </w:r>
      <w:proofErr w:type="spellEnd"/>
      <w:r w:rsidR="00DE0971" w:rsidRPr="00121C03">
        <w:t xml:space="preserve"> data</w:t>
      </w:r>
    </w:p>
    <w:p w:rsidR="00DE0971" w:rsidRPr="003E361F" w:rsidRDefault="008256DF" w:rsidP="008637F0">
      <w:r>
        <w:t>Pharmacodynamic</w:t>
      </w:r>
      <w:r w:rsidR="00DE0971" w:rsidRPr="003E361F">
        <w:t xml:space="preserve"> effects were assessed in </w:t>
      </w:r>
      <w:r w:rsidR="00FE2FBF">
        <w:t>S</w:t>
      </w:r>
      <w:r w:rsidR="00DE0971" w:rsidRPr="003E361F">
        <w:t>tudies PSOR-001, PSOR-004 &amp; PSOR-009, PSA-002 plus a dedicated QT assessment PK-008.</w:t>
      </w:r>
    </w:p>
    <w:p w:rsidR="00DE0971" w:rsidRPr="003E361F" w:rsidRDefault="00DE0971" w:rsidP="008637F0">
      <w:r w:rsidRPr="003E361F">
        <w:t xml:space="preserve">At the proposed </w:t>
      </w:r>
      <w:r w:rsidR="002B6593">
        <w:t>APR</w:t>
      </w:r>
      <w:r w:rsidRPr="003E361F">
        <w:t xml:space="preserve"> dose, statistically significant reduction was observed in seven inflammatory mediators:</w:t>
      </w:r>
      <w:r w:rsidR="00C72B91">
        <w:t xml:space="preserve"> IL-1α, IL-1β, IL-6, IL-8, TNF, and</w:t>
      </w:r>
      <w:r w:rsidRPr="003E361F">
        <w:t xml:space="preserve"> ferritin, whereas an increase in Von </w:t>
      </w:r>
      <w:proofErr w:type="spellStart"/>
      <w:r w:rsidRPr="003E361F">
        <w:t>Willebrand</w:t>
      </w:r>
      <w:proofErr w:type="spellEnd"/>
      <w:r w:rsidRPr="003E361F">
        <w:t xml:space="preserve"> factor observed, as compared to </w:t>
      </w:r>
      <w:r w:rsidR="0011514D">
        <w:t>PBO</w:t>
      </w:r>
      <w:r w:rsidRPr="003E361F">
        <w:t xml:space="preserve">. Changes were measurable within 4 weeks of treatment initiation. There was a reported difference in the mediators affected over the treatment exposure period – the sponsor states “the clinical relevance of these findings is unclear”. </w:t>
      </w:r>
    </w:p>
    <w:p w:rsidR="00DE0971" w:rsidRPr="003E361F" w:rsidRDefault="00DE0971" w:rsidP="008637F0">
      <w:r w:rsidRPr="003E361F">
        <w:t xml:space="preserve">In PSOR subjects, skin thickness, epidermal hyperplasia and keratin mRNA expression, presence of inflammatory dendritic cells and inducible nitric oxide synthase expression were improved in </w:t>
      </w:r>
      <w:r w:rsidR="002B6593">
        <w:t>APR</w:t>
      </w:r>
      <w:r w:rsidR="00935CB7">
        <w:t xml:space="preserve"> </w:t>
      </w:r>
      <w:r w:rsidRPr="003E361F">
        <w:t xml:space="preserve">exposed subjects. However, for </w:t>
      </w:r>
      <w:r w:rsidR="00935CB7">
        <w:t>S</w:t>
      </w:r>
      <w:r w:rsidRPr="003E361F">
        <w:t>tudy PSOR-009 “there was no significant association between changes in plasma biomarkers and clinical response”.</w:t>
      </w:r>
    </w:p>
    <w:p w:rsidR="00DE0971" w:rsidRPr="003E361F" w:rsidRDefault="00935CB7" w:rsidP="008637F0">
      <w:r>
        <w:t xml:space="preserve">The QT study </w:t>
      </w:r>
      <w:r w:rsidR="00DE0971" w:rsidRPr="003E361F">
        <w:t xml:space="preserve">did not demonstrate a significant increase in </w:t>
      </w:r>
      <w:proofErr w:type="spellStart"/>
      <w:r w:rsidR="00DE0971" w:rsidRPr="003E361F">
        <w:t>QTc</w:t>
      </w:r>
      <w:proofErr w:type="spellEnd"/>
      <w:r w:rsidR="00DE0971" w:rsidRPr="003E361F">
        <w:t xml:space="preserve"> with </w:t>
      </w:r>
      <w:r w:rsidR="002B6593">
        <w:t>APR</w:t>
      </w:r>
      <w:r w:rsidR="00DE0971" w:rsidRPr="003E361F">
        <w:t xml:space="preserve"> (at therapeutic and supra-therapeutic dosing up to 50</w:t>
      </w:r>
      <w:r>
        <w:t xml:space="preserve"> </w:t>
      </w:r>
      <w:r w:rsidR="00DE0971" w:rsidRPr="003E361F">
        <w:t xml:space="preserve">mg BD) in comparison to </w:t>
      </w:r>
      <w:proofErr w:type="spellStart"/>
      <w:r w:rsidR="00DE0971" w:rsidRPr="003E361F">
        <w:t>moxifloxacin</w:t>
      </w:r>
      <w:proofErr w:type="spellEnd"/>
      <w:r w:rsidR="00DE0971" w:rsidRPr="003E361F">
        <w:t xml:space="preserve"> control.</w:t>
      </w:r>
    </w:p>
    <w:p w:rsidR="00DE0971" w:rsidRPr="000E3AFD" w:rsidRDefault="00DE0971" w:rsidP="008637F0">
      <w:pPr>
        <w:pStyle w:val="Heading5"/>
      </w:pPr>
      <w:r w:rsidRPr="008637F0">
        <w:t>Special</w:t>
      </w:r>
      <w:r w:rsidRPr="000E3AFD">
        <w:t xml:space="preserve"> populations</w:t>
      </w:r>
    </w:p>
    <w:p w:rsidR="00DE0971" w:rsidRPr="003E361F" w:rsidRDefault="00935CB7" w:rsidP="008637F0">
      <w:r>
        <w:t>S</w:t>
      </w:r>
      <w:r w:rsidR="00DE0971" w:rsidRPr="003E361F">
        <w:t xml:space="preserve">tudies of </w:t>
      </w:r>
      <w:r w:rsidR="002B6593">
        <w:t>APR</w:t>
      </w:r>
      <w:r w:rsidR="00DE0971" w:rsidRPr="003E361F">
        <w:t xml:space="preserve"> in healthy Japanese, Chinese and Caucasian subjects did not reveal any statistically si</w:t>
      </w:r>
      <w:r>
        <w:t xml:space="preserve">gnificant differences in </w:t>
      </w:r>
      <w:proofErr w:type="gramStart"/>
      <w:r>
        <w:t>either</w:t>
      </w:r>
      <w:r w:rsidR="00DE0971" w:rsidRPr="003E361F">
        <w:t xml:space="preserve"> </w:t>
      </w:r>
      <w:proofErr w:type="spellStart"/>
      <w:r w:rsidR="00DE0971" w:rsidRPr="003E361F">
        <w:t>Tmax</w:t>
      </w:r>
      <w:proofErr w:type="spellEnd"/>
      <w:proofErr w:type="gramEnd"/>
      <w:r w:rsidR="00DE0971" w:rsidRPr="003E361F">
        <w:t>, CL/F</w:t>
      </w:r>
      <w:r>
        <w:t>,</w:t>
      </w:r>
      <w:r w:rsidR="00DE0971" w:rsidRPr="003E361F">
        <w:t xml:space="preserve"> or t1/2 between groups.</w:t>
      </w:r>
    </w:p>
    <w:p w:rsidR="00DE0971" w:rsidRPr="00EA129D" w:rsidRDefault="00DE0971" w:rsidP="008637F0">
      <w:pPr>
        <w:pStyle w:val="Heading5"/>
      </w:pPr>
      <w:r w:rsidRPr="00EA129D">
        <w:t xml:space="preserve">Pharmaceutical Sub-Committee </w:t>
      </w:r>
      <w:r w:rsidR="00EA7F34">
        <w:t xml:space="preserve">(PSC) </w:t>
      </w:r>
      <w:r w:rsidRPr="008637F0">
        <w:t>meeting</w:t>
      </w:r>
      <w:r w:rsidRPr="00EA129D">
        <w:t xml:space="preserve"> 159 – summary</w:t>
      </w:r>
    </w:p>
    <w:p w:rsidR="00DE0971" w:rsidRPr="003E361F" w:rsidRDefault="00DE0971" w:rsidP="008637F0">
      <w:r w:rsidRPr="003E361F">
        <w:t xml:space="preserve">The PSC observed that the data was analysed from separate studies and not pooled. The minutes re-iterated that pooled data, when available, </w:t>
      </w:r>
      <w:r w:rsidR="00C5159B">
        <w:t>should be used for population pharmacokinetic</w:t>
      </w:r>
      <w:r w:rsidRPr="003E361F">
        <w:t xml:space="preserve"> analyses in preference to studies being analysed separately.</w:t>
      </w:r>
    </w:p>
    <w:p w:rsidR="00DE0971" w:rsidRPr="003E361F" w:rsidRDefault="00DE0971" w:rsidP="008637F0">
      <w:r w:rsidRPr="003E361F">
        <w:t xml:space="preserve">The PSC advised the data indicate that females have up to 30% lower clearance of </w:t>
      </w:r>
      <w:r w:rsidR="002B6593">
        <w:t>APR</w:t>
      </w:r>
      <w:r w:rsidRPr="003E361F">
        <w:t xml:space="preserve"> and as a consequence are at risk of increased </w:t>
      </w:r>
      <w:r w:rsidR="0031087E">
        <w:t>AEs</w:t>
      </w:r>
      <w:r w:rsidR="00DD61F2">
        <w:t>,</w:t>
      </w:r>
      <w:r w:rsidRPr="003E361F">
        <w:t xml:space="preserve"> particularly if the highest dose studied, 30</w:t>
      </w:r>
      <w:r w:rsidR="0031087E">
        <w:t xml:space="preserve"> </w:t>
      </w:r>
      <w:r w:rsidRPr="003E361F">
        <w:t>mg BD, is registered.</w:t>
      </w:r>
    </w:p>
    <w:p w:rsidR="00DE0971" w:rsidRPr="003E361F" w:rsidRDefault="00C5159B" w:rsidP="008637F0">
      <w:r>
        <w:t>The TGA population pharmacokinetic</w:t>
      </w:r>
      <w:r w:rsidR="00DE0971" w:rsidRPr="003E361F">
        <w:t xml:space="preserve"> evaluator considered the second round population </w:t>
      </w:r>
      <w:r>
        <w:t>pharmacokinetic</w:t>
      </w:r>
      <w:r w:rsidR="00DE0971" w:rsidRPr="003E361F">
        <w:t xml:space="preserve"> response from the sponsor was sufficient to not warrant a separate dosing </w:t>
      </w:r>
      <w:r w:rsidR="008637F0">
        <w:t>schedule for males and females.</w:t>
      </w:r>
    </w:p>
    <w:p w:rsidR="00DE0971" w:rsidRPr="003E361F" w:rsidRDefault="00DE0971" w:rsidP="008637F0">
      <w:r w:rsidRPr="003E361F">
        <w:t>However, the PSC advised that the adverse</w:t>
      </w:r>
      <w:r w:rsidR="008271A8">
        <w:t xml:space="preserve"> </w:t>
      </w:r>
      <w:r w:rsidRPr="003E361F">
        <w:t>effect data should be split and analysed separately for males and females to ensure that there is no increase in events for females. The Delegate concurs with this advice.</w:t>
      </w:r>
    </w:p>
    <w:p w:rsidR="00DE0971" w:rsidRPr="003E361F" w:rsidRDefault="00DE0971" w:rsidP="008637F0">
      <w:r w:rsidRPr="003E361F">
        <w:t>These issues are discussed under “Proposed regulatory action” below.</w:t>
      </w:r>
    </w:p>
    <w:p w:rsidR="00DE0971" w:rsidRDefault="003E361F" w:rsidP="008637F0">
      <w:pPr>
        <w:pStyle w:val="Heading4"/>
      </w:pPr>
      <w:r w:rsidRPr="008637F0">
        <w:t>Efficacy</w:t>
      </w:r>
    </w:p>
    <w:p w:rsidR="003E361F" w:rsidRDefault="00DE0971" w:rsidP="008637F0">
      <w:pPr>
        <w:pStyle w:val="Heading5"/>
      </w:pPr>
      <w:r>
        <w:t xml:space="preserve">Dose </w:t>
      </w:r>
      <w:r w:rsidRPr="008637F0">
        <w:t>selection</w:t>
      </w:r>
    </w:p>
    <w:p w:rsidR="00DE0971" w:rsidRPr="00DE3F32" w:rsidRDefault="003E361F" w:rsidP="008637F0">
      <w:r w:rsidRPr="00DE3F32">
        <w:t>T</w:t>
      </w:r>
      <w:r w:rsidR="00DE0971" w:rsidRPr="00DE3F32">
        <w:t xml:space="preserve">he doses selected for the pivotal studies in both </w:t>
      </w:r>
      <w:r w:rsidR="009C54F5">
        <w:t>indications derived from Phase II</w:t>
      </w:r>
      <w:r w:rsidR="00DE0971" w:rsidRPr="00DE3F32">
        <w:t xml:space="preserve"> efficacy data. In </w:t>
      </w:r>
      <w:proofErr w:type="spellStart"/>
      <w:r w:rsidR="00DE0971" w:rsidRPr="00DE3F32">
        <w:t>PsA</w:t>
      </w:r>
      <w:proofErr w:type="spellEnd"/>
      <w:r w:rsidR="000839CF">
        <w:t>,</w:t>
      </w:r>
      <w:r w:rsidR="00DE0971" w:rsidRPr="00DE3F32">
        <w:t xml:space="preserve"> 20</w:t>
      </w:r>
      <w:r w:rsidR="009C54F5">
        <w:t xml:space="preserve"> </w:t>
      </w:r>
      <w:r w:rsidR="00DE0971" w:rsidRPr="00DE3F32">
        <w:t>mg BD and 40</w:t>
      </w:r>
      <w:r w:rsidR="009C54F5">
        <w:t xml:space="preserve"> </w:t>
      </w:r>
      <w:r w:rsidR="00DE0971" w:rsidRPr="00DE3F32">
        <w:t>mg BD were compared,</w:t>
      </w:r>
      <w:r w:rsidR="000839CF">
        <w:t xml:space="preserve"> with</w:t>
      </w:r>
      <w:r w:rsidR="00DE0971" w:rsidRPr="00DE3F32">
        <w:t xml:space="preserve"> the latter regimen associated with increased AEs and treatment discontinuation.</w:t>
      </w:r>
    </w:p>
    <w:p w:rsidR="00DE0971" w:rsidRPr="00DE3F32" w:rsidRDefault="00DE0971" w:rsidP="008637F0">
      <w:r w:rsidRPr="00DE3F32">
        <w:t>In PSOR, 10</w:t>
      </w:r>
      <w:r w:rsidR="009C54F5">
        <w:t xml:space="preserve"> </w:t>
      </w:r>
      <w:r w:rsidRPr="00DE3F32">
        <w:t>mg BD, 20</w:t>
      </w:r>
      <w:r w:rsidR="009C54F5">
        <w:t xml:space="preserve"> </w:t>
      </w:r>
      <w:r w:rsidRPr="00DE3F32">
        <w:t>mg BD and 30</w:t>
      </w:r>
      <w:r w:rsidR="009C54F5">
        <w:t xml:space="preserve"> </w:t>
      </w:r>
      <w:r w:rsidRPr="00DE3F32">
        <w:t>mg BD were compared. The 30</w:t>
      </w:r>
      <w:r w:rsidR="009C54F5">
        <w:t xml:space="preserve"> </w:t>
      </w:r>
      <w:r w:rsidRPr="00DE3F32">
        <w:t xml:space="preserve">mg BD regimen demonstrated increased efficacy, and “safety &amp; tolerability of </w:t>
      </w:r>
      <w:r w:rsidR="002B6593">
        <w:t>APR</w:t>
      </w:r>
      <w:r w:rsidRPr="00DE3F32">
        <w:t xml:space="preserve"> was acceptable and comparable”. The 10</w:t>
      </w:r>
      <w:r w:rsidR="009C54F5">
        <w:t xml:space="preserve"> </w:t>
      </w:r>
      <w:r w:rsidRPr="00DE3F32">
        <w:t>mg BD dose</w:t>
      </w:r>
      <w:r w:rsidR="001775D6">
        <w:t xml:space="preserve"> did not demonstrate efficacy.</w:t>
      </w:r>
    </w:p>
    <w:p w:rsidR="00DE0971" w:rsidRDefault="00DE0971" w:rsidP="008637F0">
      <w:pPr>
        <w:pStyle w:val="Heading5"/>
      </w:pPr>
      <w:r w:rsidRPr="008637F0">
        <w:t>Efficacy</w:t>
      </w:r>
      <w:r>
        <w:t xml:space="preserve"> in </w:t>
      </w:r>
      <w:proofErr w:type="spellStart"/>
      <w:r w:rsidR="00852871">
        <w:t>PsA</w:t>
      </w:r>
      <w:proofErr w:type="spellEnd"/>
    </w:p>
    <w:p w:rsidR="00DE0971" w:rsidRPr="00725F37" w:rsidRDefault="00DE0971" w:rsidP="008637F0">
      <w:r>
        <w:t>Four</w:t>
      </w:r>
      <w:r w:rsidRPr="00725F37">
        <w:t xml:space="preserve"> studies were submitted for</w:t>
      </w:r>
      <w:r>
        <w:t xml:space="preserve"> evaluation</w:t>
      </w:r>
      <w:r w:rsidR="00DE3F32">
        <w:t xml:space="preserve"> (Table </w:t>
      </w:r>
      <w:r w:rsidR="002146ED">
        <w:t>2</w:t>
      </w:r>
      <w:r w:rsidR="00FA7A24">
        <w:t>1</w:t>
      </w:r>
      <w:r w:rsidR="002146ED">
        <w:t>).</w:t>
      </w:r>
    </w:p>
    <w:p w:rsidR="002146ED" w:rsidRDefault="002146ED" w:rsidP="008637F0">
      <w:pPr>
        <w:pStyle w:val="TableTitle"/>
      </w:pPr>
      <w:proofErr w:type="gramStart"/>
      <w:r>
        <w:t>Table 2</w:t>
      </w:r>
      <w:r w:rsidR="00FA7A24">
        <w:t>1</w:t>
      </w:r>
      <w:r>
        <w:t>:</w:t>
      </w:r>
      <w:r w:rsidRPr="004C5C28">
        <w:t xml:space="preserve"> </w:t>
      </w:r>
      <w:r w:rsidR="00B5235C" w:rsidRPr="008637F0">
        <w:t>Efficacy</w:t>
      </w:r>
      <w:r w:rsidR="00B5235C">
        <w:t xml:space="preserve"> studies</w:t>
      </w:r>
      <w:r>
        <w:t>.</w:t>
      </w:r>
      <w:proofErr w:type="gramEnd"/>
    </w:p>
    <w:p w:rsidR="007B6132" w:rsidRDefault="00A912CD" w:rsidP="008637F0">
      <w:r>
        <w:rPr>
          <w:noProof/>
          <w:lang w:eastAsia="en-AU"/>
        </w:rPr>
        <w:drawing>
          <wp:inline distT="0" distB="0" distL="0" distR="0" wp14:anchorId="0D7A3E28" wp14:editId="25AF2E6B">
            <wp:extent cx="4549561" cy="2506633"/>
            <wp:effectExtent l="0" t="0" r="3810" b="8255"/>
            <wp:docPr id="31" name="Picture 31" descr="Table 21: Efficacy studies." title="Table 21: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52640" cy="2508329"/>
                    </a:xfrm>
                    <a:prstGeom prst="rect">
                      <a:avLst/>
                    </a:prstGeom>
                  </pic:spPr>
                </pic:pic>
              </a:graphicData>
            </a:graphic>
          </wp:inline>
        </w:drawing>
      </w:r>
    </w:p>
    <w:p w:rsidR="00875C40" w:rsidRPr="00875C40" w:rsidRDefault="00875C40" w:rsidP="008637F0">
      <w:r w:rsidRPr="00875C40">
        <w:t xml:space="preserve">Studies PSA-002, PSA-003 and PSA-004 had an essentially common design, randomising eligible subjects to </w:t>
      </w:r>
      <w:r w:rsidR="002B6593">
        <w:t>APR</w:t>
      </w:r>
      <w:r w:rsidRPr="00875C40">
        <w:t>, at either 20</w:t>
      </w:r>
      <w:r w:rsidR="001C7AC9">
        <w:t xml:space="preserve"> </w:t>
      </w:r>
      <w:r w:rsidRPr="00875C40">
        <w:t>mg BD or 30</w:t>
      </w:r>
      <w:r w:rsidR="001C7AC9">
        <w:t xml:space="preserve"> </w:t>
      </w:r>
      <w:r w:rsidRPr="00875C40">
        <w:t xml:space="preserve">mg BD, or </w:t>
      </w:r>
      <w:r w:rsidR="0011514D">
        <w:t>PBO</w:t>
      </w:r>
      <w:r w:rsidRPr="00875C40">
        <w:t xml:space="preserve"> in a 1:1:1 ratio as shown below, with each study following the propose</w:t>
      </w:r>
      <w:r w:rsidR="001C7AC9">
        <w:t>d initial up-titration schedule (</w:t>
      </w:r>
      <w:r>
        <w:t>Figure 2</w:t>
      </w:r>
      <w:r w:rsidR="001C7AC9">
        <w:t>)</w:t>
      </w:r>
      <w:r w:rsidRPr="00875C40">
        <w:t>. For Study PSA-005, only the 24</w:t>
      </w:r>
      <w:r w:rsidR="001C7AC9">
        <w:t xml:space="preserve"> </w:t>
      </w:r>
      <w:r w:rsidRPr="00875C40">
        <w:t>week study report was available for evaluation.</w:t>
      </w:r>
    </w:p>
    <w:p w:rsidR="00114FDE" w:rsidRDefault="00114FDE" w:rsidP="008637F0">
      <w:pPr>
        <w:pStyle w:val="FigureTitle"/>
      </w:pPr>
      <w:r>
        <w:t>Figure 2:</w:t>
      </w:r>
      <w:r w:rsidRPr="004C5C28">
        <w:t xml:space="preserve"> </w:t>
      </w:r>
      <w:r w:rsidR="00E650FD" w:rsidRPr="00E650FD">
        <w:t xml:space="preserve">Common study design of PSA-002, PSA-003, </w:t>
      </w:r>
      <w:proofErr w:type="gramStart"/>
      <w:r w:rsidR="00E650FD" w:rsidRPr="00E650FD">
        <w:t>PSA</w:t>
      </w:r>
      <w:proofErr w:type="gramEnd"/>
      <w:r w:rsidR="00E650FD" w:rsidRPr="00E650FD">
        <w:t>-004 &amp; PSA-005</w:t>
      </w:r>
      <w:r>
        <w:t>.</w:t>
      </w:r>
    </w:p>
    <w:p w:rsidR="00DD299A" w:rsidRDefault="00F07756" w:rsidP="008637F0">
      <w:r>
        <w:rPr>
          <w:noProof/>
          <w:lang w:eastAsia="en-AU"/>
        </w:rPr>
        <w:drawing>
          <wp:inline distT="0" distB="0" distL="0" distR="0" wp14:anchorId="4C9486F4" wp14:editId="790A0E70">
            <wp:extent cx="4673231" cy="3377109"/>
            <wp:effectExtent l="0" t="0" r="0" b="0"/>
            <wp:docPr id="32" name="Picture 32" descr="Figure 2: Common study design of PSA-002, PSA-003, PSA-004 &amp; PSA-005." title="Figure 2: Common study design of PSA-002, PSA-003, PSA-004 &amp; PSA-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77444" cy="3380154"/>
                    </a:xfrm>
                    <a:prstGeom prst="rect">
                      <a:avLst/>
                    </a:prstGeom>
                  </pic:spPr>
                </pic:pic>
              </a:graphicData>
            </a:graphic>
          </wp:inline>
        </w:drawing>
      </w:r>
    </w:p>
    <w:p w:rsidR="009E15D2" w:rsidRPr="009E15D2" w:rsidRDefault="009E15D2" w:rsidP="008637F0">
      <w:r w:rsidRPr="009E15D2">
        <w:t xml:space="preserve">A comparison of salient features of the trial designs for the </w:t>
      </w:r>
      <w:proofErr w:type="spellStart"/>
      <w:r w:rsidRPr="009E15D2">
        <w:t>PsA</w:t>
      </w:r>
      <w:proofErr w:type="spellEnd"/>
      <w:r w:rsidRPr="009E15D2">
        <w:t xml:space="preserve"> studies is shown in </w:t>
      </w:r>
      <w:r>
        <w:t>Table 2</w:t>
      </w:r>
      <w:r w:rsidR="00FA7A24">
        <w:t>2</w:t>
      </w:r>
      <w:r w:rsidRPr="009E15D2">
        <w:t>.</w:t>
      </w:r>
    </w:p>
    <w:p w:rsidR="0086358B" w:rsidRDefault="0086358B" w:rsidP="008637F0">
      <w:pPr>
        <w:pStyle w:val="TableTitle"/>
      </w:pPr>
      <w:proofErr w:type="gramStart"/>
      <w:r>
        <w:t>Table 2</w:t>
      </w:r>
      <w:r w:rsidR="00FA7A24">
        <w:t>2</w:t>
      </w:r>
      <w:r>
        <w:t>:</w:t>
      </w:r>
      <w:r w:rsidRPr="004C5C28">
        <w:t xml:space="preserve"> </w:t>
      </w:r>
      <w:r w:rsidR="009B3B8E" w:rsidRPr="008637F0">
        <w:t>Comparison</w:t>
      </w:r>
      <w:r w:rsidR="009B3B8E" w:rsidRPr="009B3B8E">
        <w:t xml:space="preserve"> of study design in </w:t>
      </w:r>
      <w:proofErr w:type="spellStart"/>
      <w:r w:rsidR="00852871">
        <w:t>PsA</w:t>
      </w:r>
      <w:proofErr w:type="spellEnd"/>
      <w:r w:rsidR="009B3B8E" w:rsidRPr="009B3B8E">
        <w:t xml:space="preserve"> studies</w:t>
      </w:r>
      <w:r>
        <w:t>.</w:t>
      </w:r>
      <w:proofErr w:type="gramEnd"/>
    </w:p>
    <w:p w:rsidR="0086358B" w:rsidRDefault="00B349C9" w:rsidP="008637F0">
      <w:r>
        <w:rPr>
          <w:noProof/>
          <w:lang w:eastAsia="en-AU"/>
        </w:rPr>
        <w:drawing>
          <wp:inline distT="0" distB="0" distL="0" distR="0" wp14:anchorId="11D8C9B0" wp14:editId="44BE2719">
            <wp:extent cx="4662453" cy="2720760"/>
            <wp:effectExtent l="0" t="0" r="5080" b="3810"/>
            <wp:docPr id="33" name="Picture 33" descr="Table 22: Comparison of study design in PsA studies." title="Table 22: Comparison of study design in PsA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668821" cy="2724476"/>
                    </a:xfrm>
                    <a:prstGeom prst="rect">
                      <a:avLst/>
                    </a:prstGeom>
                  </pic:spPr>
                </pic:pic>
              </a:graphicData>
            </a:graphic>
          </wp:inline>
        </w:drawing>
      </w:r>
    </w:p>
    <w:p w:rsidR="00BD5E87" w:rsidRPr="00955DCC" w:rsidRDefault="00BD5E87" w:rsidP="008637F0">
      <w:pPr>
        <w:pStyle w:val="TableDescription"/>
      </w:pPr>
      <w:r w:rsidRPr="00955DCC">
        <w:t>*</w:t>
      </w:r>
      <w:r>
        <w:t xml:space="preserve"> </w:t>
      </w:r>
      <w:r w:rsidRPr="008637F0">
        <w:t>Subjects</w:t>
      </w:r>
      <w:r w:rsidRPr="00955DCC">
        <w:t xml:space="preserve"> receiving at least 4 months DMARD prior to randomisation, with 4 weeks unchanged dose, could continue on that </w:t>
      </w:r>
      <w:r w:rsidRPr="008637F0">
        <w:t>regimen</w:t>
      </w:r>
      <w:r w:rsidRPr="00955DCC">
        <w:t xml:space="preserve"> </w:t>
      </w:r>
      <w:r>
        <w:t xml:space="preserve">with </w:t>
      </w:r>
      <w:r w:rsidR="00FD0E9E">
        <w:t>MTX</w:t>
      </w:r>
      <w:r w:rsidRPr="00955DCC">
        <w:t xml:space="preserve"> (up to 25 m</w:t>
      </w:r>
      <w:r>
        <w:t xml:space="preserve">g/week; oral or parenteral), </w:t>
      </w:r>
      <w:proofErr w:type="spellStart"/>
      <w:r>
        <w:t>lenflunomide</w:t>
      </w:r>
      <w:proofErr w:type="spellEnd"/>
      <w:r>
        <w:t xml:space="preserve"> (up to 20 mg/day), and/or </w:t>
      </w:r>
      <w:proofErr w:type="spellStart"/>
      <w:r>
        <w:t>sulphasalazine</w:t>
      </w:r>
      <w:proofErr w:type="spellEnd"/>
      <w:r>
        <w:t xml:space="preserve"> </w:t>
      </w:r>
      <w:r w:rsidRPr="00955DCC">
        <w:t>(2 g/day).</w:t>
      </w:r>
    </w:p>
    <w:p w:rsidR="00BD5E87" w:rsidRPr="00955DCC" w:rsidRDefault="00BD5E87" w:rsidP="008637F0">
      <w:pPr>
        <w:pStyle w:val="TableDescription"/>
      </w:pPr>
      <w:r w:rsidRPr="00955DCC">
        <w:t>†</w:t>
      </w:r>
      <w:r>
        <w:t xml:space="preserve"> </w:t>
      </w:r>
      <w:r w:rsidRPr="008637F0">
        <w:t>Changes</w:t>
      </w:r>
      <w:r w:rsidRPr="00955DCC">
        <w:t xml:space="preserve"> </w:t>
      </w:r>
      <w:r w:rsidRPr="008637F0">
        <w:t>to</w:t>
      </w:r>
      <w:r w:rsidRPr="00955DCC">
        <w:t xml:space="preserve"> NSAIDs due to </w:t>
      </w:r>
      <w:r w:rsidRPr="008637F0">
        <w:t>toxicity</w:t>
      </w:r>
      <w:r w:rsidRPr="00955DCC">
        <w:t xml:space="preserve"> were permitted between </w:t>
      </w:r>
      <w:r w:rsidR="00B525CF">
        <w:t>W</w:t>
      </w:r>
      <w:r w:rsidRPr="00955DCC">
        <w:t>eeks 24 and 52</w:t>
      </w:r>
      <w:r>
        <w:t xml:space="preserve"> of study</w:t>
      </w:r>
      <w:r w:rsidRPr="00955DCC">
        <w:t>.</w:t>
      </w:r>
      <w:r w:rsidR="002B6593">
        <w:t xml:space="preserve"> </w:t>
      </w:r>
    </w:p>
    <w:p w:rsidR="001775D6" w:rsidRPr="001775D6" w:rsidRDefault="001775D6" w:rsidP="001775D6">
      <w:r w:rsidRPr="001775D6">
        <w:t xml:space="preserve">Subjects who had previously failed treatment with &gt;3 agents for </w:t>
      </w:r>
      <w:proofErr w:type="spellStart"/>
      <w:r w:rsidRPr="001775D6">
        <w:t>PsA</w:t>
      </w:r>
      <w:proofErr w:type="spellEnd"/>
      <w:r w:rsidRPr="001775D6">
        <w:t xml:space="preserve"> (the sum of conventional and</w:t>
      </w:r>
      <w:r w:rsidR="00756980">
        <w:t xml:space="preserve">/or biologic DMARDs) or &gt;1 anti </w:t>
      </w:r>
      <w:r w:rsidRPr="001775D6">
        <w:t>TNF drug were excluded from all of the efficacy trials. Furthermore, all of the trials excluded patients who were at a ‘significant risk of infection’, or who had various abnormal laboratory results at ba</w:t>
      </w:r>
      <w:r w:rsidR="00756980">
        <w:t xml:space="preserve">seline (for example, </w:t>
      </w:r>
      <w:r w:rsidRPr="001775D6">
        <w:t>abnormal haematology or liver function tests).</w:t>
      </w:r>
    </w:p>
    <w:p w:rsidR="001775D6" w:rsidRPr="001775D6" w:rsidRDefault="001775D6" w:rsidP="001775D6">
      <w:r w:rsidRPr="001775D6">
        <w:t xml:space="preserve">In all four trials, the maximum period of </w:t>
      </w:r>
      <w:r w:rsidR="0011514D">
        <w:t>PBO</w:t>
      </w:r>
      <w:r w:rsidR="00405E3C">
        <w:t xml:space="preserve"> </w:t>
      </w:r>
      <w:r w:rsidRPr="001775D6">
        <w:t xml:space="preserve">control was 16 weeks, as subjects initially randomised to </w:t>
      </w:r>
      <w:r w:rsidR="0011514D">
        <w:t>PBO</w:t>
      </w:r>
      <w:r w:rsidR="00405E3C">
        <w:t xml:space="preserve"> could cross</w:t>
      </w:r>
      <w:r w:rsidRPr="001775D6">
        <w:t xml:space="preserve">over to </w:t>
      </w:r>
      <w:r w:rsidR="002B6593">
        <w:t>APR</w:t>
      </w:r>
      <w:r w:rsidRPr="001775D6">
        <w:t xml:space="preserve"> therapy then.</w:t>
      </w:r>
    </w:p>
    <w:p w:rsidR="001775D6" w:rsidRPr="001775D6" w:rsidRDefault="001775D6" w:rsidP="008637F0">
      <w:r w:rsidRPr="001775D6">
        <w:t xml:space="preserve">This submission is seeking an indication in active </w:t>
      </w:r>
      <w:proofErr w:type="spellStart"/>
      <w:r w:rsidRPr="001775D6">
        <w:t>PsA</w:t>
      </w:r>
      <w:proofErr w:type="spellEnd"/>
      <w:r w:rsidRPr="001775D6">
        <w:t>, and in general is consistent with the TGA adopted regulatory guideline pertaining to the requested extension of indication</w:t>
      </w:r>
      <w:r w:rsidR="00405E3C">
        <w:t>.</w:t>
      </w:r>
      <w:r w:rsidR="000C2A12">
        <w:rPr>
          <w:rStyle w:val="FootnoteReference"/>
        </w:rPr>
        <w:footnoteReference w:id="33"/>
      </w:r>
      <w:r w:rsidR="00405E3C">
        <w:t xml:space="preserve"> </w:t>
      </w:r>
      <w:r w:rsidR="003E54E0">
        <w:t>In the Phase III</w:t>
      </w:r>
      <w:r w:rsidRPr="001775D6">
        <w:t xml:space="preserve"> trials, the choice of clinical (joints and skin), physical functioning and QOL endpoints, as well as the statistical analysi</w:t>
      </w:r>
      <w:r w:rsidR="008637F0">
        <w:t>s were appropriately performed.</w:t>
      </w:r>
    </w:p>
    <w:p w:rsidR="001775D6" w:rsidRPr="009A5167" w:rsidRDefault="001775D6" w:rsidP="008637F0">
      <w:pPr>
        <w:pStyle w:val="Heading5"/>
      </w:pPr>
      <w:r w:rsidRPr="009A5167">
        <w:t xml:space="preserve">Primary </w:t>
      </w:r>
      <w:r w:rsidRPr="008637F0">
        <w:t>objective</w:t>
      </w:r>
    </w:p>
    <w:p w:rsidR="001775D6" w:rsidRPr="001775D6" w:rsidRDefault="001775D6" w:rsidP="008637F0">
      <w:r w:rsidRPr="001775D6">
        <w:t>The primary objective of the th</w:t>
      </w:r>
      <w:r w:rsidR="004F0D13">
        <w:t>ree studies (PSA-002, PSA-003 and</w:t>
      </w:r>
      <w:r w:rsidRPr="001775D6">
        <w:t xml:space="preserve"> PSA-004) was to assess the effect of </w:t>
      </w:r>
      <w:r w:rsidR="002B6593">
        <w:t>APR</w:t>
      </w:r>
      <w:r w:rsidRPr="001775D6">
        <w:t xml:space="preserve"> on the signs and symptoms of active </w:t>
      </w:r>
      <w:proofErr w:type="spellStart"/>
      <w:r w:rsidR="00852871">
        <w:t>PsA</w:t>
      </w:r>
      <w:proofErr w:type="spellEnd"/>
      <w:r w:rsidRPr="001775D6">
        <w:t xml:space="preserve"> after 16 weeks on-study as assessed by the modified ACR20 response rate. The modification of the assessment tool was the addition of the DIP joints of the toes and carpometacarpal joints to the total joint counts (78 tender joints and 76 swollen joints), consistent with the clinical signs of </w:t>
      </w:r>
      <w:proofErr w:type="spellStart"/>
      <w:r w:rsidRPr="001775D6">
        <w:t>PsA.</w:t>
      </w:r>
      <w:proofErr w:type="spellEnd"/>
    </w:p>
    <w:p w:rsidR="001775D6" w:rsidRPr="001775D6" w:rsidRDefault="001775D6" w:rsidP="008637F0">
      <w:r w:rsidRPr="001775D6">
        <w:t>A protocol am</w:t>
      </w:r>
      <w:r w:rsidR="00AA54CA">
        <w:t>endment prior to database lock and</w:t>
      </w:r>
      <w:r w:rsidRPr="001775D6">
        <w:t xml:space="preserve"> </w:t>
      </w:r>
      <w:proofErr w:type="spellStart"/>
      <w:r w:rsidRPr="001775D6">
        <w:t>unblinding</w:t>
      </w:r>
      <w:proofErr w:type="spellEnd"/>
      <w:r w:rsidRPr="001775D6">
        <w:t xml:space="preserve"> reduced the assessment time-point from 24 weeks to 16 weeks of treatment. Secondary efficacy assessments were: blinded physical functioning indices, health related QOL and clinical disease activity, as assessed at 16, 24 and 52 weeks of treat</w:t>
      </w:r>
      <w:r w:rsidR="00C556B6">
        <w:t>ment follow-up</w:t>
      </w:r>
      <w:r w:rsidRPr="001775D6">
        <w:t>.</w:t>
      </w:r>
    </w:p>
    <w:p w:rsidR="001775D6" w:rsidRPr="009A5167" w:rsidRDefault="00852871" w:rsidP="008637F0">
      <w:pPr>
        <w:pStyle w:val="Heading5"/>
      </w:pPr>
      <w:proofErr w:type="spellStart"/>
      <w:r>
        <w:t>PsA</w:t>
      </w:r>
      <w:proofErr w:type="spellEnd"/>
      <w:r w:rsidR="001775D6">
        <w:t xml:space="preserve"> efficacy r</w:t>
      </w:r>
      <w:r w:rsidR="001775D6" w:rsidRPr="009A5167">
        <w:t>esults</w:t>
      </w:r>
    </w:p>
    <w:p w:rsidR="001775D6" w:rsidRDefault="001775D6" w:rsidP="008637F0">
      <w:r w:rsidRPr="001775D6">
        <w:t xml:space="preserve">The primary objective of the pivotal studies was met. </w:t>
      </w:r>
      <w:r w:rsidR="002B6593">
        <w:t>APR</w:t>
      </w:r>
      <w:r w:rsidRPr="001775D6">
        <w:t xml:space="preserve"> regimens of 20</w:t>
      </w:r>
      <w:r w:rsidR="00385CC5">
        <w:t xml:space="preserve"> </w:t>
      </w:r>
      <w:r w:rsidRPr="001775D6">
        <w:t>mg BD and 30</w:t>
      </w:r>
      <w:r w:rsidR="00385CC5">
        <w:t xml:space="preserve"> </w:t>
      </w:r>
      <w:r w:rsidRPr="001775D6">
        <w:t xml:space="preserve">mg BD each demonstrated a statistically significant increase in the proportion of subjects achieving a modified ACR 20 response at </w:t>
      </w:r>
      <w:r w:rsidR="00385CC5">
        <w:t>W</w:t>
      </w:r>
      <w:r w:rsidRPr="001775D6">
        <w:t xml:space="preserve">eek 16 of treatment as compared to </w:t>
      </w:r>
      <w:r w:rsidR="0011514D">
        <w:t>PBO</w:t>
      </w:r>
      <w:r>
        <w:t xml:space="preserve"> (Table 2</w:t>
      </w:r>
      <w:r w:rsidR="00FA7A24">
        <w:t>3</w:t>
      </w:r>
      <w:r>
        <w:t>).</w:t>
      </w:r>
    </w:p>
    <w:p w:rsidR="001775D6" w:rsidRDefault="001775D6" w:rsidP="008637F0">
      <w:pPr>
        <w:pStyle w:val="TableTitle"/>
      </w:pPr>
      <w:r>
        <w:t>Table 2</w:t>
      </w:r>
      <w:r w:rsidR="00FA7A24">
        <w:t>3</w:t>
      </w:r>
      <w:r>
        <w:t>:</w:t>
      </w:r>
      <w:r w:rsidRPr="004C5C28">
        <w:t xml:space="preserve"> </w:t>
      </w:r>
      <w:r w:rsidR="00B312EB" w:rsidRPr="001775D6">
        <w:t xml:space="preserve">Proportion of Subjects </w:t>
      </w:r>
      <w:r w:rsidR="00B312EB" w:rsidRPr="008637F0">
        <w:t>Achieving</w:t>
      </w:r>
      <w:r w:rsidR="00B312EB" w:rsidRPr="001775D6">
        <w:t xml:space="preserve"> Modified ACR20/50/70 Response at 16 Weeks in Studies PSA-002, PSA-003 and PSA-004</w:t>
      </w:r>
      <w:r>
        <w:t>.</w:t>
      </w:r>
    </w:p>
    <w:p w:rsidR="001775D6" w:rsidRDefault="007A47B6" w:rsidP="008637F0">
      <w:r>
        <w:rPr>
          <w:noProof/>
          <w:lang w:eastAsia="en-AU"/>
        </w:rPr>
        <w:drawing>
          <wp:inline distT="0" distB="0" distL="0" distR="0" wp14:anchorId="4DEED2D5" wp14:editId="5E1B0CAB">
            <wp:extent cx="4661966" cy="4947858"/>
            <wp:effectExtent l="0" t="0" r="5715" b="5715"/>
            <wp:docPr id="34" name="Picture 34" descr="Table 23: Proportion of Subjects Achieving Modified ACR20/50/70 Response at 16 Weeks in Studies PSA-002, PSA-003 and PSA-004." title="Table 23: Proportion of Subjects Achieving Modified ACR20/50/70 Response at 16 Weeks in Studies PSA-002, PSA-003 and PS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64876" cy="4950946"/>
                    </a:xfrm>
                    <a:prstGeom prst="rect">
                      <a:avLst/>
                    </a:prstGeom>
                  </pic:spPr>
                </pic:pic>
              </a:graphicData>
            </a:graphic>
          </wp:inline>
        </w:drawing>
      </w:r>
    </w:p>
    <w:p w:rsidR="007A47B6" w:rsidRPr="001775D6" w:rsidRDefault="007A47B6" w:rsidP="008637F0">
      <w:r>
        <w:rPr>
          <w:noProof/>
          <w:lang w:eastAsia="en-AU"/>
        </w:rPr>
        <w:drawing>
          <wp:inline distT="0" distB="0" distL="0" distR="0" wp14:anchorId="4EC1ED69" wp14:editId="00BDC790">
            <wp:extent cx="4661758" cy="1732720"/>
            <wp:effectExtent l="0" t="0" r="5715" b="1270"/>
            <wp:docPr id="35" name="Picture 35" descr="Table 23: Table description" title="Tabl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59849" cy="1732010"/>
                    </a:xfrm>
                    <a:prstGeom prst="rect">
                      <a:avLst/>
                    </a:prstGeom>
                  </pic:spPr>
                </pic:pic>
              </a:graphicData>
            </a:graphic>
          </wp:inline>
        </w:drawing>
      </w:r>
    </w:p>
    <w:p w:rsidR="0093189C" w:rsidRPr="0093189C" w:rsidRDefault="0093189C" w:rsidP="008637F0">
      <w:r w:rsidRPr="0093189C">
        <w:t>Results for the proportion achieving an ACR50 with 30</w:t>
      </w:r>
      <w:r w:rsidR="000E404F">
        <w:t xml:space="preserve"> </w:t>
      </w:r>
      <w:r w:rsidRPr="0093189C">
        <w:t xml:space="preserve">mg BD </w:t>
      </w:r>
      <w:r w:rsidR="002B6593">
        <w:t>APR</w:t>
      </w:r>
      <w:r w:rsidRPr="0093189C">
        <w:t xml:space="preserve"> was statistically significantly greater in </w:t>
      </w:r>
      <w:r w:rsidR="000E404F">
        <w:t>S</w:t>
      </w:r>
      <w:r w:rsidRPr="0093189C">
        <w:t xml:space="preserve">tudies PSA-002 and PSA-004, but not in PSA-003. The proportion achieving an ACR70 response was statistically significantly higher for the 30mg BD group in </w:t>
      </w:r>
      <w:r w:rsidR="000E404F">
        <w:t>S</w:t>
      </w:r>
      <w:r w:rsidRPr="0093189C">
        <w:t>tudy PSA-</w:t>
      </w:r>
      <w:r w:rsidR="000E404F">
        <w:t>002 only. In the pivotal Phase III</w:t>
      </w:r>
      <w:r w:rsidRPr="0093189C">
        <w:t xml:space="preserve"> studies, clinical response was maintained for up to 52 weeks of treatment but observations taken after 24 weeks were not </w:t>
      </w:r>
      <w:r w:rsidR="0011514D">
        <w:t>PBO</w:t>
      </w:r>
      <w:r w:rsidR="008637F0">
        <w:t xml:space="preserve"> controlled.</w:t>
      </w:r>
    </w:p>
    <w:p w:rsidR="0093189C" w:rsidRPr="0093189C" w:rsidRDefault="0093189C" w:rsidP="008637F0">
      <w:r w:rsidRPr="0093189C">
        <w:t>The Delegate concurs with the evaluator statement “efficacy results generally supported a greater numerical advantage for the APR 30</w:t>
      </w:r>
      <w:r w:rsidR="005D3BAA">
        <w:t xml:space="preserve"> </w:t>
      </w:r>
      <w:r w:rsidRPr="0093189C">
        <w:t>mg twice daily regimen compared to the APR 20</w:t>
      </w:r>
      <w:r w:rsidR="005D3BAA">
        <w:t xml:space="preserve"> </w:t>
      </w:r>
      <w:r w:rsidRPr="0093189C">
        <w:t>mg twice daily posology, but there were limited statistically significant analyses to support the conclusion that APR 30mg twice daily was superior to APR 20</w:t>
      </w:r>
      <w:r w:rsidR="005D3BAA">
        <w:t xml:space="preserve"> </w:t>
      </w:r>
      <w:r w:rsidRPr="0093189C">
        <w:t>mg twice daily”. Although the primary outcome of the efficacy studies was the ACR20 response, some trial entrants were also seen to have responses fulfilling the criteria for ACR50 and ACR70.</w:t>
      </w:r>
    </w:p>
    <w:p w:rsidR="0093189C" w:rsidRPr="0093189C" w:rsidRDefault="0093189C" w:rsidP="008637F0">
      <w:r w:rsidRPr="0093189C">
        <w:t xml:space="preserve">The efficacy outcomes do not suggest a synergistic effect between </w:t>
      </w:r>
      <w:r w:rsidR="002B6593">
        <w:t>APR</w:t>
      </w:r>
      <w:r w:rsidRPr="0093189C">
        <w:t xml:space="preserve"> and existing sys</w:t>
      </w:r>
      <w:r w:rsidR="005D3BAA">
        <w:t xml:space="preserve">temic therapies, including anti </w:t>
      </w:r>
      <w:r w:rsidRPr="0093189C">
        <w:t xml:space="preserve">TNF agents. DMARD naïve subjects achieved a similar modified ACR20 response at 16 weeks as compared to those previously/concurrently receiving DMARD, reflecting the novel mechanism of action of </w:t>
      </w:r>
      <w:r w:rsidR="002B6593">
        <w:t>APR</w:t>
      </w:r>
      <w:r w:rsidRPr="0093189C">
        <w:t>.</w:t>
      </w:r>
    </w:p>
    <w:p w:rsidR="0093189C" w:rsidRPr="0093189C" w:rsidRDefault="002B6593" w:rsidP="008637F0">
      <w:r>
        <w:t>APR</w:t>
      </w:r>
      <w:r w:rsidR="0093189C" w:rsidRPr="0093189C">
        <w:t xml:space="preserve"> was also associated with an improvement in the HAQ-DI score from bas</w:t>
      </w:r>
      <w:r w:rsidR="00D07EBF">
        <w:t>eline, and the majority of pair</w:t>
      </w:r>
      <w:r w:rsidR="0093189C" w:rsidRPr="0093189C">
        <w:t>wise comparisons between APR and PBO re</w:t>
      </w:r>
      <w:r w:rsidR="0093189C">
        <w:t>ached statistical significance (Table 2</w:t>
      </w:r>
      <w:r w:rsidR="00FA7A24">
        <w:t>4</w:t>
      </w:r>
      <w:r w:rsidR="0093189C">
        <w:t>).</w:t>
      </w:r>
    </w:p>
    <w:p w:rsidR="0093189C" w:rsidRDefault="0093189C" w:rsidP="008637F0">
      <w:pPr>
        <w:pStyle w:val="TableTitle"/>
      </w:pPr>
      <w:r>
        <w:t>Table 2</w:t>
      </w:r>
      <w:r w:rsidR="00FA7A24">
        <w:t>4</w:t>
      </w:r>
      <w:r>
        <w:t>:</w:t>
      </w:r>
      <w:r w:rsidRPr="004C5C28">
        <w:t xml:space="preserve"> </w:t>
      </w:r>
      <w:r w:rsidRPr="0093189C">
        <w:t xml:space="preserve">Table </w:t>
      </w:r>
      <w:r w:rsidRPr="008637F0">
        <w:t>Changes</w:t>
      </w:r>
      <w:r w:rsidRPr="0093189C">
        <w:t xml:space="preserve"> from Baseline in HAQ-DI Score at 16 Weeks in Studies PSA-002, PSA-003 and PSA-004</w:t>
      </w:r>
      <w:r>
        <w:t>.</w:t>
      </w:r>
    </w:p>
    <w:p w:rsidR="00BD5E87" w:rsidRDefault="00C012CF" w:rsidP="008637F0">
      <w:r>
        <w:rPr>
          <w:noProof/>
          <w:lang w:eastAsia="en-AU"/>
        </w:rPr>
        <w:drawing>
          <wp:inline distT="0" distB="0" distL="0" distR="0" wp14:anchorId="0B9DA0CE" wp14:editId="392EA8DF">
            <wp:extent cx="5400040" cy="1328087"/>
            <wp:effectExtent l="0" t="0" r="0" b="5715"/>
            <wp:docPr id="36" name="Picture 36" descr="Table 24: Table Changes from Baseline in HAQ-DI Score at 16 Weeks in Studies PSA-002, PSA-003 and PSA-004." title="Table 24: Table Changes from Baseline in HAQ-DI Score at 16 Weeks in Studies PSA-002, PSA-003 and PS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1328087"/>
                    </a:xfrm>
                    <a:prstGeom prst="rect">
                      <a:avLst/>
                    </a:prstGeom>
                  </pic:spPr>
                </pic:pic>
              </a:graphicData>
            </a:graphic>
          </wp:inline>
        </w:drawing>
      </w:r>
    </w:p>
    <w:p w:rsidR="00654DE7" w:rsidRPr="00654DE7" w:rsidRDefault="00654DE7" w:rsidP="008637F0">
      <w:r w:rsidRPr="00654DE7">
        <w:t>Secondary efficacy measures examinin</w:t>
      </w:r>
      <w:r w:rsidR="0080321A">
        <w:t xml:space="preserve">g other clinical outcomes (for example, </w:t>
      </w:r>
      <w:proofErr w:type="spellStart"/>
      <w:r w:rsidRPr="00654DE7">
        <w:t>PsARC</w:t>
      </w:r>
      <w:proofErr w:type="spellEnd"/>
      <w:r w:rsidRPr="00654DE7">
        <w:t xml:space="preserve"> response; as well as</w:t>
      </w:r>
      <w:r w:rsidR="003E5C3A">
        <w:t xml:space="preserve"> PASI</w:t>
      </w:r>
      <w:r w:rsidRPr="00654DE7">
        <w:t xml:space="preserve"> response in Study PSA-004) and health related QOL endpoints</w:t>
      </w:r>
      <w:r w:rsidR="0041100A">
        <w:t>. Ph</w:t>
      </w:r>
      <w:r w:rsidRPr="00654DE7">
        <w:t>ysical function domain scores of SF-36 and mean change f</w:t>
      </w:r>
      <w:r w:rsidR="0041100A">
        <w:t xml:space="preserve">rom baseline in FACIT-F score </w:t>
      </w:r>
      <w:r w:rsidRPr="00654DE7">
        <w:t xml:space="preserve">also demonstrated improvements with </w:t>
      </w:r>
      <w:r w:rsidR="002B6593">
        <w:t>APR</w:t>
      </w:r>
      <w:r w:rsidRPr="00654DE7">
        <w:t>.</w:t>
      </w:r>
    </w:p>
    <w:p w:rsidR="00654DE7" w:rsidRPr="00654DE7" w:rsidRDefault="00654DE7" w:rsidP="008637F0">
      <w:r w:rsidRPr="00654DE7">
        <w:t xml:space="preserve">In the studies in </w:t>
      </w:r>
      <w:proofErr w:type="spellStart"/>
      <w:r w:rsidRPr="00654DE7">
        <w:t>PsA</w:t>
      </w:r>
      <w:proofErr w:type="spellEnd"/>
      <w:r w:rsidRPr="00654DE7">
        <w:t>, the evaluator states as an overall conclus</w:t>
      </w:r>
      <w:r w:rsidR="00FC6452">
        <w:t>ion that “in most of the Phase III</w:t>
      </w:r>
      <w:r w:rsidRPr="00654DE7">
        <w:t xml:space="preserve"> studies APR 30</w:t>
      </w:r>
      <w:r w:rsidR="00442E61">
        <w:t xml:space="preserve"> </w:t>
      </w:r>
      <w:r w:rsidRPr="00654DE7">
        <w:t xml:space="preserve">mg twice daily produced numerically greater improvements in </w:t>
      </w:r>
      <w:proofErr w:type="spellStart"/>
      <w:r w:rsidRPr="00654DE7">
        <w:t>enthesitis</w:t>
      </w:r>
      <w:proofErr w:type="spellEnd"/>
      <w:r w:rsidRPr="00654DE7">
        <w:t xml:space="preserve"> and </w:t>
      </w:r>
      <w:proofErr w:type="spellStart"/>
      <w:r w:rsidRPr="00654DE7">
        <w:t>dactylitis</w:t>
      </w:r>
      <w:proofErr w:type="spellEnd"/>
      <w:r w:rsidRPr="00654DE7">
        <w:t xml:space="preserve"> scores, but often the difference did not achieve statistical superiority compared with </w:t>
      </w:r>
      <w:r w:rsidR="0011514D">
        <w:t>PBO</w:t>
      </w:r>
      <w:r w:rsidR="008637F0">
        <w:t>”.</w:t>
      </w:r>
    </w:p>
    <w:p w:rsidR="00654DE7" w:rsidRPr="00654DE7" w:rsidRDefault="00654DE7" w:rsidP="008637F0">
      <w:r w:rsidRPr="00654DE7">
        <w:t xml:space="preserve">The supporting Study PSA-001 assessed the ACR20 response at 12 weeks and supported the observation that </w:t>
      </w:r>
      <w:r w:rsidR="002B6593">
        <w:t>APR</w:t>
      </w:r>
      <w:r w:rsidRPr="00654DE7">
        <w:t xml:space="preserve"> (at either 20</w:t>
      </w:r>
      <w:r w:rsidR="00483FC2">
        <w:t xml:space="preserve"> </w:t>
      </w:r>
      <w:r w:rsidRPr="00654DE7">
        <w:t>mg twice daily or 40</w:t>
      </w:r>
      <w:r w:rsidR="00483FC2">
        <w:t xml:space="preserve"> </w:t>
      </w:r>
      <w:r w:rsidRPr="00654DE7">
        <w:t>mg once daily) results in clinically meaningful improvements in joint disease activity.</w:t>
      </w:r>
      <w:r w:rsidR="002B6593">
        <w:t xml:space="preserve"> </w:t>
      </w:r>
      <w:r w:rsidRPr="00654DE7">
        <w:t xml:space="preserve">Both </w:t>
      </w:r>
      <w:r w:rsidR="002B6593">
        <w:t>APR</w:t>
      </w:r>
      <w:r w:rsidRPr="00654DE7">
        <w:t xml:space="preserve"> treatment arms had a significantly greater proportion of subjects achieving an ACR20 response: 35.8% (24/67) of subjects in APR 40</w:t>
      </w:r>
      <w:r w:rsidR="00C36910">
        <w:t xml:space="preserve"> </w:t>
      </w:r>
      <w:r w:rsidRPr="00654DE7">
        <w:t>mg once daily group and 43.5% (30/69) of subjects in the APR 20</w:t>
      </w:r>
      <w:r w:rsidR="00C36910">
        <w:t xml:space="preserve"> </w:t>
      </w:r>
      <w:r w:rsidRPr="00654DE7">
        <w:t>mg twice daily arm compared to 11.8% (8/68) of patients in the PBO group (p</w:t>
      </w:r>
      <w:r w:rsidR="00C36910">
        <w:t xml:space="preserve"> </w:t>
      </w:r>
      <w:r w:rsidRPr="00654DE7">
        <w:t>=</w:t>
      </w:r>
      <w:r w:rsidR="00C36910">
        <w:t xml:space="preserve"> </w:t>
      </w:r>
      <w:r w:rsidRPr="00654DE7">
        <w:t>0.002 and p</w:t>
      </w:r>
      <w:r w:rsidR="00C36910">
        <w:t xml:space="preserve"> </w:t>
      </w:r>
      <w:r w:rsidR="008637F0">
        <w:t>&lt;0.001, respectively).</w:t>
      </w:r>
    </w:p>
    <w:p w:rsidR="00654DE7" w:rsidRPr="00654DE7" w:rsidRDefault="00654DE7" w:rsidP="008637F0">
      <w:pPr>
        <w:pStyle w:val="Heading5"/>
      </w:pPr>
      <w:r w:rsidRPr="00654DE7">
        <w:t xml:space="preserve">Efficacy </w:t>
      </w:r>
      <w:r w:rsidRPr="008637F0">
        <w:t>in</w:t>
      </w:r>
      <w:r w:rsidRPr="00654DE7">
        <w:t xml:space="preserve"> </w:t>
      </w:r>
      <w:r w:rsidR="00204432">
        <w:t>PSOR</w:t>
      </w:r>
    </w:p>
    <w:p w:rsidR="00654DE7" w:rsidRPr="00654DE7" w:rsidRDefault="00654DE7" w:rsidP="008637F0">
      <w:r w:rsidRPr="00654DE7">
        <w:t xml:space="preserve">The following efficacy studies were presented for evaluation for the </w:t>
      </w:r>
      <w:r w:rsidR="00C33142">
        <w:t>PSOR</w:t>
      </w:r>
      <w:r w:rsidRPr="00654DE7">
        <w:t xml:space="preserve"> indication</w:t>
      </w:r>
      <w:r w:rsidR="005F536B">
        <w:t xml:space="preserve"> (T</w:t>
      </w:r>
      <w:r>
        <w:t>able 2</w:t>
      </w:r>
      <w:r w:rsidR="00FA7A24">
        <w:t>5</w:t>
      </w:r>
      <w:r w:rsidR="005F536B">
        <w:t>)</w:t>
      </w:r>
      <w:r>
        <w:t>.</w:t>
      </w:r>
    </w:p>
    <w:p w:rsidR="00654DE7" w:rsidRDefault="00654DE7" w:rsidP="008637F0">
      <w:pPr>
        <w:pStyle w:val="TableTitle"/>
      </w:pPr>
      <w:r>
        <w:t>Table 2</w:t>
      </w:r>
      <w:r w:rsidR="00FA7A24">
        <w:t>5</w:t>
      </w:r>
      <w:r>
        <w:t>:</w:t>
      </w:r>
      <w:r w:rsidRPr="004C5C28">
        <w:t xml:space="preserve"> </w:t>
      </w:r>
      <w:r w:rsidR="008F1180" w:rsidRPr="008F1180">
        <w:t xml:space="preserve">Studies submitted for efficacy in </w:t>
      </w:r>
      <w:r w:rsidR="00C33142">
        <w:t>PSOR</w:t>
      </w:r>
      <w:r w:rsidR="008F1180" w:rsidRPr="008F1180">
        <w:t xml:space="preserve"> indication</w:t>
      </w:r>
      <w:r>
        <w:t>.</w:t>
      </w:r>
    </w:p>
    <w:p w:rsidR="00C012CF" w:rsidRDefault="00617116" w:rsidP="008637F0">
      <w:r>
        <w:rPr>
          <w:noProof/>
          <w:lang w:eastAsia="en-AU"/>
        </w:rPr>
        <w:drawing>
          <wp:inline distT="0" distB="0" distL="0" distR="0" wp14:anchorId="4E115488" wp14:editId="09E4BBA7">
            <wp:extent cx="4706164" cy="5065663"/>
            <wp:effectExtent l="0" t="0" r="0" b="1905"/>
            <wp:docPr id="37" name="Picture 37" descr="Table 25: Studies submitted for efficacy in PSOR indication." title="Table 25: Studies submitted for efficacy in PSOR in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06791" cy="5066338"/>
                    </a:xfrm>
                    <a:prstGeom prst="rect">
                      <a:avLst/>
                    </a:prstGeom>
                  </pic:spPr>
                </pic:pic>
              </a:graphicData>
            </a:graphic>
          </wp:inline>
        </w:drawing>
      </w:r>
    </w:p>
    <w:p w:rsidR="00E52F36" w:rsidRPr="00617116" w:rsidRDefault="00E52F36" w:rsidP="008637F0">
      <w:r w:rsidRPr="00617116">
        <w:t xml:space="preserve">The efficacy of </w:t>
      </w:r>
      <w:r>
        <w:t>APR</w:t>
      </w:r>
      <w:r w:rsidRPr="00617116">
        <w:t xml:space="preserve"> in the treatment of </w:t>
      </w:r>
      <w:r>
        <w:t>PSOR</w:t>
      </w:r>
      <w:r w:rsidRPr="00617116">
        <w:t xml:space="preserve"> was </w:t>
      </w:r>
      <w:r>
        <w:t>determined</w:t>
      </w:r>
      <w:r w:rsidRPr="00617116">
        <w:t xml:space="preserve"> from the t</w:t>
      </w:r>
      <w:r>
        <w:t>wo international pivotal Phase III</w:t>
      </w:r>
      <w:r w:rsidRPr="00617116">
        <w:t xml:space="preserve"> studies, with supportive efficacy from the </w:t>
      </w:r>
      <w:r>
        <w:t>Phase I and II</w:t>
      </w:r>
      <w:r w:rsidRPr="00617116">
        <w:t xml:space="preserve"> efficacy studies.</w:t>
      </w:r>
    </w:p>
    <w:p w:rsidR="00617116" w:rsidRPr="00617116" w:rsidRDefault="00E52F36" w:rsidP="00E52F36">
      <w:r w:rsidRPr="00617116">
        <w:t>The pivotal studies recruited subjects with an ap</w:t>
      </w:r>
      <w:r>
        <w:t xml:space="preserve">propriate severity of disease – </w:t>
      </w:r>
      <w:r w:rsidRPr="00617116">
        <w:t xml:space="preserve">requiring systemic therapy or phototherapy </w:t>
      </w:r>
      <w:r>
        <w:t>–</w:t>
      </w:r>
      <w:r w:rsidRPr="00617116">
        <w:t xml:space="preserve"> consistent with the proposed indication, and they had to have ceased topical treatment two week</w:t>
      </w:r>
      <w:r>
        <w:t>s</w:t>
      </w:r>
      <w:r w:rsidRPr="00617116">
        <w:t xml:space="preserve"> prior to study entry. Both pivotal studies had an initial treatment phase, maintenance phase, a randomised withdrawal phase, </w:t>
      </w:r>
      <w:r>
        <w:t>and</w:t>
      </w:r>
      <w:r w:rsidRPr="00617116">
        <w:t xml:space="preserve"> a long</w:t>
      </w:r>
      <w:r>
        <w:t xml:space="preserve"> </w:t>
      </w:r>
      <w:r w:rsidRPr="00617116">
        <w:t>term safety extension.</w:t>
      </w:r>
      <w:r>
        <w:t xml:space="preserve"> </w:t>
      </w:r>
      <w:r w:rsidRPr="00617116">
        <w:t xml:space="preserve">Subjects were randomised in a 2:1 ratio to </w:t>
      </w:r>
      <w:r>
        <w:t>APR</w:t>
      </w:r>
      <w:r w:rsidRPr="00617116">
        <w:t xml:space="preserve"> and </w:t>
      </w:r>
      <w:r>
        <w:t>PBO,</w:t>
      </w:r>
      <w:r w:rsidRPr="00617116">
        <w:t xml:space="preserve"> respectively</w:t>
      </w:r>
      <w:r w:rsidR="00617116" w:rsidRPr="00617116">
        <w:t>.</w:t>
      </w:r>
    </w:p>
    <w:p w:rsidR="00617116" w:rsidRPr="00617116" w:rsidRDefault="00617116" w:rsidP="008637F0">
      <w:r w:rsidRPr="00617116">
        <w:t>Subjects with a</w:t>
      </w:r>
      <w:r w:rsidR="006B6C66">
        <w:t xml:space="preserve">ctive or incompletely treated </w:t>
      </w:r>
      <w:r w:rsidR="006B6C66" w:rsidRPr="006B6C66">
        <w:t>tuberculosis</w:t>
      </w:r>
      <w:r w:rsidRPr="00617116">
        <w:t>, or with previous malignancy (excepting basal or squamous cell skin cancers</w:t>
      </w:r>
      <w:r w:rsidR="00075B39">
        <w:t xml:space="preserve"> or cervical carcinoma in situ), </w:t>
      </w:r>
      <w:r w:rsidRPr="00617116">
        <w:t>were precluded from study entry.</w:t>
      </w:r>
    </w:p>
    <w:p w:rsidR="00617116" w:rsidRPr="00617116" w:rsidRDefault="00617116" w:rsidP="008637F0">
      <w:r w:rsidRPr="00617116">
        <w:t xml:space="preserve">Overall, the proportion of subjects who discontinued </w:t>
      </w:r>
      <w:r w:rsidR="00620277">
        <w:t>Studies 008 and</w:t>
      </w:r>
      <w:r w:rsidRPr="00617116">
        <w:t xml:space="preserve"> 009 during the randomised period of 1 year was higher in the </w:t>
      </w:r>
      <w:r w:rsidR="002B6593">
        <w:t>APR</w:t>
      </w:r>
      <w:r w:rsidR="00620277">
        <w:t xml:space="preserve"> arm (41.3% and</w:t>
      </w:r>
      <w:r w:rsidRPr="00617116">
        <w:t xml:space="preserve"> 46.4% respectively) as compared the </w:t>
      </w:r>
      <w:r w:rsidR="0011514D">
        <w:t>PBO</w:t>
      </w:r>
      <w:r w:rsidR="00620277">
        <w:t xml:space="preserve"> arm (39.4% and</w:t>
      </w:r>
      <w:r w:rsidR="00486BA2">
        <w:t xml:space="preserve"> 39.1%, </w:t>
      </w:r>
      <w:r w:rsidRPr="00617116">
        <w:t>respectively).</w:t>
      </w:r>
    </w:p>
    <w:p w:rsidR="00617116" w:rsidRPr="00617116" w:rsidRDefault="00617116" w:rsidP="008637F0">
      <w:r w:rsidRPr="00617116">
        <w:t xml:space="preserve">Discontinuations were more commonly due to </w:t>
      </w:r>
      <w:r w:rsidR="00586752">
        <w:t>AE</w:t>
      </w:r>
      <w:r w:rsidRPr="00617116">
        <w:t xml:space="preserve"> in the </w:t>
      </w:r>
      <w:r w:rsidR="002B6593">
        <w:t>APR</w:t>
      </w:r>
      <w:r w:rsidRPr="00617116">
        <w:t xml:space="preserve"> arm and lack of efficacy in the </w:t>
      </w:r>
      <w:r w:rsidR="0011514D">
        <w:t>PBO</w:t>
      </w:r>
      <w:r w:rsidRPr="00617116">
        <w:t xml:space="preserve"> arm.</w:t>
      </w:r>
    </w:p>
    <w:p w:rsidR="00617116" w:rsidRPr="00617116" w:rsidRDefault="00617116" w:rsidP="008637F0">
      <w:r w:rsidRPr="00617116">
        <w:t xml:space="preserve">The primary outcome of </w:t>
      </w:r>
      <w:r w:rsidR="00B4141C">
        <w:t>S</w:t>
      </w:r>
      <w:r w:rsidRPr="00617116">
        <w:t xml:space="preserve">tudies PSOR-008 and PSOR-009 was the proportion of subjects treated with APR or PBO who achieved a PASI 75 response at </w:t>
      </w:r>
      <w:r w:rsidR="00B4141C">
        <w:t>W</w:t>
      </w:r>
      <w:r w:rsidRPr="00617116">
        <w:t xml:space="preserve">eek 16. In the assessment of efficacy, missing values at the </w:t>
      </w:r>
      <w:r w:rsidR="00586752">
        <w:t>W</w:t>
      </w:r>
      <w:r w:rsidRPr="00617116">
        <w:t>eek 16 primary assessment point were imputed using the last observation carried forward.</w:t>
      </w:r>
    </w:p>
    <w:p w:rsidR="00617116" w:rsidRPr="00617116" w:rsidRDefault="00617116" w:rsidP="008637F0">
      <w:r w:rsidRPr="00617116">
        <w:t xml:space="preserve">Subjects achieving a response at </w:t>
      </w:r>
      <w:r w:rsidR="005B78D7">
        <w:t>W</w:t>
      </w:r>
      <w:r w:rsidRPr="00617116">
        <w:t xml:space="preserve">eek 16 were randomised to </w:t>
      </w:r>
      <w:r w:rsidR="0011514D">
        <w:t>PBO</w:t>
      </w:r>
      <w:r w:rsidRPr="00617116">
        <w:t xml:space="preserve"> or 30</w:t>
      </w:r>
      <w:r w:rsidR="005B78D7">
        <w:t xml:space="preserve"> </w:t>
      </w:r>
      <w:r w:rsidRPr="00617116">
        <w:t xml:space="preserve">mg twice daily to assess the effect of treatment withdrawal. The threshold for treatment response, and re-randomisation to the withdrawal phase, was different for the two pivotal studies namely a 75% and 50% reduction in the </w:t>
      </w:r>
      <w:r w:rsidR="00C33142">
        <w:t>PSOR</w:t>
      </w:r>
      <w:r w:rsidR="005B78D7">
        <w:t xml:space="preserve"> area and</w:t>
      </w:r>
      <w:r w:rsidRPr="00617116">
        <w:t xml:space="preserve"> severity score for the 00</w:t>
      </w:r>
      <w:r w:rsidR="008637F0">
        <w:t>8 and 009 studies respectively.</w:t>
      </w:r>
    </w:p>
    <w:p w:rsidR="00617116" w:rsidRPr="00AC61E7" w:rsidRDefault="00C33142" w:rsidP="00BD1477">
      <w:pPr>
        <w:pStyle w:val="Heading5"/>
      </w:pPr>
      <w:r>
        <w:t>PSOR</w:t>
      </w:r>
      <w:r w:rsidR="00617116" w:rsidRPr="00AC61E7">
        <w:t xml:space="preserve"> </w:t>
      </w:r>
      <w:r w:rsidR="00617116" w:rsidRPr="00BD1477">
        <w:t>efficacy</w:t>
      </w:r>
      <w:r w:rsidR="00617116" w:rsidRPr="00AC61E7">
        <w:t xml:space="preserve"> results</w:t>
      </w:r>
    </w:p>
    <w:p w:rsidR="00617116" w:rsidRDefault="00617116" w:rsidP="00BD1477">
      <w:r>
        <w:t>The primary outcome of both pivotal studies was met, demonstrating a higher proportion of subjects achieving a PASI75 response from 30</w:t>
      </w:r>
      <w:r w:rsidR="006657AC">
        <w:t xml:space="preserve"> </w:t>
      </w:r>
      <w:r>
        <w:t xml:space="preserve">mg BD </w:t>
      </w:r>
      <w:r w:rsidR="002B6593">
        <w:t>APR</w:t>
      </w:r>
      <w:r>
        <w:t xml:space="preserve"> as compared to </w:t>
      </w:r>
      <w:r w:rsidR="0011514D">
        <w:t>PBO</w:t>
      </w:r>
      <w:r>
        <w:t xml:space="preserve"> (Table 2</w:t>
      </w:r>
      <w:r w:rsidR="00FA7A24">
        <w:t>6</w:t>
      </w:r>
      <w:r>
        <w:t>).</w:t>
      </w:r>
    </w:p>
    <w:p w:rsidR="00617116" w:rsidRDefault="00617116" w:rsidP="00BD1477">
      <w:pPr>
        <w:pStyle w:val="TableTitle"/>
      </w:pPr>
      <w:proofErr w:type="gramStart"/>
      <w:r>
        <w:t xml:space="preserve">Table </w:t>
      </w:r>
      <w:r w:rsidRPr="00BD1477">
        <w:t>2</w:t>
      </w:r>
      <w:r w:rsidR="00FA7A24" w:rsidRPr="00BD1477">
        <w:t>6</w:t>
      </w:r>
      <w:r>
        <w:t>:</w:t>
      </w:r>
      <w:r w:rsidRPr="004C5C28">
        <w:t xml:space="preserve"> </w:t>
      </w:r>
      <w:r w:rsidR="007359E6" w:rsidRPr="007359E6">
        <w:t>PASI75 response at Week 16 of treatment</w:t>
      </w:r>
      <w:r>
        <w:t>.</w:t>
      </w:r>
      <w:proofErr w:type="gramEnd"/>
    </w:p>
    <w:p w:rsidR="008F1180" w:rsidRDefault="00441703" w:rsidP="00BD1477">
      <w:r>
        <w:rPr>
          <w:noProof/>
          <w:lang w:eastAsia="en-AU"/>
        </w:rPr>
        <w:drawing>
          <wp:inline distT="0" distB="0" distL="0" distR="0" wp14:anchorId="26FFABC5" wp14:editId="396D5D96">
            <wp:extent cx="5400040" cy="860199"/>
            <wp:effectExtent l="0" t="0" r="0" b="0"/>
            <wp:docPr id="38" name="Picture 38" descr="Table 26: PASI75 response at Week 16 of treatment." title="Table 26: PASI75 response at Week 16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40" cy="860199"/>
                    </a:xfrm>
                    <a:prstGeom prst="rect">
                      <a:avLst/>
                    </a:prstGeom>
                  </pic:spPr>
                </pic:pic>
              </a:graphicData>
            </a:graphic>
          </wp:inline>
        </w:drawing>
      </w:r>
    </w:p>
    <w:p w:rsidR="009F2083" w:rsidRPr="009F2083" w:rsidRDefault="009F2083" w:rsidP="00BD1477">
      <w:r w:rsidRPr="009F2083">
        <w:t>In both pivotal studies, sub-group analyses did not establish any factors which were associated with a difference in treatment effect.</w:t>
      </w:r>
    </w:p>
    <w:p w:rsidR="009F2083" w:rsidRPr="009F2083" w:rsidRDefault="009F2083" w:rsidP="00BD1477">
      <w:r w:rsidRPr="009F2083">
        <w:t xml:space="preserve">Secondary efficacy assessments obtained in both studies were consistent with the primary outcome, in demonstrating a benefit to </w:t>
      </w:r>
      <w:r w:rsidR="002B6593">
        <w:t>APR</w:t>
      </w:r>
      <w:r w:rsidRPr="009F2083">
        <w:t xml:space="preserve"> over </w:t>
      </w:r>
      <w:r w:rsidR="0011514D">
        <w:t>PBO</w:t>
      </w:r>
      <w:r w:rsidRPr="009F2083">
        <w:t>.</w:t>
      </w:r>
    </w:p>
    <w:p w:rsidR="009F2083" w:rsidRDefault="009F2083" w:rsidP="00BD1477">
      <w:pPr>
        <w:pStyle w:val="Heading4"/>
      </w:pPr>
      <w:r w:rsidRPr="00BD1477">
        <w:t>Safety</w:t>
      </w:r>
    </w:p>
    <w:p w:rsidR="009F2083" w:rsidRPr="00EA07F1" w:rsidRDefault="009F2083" w:rsidP="00BD1477">
      <w:r w:rsidRPr="00EA07F1">
        <w:t xml:space="preserve">Safety data was reported for the 4089 subjects who have received at least one dose of </w:t>
      </w:r>
      <w:r w:rsidR="002B6593">
        <w:t>APR</w:t>
      </w:r>
      <w:r w:rsidRPr="00EA07F1">
        <w:t>, with 2357 of those having received at least one dose at that proposed of 30</w:t>
      </w:r>
      <w:r w:rsidR="006660C8">
        <w:t xml:space="preserve"> </w:t>
      </w:r>
      <w:r w:rsidRPr="00EA07F1">
        <w:t>mg BD. Overall, 3049 (74.6%) received at least 24 weeks on-treatment, with 1930 having received the proposed dose of 30</w:t>
      </w:r>
      <w:r w:rsidR="006660C8">
        <w:t xml:space="preserve"> </w:t>
      </w:r>
      <w:r w:rsidRPr="00EA07F1">
        <w:t>mg BD for that duration.</w:t>
      </w:r>
    </w:p>
    <w:p w:rsidR="009F2083" w:rsidRPr="00EA07F1" w:rsidRDefault="009F2083" w:rsidP="00BD1477">
      <w:r w:rsidRPr="00EA07F1">
        <w:t xml:space="preserve">The safety populations for </w:t>
      </w:r>
      <w:proofErr w:type="spellStart"/>
      <w:r w:rsidRPr="00EA07F1">
        <w:t>PsA</w:t>
      </w:r>
      <w:proofErr w:type="spellEnd"/>
      <w:r w:rsidRPr="00EA07F1">
        <w:t xml:space="preserve"> and PSOR have been reported separately, and with regard to the </w:t>
      </w:r>
      <w:r w:rsidR="0011514D">
        <w:t>PBO</w:t>
      </w:r>
      <w:r w:rsidR="00A51755">
        <w:t xml:space="preserve"> </w:t>
      </w:r>
      <w:r w:rsidRPr="00EA07F1">
        <w:t>controlled phase for each indication.</w:t>
      </w:r>
    </w:p>
    <w:p w:rsidR="009F2083" w:rsidRPr="00EA07F1" w:rsidRDefault="00A51755" w:rsidP="00BD1477">
      <w:r>
        <w:t>TEAEs</w:t>
      </w:r>
      <w:r w:rsidR="009F2083" w:rsidRPr="00EA07F1">
        <w:t xml:space="preserve"> occurred more commonly according to standardised treatment</w:t>
      </w:r>
      <w:r>
        <w:t xml:space="preserve"> </w:t>
      </w:r>
      <w:r w:rsidR="009F2083" w:rsidRPr="00EA07F1">
        <w:t>exposure duration.</w:t>
      </w:r>
    </w:p>
    <w:p w:rsidR="009F2083" w:rsidRPr="00EA07F1" w:rsidRDefault="009F2083" w:rsidP="00BD1477">
      <w:r w:rsidRPr="00EA07F1">
        <w:t xml:space="preserve">A similar pattern of adverse events were reported for both indications, with diarrhoea, nausea, headache, upper respiratory tract infection, </w:t>
      </w:r>
      <w:proofErr w:type="spellStart"/>
      <w:r w:rsidRPr="00EA07F1">
        <w:t>nasopharyngitis</w:t>
      </w:r>
      <w:proofErr w:type="spellEnd"/>
      <w:r w:rsidRPr="00EA07F1">
        <w:t xml:space="preserve"> and dyspepsia being the most common in both groups. Hypertension was reported for the </w:t>
      </w:r>
      <w:proofErr w:type="spellStart"/>
      <w:r w:rsidRPr="00EA07F1">
        <w:t>PsA</w:t>
      </w:r>
      <w:proofErr w:type="spellEnd"/>
      <w:r w:rsidRPr="00EA07F1">
        <w:t xml:space="preserve"> subjects; however, the incidence was similar in the </w:t>
      </w:r>
      <w:r w:rsidR="0011514D">
        <w:t>PBO</w:t>
      </w:r>
      <w:r w:rsidRPr="00EA07F1">
        <w:t xml:space="preserve"> and </w:t>
      </w:r>
      <w:r w:rsidR="002B6593">
        <w:t>APR</w:t>
      </w:r>
      <w:r w:rsidR="007D7275">
        <w:t xml:space="preserve"> </w:t>
      </w:r>
      <w:r w:rsidRPr="00EA07F1">
        <w:t>exposed subjects.</w:t>
      </w:r>
    </w:p>
    <w:p w:rsidR="009F2083" w:rsidRPr="00EA07F1" w:rsidRDefault="009F2083" w:rsidP="00BD1477">
      <w:r w:rsidRPr="00EA07F1">
        <w:t xml:space="preserve">In non-randomised studies, the </w:t>
      </w:r>
      <w:r w:rsidR="00142D86">
        <w:t>AE</w:t>
      </w:r>
      <w:r w:rsidRPr="00EA07F1">
        <w:t xml:space="preserve"> profile was similar to that reported in the randomised studies.</w:t>
      </w:r>
    </w:p>
    <w:p w:rsidR="009F2083" w:rsidRPr="00760A01" w:rsidRDefault="009F2083" w:rsidP="00BD1477">
      <w:pPr>
        <w:pStyle w:val="Heading5"/>
      </w:pPr>
      <w:r w:rsidRPr="00BD1477">
        <w:t>Deaths</w:t>
      </w:r>
    </w:p>
    <w:p w:rsidR="009F2083" w:rsidRPr="00EA07F1" w:rsidRDefault="009F2083" w:rsidP="00BD1477">
      <w:r w:rsidRPr="00EA07F1">
        <w:t xml:space="preserve">Four deaths were reported across the safety population. </w:t>
      </w:r>
    </w:p>
    <w:p w:rsidR="009F2083" w:rsidRPr="00EA07F1" w:rsidRDefault="009F2083" w:rsidP="00BD1477">
      <w:r w:rsidRPr="00EA07F1">
        <w:t>One death was rep</w:t>
      </w:r>
      <w:r w:rsidR="00FD0E9E">
        <w:t xml:space="preserve">orted in the </w:t>
      </w:r>
      <w:proofErr w:type="spellStart"/>
      <w:r w:rsidR="00FD0E9E">
        <w:t>PsA</w:t>
      </w:r>
      <w:proofErr w:type="spellEnd"/>
      <w:r w:rsidR="00FD0E9E">
        <w:t xml:space="preserve"> Study PSA-002 </w:t>
      </w:r>
      <w:r w:rsidRPr="00EA07F1">
        <w:t xml:space="preserve">with the cause of death being vitamin B12 and folate deficiency secondary to </w:t>
      </w:r>
      <w:r w:rsidR="00FD0E9E">
        <w:t>MTX</w:t>
      </w:r>
      <w:r w:rsidRPr="00EA07F1">
        <w:t xml:space="preserve">. The effect of </w:t>
      </w:r>
      <w:r w:rsidR="002B6593">
        <w:t>APR</w:t>
      </w:r>
      <w:r w:rsidRPr="00EA07F1">
        <w:t xml:space="preserve"> in this death was not attributed or established.</w:t>
      </w:r>
    </w:p>
    <w:p w:rsidR="009F2083" w:rsidRPr="00760A01" w:rsidRDefault="009F2083" w:rsidP="00BD1477">
      <w:pPr>
        <w:pStyle w:val="Heading5"/>
      </w:pPr>
      <w:r w:rsidRPr="00760A01">
        <w:t xml:space="preserve">Serious </w:t>
      </w:r>
      <w:r w:rsidRPr="00BD1477">
        <w:t>adverse</w:t>
      </w:r>
      <w:r w:rsidRPr="00760A01">
        <w:t xml:space="preserve"> events</w:t>
      </w:r>
    </w:p>
    <w:p w:rsidR="009F2083" w:rsidRPr="00C60839" w:rsidRDefault="007D7275" w:rsidP="00BD1477">
      <w:r>
        <w:t>SAEs</w:t>
      </w:r>
      <w:r w:rsidR="009F2083" w:rsidRPr="00C60839">
        <w:t xml:space="preserve"> were reported for each indication rather than as a whole.</w:t>
      </w:r>
    </w:p>
    <w:p w:rsidR="009F2083" w:rsidRPr="00760A01" w:rsidRDefault="009F2083" w:rsidP="00BD1477">
      <w:pPr>
        <w:pStyle w:val="Heading5"/>
      </w:pPr>
      <w:r w:rsidRPr="00760A01">
        <w:t>Ser</w:t>
      </w:r>
      <w:r>
        <w:t>io</w:t>
      </w:r>
      <w:r w:rsidRPr="00760A01">
        <w:t xml:space="preserve">us adverse </w:t>
      </w:r>
      <w:r w:rsidRPr="00BD1477">
        <w:t>events</w:t>
      </w:r>
      <w:r w:rsidRPr="00760A01">
        <w:t xml:space="preserve"> of special interest</w:t>
      </w:r>
    </w:p>
    <w:p w:rsidR="009F2083" w:rsidRPr="00E924B5" w:rsidRDefault="009F2083" w:rsidP="00BD1477">
      <w:pPr>
        <w:pStyle w:val="Heading6"/>
      </w:pPr>
      <w:r w:rsidRPr="00BD1477">
        <w:t>Infections</w:t>
      </w:r>
    </w:p>
    <w:p w:rsidR="009F2083" w:rsidRPr="00C60839" w:rsidRDefault="009F2083" w:rsidP="00BD1477">
      <w:r w:rsidRPr="00C60839">
        <w:t xml:space="preserve">In the adjudicated analysis, there was no association with incidence of serious infection and </w:t>
      </w:r>
      <w:r w:rsidR="002B6593">
        <w:t>APR</w:t>
      </w:r>
      <w:r w:rsidRPr="00C60839">
        <w:t xml:space="preserve"> exposure. No events of new TB infection or reactivation were reported.</w:t>
      </w:r>
    </w:p>
    <w:p w:rsidR="009F2083" w:rsidRPr="00E924B5" w:rsidRDefault="009F2083" w:rsidP="00BD1477">
      <w:pPr>
        <w:pStyle w:val="Heading6"/>
      </w:pPr>
      <w:r w:rsidRPr="00E924B5">
        <w:t xml:space="preserve">Major cardiac </w:t>
      </w:r>
      <w:r w:rsidRPr="00BD1477">
        <w:t>events</w:t>
      </w:r>
    </w:p>
    <w:p w:rsidR="009F2083" w:rsidRPr="00C60839" w:rsidRDefault="002B6593" w:rsidP="00BD1477">
      <w:r>
        <w:t>APR</w:t>
      </w:r>
      <w:r w:rsidR="009F2083" w:rsidRPr="00C60839">
        <w:t xml:space="preserve"> exposure was neither associated with an increase in major cardiac events, nor was a dose-dependent effect observed.</w:t>
      </w:r>
    </w:p>
    <w:p w:rsidR="009F2083" w:rsidRPr="00E924B5" w:rsidRDefault="009F2083" w:rsidP="00BD1477">
      <w:pPr>
        <w:pStyle w:val="Heading6"/>
      </w:pPr>
      <w:r w:rsidRPr="00BD1477">
        <w:t>Malignancies</w:t>
      </w:r>
    </w:p>
    <w:p w:rsidR="009F2083" w:rsidRPr="00C60839" w:rsidRDefault="002B6593" w:rsidP="00BD1477">
      <w:r>
        <w:t>APR</w:t>
      </w:r>
      <w:r w:rsidR="009F2083" w:rsidRPr="00C60839">
        <w:t xml:space="preserve"> exposure was not associated with an incre</w:t>
      </w:r>
      <w:r w:rsidR="00922D68">
        <w:t xml:space="preserve">ase in second malignancies. Non </w:t>
      </w:r>
      <w:r w:rsidR="009F2083" w:rsidRPr="00C60839">
        <w:t>melanoma skin cancers were the commonest occurring events,</w:t>
      </w:r>
      <w:r w:rsidR="00922D68">
        <w:t xml:space="preserve"> but without a temporal or dose </w:t>
      </w:r>
      <w:r w:rsidR="009F2083" w:rsidRPr="00C60839">
        <w:t>response relationship with exposure.</w:t>
      </w:r>
    </w:p>
    <w:p w:rsidR="009F2083" w:rsidRPr="00CB3284" w:rsidRDefault="00C60839" w:rsidP="00BD1477">
      <w:pPr>
        <w:pStyle w:val="Heading5"/>
      </w:pPr>
      <w:r w:rsidRPr="00BD1477">
        <w:t>Discontinuations</w:t>
      </w:r>
    </w:p>
    <w:p w:rsidR="009F2083" w:rsidRPr="00C60839" w:rsidRDefault="00BE3002" w:rsidP="00BD1477">
      <w:r w:rsidRPr="00C60839">
        <w:t xml:space="preserve">The incidence of discontinuation was higher in subjects receiving </w:t>
      </w:r>
      <w:r>
        <w:t>APR</w:t>
      </w:r>
      <w:r w:rsidRPr="00C60839">
        <w:t xml:space="preserve"> as compared to </w:t>
      </w:r>
      <w:r>
        <w:t>PBO</w:t>
      </w:r>
      <w:r w:rsidRPr="00C60839">
        <w:t xml:space="preserve">, occurring more commonly in the first 16 weeks of therapy. The </w:t>
      </w:r>
      <w:r>
        <w:t>most common</w:t>
      </w:r>
      <w:r w:rsidRPr="00C60839">
        <w:t xml:space="preserve"> reasons for discontinuation were nausea, diarrhoea, headache, vomiting, fatigue and dizziness</w:t>
      </w:r>
      <w:r w:rsidR="009F2083" w:rsidRPr="00C60839">
        <w:t>.</w:t>
      </w:r>
    </w:p>
    <w:p w:rsidR="009F2083" w:rsidRPr="00CD54F5" w:rsidRDefault="009F2083" w:rsidP="00BD1477">
      <w:pPr>
        <w:pStyle w:val="Heading5"/>
      </w:pPr>
      <w:r w:rsidRPr="00BD1477">
        <w:t>Depression</w:t>
      </w:r>
    </w:p>
    <w:p w:rsidR="009F2083" w:rsidRPr="00C60839" w:rsidRDefault="009F2083" w:rsidP="00BD1477">
      <w:r w:rsidRPr="00C60839">
        <w:t xml:space="preserve">Patients with </w:t>
      </w:r>
      <w:proofErr w:type="spellStart"/>
      <w:r w:rsidRPr="00C60839">
        <w:t>PsA</w:t>
      </w:r>
      <w:proofErr w:type="spellEnd"/>
      <w:r w:rsidRPr="00C60839">
        <w:t xml:space="preserve"> or PSOR may be at increased risk of depression. In regard to the risk of depression, a w</w:t>
      </w:r>
      <w:r w:rsidR="00922D68">
        <w:t xml:space="preserve">arning is contained in the US and </w:t>
      </w:r>
      <w:r w:rsidRPr="00C60839">
        <w:t xml:space="preserve">Health Canada product label for </w:t>
      </w:r>
      <w:r w:rsidR="002B6593">
        <w:t>APR</w:t>
      </w:r>
      <w:r w:rsidRPr="00C60839">
        <w:t xml:space="preserve"> use, but not proposed for </w:t>
      </w:r>
      <w:r w:rsidR="00612479">
        <w:t>the Australian PI:</w:t>
      </w:r>
    </w:p>
    <w:p w:rsidR="009F2083" w:rsidRPr="00C60839" w:rsidRDefault="009F2083" w:rsidP="00BD1477">
      <w:pPr>
        <w:ind w:left="720"/>
      </w:pPr>
      <w:r w:rsidRPr="00C60839">
        <w:t>FDA product label:</w:t>
      </w:r>
    </w:p>
    <w:p w:rsidR="009F2083" w:rsidRPr="00C60839" w:rsidRDefault="009F2083" w:rsidP="00C60839">
      <w:pPr>
        <w:ind w:left="1440"/>
        <w:rPr>
          <w:i/>
        </w:rPr>
      </w:pPr>
      <w:r w:rsidRPr="00C60839">
        <w:rPr>
          <w:i/>
        </w:rPr>
        <w:t>“Depression: Advise patients, their caregivers, and families to be alert for the emergence or worsening of depression, suicidal thoughts or other mood changes and if such changes occur to contact their healthcare provider.</w:t>
      </w:r>
    </w:p>
    <w:p w:rsidR="009F2083" w:rsidRPr="00C60839" w:rsidRDefault="009F2083" w:rsidP="00C60839">
      <w:pPr>
        <w:ind w:left="1440"/>
      </w:pPr>
      <w:r w:rsidRPr="00C60839">
        <w:rPr>
          <w:i/>
        </w:rPr>
        <w:t xml:space="preserve">Carefully weigh risks and benefits of treatment with OTEZLA in patients with a history of depression and/or suicidal thoughts or </w:t>
      </w:r>
      <w:proofErr w:type="spellStart"/>
      <w:r w:rsidRPr="00C60839">
        <w:rPr>
          <w:i/>
        </w:rPr>
        <w:t>behavior</w:t>
      </w:r>
      <w:proofErr w:type="spellEnd"/>
      <w:r w:rsidRPr="00C60839">
        <w:rPr>
          <w:i/>
        </w:rPr>
        <w:t>.”</w:t>
      </w:r>
    </w:p>
    <w:p w:rsidR="009F2083" w:rsidRPr="00C60839" w:rsidRDefault="009F2083" w:rsidP="00C60839">
      <w:pPr>
        <w:ind w:left="720"/>
      </w:pPr>
      <w:r w:rsidRPr="00C60839">
        <w:t>Health Canada product monograph:</w:t>
      </w:r>
    </w:p>
    <w:p w:rsidR="009F2083" w:rsidRPr="00C60839" w:rsidRDefault="009F2083" w:rsidP="00C60839">
      <w:pPr>
        <w:ind w:left="1440"/>
        <w:rPr>
          <w:i/>
        </w:rPr>
      </w:pPr>
      <w:r w:rsidRPr="00C60839">
        <w:rPr>
          <w:i/>
        </w:rPr>
        <w:t>“Psychiatric</w:t>
      </w:r>
    </w:p>
    <w:p w:rsidR="009F2083" w:rsidRPr="00C60839" w:rsidRDefault="009F2083" w:rsidP="00C60839">
      <w:pPr>
        <w:ind w:left="1440"/>
        <w:rPr>
          <w:i/>
        </w:rPr>
      </w:pPr>
      <w:r w:rsidRPr="00C60839">
        <w:rPr>
          <w:i/>
        </w:rPr>
        <w:t xml:space="preserve">Depression: In Phase 3 </w:t>
      </w:r>
      <w:r w:rsidR="00C33142">
        <w:rPr>
          <w:i/>
        </w:rPr>
        <w:t>PSOR</w:t>
      </w:r>
      <w:r w:rsidR="00B33B34">
        <w:rPr>
          <w:i/>
        </w:rPr>
        <w:t xml:space="preserve"> studies, treatment with OTEZLA</w:t>
      </w:r>
      <w:r w:rsidRPr="00C60839">
        <w:rPr>
          <w:i/>
        </w:rPr>
        <w:t xml:space="preserve"> was associated with an increase in adverse reactions of depression during the </w:t>
      </w:r>
      <w:r w:rsidR="0011514D">
        <w:rPr>
          <w:i/>
        </w:rPr>
        <w:t>PBO</w:t>
      </w:r>
      <w:r w:rsidRPr="00C60839">
        <w:rPr>
          <w:i/>
        </w:rPr>
        <w:t xml:space="preserve">-controlled period. The incidence of depression or depressed mood was 1.44% for OTEZLA 30 mg BID and 0.48% for </w:t>
      </w:r>
      <w:r w:rsidR="0011514D">
        <w:rPr>
          <w:i/>
        </w:rPr>
        <w:t>PBO</w:t>
      </w:r>
      <w:r w:rsidRPr="00C60839">
        <w:rPr>
          <w:i/>
        </w:rPr>
        <w:t>. I</w:t>
      </w:r>
      <w:r w:rsidR="00B33B34">
        <w:rPr>
          <w:i/>
        </w:rPr>
        <w:t>n Phase 2/3 studies with OTEZLA</w:t>
      </w:r>
      <w:r w:rsidRPr="00C60839">
        <w:rPr>
          <w:i/>
        </w:rPr>
        <w:t xml:space="preserve">, the incidence of serious events of depression or of suicidal ideation was uncommon </w:t>
      </w:r>
      <w:r w:rsidR="00B33B34">
        <w:rPr>
          <w:i/>
        </w:rPr>
        <w:t>in patients treated with OTEZLA</w:t>
      </w:r>
      <w:r w:rsidRPr="00C60839">
        <w:rPr>
          <w:i/>
        </w:rPr>
        <w:t xml:space="preserve"> 30 mg BID.</w:t>
      </w:r>
    </w:p>
    <w:p w:rsidR="009F2083" w:rsidRPr="00C60839" w:rsidRDefault="00B33B34" w:rsidP="00C60839">
      <w:pPr>
        <w:ind w:left="1440"/>
      </w:pPr>
      <w:r>
        <w:rPr>
          <w:i/>
        </w:rPr>
        <w:t>Before using OTEZLA</w:t>
      </w:r>
      <w:r w:rsidR="009F2083" w:rsidRPr="00C60839">
        <w:rPr>
          <w:i/>
        </w:rPr>
        <w:t xml:space="preserve"> in patients with a history of depression and/or suicidal thoughts or </w:t>
      </w:r>
      <w:proofErr w:type="spellStart"/>
      <w:r w:rsidR="009F2083" w:rsidRPr="00C60839">
        <w:rPr>
          <w:i/>
        </w:rPr>
        <w:t>behavior</w:t>
      </w:r>
      <w:proofErr w:type="spellEnd"/>
      <w:r w:rsidR="009F2083" w:rsidRPr="00C60839">
        <w:rPr>
          <w:i/>
        </w:rPr>
        <w:t>, prescribers should carefully weigh the risks and benefits of treatmen</w:t>
      </w:r>
      <w:r>
        <w:rPr>
          <w:i/>
        </w:rPr>
        <w:t>t with OTEZLA</w:t>
      </w:r>
      <w:r w:rsidR="009F2083" w:rsidRPr="00C60839">
        <w:rPr>
          <w:i/>
        </w:rPr>
        <w:t xml:space="preserve"> in such patients. Physicians should discuss psychiatric adverse events with their patients and/or caregivers. Patients and/or caregivers should be instructed to notify the physician if these events do occur.”</w:t>
      </w:r>
    </w:p>
    <w:p w:rsidR="009F2083" w:rsidRPr="00612479" w:rsidRDefault="009F2083" w:rsidP="00BD1477">
      <w:r w:rsidRPr="00612479">
        <w:t>The sponsor provided more inform</w:t>
      </w:r>
      <w:r w:rsidR="00B33B34">
        <w:t>ation in the Section 31 response</w:t>
      </w:r>
      <w:r w:rsidRPr="00612479">
        <w:t>, with a justification for not including this risk in the Australian PI.</w:t>
      </w:r>
    </w:p>
    <w:p w:rsidR="009F2083" w:rsidRPr="00612479" w:rsidRDefault="009F2083" w:rsidP="00BD1477">
      <w:r w:rsidRPr="00612479">
        <w:t xml:space="preserve">In the data presented, for both PSOR and </w:t>
      </w:r>
      <w:proofErr w:type="spellStart"/>
      <w:r w:rsidRPr="00612479">
        <w:t>PsA</w:t>
      </w:r>
      <w:proofErr w:type="spellEnd"/>
      <w:r w:rsidRPr="00612479">
        <w:t xml:space="preserve"> indications,</w:t>
      </w:r>
      <w:r w:rsidR="00B33B34">
        <w:t xml:space="preserve"> there was no demonstrated dose </w:t>
      </w:r>
      <w:r w:rsidRPr="00612479">
        <w:t xml:space="preserve">dependent effect on the incidence of depression. The incidence of depression in the 16 week </w:t>
      </w:r>
      <w:r w:rsidR="0011514D">
        <w:t>PBO</w:t>
      </w:r>
      <w:r w:rsidR="00B33B34">
        <w:t xml:space="preserve"> </w:t>
      </w:r>
      <w:r w:rsidRPr="00612479">
        <w:t xml:space="preserve">controlled period was similar between </w:t>
      </w:r>
      <w:r w:rsidR="0011514D">
        <w:t>PBO</w:t>
      </w:r>
      <w:r w:rsidRPr="00612479">
        <w:t xml:space="preserve"> and </w:t>
      </w:r>
      <w:r w:rsidR="002B6593">
        <w:t>APR</w:t>
      </w:r>
      <w:r w:rsidR="00B33B34">
        <w:t xml:space="preserve"> </w:t>
      </w:r>
      <w:r w:rsidR="00BD1477">
        <w:t>exposed subjects.</w:t>
      </w:r>
    </w:p>
    <w:p w:rsidR="009F2083" w:rsidRPr="00612479" w:rsidRDefault="009F2083" w:rsidP="00BD1477">
      <w:r w:rsidRPr="00612479">
        <w:t xml:space="preserve">No increase in the incidence of depression, depressed mood or drug withdrawal (either active or </w:t>
      </w:r>
      <w:r w:rsidR="0011514D">
        <w:t>PBO</w:t>
      </w:r>
      <w:r w:rsidRPr="00612479">
        <w:t xml:space="preserve">), was observed in </w:t>
      </w:r>
      <w:r w:rsidR="002B6593">
        <w:t>APR</w:t>
      </w:r>
      <w:r w:rsidR="00A466D8">
        <w:t xml:space="preserve"> </w:t>
      </w:r>
      <w:r w:rsidRPr="00612479">
        <w:t xml:space="preserve">exposed subjects within the initial 16 week </w:t>
      </w:r>
      <w:r w:rsidR="0011514D">
        <w:t>PBO</w:t>
      </w:r>
      <w:r w:rsidR="00A466D8">
        <w:t xml:space="preserve"> </w:t>
      </w:r>
      <w:r w:rsidRPr="00612479">
        <w:t xml:space="preserve">controlled period as compared to those with continued </w:t>
      </w:r>
      <w:r w:rsidR="002B6593">
        <w:t>APR</w:t>
      </w:r>
      <w:r w:rsidRPr="00612479">
        <w:t xml:space="preserve"> exposure beyond.</w:t>
      </w:r>
    </w:p>
    <w:p w:rsidR="009F2083" w:rsidRPr="00612479" w:rsidRDefault="009F2083" w:rsidP="00BD1477">
      <w:r w:rsidRPr="00612479">
        <w:t xml:space="preserve">The sponsor states that “Small numerical differences in the incidence of depression were observed during the </w:t>
      </w:r>
      <w:r w:rsidR="0011514D">
        <w:t>PBO</w:t>
      </w:r>
      <w:r w:rsidR="00A466D8">
        <w:t xml:space="preserve"> </w:t>
      </w:r>
      <w:r w:rsidRPr="00612479">
        <w:t xml:space="preserve">controlled periods of the </w:t>
      </w:r>
      <w:r w:rsidR="00C67190">
        <w:t>Phase III</w:t>
      </w:r>
      <w:r w:rsidRPr="00612479">
        <w:t xml:space="preserve"> studies and there was no evidence of an increased risk longer </w:t>
      </w:r>
      <w:r w:rsidR="002B6593">
        <w:t>APR</w:t>
      </w:r>
      <w:r w:rsidRPr="00612479">
        <w:t xml:space="preserve"> treatment based on the EAIR.”</w:t>
      </w:r>
    </w:p>
    <w:p w:rsidR="009F2083" w:rsidRPr="00612479" w:rsidRDefault="009F2083" w:rsidP="00BD1477">
      <w:r w:rsidRPr="00612479">
        <w:t xml:space="preserve">Thus, the data contained in the </w:t>
      </w:r>
      <w:r w:rsidR="00C67190">
        <w:t>S</w:t>
      </w:r>
      <w:r w:rsidRPr="00612479">
        <w:t>ection 31 response contradicts the statement in the Canadian monograph.</w:t>
      </w:r>
    </w:p>
    <w:p w:rsidR="009F2083" w:rsidRPr="00612479" w:rsidRDefault="00E7647B" w:rsidP="00BD1477">
      <w:r w:rsidRPr="00612479">
        <w:t xml:space="preserve">The statement in the FDA product label does not contain an implication of causality between </w:t>
      </w:r>
      <w:r>
        <w:t>APR</w:t>
      </w:r>
      <w:r w:rsidRPr="00612479">
        <w:t xml:space="preserve"> use and onset or worsening of depression, suicidal thoughts or other mood changes, but </w:t>
      </w:r>
      <w:r>
        <w:t>it is</w:t>
      </w:r>
      <w:r w:rsidRPr="00612479">
        <w:t xml:space="preserve"> a prudent warning for prescribers and patient advocates to be aware of potential psychiatric morbidity. Given the small proportion of subjects exposed to </w:t>
      </w:r>
      <w:r>
        <w:t>APR</w:t>
      </w:r>
      <w:r w:rsidRPr="00612479">
        <w:t xml:space="preserve"> who developed depression in the clinical development program, i</w:t>
      </w:r>
      <w:r>
        <w:t xml:space="preserve">t is incorrect </w:t>
      </w:r>
      <w:r w:rsidRPr="00612479">
        <w:t xml:space="preserve">to categorically exclude a causal relationship between </w:t>
      </w:r>
      <w:r>
        <w:t>APR</w:t>
      </w:r>
      <w:r w:rsidRPr="00612479">
        <w:t xml:space="preserve"> and psychiatric morbidity. </w:t>
      </w:r>
      <w:r>
        <w:t>Data do not exist to rule this in or out</w:t>
      </w:r>
      <w:r w:rsidR="00BD1477">
        <w:t>.</w:t>
      </w:r>
    </w:p>
    <w:p w:rsidR="009F2083" w:rsidRPr="00612479" w:rsidRDefault="009F2083" w:rsidP="00BD1477">
      <w:r w:rsidRPr="00612479">
        <w:t>The Delegate considers the FDA warning to be a prudent statement pertaining to a risk, which should also be included in the Australian PI.</w:t>
      </w:r>
    </w:p>
    <w:p w:rsidR="009F2083" w:rsidRPr="00CD54F5" w:rsidRDefault="009F2083" w:rsidP="00612479">
      <w:pPr>
        <w:pStyle w:val="Heading5"/>
      </w:pPr>
      <w:r>
        <w:t>Immunisation</w:t>
      </w:r>
    </w:p>
    <w:p w:rsidR="009F2083" w:rsidRPr="00612479" w:rsidRDefault="009F2083" w:rsidP="00BD1477">
      <w:r w:rsidRPr="00612479">
        <w:t xml:space="preserve">The sponsor was asked to comment on the effect of </w:t>
      </w:r>
      <w:r w:rsidR="002B6593">
        <w:t>APR</w:t>
      </w:r>
      <w:r w:rsidRPr="00612479">
        <w:t xml:space="preserve"> on protective immune status, given the immunosuppressing mechanism of action (S</w:t>
      </w:r>
      <w:r w:rsidR="003424B5">
        <w:t xml:space="preserve">ection </w:t>
      </w:r>
      <w:r w:rsidRPr="00612479">
        <w:t xml:space="preserve">31 response). The response lists the vaccinations received across the </w:t>
      </w:r>
      <w:r w:rsidR="0011514D">
        <w:t>PBO</w:t>
      </w:r>
      <w:r w:rsidRPr="00612479">
        <w:t>-controlled a</w:t>
      </w:r>
      <w:r w:rsidR="003424B5">
        <w:t xml:space="preserve">nd continuation phases. Vaccine </w:t>
      </w:r>
      <w:r w:rsidRPr="00612479">
        <w:t xml:space="preserve">specific antibody levels were not assayed in subjects receiving </w:t>
      </w:r>
      <w:r w:rsidR="002B6593">
        <w:t>APR</w:t>
      </w:r>
      <w:r w:rsidRPr="00612479">
        <w:t>. However, the sponsor states “these subjects did not develop the infection for which the vaccine was used”</w:t>
      </w:r>
    </w:p>
    <w:p w:rsidR="009F2083" w:rsidRPr="00612479" w:rsidRDefault="009F2083" w:rsidP="00BD1477">
      <w:r w:rsidRPr="00612479">
        <w:t xml:space="preserve">The effect of </w:t>
      </w:r>
      <w:r w:rsidR="002B6593">
        <w:t>APR</w:t>
      </w:r>
      <w:r w:rsidRPr="00612479">
        <w:t xml:space="preserve"> on immunity for vaccines received prior to </w:t>
      </w:r>
      <w:r w:rsidR="002B6593">
        <w:t>APR</w:t>
      </w:r>
      <w:r w:rsidRPr="00612479">
        <w:t xml:space="preserve"> exposure has not been studied.</w:t>
      </w:r>
    </w:p>
    <w:p w:rsidR="009F2083" w:rsidRPr="00612479" w:rsidRDefault="009F2083" w:rsidP="00BD1477">
      <w:r w:rsidRPr="00612479">
        <w:t xml:space="preserve">The effects of </w:t>
      </w:r>
      <w:r w:rsidR="002B6593">
        <w:t>APR</w:t>
      </w:r>
      <w:r w:rsidRPr="00612479">
        <w:t xml:space="preserve"> on live vaccination have not been studied, but the sponsor h</w:t>
      </w:r>
      <w:r w:rsidR="003424B5">
        <w:t xml:space="preserve">as committed to monitoring post </w:t>
      </w:r>
      <w:r w:rsidRPr="00612479">
        <w:t>marketing adverse reactions associated with live vaccines.</w:t>
      </w:r>
    </w:p>
    <w:p w:rsidR="009F2083" w:rsidRPr="00216D58" w:rsidRDefault="00EA0D5C" w:rsidP="00BD1477">
      <w:pPr>
        <w:pStyle w:val="Heading5"/>
      </w:pPr>
      <w:r w:rsidRPr="00BD1477">
        <w:t>Electrocardiograph</w:t>
      </w:r>
      <w:r>
        <w:t xml:space="preserve"> (ECG)</w:t>
      </w:r>
      <w:r w:rsidR="009F2083" w:rsidRPr="00216D58">
        <w:t xml:space="preserve"> changes</w:t>
      </w:r>
    </w:p>
    <w:p w:rsidR="009F2083" w:rsidRPr="00612479" w:rsidRDefault="009F2083" w:rsidP="00612479">
      <w:r w:rsidRPr="00612479">
        <w:t xml:space="preserve">Despite the controlled QT study failing to demonstrate an effect of </w:t>
      </w:r>
      <w:r w:rsidR="002B6593">
        <w:t>APR</w:t>
      </w:r>
      <w:r w:rsidRPr="00612479">
        <w:t xml:space="preserve"> on QT interval, the </w:t>
      </w:r>
      <w:r w:rsidR="003424B5">
        <w:t>Phase III</w:t>
      </w:r>
      <w:r w:rsidRPr="00612479">
        <w:t xml:space="preserve"> studies reported: 9 subjects treated with </w:t>
      </w:r>
      <w:r w:rsidR="002B6593">
        <w:t>APR</w:t>
      </w:r>
      <w:r w:rsidRPr="00612479">
        <w:t xml:space="preserve"> having a prolonged QT interval, one had </w:t>
      </w:r>
      <w:r w:rsidR="00EA0D5C">
        <w:t>an AE of shortened QT interval and</w:t>
      </w:r>
      <w:r w:rsidRPr="00612479">
        <w:t xml:space="preserve"> abnormal T wave and two subjects had non-specific ECG abnormalities with associated palpitations.</w:t>
      </w:r>
    </w:p>
    <w:p w:rsidR="009F2083" w:rsidRPr="00216D58" w:rsidRDefault="009F2083" w:rsidP="00BD1477">
      <w:pPr>
        <w:pStyle w:val="Heading5"/>
      </w:pPr>
      <w:r w:rsidRPr="00BD1477">
        <w:t>Haematology</w:t>
      </w:r>
    </w:p>
    <w:p w:rsidR="009F2083" w:rsidRPr="00612479" w:rsidRDefault="009F2083" w:rsidP="00BD1477">
      <w:proofErr w:type="spellStart"/>
      <w:r w:rsidRPr="00612479">
        <w:t>Lymphopenia</w:t>
      </w:r>
      <w:proofErr w:type="spellEnd"/>
      <w:r w:rsidRPr="00612479">
        <w:t xml:space="preserve"> was the commonest occurring AE in both indications. One case of neutropenia was reported in </w:t>
      </w:r>
      <w:proofErr w:type="spellStart"/>
      <w:r w:rsidRPr="00612479">
        <w:t>PsA</w:t>
      </w:r>
      <w:proofErr w:type="spellEnd"/>
      <w:r w:rsidRPr="00612479">
        <w:t xml:space="preserve"> studies, and none in the PSOR studies.</w:t>
      </w:r>
    </w:p>
    <w:p w:rsidR="009F2083" w:rsidRPr="00216D58" w:rsidRDefault="009F2083" w:rsidP="00BD1477">
      <w:pPr>
        <w:pStyle w:val="Heading5"/>
      </w:pPr>
      <w:r w:rsidRPr="00216D58">
        <w:t xml:space="preserve">Change in body </w:t>
      </w:r>
      <w:r w:rsidRPr="00BD1477">
        <w:t>weight</w:t>
      </w:r>
    </w:p>
    <w:p w:rsidR="009F2083" w:rsidRPr="00612479" w:rsidRDefault="009F2083" w:rsidP="00BD1477">
      <w:r w:rsidRPr="00612479">
        <w:t xml:space="preserve">In studies of </w:t>
      </w:r>
      <w:proofErr w:type="spellStart"/>
      <w:r w:rsidRPr="00612479">
        <w:t>PsA</w:t>
      </w:r>
      <w:proofErr w:type="spellEnd"/>
      <w:r w:rsidRPr="00612479">
        <w:t>, PSOR and chronic obstructive pulmonary disease, with one year of</w:t>
      </w:r>
      <w:r w:rsidR="002B6593">
        <w:t xml:space="preserve"> APR</w:t>
      </w:r>
      <w:r w:rsidRPr="00612479">
        <w:t xml:space="preserve"> exposure, the was a reported net decrease in weight of 1.68 </w:t>
      </w:r>
      <w:r w:rsidR="00257090">
        <w:t>k</w:t>
      </w:r>
      <w:r w:rsidRPr="00612479">
        <w:t xml:space="preserve">g, 1.99 </w:t>
      </w:r>
      <w:r w:rsidR="00257090">
        <w:t>k</w:t>
      </w:r>
      <w:r w:rsidRPr="00612479">
        <w:t xml:space="preserve">g and 2.0 </w:t>
      </w:r>
      <w:r w:rsidR="00257090">
        <w:t>k</w:t>
      </w:r>
      <w:r w:rsidRPr="00612479">
        <w:t xml:space="preserve">g in each </w:t>
      </w:r>
      <w:r w:rsidR="00257090">
        <w:rPr>
          <w:b/>
        </w:rPr>
        <w:t>population</w:t>
      </w:r>
      <w:r w:rsidR="00B1015B">
        <w:t>,</w:t>
      </w:r>
      <w:r w:rsidR="00257090">
        <w:rPr>
          <w:b/>
        </w:rPr>
        <w:t xml:space="preserve"> </w:t>
      </w:r>
      <w:r w:rsidRPr="00612479">
        <w:t xml:space="preserve">respectively. These figures do not reflect the magnitude of weight loss of up to 20% from baseline among </w:t>
      </w:r>
      <w:proofErr w:type="spellStart"/>
      <w:r w:rsidRPr="00612479">
        <w:t>PsA</w:t>
      </w:r>
      <w:proofErr w:type="spellEnd"/>
      <w:r w:rsidRPr="00612479">
        <w:t xml:space="preserve"> and PSOR subjects as co</w:t>
      </w:r>
      <w:r w:rsidR="00640212">
        <w:t xml:space="preserve">mpared to </w:t>
      </w:r>
      <w:r w:rsidR="0011514D">
        <w:t>PBO</w:t>
      </w:r>
      <w:r w:rsidR="00640212">
        <w:t xml:space="preserve"> (Tables 2</w:t>
      </w:r>
      <w:r w:rsidR="00FA7A24">
        <w:t>7</w:t>
      </w:r>
      <w:r w:rsidR="00640212">
        <w:t xml:space="preserve"> and 2</w:t>
      </w:r>
      <w:r w:rsidR="00FA7A24">
        <w:t>8</w:t>
      </w:r>
      <w:r w:rsidR="00640212">
        <w:t>).</w:t>
      </w:r>
    </w:p>
    <w:p w:rsidR="009B6FE0" w:rsidRDefault="009B6FE0" w:rsidP="00BD1477">
      <w:pPr>
        <w:pStyle w:val="TableTitle"/>
      </w:pPr>
      <w:proofErr w:type="gramStart"/>
      <w:r>
        <w:t>Table 2</w:t>
      </w:r>
      <w:r w:rsidR="00FA7A24">
        <w:t>7</w:t>
      </w:r>
      <w:r>
        <w:t>:</w:t>
      </w:r>
      <w:r w:rsidRPr="004C5C28">
        <w:t xml:space="preserve"> </w:t>
      </w:r>
      <w:r w:rsidR="00A66825" w:rsidRPr="00A66825">
        <w:t xml:space="preserve">Weight change among subjects </w:t>
      </w:r>
      <w:r w:rsidR="00A66825" w:rsidRPr="00BD1477">
        <w:t>in</w:t>
      </w:r>
      <w:r w:rsidR="00A66825" w:rsidRPr="00A66825">
        <w:t xml:space="preserve"> the </w:t>
      </w:r>
      <w:proofErr w:type="spellStart"/>
      <w:r w:rsidR="00A66825" w:rsidRPr="00A66825">
        <w:t>PsA</w:t>
      </w:r>
      <w:proofErr w:type="spellEnd"/>
      <w:r w:rsidR="00A66825" w:rsidRPr="00A66825">
        <w:t xml:space="preserve"> data pool</w:t>
      </w:r>
      <w:r>
        <w:t>.</w:t>
      </w:r>
      <w:proofErr w:type="gramEnd"/>
    </w:p>
    <w:p w:rsidR="007359E6" w:rsidRDefault="00D62513" w:rsidP="00BD1477">
      <w:r>
        <w:rPr>
          <w:noProof/>
          <w:lang w:eastAsia="en-AU"/>
        </w:rPr>
        <w:drawing>
          <wp:inline distT="0" distB="0" distL="0" distR="0" wp14:anchorId="33AC2619" wp14:editId="6E3E686B">
            <wp:extent cx="4566318" cy="2698322"/>
            <wp:effectExtent l="0" t="0" r="5715" b="6985"/>
            <wp:docPr id="39" name="Picture 39" descr="Table 27: Weight change among subjects in the PsA data pool." title="Table 27: Weight change among subjects in the PsA data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64887" cy="2697476"/>
                    </a:xfrm>
                    <a:prstGeom prst="rect">
                      <a:avLst/>
                    </a:prstGeom>
                  </pic:spPr>
                </pic:pic>
              </a:graphicData>
            </a:graphic>
          </wp:inline>
        </w:drawing>
      </w:r>
    </w:p>
    <w:p w:rsidR="00705B94" w:rsidRDefault="00705B94" w:rsidP="00BD1477">
      <w:pPr>
        <w:pStyle w:val="TableDescription"/>
      </w:pPr>
      <w:r>
        <w:t>n</w:t>
      </w:r>
      <w:r w:rsidR="00572E12">
        <w:t xml:space="preserve"> </w:t>
      </w:r>
      <w:r>
        <w:t>= number of subjects, % = percentage of subjects among the overall study population</w:t>
      </w:r>
    </w:p>
    <w:p w:rsidR="009B6FE0" w:rsidRDefault="009B6FE0" w:rsidP="00BD1477">
      <w:pPr>
        <w:pStyle w:val="TableTitle"/>
      </w:pPr>
      <w:proofErr w:type="gramStart"/>
      <w:r>
        <w:t>Table 2</w:t>
      </w:r>
      <w:r w:rsidR="00FA7A24">
        <w:t>8</w:t>
      </w:r>
      <w:r>
        <w:t>:</w:t>
      </w:r>
      <w:r w:rsidRPr="004C5C28">
        <w:t xml:space="preserve"> </w:t>
      </w:r>
      <w:r w:rsidR="00A66825" w:rsidRPr="00A66825">
        <w:t xml:space="preserve">Weight </w:t>
      </w:r>
      <w:r w:rsidR="00A66825" w:rsidRPr="00BD1477">
        <w:t>change</w:t>
      </w:r>
      <w:r w:rsidR="00A66825" w:rsidRPr="00A66825">
        <w:t xml:space="preserve"> among subjects in the PSOR data pool</w:t>
      </w:r>
      <w:r>
        <w:t>.</w:t>
      </w:r>
      <w:proofErr w:type="gramEnd"/>
    </w:p>
    <w:p w:rsidR="009B6FE0" w:rsidRDefault="00D62513" w:rsidP="00BD1477">
      <w:r>
        <w:rPr>
          <w:noProof/>
          <w:lang w:eastAsia="en-AU"/>
        </w:rPr>
        <w:drawing>
          <wp:inline distT="0" distB="0" distL="0" distR="0" wp14:anchorId="6B38BAD1" wp14:editId="7A63DDFB">
            <wp:extent cx="4538342" cy="2579969"/>
            <wp:effectExtent l="0" t="0" r="0" b="0"/>
            <wp:docPr id="40" name="Picture 40" descr="Table 28: Weight change among subjects in the PSOR data pool." title="Table 28: Weight change among subjects in the PSOR data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40207" cy="2581029"/>
                    </a:xfrm>
                    <a:prstGeom prst="rect">
                      <a:avLst/>
                    </a:prstGeom>
                  </pic:spPr>
                </pic:pic>
              </a:graphicData>
            </a:graphic>
          </wp:inline>
        </w:drawing>
      </w:r>
    </w:p>
    <w:p w:rsidR="00705B94" w:rsidRDefault="00705B94" w:rsidP="00BD1477">
      <w:pPr>
        <w:pStyle w:val="TableDescription"/>
      </w:pPr>
      <w:r>
        <w:t>n</w:t>
      </w:r>
      <w:r w:rsidR="00572E12">
        <w:t xml:space="preserve"> </w:t>
      </w:r>
      <w:r>
        <w:t>= number of subjects, % = percentage of subjects among the overall study population</w:t>
      </w:r>
    </w:p>
    <w:p w:rsidR="00D62513" w:rsidRPr="00D62513" w:rsidRDefault="00D62513" w:rsidP="00BD1477">
      <w:r w:rsidRPr="00D62513">
        <w:t xml:space="preserve">In subjects in the combined </w:t>
      </w:r>
      <w:proofErr w:type="spellStart"/>
      <w:r w:rsidRPr="00D62513">
        <w:t>PsA</w:t>
      </w:r>
      <w:proofErr w:type="spellEnd"/>
      <w:r w:rsidRPr="00D62513">
        <w:t xml:space="preserve"> and PSOR </w:t>
      </w:r>
      <w:r w:rsidR="002B6593">
        <w:t>APR</w:t>
      </w:r>
      <w:r w:rsidRPr="00D62513">
        <w:t xml:space="preserve"> data pool (treated in contr</w:t>
      </w:r>
      <w:r w:rsidR="00BD3720">
        <w:t xml:space="preserve">olled and uncontrolled periods), </w:t>
      </w:r>
      <w:r w:rsidRPr="00D62513">
        <w:t>the following weight loss was reported in</w:t>
      </w:r>
      <w:r>
        <w:t xml:space="preserve"> the summary of clinical safety (T</w:t>
      </w:r>
      <w:r w:rsidRPr="00D62513">
        <w:t xml:space="preserve">able </w:t>
      </w:r>
      <w:r w:rsidR="00FA7A24">
        <w:t>29</w:t>
      </w:r>
      <w:r>
        <w:t>).</w:t>
      </w:r>
    </w:p>
    <w:p w:rsidR="00257973" w:rsidRDefault="00FA7A24" w:rsidP="00BD1477">
      <w:pPr>
        <w:pStyle w:val="TableTitle"/>
      </w:pPr>
      <w:proofErr w:type="gramStart"/>
      <w:r>
        <w:t>Table 29</w:t>
      </w:r>
      <w:r w:rsidR="00257973">
        <w:t>:</w:t>
      </w:r>
      <w:r w:rsidR="00257973" w:rsidRPr="004C5C28">
        <w:t xml:space="preserve"> </w:t>
      </w:r>
      <w:r w:rsidR="00E378A6">
        <w:t>W</w:t>
      </w:r>
      <w:r w:rsidR="00E378A6" w:rsidRPr="00D62513">
        <w:t>eight loss in</w:t>
      </w:r>
      <w:r w:rsidR="00E378A6">
        <w:t xml:space="preserve"> the summary </w:t>
      </w:r>
      <w:r w:rsidR="00E378A6" w:rsidRPr="00BD1477">
        <w:t>of</w:t>
      </w:r>
      <w:r w:rsidR="00E378A6">
        <w:t xml:space="preserve"> clinical safety</w:t>
      </w:r>
      <w:r w:rsidR="00257973">
        <w:t>.</w:t>
      </w:r>
      <w:proofErr w:type="gramEnd"/>
    </w:p>
    <w:p w:rsidR="00705B94" w:rsidRDefault="00775FC8" w:rsidP="00BD1477">
      <w:r>
        <w:rPr>
          <w:noProof/>
          <w:lang w:eastAsia="en-AU"/>
        </w:rPr>
        <w:drawing>
          <wp:inline distT="0" distB="0" distL="0" distR="0" wp14:anchorId="6447E256" wp14:editId="34C2FCB2">
            <wp:extent cx="4661758" cy="997596"/>
            <wp:effectExtent l="0" t="0" r="5715" b="0"/>
            <wp:docPr id="41" name="Picture 41" descr="Table 29: Weight loss in the summary of clinical safety." title="Table 29: Weight loss in the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661609" cy="997564"/>
                    </a:xfrm>
                    <a:prstGeom prst="rect">
                      <a:avLst/>
                    </a:prstGeom>
                  </pic:spPr>
                </pic:pic>
              </a:graphicData>
            </a:graphic>
          </wp:inline>
        </w:drawing>
      </w:r>
    </w:p>
    <w:p w:rsidR="006E25D0" w:rsidRPr="006E25D0" w:rsidRDefault="006E25D0" w:rsidP="00BD1477">
      <w:r w:rsidRPr="006E25D0">
        <w:t>No subjects were reported to have experienced weight loss &gt;20% from baseline.</w:t>
      </w:r>
    </w:p>
    <w:p w:rsidR="006E25D0" w:rsidRPr="006E25D0" w:rsidRDefault="006E25D0" w:rsidP="00BD1477">
      <w:r w:rsidRPr="006E25D0">
        <w:t>Weight loss in both the controlled and uncont</w:t>
      </w:r>
      <w:r w:rsidR="00BD3720">
        <w:t xml:space="preserve">rolled periods occurs in a dose </w:t>
      </w:r>
      <w:r w:rsidRPr="006E25D0">
        <w:t>dependent manner. The sponsor proposes a precaut</w:t>
      </w:r>
      <w:r w:rsidR="00BD3720">
        <w:t>ion for weight loss in the PI</w:t>
      </w:r>
      <w:r w:rsidRPr="006E25D0">
        <w:t>.</w:t>
      </w:r>
    </w:p>
    <w:p w:rsidR="006E25D0" w:rsidRPr="00401AB8" w:rsidRDefault="005154E6" w:rsidP="00BD1477">
      <w:pPr>
        <w:pStyle w:val="Heading3"/>
      </w:pPr>
      <w:bookmarkStart w:id="175" w:name="_Toc436140498"/>
      <w:r>
        <w:t xml:space="preserve">Risk </w:t>
      </w:r>
      <w:r w:rsidRPr="00BD1477">
        <w:t>management</w:t>
      </w:r>
      <w:r>
        <w:t xml:space="preserve"> plan</w:t>
      </w:r>
      <w:bookmarkEnd w:id="175"/>
    </w:p>
    <w:p w:rsidR="006E25D0" w:rsidRPr="006E25D0" w:rsidRDefault="006E25D0" w:rsidP="00BD1477">
      <w:r w:rsidRPr="006E25D0">
        <w:t>The RMP evaluator has tabulated the differences between the original EU-RMP, Version 1.0</w:t>
      </w:r>
      <w:r w:rsidR="006A3FF5">
        <w:t xml:space="preserve">, and the updated version 3.0 </w:t>
      </w:r>
      <w:r w:rsidRPr="006E25D0">
        <w:t>RMP, plus the summary of safety concerns (important identified risks, important potential risks and missing i</w:t>
      </w:r>
      <w:r w:rsidR="00E03E3B">
        <w:t>nformation) (Table 3</w:t>
      </w:r>
      <w:r w:rsidR="00FA7A24">
        <w:t>0</w:t>
      </w:r>
      <w:r w:rsidR="00E03E3B">
        <w:t>)</w:t>
      </w:r>
      <w:r w:rsidRPr="006E25D0">
        <w:t>.</w:t>
      </w:r>
    </w:p>
    <w:p w:rsidR="00E94915" w:rsidRDefault="00E94915" w:rsidP="00BD1477">
      <w:pPr>
        <w:pStyle w:val="TableTitle"/>
      </w:pPr>
      <w:r>
        <w:t xml:space="preserve">Table </w:t>
      </w:r>
      <w:r w:rsidR="00D84D7A">
        <w:t>3</w:t>
      </w:r>
      <w:r w:rsidR="00FA7A24">
        <w:t>0</w:t>
      </w:r>
      <w:r>
        <w:t>:</w:t>
      </w:r>
      <w:r w:rsidRPr="004C5C28">
        <w:t xml:space="preserve"> </w:t>
      </w:r>
      <w:r w:rsidR="00445236">
        <w:t>D</w:t>
      </w:r>
      <w:r w:rsidR="00445236" w:rsidRPr="006E25D0">
        <w:t>ifferenc</w:t>
      </w:r>
      <w:r w:rsidR="00A401F4">
        <w:t xml:space="preserve">es </w:t>
      </w:r>
      <w:r w:rsidR="00A401F4" w:rsidRPr="00BD1477">
        <w:t>between</w:t>
      </w:r>
      <w:r w:rsidR="00A401F4">
        <w:t xml:space="preserve"> the original EU-RMP </w:t>
      </w:r>
      <w:r w:rsidR="00445236" w:rsidRPr="006E25D0">
        <w:t>and the updated version RMP, plus the summary of safety concerns</w:t>
      </w:r>
      <w:r>
        <w:t>.</w:t>
      </w:r>
    </w:p>
    <w:p w:rsidR="00E94915" w:rsidRDefault="00CD4980" w:rsidP="00BD1477">
      <w:pPr>
        <w:rPr>
          <w:rFonts w:asciiTheme="minorHAnsi" w:hAnsiTheme="minorHAnsi"/>
        </w:rPr>
      </w:pPr>
      <w:r>
        <w:rPr>
          <w:noProof/>
          <w:lang w:eastAsia="en-AU"/>
        </w:rPr>
        <w:drawing>
          <wp:inline distT="0" distB="0" distL="0" distR="0" wp14:anchorId="37651161" wp14:editId="3B58927A">
            <wp:extent cx="4914199" cy="1444858"/>
            <wp:effectExtent l="0" t="0" r="1270" b="3175"/>
            <wp:docPr id="43" name="Picture 43" descr="Table 30: Differences between the original EU-RMP and the updated version RMP, plus the summary of safety concerns." title="Table 30: Differences between the original EU-RMP and the updated version RMP, plus the summary of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14592" cy="1444974"/>
                    </a:xfrm>
                    <a:prstGeom prst="rect">
                      <a:avLst/>
                    </a:prstGeom>
                  </pic:spPr>
                </pic:pic>
              </a:graphicData>
            </a:graphic>
          </wp:inline>
        </w:drawing>
      </w:r>
    </w:p>
    <w:p w:rsidR="00E94915" w:rsidRPr="00B57855" w:rsidRDefault="00E94915" w:rsidP="00BD1477">
      <w:r w:rsidRPr="00B57855">
        <w:t xml:space="preserve">The EMA has mandated a disease registry for both </w:t>
      </w:r>
      <w:r w:rsidR="00C33142">
        <w:t>PSOR</w:t>
      </w:r>
      <w:r w:rsidRPr="00B57855">
        <w:t xml:space="preserve"> and </w:t>
      </w:r>
      <w:proofErr w:type="spellStart"/>
      <w:r w:rsidR="00852871">
        <w:t>PsA</w:t>
      </w:r>
      <w:proofErr w:type="spellEnd"/>
      <w:r w:rsidRPr="00B57855">
        <w:t xml:space="preserve"> in their pharmacovigilance activity in order to monitor the safety concerns of hypersensitivity, depression, vasculitis and risk of triggering suicide. The sponsor should justify why Australian patients should not be included in such a registry.</w:t>
      </w:r>
    </w:p>
    <w:p w:rsidR="00E94915" w:rsidRDefault="00E94915" w:rsidP="00BD1477">
      <w:pPr>
        <w:pStyle w:val="Heading5"/>
      </w:pPr>
      <w:r>
        <w:t xml:space="preserve">Interaction with </w:t>
      </w:r>
      <w:r w:rsidRPr="00BD1477">
        <w:t>strong</w:t>
      </w:r>
      <w:r>
        <w:t xml:space="preserve"> CYP3A4 inhibitors</w:t>
      </w:r>
    </w:p>
    <w:p w:rsidR="00E94915" w:rsidRPr="00B57855" w:rsidRDefault="00E94915" w:rsidP="00BD1477">
      <w:r w:rsidRPr="00B57855">
        <w:t>In the PI section on “Pharmacokinetic interaction with strong CYP3A4 inducers”, the sponsor has suggested including the examples: rifampicin</w:t>
      </w:r>
      <w:r w:rsidR="00FB0A87">
        <w:t xml:space="preserve">, phenobarbital, </w:t>
      </w:r>
      <w:proofErr w:type="gramStart"/>
      <w:r w:rsidR="00FB0A87">
        <w:t>carbamazepine and</w:t>
      </w:r>
      <w:r w:rsidRPr="00B57855">
        <w:t xml:space="preserve"> St. John’s</w:t>
      </w:r>
      <w:proofErr w:type="gramEnd"/>
      <w:r w:rsidRPr="00B57855">
        <w:t xml:space="preserve"> </w:t>
      </w:r>
      <w:proofErr w:type="spellStart"/>
      <w:r w:rsidRPr="00B57855">
        <w:t>wort</w:t>
      </w:r>
      <w:proofErr w:type="spellEnd"/>
      <w:r w:rsidRPr="00B57855">
        <w:t>. The Delegate concurs with this proposal.</w:t>
      </w:r>
    </w:p>
    <w:p w:rsidR="00E94915" w:rsidRPr="00F53213" w:rsidRDefault="00E94915" w:rsidP="00BD1477">
      <w:pPr>
        <w:pStyle w:val="Heading5"/>
      </w:pPr>
      <w:r w:rsidRPr="00BD1477">
        <w:t>Weight</w:t>
      </w:r>
      <w:r w:rsidRPr="00F53213">
        <w:t xml:space="preserve"> change</w:t>
      </w:r>
    </w:p>
    <w:p w:rsidR="00E94915" w:rsidRPr="00B57855" w:rsidRDefault="00E94915" w:rsidP="00BD1477">
      <w:r w:rsidRPr="00B57855">
        <w:t xml:space="preserve">The sponsor has identified the risk of ‘off-label’ use of </w:t>
      </w:r>
      <w:r w:rsidR="002B6593">
        <w:t>APR</w:t>
      </w:r>
      <w:r w:rsidRPr="00B57855">
        <w:t xml:space="preserve"> solely for weight loss purposes, which they state will be minimised by the medicine being prescription only.</w:t>
      </w:r>
    </w:p>
    <w:p w:rsidR="00E94915" w:rsidRPr="00B57855" w:rsidRDefault="00E94915" w:rsidP="00BD1477">
      <w:r w:rsidRPr="00B57855">
        <w:t xml:space="preserve">In the RMP, the sponsor has reported data from the controlled </w:t>
      </w:r>
      <w:r w:rsidR="00FB0A87">
        <w:t>P</w:t>
      </w:r>
      <w:r w:rsidR="006D37C4">
        <w:t>hase III</w:t>
      </w:r>
      <w:r w:rsidRPr="00B57855">
        <w:t xml:space="preserve"> trials and not from the overall </w:t>
      </w:r>
      <w:r w:rsidR="002B6593">
        <w:t>APR</w:t>
      </w:r>
      <w:r w:rsidRPr="00B57855">
        <w:t xml:space="preserve"> data pool. The former contains a much smaller incidence of weight loss than the latter, and as such have appeared to have minimised the apparent risk form </w:t>
      </w:r>
      <w:r w:rsidR="002B6593">
        <w:t>APR</w:t>
      </w:r>
      <w:r w:rsidRPr="00B57855">
        <w:t xml:space="preserve">. The controlled period in the </w:t>
      </w:r>
      <w:r w:rsidR="009A073A">
        <w:t>Phase III</w:t>
      </w:r>
      <w:r w:rsidRPr="00B57855">
        <w:t xml:space="preserve"> trials reports the relative difference in weight loss between </w:t>
      </w:r>
      <w:r w:rsidR="0011514D">
        <w:t>PBO</w:t>
      </w:r>
      <w:r w:rsidRPr="00B57855">
        <w:t xml:space="preserve"> and </w:t>
      </w:r>
      <w:r w:rsidR="002B6593">
        <w:t>APR</w:t>
      </w:r>
      <w:r w:rsidRPr="00B57855">
        <w:t xml:space="preserve"> subjects, whereas the pooled data represents the total </w:t>
      </w:r>
      <w:r w:rsidR="002B6593">
        <w:t>APR</w:t>
      </w:r>
      <w:r w:rsidRPr="00B57855">
        <w:t xml:space="preserve"> experience, which is more likely to represent use if the medicine is registered.</w:t>
      </w:r>
    </w:p>
    <w:p w:rsidR="00E94915" w:rsidRPr="00B57855" w:rsidRDefault="00E94915" w:rsidP="00BD1477">
      <w:r w:rsidRPr="00B57855">
        <w:t>The sponsor proposes to include the following wording in the PI:</w:t>
      </w:r>
    </w:p>
    <w:p w:rsidR="00E94915" w:rsidRPr="00B57855" w:rsidRDefault="00E94915" w:rsidP="00B57855">
      <w:pPr>
        <w:ind w:left="720"/>
        <w:rPr>
          <w:i/>
        </w:rPr>
      </w:pPr>
      <w:r w:rsidRPr="00B57855">
        <w:rPr>
          <w:i/>
        </w:rPr>
        <w:t>“Patients who are underweight at the start of treatment should have their body weight monitored regularly. In the event of unexplained and clinically significant weight loss, these patients should be evaluated by a medical practitioner and discontinuation of treatment should be considered.”</w:t>
      </w:r>
    </w:p>
    <w:p w:rsidR="00E94915" w:rsidRPr="00B57855" w:rsidRDefault="00E94915" w:rsidP="00BD1477">
      <w:r w:rsidRPr="00B57855">
        <w:t>This proposed entry is discussed in the section on the product information below.</w:t>
      </w:r>
    </w:p>
    <w:p w:rsidR="00E94915" w:rsidRPr="00F53213" w:rsidRDefault="00E94915" w:rsidP="00BD1477">
      <w:pPr>
        <w:pStyle w:val="Heading5"/>
      </w:pPr>
      <w:r w:rsidRPr="00F53213">
        <w:t xml:space="preserve">Risk of </w:t>
      </w:r>
      <w:r w:rsidRPr="00BD1477">
        <w:t>vasculitis</w:t>
      </w:r>
    </w:p>
    <w:p w:rsidR="00E94915" w:rsidRPr="0029000B" w:rsidRDefault="00E94915" w:rsidP="00BD1477">
      <w:r w:rsidRPr="0029000B">
        <w:t>Vasculitis was observed in the pre-clinical studies and has been included in the routine risk minimisation measures.</w:t>
      </w:r>
    </w:p>
    <w:p w:rsidR="00E94915" w:rsidRPr="00573598" w:rsidRDefault="00E94915" w:rsidP="00BD1477">
      <w:pPr>
        <w:pStyle w:val="Heading3"/>
      </w:pPr>
      <w:bookmarkStart w:id="176" w:name="_Toc436140499"/>
      <w:r>
        <w:t>Proposed regulatory action and indication</w:t>
      </w:r>
      <w:bookmarkEnd w:id="176"/>
    </w:p>
    <w:p w:rsidR="00E94915" w:rsidRPr="0029000B" w:rsidRDefault="00E94915" w:rsidP="00BD1477">
      <w:pPr>
        <w:pStyle w:val="ListBullet"/>
      </w:pPr>
      <w:r w:rsidRPr="0029000B">
        <w:t xml:space="preserve">The </w:t>
      </w:r>
      <w:r w:rsidRPr="00BD1477">
        <w:t>Delegate</w:t>
      </w:r>
      <w:r w:rsidRPr="0029000B">
        <w:t xml:space="preserve"> considers that the efficacy data contained in the dossier support the registration of </w:t>
      </w:r>
      <w:r w:rsidR="002B6593">
        <w:t>APR</w:t>
      </w:r>
      <w:r w:rsidRPr="0029000B">
        <w:t xml:space="preserve"> for the treatment of </w:t>
      </w:r>
      <w:r w:rsidR="00C33142">
        <w:t>PSOR</w:t>
      </w:r>
      <w:r w:rsidRPr="0029000B">
        <w:t xml:space="preserve"> and </w:t>
      </w:r>
      <w:proofErr w:type="spellStart"/>
      <w:r w:rsidR="00852871">
        <w:t>PsA</w:t>
      </w:r>
      <w:r w:rsidRPr="0029000B">
        <w:t>.</w:t>
      </w:r>
      <w:proofErr w:type="spellEnd"/>
    </w:p>
    <w:p w:rsidR="00E94915" w:rsidRPr="0029000B" w:rsidRDefault="00E94915" w:rsidP="00BD1477">
      <w:pPr>
        <w:pStyle w:val="ListBullet"/>
      </w:pPr>
      <w:r w:rsidRPr="0029000B">
        <w:t xml:space="preserve">Following the PSC meeting, the sponsor provided an unsolicited response to the issue of lower clearance in females and the potential risk of increased adverse events in this patient group. This document re-iterates that efficacy was demonstrated in </w:t>
      </w:r>
      <w:proofErr w:type="spellStart"/>
      <w:r w:rsidRPr="0029000B">
        <w:t>PsA</w:t>
      </w:r>
      <w:proofErr w:type="spellEnd"/>
      <w:r w:rsidRPr="0029000B">
        <w:t xml:space="preserve"> patients with both 20</w:t>
      </w:r>
      <w:r w:rsidR="00401AB8">
        <w:t xml:space="preserve"> </w:t>
      </w:r>
      <w:r w:rsidRPr="0029000B">
        <w:t>mg and 30</w:t>
      </w:r>
      <w:r w:rsidR="00401AB8">
        <w:t xml:space="preserve"> </w:t>
      </w:r>
      <w:r w:rsidRPr="0029000B">
        <w:t xml:space="preserve">mg BD dosing as compared to </w:t>
      </w:r>
      <w:r w:rsidR="0011514D">
        <w:t>PBO</w:t>
      </w:r>
      <w:r w:rsidRPr="0029000B">
        <w:t>, in previously treated and treatment-naïve subjects, but that the effect was greater in those receiving 30</w:t>
      </w:r>
      <w:r w:rsidR="00401AB8">
        <w:t xml:space="preserve"> </w:t>
      </w:r>
      <w:r w:rsidRPr="0029000B">
        <w:t>mg.</w:t>
      </w:r>
    </w:p>
    <w:p w:rsidR="00E94915" w:rsidRPr="0029000B" w:rsidRDefault="00E94915" w:rsidP="00BD1477">
      <w:pPr>
        <w:pStyle w:val="ListBullet"/>
        <w:numPr>
          <w:ilvl w:val="0"/>
          <w:numId w:val="0"/>
        </w:numPr>
        <w:ind w:left="360"/>
      </w:pPr>
      <w:r w:rsidRPr="0029000B">
        <w:t xml:space="preserve">The </w:t>
      </w:r>
      <w:r w:rsidR="009811AD">
        <w:t>s</w:t>
      </w:r>
      <w:r w:rsidRPr="0029000B">
        <w:t xml:space="preserve">ponsor presented the pooled proportion of subjects achieving a modified ACR20 response and </w:t>
      </w:r>
      <w:r w:rsidR="005D1C34">
        <w:t>W</w:t>
      </w:r>
      <w:r w:rsidRPr="0029000B">
        <w:t xml:space="preserve">eeks 16 and 24 for </w:t>
      </w:r>
      <w:r w:rsidR="004C28C1">
        <w:t>S</w:t>
      </w:r>
      <w:r w:rsidRPr="0029000B">
        <w:t>tudies PSA-002, PSA-003 and PSA 004 (</w:t>
      </w:r>
      <w:r w:rsidR="00540ABC">
        <w:t>Table 3</w:t>
      </w:r>
      <w:r w:rsidR="00FA7A24">
        <w:t>1</w:t>
      </w:r>
      <w:r w:rsidR="00540ABC">
        <w:t>)</w:t>
      </w:r>
      <w:r w:rsidR="009B300E">
        <w:t>.</w:t>
      </w:r>
    </w:p>
    <w:p w:rsidR="009811AD" w:rsidRDefault="009811AD" w:rsidP="00BD1477">
      <w:pPr>
        <w:pStyle w:val="TableTitle"/>
      </w:pPr>
      <w:proofErr w:type="gramStart"/>
      <w:r>
        <w:t>Table 3</w:t>
      </w:r>
      <w:r w:rsidR="00FA7A24">
        <w:t>1</w:t>
      </w:r>
      <w:r>
        <w:t>:</w:t>
      </w:r>
      <w:r w:rsidRPr="004C5C28">
        <w:t xml:space="preserve"> </w:t>
      </w:r>
      <w:r w:rsidR="008D33E0">
        <w:t>P</w:t>
      </w:r>
      <w:r w:rsidR="008D33E0" w:rsidRPr="0029000B">
        <w:t xml:space="preserve">ooled proportion of subjects achieving a modified ACR20 response and </w:t>
      </w:r>
      <w:r w:rsidR="005D1C34">
        <w:t>W</w:t>
      </w:r>
      <w:r w:rsidR="008D33E0" w:rsidRPr="0029000B">
        <w:t xml:space="preserve">eeks 16 and 24 </w:t>
      </w:r>
      <w:r w:rsidR="008D33E0" w:rsidRPr="00BD1477">
        <w:t>for</w:t>
      </w:r>
      <w:r w:rsidR="008D33E0" w:rsidRPr="0029000B">
        <w:t xml:space="preserve"> </w:t>
      </w:r>
      <w:r w:rsidR="004C28C1">
        <w:t>S</w:t>
      </w:r>
      <w:r w:rsidR="008D33E0" w:rsidRPr="0029000B">
        <w:t>tudies PSA-002, PSA-003 and PSA 004</w:t>
      </w:r>
      <w:r>
        <w:t>.</w:t>
      </w:r>
      <w:proofErr w:type="gramEnd"/>
    </w:p>
    <w:p w:rsidR="00E94915" w:rsidRDefault="00AD392E" w:rsidP="00BD1477">
      <w:r>
        <w:rPr>
          <w:noProof/>
          <w:lang w:eastAsia="en-AU"/>
        </w:rPr>
        <w:drawing>
          <wp:inline distT="0" distB="0" distL="0" distR="0" wp14:anchorId="4FF81CCC" wp14:editId="7C75AD13">
            <wp:extent cx="5051533" cy="2019534"/>
            <wp:effectExtent l="0" t="0" r="0" b="0"/>
            <wp:docPr id="44" name="Picture 44" descr="Table 31: Pooled proportion of subjects achieving a modified ACR20 response and Weeks 16 and 24 for Studies PSA-002, PSA-003 and PSA 004." title="Table 31: Pooled proportion of subjects achieving a modified ACR20 response and Weeks 16 and 24 for Studies PSA-002, PSA-003 and PSA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55347" cy="2021059"/>
                    </a:xfrm>
                    <a:prstGeom prst="rect">
                      <a:avLst/>
                    </a:prstGeom>
                  </pic:spPr>
                </pic:pic>
              </a:graphicData>
            </a:graphic>
          </wp:inline>
        </w:drawing>
      </w:r>
    </w:p>
    <w:p w:rsidR="00401AB8" w:rsidRPr="00BD1477" w:rsidRDefault="00401AB8" w:rsidP="00BD1477">
      <w:pPr>
        <w:pStyle w:val="ListBullet"/>
        <w:numPr>
          <w:ilvl w:val="0"/>
          <w:numId w:val="0"/>
        </w:numPr>
        <w:ind w:left="360"/>
      </w:pPr>
      <w:r w:rsidRPr="00BD1477">
        <w:t xml:space="preserve">The sponsor reported a nominally statistically significant difference between the 20mg or 30 mg dosing groups and the </w:t>
      </w:r>
      <w:r w:rsidR="0011514D" w:rsidRPr="00BD1477">
        <w:t>PBO</w:t>
      </w:r>
      <w:r w:rsidRPr="00BD1477">
        <w:t xml:space="preserve"> group for the pooled data.</w:t>
      </w:r>
    </w:p>
    <w:p w:rsidR="00401AB8" w:rsidRPr="00BD1477" w:rsidRDefault="00401AB8" w:rsidP="00BD1477">
      <w:pPr>
        <w:pStyle w:val="ListBullet"/>
        <w:numPr>
          <w:ilvl w:val="0"/>
          <w:numId w:val="0"/>
        </w:numPr>
        <w:ind w:left="360"/>
      </w:pPr>
      <w:r w:rsidRPr="00BD1477">
        <w:t>However, using these results, the difference in proportion of responders is not statistically significant between the 20</w:t>
      </w:r>
      <w:r w:rsidR="00750CB5" w:rsidRPr="00BD1477">
        <w:t xml:space="preserve"> </w:t>
      </w:r>
      <w:r w:rsidRPr="00BD1477">
        <w:t>mg and 30</w:t>
      </w:r>
      <w:r w:rsidR="00750CB5" w:rsidRPr="00BD1477">
        <w:t xml:space="preserve"> </w:t>
      </w:r>
      <w:r w:rsidRPr="00BD1477">
        <w:t>mg pooled dosing groups at either time</w:t>
      </w:r>
      <w:r w:rsidR="00750CB5" w:rsidRPr="00BD1477">
        <w:t xml:space="preserve"> </w:t>
      </w:r>
      <w:r w:rsidRPr="00BD1477">
        <w:t>point. Furthermore, the difference in proportions of subjects achieving an ACR20 response was not consistently better for the 30</w:t>
      </w:r>
      <w:r w:rsidR="00750CB5" w:rsidRPr="00BD1477">
        <w:t xml:space="preserve"> </w:t>
      </w:r>
      <w:r w:rsidRPr="00BD1477">
        <w:t>mg BD subjects as compared to those recei</w:t>
      </w:r>
      <w:r w:rsidR="007D35BD" w:rsidRPr="00BD1477">
        <w:t>ving 20</w:t>
      </w:r>
      <w:r w:rsidR="00750CB5" w:rsidRPr="00BD1477">
        <w:t xml:space="preserve"> </w:t>
      </w:r>
      <w:r w:rsidR="007D35BD" w:rsidRPr="00BD1477">
        <w:t>mg BD across all studies.</w:t>
      </w:r>
    </w:p>
    <w:p w:rsidR="00401AB8" w:rsidRPr="00BD1477" w:rsidRDefault="00401AB8" w:rsidP="00BD1477">
      <w:pPr>
        <w:pStyle w:val="ListBullet"/>
        <w:numPr>
          <w:ilvl w:val="0"/>
          <w:numId w:val="0"/>
        </w:numPr>
        <w:ind w:left="360"/>
      </w:pPr>
      <w:r w:rsidRPr="00BD1477">
        <w:t xml:space="preserve">The clinical evaluator reported that there were more discontinuations in the </w:t>
      </w:r>
      <w:r w:rsidR="002B6593" w:rsidRPr="00BD1477">
        <w:t>APR</w:t>
      </w:r>
      <w:r w:rsidRPr="00BD1477">
        <w:t>-exposed subjects in the first 16 weeks of treatment. The sponsor has stated that the increase in adverse events of headache and gastrointestinal events, including diarrhoea, nausea and vomiting were higher with the 30</w:t>
      </w:r>
      <w:r w:rsidR="00750CB5" w:rsidRPr="00BD1477">
        <w:t xml:space="preserve"> </w:t>
      </w:r>
      <w:r w:rsidRPr="00BD1477">
        <w:t>mg twice daily than wi</w:t>
      </w:r>
      <w:r w:rsidR="00750CB5" w:rsidRPr="00BD1477">
        <w:t>th 20</w:t>
      </w:r>
      <w:r w:rsidR="00865484" w:rsidRPr="00BD1477">
        <w:t xml:space="preserve"> </w:t>
      </w:r>
      <w:r w:rsidR="00750CB5" w:rsidRPr="00BD1477">
        <w:t>mg twice daily. Further,</w:t>
      </w:r>
      <w:r w:rsidRPr="00BD1477">
        <w:t xml:space="preserve"> it is stated that “the majority of these events were mild to moderate in severity, and the number of subjects with serious events was low and comparable between the </w:t>
      </w:r>
      <w:r w:rsidR="00BD1477">
        <w:t>two doses”.</w:t>
      </w:r>
    </w:p>
    <w:p w:rsidR="00401AB8" w:rsidRPr="00BD1477" w:rsidRDefault="00401AB8" w:rsidP="00BD1477">
      <w:pPr>
        <w:pStyle w:val="ListBullet"/>
        <w:numPr>
          <w:ilvl w:val="0"/>
          <w:numId w:val="0"/>
        </w:numPr>
        <w:ind w:left="360"/>
      </w:pPr>
      <w:r w:rsidRPr="00BD1477">
        <w:t>In addressing the concerns of the PSC regarding the optimal dose for female patients, the Delegate considers that the sponsor should provide the top-line safety data split according to sex.</w:t>
      </w:r>
    </w:p>
    <w:p w:rsidR="00401AB8" w:rsidRPr="00BD1477" w:rsidRDefault="00401AB8" w:rsidP="00BD1477">
      <w:pPr>
        <w:pStyle w:val="ListBullet"/>
        <w:numPr>
          <w:ilvl w:val="0"/>
          <w:numId w:val="0"/>
        </w:numPr>
        <w:ind w:left="360"/>
      </w:pPr>
      <w:r w:rsidRPr="00BD1477">
        <w:t>The 20</w:t>
      </w:r>
      <w:r w:rsidR="00865484" w:rsidRPr="00BD1477">
        <w:t xml:space="preserve"> </w:t>
      </w:r>
      <w:r w:rsidRPr="00BD1477">
        <w:t>mg tablet will be manufactured but will only be supplied in a starter pack for initial up-titration purposes. This situation is less than satisfactory as it precludes patients experiencing intolerable adverse effects while receiving 30md BD from being able to reduce the dose to 20</w:t>
      </w:r>
      <w:r w:rsidR="00865484" w:rsidRPr="00BD1477">
        <w:t xml:space="preserve"> mg BD, </w:t>
      </w:r>
      <w:r w:rsidRPr="00BD1477">
        <w:t xml:space="preserve">which was also demonstrated to be superior to </w:t>
      </w:r>
      <w:r w:rsidR="0011514D" w:rsidRPr="00BD1477">
        <w:t>PBO</w:t>
      </w:r>
      <w:r w:rsidRPr="00BD1477">
        <w:t xml:space="preserve"> for efficacy bu</w:t>
      </w:r>
      <w:r w:rsidR="00197AD1" w:rsidRPr="00BD1477">
        <w:t>t with less risk of AEs</w:t>
      </w:r>
      <w:r w:rsidRPr="00BD1477">
        <w:t>.</w:t>
      </w:r>
    </w:p>
    <w:p w:rsidR="00401AB8" w:rsidRPr="00BD1477" w:rsidRDefault="00401AB8" w:rsidP="00BD1477">
      <w:pPr>
        <w:pStyle w:val="ListBullet"/>
        <w:numPr>
          <w:ilvl w:val="0"/>
          <w:numId w:val="0"/>
        </w:numPr>
        <w:ind w:left="360"/>
      </w:pPr>
      <w:r w:rsidRPr="00BD1477">
        <w:t>There is a potential to dose-reduce to 30</w:t>
      </w:r>
      <w:r w:rsidR="00197AD1" w:rsidRPr="00BD1477">
        <w:t xml:space="preserve"> </w:t>
      </w:r>
      <w:r w:rsidRPr="00BD1477">
        <w:t>mg once daily, but efficacy at this dose has not been demonstrated.</w:t>
      </w:r>
    </w:p>
    <w:p w:rsidR="00401AB8" w:rsidRPr="00BD1477" w:rsidRDefault="00401AB8" w:rsidP="00BD1477">
      <w:pPr>
        <w:pStyle w:val="ListBullet"/>
        <w:numPr>
          <w:ilvl w:val="0"/>
          <w:numId w:val="0"/>
        </w:numPr>
        <w:ind w:left="360"/>
      </w:pPr>
      <w:r w:rsidRPr="00BD1477">
        <w:t>The sponsor should consider the supply of the 20</w:t>
      </w:r>
      <w:r w:rsidR="00197AD1" w:rsidRPr="00BD1477">
        <w:t xml:space="preserve"> </w:t>
      </w:r>
      <w:r w:rsidRPr="00BD1477">
        <w:t xml:space="preserve">mg tablet separate from the starter pack for the purposes of improving tolerance to, and continuation with, </w:t>
      </w:r>
      <w:r w:rsidR="002B6593" w:rsidRPr="00BD1477">
        <w:t>APR</w:t>
      </w:r>
      <w:r w:rsidRPr="00BD1477">
        <w:t>.</w:t>
      </w:r>
    </w:p>
    <w:p w:rsidR="00401AB8" w:rsidRPr="00242214" w:rsidRDefault="00401AB8" w:rsidP="00BD1477">
      <w:pPr>
        <w:pStyle w:val="ListBullet"/>
      </w:pPr>
      <w:r w:rsidRPr="00242214">
        <w:t xml:space="preserve">The Delegate considers that the product information for </w:t>
      </w:r>
      <w:r w:rsidR="002B6593">
        <w:t>APR</w:t>
      </w:r>
      <w:r w:rsidRPr="00242214">
        <w:t xml:space="preserve"> contain a precautionary warning, similar to that in </w:t>
      </w:r>
      <w:r w:rsidRPr="00BD1477">
        <w:t>the</w:t>
      </w:r>
      <w:r w:rsidRPr="00242214">
        <w:t xml:space="preserve"> FDA product label, concerning the potential risk of emergent, or worsening of, symptoms of depression, mood change or suicidal ideation while taking </w:t>
      </w:r>
      <w:r w:rsidR="002B6593">
        <w:t>APR</w:t>
      </w:r>
      <w:r w:rsidRPr="00242214">
        <w:t>. This advice would be consistent with the information contained in overseas product information documents.</w:t>
      </w:r>
    </w:p>
    <w:p w:rsidR="00401AB8" w:rsidRPr="00242214" w:rsidRDefault="00401AB8" w:rsidP="00BD1477">
      <w:pPr>
        <w:pStyle w:val="ListBullet"/>
      </w:pPr>
      <w:r w:rsidRPr="00242214">
        <w:t xml:space="preserve">There is a common risk of </w:t>
      </w:r>
      <w:r w:rsidRPr="00BD1477">
        <w:t>substantial</w:t>
      </w:r>
      <w:r w:rsidRPr="00242214">
        <w:t xml:space="preserve"> weight loss while taking </w:t>
      </w:r>
      <w:r w:rsidR="002B6593">
        <w:t>APR</w:t>
      </w:r>
      <w:r w:rsidRPr="00242214">
        <w:t>, which may warrant treatment discontinuation in affected individuals, for which a warning is included in the PI. In addition, this adverse effect may be manipulated in off</w:t>
      </w:r>
      <w:r w:rsidR="003A0E91">
        <w:t xml:space="preserve"> </w:t>
      </w:r>
      <w:r w:rsidRPr="00242214">
        <w:t xml:space="preserve">label use of </w:t>
      </w:r>
      <w:r w:rsidR="002B6593">
        <w:t>APR</w:t>
      </w:r>
      <w:r w:rsidRPr="00242214">
        <w:t>.</w:t>
      </w:r>
    </w:p>
    <w:p w:rsidR="00401AB8" w:rsidRDefault="00401AB8" w:rsidP="00BD1477">
      <w:pPr>
        <w:pStyle w:val="Heading4"/>
      </w:pPr>
      <w:r>
        <w:t xml:space="preserve">Data </w:t>
      </w:r>
      <w:r w:rsidRPr="00BD1477">
        <w:t>deficiencies</w:t>
      </w:r>
      <w:r>
        <w:t>/limitations</w:t>
      </w:r>
    </w:p>
    <w:p w:rsidR="00401AB8" w:rsidRPr="00BB2111" w:rsidRDefault="00401AB8" w:rsidP="00BD1477">
      <w:r w:rsidRPr="00BB2111">
        <w:t xml:space="preserve">Although the primary efficacy end points of the </w:t>
      </w:r>
      <w:r w:rsidR="00C33142">
        <w:t>PSOR</w:t>
      </w:r>
      <w:r w:rsidRPr="00BB2111">
        <w:t xml:space="preserve"> studies were met, a limitation of the data is that for the enrolled subjects who had moderate or severe </w:t>
      </w:r>
      <w:r w:rsidR="00C33142">
        <w:t>PSOR</w:t>
      </w:r>
      <w:r w:rsidRPr="00BB2111">
        <w:t xml:space="preserve">, eligible for systemic therapy or phototherapy, none of the efficacy studies provide any evidence of comparative efficacy between these alternative treatment options and </w:t>
      </w:r>
      <w:r w:rsidR="002B6593">
        <w:t>APR</w:t>
      </w:r>
      <w:r w:rsidRPr="00BB2111">
        <w:t>. This deficiency should be included in the clinical trials section of the product information.</w:t>
      </w:r>
    </w:p>
    <w:p w:rsidR="00401AB8" w:rsidRDefault="00401AB8" w:rsidP="00BD1477">
      <w:pPr>
        <w:pStyle w:val="Heading4"/>
      </w:pPr>
      <w:r>
        <w:t xml:space="preserve">Questions for </w:t>
      </w:r>
      <w:r w:rsidRPr="00BD1477">
        <w:t>the</w:t>
      </w:r>
      <w:r>
        <w:t xml:space="preserve"> sponsor</w:t>
      </w:r>
    </w:p>
    <w:p w:rsidR="00401AB8" w:rsidRPr="00BB2111" w:rsidRDefault="00401AB8" w:rsidP="00BD1477">
      <w:pPr>
        <w:pStyle w:val="ListBullet"/>
      </w:pPr>
      <w:r w:rsidRPr="00BB2111">
        <w:t xml:space="preserve">What were the proportions of subjects that had missing data at the primary efficacy assessment point and required the last </w:t>
      </w:r>
      <w:r w:rsidRPr="00BD1477">
        <w:t>observation</w:t>
      </w:r>
      <w:r w:rsidRPr="00BB2111">
        <w:t xml:space="preserve"> to be carried forward for the primary efficacy outcome in </w:t>
      </w:r>
      <w:proofErr w:type="spellStart"/>
      <w:r w:rsidRPr="00BB2111">
        <w:t>PsA</w:t>
      </w:r>
      <w:proofErr w:type="spellEnd"/>
      <w:r w:rsidRPr="00BB2111">
        <w:t xml:space="preserve"> and PSOR studies, in the </w:t>
      </w:r>
      <w:r w:rsidR="0011514D">
        <w:t>PBO</w:t>
      </w:r>
      <w:r w:rsidRPr="00BB2111">
        <w:t>, 20</w:t>
      </w:r>
      <w:r w:rsidR="003A0E91">
        <w:t xml:space="preserve"> </w:t>
      </w:r>
      <w:r w:rsidRPr="00BB2111">
        <w:t>mg BD and 30</w:t>
      </w:r>
      <w:r w:rsidR="003A0E91">
        <w:t xml:space="preserve"> </w:t>
      </w:r>
      <w:r w:rsidRPr="00BB2111">
        <w:t>mg BD exposure groups?</w:t>
      </w:r>
    </w:p>
    <w:p w:rsidR="00401AB8" w:rsidRPr="00BB2111" w:rsidRDefault="00401AB8" w:rsidP="00BD1477">
      <w:pPr>
        <w:pStyle w:val="ListBullet"/>
      </w:pPr>
      <w:r w:rsidRPr="00BB2111">
        <w:t xml:space="preserve">The sponsor is kindly requested to present the top-line adverse </w:t>
      </w:r>
      <w:r w:rsidRPr="00BD1477">
        <w:t>event</w:t>
      </w:r>
      <w:r w:rsidRPr="00BB2111">
        <w:t xml:space="preserve"> data for females and males sepa</w:t>
      </w:r>
      <w:r w:rsidR="003A0E91">
        <w:t xml:space="preserve">rately in their pre </w:t>
      </w:r>
      <w:r w:rsidR="005A19BE" w:rsidRPr="005A19BE">
        <w:t xml:space="preserve">Advisory Committee on Prescription Medicines </w:t>
      </w:r>
      <w:r w:rsidR="005A19BE">
        <w:t>(</w:t>
      </w:r>
      <w:r w:rsidRPr="00BB2111">
        <w:t>ACPM</w:t>
      </w:r>
      <w:r w:rsidR="005A19BE">
        <w:t>)</w:t>
      </w:r>
      <w:r w:rsidRPr="00BB2111">
        <w:t xml:space="preserve"> response.</w:t>
      </w:r>
    </w:p>
    <w:p w:rsidR="00401AB8" w:rsidRDefault="00401AB8" w:rsidP="00BD1477">
      <w:pPr>
        <w:pStyle w:val="Heading4"/>
      </w:pPr>
      <w:r w:rsidRPr="00BD1477">
        <w:t>Conditions</w:t>
      </w:r>
      <w:r>
        <w:t xml:space="preserve"> of registration</w:t>
      </w:r>
    </w:p>
    <w:p w:rsidR="00401AB8" w:rsidRPr="00BB2111" w:rsidRDefault="00401AB8" w:rsidP="00BD1477">
      <w:pPr>
        <w:pStyle w:val="ListBullet"/>
      </w:pPr>
      <w:r w:rsidRPr="00BB2111">
        <w:t xml:space="preserve">The sponsor should commit to presenting the final CSR for </w:t>
      </w:r>
      <w:r w:rsidR="006D1042">
        <w:t>S</w:t>
      </w:r>
      <w:r w:rsidRPr="00BB2111">
        <w:t>tudy CC-10</w:t>
      </w:r>
      <w:r w:rsidR="006D1042">
        <w:t>004-CP-029, investigating the pharmacokinetics</w:t>
      </w:r>
      <w:r w:rsidRPr="00BB2111">
        <w:t xml:space="preserve"> of </w:t>
      </w:r>
      <w:r w:rsidR="002B6593">
        <w:t>APR</w:t>
      </w:r>
      <w:r w:rsidRPr="00BB2111">
        <w:t xml:space="preserve"> in patients with mild or moderate renal impairment, to the </w:t>
      </w:r>
      <w:r w:rsidRPr="00BD1477">
        <w:t>TGA</w:t>
      </w:r>
      <w:r w:rsidRPr="00BB2111">
        <w:t>.</w:t>
      </w:r>
    </w:p>
    <w:p w:rsidR="00401AB8" w:rsidRPr="00BB2111" w:rsidRDefault="00401AB8" w:rsidP="00BD1477">
      <w:pPr>
        <w:pStyle w:val="ListBullet"/>
      </w:pPr>
      <w:r w:rsidRPr="00BB2111">
        <w:t xml:space="preserve">The Delegate considers that prescribing should be restricted to specialist physicians experienced in </w:t>
      </w:r>
      <w:r w:rsidRPr="00BD1477">
        <w:t>the</w:t>
      </w:r>
      <w:r w:rsidRPr="00BB2111">
        <w:t xml:space="preserve"> treatment of </w:t>
      </w:r>
      <w:r w:rsidR="00C33142">
        <w:t>PSOR</w:t>
      </w:r>
      <w:r w:rsidRPr="00BB2111">
        <w:t xml:space="preserve"> or </w:t>
      </w:r>
      <w:proofErr w:type="spellStart"/>
      <w:r w:rsidR="00852871">
        <w:t>PsA</w:t>
      </w:r>
      <w:r w:rsidRPr="00BB2111">
        <w:t>.</w:t>
      </w:r>
      <w:proofErr w:type="spellEnd"/>
    </w:p>
    <w:p w:rsidR="00401AB8" w:rsidRPr="00BB2111" w:rsidRDefault="00401AB8" w:rsidP="00BD1477">
      <w:pPr>
        <w:pStyle w:val="ListBullet"/>
      </w:pPr>
      <w:r w:rsidRPr="00BB2111">
        <w:t xml:space="preserve">The sponsor should include female Australian patients exposed to </w:t>
      </w:r>
      <w:r w:rsidR="002B6593">
        <w:t>APR</w:t>
      </w:r>
      <w:r w:rsidRPr="00BB2111">
        <w:t xml:space="preserve"> while pregnant, or attempting to become pregnant in the patient registry, and include the relevant contact details in </w:t>
      </w:r>
      <w:r w:rsidRPr="00BD1477">
        <w:t>the</w:t>
      </w:r>
      <w:r w:rsidRPr="00BB2111">
        <w:t xml:space="preserve"> product information.</w:t>
      </w:r>
    </w:p>
    <w:p w:rsidR="00401AB8" w:rsidRPr="00BB2111" w:rsidRDefault="00BC5208" w:rsidP="00BD1477">
      <w:pPr>
        <w:pStyle w:val="ListBullet"/>
      </w:pPr>
      <w:r>
        <w:t xml:space="preserve">In their post </w:t>
      </w:r>
      <w:r w:rsidR="00401AB8" w:rsidRPr="00BD1477">
        <w:t>m</w:t>
      </w:r>
      <w:r w:rsidR="00401AB8" w:rsidRPr="00BB2111">
        <w:t xml:space="preserve">arketing reports the sponsor should </w:t>
      </w:r>
      <w:r w:rsidR="00401AB8" w:rsidRPr="00BD1477">
        <w:t>document</w:t>
      </w:r>
      <w:r w:rsidR="00401AB8" w:rsidRPr="00BB2111">
        <w:t xml:space="preserve"> the incidence </w:t>
      </w:r>
      <w:r>
        <w:t>AEs</w:t>
      </w:r>
      <w:r w:rsidR="00401AB8" w:rsidRPr="00BB2111">
        <w:t xml:space="preserve"> for males and females separately.</w:t>
      </w:r>
    </w:p>
    <w:p w:rsidR="008E7846" w:rsidRDefault="00345F06" w:rsidP="00BD1477">
      <w:pPr>
        <w:pStyle w:val="Heading4"/>
      </w:pPr>
      <w:bookmarkStart w:id="177" w:name="_Toc196046505"/>
      <w:bookmarkStart w:id="178" w:name="_Toc196046949"/>
      <w:bookmarkEnd w:id="174"/>
      <w:r>
        <w:t xml:space="preserve">Summary </w:t>
      </w:r>
      <w:r w:rsidRPr="00BD1477">
        <w:t>of</w:t>
      </w:r>
      <w:r>
        <w:t xml:space="preserve"> issues</w:t>
      </w:r>
    </w:p>
    <w:p w:rsidR="00345F06" w:rsidRDefault="00345F06" w:rsidP="00BD1477">
      <w:pPr>
        <w:pStyle w:val="Heading5"/>
      </w:pPr>
      <w:r w:rsidRPr="00BD1477">
        <w:t>Efficacy</w:t>
      </w:r>
    </w:p>
    <w:p w:rsidR="00345F06" w:rsidRPr="00345F06" w:rsidRDefault="00345F06" w:rsidP="00BD1477">
      <w:pPr>
        <w:pStyle w:val="ListBullet"/>
      </w:pPr>
      <w:r w:rsidRPr="00345F06">
        <w:t xml:space="preserve">Efficacy has only been satisfactorily demonstrated against </w:t>
      </w:r>
      <w:r w:rsidR="0011514D">
        <w:t>PBO</w:t>
      </w:r>
      <w:r w:rsidRPr="00345F06">
        <w:t xml:space="preserve"> in </w:t>
      </w:r>
      <w:r w:rsidR="00C33142">
        <w:t>PSOR</w:t>
      </w:r>
      <w:r w:rsidRPr="00345F06">
        <w:t xml:space="preserve"> and </w:t>
      </w:r>
      <w:proofErr w:type="spellStart"/>
      <w:r w:rsidR="00852871">
        <w:t>PsA</w:t>
      </w:r>
      <w:proofErr w:type="spellEnd"/>
      <w:r w:rsidRPr="00345F06">
        <w:t xml:space="preserve"> indications. </w:t>
      </w:r>
      <w:r w:rsidR="002B6593">
        <w:t>APR</w:t>
      </w:r>
      <w:r w:rsidRPr="00345F06">
        <w:t xml:space="preserve"> has </w:t>
      </w:r>
      <w:r w:rsidRPr="00BD1477">
        <w:t>not</w:t>
      </w:r>
      <w:r w:rsidRPr="00345F06">
        <w:t xml:space="preserve"> been studied in combination with, or compared to, other systemic (conventional or biological) therapies or phototherapy. The observed efficacy of </w:t>
      </w:r>
      <w:r w:rsidR="002B6593">
        <w:t>APR</w:t>
      </w:r>
      <w:r w:rsidRPr="00345F06">
        <w:t xml:space="preserve"> appears independent of prior therapy.</w:t>
      </w:r>
    </w:p>
    <w:p w:rsidR="00345F06" w:rsidRPr="00345F06" w:rsidRDefault="00345F06" w:rsidP="00BD1477">
      <w:pPr>
        <w:pStyle w:val="ListBullet"/>
      </w:pPr>
      <w:r w:rsidRPr="00345F06">
        <w:t>Efficacy of 30</w:t>
      </w:r>
      <w:r w:rsidR="00643140">
        <w:t xml:space="preserve"> </w:t>
      </w:r>
      <w:r w:rsidRPr="00345F06">
        <w:t>mg BD (proposed dose) and 20</w:t>
      </w:r>
      <w:r w:rsidR="00643140">
        <w:t xml:space="preserve"> </w:t>
      </w:r>
      <w:r w:rsidRPr="00345F06">
        <w:t xml:space="preserve">mg BD </w:t>
      </w:r>
      <w:r w:rsidR="002B6593">
        <w:t>APR</w:t>
      </w:r>
      <w:r w:rsidRPr="00345F06">
        <w:t xml:space="preserve"> were each demonstrated to be </w:t>
      </w:r>
      <w:r w:rsidRPr="00BD1477">
        <w:t>superior</w:t>
      </w:r>
      <w:r w:rsidRPr="00345F06">
        <w:t xml:space="preserve"> to </w:t>
      </w:r>
      <w:r w:rsidR="0011514D">
        <w:t>PBO</w:t>
      </w:r>
      <w:r w:rsidRPr="00345F06">
        <w:t>.</w:t>
      </w:r>
    </w:p>
    <w:p w:rsidR="00345F06" w:rsidRPr="00345F06" w:rsidRDefault="00345F06" w:rsidP="00BD1477">
      <w:pPr>
        <w:pStyle w:val="ListBullet"/>
      </w:pPr>
      <w:r w:rsidRPr="00345F06">
        <w:t xml:space="preserve">Clearance of </w:t>
      </w:r>
      <w:r w:rsidR="002B6593">
        <w:t>APR</w:t>
      </w:r>
      <w:r w:rsidRPr="00345F06">
        <w:t xml:space="preserve"> is 30% lower in women, potentially requiring routine dose reduction (to 20</w:t>
      </w:r>
      <w:r w:rsidR="00A0208F">
        <w:t xml:space="preserve"> </w:t>
      </w:r>
      <w:r w:rsidRPr="00345F06">
        <w:t>mg BD). This dosing recommendation has not been mandated in other jurisdictions.</w:t>
      </w:r>
    </w:p>
    <w:p w:rsidR="00345F06" w:rsidRPr="005063BF" w:rsidRDefault="00345F06" w:rsidP="00BD1477">
      <w:pPr>
        <w:pStyle w:val="Heading5"/>
      </w:pPr>
      <w:r w:rsidRPr="00BD1477">
        <w:t>Safety</w:t>
      </w:r>
    </w:p>
    <w:p w:rsidR="00345F06" w:rsidRPr="00345F06" w:rsidRDefault="00345F06" w:rsidP="00BD1477">
      <w:pPr>
        <w:pStyle w:val="ListBullet"/>
      </w:pPr>
      <w:r w:rsidRPr="00345F06">
        <w:t xml:space="preserve">Weight loss is a common </w:t>
      </w:r>
      <w:r w:rsidR="00A0208F">
        <w:t>AE</w:t>
      </w:r>
      <w:r w:rsidRPr="00345F06">
        <w:t xml:space="preserve"> and necessitates regular monitoring. Weight loss may </w:t>
      </w:r>
      <w:r w:rsidRPr="00BD1477">
        <w:t>result</w:t>
      </w:r>
      <w:r w:rsidRPr="00345F06">
        <w:t xml:space="preserve"> in off</w:t>
      </w:r>
      <w:r w:rsidR="00A0208F">
        <w:t xml:space="preserve"> </w:t>
      </w:r>
      <w:r w:rsidRPr="00345F06">
        <w:t>label prescribing. A restriction to prescribing by specialist physicians should be mandated.</w:t>
      </w:r>
    </w:p>
    <w:p w:rsidR="00345F06" w:rsidRPr="00345F06" w:rsidRDefault="00ED07A4" w:rsidP="00BD1477">
      <w:pPr>
        <w:pStyle w:val="ListBullet"/>
      </w:pPr>
      <w:r>
        <w:t>There is a r</w:t>
      </w:r>
      <w:r w:rsidR="00345F06" w:rsidRPr="00345F06">
        <w:t xml:space="preserve">isk of </w:t>
      </w:r>
      <w:r w:rsidR="00A0208F" w:rsidRPr="00BD1477">
        <w:t>d</w:t>
      </w:r>
      <w:r w:rsidR="00345F06" w:rsidRPr="00BD1477">
        <w:t>epression</w:t>
      </w:r>
      <w:r w:rsidR="00345F06" w:rsidRPr="00345F06">
        <w:t xml:space="preserve">/suicide/mood disorder in association with </w:t>
      </w:r>
      <w:r w:rsidR="002B6593">
        <w:t>APR</w:t>
      </w:r>
      <w:r w:rsidR="00345F06" w:rsidRPr="00345F06">
        <w:t xml:space="preserve"> use</w:t>
      </w:r>
      <w:r>
        <w:t>.</w:t>
      </w:r>
    </w:p>
    <w:p w:rsidR="00345F06" w:rsidRPr="00345F06" w:rsidRDefault="00345F06" w:rsidP="00B33992">
      <w:pPr>
        <w:pStyle w:val="ListBullet"/>
      </w:pPr>
      <w:r w:rsidRPr="00345F06">
        <w:t>Interactions with strong CYP3A4 inhibitors are warned for.</w:t>
      </w:r>
    </w:p>
    <w:p w:rsidR="00345F06" w:rsidRPr="00345F06" w:rsidRDefault="003F64BF" w:rsidP="00BD1477">
      <w:pPr>
        <w:pStyle w:val="ListBullet"/>
      </w:pPr>
      <w:r>
        <w:t xml:space="preserve">The effect on </w:t>
      </w:r>
      <w:r w:rsidRPr="00BD1477">
        <w:t>pharmacokinetics</w:t>
      </w:r>
      <w:r w:rsidR="00345F06" w:rsidRPr="00345F06">
        <w:t xml:space="preserve"> of mild or moderate renal impairment is not yet characterised. In severe renal impairment, the dose should be halved.</w:t>
      </w:r>
    </w:p>
    <w:p w:rsidR="00345F06" w:rsidRPr="00345F06" w:rsidRDefault="00345F06" w:rsidP="00BD1477">
      <w:pPr>
        <w:pStyle w:val="ListBullet"/>
      </w:pPr>
      <w:r w:rsidRPr="00345F06">
        <w:t>No dose reduction is required in moderate or severe hepatic impairment</w:t>
      </w:r>
    </w:p>
    <w:p w:rsidR="00D23139" w:rsidRPr="00D23139" w:rsidRDefault="00345F06" w:rsidP="00BD1477">
      <w:pPr>
        <w:pStyle w:val="Heading5"/>
      </w:pPr>
      <w:r>
        <w:t xml:space="preserve">Advice </w:t>
      </w:r>
      <w:r w:rsidRPr="00BD1477">
        <w:t>sought</w:t>
      </w:r>
    </w:p>
    <w:p w:rsidR="00804CFB" w:rsidRPr="002F581D" w:rsidRDefault="00804CFB" w:rsidP="00BD1477">
      <w:r w:rsidRPr="002F581D">
        <w:t xml:space="preserve">The </w:t>
      </w:r>
      <w:r w:rsidR="006060B4">
        <w:t>ACPM</w:t>
      </w:r>
      <w:r w:rsidRPr="002F581D">
        <w:t xml:space="preserve"> is requested to provide advice on the following specific issues:</w:t>
      </w:r>
    </w:p>
    <w:p w:rsidR="00804CFB" w:rsidRPr="002F581D" w:rsidRDefault="00804CFB" w:rsidP="00BD1477">
      <w:pPr>
        <w:pStyle w:val="ListBullet"/>
      </w:pPr>
      <w:r w:rsidRPr="002F581D">
        <w:t xml:space="preserve">What is the opinion of the </w:t>
      </w:r>
      <w:r w:rsidR="00C00D1B">
        <w:t>ACPM</w:t>
      </w:r>
      <w:r w:rsidRPr="002F581D">
        <w:t xml:space="preserve"> regarding the sponsor’s position that a warning for depression/</w:t>
      </w:r>
      <w:r w:rsidRPr="00BD1477">
        <w:t>depressed</w:t>
      </w:r>
      <w:r w:rsidRPr="002F581D">
        <w:t xml:space="preserve"> mood is not required for the Australian PI?</w:t>
      </w:r>
    </w:p>
    <w:p w:rsidR="00804CFB" w:rsidRPr="002F581D" w:rsidRDefault="00804CFB" w:rsidP="00BD1477">
      <w:pPr>
        <w:pStyle w:val="ListBullet"/>
      </w:pPr>
      <w:r w:rsidRPr="002F581D">
        <w:t xml:space="preserve">What is the opinion of the </w:t>
      </w:r>
      <w:r w:rsidR="00C00D1B">
        <w:t>ACPM</w:t>
      </w:r>
      <w:r w:rsidRPr="002F581D">
        <w:t xml:space="preserve"> regarding the inclusion of dose reduction guidelines in the PI pertaining to adverse events which may be related to increased exposure?</w:t>
      </w:r>
    </w:p>
    <w:p w:rsidR="00804CFB" w:rsidRPr="002F581D" w:rsidRDefault="00804CFB" w:rsidP="00BD1477">
      <w:pPr>
        <w:pStyle w:val="ListBullet"/>
      </w:pPr>
      <w:r w:rsidRPr="002F581D">
        <w:t xml:space="preserve">What is the opinion of the </w:t>
      </w:r>
      <w:r w:rsidR="007157C8">
        <w:t>ACPM</w:t>
      </w:r>
      <w:r w:rsidRPr="002F581D">
        <w:t xml:space="preserve"> regarding the restriction of </w:t>
      </w:r>
      <w:r w:rsidR="002B6593">
        <w:t>APR</w:t>
      </w:r>
      <w:r w:rsidR="00BD1477">
        <w:t xml:space="preserve"> to specialist physicians only?</w:t>
      </w:r>
    </w:p>
    <w:p w:rsidR="004C545A" w:rsidRPr="002F581D" w:rsidRDefault="00804CFB" w:rsidP="00BD1477">
      <w:r w:rsidRPr="002F581D">
        <w:t xml:space="preserve">The </w:t>
      </w:r>
      <w:r w:rsidR="007157C8">
        <w:t>ACPM</w:t>
      </w:r>
      <w:r w:rsidRPr="002F581D">
        <w:t xml:space="preserve"> is also requested to provide advice on any other issues that it thinks may be relevant to a decision on whether or not to approve this application.</w:t>
      </w:r>
    </w:p>
    <w:p w:rsidR="00D23139" w:rsidRDefault="00D23139" w:rsidP="00BD1477">
      <w:pPr>
        <w:pStyle w:val="Heading4"/>
      </w:pPr>
      <w:r w:rsidRPr="00D23139">
        <w:t xml:space="preserve">Response from </w:t>
      </w:r>
      <w:r w:rsidR="002C5B3E" w:rsidRPr="00BD1477">
        <w:t>s</w:t>
      </w:r>
      <w:r w:rsidR="00BD1477" w:rsidRPr="00BD1477">
        <w:t>ponsor</w:t>
      </w:r>
    </w:p>
    <w:p w:rsidR="002D7E56" w:rsidRPr="002D7E56" w:rsidRDefault="002D7E56" w:rsidP="00BD1477">
      <w:r w:rsidRPr="002D7E56">
        <w:t>This document addresses certain concerns or questions raised in the Delegate’s overview (DO). All</w:t>
      </w:r>
      <w:r>
        <w:t xml:space="preserve"> </w:t>
      </w:r>
      <w:r w:rsidRPr="002D7E56">
        <w:t>enumerated comments and requests in the DO that are not listed in this response have been</w:t>
      </w:r>
      <w:r>
        <w:t xml:space="preserve"> </w:t>
      </w:r>
      <w:r w:rsidRPr="002D7E56">
        <w:t>addressed/incorporated as requested.</w:t>
      </w:r>
    </w:p>
    <w:p w:rsidR="002D7E56" w:rsidRDefault="008E7B63" w:rsidP="00BD1477">
      <w:pPr>
        <w:pStyle w:val="Heading5"/>
        <w:rPr>
          <w:rFonts w:eastAsiaTheme="minorHAnsi"/>
        </w:rPr>
      </w:pPr>
      <w:r>
        <w:rPr>
          <w:rFonts w:eastAsiaTheme="minorHAnsi"/>
        </w:rPr>
        <w:t xml:space="preserve">1. Question </w:t>
      </w:r>
      <w:r w:rsidRPr="00BD1477">
        <w:rPr>
          <w:rFonts w:eastAsiaTheme="minorHAnsi"/>
        </w:rPr>
        <w:t>for</w:t>
      </w:r>
      <w:r>
        <w:rPr>
          <w:rFonts w:eastAsiaTheme="minorHAnsi"/>
        </w:rPr>
        <w:t xml:space="preserve"> sponsor</w:t>
      </w:r>
    </w:p>
    <w:p w:rsidR="002D7E56" w:rsidRPr="002D7E56" w:rsidRDefault="002D7E56" w:rsidP="00BD1477">
      <w:pPr>
        <w:pStyle w:val="ListBullet"/>
      </w:pPr>
      <w:r w:rsidRPr="002D7E56">
        <w:t>What were the proportions of subjects that had missing data at the primary efficacy assessment</w:t>
      </w:r>
      <w:r>
        <w:t xml:space="preserve"> </w:t>
      </w:r>
      <w:r w:rsidRPr="002D7E56">
        <w:t>point and required the last observation to be carried forward for the primary efficacy outcome in</w:t>
      </w:r>
      <w:r>
        <w:t xml:space="preserve"> </w:t>
      </w:r>
      <w:proofErr w:type="spellStart"/>
      <w:r w:rsidRPr="002D7E56">
        <w:t>PsA</w:t>
      </w:r>
      <w:proofErr w:type="spellEnd"/>
      <w:r w:rsidRPr="002D7E56">
        <w:t xml:space="preserve"> and PSOR studies, in the </w:t>
      </w:r>
      <w:r w:rsidR="0011514D">
        <w:t>PBO</w:t>
      </w:r>
      <w:r w:rsidRPr="002D7E56">
        <w:t>, 20</w:t>
      </w:r>
      <w:r w:rsidR="007B3C17">
        <w:t xml:space="preserve"> </w:t>
      </w:r>
      <w:r w:rsidRPr="002D7E56">
        <w:t>mg BD and 30</w:t>
      </w:r>
      <w:r w:rsidR="007B3C17">
        <w:t xml:space="preserve"> </w:t>
      </w:r>
      <w:r w:rsidRPr="002D7E56">
        <w:t>mg BD exposure groups?</w:t>
      </w:r>
    </w:p>
    <w:p w:rsidR="002D7E56" w:rsidRDefault="000F43CE" w:rsidP="00BD1477">
      <w:pPr>
        <w:pStyle w:val="Heading5"/>
        <w:rPr>
          <w:rFonts w:eastAsiaTheme="minorHAnsi"/>
        </w:rPr>
      </w:pPr>
      <w:r w:rsidRPr="00BD1477">
        <w:rPr>
          <w:rFonts w:eastAsiaTheme="minorHAnsi"/>
        </w:rPr>
        <w:t>Response</w:t>
      </w:r>
    </w:p>
    <w:p w:rsidR="002D7E56" w:rsidRPr="00E057D1" w:rsidRDefault="002D7E56" w:rsidP="00E057D1">
      <w:r w:rsidRPr="00E057D1">
        <w:t>The number of subjects in Studies PSOR-008 and PSOR-009 who had missing PASI-75 response</w:t>
      </w:r>
      <w:r w:rsidR="00E057D1">
        <w:t xml:space="preserve"> </w:t>
      </w:r>
      <w:r w:rsidR="0034735C">
        <w:t>data at Week 16</w:t>
      </w:r>
      <w:r w:rsidRPr="00E057D1">
        <w:t xml:space="preserve"> and required the last ob</w:t>
      </w:r>
      <w:r w:rsidR="0034735C">
        <w:t>servation to be carried forward</w:t>
      </w:r>
      <w:r w:rsidRPr="00E057D1">
        <w:t xml:space="preserve"> is summari</w:t>
      </w:r>
      <w:r w:rsidR="000040A0">
        <w:t>s</w:t>
      </w:r>
      <w:r w:rsidRPr="00E057D1">
        <w:t>ed for each study. Sensitivity analyses were conducted to assess the impact of missing data</w:t>
      </w:r>
      <w:r w:rsidR="00E057D1">
        <w:t xml:space="preserve"> </w:t>
      </w:r>
      <w:r w:rsidRPr="00E057D1">
        <w:t xml:space="preserve">in the </w:t>
      </w:r>
      <w:r w:rsidR="004756F2" w:rsidRPr="004756F2">
        <w:t>Full Analysis Set</w:t>
      </w:r>
      <w:r w:rsidR="004756F2">
        <w:t xml:space="preserve"> (FAS)</w:t>
      </w:r>
      <w:r w:rsidRPr="00E057D1">
        <w:t xml:space="preserve"> population, which included treating subjects with missing values as non-responders</w:t>
      </w:r>
      <w:r w:rsidR="00E057D1">
        <w:t xml:space="preserve"> </w:t>
      </w:r>
      <w:r w:rsidRPr="00E057D1">
        <w:t>(non</w:t>
      </w:r>
      <w:r w:rsidR="000913CD">
        <w:t>-</w:t>
      </w:r>
      <w:r w:rsidRPr="00E057D1">
        <w:t>responder imputation). All of the sensitivity analyses demonstrated similar results as the primary</w:t>
      </w:r>
      <w:r w:rsidR="00E057D1">
        <w:t xml:space="preserve"> </w:t>
      </w:r>
      <w:r w:rsidR="00D2038E">
        <w:t>analysis (FAS, LOCF) (PSOR SCE</w:t>
      </w:r>
      <w:r w:rsidRPr="00E057D1">
        <w:t>).</w:t>
      </w:r>
    </w:p>
    <w:p w:rsidR="002D7E56" w:rsidRPr="00E057D1" w:rsidRDefault="002D7E56" w:rsidP="00E057D1">
      <w:r w:rsidRPr="00E057D1">
        <w:t xml:space="preserve">In the </w:t>
      </w:r>
      <w:proofErr w:type="spellStart"/>
      <w:r w:rsidRPr="00E057D1">
        <w:t>PsA</w:t>
      </w:r>
      <w:proofErr w:type="spellEnd"/>
      <w:r w:rsidRPr="00E057D1">
        <w:t xml:space="preserve"> studies, the primary endpoint (ACR 20 response at Week 16) was analy</w:t>
      </w:r>
      <w:r w:rsidR="000913CD">
        <w:t>s</w:t>
      </w:r>
      <w:r w:rsidRPr="00E057D1">
        <w:t>ed using</w:t>
      </w:r>
      <w:r w:rsidR="00E057D1">
        <w:t xml:space="preserve"> </w:t>
      </w:r>
      <w:r w:rsidRPr="00E057D1">
        <w:t>non</w:t>
      </w:r>
      <w:r w:rsidR="00F86673">
        <w:t>-</w:t>
      </w:r>
      <w:r w:rsidRPr="00E057D1">
        <w:t>responder imputation (NRI), where</w:t>
      </w:r>
      <w:r w:rsidRPr="00BD1477">
        <w:t>b</w:t>
      </w:r>
      <w:r w:rsidRPr="00E057D1">
        <w:t>y</w:t>
      </w:r>
      <w:r w:rsidR="000913CD">
        <w:t xml:space="preserve"> subjects with missing data (that is,</w:t>
      </w:r>
      <w:r w:rsidRPr="00E057D1">
        <w:t xml:space="preserve"> those who discontinued prior</w:t>
      </w:r>
      <w:r w:rsidR="00E057D1">
        <w:t xml:space="preserve"> </w:t>
      </w:r>
      <w:r w:rsidRPr="00E057D1">
        <w:t>to Week 16, or who did not have sufficient data for a definitive determination of response status at</w:t>
      </w:r>
      <w:r w:rsidR="00E057D1">
        <w:t xml:space="preserve"> </w:t>
      </w:r>
      <w:r w:rsidRPr="00E057D1">
        <w:t>Week 16) were counted as non</w:t>
      </w:r>
      <w:r w:rsidR="00A42577">
        <w:t>-</w:t>
      </w:r>
      <w:r w:rsidRPr="00E057D1">
        <w:t>responders. Therefore, there was no carrying forward of the last</w:t>
      </w:r>
      <w:r w:rsidR="00E057D1">
        <w:t xml:space="preserve"> </w:t>
      </w:r>
      <w:r w:rsidRPr="00E057D1">
        <w:t>observation in the primary efficacy assessment. One of the sensitivity analyses of the primary</w:t>
      </w:r>
      <w:r w:rsidR="00E057D1">
        <w:t xml:space="preserve"> </w:t>
      </w:r>
      <w:r w:rsidRPr="00E057D1">
        <w:t xml:space="preserve">endpoint in the </w:t>
      </w:r>
      <w:proofErr w:type="spellStart"/>
      <w:r w:rsidRPr="00E057D1">
        <w:t>PsA</w:t>
      </w:r>
      <w:proofErr w:type="spellEnd"/>
      <w:r w:rsidRPr="00E057D1">
        <w:t xml:space="preserve"> studies did use the last-observation-carried-forward (LOCF) method to account for</w:t>
      </w:r>
      <w:r w:rsidR="00E057D1">
        <w:t xml:space="preserve"> </w:t>
      </w:r>
      <w:r w:rsidRPr="00E057D1">
        <w:t>missing data, the results of which were consistent with the find</w:t>
      </w:r>
      <w:r w:rsidR="00E91593">
        <w:t>ings from the primary analysis</w:t>
      </w:r>
      <w:r w:rsidRPr="00E057D1">
        <w:t>. The</w:t>
      </w:r>
      <w:r w:rsidR="00E057D1">
        <w:t xml:space="preserve"> </w:t>
      </w:r>
      <w:r w:rsidRPr="00E057D1">
        <w:t xml:space="preserve">number </w:t>
      </w:r>
      <w:r w:rsidR="0078514A">
        <w:t>of subjects who had missing ACR</w:t>
      </w:r>
      <w:r w:rsidRPr="00E057D1">
        <w:t>20 response data at Week 16, and required the last</w:t>
      </w:r>
      <w:r w:rsidR="00E057D1">
        <w:t xml:space="preserve"> </w:t>
      </w:r>
      <w:r w:rsidRPr="00E057D1">
        <w:t>observation to be carried forward in this sensitivity analysis, is summari</w:t>
      </w:r>
      <w:r w:rsidR="0078514A">
        <w:t>s</w:t>
      </w:r>
      <w:r w:rsidRPr="00E057D1">
        <w:t>ed.</w:t>
      </w:r>
    </w:p>
    <w:p w:rsidR="00AB2362" w:rsidRDefault="008E7B63" w:rsidP="00BD1477">
      <w:pPr>
        <w:pStyle w:val="Heading5"/>
        <w:rPr>
          <w:rFonts w:eastAsiaTheme="minorHAnsi"/>
        </w:rPr>
      </w:pPr>
      <w:r>
        <w:rPr>
          <w:rFonts w:eastAsiaTheme="minorHAnsi"/>
        </w:rPr>
        <w:t xml:space="preserve">2. Question </w:t>
      </w:r>
      <w:r w:rsidRPr="00BD1477">
        <w:rPr>
          <w:rFonts w:eastAsiaTheme="minorHAnsi"/>
        </w:rPr>
        <w:t>for</w:t>
      </w:r>
      <w:r>
        <w:rPr>
          <w:rFonts w:eastAsiaTheme="minorHAnsi"/>
        </w:rPr>
        <w:t xml:space="preserve"> sponsor</w:t>
      </w:r>
    </w:p>
    <w:p w:rsidR="002D7E56" w:rsidRPr="007C119D" w:rsidRDefault="002D7E56" w:rsidP="00BD1477">
      <w:pPr>
        <w:pStyle w:val="ListBullet"/>
      </w:pPr>
      <w:r w:rsidRPr="007C119D">
        <w:t xml:space="preserve">The sponsor is </w:t>
      </w:r>
      <w:r w:rsidRPr="00BD1477">
        <w:t>kindly</w:t>
      </w:r>
      <w:r w:rsidRPr="007C119D">
        <w:t xml:space="preserve"> requested to present the top</w:t>
      </w:r>
      <w:r w:rsidR="00685D89">
        <w:t xml:space="preserve"> </w:t>
      </w:r>
      <w:r w:rsidRPr="007C119D">
        <w:t xml:space="preserve">line </w:t>
      </w:r>
      <w:r w:rsidR="00685D89">
        <w:t>AE</w:t>
      </w:r>
      <w:r w:rsidRPr="007C119D">
        <w:t xml:space="preserve"> data for females and males</w:t>
      </w:r>
      <w:r w:rsidR="007C119D">
        <w:t xml:space="preserve"> </w:t>
      </w:r>
      <w:r w:rsidRPr="007C119D">
        <w:t>separately in their pre</w:t>
      </w:r>
      <w:r w:rsidR="00685D89">
        <w:t xml:space="preserve"> </w:t>
      </w:r>
      <w:r w:rsidRPr="007C119D">
        <w:t>ACPM response.</w:t>
      </w:r>
    </w:p>
    <w:p w:rsidR="002D7E56" w:rsidRDefault="00084D16" w:rsidP="00BD1477">
      <w:pPr>
        <w:pStyle w:val="Heading5"/>
        <w:rPr>
          <w:rFonts w:eastAsiaTheme="minorHAnsi"/>
        </w:rPr>
      </w:pPr>
      <w:r w:rsidRPr="00BD1477">
        <w:rPr>
          <w:rFonts w:eastAsiaTheme="minorHAnsi"/>
        </w:rPr>
        <w:t>Response</w:t>
      </w:r>
    </w:p>
    <w:p w:rsidR="000C1C01" w:rsidRPr="000C1C01" w:rsidRDefault="002D7E56" w:rsidP="00BD1477">
      <w:r w:rsidRPr="008E7B63">
        <w:t xml:space="preserve">An overview of the </w:t>
      </w:r>
      <w:r w:rsidR="00944C89">
        <w:t>TEAEs</w:t>
      </w:r>
      <w:r w:rsidRPr="008E7B63">
        <w:t xml:space="preserve"> by sex occurring during the</w:t>
      </w:r>
      <w:r w:rsidR="008E7B63">
        <w:t xml:space="preserve"> </w:t>
      </w:r>
      <w:r w:rsidR="002B6593">
        <w:t>APR</w:t>
      </w:r>
      <w:r w:rsidR="00944C89">
        <w:t xml:space="preserve"> </w:t>
      </w:r>
      <w:r w:rsidRPr="008E7B63">
        <w:t xml:space="preserve">exposure Period in the </w:t>
      </w:r>
      <w:r w:rsidR="002B6593">
        <w:t>APR</w:t>
      </w:r>
      <w:r w:rsidRPr="008E7B63">
        <w:t xml:space="preserve"> Data Pool for the Subjects as Treated Population is</w:t>
      </w:r>
      <w:r w:rsidR="000C1C01">
        <w:t xml:space="preserve"> </w:t>
      </w:r>
      <w:r w:rsidR="000C1C01" w:rsidRPr="000C1C01">
        <w:t>presented in the S</w:t>
      </w:r>
      <w:r w:rsidR="00944C89">
        <w:t>ummary of Clinical Safety (SCS</w:t>
      </w:r>
      <w:r w:rsidR="0027794A">
        <w:t>)</w:t>
      </w:r>
      <w:r w:rsidR="000C1C01" w:rsidRPr="000C1C01">
        <w:t>. There was no notable effect of sex on the incidence of subjects who</w:t>
      </w:r>
      <w:r w:rsidR="000C1C01">
        <w:t xml:space="preserve"> </w:t>
      </w:r>
      <w:r w:rsidR="000C1C01" w:rsidRPr="000C1C01">
        <w:t>reported TEAEs. A higher incidence of serious TEAEs and TEAEs leading to drug withdrawal was</w:t>
      </w:r>
      <w:r w:rsidR="000C1C01">
        <w:t xml:space="preserve"> </w:t>
      </w:r>
      <w:r w:rsidR="000C1C01" w:rsidRPr="000C1C01">
        <w:t>observed among female subjects compared with male subjects across all treatment groups.</w:t>
      </w:r>
    </w:p>
    <w:p w:rsidR="000C1C01" w:rsidRPr="000C1C01" w:rsidRDefault="000C1C01" w:rsidP="00BD1477">
      <w:r w:rsidRPr="000C1C01">
        <w:t xml:space="preserve">A summary of TEAEs reported by at least 5% of subjects by sex during the </w:t>
      </w:r>
      <w:r w:rsidR="002B6593">
        <w:t>APR</w:t>
      </w:r>
      <w:r w:rsidR="00A60644">
        <w:t xml:space="preserve"> </w:t>
      </w:r>
      <w:r w:rsidRPr="000C1C01">
        <w:t>exposure</w:t>
      </w:r>
      <w:r>
        <w:t xml:space="preserve"> </w:t>
      </w:r>
      <w:r w:rsidRPr="000C1C01">
        <w:t xml:space="preserve">Period in the </w:t>
      </w:r>
      <w:r w:rsidR="002B6593">
        <w:t>APR</w:t>
      </w:r>
      <w:r w:rsidRPr="000C1C01">
        <w:t xml:space="preserve"> Data Pool for the </w:t>
      </w:r>
      <w:r w:rsidR="002B6593">
        <w:t>APR</w:t>
      </w:r>
      <w:r w:rsidRPr="000C1C01">
        <w:t xml:space="preserve"> Subjects as Tre</w:t>
      </w:r>
      <w:r w:rsidR="00A60644">
        <w:t>ated Population are presented</w:t>
      </w:r>
      <w:r w:rsidRPr="000C1C01">
        <w:t>. In general, a higher</w:t>
      </w:r>
      <w:r>
        <w:t xml:space="preserve"> </w:t>
      </w:r>
      <w:r w:rsidRPr="000C1C01">
        <w:t>incidence of diarrhoea, nausea, and headache was reported among female subjects compared with male</w:t>
      </w:r>
      <w:r>
        <w:t xml:space="preserve"> </w:t>
      </w:r>
      <w:r w:rsidRPr="000C1C01">
        <w:t xml:space="preserve">subjects, with a more pronounced difference between males and females in the </w:t>
      </w:r>
      <w:r w:rsidR="002B6593">
        <w:t>APR</w:t>
      </w:r>
      <w:r w:rsidRPr="000C1C01">
        <w:t xml:space="preserve"> treatment</w:t>
      </w:r>
      <w:r>
        <w:t xml:space="preserve"> </w:t>
      </w:r>
      <w:r w:rsidRPr="000C1C01">
        <w:t xml:space="preserve">groups. There was no consistent effect of sex on URTI, </w:t>
      </w:r>
      <w:proofErr w:type="spellStart"/>
      <w:r w:rsidRPr="000C1C01">
        <w:t>nasopharyngitis</w:t>
      </w:r>
      <w:proofErr w:type="spellEnd"/>
      <w:r w:rsidRPr="000C1C01">
        <w:t>, or tension headache.</w:t>
      </w:r>
      <w:r>
        <w:t xml:space="preserve"> </w:t>
      </w:r>
      <w:r w:rsidRPr="000C1C01">
        <w:t xml:space="preserve">Results of the analysis of TEAEs by sex during the </w:t>
      </w:r>
      <w:r w:rsidR="0011514D">
        <w:t>PBO</w:t>
      </w:r>
      <w:r w:rsidR="001F7E4E">
        <w:t xml:space="preserve"> </w:t>
      </w:r>
      <w:r w:rsidRPr="000C1C01">
        <w:t xml:space="preserve">controlled Period in the </w:t>
      </w:r>
      <w:r w:rsidR="002B6593">
        <w:t>APR</w:t>
      </w:r>
      <w:r w:rsidRPr="000C1C01">
        <w:t xml:space="preserve"> Data</w:t>
      </w:r>
      <w:r>
        <w:t xml:space="preserve"> </w:t>
      </w:r>
      <w:r w:rsidRPr="000C1C01">
        <w:t xml:space="preserve">Pool are provided </w:t>
      </w:r>
      <w:r w:rsidR="001F7E4E">
        <w:t xml:space="preserve">(all TEAEs, </w:t>
      </w:r>
      <w:r w:rsidRPr="000C1C01">
        <w:t>TEAEs leading to drug</w:t>
      </w:r>
      <w:r>
        <w:t xml:space="preserve"> </w:t>
      </w:r>
      <w:r w:rsidR="001F7E4E">
        <w:t>withdrawal,</w:t>
      </w:r>
      <w:r w:rsidRPr="000C1C01">
        <w:t xml:space="preserve"> and serious TEAEs).</w:t>
      </w:r>
    </w:p>
    <w:p w:rsidR="000C1C01" w:rsidRDefault="000C1C01" w:rsidP="000C1C01">
      <w:r w:rsidRPr="000C1C01">
        <w:t>The overall safety profile in males and females is acceptable</w:t>
      </w:r>
      <w:r w:rsidR="00477294">
        <w:t>.</w:t>
      </w:r>
    </w:p>
    <w:p w:rsidR="008E59A6" w:rsidRDefault="008E59A6" w:rsidP="00BD1477">
      <w:pPr>
        <w:pStyle w:val="Heading5"/>
        <w:rPr>
          <w:rFonts w:eastAsiaTheme="minorHAnsi"/>
        </w:rPr>
      </w:pPr>
      <w:r>
        <w:rPr>
          <w:rFonts w:eastAsiaTheme="minorHAnsi"/>
        </w:rPr>
        <w:t xml:space="preserve">3. Conditions of </w:t>
      </w:r>
      <w:r w:rsidR="00951DC4">
        <w:rPr>
          <w:rFonts w:eastAsiaTheme="minorHAnsi"/>
        </w:rPr>
        <w:t>r</w:t>
      </w:r>
      <w:r>
        <w:rPr>
          <w:rFonts w:eastAsiaTheme="minorHAnsi"/>
        </w:rPr>
        <w:t>egistration</w:t>
      </w:r>
    </w:p>
    <w:p w:rsidR="008E59A6" w:rsidRPr="005D177E" w:rsidRDefault="008E59A6" w:rsidP="00BD1477">
      <w:pPr>
        <w:pStyle w:val="ListBullet"/>
      </w:pPr>
      <w:r w:rsidRPr="005D177E">
        <w:t>The Delegate considers that prescribing should be restricted to specialist physicians experienced in</w:t>
      </w:r>
      <w:r w:rsidR="005D177E">
        <w:t xml:space="preserve"> t</w:t>
      </w:r>
      <w:r w:rsidRPr="005D177E">
        <w:t xml:space="preserve">he treatment of </w:t>
      </w:r>
      <w:r w:rsidR="00C33142">
        <w:t>PSOR</w:t>
      </w:r>
      <w:r w:rsidRPr="005D177E">
        <w:t xml:space="preserve"> or </w:t>
      </w:r>
      <w:proofErr w:type="spellStart"/>
      <w:r w:rsidR="00852871">
        <w:t>PsA</w:t>
      </w:r>
      <w:r w:rsidR="00E03D49">
        <w:t>.</w:t>
      </w:r>
      <w:proofErr w:type="spellEnd"/>
    </w:p>
    <w:p w:rsidR="008E59A6" w:rsidRDefault="00A96AE6" w:rsidP="00BD1477">
      <w:pPr>
        <w:pStyle w:val="Heading5"/>
        <w:rPr>
          <w:rFonts w:eastAsiaTheme="minorHAnsi"/>
        </w:rPr>
      </w:pPr>
      <w:r w:rsidRPr="00BD1477">
        <w:rPr>
          <w:rFonts w:eastAsiaTheme="minorHAnsi"/>
        </w:rPr>
        <w:t>Response</w:t>
      </w:r>
    </w:p>
    <w:p w:rsidR="008E59A6" w:rsidRPr="00460CA9" w:rsidRDefault="008E59A6" w:rsidP="00BD1477">
      <w:r w:rsidRPr="00460CA9">
        <w:t>The PI has been updated with the addition of the following wording at the start of the Dosage and</w:t>
      </w:r>
      <w:r w:rsidR="00460CA9">
        <w:t xml:space="preserve"> </w:t>
      </w:r>
      <w:r w:rsidRPr="00460CA9">
        <w:t>Administration section of the PI:</w:t>
      </w:r>
    </w:p>
    <w:p w:rsidR="008E59A6" w:rsidRPr="00460CA9" w:rsidRDefault="008E59A6" w:rsidP="00460CA9">
      <w:pPr>
        <w:ind w:left="720"/>
        <w:rPr>
          <w:i/>
        </w:rPr>
      </w:pPr>
      <w:r w:rsidRPr="00460CA9">
        <w:rPr>
          <w:i/>
        </w:rPr>
        <w:t>Treatment with Otezla should be initiated by specialists experienced in the diagnosis and treatment</w:t>
      </w:r>
      <w:r w:rsidR="00460CA9" w:rsidRPr="00460CA9">
        <w:rPr>
          <w:i/>
        </w:rPr>
        <w:t xml:space="preserve"> </w:t>
      </w:r>
      <w:r w:rsidRPr="00460CA9">
        <w:rPr>
          <w:i/>
        </w:rPr>
        <w:t xml:space="preserve">of </w:t>
      </w:r>
      <w:r w:rsidR="00C33142">
        <w:rPr>
          <w:i/>
        </w:rPr>
        <w:t>PSOR</w:t>
      </w:r>
      <w:r w:rsidRPr="00460CA9">
        <w:rPr>
          <w:i/>
        </w:rPr>
        <w:t xml:space="preserve"> or </w:t>
      </w:r>
      <w:proofErr w:type="spellStart"/>
      <w:r w:rsidR="00852871">
        <w:rPr>
          <w:i/>
        </w:rPr>
        <w:t>PsA</w:t>
      </w:r>
      <w:r w:rsidRPr="00460CA9">
        <w:rPr>
          <w:i/>
        </w:rPr>
        <w:t>.</w:t>
      </w:r>
      <w:proofErr w:type="spellEnd"/>
    </w:p>
    <w:p w:rsidR="008E59A6" w:rsidRDefault="00873C24" w:rsidP="000B11F4">
      <w:pPr>
        <w:pStyle w:val="Heading5"/>
        <w:rPr>
          <w:rFonts w:eastAsiaTheme="minorHAnsi"/>
        </w:rPr>
      </w:pPr>
      <w:r>
        <w:rPr>
          <w:rFonts w:eastAsiaTheme="minorHAnsi"/>
        </w:rPr>
        <w:t>4a.</w:t>
      </w:r>
      <w:r w:rsidR="008E59A6">
        <w:rPr>
          <w:rFonts w:eastAsiaTheme="minorHAnsi"/>
        </w:rPr>
        <w:t xml:space="preserve"> C</w:t>
      </w:r>
      <w:r w:rsidR="000B11F4">
        <w:rPr>
          <w:rFonts w:eastAsiaTheme="minorHAnsi"/>
        </w:rPr>
        <w:t xml:space="preserve">onditions of </w:t>
      </w:r>
      <w:r w:rsidR="00951DC4">
        <w:rPr>
          <w:rFonts w:eastAsiaTheme="minorHAnsi"/>
        </w:rPr>
        <w:t>r</w:t>
      </w:r>
      <w:r w:rsidR="000B11F4">
        <w:rPr>
          <w:rFonts w:eastAsiaTheme="minorHAnsi"/>
        </w:rPr>
        <w:t>egistration</w:t>
      </w:r>
    </w:p>
    <w:p w:rsidR="008E59A6" w:rsidRPr="000B11F4" w:rsidRDefault="008E59A6" w:rsidP="000B11F4">
      <w:pPr>
        <w:pStyle w:val="ListBullet"/>
      </w:pPr>
      <w:r w:rsidRPr="000B11F4">
        <w:t xml:space="preserve">The sponsor should include female Australian patients exposed to </w:t>
      </w:r>
      <w:r w:rsidR="002B6593">
        <w:t>APR</w:t>
      </w:r>
      <w:r w:rsidRPr="000B11F4">
        <w:t xml:space="preserve"> while</w:t>
      </w:r>
      <w:r w:rsidR="000B11F4">
        <w:t xml:space="preserve"> </w:t>
      </w:r>
      <w:r w:rsidRPr="000B11F4">
        <w:t>pregnant, or attempting to become pregnant in the patient reg</w:t>
      </w:r>
      <w:r w:rsidR="000B11F4">
        <w:t xml:space="preserve">istry, and include the relevant </w:t>
      </w:r>
      <w:r w:rsidRPr="000B11F4">
        <w:t>contact details in the PI.</w:t>
      </w:r>
    </w:p>
    <w:p w:rsidR="008E59A6" w:rsidRDefault="00873C24" w:rsidP="00BD1477">
      <w:pPr>
        <w:pStyle w:val="Heading5"/>
        <w:rPr>
          <w:rFonts w:eastAsiaTheme="minorHAnsi"/>
        </w:rPr>
      </w:pPr>
      <w:r>
        <w:rPr>
          <w:rFonts w:eastAsiaTheme="minorHAnsi"/>
        </w:rPr>
        <w:t>4b.</w:t>
      </w:r>
      <w:r w:rsidR="008E59A6">
        <w:rPr>
          <w:rFonts w:eastAsiaTheme="minorHAnsi"/>
        </w:rPr>
        <w:t xml:space="preserve"> Rev</w:t>
      </w:r>
      <w:r w:rsidR="000B11F4">
        <w:rPr>
          <w:rFonts w:eastAsiaTheme="minorHAnsi"/>
        </w:rPr>
        <w:t xml:space="preserve">iew of the </w:t>
      </w:r>
      <w:r w:rsidR="00951DC4">
        <w:rPr>
          <w:rFonts w:eastAsiaTheme="minorHAnsi"/>
        </w:rPr>
        <w:t>PI</w:t>
      </w:r>
    </w:p>
    <w:p w:rsidR="008E59A6" w:rsidRPr="00620D16" w:rsidRDefault="008E59A6" w:rsidP="00BD1477">
      <w:pPr>
        <w:pStyle w:val="ListBullet"/>
      </w:pPr>
      <w:r w:rsidRPr="00620D16">
        <w:t xml:space="preserve">The Delegate notes that the current version of </w:t>
      </w:r>
      <w:r w:rsidRPr="00BD1477">
        <w:t>the</w:t>
      </w:r>
      <w:r w:rsidRPr="00620D16">
        <w:t xml:space="preserve"> </w:t>
      </w:r>
      <w:r w:rsidR="00DA11A4">
        <w:t>PI</w:t>
      </w:r>
      <w:r w:rsidRPr="00620D16">
        <w:t xml:space="preserve"> does not contain</w:t>
      </w:r>
      <w:r w:rsidR="00620D16">
        <w:t xml:space="preserve"> </w:t>
      </w:r>
      <w:r w:rsidRPr="00620D16">
        <w:t>details of the Patient Register to monitor adverse events in pregnancy as contained in the</w:t>
      </w:r>
      <w:r w:rsidR="00620D16">
        <w:t xml:space="preserve"> </w:t>
      </w:r>
      <w:r w:rsidRPr="00620D16">
        <w:t xml:space="preserve">European and US </w:t>
      </w:r>
      <w:r w:rsidR="001613AA">
        <w:t>PI</w:t>
      </w:r>
      <w:r w:rsidRPr="00620D16">
        <w:t>. The Australian PI should also contain this</w:t>
      </w:r>
      <w:r w:rsidR="00620D16">
        <w:t xml:space="preserve"> </w:t>
      </w:r>
      <w:r w:rsidRPr="00620D16">
        <w:t>information.</w:t>
      </w:r>
    </w:p>
    <w:p w:rsidR="008E59A6" w:rsidRDefault="000913CD" w:rsidP="00784240">
      <w:pPr>
        <w:pStyle w:val="Heading5"/>
        <w:rPr>
          <w:rFonts w:eastAsiaTheme="minorHAnsi"/>
        </w:rPr>
      </w:pPr>
      <w:r>
        <w:rPr>
          <w:rFonts w:eastAsiaTheme="minorHAnsi"/>
        </w:rPr>
        <w:t>Response</w:t>
      </w:r>
    </w:p>
    <w:p w:rsidR="008E59A6" w:rsidRPr="00784240" w:rsidRDefault="008E59A6" w:rsidP="00BD1477">
      <w:r w:rsidRPr="00784240">
        <w:t>The Organi</w:t>
      </w:r>
      <w:r w:rsidR="00253B39">
        <w:t>s</w:t>
      </w:r>
      <w:r w:rsidRPr="00784240">
        <w:t>ation of Teratology Information Specialists (OTIS) Pregnancy Exposure Registry is</w:t>
      </w:r>
      <w:r w:rsidR="00784240">
        <w:t xml:space="preserve"> </w:t>
      </w:r>
      <w:r w:rsidRPr="00784240">
        <w:t>open only to patients who reside in the US or Canada. Although the findings of the study also satisfy</w:t>
      </w:r>
      <w:r w:rsidR="00784240">
        <w:t xml:space="preserve"> </w:t>
      </w:r>
      <w:r w:rsidRPr="00784240">
        <w:t>the requests o</w:t>
      </w:r>
      <w:r w:rsidR="00F93034">
        <w:t xml:space="preserve">f other regulatory agencies (for example, </w:t>
      </w:r>
      <w:r w:rsidRPr="00784240">
        <w:t>EMA), the registry remains a US/Canadian registry.</w:t>
      </w:r>
      <w:r w:rsidR="00784240">
        <w:t xml:space="preserve"> </w:t>
      </w:r>
      <w:r w:rsidRPr="00784240">
        <w:t>As a consequence it would not be possible to include Australian patients within this registry or be</w:t>
      </w:r>
      <w:r w:rsidR="00784240">
        <w:t xml:space="preserve"> </w:t>
      </w:r>
      <w:r w:rsidRPr="00784240">
        <w:t>appropriate to include the registry information in the Australian PI.</w:t>
      </w:r>
    </w:p>
    <w:p w:rsidR="008E59A6" w:rsidRPr="00784240" w:rsidRDefault="008E59A6" w:rsidP="00784240">
      <w:r w:rsidRPr="00784240">
        <w:t>The TGA will be notified of significant observations and the PI updated as required.</w:t>
      </w:r>
    </w:p>
    <w:p w:rsidR="008E59A6" w:rsidRDefault="008E59A6" w:rsidP="00BD1477">
      <w:pPr>
        <w:pStyle w:val="Heading5"/>
        <w:rPr>
          <w:rFonts w:eastAsiaTheme="minorHAnsi"/>
        </w:rPr>
      </w:pPr>
      <w:r>
        <w:rPr>
          <w:rFonts w:eastAsiaTheme="minorHAnsi"/>
        </w:rPr>
        <w:t xml:space="preserve">5. RMP </w:t>
      </w:r>
      <w:r w:rsidR="00951DC4" w:rsidRPr="00BD1477">
        <w:rPr>
          <w:rFonts w:eastAsiaTheme="minorHAnsi"/>
        </w:rPr>
        <w:t>e</w:t>
      </w:r>
      <w:r w:rsidRPr="00BD1477">
        <w:rPr>
          <w:rFonts w:eastAsiaTheme="minorHAnsi"/>
        </w:rPr>
        <w:t>valuation</w:t>
      </w:r>
    </w:p>
    <w:p w:rsidR="00477294" w:rsidRDefault="008E59A6" w:rsidP="00DE493A">
      <w:pPr>
        <w:pStyle w:val="ListBullet"/>
      </w:pPr>
      <w:r w:rsidRPr="00DE493A">
        <w:t xml:space="preserve">The EMA has mandated a disease registry for both </w:t>
      </w:r>
      <w:r w:rsidR="00C33142">
        <w:t>PSOR</w:t>
      </w:r>
      <w:r w:rsidRPr="00DE493A">
        <w:t xml:space="preserve"> and </w:t>
      </w:r>
      <w:proofErr w:type="spellStart"/>
      <w:r w:rsidR="00852871">
        <w:t>PsA</w:t>
      </w:r>
      <w:proofErr w:type="spellEnd"/>
      <w:r w:rsidRPr="00DE493A">
        <w:t xml:space="preserve"> in their</w:t>
      </w:r>
      <w:r w:rsidR="00DE493A">
        <w:t xml:space="preserve"> </w:t>
      </w:r>
      <w:r w:rsidRPr="00DE493A">
        <w:t>pharmacovigilance activity in order to monitor the safety concerns of hypersensitivity,</w:t>
      </w:r>
      <w:r w:rsidR="00DE493A">
        <w:t xml:space="preserve"> </w:t>
      </w:r>
      <w:r w:rsidRPr="00DE493A">
        <w:t>depression, vasculitis</w:t>
      </w:r>
      <w:r w:rsidR="0070176C">
        <w:t>,</w:t>
      </w:r>
      <w:r w:rsidRPr="00DE493A">
        <w:t xml:space="preserve"> and risk of triggering suicide. The sponsor should justify why</w:t>
      </w:r>
      <w:r w:rsidR="00DE493A">
        <w:t xml:space="preserve"> </w:t>
      </w:r>
      <w:r w:rsidRPr="00DE493A">
        <w:t>Australian patients should not be included in such a registry.</w:t>
      </w:r>
    </w:p>
    <w:p w:rsidR="000913CD" w:rsidRDefault="000913CD" w:rsidP="00BD1477">
      <w:pPr>
        <w:pStyle w:val="Heading5"/>
        <w:rPr>
          <w:rFonts w:eastAsiaTheme="minorHAnsi"/>
        </w:rPr>
      </w:pPr>
      <w:r w:rsidRPr="00BD1477">
        <w:rPr>
          <w:rFonts w:eastAsiaTheme="minorHAnsi"/>
        </w:rPr>
        <w:t>Response</w:t>
      </w:r>
    </w:p>
    <w:p w:rsidR="00F86673" w:rsidRPr="00F86673" w:rsidRDefault="00F86673" w:rsidP="00BD1477">
      <w:r w:rsidRPr="00F86673">
        <w:t>In response to the EMA</w:t>
      </w:r>
      <w:r w:rsidR="00D52E78">
        <w:t>,</w:t>
      </w:r>
      <w:r w:rsidRPr="00F86673">
        <w:t xml:space="preserve"> the </w:t>
      </w:r>
      <w:r w:rsidR="00D52E78">
        <w:t>s</w:t>
      </w:r>
      <w:r w:rsidRPr="00F86673">
        <w:t>ponsor has identified two disease</w:t>
      </w:r>
      <w:r w:rsidR="005A4DF8">
        <w:t xml:space="preserve"> </w:t>
      </w:r>
      <w:r w:rsidRPr="00F86673">
        <w:t>based registries that will provide</w:t>
      </w:r>
      <w:r>
        <w:t xml:space="preserve"> </w:t>
      </w:r>
      <w:r w:rsidRPr="00F86673">
        <w:t>real</w:t>
      </w:r>
      <w:r w:rsidR="005A4DF8">
        <w:t xml:space="preserve"> </w:t>
      </w:r>
      <w:r w:rsidRPr="00F86673">
        <w:t xml:space="preserve">life experience with </w:t>
      </w:r>
      <w:r w:rsidR="002B6593">
        <w:t>APR</w:t>
      </w:r>
      <w:r w:rsidRPr="00F86673">
        <w:t xml:space="preserve"> in both </w:t>
      </w:r>
      <w:r w:rsidR="00C33142">
        <w:t>PSOR</w:t>
      </w:r>
      <w:r w:rsidRPr="00F86673">
        <w:t xml:space="preserve"> and </w:t>
      </w:r>
      <w:proofErr w:type="spellStart"/>
      <w:r w:rsidR="00852871">
        <w:t>PsA</w:t>
      </w:r>
      <w:proofErr w:type="spellEnd"/>
      <w:r w:rsidR="005A4DF8">
        <w:t xml:space="preserve">: </w:t>
      </w:r>
      <w:proofErr w:type="spellStart"/>
      <w:r w:rsidRPr="00F86673">
        <w:t>PsoBest</w:t>
      </w:r>
      <w:proofErr w:type="spellEnd"/>
      <w:r w:rsidRPr="00F86673">
        <w:t xml:space="preserve"> and British</w:t>
      </w:r>
      <w:r>
        <w:t xml:space="preserve"> </w:t>
      </w:r>
      <w:r w:rsidRPr="00F86673">
        <w:t>Society for Rheumatology Biologics Register in Psoriatic Arthritis (BSRBR-</w:t>
      </w:r>
      <w:proofErr w:type="spellStart"/>
      <w:r w:rsidRPr="00F86673">
        <w:t>PsA</w:t>
      </w:r>
      <w:proofErr w:type="spellEnd"/>
      <w:r w:rsidRPr="00F86673">
        <w:t xml:space="preserve">). </w:t>
      </w:r>
      <w:proofErr w:type="spellStart"/>
      <w:r w:rsidRPr="00F86673">
        <w:t>PsoBest</w:t>
      </w:r>
      <w:proofErr w:type="spellEnd"/>
      <w:r w:rsidRPr="00F86673">
        <w:t xml:space="preserve"> recruits</w:t>
      </w:r>
      <w:r>
        <w:t xml:space="preserve"> </w:t>
      </w:r>
      <w:r w:rsidRPr="00F86673">
        <w:t xml:space="preserve">only </w:t>
      </w:r>
      <w:r w:rsidR="00C33142">
        <w:t>PSOR</w:t>
      </w:r>
      <w:r w:rsidR="004B60E0">
        <w:t xml:space="preserve"> patients who reside in Germany, </w:t>
      </w:r>
      <w:r w:rsidRPr="00F86673">
        <w:t>and BSRBR-</w:t>
      </w:r>
      <w:proofErr w:type="spellStart"/>
      <w:r w:rsidRPr="00F86673">
        <w:t>PsA</w:t>
      </w:r>
      <w:proofErr w:type="spellEnd"/>
      <w:r w:rsidRPr="00F86673">
        <w:t xml:space="preserve"> only patients residing within the UK.</w:t>
      </w:r>
    </w:p>
    <w:p w:rsidR="00F86673" w:rsidRPr="00F86673" w:rsidRDefault="00F86673" w:rsidP="00BD1477">
      <w:r w:rsidRPr="00F86673">
        <w:t xml:space="preserve">Given the country specific location and recruitment of both </w:t>
      </w:r>
      <w:proofErr w:type="spellStart"/>
      <w:r w:rsidRPr="00F86673">
        <w:t>PsoBest</w:t>
      </w:r>
      <w:proofErr w:type="spellEnd"/>
      <w:r w:rsidRPr="00F86673">
        <w:t xml:space="preserve"> and BSRBR-</w:t>
      </w:r>
      <w:proofErr w:type="spellStart"/>
      <w:r w:rsidRPr="00F86673">
        <w:t>PsA</w:t>
      </w:r>
      <w:proofErr w:type="spellEnd"/>
      <w:r w:rsidR="00312A86">
        <w:t>,</w:t>
      </w:r>
      <w:r w:rsidRPr="00F86673">
        <w:t xml:space="preserve"> it is not</w:t>
      </w:r>
      <w:r>
        <w:t xml:space="preserve"> </w:t>
      </w:r>
      <w:r w:rsidRPr="00F86673">
        <w:t>possible to include Austral</w:t>
      </w:r>
      <w:r w:rsidR="00B1469B">
        <w:t>ian sites in their recruitment. H</w:t>
      </w:r>
      <w:r w:rsidRPr="00F86673">
        <w:t>owever, the demographics of the recruited</w:t>
      </w:r>
      <w:r>
        <w:t xml:space="preserve"> </w:t>
      </w:r>
      <w:r w:rsidR="00C962A9">
        <w:t>population are</w:t>
      </w:r>
      <w:r w:rsidRPr="00F86673">
        <w:t xml:space="preserve"> likely to be closely aligned with that which would be recruited in Australia.</w:t>
      </w:r>
    </w:p>
    <w:p w:rsidR="00DE493A" w:rsidRDefault="00F86673" w:rsidP="00BD1477">
      <w:r w:rsidRPr="00F86673">
        <w:t>Further, the RMP evaluator has raised no specific objection</w:t>
      </w:r>
      <w:r>
        <w:t xml:space="preserve"> to the pharmacovigilance plan, </w:t>
      </w:r>
      <w:r w:rsidRPr="00F86673">
        <w:t xml:space="preserve">including these registries and consequently, the sponsor believes that the </w:t>
      </w:r>
      <w:proofErr w:type="spellStart"/>
      <w:r w:rsidRPr="00F86673">
        <w:t>PsoBest</w:t>
      </w:r>
      <w:proofErr w:type="spellEnd"/>
      <w:r w:rsidRPr="00F86673">
        <w:t xml:space="preserve"> and BSRBR-</w:t>
      </w:r>
      <w:proofErr w:type="spellStart"/>
      <w:r w:rsidRPr="00F86673">
        <w:t>PsA</w:t>
      </w:r>
      <w:proofErr w:type="spellEnd"/>
      <w:r>
        <w:t xml:space="preserve"> </w:t>
      </w:r>
      <w:r w:rsidRPr="00F86673">
        <w:t xml:space="preserve">registries will be adequate to inform on </w:t>
      </w:r>
      <w:r w:rsidR="002B6593">
        <w:t>APR</w:t>
      </w:r>
      <w:r w:rsidRPr="00F86673">
        <w:t xml:space="preserve"> in a real world clinical setting </w:t>
      </w:r>
      <w:proofErr w:type="gramStart"/>
      <w:r w:rsidRPr="00F86673">
        <w:t>that</w:t>
      </w:r>
      <w:proofErr w:type="gramEnd"/>
      <w:r w:rsidRPr="00F86673">
        <w:t xml:space="preserve"> is directly</w:t>
      </w:r>
      <w:r>
        <w:t xml:space="preserve"> </w:t>
      </w:r>
      <w:r w:rsidRPr="00F86673">
        <w:t xml:space="preserve">applicable for the Australian population. The </w:t>
      </w:r>
      <w:r w:rsidR="00C962A9">
        <w:t>s</w:t>
      </w:r>
      <w:r w:rsidRPr="00F86673">
        <w:t>ponsor therefore proposes that these registries form</w:t>
      </w:r>
      <w:r>
        <w:t xml:space="preserve"> </w:t>
      </w:r>
      <w:r w:rsidRPr="00F86673">
        <w:t xml:space="preserve">part of the pharmacovigilance plan for </w:t>
      </w:r>
      <w:r w:rsidR="002B6593">
        <w:t>APR</w:t>
      </w:r>
      <w:r w:rsidRPr="00F86673">
        <w:t xml:space="preserve"> in Australia. The TGA will be notified of significant</w:t>
      </w:r>
      <w:r>
        <w:t xml:space="preserve"> </w:t>
      </w:r>
      <w:r w:rsidRPr="00F86673">
        <w:t>observations and the PI updated as required.</w:t>
      </w:r>
    </w:p>
    <w:p w:rsidR="00CD10F6" w:rsidRDefault="00CD10F6" w:rsidP="0065119A">
      <w:pPr>
        <w:pStyle w:val="Heading5"/>
        <w:rPr>
          <w:rFonts w:eastAsiaTheme="minorHAnsi"/>
        </w:rPr>
      </w:pPr>
      <w:r>
        <w:rPr>
          <w:rFonts w:eastAsiaTheme="minorHAnsi"/>
        </w:rPr>
        <w:t>6. Deleg</w:t>
      </w:r>
      <w:r w:rsidR="0065119A">
        <w:rPr>
          <w:rFonts w:eastAsiaTheme="minorHAnsi"/>
        </w:rPr>
        <w:t xml:space="preserve">ate’s </w:t>
      </w:r>
      <w:r w:rsidR="00951DC4">
        <w:rPr>
          <w:rFonts w:eastAsiaTheme="minorHAnsi"/>
        </w:rPr>
        <w:t>c</w:t>
      </w:r>
      <w:r w:rsidR="0065119A">
        <w:rPr>
          <w:rFonts w:eastAsiaTheme="minorHAnsi"/>
        </w:rPr>
        <w:t>omments</w:t>
      </w:r>
    </w:p>
    <w:p w:rsidR="00CD10F6" w:rsidRPr="0065119A" w:rsidRDefault="00CD10F6" w:rsidP="0065119A">
      <w:pPr>
        <w:pStyle w:val="ListBullet"/>
      </w:pPr>
      <w:r w:rsidRPr="0065119A">
        <w:t xml:space="preserve">Although the primary efficacy end points of the </w:t>
      </w:r>
      <w:r w:rsidR="00C33142">
        <w:t>PSOR</w:t>
      </w:r>
      <w:r w:rsidRPr="0065119A">
        <w:t xml:space="preserve"> studies were met, a limitation of the data is</w:t>
      </w:r>
      <w:r w:rsidR="0065119A">
        <w:t xml:space="preserve"> t</w:t>
      </w:r>
      <w:r w:rsidRPr="0065119A">
        <w:t>hat for the</w:t>
      </w:r>
      <w:r w:rsidRPr="00BD1477">
        <w:t xml:space="preserve"> </w:t>
      </w:r>
      <w:r w:rsidRPr="0065119A">
        <w:t xml:space="preserve">enrolled subjects who had moderate or severe </w:t>
      </w:r>
      <w:r w:rsidR="00C33142">
        <w:t>PSOR</w:t>
      </w:r>
      <w:r w:rsidRPr="0065119A">
        <w:t>, eligible for systemic therapy or</w:t>
      </w:r>
      <w:r w:rsidR="0065119A">
        <w:t xml:space="preserve"> </w:t>
      </w:r>
      <w:r w:rsidRPr="0065119A">
        <w:t>phototherapy, none of the efficacy studies provide any evidence of comparative efficacy between</w:t>
      </w:r>
      <w:r w:rsidR="0065119A">
        <w:t xml:space="preserve"> </w:t>
      </w:r>
      <w:r w:rsidRPr="0065119A">
        <w:t xml:space="preserve">these alternative treatment options and </w:t>
      </w:r>
      <w:r w:rsidR="002B6593">
        <w:t>APR</w:t>
      </w:r>
      <w:r w:rsidRPr="0065119A">
        <w:t>. This deficiency should be included in the clinical</w:t>
      </w:r>
      <w:r w:rsidR="0065119A">
        <w:t xml:space="preserve"> </w:t>
      </w:r>
      <w:r w:rsidRPr="0065119A">
        <w:t>trials section of the product information.</w:t>
      </w:r>
    </w:p>
    <w:p w:rsidR="00CD10F6" w:rsidRDefault="0065119A" w:rsidP="00BD1477">
      <w:pPr>
        <w:pStyle w:val="Heading5"/>
        <w:rPr>
          <w:rFonts w:eastAsiaTheme="minorHAnsi"/>
        </w:rPr>
      </w:pPr>
      <w:r w:rsidRPr="00BD1477">
        <w:rPr>
          <w:rFonts w:eastAsiaTheme="minorHAnsi"/>
        </w:rPr>
        <w:t>Response</w:t>
      </w:r>
    </w:p>
    <w:p w:rsidR="00CD10F6" w:rsidRPr="0065119A" w:rsidRDefault="00CD10F6" w:rsidP="00BD1477">
      <w:r w:rsidRPr="0065119A">
        <w:t>The PI has been updated accordingly.</w:t>
      </w:r>
    </w:p>
    <w:p w:rsidR="00CD10F6" w:rsidRPr="0065119A" w:rsidRDefault="00CD10F6" w:rsidP="0065119A">
      <w:pPr>
        <w:pStyle w:val="Heading5"/>
        <w:rPr>
          <w:rFonts w:eastAsiaTheme="minorHAnsi"/>
        </w:rPr>
      </w:pPr>
      <w:r w:rsidRPr="0065119A">
        <w:rPr>
          <w:rFonts w:eastAsiaTheme="minorHAnsi"/>
        </w:rPr>
        <w:t>7. Review of t</w:t>
      </w:r>
      <w:r w:rsidRPr="00BD1477">
        <w:rPr>
          <w:rFonts w:eastAsiaTheme="minorHAnsi"/>
        </w:rPr>
        <w:t>h</w:t>
      </w:r>
      <w:r w:rsidRPr="0065119A">
        <w:rPr>
          <w:rFonts w:eastAsiaTheme="minorHAnsi"/>
        </w:rPr>
        <w:t xml:space="preserve">e </w:t>
      </w:r>
      <w:r w:rsidR="00951DC4">
        <w:rPr>
          <w:rFonts w:eastAsiaTheme="minorHAnsi"/>
        </w:rPr>
        <w:t>PI</w:t>
      </w:r>
    </w:p>
    <w:p w:rsidR="00CD10F6" w:rsidRPr="0065119A" w:rsidRDefault="00CD10F6" w:rsidP="00BD1477">
      <w:pPr>
        <w:pStyle w:val="ListBullet"/>
      </w:pPr>
      <w:r w:rsidRPr="0065119A">
        <w:t xml:space="preserve">The PI should </w:t>
      </w:r>
      <w:r w:rsidRPr="00BD1477">
        <w:t>document</w:t>
      </w:r>
      <w:r w:rsidRPr="0065119A">
        <w:t xml:space="preserve"> the observed reduction in clearance in female subjects.</w:t>
      </w:r>
    </w:p>
    <w:p w:rsidR="00CD10F6" w:rsidRDefault="0065119A" w:rsidP="00BD1477">
      <w:pPr>
        <w:pStyle w:val="Heading5"/>
        <w:rPr>
          <w:rFonts w:eastAsiaTheme="minorHAnsi"/>
        </w:rPr>
      </w:pPr>
      <w:r w:rsidRPr="00BD1477">
        <w:rPr>
          <w:rFonts w:eastAsiaTheme="minorHAnsi"/>
        </w:rPr>
        <w:t>Response</w:t>
      </w:r>
    </w:p>
    <w:p w:rsidR="00CD10F6" w:rsidRPr="0065119A" w:rsidRDefault="00CD10F6" w:rsidP="00BD1477">
      <w:r w:rsidRPr="0065119A">
        <w:t>The PI has been updated accordingly.</w:t>
      </w:r>
    </w:p>
    <w:p w:rsidR="00CD10F6" w:rsidRDefault="00CD10F6" w:rsidP="00BD1477">
      <w:pPr>
        <w:pStyle w:val="Heading5"/>
        <w:rPr>
          <w:rFonts w:eastAsiaTheme="minorHAnsi"/>
        </w:rPr>
      </w:pPr>
      <w:r>
        <w:rPr>
          <w:rFonts w:eastAsiaTheme="minorHAnsi"/>
        </w:rPr>
        <w:t xml:space="preserve">8. Review of the </w:t>
      </w:r>
      <w:r w:rsidR="00951DC4">
        <w:rPr>
          <w:rFonts w:eastAsiaTheme="minorHAnsi"/>
        </w:rPr>
        <w:t>PI</w:t>
      </w:r>
    </w:p>
    <w:p w:rsidR="00CD10F6" w:rsidRPr="0065119A" w:rsidRDefault="00CD10F6" w:rsidP="00BD1477">
      <w:pPr>
        <w:pStyle w:val="ListBullet"/>
      </w:pPr>
      <w:r w:rsidRPr="0065119A">
        <w:t>The sponsor should present the ‘proportion of responders’ at each time point, with the 95%</w:t>
      </w:r>
      <w:r w:rsidR="0065119A">
        <w:t xml:space="preserve"> </w:t>
      </w:r>
      <w:r w:rsidRPr="00BD1477">
        <w:t>confidence</w:t>
      </w:r>
      <w:r w:rsidRPr="0065119A">
        <w:t xml:space="preserve"> interval, not the standard error.</w:t>
      </w:r>
    </w:p>
    <w:p w:rsidR="00CD10F6" w:rsidRDefault="005E3919" w:rsidP="00BD1477">
      <w:pPr>
        <w:pStyle w:val="Heading5"/>
        <w:rPr>
          <w:rFonts w:eastAsiaTheme="minorHAnsi"/>
        </w:rPr>
      </w:pPr>
      <w:r w:rsidRPr="00BD1477">
        <w:rPr>
          <w:rFonts w:eastAsiaTheme="minorHAnsi"/>
        </w:rPr>
        <w:t>Response</w:t>
      </w:r>
    </w:p>
    <w:p w:rsidR="00CD10F6" w:rsidRPr="005E3919" w:rsidRDefault="00CD10F6" w:rsidP="005E3919">
      <w:r w:rsidRPr="005E3919">
        <w:t>The PI has been updated accordingly.</w:t>
      </w:r>
    </w:p>
    <w:p w:rsidR="00CD10F6" w:rsidRDefault="00CD10F6" w:rsidP="00BD1477">
      <w:pPr>
        <w:pStyle w:val="Heading5"/>
        <w:rPr>
          <w:rFonts w:eastAsiaTheme="minorHAnsi"/>
        </w:rPr>
      </w:pPr>
      <w:r>
        <w:rPr>
          <w:rFonts w:eastAsiaTheme="minorHAnsi"/>
        </w:rPr>
        <w:t xml:space="preserve">9. </w:t>
      </w:r>
      <w:r w:rsidRPr="00BD1477">
        <w:rPr>
          <w:rFonts w:eastAsiaTheme="minorHAnsi"/>
        </w:rPr>
        <w:t>Review</w:t>
      </w:r>
      <w:r>
        <w:rPr>
          <w:rFonts w:eastAsiaTheme="minorHAnsi"/>
        </w:rPr>
        <w:t xml:space="preserve"> of the </w:t>
      </w:r>
      <w:r w:rsidR="000959CD">
        <w:rPr>
          <w:rFonts w:eastAsiaTheme="minorHAnsi"/>
        </w:rPr>
        <w:t>PI</w:t>
      </w:r>
    </w:p>
    <w:p w:rsidR="00CD10F6" w:rsidRPr="005E3919" w:rsidRDefault="00CD10F6" w:rsidP="00BD1477">
      <w:pPr>
        <w:pStyle w:val="ListBullet"/>
      </w:pPr>
      <w:r w:rsidRPr="005E3919">
        <w:t>In the sentence beginning “Response to Otezla was rapid”, the use of the term ‘rapid’ is not</w:t>
      </w:r>
      <w:r w:rsidR="005E3919">
        <w:t xml:space="preserve"> </w:t>
      </w:r>
      <w:r w:rsidRPr="00BD1477">
        <w:t>appropriate</w:t>
      </w:r>
      <w:r w:rsidRPr="005E3919">
        <w:t xml:space="preserve"> as the speed (or rate) of response was not formally assessed. Similarly, the sentence:</w:t>
      </w:r>
    </w:p>
    <w:p w:rsidR="005E3919" w:rsidRDefault="00CD10F6" w:rsidP="00BD1477">
      <w:pPr>
        <w:pStyle w:val="ListBullet2"/>
        <w:numPr>
          <w:ilvl w:val="0"/>
          <w:numId w:val="0"/>
        </w:numPr>
        <w:ind w:left="720"/>
      </w:pPr>
      <w:r w:rsidRPr="005E3919">
        <w:t>“Clinically significant improvements in signs and symptoms, including pruritus, and skin</w:t>
      </w:r>
      <w:r w:rsidR="005E3919">
        <w:t xml:space="preserve"> </w:t>
      </w:r>
      <w:r w:rsidRPr="005E3919">
        <w:t>discomfort/pain, wer</w:t>
      </w:r>
      <w:r w:rsidR="0020115C">
        <w:t>e observed as early as Week 2</w:t>
      </w:r>
      <w:r w:rsidR="005E3919">
        <w:t>”</w:t>
      </w:r>
    </w:p>
    <w:p w:rsidR="00CD10F6" w:rsidRPr="005E3919" w:rsidRDefault="00CD10F6" w:rsidP="00BD1477">
      <w:pPr>
        <w:pStyle w:val="ListBullet"/>
        <w:numPr>
          <w:ilvl w:val="0"/>
          <w:numId w:val="0"/>
        </w:numPr>
        <w:ind w:left="360"/>
      </w:pPr>
      <w:proofErr w:type="gramStart"/>
      <w:r w:rsidRPr="005E3919">
        <w:t>is</w:t>
      </w:r>
      <w:proofErr w:type="gramEnd"/>
      <w:r w:rsidRPr="005E3919">
        <w:t xml:space="preserve"> </w:t>
      </w:r>
      <w:r w:rsidRPr="00BD1477">
        <w:t>promotional</w:t>
      </w:r>
      <w:r w:rsidRPr="005E3919">
        <w:t xml:space="preserve"> and not permissible to remain in</w:t>
      </w:r>
      <w:r w:rsidR="005E3919">
        <w:t xml:space="preserve"> </w:t>
      </w:r>
      <w:r w:rsidRPr="005E3919">
        <w:t>the PI as efficacy was not formally assessed at this time point.</w:t>
      </w:r>
    </w:p>
    <w:p w:rsidR="00CD10F6" w:rsidRDefault="00CD10F6" w:rsidP="00BD1477">
      <w:pPr>
        <w:pStyle w:val="Heading5"/>
        <w:rPr>
          <w:rFonts w:eastAsiaTheme="minorHAnsi"/>
        </w:rPr>
      </w:pPr>
      <w:r w:rsidRPr="00BD1477">
        <w:rPr>
          <w:rFonts w:eastAsiaTheme="minorHAnsi"/>
        </w:rPr>
        <w:t>Respo</w:t>
      </w:r>
      <w:r w:rsidR="0020115C" w:rsidRPr="00BD1477">
        <w:rPr>
          <w:rFonts w:eastAsiaTheme="minorHAnsi"/>
        </w:rPr>
        <w:t>nse</w:t>
      </w:r>
    </w:p>
    <w:p w:rsidR="00CD10F6" w:rsidRPr="0020115C" w:rsidRDefault="00CD10F6" w:rsidP="00BD1477">
      <w:r w:rsidRPr="0020115C">
        <w:t>The Delegate’s concerns have been addressed via the following modifications to the text:</w:t>
      </w:r>
    </w:p>
    <w:p w:rsidR="00A41B25" w:rsidRPr="00A41B25" w:rsidRDefault="00CD10F6" w:rsidP="00EC0309">
      <w:pPr>
        <w:ind w:left="720"/>
      </w:pPr>
      <w:r w:rsidRPr="00924A49">
        <w:rPr>
          <w:strike/>
        </w:rPr>
        <w:t>Response to Otezla was rapid, with s</w:t>
      </w:r>
      <w:r w:rsidRPr="0020115C">
        <w:t xml:space="preserve"> </w:t>
      </w:r>
      <w:proofErr w:type="gramStart"/>
      <w:r w:rsidRPr="0020115C">
        <w:t>Significantly</w:t>
      </w:r>
      <w:proofErr w:type="gramEnd"/>
      <w:r w:rsidRPr="0020115C">
        <w:t xml:space="preserve"> greater improvements compared to placebo in </w:t>
      </w:r>
      <w:r w:rsidRPr="00924A49">
        <w:rPr>
          <w:strike/>
        </w:rPr>
        <w:t>signs and symptoms of psoriasis, including</w:t>
      </w:r>
      <w:r w:rsidRPr="0020115C">
        <w:t xml:space="preserve"> </w:t>
      </w:r>
      <w:r w:rsidRPr="00924A49">
        <w:rPr>
          <w:u w:val="single"/>
        </w:rPr>
        <w:t>mean % change in</w:t>
      </w:r>
      <w:r w:rsidRPr="0020115C">
        <w:t xml:space="preserve"> PASI </w:t>
      </w:r>
      <w:r w:rsidRPr="00924A49">
        <w:rPr>
          <w:u w:val="single"/>
        </w:rPr>
        <w:t>from baseline</w:t>
      </w:r>
      <w:r w:rsidRPr="0020115C">
        <w:t>, skin discomfort/</w:t>
      </w:r>
      <w:r w:rsidRPr="004708FC">
        <w:rPr>
          <w:u w:val="single"/>
        </w:rPr>
        <w:t>pain</w:t>
      </w:r>
      <w:r w:rsidRPr="0020115C">
        <w:t xml:space="preserve"> and pruritus </w:t>
      </w:r>
      <w:r w:rsidRPr="004708FC">
        <w:rPr>
          <w:u w:val="single"/>
        </w:rPr>
        <w:t>were observed</w:t>
      </w:r>
      <w:r w:rsidRPr="0020115C">
        <w:t xml:space="preserve"> at Week 2. In general, PASI </w:t>
      </w:r>
      <w:r w:rsidRPr="00A41B25">
        <w:t>responses were achieved by Week 16 and were sustained through Week 32.</w:t>
      </w:r>
      <w:r w:rsidR="00A41B25">
        <w:t xml:space="preserve"> </w:t>
      </w:r>
      <w:r w:rsidR="00A41B25" w:rsidRPr="00A41B25">
        <w:rPr>
          <w:strike/>
        </w:rPr>
        <w:t>Clinically significant improvements in signs and symptoms, including pruritus, and skin discomfort/pain, were observed as early as Week 2.</w:t>
      </w:r>
    </w:p>
    <w:p w:rsidR="00A41B25" w:rsidRPr="00A41B25" w:rsidRDefault="00A41B25" w:rsidP="00A41B25">
      <w:pPr>
        <w:pStyle w:val="Heading5"/>
        <w:rPr>
          <w:rFonts w:eastAsiaTheme="minorHAnsi"/>
        </w:rPr>
      </w:pPr>
      <w:r w:rsidRPr="00A41B25">
        <w:rPr>
          <w:rFonts w:eastAsiaTheme="minorHAnsi"/>
        </w:rPr>
        <w:t xml:space="preserve">10. Review of the </w:t>
      </w:r>
      <w:r w:rsidR="006457E8">
        <w:rPr>
          <w:rFonts w:eastAsiaTheme="minorHAnsi"/>
        </w:rPr>
        <w:t>PI</w:t>
      </w:r>
    </w:p>
    <w:p w:rsidR="00A41B25" w:rsidRPr="00A41B25" w:rsidRDefault="00417A56" w:rsidP="00BD1477">
      <w:pPr>
        <w:pStyle w:val="ListBullet"/>
      </w:pPr>
      <w:r w:rsidRPr="00BD1477">
        <w:t>Contraindications</w:t>
      </w:r>
      <w:r>
        <w:t>: t</w:t>
      </w:r>
      <w:r w:rsidR="00A41B25" w:rsidRPr="00A41B25">
        <w:t xml:space="preserve">he </w:t>
      </w:r>
      <w:r w:rsidR="002B0A70">
        <w:t>D</w:t>
      </w:r>
      <w:r w:rsidR="00A41B25" w:rsidRPr="00A41B25">
        <w:t xml:space="preserve">elegate notes that the use of </w:t>
      </w:r>
      <w:r w:rsidR="002B6593">
        <w:t>APR</w:t>
      </w:r>
      <w:r w:rsidR="00A41B25" w:rsidRPr="00A41B25">
        <w:t xml:space="preserve"> in pregnancy and in nursing women is contraindicated</w:t>
      </w:r>
      <w:r w:rsidR="00A41B25">
        <w:t xml:space="preserve"> i</w:t>
      </w:r>
      <w:r w:rsidR="00A41B25" w:rsidRPr="00A41B25">
        <w:t xml:space="preserve">n the European </w:t>
      </w:r>
      <w:r w:rsidR="003534C4">
        <w:t>PI</w:t>
      </w:r>
      <w:r w:rsidR="00A41B25" w:rsidRPr="00A41B25">
        <w:t>. This advice should be contained in the Australian PI.</w:t>
      </w:r>
    </w:p>
    <w:p w:rsidR="00A41B25" w:rsidRDefault="001A1865" w:rsidP="00BD1477">
      <w:pPr>
        <w:pStyle w:val="Heading5"/>
        <w:rPr>
          <w:rFonts w:eastAsiaTheme="minorHAnsi"/>
        </w:rPr>
      </w:pPr>
      <w:r w:rsidRPr="00BD1477">
        <w:rPr>
          <w:rFonts w:eastAsiaTheme="minorHAnsi"/>
        </w:rPr>
        <w:t>Response</w:t>
      </w:r>
    </w:p>
    <w:p w:rsidR="00A41B25" w:rsidRPr="001A1865" w:rsidRDefault="00A41B25" w:rsidP="00BD1477">
      <w:r w:rsidRPr="001A1865">
        <w:t>The PI has been updated accordingly.</w:t>
      </w:r>
    </w:p>
    <w:p w:rsidR="001A1865" w:rsidRDefault="00A41B25" w:rsidP="00BD1477">
      <w:pPr>
        <w:pStyle w:val="Heading5"/>
      </w:pPr>
      <w:r w:rsidRPr="001A1865">
        <w:rPr>
          <w:rFonts w:eastAsiaTheme="minorHAnsi"/>
        </w:rPr>
        <w:t>11. Rev</w:t>
      </w:r>
      <w:r w:rsidR="001A1865">
        <w:t xml:space="preserve">iew of the </w:t>
      </w:r>
      <w:r w:rsidR="003534C4">
        <w:t>PI</w:t>
      </w:r>
    </w:p>
    <w:p w:rsidR="00A41B25" w:rsidRPr="001A1865" w:rsidRDefault="007C1071" w:rsidP="00BD1477">
      <w:pPr>
        <w:pStyle w:val="ListBullet"/>
      </w:pPr>
      <w:r w:rsidRPr="00BD1477">
        <w:t>Precautions</w:t>
      </w:r>
      <w:r>
        <w:t>, points 1, 2 and 3</w:t>
      </w:r>
    </w:p>
    <w:p w:rsidR="00A41B25" w:rsidRDefault="00515048" w:rsidP="00515048">
      <w:pPr>
        <w:pStyle w:val="Heading5"/>
        <w:rPr>
          <w:rFonts w:eastAsiaTheme="minorHAnsi"/>
        </w:rPr>
      </w:pPr>
      <w:r>
        <w:rPr>
          <w:rFonts w:eastAsiaTheme="minorHAnsi"/>
        </w:rPr>
        <w:t>Response</w:t>
      </w:r>
    </w:p>
    <w:p w:rsidR="00A41B25" w:rsidRPr="00515048" w:rsidRDefault="00A41B25" w:rsidP="00515048">
      <w:r w:rsidRPr="00515048">
        <w:t>The PI has been updated as requested by the Delegate.</w:t>
      </w:r>
    </w:p>
    <w:p w:rsidR="00515048" w:rsidRDefault="00A41B25" w:rsidP="00BD1477">
      <w:pPr>
        <w:pStyle w:val="Heading5"/>
        <w:rPr>
          <w:rFonts w:eastAsiaTheme="minorHAnsi"/>
        </w:rPr>
      </w:pPr>
      <w:r>
        <w:rPr>
          <w:rFonts w:eastAsiaTheme="minorHAnsi"/>
        </w:rPr>
        <w:t xml:space="preserve">12. </w:t>
      </w:r>
      <w:r w:rsidRPr="00BD1477">
        <w:rPr>
          <w:rFonts w:eastAsiaTheme="minorHAnsi"/>
        </w:rPr>
        <w:t>Review</w:t>
      </w:r>
      <w:r>
        <w:rPr>
          <w:rFonts w:eastAsiaTheme="minorHAnsi"/>
        </w:rPr>
        <w:t xml:space="preserve"> of the </w:t>
      </w:r>
      <w:r w:rsidR="003534C4">
        <w:rPr>
          <w:rFonts w:eastAsiaTheme="minorHAnsi"/>
        </w:rPr>
        <w:t>PI</w:t>
      </w:r>
    </w:p>
    <w:p w:rsidR="00A41B25" w:rsidRPr="001552DA" w:rsidRDefault="00690135" w:rsidP="00BD1477">
      <w:pPr>
        <w:pStyle w:val="ListBullet"/>
      </w:pPr>
      <w:r w:rsidRPr="001552DA">
        <w:t xml:space="preserve">Precautions, point 4 and 5: </w:t>
      </w:r>
      <w:r w:rsidR="00A41B25" w:rsidRPr="001552DA">
        <w:t>The PI should contain a statement in regard to</w:t>
      </w:r>
      <w:r w:rsidR="000C2906">
        <w:t>:</w:t>
      </w:r>
      <w:r w:rsidR="00A41B25" w:rsidRPr="001552DA">
        <w:t xml:space="preserve"> </w:t>
      </w:r>
      <w:r w:rsidR="006E0151">
        <w:t>(</w:t>
      </w:r>
      <w:proofErr w:type="spellStart"/>
      <w:r w:rsidR="00A41B25" w:rsidRPr="001552DA">
        <w:t>i</w:t>
      </w:r>
      <w:proofErr w:type="spellEnd"/>
      <w:r w:rsidR="00A41B25" w:rsidRPr="001552DA">
        <w:t>) the recommendation to regularly monitor body</w:t>
      </w:r>
      <w:r w:rsidRPr="001552DA">
        <w:t xml:space="preserve"> </w:t>
      </w:r>
      <w:r w:rsidR="00A41B25" w:rsidRPr="00BD1477">
        <w:t>weight</w:t>
      </w:r>
      <w:r w:rsidR="00A41B25" w:rsidRPr="001552DA">
        <w:t xml:space="preserve"> in all subjects, and </w:t>
      </w:r>
      <w:r w:rsidR="006E0151">
        <w:t>(</w:t>
      </w:r>
      <w:r w:rsidR="00A41B25" w:rsidRPr="001552DA">
        <w:t xml:space="preserve">ii) assessment of renal function prior to commencement of </w:t>
      </w:r>
      <w:r w:rsidR="002B6593">
        <w:t>APR</w:t>
      </w:r>
      <w:r w:rsidR="00A41B25" w:rsidRPr="001552DA">
        <w:t>.</w:t>
      </w:r>
      <w:r w:rsidRPr="001552DA">
        <w:t xml:space="preserve"> </w:t>
      </w:r>
      <w:r w:rsidR="00A41B25" w:rsidRPr="001552DA">
        <w:t xml:space="preserve">The PI should contain information regarding weight loss in the </w:t>
      </w:r>
      <w:r w:rsidR="0011514D">
        <w:t>PBO</w:t>
      </w:r>
      <w:r w:rsidR="00E54108">
        <w:t xml:space="preserve"> </w:t>
      </w:r>
      <w:r w:rsidR="00A41B25" w:rsidRPr="001552DA">
        <w:t>controlled period worded</w:t>
      </w:r>
      <w:r w:rsidRPr="001552DA">
        <w:t xml:space="preserve"> </w:t>
      </w:r>
      <w:r w:rsidR="00A41B25" w:rsidRPr="001552DA">
        <w:t xml:space="preserve">similarly to that contained in the European </w:t>
      </w:r>
      <w:r w:rsidR="00410567">
        <w:t>PI</w:t>
      </w:r>
      <w:r w:rsidR="00A41B25" w:rsidRPr="001552DA">
        <w:t>, not simply the TEAE incidence as</w:t>
      </w:r>
      <w:r w:rsidRPr="001552DA">
        <w:t xml:space="preserve"> </w:t>
      </w:r>
      <w:r w:rsidR="00A41B25" w:rsidRPr="001552DA">
        <w:t>is currently stated.</w:t>
      </w:r>
    </w:p>
    <w:p w:rsidR="00A41B25" w:rsidRDefault="001552DA" w:rsidP="001552DA">
      <w:pPr>
        <w:pStyle w:val="Heading5"/>
        <w:rPr>
          <w:rFonts w:eastAsiaTheme="minorHAnsi"/>
        </w:rPr>
      </w:pPr>
      <w:r>
        <w:rPr>
          <w:rFonts w:eastAsiaTheme="minorHAnsi"/>
        </w:rPr>
        <w:t>Response</w:t>
      </w:r>
    </w:p>
    <w:p w:rsidR="00A41B25" w:rsidRPr="001552DA" w:rsidRDefault="00A41B25" w:rsidP="001552DA">
      <w:r w:rsidRPr="001552DA">
        <w:t>The PI has been updated accordingly with the following text:</w:t>
      </w:r>
    </w:p>
    <w:p w:rsidR="00A41B25" w:rsidRPr="00E93AA7" w:rsidRDefault="00BD1477" w:rsidP="00E93AA7">
      <w:pPr>
        <w:pStyle w:val="ListBullet2"/>
        <w:numPr>
          <w:ilvl w:val="0"/>
          <w:numId w:val="0"/>
        </w:numPr>
        <w:ind w:left="720"/>
        <w:rPr>
          <w:b/>
          <w:i/>
        </w:rPr>
      </w:pPr>
      <w:r w:rsidRPr="00E93AA7">
        <w:rPr>
          <w:b/>
          <w:i/>
        </w:rPr>
        <w:t>Weight d</w:t>
      </w:r>
      <w:r w:rsidR="00A41B25" w:rsidRPr="00E93AA7">
        <w:rPr>
          <w:b/>
          <w:i/>
        </w:rPr>
        <w:t>ecrease</w:t>
      </w:r>
    </w:p>
    <w:p w:rsidR="00A41B25" w:rsidRPr="00E93AA7" w:rsidRDefault="00A41B25" w:rsidP="00E93AA7">
      <w:pPr>
        <w:pStyle w:val="ListBullet2"/>
        <w:numPr>
          <w:ilvl w:val="0"/>
          <w:numId w:val="0"/>
        </w:numPr>
        <w:ind w:left="720"/>
        <w:rPr>
          <w:i/>
        </w:rPr>
      </w:pPr>
      <w:r w:rsidRPr="00E93AA7">
        <w:rPr>
          <w:i/>
        </w:rPr>
        <w:t>Weight decreases of greater than 5% of baseline body weight during the placebo-controlled period</w:t>
      </w:r>
      <w:r w:rsidR="006B06CE" w:rsidRPr="00E93AA7">
        <w:rPr>
          <w:i/>
        </w:rPr>
        <w:t xml:space="preserve"> </w:t>
      </w:r>
      <w:r w:rsidRPr="00E93AA7">
        <w:rPr>
          <w:i/>
        </w:rPr>
        <w:t>(16 weeks) were reported in 5.0% of patients treated with placebo compared to 13.3% of patients</w:t>
      </w:r>
      <w:r w:rsidR="006B06CE" w:rsidRPr="00E93AA7">
        <w:rPr>
          <w:i/>
        </w:rPr>
        <w:t xml:space="preserve"> </w:t>
      </w:r>
      <w:r w:rsidRPr="00E93AA7">
        <w:rPr>
          <w:i/>
        </w:rPr>
        <w:t>treated with Otezla 30 mg BID. Weight decreases of greater than 5% of baseline body weight</w:t>
      </w:r>
      <w:r w:rsidR="006B06CE" w:rsidRPr="00E93AA7">
        <w:rPr>
          <w:i/>
        </w:rPr>
        <w:t xml:space="preserve"> </w:t>
      </w:r>
      <w:r w:rsidRPr="00E93AA7">
        <w:rPr>
          <w:i/>
        </w:rPr>
        <w:t>following 52 weeks of treatment were reported in 19.2% of patients treated with Otezla 30 mg</w:t>
      </w:r>
      <w:r w:rsidR="006B06CE" w:rsidRPr="00E93AA7">
        <w:rPr>
          <w:i/>
        </w:rPr>
        <w:t xml:space="preserve"> </w:t>
      </w:r>
      <w:r w:rsidRPr="00E93AA7">
        <w:rPr>
          <w:i/>
        </w:rPr>
        <w:t>BID, including decreases of greater than 10% reported in 5.7% of patients. Weight decreases of</w:t>
      </w:r>
      <w:r w:rsidR="006B06CE" w:rsidRPr="00E93AA7">
        <w:rPr>
          <w:i/>
        </w:rPr>
        <w:t xml:space="preserve"> </w:t>
      </w:r>
      <w:r w:rsidRPr="00E93AA7">
        <w:rPr>
          <w:i/>
        </w:rPr>
        <w:t>greater than 5% of baseline body weight were observed more frequently in women than in men.</w:t>
      </w:r>
      <w:r w:rsidR="006B06CE" w:rsidRPr="00E93AA7">
        <w:rPr>
          <w:i/>
        </w:rPr>
        <w:t xml:space="preserve"> </w:t>
      </w:r>
      <w:r w:rsidRPr="00E93AA7">
        <w:rPr>
          <w:i/>
        </w:rPr>
        <w:t>Patients treated with Otezla should have their weight monitored regularly. If unexplaine</w:t>
      </w:r>
      <w:r w:rsidR="006B06CE" w:rsidRPr="00E93AA7">
        <w:rPr>
          <w:i/>
        </w:rPr>
        <w:t xml:space="preserve">d or </w:t>
      </w:r>
      <w:r w:rsidRPr="00E93AA7">
        <w:rPr>
          <w:i/>
        </w:rPr>
        <w:t>clinically significant weight loss occurs, weight loss should be ev</w:t>
      </w:r>
      <w:r w:rsidR="006B06CE" w:rsidRPr="00E93AA7">
        <w:rPr>
          <w:i/>
        </w:rPr>
        <w:t xml:space="preserve">aluated, and discontinuation of </w:t>
      </w:r>
      <w:r w:rsidRPr="00E93AA7">
        <w:rPr>
          <w:i/>
        </w:rPr>
        <w:t>Otezla should be considered.</w:t>
      </w:r>
    </w:p>
    <w:p w:rsidR="00A41B25" w:rsidRPr="00E93AA7" w:rsidRDefault="00A41B25" w:rsidP="00E93AA7">
      <w:pPr>
        <w:pStyle w:val="ListBullet2"/>
        <w:numPr>
          <w:ilvl w:val="0"/>
          <w:numId w:val="0"/>
        </w:numPr>
        <w:ind w:left="720"/>
        <w:rPr>
          <w:b/>
          <w:i/>
        </w:rPr>
      </w:pPr>
      <w:r w:rsidRPr="00E93AA7">
        <w:rPr>
          <w:b/>
          <w:i/>
        </w:rPr>
        <w:t xml:space="preserve">Renal </w:t>
      </w:r>
      <w:r w:rsidR="00BD1477" w:rsidRPr="00E93AA7">
        <w:rPr>
          <w:b/>
          <w:i/>
        </w:rPr>
        <w:t>f</w:t>
      </w:r>
      <w:r w:rsidRPr="00E93AA7">
        <w:rPr>
          <w:b/>
          <w:i/>
        </w:rPr>
        <w:t>unction</w:t>
      </w:r>
    </w:p>
    <w:p w:rsidR="00A41B25" w:rsidRPr="00E93AA7" w:rsidRDefault="00A41B25" w:rsidP="00E93AA7">
      <w:pPr>
        <w:pStyle w:val="ListBullet2"/>
        <w:numPr>
          <w:ilvl w:val="0"/>
          <w:numId w:val="0"/>
        </w:numPr>
        <w:ind w:left="720"/>
        <w:rPr>
          <w:i/>
        </w:rPr>
      </w:pPr>
      <w:r w:rsidRPr="00E93AA7">
        <w:rPr>
          <w:i/>
        </w:rPr>
        <w:t>Assessment of renal function is recommended prior to initiation of Otezla.</w:t>
      </w:r>
    </w:p>
    <w:p w:rsidR="00C12035" w:rsidRDefault="00A41B25" w:rsidP="00E93AA7">
      <w:pPr>
        <w:pStyle w:val="Heading5"/>
        <w:rPr>
          <w:rFonts w:eastAsiaTheme="minorHAnsi"/>
        </w:rPr>
      </w:pPr>
      <w:r w:rsidRPr="00C204DE">
        <w:rPr>
          <w:rFonts w:eastAsiaTheme="minorHAnsi"/>
        </w:rPr>
        <w:t>13. Rev</w:t>
      </w:r>
      <w:r w:rsidR="001552DA" w:rsidRPr="00C204DE">
        <w:rPr>
          <w:rFonts w:eastAsiaTheme="minorHAnsi"/>
        </w:rPr>
        <w:t xml:space="preserve">iew of the </w:t>
      </w:r>
      <w:r w:rsidR="00AE3AAE">
        <w:rPr>
          <w:rFonts w:eastAsiaTheme="minorHAnsi"/>
        </w:rPr>
        <w:t>PI</w:t>
      </w:r>
    </w:p>
    <w:p w:rsidR="00A41B25" w:rsidRPr="00C204DE" w:rsidRDefault="000A71CB" w:rsidP="00E93AA7">
      <w:pPr>
        <w:pStyle w:val="ListBullet"/>
      </w:pPr>
      <w:r>
        <w:t>AEs</w:t>
      </w:r>
      <w:r w:rsidR="00C12035">
        <w:t>, point 1: t</w:t>
      </w:r>
      <w:r w:rsidR="00A41B25" w:rsidRPr="00C204DE">
        <w:t>he current statement in the PI regarding weight loss is not sufficiently descriptive of the risk of</w:t>
      </w:r>
      <w:r w:rsidR="00C204DE">
        <w:t xml:space="preserve"> </w:t>
      </w:r>
      <w:r w:rsidR="00A41B25" w:rsidRPr="00C204DE">
        <w:t>weight loss observ</w:t>
      </w:r>
      <w:r w:rsidR="008745F5">
        <w:t xml:space="preserve">ed in the clinical studies. </w:t>
      </w:r>
      <w:r w:rsidR="00A41B25" w:rsidRPr="00C204DE">
        <w:t>The statement should</w:t>
      </w:r>
      <w:r w:rsidR="00C204DE">
        <w:t xml:space="preserve"> </w:t>
      </w:r>
      <w:r w:rsidR="00A41B25" w:rsidRPr="00C204DE">
        <w:t>be amended to reflect the magnitude of weight loss observed, with wording similar to that in the US</w:t>
      </w:r>
      <w:r w:rsidR="00C204DE">
        <w:t xml:space="preserve"> </w:t>
      </w:r>
      <w:r w:rsidR="00A41B25" w:rsidRPr="00C204DE">
        <w:t>product label.</w:t>
      </w:r>
    </w:p>
    <w:p w:rsidR="00A41B25" w:rsidRDefault="00817FD8" w:rsidP="00817FD8">
      <w:pPr>
        <w:pStyle w:val="Heading5"/>
        <w:rPr>
          <w:rFonts w:eastAsiaTheme="minorHAnsi"/>
        </w:rPr>
      </w:pPr>
      <w:r>
        <w:rPr>
          <w:rFonts w:eastAsiaTheme="minorHAnsi"/>
        </w:rPr>
        <w:t>Response</w:t>
      </w:r>
    </w:p>
    <w:p w:rsidR="00A41B25" w:rsidRPr="00817FD8" w:rsidRDefault="00A41B25" w:rsidP="00E93AA7">
      <w:r w:rsidRPr="00817FD8">
        <w:t>The PI has been updated accordingly with the following text:</w:t>
      </w:r>
    </w:p>
    <w:p w:rsidR="00A41B25" w:rsidRPr="001B78E2" w:rsidRDefault="00A41B25" w:rsidP="001B78E2">
      <w:pPr>
        <w:ind w:left="720"/>
        <w:rPr>
          <w:i/>
        </w:rPr>
      </w:pPr>
      <w:r w:rsidRPr="001B78E2">
        <w:rPr>
          <w:i/>
        </w:rPr>
        <w:t xml:space="preserve">The mean observed weight loss in patients treated for up to 52 weeks with </w:t>
      </w:r>
      <w:r w:rsidR="002B6593">
        <w:rPr>
          <w:i/>
        </w:rPr>
        <w:t>APR</w:t>
      </w:r>
      <w:r w:rsidRPr="001B78E2">
        <w:rPr>
          <w:i/>
        </w:rPr>
        <w:t xml:space="preserve"> was 1.99 kg.</w:t>
      </w:r>
      <w:r w:rsidR="00817FD8" w:rsidRPr="001B78E2">
        <w:rPr>
          <w:i/>
        </w:rPr>
        <w:t xml:space="preserve"> </w:t>
      </w:r>
      <w:r w:rsidRPr="001B78E2">
        <w:rPr>
          <w:i/>
        </w:rPr>
        <w:t xml:space="preserve">A total of 14.3% of patients receiving </w:t>
      </w:r>
      <w:r w:rsidR="002B6593">
        <w:rPr>
          <w:i/>
        </w:rPr>
        <w:t>APR</w:t>
      </w:r>
      <w:r w:rsidRPr="001B78E2">
        <w:rPr>
          <w:i/>
        </w:rPr>
        <w:t xml:space="preserve"> had observed weight loss between 5-10% while</w:t>
      </w:r>
      <w:r w:rsidR="00817FD8" w:rsidRPr="001B78E2">
        <w:rPr>
          <w:i/>
        </w:rPr>
        <w:t xml:space="preserve"> </w:t>
      </w:r>
      <w:r w:rsidRPr="001B78E2">
        <w:rPr>
          <w:i/>
        </w:rPr>
        <w:t xml:space="preserve">5.7% of the patients receiving </w:t>
      </w:r>
      <w:r w:rsidR="002B6593">
        <w:rPr>
          <w:i/>
        </w:rPr>
        <w:t>APR</w:t>
      </w:r>
      <w:r w:rsidRPr="001B78E2">
        <w:rPr>
          <w:i/>
        </w:rPr>
        <w:t xml:space="preserve"> had observed weight loss greater than 10%. None of</w:t>
      </w:r>
      <w:r w:rsidR="00817FD8" w:rsidRPr="001B78E2">
        <w:rPr>
          <w:i/>
        </w:rPr>
        <w:t xml:space="preserve"> </w:t>
      </w:r>
      <w:r w:rsidRPr="001B78E2">
        <w:rPr>
          <w:i/>
        </w:rPr>
        <w:t>these patients had overt clinical consequences resulting from weight loss. A total of 0.1% of</w:t>
      </w:r>
      <w:r w:rsidR="00817FD8" w:rsidRPr="001B78E2">
        <w:rPr>
          <w:i/>
        </w:rPr>
        <w:t xml:space="preserve"> </w:t>
      </w:r>
      <w:r w:rsidRPr="001B78E2">
        <w:rPr>
          <w:i/>
        </w:rPr>
        <w:t xml:space="preserve">patients treated with </w:t>
      </w:r>
      <w:r w:rsidR="002B6593">
        <w:rPr>
          <w:i/>
        </w:rPr>
        <w:t>APR</w:t>
      </w:r>
      <w:r w:rsidRPr="001B78E2">
        <w:rPr>
          <w:i/>
        </w:rPr>
        <w:t xml:space="preserve"> discontinued due to adverse reaction of weight decreased.</w:t>
      </w:r>
    </w:p>
    <w:p w:rsidR="00D63C16" w:rsidRDefault="00D63C16" w:rsidP="00D63C16">
      <w:pPr>
        <w:pStyle w:val="Heading5"/>
        <w:rPr>
          <w:rFonts w:eastAsiaTheme="minorHAnsi"/>
        </w:rPr>
      </w:pPr>
      <w:r>
        <w:rPr>
          <w:rFonts w:eastAsiaTheme="minorHAnsi"/>
        </w:rPr>
        <w:t xml:space="preserve">14. Review of the </w:t>
      </w:r>
      <w:r w:rsidR="000A71CB">
        <w:rPr>
          <w:rFonts w:eastAsiaTheme="minorHAnsi"/>
        </w:rPr>
        <w:t>PI</w:t>
      </w:r>
    </w:p>
    <w:p w:rsidR="00D63C16" w:rsidRPr="00275188" w:rsidRDefault="008745F5" w:rsidP="00E93AA7">
      <w:pPr>
        <w:pStyle w:val="ListBullet"/>
      </w:pPr>
      <w:r>
        <w:t>AEs</w:t>
      </w:r>
      <w:r w:rsidR="00275188" w:rsidRPr="00275188">
        <w:t xml:space="preserve">, point 2: </w:t>
      </w:r>
      <w:r w:rsidR="00D63C16" w:rsidRPr="00275188">
        <w:t>The PI should contain a statement regarding the risk of mood change, suicidal ideation and</w:t>
      </w:r>
      <w:r w:rsidR="00275188" w:rsidRPr="00275188">
        <w:t xml:space="preserve"> </w:t>
      </w:r>
      <w:r w:rsidR="00D63C16" w:rsidRPr="00275188">
        <w:t xml:space="preserve">depression, similar to the US and European </w:t>
      </w:r>
      <w:r w:rsidR="009D41C6">
        <w:t>PI</w:t>
      </w:r>
      <w:r w:rsidR="00D63C16" w:rsidRPr="00275188">
        <w:t>.</w:t>
      </w:r>
    </w:p>
    <w:p w:rsidR="00D63C16" w:rsidRDefault="00D63C16" w:rsidP="00E93AA7">
      <w:pPr>
        <w:pStyle w:val="Heading5"/>
        <w:rPr>
          <w:rFonts w:eastAsiaTheme="minorHAnsi"/>
        </w:rPr>
      </w:pPr>
      <w:r w:rsidRPr="00E93AA7">
        <w:rPr>
          <w:rFonts w:eastAsiaTheme="minorHAnsi"/>
        </w:rPr>
        <w:t>Response</w:t>
      </w:r>
    </w:p>
    <w:p w:rsidR="00D63C16" w:rsidRPr="00A30645" w:rsidRDefault="00D63C16" w:rsidP="00E93AA7">
      <w:r w:rsidRPr="00A30645">
        <w:t>The PI has been updated accordingly, as follows:</w:t>
      </w:r>
    </w:p>
    <w:p w:rsidR="00D63C16" w:rsidRPr="00E93AA7" w:rsidRDefault="00A30645" w:rsidP="00E93AA7">
      <w:pPr>
        <w:pStyle w:val="ListBullet2"/>
        <w:numPr>
          <w:ilvl w:val="0"/>
          <w:numId w:val="0"/>
        </w:numPr>
        <w:ind w:left="720"/>
        <w:rPr>
          <w:b/>
          <w:i/>
        </w:rPr>
      </w:pPr>
      <w:r w:rsidRPr="00E93AA7">
        <w:rPr>
          <w:b/>
          <w:i/>
        </w:rPr>
        <w:t>Depression</w:t>
      </w:r>
    </w:p>
    <w:p w:rsidR="00D63C16" w:rsidRPr="00E93AA7" w:rsidRDefault="00D63C16" w:rsidP="00E93AA7">
      <w:pPr>
        <w:pStyle w:val="ListBullet2"/>
        <w:numPr>
          <w:ilvl w:val="0"/>
          <w:numId w:val="0"/>
        </w:numPr>
        <w:ind w:left="720"/>
        <w:rPr>
          <w:i/>
        </w:rPr>
      </w:pPr>
      <w:r w:rsidRPr="00E93AA7">
        <w:rPr>
          <w:i/>
          <w:u w:val="single"/>
        </w:rPr>
        <w:t>Psoriatic arthritis:</w:t>
      </w:r>
      <w:r w:rsidRPr="00E93AA7">
        <w:rPr>
          <w:i/>
        </w:rPr>
        <w:t xml:space="preserve"> During the 0 to 16 week placebo-controlled period of the 3 controlled clinical</w:t>
      </w:r>
      <w:r w:rsidR="002C41A2" w:rsidRPr="00E93AA7">
        <w:rPr>
          <w:i/>
        </w:rPr>
        <w:t xml:space="preserve"> </w:t>
      </w:r>
      <w:r w:rsidRPr="00E93AA7">
        <w:rPr>
          <w:i/>
        </w:rPr>
        <w:t>trials, 0.9% (18/1945) of subjects treated with OTEZLA reported depression or depressed mood</w:t>
      </w:r>
      <w:r w:rsidR="002C41A2" w:rsidRPr="00E93AA7">
        <w:rPr>
          <w:i/>
        </w:rPr>
        <w:t xml:space="preserve"> </w:t>
      </w:r>
      <w:r w:rsidRPr="00E93AA7">
        <w:rPr>
          <w:i/>
        </w:rPr>
        <w:t>compared to 0.7% (5/671) treated with placebo. During the clinical trials, 0.2% (4/1945) of</w:t>
      </w:r>
      <w:r w:rsidR="002C41A2" w:rsidRPr="00E93AA7">
        <w:rPr>
          <w:i/>
        </w:rPr>
        <w:t xml:space="preserve"> </w:t>
      </w:r>
      <w:r w:rsidRPr="00E93AA7">
        <w:rPr>
          <w:i/>
        </w:rPr>
        <w:t>subjects treated with OTEZLA discontinued treatment due to depression or depressed mood</w:t>
      </w:r>
      <w:r w:rsidR="002C41A2" w:rsidRPr="00E93AA7">
        <w:rPr>
          <w:i/>
        </w:rPr>
        <w:t xml:space="preserve"> </w:t>
      </w:r>
      <w:r w:rsidRPr="00E93AA7">
        <w:rPr>
          <w:i/>
        </w:rPr>
        <w:t>compared with none in placebo treated subjects (0/671). Depression was reported as serious in</w:t>
      </w:r>
      <w:r w:rsidR="002C41A2" w:rsidRPr="00E93AA7">
        <w:rPr>
          <w:i/>
        </w:rPr>
        <w:t xml:space="preserve"> </w:t>
      </w:r>
      <w:r w:rsidRPr="00E93AA7">
        <w:rPr>
          <w:i/>
        </w:rPr>
        <w:t>0.2% (3/1945) of subjects exposed to OTEZLA, compared to none in placebo-treated subjects</w:t>
      </w:r>
      <w:r w:rsidR="002C41A2" w:rsidRPr="00E93AA7">
        <w:rPr>
          <w:i/>
        </w:rPr>
        <w:t xml:space="preserve"> </w:t>
      </w:r>
      <w:r w:rsidRPr="00E93AA7">
        <w:rPr>
          <w:i/>
        </w:rPr>
        <w:t xml:space="preserve">(0/671). Instances of suicidal ideation and </w:t>
      </w:r>
      <w:proofErr w:type="spellStart"/>
      <w:r w:rsidRPr="00E93AA7">
        <w:rPr>
          <w:i/>
        </w:rPr>
        <w:t>behavior</w:t>
      </w:r>
      <w:proofErr w:type="spellEnd"/>
      <w:r w:rsidRPr="00E93AA7">
        <w:rPr>
          <w:i/>
        </w:rPr>
        <w:t xml:space="preserve"> have been observed in 0.2% (3/1945) of</w:t>
      </w:r>
      <w:r w:rsidR="002C41A2" w:rsidRPr="00E93AA7">
        <w:rPr>
          <w:i/>
        </w:rPr>
        <w:t xml:space="preserve"> </w:t>
      </w:r>
      <w:r w:rsidRPr="00E93AA7">
        <w:rPr>
          <w:i/>
        </w:rPr>
        <w:t>subjects while receiving OTEZLA, compared to none in placebo-treated subjects (0/671).</w:t>
      </w:r>
    </w:p>
    <w:p w:rsidR="00D63C16" w:rsidRPr="00E93AA7" w:rsidRDefault="00D63C16" w:rsidP="00E93AA7">
      <w:pPr>
        <w:pStyle w:val="ListBullet2"/>
        <w:numPr>
          <w:ilvl w:val="0"/>
          <w:numId w:val="0"/>
        </w:numPr>
        <w:ind w:left="720"/>
        <w:rPr>
          <w:i/>
        </w:rPr>
      </w:pPr>
      <w:r w:rsidRPr="00E93AA7">
        <w:rPr>
          <w:i/>
          <w:u w:val="single"/>
        </w:rPr>
        <w:t>Psoriasis:</w:t>
      </w:r>
      <w:r w:rsidRPr="00E93AA7">
        <w:rPr>
          <w:i/>
        </w:rPr>
        <w:t xml:space="preserve"> During the 0 to 16 week placebo-controlled period of the 2 controlled clinical trials,</w:t>
      </w:r>
      <w:r w:rsidR="002C41A2" w:rsidRPr="00E93AA7">
        <w:rPr>
          <w:i/>
        </w:rPr>
        <w:t xml:space="preserve"> </w:t>
      </w:r>
      <w:r w:rsidRPr="00E93AA7">
        <w:rPr>
          <w:i/>
        </w:rPr>
        <w:t>1.2% (14/1184) of subjects treated with OTEZLA reported depression compared to 0.5% (2/418)</w:t>
      </w:r>
      <w:r w:rsidR="002C41A2" w:rsidRPr="00E93AA7">
        <w:rPr>
          <w:i/>
        </w:rPr>
        <w:t xml:space="preserve"> </w:t>
      </w:r>
      <w:r w:rsidRPr="00E93AA7">
        <w:rPr>
          <w:i/>
        </w:rPr>
        <w:t>treated with placebo. During the clinical trials, 0.1% (1/1184) of subjects treated with OTEZLA</w:t>
      </w:r>
      <w:r w:rsidR="002C41A2" w:rsidRPr="00E93AA7">
        <w:rPr>
          <w:i/>
        </w:rPr>
        <w:t xml:space="preserve"> </w:t>
      </w:r>
      <w:r w:rsidRPr="00E93AA7">
        <w:rPr>
          <w:i/>
        </w:rPr>
        <w:t>discontinued treatment due to depression compared with none in placebo</w:t>
      </w:r>
      <w:r w:rsidR="00BA0CA4" w:rsidRPr="00E93AA7">
        <w:rPr>
          <w:i/>
        </w:rPr>
        <w:t xml:space="preserve"> </w:t>
      </w:r>
      <w:r w:rsidRPr="00E93AA7">
        <w:rPr>
          <w:i/>
        </w:rPr>
        <w:t>treated subjects (0/418).</w:t>
      </w:r>
      <w:r w:rsidR="002C41A2" w:rsidRPr="00E93AA7">
        <w:rPr>
          <w:i/>
        </w:rPr>
        <w:t xml:space="preserve"> </w:t>
      </w:r>
      <w:r w:rsidRPr="00E93AA7">
        <w:rPr>
          <w:i/>
        </w:rPr>
        <w:t>Depression was reported as serious in 0.1% (1/1184) of subjects exposed to OTEZLA, compared to</w:t>
      </w:r>
      <w:r w:rsidR="002C41A2" w:rsidRPr="00E93AA7">
        <w:rPr>
          <w:i/>
        </w:rPr>
        <w:t xml:space="preserve"> </w:t>
      </w:r>
      <w:r w:rsidRPr="00E93AA7">
        <w:rPr>
          <w:i/>
        </w:rPr>
        <w:t xml:space="preserve">none in placebo-treated subjects (0/418). Instances of suicidal </w:t>
      </w:r>
      <w:proofErr w:type="spellStart"/>
      <w:r w:rsidRPr="00E93AA7">
        <w:rPr>
          <w:i/>
        </w:rPr>
        <w:t>behavior</w:t>
      </w:r>
      <w:proofErr w:type="spellEnd"/>
      <w:r w:rsidRPr="00E93AA7">
        <w:rPr>
          <w:i/>
        </w:rPr>
        <w:t xml:space="preserve"> have been observed in</w:t>
      </w:r>
      <w:r w:rsidR="002C41A2" w:rsidRPr="00E93AA7">
        <w:rPr>
          <w:i/>
        </w:rPr>
        <w:t xml:space="preserve"> </w:t>
      </w:r>
      <w:r w:rsidRPr="00E93AA7">
        <w:rPr>
          <w:i/>
        </w:rPr>
        <w:t>0.1% (1/1184) of subjects while receiving OTEZLA, compared to 0.2% (1/418) in placebo-treated</w:t>
      </w:r>
      <w:r w:rsidR="002C41A2" w:rsidRPr="00E93AA7">
        <w:rPr>
          <w:i/>
        </w:rPr>
        <w:t xml:space="preserve"> </w:t>
      </w:r>
      <w:r w:rsidRPr="00E93AA7">
        <w:rPr>
          <w:i/>
        </w:rPr>
        <w:t>subjects. In the clinical trials, one who received placebo committed suicide; there were no</w:t>
      </w:r>
      <w:r w:rsidR="002C41A2" w:rsidRPr="00E93AA7">
        <w:rPr>
          <w:i/>
        </w:rPr>
        <w:t xml:space="preserve"> </w:t>
      </w:r>
      <w:r w:rsidRPr="00E93AA7">
        <w:rPr>
          <w:i/>
        </w:rPr>
        <w:t>completed suicides reported in subject receiving OTEZLA.</w:t>
      </w:r>
    </w:p>
    <w:p w:rsidR="00A30645" w:rsidRDefault="00D63C16" w:rsidP="00E93AA7">
      <w:pPr>
        <w:pStyle w:val="Heading5"/>
        <w:rPr>
          <w:rFonts w:eastAsiaTheme="minorHAnsi"/>
        </w:rPr>
      </w:pPr>
      <w:r>
        <w:rPr>
          <w:rFonts w:eastAsiaTheme="minorHAnsi"/>
        </w:rPr>
        <w:t>15. Rev</w:t>
      </w:r>
      <w:r w:rsidR="00A30645">
        <w:rPr>
          <w:rFonts w:eastAsiaTheme="minorHAnsi"/>
        </w:rPr>
        <w:t xml:space="preserve">iew of the </w:t>
      </w:r>
      <w:r w:rsidR="00BA0CA4">
        <w:rPr>
          <w:rFonts w:eastAsiaTheme="minorHAnsi"/>
        </w:rPr>
        <w:t>PI</w:t>
      </w:r>
    </w:p>
    <w:p w:rsidR="00D63C16" w:rsidRDefault="008F4C49" w:rsidP="00E93AA7">
      <w:pPr>
        <w:pStyle w:val="ListBullet"/>
      </w:pPr>
      <w:r>
        <w:t>AEs</w:t>
      </w:r>
      <w:r w:rsidR="004F0CD5">
        <w:t xml:space="preserve">, point 3: </w:t>
      </w:r>
      <w:r w:rsidR="00D63C16">
        <w:t xml:space="preserve">The PI should contain a recommendation for </w:t>
      </w:r>
      <w:r w:rsidR="002B6593">
        <w:t>APR</w:t>
      </w:r>
      <w:r w:rsidR="00D63C16">
        <w:t xml:space="preserve"> dose reduction from 30</w:t>
      </w:r>
      <w:r>
        <w:t xml:space="preserve"> </w:t>
      </w:r>
      <w:r w:rsidR="00D63C16">
        <w:t>mg BD to 30</w:t>
      </w:r>
      <w:r>
        <w:t xml:space="preserve"> </w:t>
      </w:r>
      <w:r w:rsidR="00D63C16">
        <w:t>mg OD</w:t>
      </w:r>
      <w:r w:rsidR="004F0CD5">
        <w:t xml:space="preserve"> </w:t>
      </w:r>
      <w:r w:rsidR="00D63C16">
        <w:t xml:space="preserve">in the event of intolerable </w:t>
      </w:r>
      <w:r>
        <w:t>AEs</w:t>
      </w:r>
      <w:r w:rsidR="00D63C16">
        <w:t>.</w:t>
      </w:r>
    </w:p>
    <w:p w:rsidR="00D63C16" w:rsidRDefault="00D63C16" w:rsidP="00E93AA7">
      <w:pPr>
        <w:pStyle w:val="Heading5"/>
        <w:rPr>
          <w:rFonts w:eastAsiaTheme="minorHAnsi"/>
        </w:rPr>
      </w:pPr>
      <w:r w:rsidRPr="00E93AA7">
        <w:rPr>
          <w:rFonts w:eastAsiaTheme="minorHAnsi"/>
        </w:rPr>
        <w:t>Response</w:t>
      </w:r>
    </w:p>
    <w:p w:rsidR="00D63C16" w:rsidRPr="004F0CD5" w:rsidRDefault="00D63C16" w:rsidP="00E93AA7">
      <w:r w:rsidRPr="004F0CD5">
        <w:t xml:space="preserve">The </w:t>
      </w:r>
      <w:r w:rsidR="008F4C49">
        <w:t>s</w:t>
      </w:r>
      <w:r w:rsidRPr="004F0CD5">
        <w:t xml:space="preserve">ponsor respectfully disagrees with a recommendation for </w:t>
      </w:r>
      <w:r w:rsidR="002B6593">
        <w:t>APR</w:t>
      </w:r>
      <w:r w:rsidRPr="004F0CD5">
        <w:t xml:space="preserve"> dose reduction, as no dose</w:t>
      </w:r>
      <w:r w:rsidR="008F4C49">
        <w:t xml:space="preserve"> </w:t>
      </w:r>
      <w:r w:rsidRPr="004F0CD5">
        <w:t>reduction</w:t>
      </w:r>
      <w:r w:rsidR="004F0CD5">
        <w:t xml:space="preserve"> </w:t>
      </w:r>
      <w:r w:rsidRPr="004F0CD5">
        <w:t>schedule has been evaluated.</w:t>
      </w:r>
    </w:p>
    <w:p w:rsidR="004F0CD5" w:rsidRDefault="00D63C16" w:rsidP="00E93AA7">
      <w:pPr>
        <w:pStyle w:val="Heading5"/>
        <w:rPr>
          <w:rFonts w:eastAsiaTheme="minorHAnsi"/>
        </w:rPr>
      </w:pPr>
      <w:r>
        <w:rPr>
          <w:rFonts w:eastAsiaTheme="minorHAnsi"/>
        </w:rPr>
        <w:t xml:space="preserve">16. Review </w:t>
      </w:r>
      <w:r w:rsidRPr="00E93AA7">
        <w:rPr>
          <w:rFonts w:eastAsiaTheme="minorHAnsi"/>
        </w:rPr>
        <w:t>of</w:t>
      </w:r>
      <w:r>
        <w:rPr>
          <w:rFonts w:eastAsiaTheme="minorHAnsi"/>
        </w:rPr>
        <w:t xml:space="preserve"> the </w:t>
      </w:r>
      <w:r w:rsidR="008F4C49">
        <w:rPr>
          <w:rFonts w:eastAsiaTheme="minorHAnsi"/>
        </w:rPr>
        <w:t>PI</w:t>
      </w:r>
    </w:p>
    <w:p w:rsidR="00D63C16" w:rsidRDefault="008F4C49" w:rsidP="00D84719">
      <w:pPr>
        <w:pStyle w:val="ListBullet"/>
      </w:pPr>
      <w:r>
        <w:t>AEs</w:t>
      </w:r>
      <w:r w:rsidR="00D84719">
        <w:t xml:space="preserve">, point 4: </w:t>
      </w:r>
      <w:r w:rsidR="00D63C16">
        <w:t xml:space="preserve">The PI should contain a statement regarding the observed risk of </w:t>
      </w:r>
      <w:proofErr w:type="spellStart"/>
      <w:r w:rsidR="00D63C16">
        <w:t>tachyarrythmia</w:t>
      </w:r>
      <w:proofErr w:type="spellEnd"/>
      <w:r w:rsidR="00D63C16">
        <w:t xml:space="preserve"> observed in the</w:t>
      </w:r>
      <w:r w:rsidR="00D84719">
        <w:t xml:space="preserve"> </w:t>
      </w:r>
      <w:r w:rsidR="00D63C16">
        <w:t>clinical studies, similar to that in the Canadian Monograph (correction from “the European product</w:t>
      </w:r>
      <w:r w:rsidR="00D84719">
        <w:t xml:space="preserve"> </w:t>
      </w:r>
      <w:r w:rsidR="00D63C16">
        <w:t>information” in the DO).</w:t>
      </w:r>
    </w:p>
    <w:p w:rsidR="00D63C16" w:rsidRDefault="00D63C16" w:rsidP="00E93AA7">
      <w:pPr>
        <w:pStyle w:val="Heading5"/>
        <w:rPr>
          <w:rFonts w:eastAsiaTheme="minorHAnsi"/>
        </w:rPr>
      </w:pPr>
      <w:r w:rsidRPr="00E93AA7">
        <w:rPr>
          <w:rFonts w:eastAsiaTheme="minorHAnsi"/>
        </w:rPr>
        <w:t>Response</w:t>
      </w:r>
    </w:p>
    <w:p w:rsidR="00D63C16" w:rsidRPr="00265D38" w:rsidRDefault="00D63C16" w:rsidP="00E93AA7">
      <w:r w:rsidRPr="00265D38">
        <w:t xml:space="preserve">The </w:t>
      </w:r>
      <w:r w:rsidR="008F4C49">
        <w:t>s</w:t>
      </w:r>
      <w:r w:rsidRPr="00265D38">
        <w:t xml:space="preserve">ponsor does not believe that there is any evidence that </w:t>
      </w:r>
      <w:r w:rsidR="002B6593">
        <w:t>APR</w:t>
      </w:r>
      <w:r w:rsidR="00D84719" w:rsidRPr="00265D38">
        <w:t xml:space="preserve"> treatment increases the risk </w:t>
      </w:r>
      <w:r w:rsidRPr="00265D38">
        <w:t xml:space="preserve">of </w:t>
      </w:r>
      <w:proofErr w:type="spellStart"/>
      <w:r w:rsidRPr="00265D38">
        <w:t>tachyarrhythmias</w:t>
      </w:r>
      <w:proofErr w:type="spellEnd"/>
      <w:r w:rsidRPr="00265D38">
        <w:t>. It should be noted that tachyarrhythmia does not appear in either the US</w:t>
      </w:r>
      <w:r w:rsidR="00CF1DE1">
        <w:t xml:space="preserve"> </w:t>
      </w:r>
      <w:r w:rsidRPr="00265D38">
        <w:t>PI or the</w:t>
      </w:r>
      <w:r w:rsidR="00D84719" w:rsidRPr="00265D38">
        <w:t xml:space="preserve"> </w:t>
      </w:r>
      <w:r w:rsidRPr="00265D38">
        <w:t xml:space="preserve">agreed EU </w:t>
      </w:r>
      <w:proofErr w:type="spellStart"/>
      <w:r w:rsidRPr="00265D38">
        <w:t>SmPC</w:t>
      </w:r>
      <w:proofErr w:type="spellEnd"/>
      <w:r w:rsidRPr="00265D38">
        <w:t>.</w:t>
      </w:r>
    </w:p>
    <w:p w:rsidR="00D63C16" w:rsidRPr="00265D38" w:rsidRDefault="00D63C16" w:rsidP="00E93AA7">
      <w:r w:rsidRPr="00265D38">
        <w:t>An analysis of treatment</w:t>
      </w:r>
      <w:r w:rsidR="00CF1DE1">
        <w:t xml:space="preserve"> </w:t>
      </w:r>
      <w:r w:rsidRPr="00265D38">
        <w:t>emergent tachyarrhythmia was conducted based on an analysis of</w:t>
      </w:r>
      <w:r w:rsidR="00D84719" w:rsidRPr="00265D38">
        <w:t xml:space="preserve"> </w:t>
      </w:r>
      <w:r w:rsidRPr="00265D38">
        <w:t>Special</w:t>
      </w:r>
      <w:r w:rsidR="00F9592E">
        <w:t>is</w:t>
      </w:r>
      <w:r w:rsidRPr="00265D38">
        <w:t xml:space="preserve">ed </w:t>
      </w:r>
      <w:proofErr w:type="spellStart"/>
      <w:r w:rsidRPr="00265D38">
        <w:t>MedDRA</w:t>
      </w:r>
      <w:proofErr w:type="spellEnd"/>
      <w:r w:rsidRPr="00265D38">
        <w:t xml:space="preserve"> Query (SMQ) terms. The majority of</w:t>
      </w:r>
      <w:r w:rsidR="00D84719" w:rsidRPr="00265D38">
        <w:t xml:space="preserve"> </w:t>
      </w:r>
      <w:r w:rsidRPr="00265D38">
        <w:t>subjects (16 of 26) with non-</w:t>
      </w:r>
      <w:proofErr w:type="spellStart"/>
      <w:r w:rsidRPr="00265D38">
        <w:t>extrasystole</w:t>
      </w:r>
      <w:proofErr w:type="spellEnd"/>
      <w:r w:rsidRPr="00265D38">
        <w:t xml:space="preserve"> tachyarrhythmia events had relevant medical history or other</w:t>
      </w:r>
      <w:r w:rsidR="00D84719" w:rsidRPr="00265D38">
        <w:t xml:space="preserve"> </w:t>
      </w:r>
      <w:r w:rsidRPr="00265D38">
        <w:t>risk factors and most tachyarrhythmia events were non</w:t>
      </w:r>
      <w:r w:rsidR="00FB4415">
        <w:t>-</w:t>
      </w:r>
      <w:r w:rsidRPr="00265D38">
        <w:t>serious and d</w:t>
      </w:r>
      <w:r w:rsidR="00E53880">
        <w:t xml:space="preserve">id not lead to drug withdrawal. </w:t>
      </w:r>
      <w:r w:rsidRPr="00265D38">
        <w:t>Ten subjects had no relevant medical history (6 subjects with broad SMQ terms). Of these 10 subjects,</w:t>
      </w:r>
      <w:r w:rsidR="00D84719" w:rsidRPr="00265D38">
        <w:t xml:space="preserve"> </w:t>
      </w:r>
      <w:r w:rsidRPr="00265D38">
        <w:t xml:space="preserve">no subject discontinued </w:t>
      </w:r>
      <w:r w:rsidR="002B6593">
        <w:t>APR</w:t>
      </w:r>
      <w:r w:rsidRPr="00265D38">
        <w:t xml:space="preserve"> and 2 subjects reported serious tachyarrhythmia TEAEs (broad</w:t>
      </w:r>
      <w:r w:rsidR="00D84719" w:rsidRPr="00265D38">
        <w:t xml:space="preserve"> </w:t>
      </w:r>
      <w:r w:rsidRPr="00265D38">
        <w:t>terms of supraventricular tachycardia and sinus tachycardia). All of these subjects continued their</w:t>
      </w:r>
      <w:r w:rsidR="00D84719" w:rsidRPr="00265D38">
        <w:t xml:space="preserve"> </w:t>
      </w:r>
      <w:r w:rsidR="002B6593">
        <w:t>APR</w:t>
      </w:r>
      <w:r w:rsidRPr="00265D38">
        <w:t xml:space="preserve"> treatment, and the events of </w:t>
      </w:r>
      <w:proofErr w:type="spellStart"/>
      <w:r w:rsidRPr="00265D38">
        <w:t>tachyarrhythmias</w:t>
      </w:r>
      <w:proofErr w:type="spellEnd"/>
      <w:r w:rsidRPr="00265D38">
        <w:t xml:space="preserve"> were generally transient and did not recur</w:t>
      </w:r>
      <w:r w:rsidR="00D84719" w:rsidRPr="00265D38">
        <w:t xml:space="preserve"> </w:t>
      </w:r>
      <w:r w:rsidRPr="00265D38">
        <w:t xml:space="preserve">with continuation of </w:t>
      </w:r>
      <w:r w:rsidR="002B6593">
        <w:t>APR</w:t>
      </w:r>
      <w:r w:rsidRPr="00265D38">
        <w:t xml:space="preserve"> treatment.</w:t>
      </w:r>
    </w:p>
    <w:p w:rsidR="00D63C16" w:rsidRPr="00265D38" w:rsidRDefault="00D63C16" w:rsidP="00E93AA7">
      <w:r w:rsidRPr="00265D38">
        <w:t>Based on these clinical findings, as well as supportive data from nonclinical studies and the</w:t>
      </w:r>
      <w:r w:rsidR="00D84719" w:rsidRPr="00265D38">
        <w:t xml:space="preserve"> </w:t>
      </w:r>
      <w:r w:rsidRPr="00265D38">
        <w:t xml:space="preserve">thorough </w:t>
      </w:r>
      <w:proofErr w:type="spellStart"/>
      <w:r w:rsidRPr="00265D38">
        <w:t>QTc</w:t>
      </w:r>
      <w:proofErr w:type="spellEnd"/>
      <w:r w:rsidRPr="00265D38">
        <w:t xml:space="preserve"> study, the </w:t>
      </w:r>
      <w:r w:rsidR="00FB4415">
        <w:t>s</w:t>
      </w:r>
      <w:r w:rsidRPr="00265D38">
        <w:t xml:space="preserve">ponsor believes that there was no evidence that </w:t>
      </w:r>
      <w:r w:rsidR="002B6593">
        <w:t>APR</w:t>
      </w:r>
      <w:r w:rsidRPr="00265D38">
        <w:t xml:space="preserve"> treatment</w:t>
      </w:r>
      <w:r w:rsidR="00D84719" w:rsidRPr="00265D38">
        <w:t xml:space="preserve"> </w:t>
      </w:r>
      <w:r w:rsidRPr="00265D38">
        <w:t>increases the risk of tachyarrhythmia.</w:t>
      </w:r>
      <w:r w:rsidR="00D84719" w:rsidRPr="00265D38">
        <w:t xml:space="preserve"> </w:t>
      </w:r>
      <w:r w:rsidRPr="00265D38">
        <w:t>Details o</w:t>
      </w:r>
      <w:r w:rsidR="00D70008">
        <w:t>f these findings are provided</w:t>
      </w:r>
      <w:r w:rsidRPr="00265D38">
        <w:t>.</w:t>
      </w:r>
    </w:p>
    <w:p w:rsidR="00D84719" w:rsidRDefault="00D63C16" w:rsidP="00E93AA7">
      <w:pPr>
        <w:pStyle w:val="Heading5"/>
        <w:rPr>
          <w:rFonts w:eastAsiaTheme="minorHAnsi"/>
        </w:rPr>
      </w:pPr>
      <w:r>
        <w:rPr>
          <w:rFonts w:eastAsiaTheme="minorHAnsi"/>
        </w:rPr>
        <w:t xml:space="preserve">17. </w:t>
      </w:r>
      <w:r w:rsidRPr="00E93AA7">
        <w:rPr>
          <w:rFonts w:eastAsiaTheme="minorHAnsi"/>
        </w:rPr>
        <w:t>Review</w:t>
      </w:r>
      <w:r>
        <w:rPr>
          <w:rFonts w:eastAsiaTheme="minorHAnsi"/>
        </w:rPr>
        <w:t xml:space="preserve"> of the </w:t>
      </w:r>
      <w:r w:rsidR="00D70008">
        <w:rPr>
          <w:rFonts w:eastAsiaTheme="minorHAnsi"/>
        </w:rPr>
        <w:t>PI</w:t>
      </w:r>
    </w:p>
    <w:p w:rsidR="00D63C16" w:rsidRDefault="00D63C16" w:rsidP="00E93AA7">
      <w:pPr>
        <w:pStyle w:val="ListBullet"/>
      </w:pPr>
      <w:r>
        <w:t>Interactions with Other Drugs</w:t>
      </w:r>
      <w:r w:rsidR="00D84719">
        <w:t xml:space="preserve">: </w:t>
      </w:r>
      <w:r>
        <w:t xml:space="preserve">The PI should contain a statement documenting the absence of </w:t>
      </w:r>
      <w:r w:rsidRPr="00E93AA7">
        <w:t>experience</w:t>
      </w:r>
      <w:r>
        <w:t xml:space="preserve"> in the concomitant use</w:t>
      </w:r>
      <w:r w:rsidR="00D84719">
        <w:t xml:space="preserve"> </w:t>
      </w:r>
      <w:r>
        <w:t xml:space="preserve">of </w:t>
      </w:r>
      <w:r w:rsidR="002B6593">
        <w:t>APR</w:t>
      </w:r>
      <w:r>
        <w:t xml:space="preserve"> and </w:t>
      </w:r>
      <w:proofErr w:type="spellStart"/>
      <w:r>
        <w:t>immunosuppressants</w:t>
      </w:r>
      <w:proofErr w:type="spellEnd"/>
      <w:r>
        <w:t xml:space="preserve"> or biological therapies, with a warning to prescribers not to</w:t>
      </w:r>
      <w:r w:rsidR="00D84719">
        <w:t xml:space="preserve"> </w:t>
      </w:r>
      <w:r>
        <w:t xml:space="preserve">co-administer </w:t>
      </w:r>
      <w:r w:rsidR="002B6593">
        <w:t>APR</w:t>
      </w:r>
      <w:r>
        <w:t>.</w:t>
      </w:r>
    </w:p>
    <w:p w:rsidR="00D63C16" w:rsidRDefault="00D63C16" w:rsidP="00D63C16">
      <w:pPr>
        <w:pStyle w:val="Heading5"/>
        <w:rPr>
          <w:rFonts w:eastAsiaTheme="minorHAnsi"/>
        </w:rPr>
      </w:pPr>
      <w:r>
        <w:rPr>
          <w:rFonts w:eastAsiaTheme="minorHAnsi"/>
        </w:rPr>
        <w:t>Response</w:t>
      </w:r>
    </w:p>
    <w:p w:rsidR="00D63C16" w:rsidRPr="008429D3" w:rsidRDefault="002B6593" w:rsidP="00E93AA7">
      <w:r>
        <w:t>APR</w:t>
      </w:r>
      <w:r w:rsidR="00D63C16" w:rsidRPr="008429D3">
        <w:t xml:space="preserve"> has been studied in combination with small</w:t>
      </w:r>
      <w:r w:rsidR="00D70008">
        <w:t xml:space="preserve"> </w:t>
      </w:r>
      <w:r w:rsidR="00D63C16" w:rsidRPr="008429D3">
        <w:t xml:space="preserve">molecule </w:t>
      </w:r>
      <w:proofErr w:type="spellStart"/>
      <w:r w:rsidR="00D63C16" w:rsidRPr="008429D3">
        <w:t>i</w:t>
      </w:r>
      <w:r w:rsidR="00D70008">
        <w:t>mmunosuppressants</w:t>
      </w:r>
      <w:proofErr w:type="spellEnd"/>
      <w:r w:rsidR="00D63C16" w:rsidRPr="008429D3">
        <w:t xml:space="preserve"> and demonstrated an acceptable safety profile when used alone or in combination</w:t>
      </w:r>
      <w:r w:rsidR="008429D3">
        <w:t xml:space="preserve"> </w:t>
      </w:r>
      <w:r w:rsidR="00D63C16" w:rsidRPr="008429D3">
        <w:t>with small-molecule DMARDs. The following statement has been added to “Interaction with other</w:t>
      </w:r>
      <w:r w:rsidR="008429D3">
        <w:t xml:space="preserve"> </w:t>
      </w:r>
      <w:r w:rsidR="00CC1D6B">
        <w:t xml:space="preserve">medicines” </w:t>
      </w:r>
      <w:r w:rsidR="00D63C16" w:rsidRPr="008429D3">
        <w:t>of the proposed label:</w:t>
      </w:r>
    </w:p>
    <w:p w:rsidR="00D63C16" w:rsidRPr="008429D3" w:rsidRDefault="00D63C16" w:rsidP="008429D3">
      <w:pPr>
        <w:ind w:firstLine="720"/>
        <w:rPr>
          <w:i/>
        </w:rPr>
      </w:pPr>
      <w:r w:rsidRPr="008429D3">
        <w:rPr>
          <w:i/>
        </w:rPr>
        <w:t>Otezla has not been studied in combination with biologic therapies.</w:t>
      </w:r>
    </w:p>
    <w:p w:rsidR="00D63C16" w:rsidRPr="00B24CF7" w:rsidRDefault="00D63C16" w:rsidP="00B24CF7">
      <w:pPr>
        <w:pStyle w:val="Heading5"/>
        <w:rPr>
          <w:rFonts w:eastAsiaTheme="minorHAnsi"/>
        </w:rPr>
      </w:pPr>
      <w:r w:rsidRPr="00B24CF7">
        <w:rPr>
          <w:rFonts w:eastAsiaTheme="minorHAnsi"/>
        </w:rPr>
        <w:t>18</w:t>
      </w:r>
      <w:r w:rsidR="00561E94" w:rsidRPr="00B24CF7">
        <w:rPr>
          <w:rFonts w:eastAsiaTheme="minorHAnsi"/>
        </w:rPr>
        <w:t>a</w:t>
      </w:r>
      <w:r w:rsidRPr="00B24CF7">
        <w:rPr>
          <w:rFonts w:eastAsiaTheme="minorHAnsi"/>
        </w:rPr>
        <w:t xml:space="preserve">. Points of </w:t>
      </w:r>
      <w:r w:rsidR="00E93AA7">
        <w:rPr>
          <w:rFonts w:eastAsiaTheme="minorHAnsi"/>
        </w:rPr>
        <w:t>c</w:t>
      </w:r>
      <w:r w:rsidRPr="00B24CF7">
        <w:rPr>
          <w:rFonts w:eastAsiaTheme="minorHAnsi"/>
        </w:rPr>
        <w:t>larification</w:t>
      </w:r>
      <w:r w:rsidR="00C21AEF" w:rsidRPr="00B24CF7">
        <w:rPr>
          <w:rFonts w:eastAsiaTheme="minorHAnsi"/>
        </w:rPr>
        <w:t xml:space="preserve">: </w:t>
      </w:r>
      <w:r w:rsidRPr="00B24CF7">
        <w:rPr>
          <w:rFonts w:eastAsiaTheme="minorHAnsi"/>
        </w:rPr>
        <w:t xml:space="preserve">Delegate’s </w:t>
      </w:r>
      <w:r w:rsidR="00E93AA7">
        <w:rPr>
          <w:rFonts w:eastAsiaTheme="minorHAnsi"/>
        </w:rPr>
        <w:t>c</w:t>
      </w:r>
      <w:r w:rsidRPr="00B24CF7">
        <w:rPr>
          <w:rFonts w:eastAsiaTheme="minorHAnsi"/>
        </w:rPr>
        <w:t>omments</w:t>
      </w:r>
    </w:p>
    <w:p w:rsidR="00D63C16" w:rsidRPr="00550E78" w:rsidRDefault="00D63C16" w:rsidP="00E93AA7">
      <w:pPr>
        <w:pStyle w:val="ListBullet"/>
      </w:pPr>
      <w:r w:rsidRPr="00550E78">
        <w:t xml:space="preserve">In Table 2, the duration of the </w:t>
      </w:r>
      <w:r w:rsidR="0011514D">
        <w:t>PBO</w:t>
      </w:r>
      <w:r w:rsidRPr="00550E78">
        <w:t>-controlled per</w:t>
      </w:r>
      <w:r w:rsidR="00550E78">
        <w:t xml:space="preserve">iod is indicated to be 16 weeks: </w:t>
      </w:r>
      <w:r w:rsidRPr="00550E78">
        <w:t xml:space="preserve">“In all four trials, the maximum period of </w:t>
      </w:r>
      <w:r w:rsidR="0011514D">
        <w:t>PBO</w:t>
      </w:r>
      <w:r w:rsidRPr="00550E78">
        <w:t xml:space="preserve"> control was </w:t>
      </w:r>
      <w:r w:rsidR="00550E78" w:rsidRPr="00550E78">
        <w:t xml:space="preserve">16 weeks, as subjects initially </w:t>
      </w:r>
      <w:r w:rsidRPr="00550E78">
        <w:t>randomi</w:t>
      </w:r>
      <w:r w:rsidR="004703E6">
        <w:t>s</w:t>
      </w:r>
      <w:r w:rsidRPr="00550E78">
        <w:t xml:space="preserve">ed to </w:t>
      </w:r>
      <w:r w:rsidR="0011514D">
        <w:t>PBO</w:t>
      </w:r>
      <w:r w:rsidRPr="00550E78">
        <w:t xml:space="preserve"> </w:t>
      </w:r>
      <w:r w:rsidRPr="00E93AA7">
        <w:t>could</w:t>
      </w:r>
      <w:r w:rsidRPr="00550E78">
        <w:t xml:space="preserve"> cross-over to </w:t>
      </w:r>
      <w:r w:rsidR="002B6593">
        <w:t>APR</w:t>
      </w:r>
      <w:r w:rsidRPr="00550E78">
        <w:t xml:space="preserve"> therapy then.”</w:t>
      </w:r>
    </w:p>
    <w:p w:rsidR="00D63C16" w:rsidRDefault="00D63C16" w:rsidP="00E93AA7">
      <w:pPr>
        <w:pStyle w:val="Heading5"/>
        <w:rPr>
          <w:rFonts w:eastAsiaTheme="minorHAnsi"/>
        </w:rPr>
      </w:pPr>
      <w:r w:rsidRPr="00E93AA7">
        <w:rPr>
          <w:rFonts w:eastAsiaTheme="minorHAnsi"/>
        </w:rPr>
        <w:t>Response</w:t>
      </w:r>
    </w:p>
    <w:p w:rsidR="00D63C16" w:rsidRPr="00057F74" w:rsidRDefault="00D63C16" w:rsidP="00E93AA7">
      <w:r w:rsidRPr="00057F74">
        <w:t xml:space="preserve">The </w:t>
      </w:r>
      <w:r w:rsidR="00CC1D6B">
        <w:t>s</w:t>
      </w:r>
      <w:r w:rsidRPr="00057F74">
        <w:t xml:space="preserve">ponsor wishes to clarify that the duration of the </w:t>
      </w:r>
      <w:r w:rsidR="0011514D">
        <w:t>PBO</w:t>
      </w:r>
      <w:r w:rsidR="00CC1D6B">
        <w:t xml:space="preserve"> </w:t>
      </w:r>
      <w:r w:rsidRPr="00057F74">
        <w:t>controlled period is not 16 weeks per se,</w:t>
      </w:r>
      <w:r w:rsidR="00057F74">
        <w:t xml:space="preserve"> </w:t>
      </w:r>
      <w:r w:rsidRPr="00057F74">
        <w:t xml:space="preserve">as the </w:t>
      </w:r>
      <w:r w:rsidR="0011514D">
        <w:t>PBO</w:t>
      </w:r>
      <w:r w:rsidR="00CC1D6B">
        <w:t xml:space="preserve"> </w:t>
      </w:r>
      <w:r w:rsidRPr="00057F74">
        <w:t>controlled period includes data from Weeks 0-16 for subjects randomi</w:t>
      </w:r>
      <w:r w:rsidR="00CC1D6B">
        <w:t>s</w:t>
      </w:r>
      <w:r w:rsidRPr="00057F74">
        <w:t xml:space="preserve">ed to </w:t>
      </w:r>
      <w:r w:rsidR="0011514D">
        <w:t>PBO</w:t>
      </w:r>
      <w:r w:rsidR="00057F74">
        <w:t xml:space="preserve"> </w:t>
      </w:r>
      <w:r w:rsidRPr="00057F74">
        <w:t>who entered early escape at Week 16, and data from Weeks 0-24 for all other subjects.</w:t>
      </w:r>
    </w:p>
    <w:p w:rsidR="00D63C16" w:rsidRPr="00057F74" w:rsidRDefault="00CC1D6B" w:rsidP="00E93AA7">
      <w:r>
        <w:t>Therefore, the seco</w:t>
      </w:r>
      <w:r w:rsidR="00D63C16" w:rsidRPr="00057F74">
        <w:t>nd paragraph below Table 2 should read:</w:t>
      </w:r>
    </w:p>
    <w:p w:rsidR="00D63C16" w:rsidRPr="00B733ED" w:rsidRDefault="00D63C16" w:rsidP="00057F74">
      <w:pPr>
        <w:ind w:left="720"/>
        <w:rPr>
          <w:i/>
          <w:u w:val="single"/>
        </w:rPr>
      </w:pPr>
      <w:r w:rsidRPr="00057F74">
        <w:rPr>
          <w:i/>
        </w:rPr>
        <w:t xml:space="preserve">The maximum period of </w:t>
      </w:r>
      <w:r w:rsidR="0011514D">
        <w:rPr>
          <w:i/>
        </w:rPr>
        <w:t>PBO</w:t>
      </w:r>
      <w:r w:rsidRPr="00057F74">
        <w:rPr>
          <w:i/>
        </w:rPr>
        <w:t xml:space="preserve"> control was </w:t>
      </w:r>
      <w:r w:rsidRPr="00656D2E">
        <w:rPr>
          <w:i/>
          <w:strike/>
        </w:rPr>
        <w:t>16</w:t>
      </w:r>
      <w:r w:rsidRPr="00656D2E">
        <w:rPr>
          <w:i/>
        </w:rPr>
        <w:t xml:space="preserve"> </w:t>
      </w:r>
      <w:r w:rsidRPr="00656D2E">
        <w:rPr>
          <w:i/>
          <w:u w:val="single"/>
        </w:rPr>
        <w:t>24</w:t>
      </w:r>
      <w:r w:rsidRPr="00057F74">
        <w:rPr>
          <w:i/>
        </w:rPr>
        <w:t xml:space="preserve"> weeks,</w:t>
      </w:r>
      <w:r w:rsidR="00057F74" w:rsidRPr="00057F74">
        <w:rPr>
          <w:i/>
        </w:rPr>
        <w:t xml:space="preserve"> </w:t>
      </w:r>
      <w:r w:rsidR="00057F74" w:rsidRPr="00B01749">
        <w:rPr>
          <w:i/>
          <w:strike/>
        </w:rPr>
        <w:t>as</w:t>
      </w:r>
      <w:r w:rsidR="00057F74" w:rsidRPr="00057F74">
        <w:rPr>
          <w:i/>
        </w:rPr>
        <w:t xml:space="preserve"> </w:t>
      </w:r>
      <w:r w:rsidR="00057F74" w:rsidRPr="00B01749">
        <w:rPr>
          <w:i/>
          <w:u w:val="single"/>
        </w:rPr>
        <w:t>although</w:t>
      </w:r>
      <w:r w:rsidR="00057F74" w:rsidRPr="00B733ED">
        <w:rPr>
          <w:i/>
        </w:rPr>
        <w:t xml:space="preserve"> </w:t>
      </w:r>
      <w:r w:rsidR="00057F74" w:rsidRPr="00057F74">
        <w:rPr>
          <w:i/>
        </w:rPr>
        <w:t xml:space="preserve">subjects initially </w:t>
      </w:r>
      <w:r w:rsidRPr="00057F74">
        <w:rPr>
          <w:i/>
        </w:rPr>
        <w:t xml:space="preserve">randomized to </w:t>
      </w:r>
      <w:r w:rsidR="0011514D">
        <w:rPr>
          <w:i/>
        </w:rPr>
        <w:t>PBO</w:t>
      </w:r>
      <w:r w:rsidRPr="00057F74">
        <w:rPr>
          <w:i/>
        </w:rPr>
        <w:t xml:space="preserve"> could cross-over to apremilast therapy </w:t>
      </w:r>
      <w:r w:rsidRPr="00B733ED">
        <w:rPr>
          <w:i/>
          <w:strike/>
        </w:rPr>
        <w:t>then</w:t>
      </w:r>
      <w:r w:rsidRPr="00057F74">
        <w:rPr>
          <w:i/>
        </w:rPr>
        <w:t xml:space="preserve"> </w:t>
      </w:r>
      <w:r w:rsidRPr="00B733ED">
        <w:rPr>
          <w:i/>
          <w:u w:val="single"/>
        </w:rPr>
        <w:t>at Week 16.</w:t>
      </w:r>
    </w:p>
    <w:p w:rsidR="00B24CF7" w:rsidRPr="00B24CF7" w:rsidRDefault="00B24CF7" w:rsidP="00E93AA7">
      <w:pPr>
        <w:pStyle w:val="Heading5"/>
        <w:rPr>
          <w:rFonts w:eastAsiaTheme="minorHAnsi"/>
        </w:rPr>
      </w:pPr>
      <w:r w:rsidRPr="00B24CF7">
        <w:rPr>
          <w:rFonts w:eastAsiaTheme="minorHAnsi"/>
        </w:rPr>
        <w:t>18</w:t>
      </w:r>
      <w:r w:rsidR="005E48D0">
        <w:rPr>
          <w:rFonts w:eastAsiaTheme="minorHAnsi"/>
        </w:rPr>
        <w:t>b</w:t>
      </w:r>
      <w:r w:rsidRPr="00B24CF7">
        <w:rPr>
          <w:rFonts w:eastAsiaTheme="minorHAnsi"/>
        </w:rPr>
        <w:t xml:space="preserve">. Points of </w:t>
      </w:r>
      <w:r w:rsidR="00E93AA7">
        <w:rPr>
          <w:rFonts w:eastAsiaTheme="minorHAnsi"/>
        </w:rPr>
        <w:t>c</w:t>
      </w:r>
      <w:r w:rsidRPr="00E93AA7">
        <w:rPr>
          <w:rFonts w:eastAsiaTheme="minorHAnsi"/>
        </w:rPr>
        <w:t>larification</w:t>
      </w:r>
      <w:r w:rsidRPr="00B24CF7">
        <w:rPr>
          <w:rFonts w:eastAsiaTheme="minorHAnsi"/>
        </w:rPr>
        <w:t xml:space="preserve">: Delegate’s </w:t>
      </w:r>
      <w:r w:rsidR="00E93AA7">
        <w:rPr>
          <w:rFonts w:eastAsiaTheme="minorHAnsi"/>
        </w:rPr>
        <w:t>c</w:t>
      </w:r>
      <w:r w:rsidRPr="00B24CF7">
        <w:rPr>
          <w:rFonts w:eastAsiaTheme="minorHAnsi"/>
        </w:rPr>
        <w:t>omments</w:t>
      </w:r>
    </w:p>
    <w:p w:rsidR="00D63C16" w:rsidRDefault="00D63C16" w:rsidP="00E93AA7">
      <w:pPr>
        <w:pStyle w:val="ListBullet"/>
      </w:pPr>
      <w:r>
        <w:t>“The Delegate concurs with the evaluator statement [that] … there were limited statistically</w:t>
      </w:r>
      <w:r w:rsidR="00D62E4C">
        <w:t xml:space="preserve"> </w:t>
      </w:r>
      <w:r w:rsidRPr="00E93AA7">
        <w:t>significant</w:t>
      </w:r>
      <w:r>
        <w:t xml:space="preserve"> analyses to support the conclusion that APR 30</w:t>
      </w:r>
      <w:r w:rsidR="00CC1D6B">
        <w:t xml:space="preserve"> </w:t>
      </w:r>
      <w:r>
        <w:t>mg twice daily was superior to</w:t>
      </w:r>
      <w:r w:rsidR="00D62E4C">
        <w:t xml:space="preserve"> </w:t>
      </w:r>
      <w:r>
        <w:t>APR 20</w:t>
      </w:r>
      <w:r w:rsidR="00CC1D6B">
        <w:t xml:space="preserve"> </w:t>
      </w:r>
      <w:r>
        <w:t>mg twice daily.”</w:t>
      </w:r>
    </w:p>
    <w:p w:rsidR="00D63C16" w:rsidRDefault="00D63C16" w:rsidP="00D63C16">
      <w:pPr>
        <w:pStyle w:val="Heading5"/>
        <w:rPr>
          <w:rFonts w:eastAsiaTheme="minorHAnsi"/>
        </w:rPr>
      </w:pPr>
      <w:r>
        <w:rPr>
          <w:rFonts w:eastAsiaTheme="minorHAnsi"/>
        </w:rPr>
        <w:t>Response</w:t>
      </w:r>
    </w:p>
    <w:p w:rsidR="00D63C16" w:rsidRPr="00D63C16" w:rsidRDefault="00D63C16" w:rsidP="00E93AA7">
      <w:r w:rsidRPr="00D63C16">
        <w:t>Celgene recogni</w:t>
      </w:r>
      <w:r w:rsidR="00722C57">
        <w:t>s</w:t>
      </w:r>
      <w:r w:rsidRPr="00D63C16">
        <w:t xml:space="preserve">es the specificity of this statement for the </w:t>
      </w:r>
      <w:r w:rsidR="00C33142">
        <w:t>PSOR</w:t>
      </w:r>
      <w:r w:rsidRPr="00D63C16">
        <w:t xml:space="preserve"> arthritis indication, as only </w:t>
      </w:r>
      <w:r w:rsidR="002B6593">
        <w:t>APR</w:t>
      </w:r>
      <w:r w:rsidRPr="00D63C16">
        <w:t xml:space="preserve"> 30 mg BID was investigated in comparison to </w:t>
      </w:r>
      <w:r w:rsidR="0011514D">
        <w:t>PBO</w:t>
      </w:r>
      <w:r w:rsidR="00CC1D6B">
        <w:t xml:space="preserve"> in the Phase III</w:t>
      </w:r>
      <w:r w:rsidRPr="00D63C16">
        <w:t xml:space="preserve"> </w:t>
      </w:r>
      <w:r w:rsidR="00C33142">
        <w:t>PSOR</w:t>
      </w:r>
      <w:r w:rsidR="009F26BB">
        <w:t xml:space="preserve"> clinical trials. In the Phase III</w:t>
      </w:r>
      <w:r w:rsidRPr="00D63C16">
        <w:t xml:space="preserve"> </w:t>
      </w:r>
      <w:proofErr w:type="spellStart"/>
      <w:r w:rsidR="00852871">
        <w:t>PsA</w:t>
      </w:r>
      <w:proofErr w:type="spellEnd"/>
      <w:r w:rsidRPr="00D63C16">
        <w:t xml:space="preserve"> clinical trials, the primary endpoint was the proportion of subjects in each </w:t>
      </w:r>
      <w:r w:rsidR="002B6593">
        <w:t>APR</w:t>
      </w:r>
      <w:r w:rsidRPr="00D63C16">
        <w:t xml:space="preserve"> treatment group (APR 20 BID and APR 30 BID), compared with </w:t>
      </w:r>
      <w:r w:rsidR="0011514D">
        <w:t>PBO</w:t>
      </w:r>
      <w:r w:rsidR="009F26BB">
        <w:t>, who achieved a modified ACR</w:t>
      </w:r>
      <w:r w:rsidRPr="00D63C16">
        <w:t xml:space="preserve">20 response after 16 weeks of therapy. There were no formal comparisons of efficacy between the APR 20 </w:t>
      </w:r>
      <w:r w:rsidR="009F26BB">
        <w:t xml:space="preserve">mg </w:t>
      </w:r>
      <w:r w:rsidRPr="00D63C16">
        <w:t xml:space="preserve">BID and APR 30 </w:t>
      </w:r>
      <w:r w:rsidR="009F26BB">
        <w:t>mg BID treatment groups</w:t>
      </w:r>
      <w:r w:rsidRPr="00D63C16">
        <w:t>.</w:t>
      </w:r>
    </w:p>
    <w:p w:rsidR="008E7846" w:rsidRDefault="00E93AA7" w:rsidP="00E93AA7">
      <w:pPr>
        <w:pStyle w:val="Heading4"/>
      </w:pPr>
      <w:r>
        <w:t xml:space="preserve">Advisory committee </w:t>
      </w:r>
      <w:r w:rsidRPr="00E93AA7">
        <w:t>c</w:t>
      </w:r>
      <w:r w:rsidR="008E7846" w:rsidRPr="00E93AA7">
        <w:t>onsiderations</w:t>
      </w:r>
    </w:p>
    <w:p w:rsidR="00ED07A4" w:rsidRPr="00ED07A4" w:rsidRDefault="00ED07A4" w:rsidP="00E93AA7">
      <w:r w:rsidRPr="00ED07A4">
        <w:t xml:space="preserve">The ACPM, taking into account the submitted evidence of efficacy, safety and quality, agreed with the </w:t>
      </w:r>
      <w:r w:rsidR="000D7B33">
        <w:t>D</w:t>
      </w:r>
      <w:r w:rsidRPr="00ED07A4">
        <w:t>elegate and considered O</w:t>
      </w:r>
      <w:r w:rsidR="000D7B33">
        <w:t>tezla</w:t>
      </w:r>
      <w:r w:rsidRPr="00ED07A4">
        <w:t xml:space="preserve"> tablets containing </w:t>
      </w:r>
      <w:r w:rsidR="002B6593">
        <w:t>APR</w:t>
      </w:r>
      <w:r w:rsidRPr="00ED07A4">
        <w:t xml:space="preserve"> 10 mg (pink) and 20 mg (brown) tablets for dose titration and 30 mg (beige) tablets for ongoing administration to h</w:t>
      </w:r>
      <w:r w:rsidR="00962C24">
        <w:t>ave an overall positive benefit-</w:t>
      </w:r>
      <w:r w:rsidRPr="00ED07A4">
        <w:t>risk prof</w:t>
      </w:r>
      <w:r w:rsidR="00E93AA7">
        <w:t>ile for the amended indication;</w:t>
      </w:r>
    </w:p>
    <w:p w:rsidR="00ED07A4" w:rsidRPr="00E93AA7" w:rsidRDefault="00ED07A4" w:rsidP="00E93AA7">
      <w:pPr>
        <w:pStyle w:val="ListBullet2"/>
        <w:numPr>
          <w:ilvl w:val="0"/>
          <w:numId w:val="0"/>
        </w:numPr>
        <w:ind w:left="720"/>
        <w:rPr>
          <w:i/>
        </w:rPr>
      </w:pPr>
      <w:proofErr w:type="spellStart"/>
      <w:r w:rsidRPr="00E93AA7">
        <w:rPr>
          <w:i/>
        </w:rPr>
        <w:t>Otezla</w:t>
      </w:r>
      <w:proofErr w:type="spellEnd"/>
      <w:r w:rsidRPr="00E93AA7">
        <w:rPr>
          <w:i/>
        </w:rPr>
        <w:t xml:space="preserve"> is indicated for:</w:t>
      </w:r>
    </w:p>
    <w:p w:rsidR="00ED07A4" w:rsidRPr="00E93AA7" w:rsidRDefault="00ED07A4" w:rsidP="00E93AA7">
      <w:pPr>
        <w:pStyle w:val="ListBullet3"/>
        <w:rPr>
          <w:i/>
        </w:rPr>
      </w:pPr>
      <w:r w:rsidRPr="00E93AA7">
        <w:rPr>
          <w:i/>
        </w:rPr>
        <w:t xml:space="preserve">The treatment of the signs and symptoms of active </w:t>
      </w:r>
      <w:proofErr w:type="spellStart"/>
      <w:r w:rsidR="00852871" w:rsidRPr="00E93AA7">
        <w:rPr>
          <w:i/>
        </w:rPr>
        <w:t>PsA</w:t>
      </w:r>
      <w:proofErr w:type="spellEnd"/>
      <w:r w:rsidRPr="00E93AA7">
        <w:rPr>
          <w:i/>
        </w:rPr>
        <w:t xml:space="preserve"> in adult patients</w:t>
      </w:r>
    </w:p>
    <w:p w:rsidR="00ED07A4" w:rsidRPr="00E93AA7" w:rsidRDefault="00ED07A4" w:rsidP="00E93AA7">
      <w:pPr>
        <w:pStyle w:val="ListBullet3"/>
        <w:rPr>
          <w:i/>
        </w:rPr>
      </w:pPr>
      <w:r w:rsidRPr="00E93AA7">
        <w:rPr>
          <w:i/>
        </w:rPr>
        <w:t xml:space="preserve">The treatment of adult patients with moderate to severe plaque </w:t>
      </w:r>
      <w:r w:rsidR="00C33142" w:rsidRPr="00E93AA7">
        <w:rPr>
          <w:i/>
        </w:rPr>
        <w:t>PSOR</w:t>
      </w:r>
      <w:r w:rsidRPr="00E93AA7">
        <w:rPr>
          <w:i/>
        </w:rPr>
        <w:t xml:space="preserve"> who are candidates for phototherapy or systemic therapy</w:t>
      </w:r>
    </w:p>
    <w:p w:rsidR="00ED07A4" w:rsidRPr="00D76191" w:rsidRDefault="00ED07A4" w:rsidP="00E93AA7">
      <w:r w:rsidRPr="00D76191">
        <w:t xml:space="preserve">In making this recommendation the ACPM: </w:t>
      </w:r>
    </w:p>
    <w:p w:rsidR="00ED07A4" w:rsidRPr="00702FEE" w:rsidRDefault="00ED07A4" w:rsidP="00E93AA7">
      <w:pPr>
        <w:pStyle w:val="ListBullet"/>
        <w:rPr>
          <w:lang w:eastAsia="ja-JP"/>
        </w:rPr>
      </w:pPr>
      <w:r w:rsidRPr="00702FEE">
        <w:rPr>
          <w:lang w:eastAsia="ja-JP"/>
        </w:rPr>
        <w:t>Noted the sponsor’s reluctance to market th</w:t>
      </w:r>
      <w:r w:rsidR="00DA6183">
        <w:rPr>
          <w:lang w:eastAsia="ja-JP"/>
        </w:rPr>
        <w:t>e 20 mg dose separately despite</w:t>
      </w:r>
      <w:r w:rsidR="00C75055">
        <w:rPr>
          <w:lang w:eastAsia="ja-JP"/>
        </w:rPr>
        <w:t>:</w:t>
      </w:r>
    </w:p>
    <w:p w:rsidR="00ED07A4" w:rsidRPr="00702FEE" w:rsidRDefault="00ED07A4" w:rsidP="00D76191">
      <w:pPr>
        <w:pStyle w:val="ListBullet2"/>
        <w:rPr>
          <w:lang w:eastAsia="ja-JP"/>
        </w:rPr>
      </w:pPr>
      <w:r w:rsidRPr="00702FEE">
        <w:rPr>
          <w:lang w:eastAsia="ja-JP"/>
        </w:rPr>
        <w:t>good evidence of efficacy at 20 mg twice daily in randomised controlled trials</w:t>
      </w:r>
    </w:p>
    <w:p w:rsidR="00ED07A4" w:rsidRPr="00702FEE" w:rsidRDefault="00ED07A4" w:rsidP="00D76191">
      <w:pPr>
        <w:pStyle w:val="ListBullet2"/>
        <w:rPr>
          <w:lang w:eastAsia="ja-JP"/>
        </w:rPr>
      </w:pPr>
      <w:r w:rsidRPr="00702FEE">
        <w:rPr>
          <w:lang w:eastAsia="ja-JP"/>
        </w:rPr>
        <w:t xml:space="preserve">evidence that clearance </w:t>
      </w:r>
      <w:r w:rsidR="00E93AA7">
        <w:rPr>
          <w:lang w:eastAsia="ja-JP"/>
        </w:rPr>
        <w:t>is substantially lower in women</w:t>
      </w:r>
    </w:p>
    <w:p w:rsidR="00ED07A4" w:rsidRPr="00702FEE" w:rsidRDefault="00ED07A4" w:rsidP="00E93AA7">
      <w:pPr>
        <w:pStyle w:val="ListBullet2"/>
        <w:rPr>
          <w:lang w:eastAsia="ja-JP"/>
        </w:rPr>
      </w:pPr>
      <w:r w:rsidRPr="00702FEE">
        <w:rPr>
          <w:lang w:eastAsia="ja-JP"/>
        </w:rPr>
        <w:t xml:space="preserve">the potential for higher rates of </w:t>
      </w:r>
      <w:r w:rsidR="00B15321">
        <w:rPr>
          <w:lang w:eastAsia="ja-JP"/>
        </w:rPr>
        <w:t>AEs</w:t>
      </w:r>
      <w:r w:rsidRPr="00702FEE">
        <w:rPr>
          <w:lang w:eastAsia="ja-JP"/>
        </w:rPr>
        <w:t xml:space="preserve"> with increased exposure which will impact on the benefit-risk </w:t>
      </w:r>
      <w:r w:rsidRPr="00E93AA7">
        <w:t>profile</w:t>
      </w:r>
    </w:p>
    <w:p w:rsidR="00ED07A4" w:rsidRPr="00702FEE" w:rsidRDefault="00ED07A4" w:rsidP="00D76191">
      <w:pPr>
        <w:pStyle w:val="ListBullet2"/>
        <w:rPr>
          <w:lang w:eastAsia="ja-JP"/>
        </w:rPr>
      </w:pPr>
      <w:r w:rsidRPr="00702FEE">
        <w:rPr>
          <w:lang w:eastAsia="ja-JP"/>
        </w:rPr>
        <w:t xml:space="preserve">there is an absence of evidence for the efficacy of the proposed dose reduction, in the event of </w:t>
      </w:r>
      <w:r w:rsidR="00C75055">
        <w:rPr>
          <w:lang w:eastAsia="ja-JP"/>
        </w:rPr>
        <w:t>AEs</w:t>
      </w:r>
      <w:r w:rsidRPr="00702FEE">
        <w:rPr>
          <w:lang w:eastAsia="ja-JP"/>
        </w:rPr>
        <w:t>, to 30 mg once daily from randomised trials</w:t>
      </w:r>
    </w:p>
    <w:p w:rsidR="00ED07A4" w:rsidRPr="00702FEE" w:rsidRDefault="00ED07A4" w:rsidP="00E93AA7">
      <w:pPr>
        <w:pStyle w:val="ListBullet2"/>
        <w:rPr>
          <w:lang w:eastAsia="ja-JP"/>
        </w:rPr>
      </w:pPr>
      <w:proofErr w:type="gramStart"/>
      <w:r w:rsidRPr="00702FEE">
        <w:rPr>
          <w:lang w:eastAsia="ja-JP"/>
        </w:rPr>
        <w:t>the</w:t>
      </w:r>
      <w:proofErr w:type="gramEnd"/>
      <w:r w:rsidRPr="00702FEE">
        <w:rPr>
          <w:lang w:eastAsia="ja-JP"/>
        </w:rPr>
        <w:t xml:space="preserve"> reduction in </w:t>
      </w:r>
      <w:r w:rsidRPr="00E93AA7">
        <w:t>flexibility</w:t>
      </w:r>
      <w:r w:rsidRPr="00702FEE">
        <w:rPr>
          <w:lang w:eastAsia="ja-JP"/>
        </w:rPr>
        <w:t xml:space="preserve"> of treatment in patients experiencing </w:t>
      </w:r>
      <w:r w:rsidR="00C75055">
        <w:rPr>
          <w:lang w:eastAsia="ja-JP"/>
        </w:rPr>
        <w:t>AEs</w:t>
      </w:r>
      <w:r w:rsidRPr="00702FEE">
        <w:rPr>
          <w:lang w:eastAsia="ja-JP"/>
        </w:rPr>
        <w:t>.</w:t>
      </w:r>
    </w:p>
    <w:p w:rsidR="00ED07A4" w:rsidRPr="00702FEE" w:rsidRDefault="00ED07A4" w:rsidP="00E93AA7">
      <w:pPr>
        <w:pStyle w:val="ListBullet"/>
        <w:rPr>
          <w:lang w:eastAsia="ja-JP"/>
        </w:rPr>
      </w:pPr>
      <w:r w:rsidRPr="00702FEE">
        <w:rPr>
          <w:lang w:eastAsia="ja-JP"/>
        </w:rPr>
        <w:t xml:space="preserve">Was of the view that a black box was unnecessary at this point but was strongly of the view that the warning </w:t>
      </w:r>
      <w:r w:rsidRPr="00E93AA7">
        <w:t>for</w:t>
      </w:r>
      <w:r w:rsidRPr="00702FEE">
        <w:rPr>
          <w:lang w:eastAsia="ja-JP"/>
        </w:rPr>
        <w:t xml:space="preserve"> depression/depressed mood should not just be listed in the </w:t>
      </w:r>
      <w:r w:rsidRPr="00702FEE">
        <w:rPr>
          <w:caps/>
          <w:lang w:eastAsia="ja-JP"/>
        </w:rPr>
        <w:t>Adverse Events</w:t>
      </w:r>
      <w:r w:rsidRPr="00702FEE">
        <w:rPr>
          <w:lang w:eastAsia="ja-JP"/>
        </w:rPr>
        <w:t xml:space="preserve"> section but also appear in the </w:t>
      </w:r>
      <w:r w:rsidRPr="00702FEE">
        <w:rPr>
          <w:caps/>
          <w:lang w:eastAsia="ja-JP"/>
        </w:rPr>
        <w:t>Precautions</w:t>
      </w:r>
      <w:r w:rsidRPr="00702FEE">
        <w:rPr>
          <w:lang w:eastAsia="ja-JP"/>
        </w:rPr>
        <w:t xml:space="preserve"> section, with a sta</w:t>
      </w:r>
      <w:r w:rsidR="007D6999">
        <w:rPr>
          <w:lang w:eastAsia="ja-JP"/>
        </w:rPr>
        <w:t>te</w:t>
      </w:r>
      <w:r w:rsidRPr="00702FEE">
        <w:rPr>
          <w:lang w:eastAsia="ja-JP"/>
        </w:rPr>
        <w:t>men</w:t>
      </w:r>
      <w:r w:rsidR="007D6999">
        <w:rPr>
          <w:lang w:eastAsia="ja-JP"/>
        </w:rPr>
        <w:t>t</w:t>
      </w:r>
      <w:r w:rsidRPr="00702FEE">
        <w:rPr>
          <w:lang w:eastAsia="ja-JP"/>
        </w:rPr>
        <w:t xml:space="preserve"> similar to that in the Canadian PI.</w:t>
      </w:r>
    </w:p>
    <w:p w:rsidR="00ED07A4" w:rsidRPr="00702FEE" w:rsidRDefault="00ED07A4" w:rsidP="00E93AA7">
      <w:pPr>
        <w:pStyle w:val="ListBullet"/>
        <w:rPr>
          <w:lang w:eastAsia="ja-JP"/>
        </w:rPr>
      </w:pPr>
      <w:r w:rsidRPr="00702FEE">
        <w:rPr>
          <w:lang w:eastAsia="ja-JP"/>
        </w:rPr>
        <w:t xml:space="preserve">Noted the pivotal studies excluded patients with a high baseline risk of infection, thus the trial safety </w:t>
      </w:r>
      <w:r w:rsidRPr="00E93AA7">
        <w:t>data</w:t>
      </w:r>
      <w:r w:rsidRPr="00702FEE">
        <w:rPr>
          <w:lang w:eastAsia="ja-JP"/>
        </w:rPr>
        <w:t xml:space="preserve"> may not fully reflect the risk of infection in the wider treatment population post marketing.</w:t>
      </w:r>
    </w:p>
    <w:p w:rsidR="00ED07A4" w:rsidRPr="00702FEE" w:rsidRDefault="00ED07A4" w:rsidP="00E93AA7">
      <w:pPr>
        <w:pStyle w:val="ListBullet"/>
        <w:rPr>
          <w:lang w:eastAsia="ja-JP"/>
        </w:rPr>
      </w:pPr>
      <w:r w:rsidRPr="00702FEE">
        <w:rPr>
          <w:lang w:eastAsia="ja-JP"/>
        </w:rPr>
        <w:t xml:space="preserve">Noted there is no or very limited experience in certain patient subgroups of relevance including: subjects </w:t>
      </w:r>
      <w:r w:rsidRPr="00E93AA7">
        <w:t>with</w:t>
      </w:r>
      <w:r w:rsidRPr="00702FEE">
        <w:rPr>
          <w:lang w:eastAsia="ja-JP"/>
        </w:rPr>
        <w:t xml:space="preserve"> renal or hepatic impairment, pregnant or lactating women, and those with a low body weight (&lt;50 kg) or the concomitant use of </w:t>
      </w:r>
      <w:proofErr w:type="spellStart"/>
      <w:r w:rsidRPr="00702FEE">
        <w:rPr>
          <w:lang w:eastAsia="ja-JP"/>
        </w:rPr>
        <w:t>cyclosporin</w:t>
      </w:r>
      <w:proofErr w:type="spellEnd"/>
      <w:r w:rsidRPr="00702FEE">
        <w:rPr>
          <w:lang w:eastAsia="ja-JP"/>
        </w:rPr>
        <w:t xml:space="preserve"> and </w:t>
      </w:r>
      <w:r w:rsidR="002B6593">
        <w:rPr>
          <w:lang w:eastAsia="ja-JP"/>
        </w:rPr>
        <w:t>APR</w:t>
      </w:r>
      <w:r w:rsidRPr="00702FEE">
        <w:rPr>
          <w:lang w:eastAsia="ja-JP"/>
        </w:rPr>
        <w:t>.</w:t>
      </w:r>
    </w:p>
    <w:p w:rsidR="00ED07A4" w:rsidRPr="00702FEE" w:rsidRDefault="00ED07A4" w:rsidP="00E93AA7">
      <w:pPr>
        <w:pStyle w:val="ListBullet"/>
        <w:rPr>
          <w:lang w:eastAsia="ja-JP"/>
        </w:rPr>
      </w:pPr>
      <w:r w:rsidRPr="00702FEE">
        <w:rPr>
          <w:lang w:eastAsia="ja-JP"/>
        </w:rPr>
        <w:t xml:space="preserve">Noted the potential for ‘off label’ </w:t>
      </w:r>
      <w:r w:rsidRPr="00E93AA7">
        <w:t>use</w:t>
      </w:r>
      <w:r w:rsidRPr="00702FEE">
        <w:rPr>
          <w:lang w:eastAsia="ja-JP"/>
        </w:rPr>
        <w:t xml:space="preserve"> of </w:t>
      </w:r>
      <w:r w:rsidR="002B6593">
        <w:rPr>
          <w:lang w:eastAsia="ja-JP"/>
        </w:rPr>
        <w:t>APR</w:t>
      </w:r>
      <w:r w:rsidRPr="00702FEE">
        <w:rPr>
          <w:lang w:eastAsia="ja-JP"/>
        </w:rPr>
        <w:t xml:space="preserve"> for weight loss</w:t>
      </w:r>
      <w:r w:rsidR="00C75055">
        <w:rPr>
          <w:lang w:eastAsia="ja-JP"/>
        </w:rPr>
        <w:t>.</w:t>
      </w:r>
    </w:p>
    <w:p w:rsidR="00ED07A4" w:rsidRPr="00702FEE" w:rsidRDefault="00ED07A4" w:rsidP="00E93AA7">
      <w:pPr>
        <w:pStyle w:val="Heading5"/>
        <w:rPr>
          <w:rFonts w:eastAsia="MS Mincho"/>
          <w:lang w:eastAsia="ja-JP"/>
        </w:rPr>
      </w:pPr>
      <w:r w:rsidRPr="00702FEE">
        <w:rPr>
          <w:rFonts w:eastAsia="MS Mincho"/>
          <w:lang w:eastAsia="ja-JP"/>
        </w:rPr>
        <w:t xml:space="preserve">Proposed </w:t>
      </w:r>
      <w:r w:rsidRPr="00E93AA7">
        <w:rPr>
          <w:rFonts w:eastAsia="MS Mincho"/>
        </w:rPr>
        <w:t>conditions</w:t>
      </w:r>
      <w:r w:rsidRPr="00702FEE">
        <w:rPr>
          <w:rFonts w:eastAsia="MS Mincho"/>
          <w:lang w:eastAsia="ja-JP"/>
        </w:rPr>
        <w:t xml:space="preserve"> of registration</w:t>
      </w:r>
    </w:p>
    <w:p w:rsidR="00ED07A4" w:rsidRPr="00D76191" w:rsidRDefault="00ED07A4" w:rsidP="00D76191">
      <w:pPr>
        <w:rPr>
          <w:highlight w:val="yellow"/>
        </w:rPr>
      </w:pPr>
      <w:r w:rsidRPr="00D76191">
        <w:t>The ACPM agreed with the delegate on the proposed conditions of registration and specifically advised on the inclusion of the following:</w:t>
      </w:r>
    </w:p>
    <w:p w:rsidR="00ED07A4" w:rsidRPr="00D76191" w:rsidRDefault="00ED07A4" w:rsidP="00E93AA7">
      <w:pPr>
        <w:pStyle w:val="ListBullet"/>
      </w:pPr>
      <w:r w:rsidRPr="00D76191">
        <w:t xml:space="preserve">Subject to the </w:t>
      </w:r>
      <w:r w:rsidR="00722C57">
        <w:t>s</w:t>
      </w:r>
      <w:r w:rsidRPr="00D76191">
        <w:t xml:space="preserve">ponsor supplying the 20 mg dose separately for dose titration, reduction or management of </w:t>
      </w:r>
      <w:r w:rsidR="000F0B94">
        <w:t>AEs</w:t>
      </w:r>
      <w:r w:rsidR="00E93AA7">
        <w:t>.</w:t>
      </w:r>
    </w:p>
    <w:p w:rsidR="00ED07A4" w:rsidRPr="00D76191" w:rsidRDefault="00ED07A4" w:rsidP="00E93AA7">
      <w:pPr>
        <w:pStyle w:val="ListBullet"/>
      </w:pPr>
      <w:r w:rsidRPr="00D76191">
        <w:t xml:space="preserve">Negotiation </w:t>
      </w:r>
      <w:r w:rsidRPr="00E93AA7">
        <w:t>of</w:t>
      </w:r>
      <w:r w:rsidRPr="00D76191">
        <w:t xml:space="preserve"> </w:t>
      </w:r>
      <w:r w:rsidR="00A714B6">
        <w:t>PI</w:t>
      </w:r>
      <w:r w:rsidRPr="00D76191">
        <w:t xml:space="preserve"> and Consumer Medicines Information </w:t>
      </w:r>
      <w:r w:rsidR="00A714B6">
        <w:t xml:space="preserve">(CMI) </w:t>
      </w:r>
      <w:r w:rsidR="00E93AA7">
        <w:t>to the satisfaction of the TGA.</w:t>
      </w:r>
    </w:p>
    <w:p w:rsidR="00ED07A4" w:rsidRPr="00702FEE" w:rsidRDefault="00C11CF2" w:rsidP="00D76191">
      <w:pPr>
        <w:pStyle w:val="Heading5"/>
        <w:rPr>
          <w:rFonts w:eastAsia="MS Mincho"/>
          <w:u w:val="single"/>
          <w:lang w:eastAsia="ja-JP"/>
        </w:rPr>
      </w:pPr>
      <w:r>
        <w:rPr>
          <w:rFonts w:eastAsia="MS Mincho"/>
          <w:lang w:eastAsia="ja-JP"/>
        </w:rPr>
        <w:t>PI/CMI</w:t>
      </w:r>
      <w:r w:rsidR="00ED07A4" w:rsidRPr="00702FEE">
        <w:rPr>
          <w:rFonts w:eastAsia="MS Mincho"/>
          <w:lang w:eastAsia="ja-JP"/>
        </w:rPr>
        <w:t xml:space="preserve"> amendments</w:t>
      </w:r>
    </w:p>
    <w:p w:rsidR="00ED07A4" w:rsidRPr="00D76191" w:rsidRDefault="00C11CF2" w:rsidP="00D76191">
      <w:r>
        <w:t>The ACPM agreed with the D</w:t>
      </w:r>
      <w:r w:rsidR="00ED07A4" w:rsidRPr="00D76191">
        <w:t xml:space="preserve">elegate to the proposed amendments to the </w:t>
      </w:r>
      <w:r>
        <w:t>PI</w:t>
      </w:r>
      <w:r w:rsidR="00ED07A4" w:rsidRPr="00D76191">
        <w:t xml:space="preserve"> and </w:t>
      </w:r>
      <w:r>
        <w:t>CMI</w:t>
      </w:r>
      <w:r w:rsidR="00ED07A4" w:rsidRPr="00D76191">
        <w:t xml:space="preserve"> and specifi</w:t>
      </w:r>
      <w:r w:rsidR="00D76191">
        <w:t>cally advised on the following:</w:t>
      </w:r>
    </w:p>
    <w:p w:rsidR="00ED07A4" w:rsidRPr="00062E62" w:rsidRDefault="00ED07A4" w:rsidP="00062E62">
      <w:pPr>
        <w:pStyle w:val="ListBullet"/>
      </w:pPr>
      <w:r w:rsidRPr="00062E62">
        <w:t xml:space="preserve">The lack of radiographic efficacy data in </w:t>
      </w:r>
      <w:proofErr w:type="spellStart"/>
      <w:r w:rsidR="00852871">
        <w:t>PsA</w:t>
      </w:r>
      <w:proofErr w:type="spellEnd"/>
      <w:r w:rsidRPr="00062E62">
        <w:t xml:space="preserve"> patients should be reflected in the clinical trials section of the PI</w:t>
      </w:r>
      <w:r w:rsidR="003200DA">
        <w:t>;</w:t>
      </w:r>
    </w:p>
    <w:p w:rsidR="00ED07A4" w:rsidRPr="00062E62" w:rsidRDefault="00ED07A4" w:rsidP="00062E62">
      <w:pPr>
        <w:pStyle w:val="ListBullet"/>
      </w:pPr>
      <w:r w:rsidRPr="00062E62">
        <w:t xml:space="preserve">The PI should contain a statement regarding the lack of clinical data on the concomitant use of </w:t>
      </w:r>
      <w:proofErr w:type="spellStart"/>
      <w:r w:rsidRPr="00062E62">
        <w:t>cyclosporin</w:t>
      </w:r>
      <w:proofErr w:type="spellEnd"/>
      <w:r w:rsidR="002B6593">
        <w:t xml:space="preserve"> </w:t>
      </w:r>
      <w:r w:rsidRPr="00062E62">
        <w:t xml:space="preserve">and </w:t>
      </w:r>
      <w:r w:rsidR="002B6593">
        <w:t>APR</w:t>
      </w:r>
      <w:r w:rsidR="003200DA">
        <w:t>; and</w:t>
      </w:r>
    </w:p>
    <w:p w:rsidR="00ED07A4" w:rsidRPr="00062E62" w:rsidRDefault="00ED07A4" w:rsidP="00062E62">
      <w:pPr>
        <w:pStyle w:val="ListBullet"/>
      </w:pPr>
      <w:r w:rsidRPr="00062E62">
        <w:t xml:space="preserve">The CMI should include a list of medications which are contraindicated with </w:t>
      </w:r>
      <w:r w:rsidR="002B6593">
        <w:t>APR</w:t>
      </w:r>
      <w:r w:rsidRPr="00062E62">
        <w:t xml:space="preserve"> use</w:t>
      </w:r>
      <w:r w:rsidR="00203A72">
        <w:t>.</w:t>
      </w:r>
    </w:p>
    <w:p w:rsidR="00ED07A4" w:rsidRPr="00702FEE" w:rsidRDefault="00ED07A4" w:rsidP="00E93AA7">
      <w:pPr>
        <w:pStyle w:val="Heading5"/>
        <w:rPr>
          <w:rFonts w:eastAsia="MS Mincho"/>
          <w:highlight w:val="yellow"/>
          <w:lang w:eastAsia="ja-JP"/>
        </w:rPr>
      </w:pPr>
      <w:r w:rsidRPr="00E93AA7">
        <w:rPr>
          <w:rFonts w:eastAsia="MS Mincho"/>
        </w:rPr>
        <w:t>Specific</w:t>
      </w:r>
      <w:r w:rsidRPr="00702FEE">
        <w:rPr>
          <w:rFonts w:eastAsia="MS Mincho"/>
          <w:lang w:eastAsia="ja-JP"/>
        </w:rPr>
        <w:t xml:space="preserve"> </w:t>
      </w:r>
      <w:r w:rsidR="004A7841">
        <w:rPr>
          <w:rFonts w:eastAsia="MS Mincho"/>
          <w:lang w:eastAsia="ja-JP"/>
        </w:rPr>
        <w:t>a</w:t>
      </w:r>
      <w:r w:rsidRPr="00702FEE">
        <w:rPr>
          <w:rFonts w:eastAsia="MS Mincho"/>
          <w:lang w:eastAsia="ja-JP"/>
        </w:rPr>
        <w:t>dvice</w:t>
      </w:r>
    </w:p>
    <w:p w:rsidR="00ED07A4" w:rsidRPr="00062E62" w:rsidRDefault="00ED07A4" w:rsidP="00E93AA7">
      <w:pPr>
        <w:rPr>
          <w:highlight w:val="yellow"/>
        </w:rPr>
      </w:pPr>
      <w:r w:rsidRPr="00062E62">
        <w:t>The ACPM advised the following in response to the delegate’s specific questions on this submission:</w:t>
      </w:r>
    </w:p>
    <w:p w:rsidR="00ED07A4" w:rsidRPr="00062E62" w:rsidRDefault="00ED07A4" w:rsidP="00E93AA7">
      <w:pPr>
        <w:pStyle w:val="ListBullet"/>
      </w:pPr>
      <w:r w:rsidRPr="00062E62">
        <w:t xml:space="preserve">What is the opinion of the </w:t>
      </w:r>
      <w:r w:rsidR="004A7841">
        <w:t>ACPM</w:t>
      </w:r>
      <w:r w:rsidRPr="00062E62">
        <w:t xml:space="preserve"> regarding the sponsor’s position that a warning for depression/depressed mood is not required for the Australian PI?</w:t>
      </w:r>
    </w:p>
    <w:p w:rsidR="00ED07A4" w:rsidRPr="00062E62" w:rsidRDefault="00ED07A4" w:rsidP="00E93AA7">
      <w:r w:rsidRPr="00062E62">
        <w:t>T</w:t>
      </w:r>
      <w:r w:rsidR="004A7841">
        <w:t>he ACPM advised that while the s</w:t>
      </w:r>
      <w:r w:rsidRPr="00062E62">
        <w:t>ponsor has agreed to</w:t>
      </w:r>
      <w:r w:rsidR="004A7841">
        <w:t xml:space="preserve"> put a warning for depression/</w:t>
      </w:r>
      <w:r w:rsidRPr="00062E62">
        <w:t>depressed mood in the Adverse Effects section the warning should be more expansive, such as that in the Canadian PI and it should also be in Precautions section.</w:t>
      </w:r>
    </w:p>
    <w:p w:rsidR="00ED07A4" w:rsidRPr="00062E62" w:rsidRDefault="00ED07A4" w:rsidP="00E93AA7">
      <w:pPr>
        <w:pStyle w:val="ListBullet"/>
      </w:pPr>
      <w:r w:rsidRPr="00062E62">
        <w:t xml:space="preserve">What is the opinion of the </w:t>
      </w:r>
      <w:r w:rsidR="004A7841">
        <w:t>ACPM</w:t>
      </w:r>
      <w:r w:rsidRPr="00062E62">
        <w:t xml:space="preserve"> regarding the inclusion of dose reduction guidelines in the PI pertaining to </w:t>
      </w:r>
      <w:r w:rsidR="004A7841">
        <w:t>AEs</w:t>
      </w:r>
      <w:r w:rsidRPr="00062E62">
        <w:t xml:space="preserve"> which may be related to increased exposure?</w:t>
      </w:r>
    </w:p>
    <w:p w:rsidR="00ED07A4" w:rsidRPr="00062E62" w:rsidRDefault="00ED07A4" w:rsidP="00062E62">
      <w:r w:rsidRPr="00062E62">
        <w:t xml:space="preserve">The ACPM was of the view that this proposal was entirely reasonable, but conceded there </w:t>
      </w:r>
      <w:r w:rsidR="005331D2">
        <w:t>are</w:t>
      </w:r>
      <w:r w:rsidRPr="00062E62">
        <w:t xml:space="preserve"> little specific data to support it. However, separate provision of the 20 mg tablet for use in </w:t>
      </w:r>
      <w:proofErr w:type="spellStart"/>
      <w:r w:rsidRPr="00062E62">
        <w:t>PsA</w:t>
      </w:r>
      <w:proofErr w:type="spellEnd"/>
      <w:r w:rsidRPr="00062E62">
        <w:t xml:space="preserve"> for which there is demonstrated efficacy in pivotal trials would facilitate this substantially; while the lack of this dose hinders good clinical management of some patients.</w:t>
      </w:r>
    </w:p>
    <w:p w:rsidR="00ED07A4" w:rsidRPr="00702FEE" w:rsidRDefault="00ED07A4" w:rsidP="00E93AA7">
      <w:pPr>
        <w:pStyle w:val="ListBullet"/>
        <w:rPr>
          <w:lang w:eastAsia="ja-JP"/>
        </w:rPr>
      </w:pPr>
      <w:r w:rsidRPr="00702FEE">
        <w:rPr>
          <w:lang w:eastAsia="ja-JP"/>
        </w:rPr>
        <w:t xml:space="preserve">What is the opinion of the </w:t>
      </w:r>
      <w:r w:rsidR="004A7841">
        <w:t>ACPM</w:t>
      </w:r>
      <w:r w:rsidRPr="00702FEE">
        <w:rPr>
          <w:lang w:eastAsia="ja-JP"/>
        </w:rPr>
        <w:t xml:space="preserve"> regarding the restriction of </w:t>
      </w:r>
      <w:r w:rsidR="002B6593">
        <w:rPr>
          <w:lang w:eastAsia="ja-JP"/>
        </w:rPr>
        <w:t>APR</w:t>
      </w:r>
      <w:r w:rsidRPr="00702FEE">
        <w:rPr>
          <w:lang w:eastAsia="ja-JP"/>
        </w:rPr>
        <w:t xml:space="preserve"> to specialist </w:t>
      </w:r>
      <w:r w:rsidRPr="00E93AA7">
        <w:t>physicians</w:t>
      </w:r>
      <w:r w:rsidRPr="00702FEE">
        <w:rPr>
          <w:lang w:eastAsia="ja-JP"/>
        </w:rPr>
        <w:t xml:space="preserve"> only?</w:t>
      </w:r>
      <w:r w:rsidR="002B6593">
        <w:rPr>
          <w:lang w:eastAsia="ja-JP"/>
        </w:rPr>
        <w:t xml:space="preserve"> </w:t>
      </w:r>
    </w:p>
    <w:p w:rsidR="009876E5" w:rsidRDefault="00ED07A4" w:rsidP="00E93AA7">
      <w:r w:rsidRPr="00062E62">
        <w:t>The ACPM agreed with the proposed PI statement in the Dosage and Administration</w:t>
      </w:r>
      <w:r w:rsidR="009876E5">
        <w:t xml:space="preserve"> section:</w:t>
      </w:r>
    </w:p>
    <w:p w:rsidR="00ED07A4" w:rsidRPr="00062E62" w:rsidRDefault="00ED07A4" w:rsidP="009876E5">
      <w:pPr>
        <w:ind w:left="720"/>
      </w:pPr>
      <w:r w:rsidRPr="00062E62">
        <w:rPr>
          <w:i/>
        </w:rPr>
        <w:t xml:space="preserve">Treatment with Otezla should be initiated by specialists experienced in the diagnosis and treatment of </w:t>
      </w:r>
      <w:r w:rsidR="00C33142">
        <w:rPr>
          <w:i/>
        </w:rPr>
        <w:t>PSOR</w:t>
      </w:r>
      <w:r w:rsidRPr="00062E62">
        <w:rPr>
          <w:i/>
        </w:rPr>
        <w:t xml:space="preserve"> or </w:t>
      </w:r>
      <w:proofErr w:type="spellStart"/>
      <w:r w:rsidR="00852871">
        <w:rPr>
          <w:i/>
        </w:rPr>
        <w:t>PsA</w:t>
      </w:r>
      <w:r w:rsidRPr="00062E62">
        <w:rPr>
          <w:i/>
        </w:rPr>
        <w:t>.</w:t>
      </w:r>
      <w:proofErr w:type="spellEnd"/>
    </w:p>
    <w:p w:rsidR="00ED07A4" w:rsidRPr="00062E62" w:rsidRDefault="00ED07A4" w:rsidP="00E93AA7">
      <w:r w:rsidRPr="00062E62">
        <w:t xml:space="preserve">The ACPM advised that implementation by the sponsor of the recommendations outlined above to the satisfaction of the TGA, in addition to the evidence of efficacy and safety provided would support the safe and effective use of these products. </w:t>
      </w:r>
    </w:p>
    <w:p w:rsidR="008E7846" w:rsidRPr="002E238E" w:rsidRDefault="008E7846" w:rsidP="00E93AA7">
      <w:pPr>
        <w:pStyle w:val="Heading3"/>
      </w:pPr>
      <w:bookmarkStart w:id="179" w:name="_Toc247691532"/>
      <w:bookmarkStart w:id="180" w:name="_Toc314842516"/>
      <w:bookmarkStart w:id="181" w:name="_Toc436140500"/>
      <w:bookmarkEnd w:id="101"/>
      <w:bookmarkEnd w:id="177"/>
      <w:bookmarkEnd w:id="178"/>
      <w:r w:rsidRPr="00E93AA7">
        <w:t>Outcome</w:t>
      </w:r>
      <w:bookmarkEnd w:id="179"/>
      <w:bookmarkEnd w:id="180"/>
      <w:bookmarkEnd w:id="181"/>
    </w:p>
    <w:p w:rsidR="007B7972" w:rsidRDefault="00D23139" w:rsidP="00E93AA7">
      <w:bookmarkStart w:id="182" w:name="_Toc247691533"/>
      <w:bookmarkStart w:id="183" w:name="_Toc314842517"/>
      <w:r w:rsidRPr="00D23139">
        <w:t xml:space="preserve">Based on a review of quality, safety and efficacy, TGA approved the registration </w:t>
      </w:r>
      <w:r w:rsidR="007B7972">
        <w:t>of</w:t>
      </w:r>
    </w:p>
    <w:p w:rsidR="00286009" w:rsidRDefault="00350467" w:rsidP="00E93AA7">
      <w:pPr>
        <w:pStyle w:val="ListBullet"/>
      </w:pPr>
      <w:r w:rsidRPr="00350467">
        <w:t>O</w:t>
      </w:r>
      <w:r w:rsidR="00013883">
        <w:t>tezla</w:t>
      </w:r>
      <w:r w:rsidRPr="00350467">
        <w:t xml:space="preserve"> apremilast 30 mg </w:t>
      </w:r>
      <w:r w:rsidR="002D2373">
        <w:t>film coated tablet blister pack;</w:t>
      </w:r>
      <w:r w:rsidR="0095161A">
        <w:t xml:space="preserve"> </w:t>
      </w:r>
      <w:r w:rsidR="00286009">
        <w:t>and</w:t>
      </w:r>
    </w:p>
    <w:p w:rsidR="000D4486" w:rsidRDefault="00BC57B9" w:rsidP="00E93AA7">
      <w:pPr>
        <w:pStyle w:val="ListBullet"/>
      </w:pPr>
      <w:proofErr w:type="spellStart"/>
      <w:r w:rsidRPr="00350467">
        <w:t>O</w:t>
      </w:r>
      <w:r>
        <w:t>tezla</w:t>
      </w:r>
      <w:proofErr w:type="spellEnd"/>
      <w:r w:rsidR="00350467" w:rsidRPr="00350467">
        <w:t xml:space="preserve"> </w:t>
      </w:r>
      <w:r w:rsidRPr="00E93AA7">
        <w:t>Titration</w:t>
      </w:r>
      <w:r>
        <w:t xml:space="preserve"> Pack</w:t>
      </w:r>
      <w:r w:rsidR="00350467" w:rsidRPr="00350467">
        <w:t xml:space="preserve"> </w:t>
      </w:r>
      <w:proofErr w:type="spellStart"/>
      <w:r w:rsidR="00350467" w:rsidRPr="00350467">
        <w:t>apremilast</w:t>
      </w:r>
      <w:proofErr w:type="spellEnd"/>
      <w:r w:rsidR="00350467" w:rsidRPr="00350467">
        <w:t xml:space="preserve"> tablet blister pack</w:t>
      </w:r>
    </w:p>
    <w:p w:rsidR="00D23139" w:rsidRPr="00D23139" w:rsidRDefault="00D23139" w:rsidP="00E93AA7">
      <w:proofErr w:type="gramStart"/>
      <w:r w:rsidRPr="00D23139">
        <w:t>indicated</w:t>
      </w:r>
      <w:proofErr w:type="gramEnd"/>
      <w:r w:rsidRPr="00D23139">
        <w:t xml:space="preserve"> for:</w:t>
      </w:r>
    </w:p>
    <w:p w:rsidR="0095161A" w:rsidRPr="00E93AA7" w:rsidRDefault="0095161A" w:rsidP="00E93AA7">
      <w:pPr>
        <w:pStyle w:val="ListBullet"/>
        <w:rPr>
          <w:i/>
        </w:rPr>
      </w:pPr>
      <w:r w:rsidRPr="00E93AA7">
        <w:rPr>
          <w:i/>
        </w:rPr>
        <w:t xml:space="preserve">The treatment of signs and symptoms of active psoriatic arthritis in adult patients. </w:t>
      </w:r>
    </w:p>
    <w:p w:rsidR="0095161A" w:rsidRPr="00E93AA7" w:rsidRDefault="0095161A" w:rsidP="00E93AA7">
      <w:pPr>
        <w:pStyle w:val="ListBullet"/>
        <w:rPr>
          <w:i/>
        </w:rPr>
      </w:pPr>
      <w:r w:rsidRPr="00E93AA7">
        <w:rPr>
          <w:i/>
        </w:rPr>
        <w:t>The treatment of adult patients with moderate to severe plaque psoriasis who are candidates for phototherapy or systemic therapy.</w:t>
      </w:r>
    </w:p>
    <w:p w:rsidR="00D23139" w:rsidRPr="00D23139" w:rsidRDefault="00D23139" w:rsidP="00E93AA7">
      <w:pPr>
        <w:pStyle w:val="Heading4"/>
      </w:pPr>
      <w:r w:rsidRPr="00D23139">
        <w:t xml:space="preserve">Specific </w:t>
      </w:r>
      <w:r w:rsidRPr="00E93AA7">
        <w:t>conditions</w:t>
      </w:r>
      <w:r w:rsidRPr="00D23139">
        <w:t xml:space="preserve"> of registration applying to these goods</w:t>
      </w:r>
    </w:p>
    <w:p w:rsidR="00B54A8F" w:rsidRPr="00D23139" w:rsidRDefault="001E18A2" w:rsidP="00E93AA7">
      <w:pPr>
        <w:pStyle w:val="ListBullet"/>
      </w:pPr>
      <w:r>
        <w:t xml:space="preserve">The </w:t>
      </w:r>
      <w:proofErr w:type="spellStart"/>
      <w:r>
        <w:t>Apremilast</w:t>
      </w:r>
      <w:proofErr w:type="spellEnd"/>
      <w:r>
        <w:t xml:space="preserve"> EU-RMP</w:t>
      </w:r>
      <w:r w:rsidR="00B43F48">
        <w:t xml:space="preserve"> </w:t>
      </w:r>
      <w:r w:rsidR="00B43F48" w:rsidRPr="00E93AA7">
        <w:t>Version</w:t>
      </w:r>
      <w:r w:rsidR="00B43F48">
        <w:t xml:space="preserve"> 3.0 (</w:t>
      </w:r>
      <w:r w:rsidR="00B54A8F" w:rsidRPr="00B54A8F">
        <w:t xml:space="preserve">dated 10 </w:t>
      </w:r>
      <w:r w:rsidR="00C47882">
        <w:t>October 2014, DLP 1 March 2013 [</w:t>
      </w:r>
      <w:proofErr w:type="spellStart"/>
      <w:r w:rsidR="00852871">
        <w:t>PsA</w:t>
      </w:r>
      <w:proofErr w:type="spellEnd"/>
      <w:r w:rsidR="00C47882">
        <w:t>] and DLP 11 January 2013 [</w:t>
      </w:r>
      <w:r w:rsidR="00C33142">
        <w:t>PSOR</w:t>
      </w:r>
      <w:r w:rsidR="00C47882">
        <w:t>]</w:t>
      </w:r>
      <w:r w:rsidR="00B54A8F" w:rsidRPr="00B54A8F">
        <w:t xml:space="preserve">) and </w:t>
      </w:r>
      <w:r w:rsidR="0096237E">
        <w:t>ASA</w:t>
      </w:r>
      <w:r w:rsidR="00B54A8F" w:rsidRPr="00B54A8F">
        <w:t xml:space="preserve"> 2.0 (dat</w:t>
      </w:r>
      <w:r w:rsidR="0096237E">
        <w:t>ed October 2014)</w:t>
      </w:r>
      <w:r w:rsidR="00FB42C1">
        <w:t xml:space="preserve">, </w:t>
      </w:r>
      <w:r w:rsidR="00B54A8F" w:rsidRPr="00B54A8F">
        <w:t>and any subsequent revisions, as agreed with the TGA will be implemented in Australia</w:t>
      </w:r>
      <w:r w:rsidR="00B54A8F">
        <w:t>.</w:t>
      </w:r>
    </w:p>
    <w:p w:rsidR="008E7846" w:rsidRDefault="00A80B5B" w:rsidP="00E93AA7">
      <w:pPr>
        <w:pStyle w:val="Heading2"/>
      </w:pPr>
      <w:bookmarkStart w:id="184" w:name="_Toc436140501"/>
      <w:proofErr w:type="gramStart"/>
      <w:r w:rsidRPr="00E93AA7">
        <w:t>Attachment</w:t>
      </w:r>
      <w:r>
        <w:t xml:space="preserve"> 1.</w:t>
      </w:r>
      <w:proofErr w:type="gramEnd"/>
      <w:r>
        <w:t xml:space="preserve"> </w:t>
      </w:r>
      <w:r w:rsidR="008E7846">
        <w:t xml:space="preserve">Product </w:t>
      </w:r>
      <w:r w:rsidR="00AA0ED0">
        <w:t>I</w:t>
      </w:r>
      <w:r w:rsidR="008E7846">
        <w:t>nformation</w:t>
      </w:r>
      <w:bookmarkEnd w:id="182"/>
      <w:bookmarkEnd w:id="183"/>
      <w:bookmarkEnd w:id="184"/>
    </w:p>
    <w:p w:rsidR="00C80137" w:rsidRDefault="002B3624" w:rsidP="00C80137">
      <w:pPr>
        <w:rPr>
          <w:color w:val="000000"/>
          <w:lang w:eastAsia="en-AU"/>
        </w:rPr>
      </w:pPr>
      <w:r w:rsidRPr="002B3624">
        <w:t xml:space="preserve">The </w:t>
      </w:r>
      <w:r w:rsidR="004C545A">
        <w:t>PI</w:t>
      </w:r>
      <w:r w:rsidR="003105C1">
        <w:t xml:space="preserve"> approved for </w:t>
      </w:r>
      <w:r w:rsidR="00215AFA">
        <w:t>Otezla</w:t>
      </w:r>
      <w:r w:rsidRPr="002B3624">
        <w:t xml:space="preserve"> at the time this AusPAR was published is at Attachment 1. For the most recent </w:t>
      </w:r>
      <w:r w:rsidR="004C545A">
        <w:t>PI,</w:t>
      </w:r>
      <w:r w:rsidRPr="002B3624">
        <w:t xml:space="preserve"> please refer to the TGA website at &lt;</w:t>
      </w:r>
      <w:hyperlink r:id="rId51" w:history="1">
        <w:r w:rsidR="00E93AA7">
          <w:rPr>
            <w:rStyle w:val="Hyperlink"/>
          </w:rPr>
          <w:t>https://www.tga.gov.au/product-information-pi</w:t>
        </w:r>
      </w:hyperlink>
      <w:r w:rsidR="004C545A">
        <w:t>&gt;.</w:t>
      </w:r>
    </w:p>
    <w:p w:rsidR="00C80137" w:rsidRDefault="00C80137" w:rsidP="00E93AA7">
      <w:pPr>
        <w:pStyle w:val="Heading2"/>
        <w:rPr>
          <w:lang w:eastAsia="en-AU"/>
        </w:rPr>
      </w:pPr>
      <w:bookmarkStart w:id="185" w:name="_Toc436140502"/>
      <w:proofErr w:type="gramStart"/>
      <w:r>
        <w:rPr>
          <w:lang w:eastAsia="en-AU"/>
        </w:rPr>
        <w:t>Attachment 2.</w:t>
      </w:r>
      <w:proofErr w:type="gramEnd"/>
      <w:r w:rsidR="00A80B5B">
        <w:rPr>
          <w:lang w:eastAsia="en-AU"/>
        </w:rPr>
        <w:t xml:space="preserve"> </w:t>
      </w:r>
      <w:r w:rsidRPr="00E93AA7">
        <w:t>Extract</w:t>
      </w:r>
      <w:r>
        <w:rPr>
          <w:lang w:eastAsia="en-AU"/>
        </w:rPr>
        <w:t xml:space="preserve"> from the Clinical Evaluation Report</w:t>
      </w:r>
      <w:bookmarkEnd w:id="185"/>
    </w:p>
    <w:p w:rsidR="00C80137" w:rsidRPr="001D043B" w:rsidRDefault="008E7846" w:rsidP="00E93AA7">
      <w:pPr>
        <w:sectPr w:rsidR="00C80137" w:rsidRPr="001D043B" w:rsidSect="00B452CE">
          <w:headerReference w:type="even" r:id="rId52"/>
          <w:headerReference w:type="default" r:id="rId53"/>
          <w:headerReference w:type="first" r:id="rId54"/>
          <w:footerReference w:type="first" r:id="rId55"/>
          <w:pgSz w:w="11906" w:h="16838" w:code="9"/>
          <w:pgMar w:top="834" w:right="1701" w:bottom="1191" w:left="1701" w:header="907" w:footer="216" w:gutter="0"/>
          <w:cols w:space="708"/>
          <w:docGrid w:linePitch="360"/>
        </w:sectPr>
      </w:pPr>
      <w:r w:rsidRPr="00C80137">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56" w:history="1">
              <w:r w:rsidRPr="004C239D">
                <w:rPr>
                  <w:rStyle w:val="Hyperlink"/>
                </w:rPr>
                <w:t>info@tga.gov.au</w:t>
              </w:r>
            </w:hyperlink>
            <w:r w:rsidR="002B6593">
              <w:t xml:space="preserve"> </w:t>
            </w:r>
            <w:r w:rsidRPr="00487162">
              <w:t>Phone: 1800 020 653</w:t>
            </w:r>
            <w:r w:rsidR="002B6593">
              <w:t xml:space="preserve"> </w:t>
            </w:r>
            <w:r w:rsidRPr="00487162">
              <w:t>Fax: 02 6232 8605</w:t>
            </w:r>
          </w:p>
          <w:p w:rsidR="001C32CD" w:rsidRPr="004C239D" w:rsidRDefault="00DB1945" w:rsidP="00A05FA4">
            <w:pPr>
              <w:pStyle w:val="Address"/>
              <w:spacing w:line="260" w:lineRule="atLeast"/>
              <w:rPr>
                <w:b/>
                <w:color w:val="0000FF"/>
                <w:u w:val="single"/>
              </w:rPr>
            </w:pPr>
            <w:hyperlink r:id="rId57" w:history="1">
              <w:r w:rsidR="004F47D6">
                <w:rPr>
                  <w:rStyle w:val="Hyperlink"/>
                  <w:b/>
                </w:rPr>
                <w:t>https://www.tga.gov.au</w:t>
              </w:r>
            </w:hyperlink>
          </w:p>
        </w:tc>
      </w:tr>
    </w:tbl>
    <w:p w:rsidR="00774E1D" w:rsidRPr="008A5E0B" w:rsidRDefault="00774E1D" w:rsidP="004C239D"/>
    <w:sectPr w:rsidR="00774E1D" w:rsidRPr="008A5E0B" w:rsidSect="001C32CD">
      <w:headerReference w:type="even" r:id="rId58"/>
      <w:headerReference w:type="default" r:id="rId59"/>
      <w:footerReference w:type="default" r:id="rId60"/>
      <w:headerReference w:type="first" r:id="rId61"/>
      <w:footerReference w:type="first" r:id="rId6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477" w:rsidRDefault="00BD1477" w:rsidP="00C40A36">
      <w:pPr>
        <w:spacing w:after="0"/>
      </w:pPr>
      <w:r>
        <w:separator/>
      </w:r>
    </w:p>
  </w:endnote>
  <w:endnote w:type="continuationSeparator" w:id="0">
    <w:p w:rsidR="00BD1477" w:rsidRDefault="00BD147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D1477" w:rsidRPr="00487162" w:rsidTr="00DB750B">
      <w:trPr>
        <w:trHeight w:val="269"/>
      </w:trPr>
      <w:tc>
        <w:tcPr>
          <w:tcW w:w="7371" w:type="dxa"/>
          <w:tcMar>
            <w:top w:w="142" w:type="dxa"/>
            <w:bottom w:w="0" w:type="dxa"/>
          </w:tcMar>
        </w:tcPr>
        <w:p w:rsidR="00BD1477" w:rsidRPr="00487162" w:rsidRDefault="00BD1477" w:rsidP="00A72050">
          <w:pPr>
            <w:pStyle w:val="Footer"/>
          </w:pPr>
          <w:proofErr w:type="spellStart"/>
          <w:r w:rsidRPr="00487162">
            <w:t>AusPAR</w:t>
          </w:r>
          <w:proofErr w:type="spellEnd"/>
          <w:r w:rsidRPr="00487162">
            <w:t xml:space="preserve"> </w:t>
          </w:r>
          <w:proofErr w:type="spellStart"/>
          <w:r w:rsidRPr="00DB1945">
            <w:t>Apremilast</w:t>
          </w:r>
          <w:proofErr w:type="spellEnd"/>
          <w:r w:rsidRPr="00DB1945">
            <w:t xml:space="preserve"> </w:t>
          </w:r>
          <w:r>
            <w:t>(</w:t>
          </w:r>
          <w:proofErr w:type="spellStart"/>
          <w:r>
            <w:t>Otezla</w:t>
          </w:r>
          <w:proofErr w:type="spellEnd"/>
          <w:r>
            <w:t xml:space="preserve">) </w:t>
          </w:r>
          <w:r w:rsidRPr="00383FFF">
            <w:t>Celgene Pty Ltd</w:t>
          </w:r>
          <w:r w:rsidRPr="00487162">
            <w:t xml:space="preserve"> </w:t>
          </w:r>
          <w:r w:rsidRPr="00383FFF">
            <w:t>PM-2013-04920-1-3</w:t>
          </w:r>
          <w:r>
            <w:br/>
            <w:t>Final 22 October 2015</w:t>
          </w:r>
        </w:p>
      </w:tc>
      <w:tc>
        <w:tcPr>
          <w:tcW w:w="1490" w:type="dxa"/>
          <w:tcMar>
            <w:top w:w="142" w:type="dxa"/>
            <w:bottom w:w="0" w:type="dxa"/>
          </w:tcMar>
        </w:tcPr>
        <w:p w:rsidR="00BD1477" w:rsidRPr="00487162" w:rsidRDefault="00BD1477" w:rsidP="00DB750B">
          <w:pPr>
            <w:pStyle w:val="Footer"/>
            <w:jc w:val="right"/>
          </w:pPr>
          <w:r w:rsidRPr="00487162">
            <w:t xml:space="preserve">Page </w:t>
          </w:r>
          <w:r>
            <w:fldChar w:fldCharType="begin"/>
          </w:r>
          <w:r>
            <w:instrText xml:space="preserve"> PAGE  \* Arabic </w:instrText>
          </w:r>
          <w:r>
            <w:fldChar w:fldCharType="separate"/>
          </w:r>
          <w:r w:rsidR="009C75EF">
            <w:rPr>
              <w:noProof/>
            </w:rPr>
            <w:t>2</w:t>
          </w:r>
          <w:r>
            <w:fldChar w:fldCharType="end"/>
          </w:r>
          <w:r w:rsidRPr="00487162">
            <w:t xml:space="preserve"> of </w:t>
          </w:r>
          <w:fldSimple w:instr=" NUMPAGES  \* Arabic ">
            <w:r w:rsidR="009C75EF">
              <w:rPr>
                <w:noProof/>
              </w:rPr>
              <w:t>94</w:t>
            </w:r>
          </w:fldSimple>
        </w:p>
      </w:tc>
    </w:tr>
  </w:tbl>
  <w:p w:rsidR="00BD1477" w:rsidRDefault="00BD1477"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D1477" w:rsidRPr="00487162" w:rsidTr="00E45619">
      <w:trPr>
        <w:trHeight w:val="269"/>
      </w:trPr>
      <w:tc>
        <w:tcPr>
          <w:tcW w:w="4519" w:type="dxa"/>
          <w:tcBorders>
            <w:top w:val="single" w:sz="4" w:space="0" w:color="auto"/>
          </w:tcBorders>
          <w:tcMar>
            <w:top w:w="142" w:type="dxa"/>
            <w:bottom w:w="0" w:type="dxa"/>
          </w:tcMar>
        </w:tcPr>
        <w:p w:rsidR="00BD1477" w:rsidRPr="00487162" w:rsidRDefault="00BD1477" w:rsidP="00FE1DEE">
          <w:pPr>
            <w:pStyle w:val="Footer"/>
          </w:pPr>
          <w:r w:rsidRPr="00487162">
            <w:t>Document title, Part #, Section # - Section title</w:t>
          </w:r>
        </w:p>
        <w:p w:rsidR="00BD1477" w:rsidRPr="00487162" w:rsidRDefault="00BD1477" w:rsidP="00FE1DEE">
          <w:pPr>
            <w:pStyle w:val="Footer"/>
          </w:pPr>
          <w:r w:rsidRPr="00487162">
            <w:t>V1.0 October 2010</w:t>
          </w:r>
        </w:p>
      </w:tc>
      <w:tc>
        <w:tcPr>
          <w:tcW w:w="4342" w:type="dxa"/>
          <w:tcBorders>
            <w:top w:val="single" w:sz="4" w:space="0" w:color="auto"/>
          </w:tcBorders>
          <w:tcMar>
            <w:top w:w="142" w:type="dxa"/>
            <w:bottom w:w="0" w:type="dxa"/>
          </w:tcMar>
        </w:tcPr>
        <w:p w:rsidR="00BD1477" w:rsidRPr="00487162" w:rsidRDefault="00BD147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BD1477" w:rsidRDefault="00BD14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477" w:rsidRPr="001C32CD" w:rsidRDefault="00BD1477"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D1477" w:rsidTr="0010601F">
      <w:trPr>
        <w:trHeight w:val="108"/>
      </w:trPr>
      <w:tc>
        <w:tcPr>
          <w:tcW w:w="8875" w:type="dxa"/>
          <w:gridSpan w:val="2"/>
          <w:tcBorders>
            <w:bottom w:val="single" w:sz="4" w:space="0" w:color="auto"/>
          </w:tcBorders>
          <w:tcMar>
            <w:right w:w="284" w:type="dxa"/>
          </w:tcMar>
        </w:tcPr>
        <w:p w:rsidR="00BD1477" w:rsidRDefault="00BD1477" w:rsidP="006E08B3">
          <w:pPr>
            <w:pStyle w:val="Heading3"/>
          </w:pPr>
          <w:r>
            <w:t>Copyright</w:t>
          </w:r>
        </w:p>
        <w:p w:rsidR="00BD1477" w:rsidRDefault="00BD1477" w:rsidP="006E08B3">
          <w:r>
            <w:rPr>
              <w:rFonts w:cs="Arial"/>
            </w:rPr>
            <w:t>©</w:t>
          </w:r>
          <w:r>
            <w:t xml:space="preserve"> Commonwealth of Australia [add year]</w:t>
          </w:r>
        </w:p>
        <w:p w:rsidR="00BD1477" w:rsidRDefault="00BD1477" w:rsidP="006E08B3"/>
        <w:p w:rsidR="00BD1477" w:rsidRDefault="00BD147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D1477" w:rsidRDefault="00BD1477" w:rsidP="006E08B3"/>
        <w:p w:rsidR="00BD1477" w:rsidRDefault="00BD1477" w:rsidP="006E08B3">
          <w:pPr>
            <w:pStyle w:val="Heading3"/>
          </w:pPr>
          <w:r>
            <w:t>Confidentiality</w:t>
          </w:r>
        </w:p>
        <w:p w:rsidR="00BD1477" w:rsidRDefault="00BD147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D1477" w:rsidRDefault="00BD1477" w:rsidP="006E08B3"/>
        <w:p w:rsidR="00BD1477" w:rsidRDefault="00BD1477" w:rsidP="006E08B3">
          <w:r>
            <w:t>For submission made by individuals, all personal details, other than your name, will be removed from your submission before it is published on the TGA’s Internet site.</w:t>
          </w:r>
        </w:p>
        <w:p w:rsidR="00BD1477" w:rsidRDefault="00BD1477" w:rsidP="006E08B3"/>
        <w:p w:rsidR="00BD1477" w:rsidRDefault="00BD147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D1477" w:rsidTr="0010601F">
      <w:trPr>
        <w:trHeight w:val="417"/>
      </w:trPr>
      <w:tc>
        <w:tcPr>
          <w:tcW w:w="4519" w:type="dxa"/>
          <w:tcBorders>
            <w:top w:val="single" w:sz="4" w:space="0" w:color="auto"/>
          </w:tcBorders>
          <w:tcMar>
            <w:top w:w="142" w:type="dxa"/>
            <w:bottom w:w="0" w:type="dxa"/>
          </w:tcMar>
        </w:tcPr>
        <w:p w:rsidR="00BD1477" w:rsidRDefault="00BD1477" w:rsidP="006E08B3">
          <w:r>
            <w:t>Document title, Part #, Section # - Section title</w:t>
          </w:r>
        </w:p>
        <w:p w:rsidR="00BD1477" w:rsidRDefault="00BD1477" w:rsidP="006E08B3">
          <w:r>
            <w:t>V1.0 October 2010</w:t>
          </w:r>
        </w:p>
      </w:tc>
      <w:tc>
        <w:tcPr>
          <w:tcW w:w="4356" w:type="dxa"/>
          <w:tcBorders>
            <w:top w:val="single" w:sz="4" w:space="0" w:color="auto"/>
          </w:tcBorders>
          <w:tcMar>
            <w:top w:w="142" w:type="dxa"/>
            <w:bottom w:w="0" w:type="dxa"/>
          </w:tcMar>
        </w:tcPr>
        <w:p w:rsidR="00BD1477" w:rsidRDefault="00BD147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BD1477" w:rsidRDefault="00BD14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477" w:rsidRDefault="00BD1477" w:rsidP="00C40A36">
      <w:pPr>
        <w:spacing w:after="0"/>
      </w:pPr>
      <w:r>
        <w:separator/>
      </w:r>
    </w:p>
  </w:footnote>
  <w:footnote w:type="continuationSeparator" w:id="0">
    <w:p w:rsidR="00BD1477" w:rsidRDefault="00BD1477" w:rsidP="00C40A36">
      <w:pPr>
        <w:spacing w:after="0"/>
      </w:pPr>
      <w:r>
        <w:continuationSeparator/>
      </w:r>
    </w:p>
  </w:footnote>
  <w:footnote w:id="1">
    <w:p w:rsidR="00BD1477" w:rsidRDefault="00BD1477" w:rsidP="00FC5302">
      <w:pPr>
        <w:pStyle w:val="FootnoteText"/>
      </w:pPr>
      <w:r>
        <w:rPr>
          <w:rStyle w:val="FootnoteReference"/>
        </w:rPr>
        <w:footnoteRef/>
      </w:r>
      <w:r>
        <w:t xml:space="preserve"> </w:t>
      </w:r>
      <w:proofErr w:type="gramStart"/>
      <w:r>
        <w:t>European Medicines Agency, “</w:t>
      </w:r>
      <w:r w:rsidRPr="00DF56C9">
        <w:t xml:space="preserve">Guideline on </w:t>
      </w:r>
      <w:r w:rsidRPr="00FC5302">
        <w:t>bioanalytical</w:t>
      </w:r>
      <w:r w:rsidRPr="00DF56C9">
        <w:t xml:space="preserve"> method validation</w:t>
      </w:r>
      <w:r>
        <w:t xml:space="preserve"> (</w:t>
      </w:r>
      <w:r w:rsidRPr="00731B53">
        <w:t>EMEA/CHMP/EWP/192217/2009</w:t>
      </w:r>
      <w:r>
        <w:t xml:space="preserve">)”, </w:t>
      </w:r>
      <w:r w:rsidRPr="00897FEC">
        <w:t>21 July 2011</w:t>
      </w:r>
      <w:r>
        <w:t>.</w:t>
      </w:r>
      <w:proofErr w:type="gramEnd"/>
    </w:p>
  </w:footnote>
  <w:footnote w:id="2">
    <w:p w:rsidR="00BD1477" w:rsidRDefault="00BD1477" w:rsidP="00FC5302">
      <w:pPr>
        <w:pStyle w:val="FootnoteText"/>
      </w:pPr>
      <w:r>
        <w:rPr>
          <w:rStyle w:val="FootnoteReference"/>
        </w:rPr>
        <w:footnoteRef/>
      </w:r>
      <w:r>
        <w:t xml:space="preserve"> </w:t>
      </w:r>
      <w:r w:rsidRPr="006742C6">
        <w:t xml:space="preserve">Yost J, </w:t>
      </w:r>
      <w:proofErr w:type="spellStart"/>
      <w:r w:rsidRPr="006742C6">
        <w:t>Gudjonsson</w:t>
      </w:r>
      <w:proofErr w:type="spellEnd"/>
      <w:r w:rsidRPr="006742C6">
        <w:t xml:space="preserve"> JE</w:t>
      </w:r>
      <w:r>
        <w:t xml:space="preserve">. (2009) </w:t>
      </w:r>
      <w:proofErr w:type="gramStart"/>
      <w:r w:rsidRPr="006742C6">
        <w:t>The</w:t>
      </w:r>
      <w:proofErr w:type="gramEnd"/>
      <w:r w:rsidRPr="006742C6">
        <w:t xml:space="preserve"> role of </w:t>
      </w:r>
      <w:r w:rsidRPr="00FC5302">
        <w:t>TNF</w:t>
      </w:r>
      <w:r w:rsidRPr="006742C6">
        <w:t xml:space="preserve"> inhibitors in psoriasis therapy: new implications for associated comorbidities. </w:t>
      </w:r>
      <w:r w:rsidRPr="006742C6">
        <w:rPr>
          <w:i/>
        </w:rPr>
        <w:t>F1000 Med Rep.</w:t>
      </w:r>
      <w:r>
        <w:t xml:space="preserve"> </w:t>
      </w:r>
      <w:r w:rsidRPr="006742C6">
        <w:t>1</w:t>
      </w:r>
      <w:r>
        <w:t>: 30.</w:t>
      </w:r>
    </w:p>
  </w:footnote>
  <w:footnote w:id="3">
    <w:p w:rsidR="00BD1477" w:rsidRDefault="00BD1477" w:rsidP="00FC5302">
      <w:pPr>
        <w:pStyle w:val="FootnoteText"/>
      </w:pPr>
      <w:r>
        <w:rPr>
          <w:rStyle w:val="FootnoteReference"/>
        </w:rPr>
        <w:footnoteRef/>
      </w:r>
      <w:r>
        <w:t xml:space="preserve"> </w:t>
      </w:r>
      <w:proofErr w:type="spellStart"/>
      <w:r w:rsidRPr="00256A64">
        <w:t>Souness</w:t>
      </w:r>
      <w:proofErr w:type="spellEnd"/>
      <w:r w:rsidRPr="00256A64">
        <w:t xml:space="preserve"> JE, Aldous D, Sargent C. </w:t>
      </w:r>
      <w:r>
        <w:t xml:space="preserve">(2000) </w:t>
      </w:r>
      <w:r w:rsidRPr="00FC5302">
        <w:t>Immunosuppressive</w:t>
      </w:r>
      <w:r w:rsidRPr="00256A64">
        <w:t xml:space="preserve"> and anti-inflammatory effects of cyclic AMP </w:t>
      </w:r>
      <w:r w:rsidRPr="00FC5302">
        <w:t>phosphodiesterase</w:t>
      </w:r>
      <w:r w:rsidRPr="00256A64">
        <w:t xml:space="preserve"> (PDE) type 4 inhibitors. </w:t>
      </w:r>
      <w:proofErr w:type="spellStart"/>
      <w:r w:rsidRPr="00760917">
        <w:rPr>
          <w:i/>
        </w:rPr>
        <w:t>Immunopharmacology</w:t>
      </w:r>
      <w:proofErr w:type="spellEnd"/>
      <w:r>
        <w:t xml:space="preserve"> 47</w:t>
      </w:r>
      <w:r w:rsidRPr="00256A64">
        <w:t>:</w:t>
      </w:r>
      <w:r>
        <w:t xml:space="preserve"> </w:t>
      </w:r>
      <w:r w:rsidRPr="00256A64">
        <w:t>127-62</w:t>
      </w:r>
      <w:r>
        <w:t>.</w:t>
      </w:r>
    </w:p>
  </w:footnote>
  <w:footnote w:id="4">
    <w:p w:rsidR="00BD1477" w:rsidRDefault="00BD1477" w:rsidP="00FC5302">
      <w:pPr>
        <w:pStyle w:val="FootnoteText"/>
      </w:pPr>
      <w:r>
        <w:rPr>
          <w:rStyle w:val="FootnoteReference"/>
        </w:rPr>
        <w:footnoteRef/>
      </w:r>
      <w:r>
        <w:t xml:space="preserve"> </w:t>
      </w:r>
      <w:proofErr w:type="gramStart"/>
      <w:r w:rsidRPr="00760917">
        <w:t xml:space="preserve">Card GL, </w:t>
      </w:r>
      <w:r>
        <w:t>et al</w:t>
      </w:r>
      <w:r w:rsidRPr="00760917">
        <w:t xml:space="preserve">. </w:t>
      </w:r>
      <w:r>
        <w:t xml:space="preserve">(2004) </w:t>
      </w:r>
      <w:r w:rsidRPr="00FC5302">
        <w:t>Structural</w:t>
      </w:r>
      <w:r w:rsidRPr="00760917">
        <w:t xml:space="preserve"> basis for the activity of drugs that inhibit </w:t>
      </w:r>
      <w:proofErr w:type="spellStart"/>
      <w:r w:rsidRPr="00760917">
        <w:t>phosphodiesterases</w:t>
      </w:r>
      <w:proofErr w:type="spellEnd"/>
      <w:r w:rsidRPr="00760917">
        <w:t>.</w:t>
      </w:r>
      <w:proofErr w:type="gramEnd"/>
      <w:r w:rsidRPr="00760917">
        <w:t xml:space="preserve"> </w:t>
      </w:r>
      <w:r w:rsidRPr="00FC0847">
        <w:rPr>
          <w:i/>
        </w:rPr>
        <w:t>Structure</w:t>
      </w:r>
      <w:r>
        <w:t xml:space="preserve"> 12</w:t>
      </w:r>
      <w:r w:rsidRPr="00760917">
        <w:t>:</w:t>
      </w:r>
      <w:r>
        <w:t xml:space="preserve"> </w:t>
      </w:r>
      <w:r w:rsidRPr="00760917">
        <w:t>2233-47.</w:t>
      </w:r>
    </w:p>
  </w:footnote>
  <w:footnote w:id="5">
    <w:p w:rsidR="00BD1477" w:rsidRDefault="00BD1477" w:rsidP="00FC5302">
      <w:pPr>
        <w:pStyle w:val="FootnoteText"/>
      </w:pPr>
      <w:r>
        <w:rPr>
          <w:rStyle w:val="FootnoteReference"/>
        </w:rPr>
        <w:footnoteRef/>
      </w:r>
      <w:r>
        <w:t xml:space="preserve"> </w:t>
      </w:r>
      <w:proofErr w:type="gramStart"/>
      <w:r>
        <w:t xml:space="preserve">Yamamoto T. (2013) </w:t>
      </w:r>
      <w:proofErr w:type="spellStart"/>
      <w:r w:rsidRPr="004D1414">
        <w:t>Angiogenic</w:t>
      </w:r>
      <w:proofErr w:type="spellEnd"/>
      <w:r w:rsidRPr="004D1414">
        <w:t xml:space="preserve"> and </w:t>
      </w:r>
      <w:r w:rsidRPr="00FC5302">
        <w:t>inflammatory</w:t>
      </w:r>
      <w:r w:rsidRPr="004D1414">
        <w:t xml:space="preserve"> pr</w:t>
      </w:r>
      <w:r>
        <w:t>operties of psoriatic arthritis</w:t>
      </w:r>
      <w:r w:rsidRPr="004D1414">
        <w:t>.</w:t>
      </w:r>
      <w:proofErr w:type="gramEnd"/>
      <w:r w:rsidRPr="000A3A85">
        <w:t xml:space="preserve"> </w:t>
      </w:r>
      <w:proofErr w:type="gramStart"/>
      <w:r w:rsidRPr="001B2E77">
        <w:rPr>
          <w:i/>
        </w:rPr>
        <w:t xml:space="preserve">ISRN </w:t>
      </w:r>
      <w:proofErr w:type="spellStart"/>
      <w:r w:rsidRPr="001B2E77">
        <w:rPr>
          <w:i/>
        </w:rPr>
        <w:t>Dermatol</w:t>
      </w:r>
      <w:proofErr w:type="spellEnd"/>
      <w:r w:rsidRPr="001B2E77">
        <w:rPr>
          <w:i/>
        </w:rPr>
        <w:t>.</w:t>
      </w:r>
      <w:proofErr w:type="gramEnd"/>
      <w:r w:rsidRPr="004D1414">
        <w:t xml:space="preserve"> 2013:</w:t>
      </w:r>
      <w:r>
        <w:t xml:space="preserve"> 630620.</w:t>
      </w:r>
    </w:p>
  </w:footnote>
  <w:footnote w:id="6">
    <w:p w:rsidR="00BD1477" w:rsidRDefault="00BD1477" w:rsidP="00FC5302">
      <w:pPr>
        <w:pStyle w:val="FootnoteText"/>
      </w:pPr>
      <w:r>
        <w:rPr>
          <w:rStyle w:val="FootnoteReference"/>
        </w:rPr>
        <w:footnoteRef/>
      </w:r>
      <w:r>
        <w:t xml:space="preserve"> </w:t>
      </w:r>
      <w:proofErr w:type="spellStart"/>
      <w:r w:rsidRPr="00001E10">
        <w:t>Ritchlin</w:t>
      </w:r>
      <w:proofErr w:type="spellEnd"/>
      <w:r w:rsidRPr="00001E10">
        <w:t xml:space="preserve"> CT, Haas-Smith SA, Li P, Hicks DG, </w:t>
      </w:r>
      <w:r w:rsidRPr="00FC5302">
        <w:t>Schwarz</w:t>
      </w:r>
      <w:r w:rsidRPr="00001E10">
        <w:t xml:space="preserve"> EM</w:t>
      </w:r>
      <w:r>
        <w:t xml:space="preserve">. </w:t>
      </w:r>
      <w:proofErr w:type="gramStart"/>
      <w:r>
        <w:t xml:space="preserve">(2003) </w:t>
      </w:r>
      <w:r w:rsidRPr="00001E10">
        <w:t xml:space="preserve">Mechanisms of TNF-alpha- and RANKL-mediated </w:t>
      </w:r>
      <w:proofErr w:type="spellStart"/>
      <w:r w:rsidRPr="00001E10">
        <w:t>osteoclastogenesis</w:t>
      </w:r>
      <w:proofErr w:type="spellEnd"/>
      <w:r w:rsidRPr="00001E10">
        <w:t xml:space="preserve"> and bone re</w:t>
      </w:r>
      <w:r>
        <w:t>sorption in psoriatic arthritis</w:t>
      </w:r>
      <w:r w:rsidRPr="00001E10">
        <w:t>.</w:t>
      </w:r>
      <w:proofErr w:type="gramEnd"/>
      <w:r w:rsidRPr="006B33A4">
        <w:t xml:space="preserve"> </w:t>
      </w:r>
      <w:r w:rsidRPr="00EB5B77">
        <w:rPr>
          <w:i/>
        </w:rPr>
        <w:t xml:space="preserve">J </w:t>
      </w:r>
      <w:proofErr w:type="spellStart"/>
      <w:r w:rsidRPr="00EB5B77">
        <w:rPr>
          <w:i/>
        </w:rPr>
        <w:t>Clin</w:t>
      </w:r>
      <w:proofErr w:type="spellEnd"/>
      <w:r w:rsidRPr="00EB5B77">
        <w:rPr>
          <w:i/>
        </w:rPr>
        <w:t xml:space="preserve"> Invest.</w:t>
      </w:r>
      <w:r>
        <w:t xml:space="preserve"> 111</w:t>
      </w:r>
      <w:r w:rsidRPr="00001E10">
        <w:t>:</w:t>
      </w:r>
      <w:r>
        <w:t xml:space="preserve"> </w:t>
      </w:r>
      <w:r w:rsidRPr="00001E10">
        <w:t>821-31.</w:t>
      </w:r>
    </w:p>
  </w:footnote>
  <w:footnote w:id="7">
    <w:p w:rsidR="00BD1477" w:rsidRDefault="00BD1477" w:rsidP="00FC5302">
      <w:pPr>
        <w:pStyle w:val="FootnoteText"/>
      </w:pPr>
      <w:r>
        <w:rPr>
          <w:rStyle w:val="FootnoteReference"/>
        </w:rPr>
        <w:footnoteRef/>
      </w:r>
      <w:r>
        <w:t xml:space="preserve"> </w:t>
      </w:r>
      <w:r w:rsidRPr="00753AC1">
        <w:t>http://www.accessdata.fda.gov/drugsatfda_docs/</w:t>
      </w:r>
      <w:r w:rsidRPr="00FC5302">
        <w:t>nda</w:t>
      </w:r>
      <w:r w:rsidRPr="00753AC1">
        <w:t>/2014/205437Orig1s000PharmR.pdf</w:t>
      </w:r>
    </w:p>
  </w:footnote>
  <w:footnote w:id="8">
    <w:p w:rsidR="00BD1477" w:rsidRDefault="00BD1477" w:rsidP="00FC5302">
      <w:pPr>
        <w:pStyle w:val="FootnoteText"/>
      </w:pPr>
      <w:r>
        <w:rPr>
          <w:rStyle w:val="FootnoteReference"/>
        </w:rPr>
        <w:footnoteRef/>
      </w:r>
      <w:r>
        <w:t xml:space="preserve"> </w:t>
      </w:r>
      <w:r w:rsidRPr="00753AC1">
        <w:t>Muller GW</w:t>
      </w:r>
      <w:r>
        <w:t xml:space="preserve">, et al. (1996) </w:t>
      </w:r>
      <w:r w:rsidRPr="00753AC1">
        <w:t xml:space="preserve">Structural </w:t>
      </w:r>
      <w:r w:rsidRPr="00FC5302">
        <w:t>modifications</w:t>
      </w:r>
      <w:r w:rsidRPr="00753AC1">
        <w:t xml:space="preserve"> of thalidomide produce </w:t>
      </w:r>
      <w:proofErr w:type="spellStart"/>
      <w:r w:rsidRPr="00753AC1">
        <w:t>analogs</w:t>
      </w:r>
      <w:proofErr w:type="spellEnd"/>
      <w:r w:rsidRPr="00753AC1">
        <w:t xml:space="preserve"> with enhanced </w:t>
      </w:r>
      <w:proofErr w:type="spellStart"/>
      <w:r w:rsidRPr="00753AC1">
        <w:t>tumor</w:t>
      </w:r>
      <w:proofErr w:type="spellEnd"/>
      <w:r w:rsidRPr="00753AC1">
        <w:t xml:space="preserve"> necr</w:t>
      </w:r>
      <w:r>
        <w:t>osis factor inhibitory activity</w:t>
      </w:r>
      <w:r w:rsidRPr="00753AC1">
        <w:t>.</w:t>
      </w:r>
      <w:r w:rsidRPr="004C6ACA">
        <w:t xml:space="preserve"> </w:t>
      </w:r>
      <w:r w:rsidRPr="00F17D4C">
        <w:rPr>
          <w:i/>
        </w:rPr>
        <w:t>J Med Chem.</w:t>
      </w:r>
      <w:r>
        <w:t xml:space="preserve"> 39</w:t>
      </w:r>
      <w:r w:rsidRPr="00753AC1">
        <w:t>:</w:t>
      </w:r>
      <w:r>
        <w:t xml:space="preserve"> </w:t>
      </w:r>
      <w:r w:rsidRPr="00753AC1">
        <w:t>3238-40.</w:t>
      </w:r>
    </w:p>
  </w:footnote>
  <w:footnote w:id="9">
    <w:p w:rsidR="00BD1477" w:rsidRDefault="00BD1477">
      <w:pPr>
        <w:pStyle w:val="FootnoteText"/>
      </w:pPr>
      <w:r>
        <w:rPr>
          <w:rStyle w:val="FootnoteReference"/>
        </w:rPr>
        <w:footnoteRef/>
      </w:r>
      <w:r>
        <w:t xml:space="preserve"> Ito T, </w:t>
      </w:r>
      <w:r w:rsidRPr="005B0DB0">
        <w:t xml:space="preserve">et al. (2010) Identification of a primary target of thalidomide teratogenicity. </w:t>
      </w:r>
      <w:r w:rsidRPr="00234F24">
        <w:rPr>
          <w:i/>
        </w:rPr>
        <w:t>Science</w:t>
      </w:r>
      <w:r>
        <w:t xml:space="preserve"> 327: 1345-50; Zhu YX, et al. </w:t>
      </w:r>
      <w:r w:rsidRPr="00234F24">
        <w:t xml:space="preserve">(2013) Molecular mechanism of action of immune-modulatory drugs thalidomide, </w:t>
      </w:r>
      <w:proofErr w:type="spellStart"/>
      <w:r w:rsidRPr="00234F24">
        <w:t>lenalidomide</w:t>
      </w:r>
      <w:proofErr w:type="spellEnd"/>
      <w:r w:rsidRPr="00234F24">
        <w:t xml:space="preserve"> and </w:t>
      </w:r>
      <w:proofErr w:type="spellStart"/>
      <w:r w:rsidRPr="00234F24">
        <w:t>pomalidomide</w:t>
      </w:r>
      <w:proofErr w:type="spellEnd"/>
      <w:r w:rsidRPr="00234F24">
        <w:t xml:space="preserve"> in multiple myeloma.</w:t>
      </w:r>
      <w:r>
        <w:t xml:space="preserve"> </w:t>
      </w:r>
      <w:proofErr w:type="spellStart"/>
      <w:r w:rsidRPr="001907B6">
        <w:rPr>
          <w:i/>
        </w:rPr>
        <w:t>Leukemia</w:t>
      </w:r>
      <w:proofErr w:type="spellEnd"/>
      <w:r w:rsidRPr="001907B6">
        <w:rPr>
          <w:i/>
        </w:rPr>
        <w:t xml:space="preserve"> &amp; Lymphoma</w:t>
      </w:r>
      <w:r>
        <w:t xml:space="preserve"> 54: 683-</w:t>
      </w:r>
      <w:r w:rsidRPr="00234F24">
        <w:t>7.</w:t>
      </w:r>
    </w:p>
  </w:footnote>
  <w:footnote w:id="10">
    <w:p w:rsidR="00BD1477" w:rsidRDefault="00BD1477" w:rsidP="00FC5302">
      <w:pPr>
        <w:pStyle w:val="FootnoteText"/>
      </w:pPr>
      <w:r>
        <w:rPr>
          <w:rStyle w:val="FootnoteReference"/>
        </w:rPr>
        <w:footnoteRef/>
      </w:r>
      <w:r>
        <w:t xml:space="preserve"> Ito T, </w:t>
      </w:r>
      <w:r w:rsidRPr="005B0DB0">
        <w:t xml:space="preserve">et al. (2010) Identification of a primary target of </w:t>
      </w:r>
      <w:r w:rsidRPr="00FC5302">
        <w:t>thalidomide</w:t>
      </w:r>
      <w:r w:rsidRPr="005B0DB0">
        <w:t xml:space="preserve"> teratogenicity. </w:t>
      </w:r>
      <w:r w:rsidRPr="00234F24">
        <w:rPr>
          <w:i/>
        </w:rPr>
        <w:t>Science</w:t>
      </w:r>
      <w:r>
        <w:t xml:space="preserve"> 327: 1345-50.</w:t>
      </w:r>
    </w:p>
  </w:footnote>
  <w:footnote w:id="11">
    <w:p w:rsidR="00BD1477" w:rsidRDefault="00BD1477">
      <w:pPr>
        <w:pStyle w:val="FootnoteText"/>
      </w:pPr>
      <w:r>
        <w:rPr>
          <w:rStyle w:val="FootnoteReference"/>
        </w:rPr>
        <w:footnoteRef/>
      </w:r>
      <w:r>
        <w:t xml:space="preserve"> </w:t>
      </w:r>
      <w:proofErr w:type="gramStart"/>
      <w:r>
        <w:t>European Medicines Agency, “</w:t>
      </w:r>
      <w:r w:rsidRPr="009F46C9">
        <w:t>Guideline on repeated dose toxicity</w:t>
      </w:r>
      <w:r>
        <w:t xml:space="preserve"> (</w:t>
      </w:r>
      <w:r w:rsidRPr="008D6431">
        <w:t>CPMP/SWP/1042/99</w:t>
      </w:r>
      <w:r>
        <w:t>”), 18 March 2010.</w:t>
      </w:r>
      <w:proofErr w:type="gramEnd"/>
    </w:p>
  </w:footnote>
  <w:footnote w:id="12">
    <w:p w:rsidR="00BD1477" w:rsidRDefault="00BD1477" w:rsidP="00FC5302">
      <w:pPr>
        <w:pStyle w:val="FootnoteText"/>
      </w:pPr>
      <w:r>
        <w:rPr>
          <w:rStyle w:val="FootnoteReference"/>
        </w:rPr>
        <w:footnoteRef/>
      </w:r>
      <w:r>
        <w:t xml:space="preserve"> European Medicines Agency, “ICH Topic S 2 A, </w:t>
      </w:r>
      <w:proofErr w:type="spellStart"/>
      <w:r w:rsidRPr="00FC5302">
        <w:t>Genotoxicity</w:t>
      </w:r>
      <w:proofErr w:type="spellEnd"/>
      <w:r w:rsidRPr="00D06E44">
        <w:t xml:space="preserve">: Specific Aspects of Regulatory </w:t>
      </w:r>
      <w:proofErr w:type="spellStart"/>
      <w:r w:rsidRPr="00D06E44">
        <w:t>Genotoxicity</w:t>
      </w:r>
      <w:proofErr w:type="spellEnd"/>
      <w:r w:rsidRPr="00D06E44">
        <w:t xml:space="preserve"> Tests for Pharmaceuticals</w:t>
      </w:r>
      <w:r>
        <w:t xml:space="preserve"> (</w:t>
      </w:r>
      <w:r w:rsidRPr="00D06E44">
        <w:t>CPMP/ICH/141/95</w:t>
      </w:r>
      <w:r>
        <w:t>)”, April 1996.</w:t>
      </w:r>
    </w:p>
  </w:footnote>
  <w:footnote w:id="13">
    <w:p w:rsidR="00BD1477" w:rsidRDefault="00BD1477">
      <w:pPr>
        <w:pStyle w:val="FootnoteText"/>
      </w:pPr>
      <w:r>
        <w:rPr>
          <w:rStyle w:val="FootnoteReference"/>
        </w:rPr>
        <w:footnoteRef/>
      </w:r>
      <w:r>
        <w:t xml:space="preserve"> European Medicines Agency, “Note for guidance on carcinogenic potential (</w:t>
      </w:r>
      <w:r w:rsidRPr="00D06E44">
        <w:t>CPMP/</w:t>
      </w:r>
      <w:r>
        <w:t>SWP/2877/00)”, 25 July 2002.</w:t>
      </w:r>
    </w:p>
  </w:footnote>
  <w:footnote w:id="14">
    <w:p w:rsidR="00BD1477" w:rsidRDefault="00BD1477">
      <w:pPr>
        <w:pStyle w:val="FootnoteText"/>
      </w:pPr>
      <w:r>
        <w:rPr>
          <w:rStyle w:val="FootnoteReference"/>
        </w:rPr>
        <w:footnoteRef/>
      </w:r>
      <w:r>
        <w:t xml:space="preserve"> European Medicines Agency, “</w:t>
      </w:r>
      <w:r w:rsidRPr="005D5AD9">
        <w:t>ICH Topic S 5 (R2) Detection of Toxicity to Reproduction for Medicinal Products &amp; Toxicity to Male Fertility</w:t>
      </w:r>
      <w:r>
        <w:t xml:space="preserve"> (</w:t>
      </w:r>
      <w:r w:rsidRPr="005D5AD9">
        <w:t>CPMP/ICH/386/95</w:t>
      </w:r>
      <w:r>
        <w:t>)”, March 1994.</w:t>
      </w:r>
    </w:p>
  </w:footnote>
  <w:footnote w:id="15">
    <w:p w:rsidR="00BD1477" w:rsidRDefault="00BD1477">
      <w:pPr>
        <w:pStyle w:val="FootnoteText"/>
      </w:pPr>
      <w:r>
        <w:rPr>
          <w:rStyle w:val="FootnoteReference"/>
        </w:rPr>
        <w:footnoteRef/>
      </w:r>
      <w:r>
        <w:t xml:space="preserve"> European Medicines Agency, “</w:t>
      </w:r>
      <w:r w:rsidRPr="00847B6E">
        <w:t>Guideline on Risk Assessment of Medicinal Products on Human Reproduction and La</w:t>
      </w:r>
      <w:r>
        <w:t>ctation: from Data to Labelling</w:t>
      </w:r>
      <w:r w:rsidRPr="00847B6E">
        <w:t xml:space="preserve"> (EMEA/CHMP/203927/2005)</w:t>
      </w:r>
      <w:r>
        <w:t xml:space="preserve">”, </w:t>
      </w:r>
      <w:r w:rsidRPr="00847B6E">
        <w:t>24 July 2008</w:t>
      </w:r>
      <w:r>
        <w:t>.</w:t>
      </w:r>
    </w:p>
  </w:footnote>
  <w:footnote w:id="16">
    <w:p w:rsidR="00BD1477" w:rsidRDefault="00BD1477">
      <w:pPr>
        <w:pStyle w:val="FootnoteText"/>
      </w:pPr>
      <w:r>
        <w:rPr>
          <w:rStyle w:val="FootnoteReference"/>
        </w:rPr>
        <w:footnoteRef/>
      </w:r>
      <w:r>
        <w:t xml:space="preserve"> The Australian PI states that “</w:t>
      </w:r>
      <w:r w:rsidRPr="00FA7A24">
        <w:t>the safety and effectiveness of Otezla has not been established in patients under the age of 18 years.”</w:t>
      </w:r>
    </w:p>
  </w:footnote>
  <w:footnote w:id="17">
    <w:p w:rsidR="00BD1477" w:rsidRDefault="00BD1477">
      <w:pPr>
        <w:pStyle w:val="FootnoteText"/>
      </w:pPr>
      <w:r>
        <w:rPr>
          <w:rStyle w:val="FootnoteReference"/>
        </w:rPr>
        <w:footnoteRef/>
      </w:r>
      <w:r>
        <w:t xml:space="preserve"> </w:t>
      </w:r>
      <w:proofErr w:type="spellStart"/>
      <w:r w:rsidRPr="009341CB">
        <w:t>Mease</w:t>
      </w:r>
      <w:proofErr w:type="spellEnd"/>
      <w:r w:rsidRPr="009341CB">
        <w:t xml:space="preserve"> PJ. </w:t>
      </w:r>
      <w:r>
        <w:t xml:space="preserve">(2011) </w:t>
      </w:r>
      <w:r w:rsidRPr="009341CB">
        <w:t xml:space="preserve">Psoriatic Arthritis: update on pathophysiology, assessment and </w:t>
      </w:r>
      <w:r>
        <w:t xml:space="preserve">management. </w:t>
      </w:r>
      <w:r w:rsidRPr="001905AF">
        <w:rPr>
          <w:i/>
        </w:rPr>
        <w:t xml:space="preserve">Ann Rheum Dis. </w:t>
      </w:r>
      <w:r w:rsidRPr="009341CB">
        <w:t>70: i77-i84.</w:t>
      </w:r>
    </w:p>
  </w:footnote>
  <w:footnote w:id="18">
    <w:p w:rsidR="00BD1477" w:rsidRDefault="00BD1477">
      <w:pPr>
        <w:pStyle w:val="FootnoteText"/>
      </w:pPr>
      <w:r>
        <w:rPr>
          <w:rStyle w:val="FootnoteReference"/>
        </w:rPr>
        <w:footnoteRef/>
      </w:r>
      <w:r>
        <w:t xml:space="preserve"> </w:t>
      </w:r>
      <w:proofErr w:type="spellStart"/>
      <w:r w:rsidRPr="0030438D">
        <w:t>Schett</w:t>
      </w:r>
      <w:proofErr w:type="spellEnd"/>
      <w:r w:rsidRPr="0030438D">
        <w:t xml:space="preserve"> G, et al. </w:t>
      </w:r>
      <w:r>
        <w:t xml:space="preserve">(2013) </w:t>
      </w:r>
      <w:r w:rsidRPr="0030438D">
        <w:t xml:space="preserve">How Cytokine Networks Fuel Inflammation: Toward </w:t>
      </w:r>
      <w:proofErr w:type="gramStart"/>
      <w:r w:rsidRPr="0030438D">
        <w:t>a cytokine</w:t>
      </w:r>
      <w:proofErr w:type="gramEnd"/>
      <w:r w:rsidRPr="0030438D">
        <w:t>-based disease ta</w:t>
      </w:r>
      <w:r>
        <w:t xml:space="preserve">xonomy. </w:t>
      </w:r>
      <w:r w:rsidRPr="00D232CC">
        <w:rPr>
          <w:i/>
        </w:rPr>
        <w:t>Nat Med.</w:t>
      </w:r>
      <w:r>
        <w:t xml:space="preserve"> 19: 822-</w:t>
      </w:r>
      <w:r w:rsidRPr="0030438D">
        <w:t>4.</w:t>
      </w:r>
    </w:p>
  </w:footnote>
  <w:footnote w:id="19">
    <w:p w:rsidR="00BD1477" w:rsidRDefault="00BD1477">
      <w:pPr>
        <w:pStyle w:val="FootnoteText"/>
      </w:pPr>
      <w:r>
        <w:rPr>
          <w:rStyle w:val="FootnoteReference"/>
        </w:rPr>
        <w:footnoteRef/>
      </w:r>
      <w:r>
        <w:t xml:space="preserve"> European Medicines Agency, “</w:t>
      </w:r>
      <w:r w:rsidRPr="00852DE9">
        <w:t>Guideline on Clinical Investigation for Medicinal Products for the Treatment of Psoriatic Arthritis</w:t>
      </w:r>
      <w:r>
        <w:t xml:space="preserve"> (</w:t>
      </w:r>
      <w:r w:rsidRPr="00852DE9">
        <w:t>CPMP/EWP/438/04</w:t>
      </w:r>
      <w:r>
        <w:t xml:space="preserve">)”, </w:t>
      </w:r>
      <w:r w:rsidRPr="00623716">
        <w:t>14 December 2006</w:t>
      </w:r>
      <w:r>
        <w:t>.</w:t>
      </w:r>
    </w:p>
  </w:footnote>
  <w:footnote w:id="20">
    <w:p w:rsidR="00BD1477" w:rsidRDefault="00BD1477">
      <w:pPr>
        <w:pStyle w:val="FootnoteText"/>
      </w:pPr>
      <w:r>
        <w:rPr>
          <w:rStyle w:val="FootnoteReference"/>
        </w:rPr>
        <w:footnoteRef/>
      </w:r>
      <w:r>
        <w:t xml:space="preserve"> European Medicines Agency, “</w:t>
      </w:r>
      <w:r w:rsidRPr="00126AA5">
        <w:t>Guideline on Clinical Investigation for Medicinal Products for the Treatment of Psoriasis</w:t>
      </w:r>
      <w:r>
        <w:t xml:space="preserve"> (</w:t>
      </w:r>
      <w:r w:rsidRPr="00126AA5">
        <w:t>CHMP/EWP/2454/02</w:t>
      </w:r>
      <w:r>
        <w:t xml:space="preserve">)”, </w:t>
      </w:r>
      <w:r w:rsidRPr="00623716">
        <w:t>14 December 2006</w:t>
      </w:r>
      <w:r>
        <w:t>.</w:t>
      </w:r>
    </w:p>
  </w:footnote>
  <w:footnote w:id="21">
    <w:p w:rsidR="00BD1477" w:rsidRDefault="00BD1477">
      <w:pPr>
        <w:pStyle w:val="FootnoteText"/>
      </w:pPr>
      <w:r>
        <w:rPr>
          <w:rStyle w:val="FootnoteReference"/>
        </w:rPr>
        <w:footnoteRef/>
      </w:r>
      <w:r>
        <w:t xml:space="preserve"> F</w:t>
      </w:r>
      <w:r w:rsidRPr="000F7001">
        <w:t xml:space="preserve">or the PSOR program, only a dose of 30 mg twice daily was studied. For the </w:t>
      </w:r>
      <w:proofErr w:type="spellStart"/>
      <w:r w:rsidRPr="000F7001">
        <w:t>PsA</w:t>
      </w:r>
      <w:proofErr w:type="spellEnd"/>
      <w:r w:rsidRPr="000F7001">
        <w:t xml:space="preserve"> program, both 20 mg twice daily and 30 mg twice daily were studied.</w:t>
      </w:r>
    </w:p>
  </w:footnote>
  <w:footnote w:id="22">
    <w:p w:rsidR="00BD1477" w:rsidRDefault="00BD1477">
      <w:pPr>
        <w:pStyle w:val="FootnoteText"/>
      </w:pPr>
      <w:r>
        <w:rPr>
          <w:rStyle w:val="FootnoteReference"/>
        </w:rPr>
        <w:footnoteRef/>
      </w:r>
      <w:r>
        <w:t xml:space="preserve"> </w:t>
      </w:r>
      <w:r w:rsidRPr="00185C8E">
        <w:t xml:space="preserve">Schafer PH, et al. </w:t>
      </w:r>
      <w:r>
        <w:t xml:space="preserve">(2010) </w:t>
      </w:r>
      <w:proofErr w:type="spellStart"/>
      <w:r w:rsidRPr="00185C8E">
        <w:t>Apremilast</w:t>
      </w:r>
      <w:proofErr w:type="spellEnd"/>
      <w:r w:rsidRPr="00185C8E">
        <w:t xml:space="preserve">, a </w:t>
      </w:r>
      <w:proofErr w:type="spellStart"/>
      <w:r w:rsidRPr="00185C8E">
        <w:t>cAMP</w:t>
      </w:r>
      <w:proofErr w:type="spellEnd"/>
      <w:r w:rsidRPr="00185C8E">
        <w:t xml:space="preserve"> phosphodiesterase-4 inhibitor, demonstrates anti-inflammatory activity in vitro and in a model of </w:t>
      </w:r>
      <w:r>
        <w:t xml:space="preserve">psoriasis. </w:t>
      </w:r>
      <w:proofErr w:type="gramStart"/>
      <w:r w:rsidRPr="008E5786">
        <w:rPr>
          <w:i/>
        </w:rPr>
        <w:t xml:space="preserve">Br J </w:t>
      </w:r>
      <w:proofErr w:type="spellStart"/>
      <w:r w:rsidRPr="008E5786">
        <w:rPr>
          <w:i/>
        </w:rPr>
        <w:t>Pharmacol</w:t>
      </w:r>
      <w:proofErr w:type="spellEnd"/>
      <w:r w:rsidRPr="008E5786">
        <w:rPr>
          <w:i/>
        </w:rPr>
        <w:t>.</w:t>
      </w:r>
      <w:proofErr w:type="gramEnd"/>
      <w:r>
        <w:t xml:space="preserve"> 159: 842-</w:t>
      </w:r>
      <w:r w:rsidRPr="00185C8E">
        <w:t>55.</w:t>
      </w:r>
    </w:p>
  </w:footnote>
  <w:footnote w:id="23">
    <w:p w:rsidR="00BD1477" w:rsidRDefault="00BD1477">
      <w:pPr>
        <w:pStyle w:val="FootnoteText"/>
      </w:pPr>
      <w:r>
        <w:rPr>
          <w:rStyle w:val="FootnoteReference"/>
        </w:rPr>
        <w:footnoteRef/>
      </w:r>
      <w:r>
        <w:t xml:space="preserve"> European Medicines Agency, “</w:t>
      </w:r>
      <w:r w:rsidRPr="00852DE9">
        <w:t>Guideline on Clinical Investigation for Medicinal Products for the Treatment of Psoriatic Arthritis</w:t>
      </w:r>
      <w:r>
        <w:t xml:space="preserve"> (</w:t>
      </w:r>
      <w:r w:rsidRPr="00852DE9">
        <w:t>CPMP/EWP/438/04</w:t>
      </w:r>
      <w:r>
        <w:t xml:space="preserve">)”, </w:t>
      </w:r>
      <w:r w:rsidRPr="00623716">
        <w:t>14 December 2006</w:t>
      </w:r>
      <w:r>
        <w:t>.</w:t>
      </w:r>
    </w:p>
  </w:footnote>
  <w:footnote w:id="24">
    <w:p w:rsidR="00BD1477" w:rsidRDefault="00BD1477">
      <w:pPr>
        <w:pStyle w:val="FootnoteText"/>
      </w:pPr>
      <w:r>
        <w:rPr>
          <w:rStyle w:val="FootnoteReference"/>
        </w:rPr>
        <w:footnoteRef/>
      </w:r>
      <w:r>
        <w:t xml:space="preserve"> European Medicines Agency, “</w:t>
      </w:r>
      <w:r w:rsidRPr="00126AA5">
        <w:t>Guideline on Clinical Investigation for Medicinal Products for the Treatment of Psoriasis</w:t>
      </w:r>
      <w:r>
        <w:t xml:space="preserve"> (</w:t>
      </w:r>
      <w:r w:rsidRPr="00126AA5">
        <w:t>CHMP/EWP/2454/02</w:t>
      </w:r>
      <w:r>
        <w:t xml:space="preserve">)”, </w:t>
      </w:r>
      <w:r w:rsidRPr="00623716">
        <w:t>14 December 2006</w:t>
      </w:r>
      <w:r>
        <w:t>.</w:t>
      </w:r>
    </w:p>
  </w:footnote>
  <w:footnote w:id="25">
    <w:p w:rsidR="00BD1477" w:rsidRDefault="00BD1477">
      <w:pPr>
        <w:pStyle w:val="FootnoteText"/>
      </w:pPr>
      <w:r>
        <w:rPr>
          <w:rStyle w:val="FootnoteReference"/>
        </w:rPr>
        <w:footnoteRef/>
      </w:r>
      <w:r>
        <w:t xml:space="preserve"> </w:t>
      </w:r>
      <w:r w:rsidRPr="000C6BDB">
        <w:t>One</w:t>
      </w:r>
      <w:r>
        <w:t xml:space="preserve"> subject </w:t>
      </w:r>
      <w:r w:rsidRPr="000C6BDB">
        <w:t>completed suicide</w:t>
      </w:r>
      <w:r>
        <w:t>,</w:t>
      </w:r>
      <w:r w:rsidRPr="000C6BDB">
        <w:t xml:space="preserve"> </w:t>
      </w:r>
      <w:r>
        <w:t xml:space="preserve">while a second subject </w:t>
      </w:r>
      <w:r w:rsidRPr="00CB5BB6">
        <w:t>was considered as a completed suicide by the FDA</w:t>
      </w:r>
      <w:r>
        <w:t>. Both subjects were on placebo.</w:t>
      </w:r>
    </w:p>
  </w:footnote>
  <w:footnote w:id="26">
    <w:p w:rsidR="00BD1477" w:rsidRDefault="00BD1477">
      <w:pPr>
        <w:pStyle w:val="FootnoteText"/>
      </w:pPr>
      <w:r>
        <w:rPr>
          <w:rStyle w:val="FootnoteReference"/>
        </w:rPr>
        <w:footnoteRef/>
      </w:r>
      <w:r>
        <w:t xml:space="preserve"> </w:t>
      </w:r>
      <w:r w:rsidRPr="000C6BDB">
        <w:t>One</w:t>
      </w:r>
      <w:r>
        <w:t xml:space="preserve"> subject </w:t>
      </w:r>
      <w:r w:rsidRPr="000C6BDB">
        <w:t>completed suicide</w:t>
      </w:r>
      <w:r>
        <w:t>,</w:t>
      </w:r>
      <w:r w:rsidRPr="000C6BDB">
        <w:t xml:space="preserve"> </w:t>
      </w:r>
      <w:r>
        <w:t xml:space="preserve">while a second subject </w:t>
      </w:r>
      <w:r w:rsidRPr="00CB5BB6">
        <w:t>was considered as a completed suicide by the FDA</w:t>
      </w:r>
      <w:r>
        <w:t>. Both subjects were on placebo.</w:t>
      </w:r>
    </w:p>
  </w:footnote>
  <w:footnote w:id="27">
    <w:p w:rsidR="00BD1477" w:rsidRDefault="00BD1477">
      <w:pPr>
        <w:pStyle w:val="FootnoteText"/>
      </w:pPr>
      <w:r>
        <w:rPr>
          <w:rStyle w:val="FootnoteReference"/>
        </w:rPr>
        <w:footnoteRef/>
      </w:r>
      <w:r>
        <w:t xml:space="preserve"> </w:t>
      </w:r>
      <w:proofErr w:type="gramStart"/>
      <w:r>
        <w:t>European Medicines Agency, “</w:t>
      </w:r>
      <w:r w:rsidRPr="004532AE">
        <w:t>Guideline on Repo</w:t>
      </w:r>
      <w:r>
        <w:t>rting the Results of P</w:t>
      </w:r>
      <w:r w:rsidRPr="004532AE">
        <w:t>opulation Pharmacokinetic Analyses</w:t>
      </w:r>
      <w:r>
        <w:t xml:space="preserve"> (</w:t>
      </w:r>
      <w:r w:rsidRPr="008E79D8">
        <w:t>CHMP/EWP/185990/06</w:t>
      </w:r>
      <w:r>
        <w:t xml:space="preserve">)”, </w:t>
      </w:r>
      <w:r w:rsidRPr="00A45E15">
        <w:t>21 June 2007</w:t>
      </w:r>
      <w:r>
        <w:t>.</w:t>
      </w:r>
      <w:proofErr w:type="gramEnd"/>
    </w:p>
  </w:footnote>
  <w:footnote w:id="28">
    <w:p w:rsidR="00BD1477" w:rsidRDefault="00BD1477">
      <w:pPr>
        <w:pStyle w:val="FootnoteText"/>
      </w:pPr>
      <w:r>
        <w:rPr>
          <w:rStyle w:val="FootnoteReference"/>
        </w:rPr>
        <w:footnoteRef/>
      </w:r>
      <w:r>
        <w:t xml:space="preserve"> This is from </w:t>
      </w:r>
      <w:r>
        <w:rPr>
          <w:lang w:eastAsia="en-AU"/>
        </w:rPr>
        <w:t>EU-</w:t>
      </w:r>
      <w:r w:rsidRPr="00653139">
        <w:rPr>
          <w:lang w:eastAsia="en-AU"/>
        </w:rPr>
        <w:t>RMP V</w:t>
      </w:r>
      <w:r>
        <w:rPr>
          <w:lang w:eastAsia="en-AU"/>
        </w:rPr>
        <w:t>ersion</w:t>
      </w:r>
      <w:r w:rsidRPr="00653139">
        <w:rPr>
          <w:lang w:eastAsia="en-AU"/>
        </w:rPr>
        <w:t xml:space="preserve"> 1.0</w:t>
      </w:r>
      <w:r>
        <w:rPr>
          <w:lang w:eastAsia="en-AU"/>
        </w:rPr>
        <w:t>.</w:t>
      </w:r>
    </w:p>
  </w:footnote>
  <w:footnote w:id="29">
    <w:p w:rsidR="00BD1477" w:rsidRDefault="00BD1477">
      <w:pPr>
        <w:pStyle w:val="FootnoteText"/>
      </w:pPr>
      <w:r>
        <w:rPr>
          <w:rStyle w:val="FootnoteReference"/>
        </w:rPr>
        <w:footnoteRef/>
      </w:r>
      <w:r>
        <w:t xml:space="preserve"> </w:t>
      </w:r>
      <w:proofErr w:type="gramStart"/>
      <w:r>
        <w:t>European Medicines Agency, “</w:t>
      </w:r>
      <w:r w:rsidRPr="00717BDE">
        <w:t>Guidance on format of the risk management plan (RMP) in the EU – in integrated format</w:t>
      </w:r>
      <w:r>
        <w:t xml:space="preserve"> (</w:t>
      </w:r>
      <w:r w:rsidRPr="000A4F12">
        <w:t>EMA/465932/2013</w:t>
      </w:r>
      <w:r>
        <w:t>)”, 25 July 2013.</w:t>
      </w:r>
      <w:proofErr w:type="gramEnd"/>
    </w:p>
  </w:footnote>
  <w:footnote w:id="30">
    <w:p w:rsidR="00BD1477" w:rsidRDefault="00BD1477">
      <w:pPr>
        <w:pStyle w:val="FootnoteText"/>
      </w:pPr>
      <w:r>
        <w:rPr>
          <w:rStyle w:val="FootnoteReference"/>
        </w:rPr>
        <w:footnoteRef/>
      </w:r>
      <w:r w:rsidRPr="00883C33">
        <w:t xml:space="preserve"> Armstrong AW</w:t>
      </w:r>
      <w:r>
        <w:t xml:space="preserve">, et al. (2012) </w:t>
      </w:r>
      <w:r w:rsidRPr="00883C33">
        <w:t>Coronary artery disease in patients with psoriasis referred for</w:t>
      </w:r>
      <w:r>
        <w:t xml:space="preserve"> coronary angiography</w:t>
      </w:r>
      <w:r w:rsidRPr="00883C33">
        <w:t>.</w:t>
      </w:r>
      <w:r w:rsidRPr="005901AD">
        <w:t xml:space="preserve"> </w:t>
      </w:r>
      <w:proofErr w:type="gramStart"/>
      <w:r w:rsidRPr="00666C4C">
        <w:rPr>
          <w:i/>
        </w:rPr>
        <w:t xml:space="preserve">Am J </w:t>
      </w:r>
      <w:proofErr w:type="spellStart"/>
      <w:r w:rsidRPr="00666C4C">
        <w:rPr>
          <w:i/>
        </w:rPr>
        <w:t>Cardiol</w:t>
      </w:r>
      <w:proofErr w:type="spellEnd"/>
      <w:r w:rsidRPr="00666C4C">
        <w:rPr>
          <w:i/>
        </w:rPr>
        <w:t>.</w:t>
      </w:r>
      <w:proofErr w:type="gramEnd"/>
      <w:r>
        <w:t xml:space="preserve"> 109</w:t>
      </w:r>
      <w:r w:rsidRPr="00883C33">
        <w:t>:</w:t>
      </w:r>
      <w:r>
        <w:t xml:space="preserve"> </w:t>
      </w:r>
      <w:r w:rsidRPr="00883C33">
        <w:t>976-80</w:t>
      </w:r>
      <w:r>
        <w:t xml:space="preserve">; </w:t>
      </w:r>
      <w:r w:rsidRPr="006E7C5F">
        <w:t>Husted JA</w:t>
      </w:r>
      <w:r>
        <w:t xml:space="preserve">, et al. (2011) </w:t>
      </w:r>
      <w:r w:rsidRPr="006E7C5F">
        <w:t xml:space="preserve">Cardiovascular and other comorbidities in patients with psoriatic arthritis: a comparison with patients with psoriasis. </w:t>
      </w:r>
      <w:r w:rsidRPr="00BE45DE">
        <w:rPr>
          <w:i/>
        </w:rPr>
        <w:t xml:space="preserve">Arthritis Care Res (Hoboken) </w:t>
      </w:r>
      <w:r>
        <w:t>63</w:t>
      </w:r>
      <w:r w:rsidRPr="006E7C5F">
        <w:t>:</w:t>
      </w:r>
      <w:r>
        <w:t xml:space="preserve"> 1729-35.</w:t>
      </w:r>
    </w:p>
  </w:footnote>
  <w:footnote w:id="31">
    <w:p w:rsidR="00BD1477" w:rsidRDefault="00BD1477">
      <w:pPr>
        <w:pStyle w:val="FootnoteText"/>
      </w:pPr>
      <w:r>
        <w:rPr>
          <w:rStyle w:val="FootnoteReference"/>
        </w:rPr>
        <w:footnoteRef/>
      </w:r>
      <w:r>
        <w:t xml:space="preserve"> </w:t>
      </w:r>
      <w:proofErr w:type="gramStart"/>
      <w:r>
        <w:t>European Medicines Agency, “</w:t>
      </w:r>
      <w:r w:rsidRPr="00717BDE">
        <w:t>Guidance on format of the risk management plan (RMP) in the EU – in integrated format</w:t>
      </w:r>
      <w:r>
        <w:t xml:space="preserve"> (</w:t>
      </w:r>
      <w:r w:rsidRPr="000A4F12">
        <w:t>EMA/465932/2013</w:t>
      </w:r>
      <w:r>
        <w:t>)”, 25 July 2013.</w:t>
      </w:r>
      <w:proofErr w:type="gramEnd"/>
    </w:p>
  </w:footnote>
  <w:footnote w:id="32">
    <w:p w:rsidR="00BD1477" w:rsidRDefault="00BD1477">
      <w:pPr>
        <w:pStyle w:val="FootnoteText"/>
      </w:pPr>
      <w:r>
        <w:rPr>
          <w:rStyle w:val="FootnoteReference"/>
        </w:rPr>
        <w:footnoteRef/>
      </w:r>
      <w:r>
        <w:t xml:space="preserve"> European Medicines Agency, “</w:t>
      </w:r>
      <w:r w:rsidRPr="00852DE9">
        <w:t>Guideline on Clinical Investigation for Medicinal Products for the Treatment of Psoriatic Arthritis</w:t>
      </w:r>
      <w:r>
        <w:t xml:space="preserve"> (</w:t>
      </w:r>
      <w:r w:rsidRPr="00852DE9">
        <w:t>CPMP/EWP/438/04</w:t>
      </w:r>
      <w:r>
        <w:t xml:space="preserve">)”, </w:t>
      </w:r>
      <w:r w:rsidRPr="00623716">
        <w:t>14 December 2006</w:t>
      </w:r>
      <w:r>
        <w:t>; European Medicines Agency, “</w:t>
      </w:r>
      <w:r w:rsidRPr="00852DE9">
        <w:t>Guideline on Clinical Investigation for Medicinal Products for the Tr</w:t>
      </w:r>
      <w:r>
        <w:t>eatment of Psoriasis (</w:t>
      </w:r>
      <w:r w:rsidRPr="00151BC8">
        <w:t>CHMP/EWP/2454/02</w:t>
      </w:r>
      <w:r>
        <w:t xml:space="preserve">)”, </w:t>
      </w:r>
      <w:r w:rsidRPr="00623716">
        <w:t>1</w:t>
      </w:r>
      <w:r>
        <w:t>8 November 2004.</w:t>
      </w:r>
    </w:p>
  </w:footnote>
  <w:footnote w:id="33">
    <w:p w:rsidR="00BD1477" w:rsidRDefault="00BD1477">
      <w:pPr>
        <w:pStyle w:val="FootnoteText"/>
      </w:pPr>
      <w:r>
        <w:rPr>
          <w:rStyle w:val="FootnoteReference"/>
        </w:rPr>
        <w:footnoteRef/>
      </w:r>
      <w:r>
        <w:t xml:space="preserve"> European Medicines Agency, “</w:t>
      </w:r>
      <w:r w:rsidRPr="00852DE9">
        <w:t>Guideline on Clinical Investigation for Medicinal Products for the Treatment of Psoriatic Arthritis</w:t>
      </w:r>
      <w:r>
        <w:t xml:space="preserve"> (</w:t>
      </w:r>
      <w:r w:rsidRPr="00852DE9">
        <w:t>CPMP/EWP/438/04</w:t>
      </w:r>
      <w:r>
        <w:t xml:space="preserve">)”, </w:t>
      </w:r>
      <w:r w:rsidRPr="00623716">
        <w:t>14 December 2006</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477" w:rsidRDefault="00BD147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477" w:rsidRDefault="00BD1477">
    <w:pPr>
      <w:rPr>
        <w:noProof/>
        <w:lang w:eastAsia="en-AU"/>
      </w:rPr>
    </w:pPr>
    <w:r w:rsidRPr="00347824">
      <w:rPr>
        <w:noProof/>
        <w:lang w:eastAsia="en-AU"/>
      </w:rPr>
      <w:drawing>
        <wp:anchor distT="0" distB="0" distL="114300" distR="114300" simplePos="0" relativeHeight="251659264" behindDoc="1" locked="0" layoutInCell="1" allowOverlap="1" wp14:anchorId="31B3357A" wp14:editId="431744E3">
          <wp:simplePos x="0" y="0"/>
          <wp:positionH relativeFrom="column">
            <wp:posOffset>-1091355</wp:posOffset>
          </wp:positionH>
          <wp:positionV relativeFrom="paragraph">
            <wp:posOffset>-587165</wp:posOffset>
          </wp:positionV>
          <wp:extent cx="7573252" cy="10697919"/>
          <wp:effectExtent l="0" t="0" r="8890" b="8255"/>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9043" cy="10706100"/>
                  </a:xfrm>
                  <a:prstGeom prst="rect">
                    <a:avLst/>
                  </a:prstGeom>
                </pic:spPr>
              </pic:pic>
            </a:graphicData>
          </a:graphic>
          <wp14:sizeRelV relativeFrom="margin">
            <wp14:pctHeight>0</wp14:pctHeight>
          </wp14:sizeRelV>
        </wp:anchor>
      </w:drawing>
    </w:r>
  </w:p>
  <w:p w:rsidR="00BD1477" w:rsidRDefault="00BD1477" w:rsidP="00593AD1">
    <w:pPr>
      <w:pStyle w:val="HeaderNoLine"/>
    </w:pPr>
    <w:r>
      <w:rPr>
        <w:noProof/>
        <w:lang w:eastAsia="en-AU"/>
      </w:rPr>
      <w:drawing>
        <wp:inline distT="0" distB="0" distL="0" distR="0" wp14:anchorId="6EBAA1D0" wp14:editId="08DE913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477" w:rsidRDefault="00BD14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477" w:rsidRDefault="00BD147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477" w:rsidRDefault="00BD147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477" w:rsidRDefault="00BD147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477" w:rsidRDefault="00BD147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477" w:rsidRDefault="00BD1477" w:rsidP="006E08B3">
    <w:r>
      <w:t>Therapeutic Goods Administration</w:t>
    </w:r>
  </w:p>
  <w:p w:rsidR="00BD1477" w:rsidRDefault="00BD147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0905452"/>
    <w:lvl w:ilvl="0">
      <w:start w:val="1"/>
      <w:numFmt w:val="decimal"/>
      <w:lvlText w:val="%1."/>
      <w:lvlJc w:val="left"/>
      <w:pPr>
        <w:tabs>
          <w:tab w:val="num" w:pos="1492"/>
        </w:tabs>
        <w:ind w:left="1492" w:hanging="360"/>
      </w:pPr>
    </w:lvl>
  </w:abstractNum>
  <w:abstractNum w:abstractNumId="1">
    <w:nsid w:val="FFFFFF7D"/>
    <w:multiLevelType w:val="singleLevel"/>
    <w:tmpl w:val="453EBCD6"/>
    <w:lvl w:ilvl="0">
      <w:start w:val="1"/>
      <w:numFmt w:val="decimal"/>
      <w:lvlText w:val="%1."/>
      <w:lvlJc w:val="left"/>
      <w:pPr>
        <w:tabs>
          <w:tab w:val="num" w:pos="1209"/>
        </w:tabs>
        <w:ind w:left="1209" w:hanging="360"/>
      </w:pPr>
    </w:lvl>
  </w:abstractNum>
  <w:abstractNum w:abstractNumId="2">
    <w:nsid w:val="FFFFFF7E"/>
    <w:multiLevelType w:val="singleLevel"/>
    <w:tmpl w:val="D160FA42"/>
    <w:lvl w:ilvl="0">
      <w:start w:val="1"/>
      <w:numFmt w:val="decimal"/>
      <w:lvlText w:val="%1."/>
      <w:lvlJc w:val="left"/>
      <w:pPr>
        <w:tabs>
          <w:tab w:val="num" w:pos="926"/>
        </w:tabs>
        <w:ind w:left="926" w:hanging="360"/>
      </w:pPr>
    </w:lvl>
  </w:abstractNum>
  <w:abstractNum w:abstractNumId="3">
    <w:nsid w:val="FFFFFF7F"/>
    <w:multiLevelType w:val="singleLevel"/>
    <w:tmpl w:val="D4D6C2DC"/>
    <w:lvl w:ilvl="0">
      <w:start w:val="1"/>
      <w:numFmt w:val="decimal"/>
      <w:lvlText w:val="%1."/>
      <w:lvlJc w:val="left"/>
      <w:pPr>
        <w:tabs>
          <w:tab w:val="num" w:pos="643"/>
        </w:tabs>
        <w:ind w:left="643" w:hanging="360"/>
      </w:pPr>
    </w:lvl>
  </w:abstractNum>
  <w:abstractNum w:abstractNumId="4">
    <w:nsid w:val="FFFFFF80"/>
    <w:multiLevelType w:val="singleLevel"/>
    <w:tmpl w:val="260E38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7565FC8"/>
    <w:lvl w:ilvl="0">
      <w:start w:val="1"/>
      <w:numFmt w:val="bullet"/>
      <w:lvlText w:val=""/>
      <w:lvlJc w:val="left"/>
      <w:pPr>
        <w:tabs>
          <w:tab w:val="num" w:pos="1209"/>
        </w:tabs>
        <w:ind w:left="1209" w:hanging="360"/>
      </w:pPr>
      <w:rPr>
        <w:rFonts w:ascii="Symbol" w:hAnsi="Symbol" w:hint="default"/>
      </w:rPr>
    </w:lvl>
  </w:abstractNum>
  <w:abstractNum w:abstractNumId="6">
    <w:nsid w:val="FFFFFF83"/>
    <w:multiLevelType w:val="singleLevel"/>
    <w:tmpl w:val="D95297B4"/>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6F30F2B0"/>
    <w:lvl w:ilvl="0">
      <w:start w:val="1"/>
      <w:numFmt w:val="decimal"/>
      <w:lvlText w:val="%1."/>
      <w:lvlJc w:val="left"/>
      <w:pPr>
        <w:tabs>
          <w:tab w:val="num" w:pos="360"/>
        </w:tabs>
        <w:ind w:left="360" w:hanging="360"/>
      </w:pPr>
    </w:lvl>
  </w:abstractNum>
  <w:abstractNum w:abstractNumId="8">
    <w:nsid w:val="FFFFFF89"/>
    <w:multiLevelType w:val="singleLevel"/>
    <w:tmpl w:val="5456FA52"/>
    <w:lvl w:ilvl="0">
      <w:start w:val="1"/>
      <w:numFmt w:val="bullet"/>
      <w:lvlText w:val=""/>
      <w:lvlJc w:val="left"/>
      <w:pPr>
        <w:tabs>
          <w:tab w:val="num" w:pos="360"/>
        </w:tabs>
        <w:ind w:left="360" w:hanging="360"/>
      </w:pPr>
      <w:rPr>
        <w:rFonts w:ascii="Symbol" w:hAnsi="Symbol" w:hint="default"/>
      </w:rPr>
    </w:lvl>
  </w:abstractNum>
  <w:abstractNum w:abstractNumId="9">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0444554"/>
    <w:multiLevelType w:val="hybridMultilevel"/>
    <w:tmpl w:val="DD0C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711B93"/>
    <w:multiLevelType w:val="hybridMultilevel"/>
    <w:tmpl w:val="B9045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47651F83"/>
    <w:multiLevelType w:val="hybridMultilevel"/>
    <w:tmpl w:val="40E0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9">
    <w:nsid w:val="6B2E0D75"/>
    <w:multiLevelType w:val="hybridMultilevel"/>
    <w:tmpl w:val="E3A26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C665AFD"/>
    <w:multiLevelType w:val="hybridMultilevel"/>
    <w:tmpl w:val="BAB2C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313636A"/>
    <w:multiLevelType w:val="hybridMultilevel"/>
    <w:tmpl w:val="5AD06868"/>
    <w:lvl w:ilvl="0" w:tplc="7696B8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2"/>
  </w:num>
  <w:num w:numId="2">
    <w:abstractNumId w:val="9"/>
  </w:num>
  <w:num w:numId="3">
    <w:abstractNumId w:val="12"/>
  </w:num>
  <w:num w:numId="4">
    <w:abstractNumId w:val="9"/>
  </w:num>
  <w:num w:numId="5">
    <w:abstractNumId w:val="19"/>
  </w:num>
  <w:num w:numId="6">
    <w:abstractNumId w:val="16"/>
  </w:num>
  <w:num w:numId="7">
    <w:abstractNumId w:val="13"/>
  </w:num>
  <w:num w:numId="8">
    <w:abstractNumId w:val="14"/>
  </w:num>
  <w:num w:numId="9">
    <w:abstractNumId w:val="11"/>
  </w:num>
  <w:num w:numId="10">
    <w:abstractNumId w:val="17"/>
  </w:num>
  <w:num w:numId="11">
    <w:abstractNumId w:val="15"/>
  </w:num>
  <w:num w:numId="12">
    <w:abstractNumId w:val="21"/>
  </w:num>
  <w:num w:numId="13">
    <w:abstractNumId w:val="20"/>
  </w:num>
  <w:num w:numId="14">
    <w:abstractNumId w:val="8"/>
  </w:num>
  <w:num w:numId="15">
    <w:abstractNumId w:val="6"/>
  </w:num>
  <w:num w:numId="16">
    <w:abstractNumId w:val="18"/>
  </w:num>
  <w:num w:numId="17">
    <w:abstractNumId w:val="10"/>
  </w:num>
  <w:num w:numId="18">
    <w:abstractNumId w:val="5"/>
  </w:num>
  <w:num w:numId="19">
    <w:abstractNumId w:val="4"/>
  </w:num>
  <w:num w:numId="20">
    <w:abstractNumId w:val="7"/>
  </w:num>
  <w:num w:numId="21">
    <w:abstractNumId w:val="3"/>
  </w:num>
  <w:num w:numId="22">
    <w:abstractNumId w:val="2"/>
  </w:num>
  <w:num w:numId="23">
    <w:abstractNumId w:val="1"/>
  </w:num>
  <w:num w:numId="2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D89"/>
    <w:rsid w:val="000019D4"/>
    <w:rsid w:val="00001E10"/>
    <w:rsid w:val="00002031"/>
    <w:rsid w:val="000040A0"/>
    <w:rsid w:val="00004734"/>
    <w:rsid w:val="00006B22"/>
    <w:rsid w:val="00011743"/>
    <w:rsid w:val="0001276A"/>
    <w:rsid w:val="000134DA"/>
    <w:rsid w:val="00013883"/>
    <w:rsid w:val="00013DC9"/>
    <w:rsid w:val="0001425C"/>
    <w:rsid w:val="00014E33"/>
    <w:rsid w:val="00016768"/>
    <w:rsid w:val="00020ACB"/>
    <w:rsid w:val="00020D6D"/>
    <w:rsid w:val="000213BD"/>
    <w:rsid w:val="000240CF"/>
    <w:rsid w:val="000246AE"/>
    <w:rsid w:val="000246CD"/>
    <w:rsid w:val="00025AB5"/>
    <w:rsid w:val="00025C67"/>
    <w:rsid w:val="00025F69"/>
    <w:rsid w:val="00032465"/>
    <w:rsid w:val="00034731"/>
    <w:rsid w:val="00036A9E"/>
    <w:rsid w:val="000405C6"/>
    <w:rsid w:val="00040E72"/>
    <w:rsid w:val="00044772"/>
    <w:rsid w:val="00047BA4"/>
    <w:rsid w:val="00052F92"/>
    <w:rsid w:val="0005391A"/>
    <w:rsid w:val="00054FFD"/>
    <w:rsid w:val="0005559E"/>
    <w:rsid w:val="00055C0C"/>
    <w:rsid w:val="00056EE0"/>
    <w:rsid w:val="00057F74"/>
    <w:rsid w:val="000604D6"/>
    <w:rsid w:val="00061465"/>
    <w:rsid w:val="00062E62"/>
    <w:rsid w:val="00065E81"/>
    <w:rsid w:val="000668E4"/>
    <w:rsid w:val="000714DB"/>
    <w:rsid w:val="00071912"/>
    <w:rsid w:val="00071B63"/>
    <w:rsid w:val="000734D8"/>
    <w:rsid w:val="00075B39"/>
    <w:rsid w:val="00077775"/>
    <w:rsid w:val="000819E5"/>
    <w:rsid w:val="000839CF"/>
    <w:rsid w:val="00084D16"/>
    <w:rsid w:val="000853E9"/>
    <w:rsid w:val="000867BA"/>
    <w:rsid w:val="00090471"/>
    <w:rsid w:val="000913CD"/>
    <w:rsid w:val="00091816"/>
    <w:rsid w:val="000951C3"/>
    <w:rsid w:val="000952D8"/>
    <w:rsid w:val="000959CD"/>
    <w:rsid w:val="00096AA7"/>
    <w:rsid w:val="000A3A85"/>
    <w:rsid w:val="000A3AED"/>
    <w:rsid w:val="000A4223"/>
    <w:rsid w:val="000A4F12"/>
    <w:rsid w:val="000A71CB"/>
    <w:rsid w:val="000B11F4"/>
    <w:rsid w:val="000B3532"/>
    <w:rsid w:val="000B3A75"/>
    <w:rsid w:val="000B3C3A"/>
    <w:rsid w:val="000B5BEC"/>
    <w:rsid w:val="000B6BF1"/>
    <w:rsid w:val="000C00C2"/>
    <w:rsid w:val="000C1C01"/>
    <w:rsid w:val="000C2906"/>
    <w:rsid w:val="000C2A12"/>
    <w:rsid w:val="000C3F65"/>
    <w:rsid w:val="000C6337"/>
    <w:rsid w:val="000C690F"/>
    <w:rsid w:val="000D06C0"/>
    <w:rsid w:val="000D1295"/>
    <w:rsid w:val="000D391B"/>
    <w:rsid w:val="000D3D6D"/>
    <w:rsid w:val="000D4486"/>
    <w:rsid w:val="000D4FC7"/>
    <w:rsid w:val="000D63E1"/>
    <w:rsid w:val="000D7B33"/>
    <w:rsid w:val="000E404F"/>
    <w:rsid w:val="000E5B73"/>
    <w:rsid w:val="000E6196"/>
    <w:rsid w:val="000F0B94"/>
    <w:rsid w:val="000F2EB0"/>
    <w:rsid w:val="000F43CE"/>
    <w:rsid w:val="000F47D0"/>
    <w:rsid w:val="000F4869"/>
    <w:rsid w:val="000F5028"/>
    <w:rsid w:val="000F5B42"/>
    <w:rsid w:val="000F6AD3"/>
    <w:rsid w:val="000F6E6F"/>
    <w:rsid w:val="000F7001"/>
    <w:rsid w:val="0010006B"/>
    <w:rsid w:val="00101FB7"/>
    <w:rsid w:val="00105B39"/>
    <w:rsid w:val="0010601F"/>
    <w:rsid w:val="0010788A"/>
    <w:rsid w:val="00107A31"/>
    <w:rsid w:val="00107E09"/>
    <w:rsid w:val="00110EA5"/>
    <w:rsid w:val="00112F56"/>
    <w:rsid w:val="00113632"/>
    <w:rsid w:val="00114FDE"/>
    <w:rsid w:val="0011514D"/>
    <w:rsid w:val="00120A5D"/>
    <w:rsid w:val="001215BD"/>
    <w:rsid w:val="0012469E"/>
    <w:rsid w:val="00125318"/>
    <w:rsid w:val="00126AA5"/>
    <w:rsid w:val="001305A2"/>
    <w:rsid w:val="00133238"/>
    <w:rsid w:val="0014076D"/>
    <w:rsid w:val="0014103C"/>
    <w:rsid w:val="0014197B"/>
    <w:rsid w:val="00142585"/>
    <w:rsid w:val="00142D86"/>
    <w:rsid w:val="001447CD"/>
    <w:rsid w:val="001516B1"/>
    <w:rsid w:val="00151AD8"/>
    <w:rsid w:val="00151BC8"/>
    <w:rsid w:val="00152F95"/>
    <w:rsid w:val="001542EE"/>
    <w:rsid w:val="00154EBB"/>
    <w:rsid w:val="001552DA"/>
    <w:rsid w:val="00156316"/>
    <w:rsid w:val="00157005"/>
    <w:rsid w:val="001613AA"/>
    <w:rsid w:val="001627F9"/>
    <w:rsid w:val="00162D14"/>
    <w:rsid w:val="001630F2"/>
    <w:rsid w:val="00164410"/>
    <w:rsid w:val="00165389"/>
    <w:rsid w:val="001660C5"/>
    <w:rsid w:val="0016621C"/>
    <w:rsid w:val="001709BA"/>
    <w:rsid w:val="00174636"/>
    <w:rsid w:val="0017693F"/>
    <w:rsid w:val="001775D6"/>
    <w:rsid w:val="00180599"/>
    <w:rsid w:val="0018110E"/>
    <w:rsid w:val="00181684"/>
    <w:rsid w:val="001843C6"/>
    <w:rsid w:val="001844F9"/>
    <w:rsid w:val="001850E0"/>
    <w:rsid w:val="00185C8E"/>
    <w:rsid w:val="00187D53"/>
    <w:rsid w:val="001900E0"/>
    <w:rsid w:val="001905AF"/>
    <w:rsid w:val="001907B6"/>
    <w:rsid w:val="00191496"/>
    <w:rsid w:val="001959D7"/>
    <w:rsid w:val="00197AD1"/>
    <w:rsid w:val="001A1865"/>
    <w:rsid w:val="001A1AE5"/>
    <w:rsid w:val="001A2158"/>
    <w:rsid w:val="001A292D"/>
    <w:rsid w:val="001A3EDA"/>
    <w:rsid w:val="001A525F"/>
    <w:rsid w:val="001A7FC9"/>
    <w:rsid w:val="001B014B"/>
    <w:rsid w:val="001B08C5"/>
    <w:rsid w:val="001B09F9"/>
    <w:rsid w:val="001B2E77"/>
    <w:rsid w:val="001B3352"/>
    <w:rsid w:val="001B5C90"/>
    <w:rsid w:val="001B6448"/>
    <w:rsid w:val="001B652D"/>
    <w:rsid w:val="001B78E2"/>
    <w:rsid w:val="001C32CD"/>
    <w:rsid w:val="001C393D"/>
    <w:rsid w:val="001C4FCB"/>
    <w:rsid w:val="001C5BFE"/>
    <w:rsid w:val="001C7AC9"/>
    <w:rsid w:val="001D11D7"/>
    <w:rsid w:val="001D2984"/>
    <w:rsid w:val="001D2994"/>
    <w:rsid w:val="001D5D96"/>
    <w:rsid w:val="001D6A6A"/>
    <w:rsid w:val="001D701A"/>
    <w:rsid w:val="001D7400"/>
    <w:rsid w:val="001D7657"/>
    <w:rsid w:val="001E07CF"/>
    <w:rsid w:val="001E18A2"/>
    <w:rsid w:val="001E1C07"/>
    <w:rsid w:val="001E1C5E"/>
    <w:rsid w:val="001E59F1"/>
    <w:rsid w:val="001E6F28"/>
    <w:rsid w:val="001E7990"/>
    <w:rsid w:val="001F1DCE"/>
    <w:rsid w:val="001F49EB"/>
    <w:rsid w:val="001F6CBA"/>
    <w:rsid w:val="001F7E4E"/>
    <w:rsid w:val="0020115C"/>
    <w:rsid w:val="00201380"/>
    <w:rsid w:val="00201D4E"/>
    <w:rsid w:val="0020332F"/>
    <w:rsid w:val="00203A72"/>
    <w:rsid w:val="00204432"/>
    <w:rsid w:val="00205AC1"/>
    <w:rsid w:val="002076C9"/>
    <w:rsid w:val="00207A54"/>
    <w:rsid w:val="0021166D"/>
    <w:rsid w:val="002146ED"/>
    <w:rsid w:val="00215AFA"/>
    <w:rsid w:val="00220B8A"/>
    <w:rsid w:val="002255DE"/>
    <w:rsid w:val="002257F3"/>
    <w:rsid w:val="00225FA0"/>
    <w:rsid w:val="0023104B"/>
    <w:rsid w:val="00231CA2"/>
    <w:rsid w:val="00233456"/>
    <w:rsid w:val="002339A5"/>
    <w:rsid w:val="002339C5"/>
    <w:rsid w:val="00234F24"/>
    <w:rsid w:val="00240090"/>
    <w:rsid w:val="00240E3B"/>
    <w:rsid w:val="00242214"/>
    <w:rsid w:val="00242F31"/>
    <w:rsid w:val="002431E6"/>
    <w:rsid w:val="0025032D"/>
    <w:rsid w:val="00251EF9"/>
    <w:rsid w:val="00253B39"/>
    <w:rsid w:val="00253D68"/>
    <w:rsid w:val="002544C2"/>
    <w:rsid w:val="002545B7"/>
    <w:rsid w:val="00256A64"/>
    <w:rsid w:val="00257090"/>
    <w:rsid w:val="00257848"/>
    <w:rsid w:val="00257973"/>
    <w:rsid w:val="00257BBD"/>
    <w:rsid w:val="00265D38"/>
    <w:rsid w:val="00265DE6"/>
    <w:rsid w:val="0027084A"/>
    <w:rsid w:val="00271761"/>
    <w:rsid w:val="00275188"/>
    <w:rsid w:val="002760CB"/>
    <w:rsid w:val="0027614E"/>
    <w:rsid w:val="00276570"/>
    <w:rsid w:val="0027794A"/>
    <w:rsid w:val="00277AE7"/>
    <w:rsid w:val="00280D5F"/>
    <w:rsid w:val="0028214C"/>
    <w:rsid w:val="002827F9"/>
    <w:rsid w:val="00282EC1"/>
    <w:rsid w:val="00286009"/>
    <w:rsid w:val="00286434"/>
    <w:rsid w:val="00286C59"/>
    <w:rsid w:val="0029000B"/>
    <w:rsid w:val="002907BC"/>
    <w:rsid w:val="00291957"/>
    <w:rsid w:val="002928B7"/>
    <w:rsid w:val="00292B3C"/>
    <w:rsid w:val="002942D1"/>
    <w:rsid w:val="0029501A"/>
    <w:rsid w:val="0029502A"/>
    <w:rsid w:val="00295874"/>
    <w:rsid w:val="00295F2A"/>
    <w:rsid w:val="00296ED0"/>
    <w:rsid w:val="002A0311"/>
    <w:rsid w:val="002A3721"/>
    <w:rsid w:val="002A5D4D"/>
    <w:rsid w:val="002B0A70"/>
    <w:rsid w:val="002B1638"/>
    <w:rsid w:val="002B3624"/>
    <w:rsid w:val="002B6593"/>
    <w:rsid w:val="002C41A2"/>
    <w:rsid w:val="002C5B3E"/>
    <w:rsid w:val="002D2373"/>
    <w:rsid w:val="002D4788"/>
    <w:rsid w:val="002D7E56"/>
    <w:rsid w:val="002E22D1"/>
    <w:rsid w:val="002E40B3"/>
    <w:rsid w:val="002E4C9A"/>
    <w:rsid w:val="002F11F8"/>
    <w:rsid w:val="002F3F56"/>
    <w:rsid w:val="002F44B5"/>
    <w:rsid w:val="002F48A8"/>
    <w:rsid w:val="002F581D"/>
    <w:rsid w:val="002F7F07"/>
    <w:rsid w:val="003000A0"/>
    <w:rsid w:val="0030047E"/>
    <w:rsid w:val="00303093"/>
    <w:rsid w:val="0030438D"/>
    <w:rsid w:val="00304688"/>
    <w:rsid w:val="00305ED6"/>
    <w:rsid w:val="003105C1"/>
    <w:rsid w:val="0031087E"/>
    <w:rsid w:val="00311AC0"/>
    <w:rsid w:val="00312A86"/>
    <w:rsid w:val="003131CF"/>
    <w:rsid w:val="00314167"/>
    <w:rsid w:val="00314476"/>
    <w:rsid w:val="0031564B"/>
    <w:rsid w:val="003164FC"/>
    <w:rsid w:val="003200DA"/>
    <w:rsid w:val="00321B93"/>
    <w:rsid w:val="00322B36"/>
    <w:rsid w:val="003231E2"/>
    <w:rsid w:val="00324983"/>
    <w:rsid w:val="0032583B"/>
    <w:rsid w:val="00327131"/>
    <w:rsid w:val="00327883"/>
    <w:rsid w:val="00331156"/>
    <w:rsid w:val="00332FBB"/>
    <w:rsid w:val="00335504"/>
    <w:rsid w:val="0034149E"/>
    <w:rsid w:val="0034200A"/>
    <w:rsid w:val="003424B5"/>
    <w:rsid w:val="003426F7"/>
    <w:rsid w:val="00343CBD"/>
    <w:rsid w:val="003442CD"/>
    <w:rsid w:val="00345C71"/>
    <w:rsid w:val="00345F06"/>
    <w:rsid w:val="0034735C"/>
    <w:rsid w:val="00347824"/>
    <w:rsid w:val="00350467"/>
    <w:rsid w:val="00350567"/>
    <w:rsid w:val="003521E8"/>
    <w:rsid w:val="003534C4"/>
    <w:rsid w:val="00357E21"/>
    <w:rsid w:val="00363102"/>
    <w:rsid w:val="003650B7"/>
    <w:rsid w:val="00365B7D"/>
    <w:rsid w:val="003728F3"/>
    <w:rsid w:val="0037496E"/>
    <w:rsid w:val="00380A0E"/>
    <w:rsid w:val="00381AD0"/>
    <w:rsid w:val="00383221"/>
    <w:rsid w:val="00383FFF"/>
    <w:rsid w:val="00385B77"/>
    <w:rsid w:val="00385CC5"/>
    <w:rsid w:val="00386150"/>
    <w:rsid w:val="003874CE"/>
    <w:rsid w:val="00390216"/>
    <w:rsid w:val="00390900"/>
    <w:rsid w:val="00390AB9"/>
    <w:rsid w:val="003920F5"/>
    <w:rsid w:val="003934C8"/>
    <w:rsid w:val="003A0E91"/>
    <w:rsid w:val="003A3BE8"/>
    <w:rsid w:val="003A6EC8"/>
    <w:rsid w:val="003A7F6C"/>
    <w:rsid w:val="003B4185"/>
    <w:rsid w:val="003B45A6"/>
    <w:rsid w:val="003B4D60"/>
    <w:rsid w:val="003B7E39"/>
    <w:rsid w:val="003C5732"/>
    <w:rsid w:val="003C58DC"/>
    <w:rsid w:val="003C6689"/>
    <w:rsid w:val="003D13F1"/>
    <w:rsid w:val="003D1E62"/>
    <w:rsid w:val="003D5A54"/>
    <w:rsid w:val="003E0B99"/>
    <w:rsid w:val="003E17BA"/>
    <w:rsid w:val="003E2486"/>
    <w:rsid w:val="003E3208"/>
    <w:rsid w:val="003E361F"/>
    <w:rsid w:val="003E54E0"/>
    <w:rsid w:val="003E5C3A"/>
    <w:rsid w:val="003E646F"/>
    <w:rsid w:val="003F0B04"/>
    <w:rsid w:val="003F2134"/>
    <w:rsid w:val="003F3FC5"/>
    <w:rsid w:val="003F47C1"/>
    <w:rsid w:val="003F56AD"/>
    <w:rsid w:val="003F64BF"/>
    <w:rsid w:val="0040134E"/>
    <w:rsid w:val="004014B1"/>
    <w:rsid w:val="00401AB8"/>
    <w:rsid w:val="0040280A"/>
    <w:rsid w:val="00404AFE"/>
    <w:rsid w:val="00404E10"/>
    <w:rsid w:val="00405E3C"/>
    <w:rsid w:val="00410567"/>
    <w:rsid w:val="0041100A"/>
    <w:rsid w:val="00416321"/>
    <w:rsid w:val="00417A56"/>
    <w:rsid w:val="004216B4"/>
    <w:rsid w:val="00423FE0"/>
    <w:rsid w:val="00424AE5"/>
    <w:rsid w:val="00431690"/>
    <w:rsid w:val="0043256C"/>
    <w:rsid w:val="00432ECC"/>
    <w:rsid w:val="0043344F"/>
    <w:rsid w:val="004334C7"/>
    <w:rsid w:val="00434652"/>
    <w:rsid w:val="00434A2A"/>
    <w:rsid w:val="00434E9F"/>
    <w:rsid w:val="00440A2D"/>
    <w:rsid w:val="00441651"/>
    <w:rsid w:val="00441703"/>
    <w:rsid w:val="00442E61"/>
    <w:rsid w:val="00443415"/>
    <w:rsid w:val="004444F7"/>
    <w:rsid w:val="00445236"/>
    <w:rsid w:val="00450434"/>
    <w:rsid w:val="00451538"/>
    <w:rsid w:val="004532AE"/>
    <w:rsid w:val="00454F5B"/>
    <w:rsid w:val="004564A7"/>
    <w:rsid w:val="00456952"/>
    <w:rsid w:val="00460CA9"/>
    <w:rsid w:val="004617BF"/>
    <w:rsid w:val="00461CB3"/>
    <w:rsid w:val="00463658"/>
    <w:rsid w:val="004637A0"/>
    <w:rsid w:val="00463A2E"/>
    <w:rsid w:val="00464B41"/>
    <w:rsid w:val="004672C9"/>
    <w:rsid w:val="0046774E"/>
    <w:rsid w:val="00467C9B"/>
    <w:rsid w:val="004703E6"/>
    <w:rsid w:val="004708FC"/>
    <w:rsid w:val="004722CC"/>
    <w:rsid w:val="00473B12"/>
    <w:rsid w:val="004756F2"/>
    <w:rsid w:val="004759BC"/>
    <w:rsid w:val="00476D4F"/>
    <w:rsid w:val="00477294"/>
    <w:rsid w:val="00482768"/>
    <w:rsid w:val="00483FC2"/>
    <w:rsid w:val="00485453"/>
    <w:rsid w:val="00486BA2"/>
    <w:rsid w:val="00487E62"/>
    <w:rsid w:val="00492BB7"/>
    <w:rsid w:val="00492DEC"/>
    <w:rsid w:val="004936E4"/>
    <w:rsid w:val="00494D4B"/>
    <w:rsid w:val="00494E60"/>
    <w:rsid w:val="00495784"/>
    <w:rsid w:val="00497487"/>
    <w:rsid w:val="004A0D5F"/>
    <w:rsid w:val="004A66AC"/>
    <w:rsid w:val="004A6AA8"/>
    <w:rsid w:val="004A7390"/>
    <w:rsid w:val="004A7841"/>
    <w:rsid w:val="004B0430"/>
    <w:rsid w:val="004B571B"/>
    <w:rsid w:val="004B60E0"/>
    <w:rsid w:val="004B63A2"/>
    <w:rsid w:val="004B7B76"/>
    <w:rsid w:val="004C239D"/>
    <w:rsid w:val="004C2637"/>
    <w:rsid w:val="004C28C1"/>
    <w:rsid w:val="004C2DCA"/>
    <w:rsid w:val="004C3AB5"/>
    <w:rsid w:val="004C545A"/>
    <w:rsid w:val="004C61D2"/>
    <w:rsid w:val="004C61D6"/>
    <w:rsid w:val="004C6ACA"/>
    <w:rsid w:val="004C7588"/>
    <w:rsid w:val="004D0A91"/>
    <w:rsid w:val="004D1414"/>
    <w:rsid w:val="004D145B"/>
    <w:rsid w:val="004D340F"/>
    <w:rsid w:val="004D5E73"/>
    <w:rsid w:val="004D5EF6"/>
    <w:rsid w:val="004E5274"/>
    <w:rsid w:val="004E6BAC"/>
    <w:rsid w:val="004E79C0"/>
    <w:rsid w:val="004E7DDB"/>
    <w:rsid w:val="004F0C4A"/>
    <w:rsid w:val="004F0CD5"/>
    <w:rsid w:val="004F0D13"/>
    <w:rsid w:val="004F0F38"/>
    <w:rsid w:val="004F3ECC"/>
    <w:rsid w:val="004F3F0F"/>
    <w:rsid w:val="004F47D6"/>
    <w:rsid w:val="004F51E2"/>
    <w:rsid w:val="00501921"/>
    <w:rsid w:val="005035FE"/>
    <w:rsid w:val="005044BD"/>
    <w:rsid w:val="00506CC0"/>
    <w:rsid w:val="00507657"/>
    <w:rsid w:val="005140E2"/>
    <w:rsid w:val="005144E9"/>
    <w:rsid w:val="00515048"/>
    <w:rsid w:val="005154E6"/>
    <w:rsid w:val="005157D2"/>
    <w:rsid w:val="00516D23"/>
    <w:rsid w:val="00517BBB"/>
    <w:rsid w:val="00524F11"/>
    <w:rsid w:val="00526B7F"/>
    <w:rsid w:val="00527F28"/>
    <w:rsid w:val="00530354"/>
    <w:rsid w:val="00530C3B"/>
    <w:rsid w:val="005331D2"/>
    <w:rsid w:val="0053625B"/>
    <w:rsid w:val="005362D6"/>
    <w:rsid w:val="00536FCB"/>
    <w:rsid w:val="00540ABC"/>
    <w:rsid w:val="005434C6"/>
    <w:rsid w:val="00543B39"/>
    <w:rsid w:val="005444C3"/>
    <w:rsid w:val="00546154"/>
    <w:rsid w:val="0054744E"/>
    <w:rsid w:val="00550096"/>
    <w:rsid w:val="00550E78"/>
    <w:rsid w:val="005524FA"/>
    <w:rsid w:val="00553FED"/>
    <w:rsid w:val="00555280"/>
    <w:rsid w:val="00555290"/>
    <w:rsid w:val="00555E9A"/>
    <w:rsid w:val="00557FF9"/>
    <w:rsid w:val="00561B86"/>
    <w:rsid w:val="00561E94"/>
    <w:rsid w:val="0056462E"/>
    <w:rsid w:val="005711D5"/>
    <w:rsid w:val="00572E12"/>
    <w:rsid w:val="00572E4A"/>
    <w:rsid w:val="00573381"/>
    <w:rsid w:val="00573AE6"/>
    <w:rsid w:val="0057623E"/>
    <w:rsid w:val="00576378"/>
    <w:rsid w:val="00577130"/>
    <w:rsid w:val="00577945"/>
    <w:rsid w:val="005779C8"/>
    <w:rsid w:val="00577E38"/>
    <w:rsid w:val="00583F94"/>
    <w:rsid w:val="00584B50"/>
    <w:rsid w:val="00585322"/>
    <w:rsid w:val="005857C6"/>
    <w:rsid w:val="0058610B"/>
    <w:rsid w:val="00586752"/>
    <w:rsid w:val="0059001C"/>
    <w:rsid w:val="005901AD"/>
    <w:rsid w:val="00590220"/>
    <w:rsid w:val="00590DC3"/>
    <w:rsid w:val="00592F6E"/>
    <w:rsid w:val="00593605"/>
    <w:rsid w:val="00593AD1"/>
    <w:rsid w:val="00594272"/>
    <w:rsid w:val="005945FD"/>
    <w:rsid w:val="005974D4"/>
    <w:rsid w:val="005A0EA0"/>
    <w:rsid w:val="005A19BE"/>
    <w:rsid w:val="005A4DE8"/>
    <w:rsid w:val="005A4DF8"/>
    <w:rsid w:val="005A68B6"/>
    <w:rsid w:val="005B0C74"/>
    <w:rsid w:val="005B0DB0"/>
    <w:rsid w:val="005B2B4E"/>
    <w:rsid w:val="005B3C69"/>
    <w:rsid w:val="005B3F70"/>
    <w:rsid w:val="005B5B21"/>
    <w:rsid w:val="005B78D7"/>
    <w:rsid w:val="005C10FC"/>
    <w:rsid w:val="005C5570"/>
    <w:rsid w:val="005C5FBC"/>
    <w:rsid w:val="005C79A4"/>
    <w:rsid w:val="005D177E"/>
    <w:rsid w:val="005D1C34"/>
    <w:rsid w:val="005D2718"/>
    <w:rsid w:val="005D3BAA"/>
    <w:rsid w:val="005D4568"/>
    <w:rsid w:val="005D5442"/>
    <w:rsid w:val="005D5A4B"/>
    <w:rsid w:val="005D5AD9"/>
    <w:rsid w:val="005D5B99"/>
    <w:rsid w:val="005E0091"/>
    <w:rsid w:val="005E1412"/>
    <w:rsid w:val="005E3919"/>
    <w:rsid w:val="005E48D0"/>
    <w:rsid w:val="005E58E2"/>
    <w:rsid w:val="005E5E0E"/>
    <w:rsid w:val="005F2471"/>
    <w:rsid w:val="005F3969"/>
    <w:rsid w:val="005F3ECC"/>
    <w:rsid w:val="005F536B"/>
    <w:rsid w:val="00603F32"/>
    <w:rsid w:val="00604694"/>
    <w:rsid w:val="006046FF"/>
    <w:rsid w:val="00605AD4"/>
    <w:rsid w:val="00605D4C"/>
    <w:rsid w:val="006060B4"/>
    <w:rsid w:val="00612479"/>
    <w:rsid w:val="00612A98"/>
    <w:rsid w:val="00615E4F"/>
    <w:rsid w:val="00615F7F"/>
    <w:rsid w:val="00616B97"/>
    <w:rsid w:val="00617116"/>
    <w:rsid w:val="006172B8"/>
    <w:rsid w:val="00620277"/>
    <w:rsid w:val="00620C40"/>
    <w:rsid w:val="00620D16"/>
    <w:rsid w:val="006232CD"/>
    <w:rsid w:val="00623716"/>
    <w:rsid w:val="006244FD"/>
    <w:rsid w:val="00625854"/>
    <w:rsid w:val="00625A6E"/>
    <w:rsid w:val="00631881"/>
    <w:rsid w:val="00632398"/>
    <w:rsid w:val="00632A38"/>
    <w:rsid w:val="0063308F"/>
    <w:rsid w:val="00640212"/>
    <w:rsid w:val="00640422"/>
    <w:rsid w:val="00640FC3"/>
    <w:rsid w:val="00641958"/>
    <w:rsid w:val="00642020"/>
    <w:rsid w:val="00643140"/>
    <w:rsid w:val="006457E8"/>
    <w:rsid w:val="0065119A"/>
    <w:rsid w:val="00653139"/>
    <w:rsid w:val="0065337B"/>
    <w:rsid w:val="0065419D"/>
    <w:rsid w:val="00654301"/>
    <w:rsid w:val="00654DE7"/>
    <w:rsid w:val="00656D2E"/>
    <w:rsid w:val="006604D8"/>
    <w:rsid w:val="00660BE0"/>
    <w:rsid w:val="00662C5D"/>
    <w:rsid w:val="00664880"/>
    <w:rsid w:val="00664A5B"/>
    <w:rsid w:val="006657AC"/>
    <w:rsid w:val="00665A95"/>
    <w:rsid w:val="006660C8"/>
    <w:rsid w:val="00666C4C"/>
    <w:rsid w:val="0066735C"/>
    <w:rsid w:val="00672BDD"/>
    <w:rsid w:val="00673E7D"/>
    <w:rsid w:val="006742C6"/>
    <w:rsid w:val="006763D2"/>
    <w:rsid w:val="00680C08"/>
    <w:rsid w:val="006819AD"/>
    <w:rsid w:val="00685D89"/>
    <w:rsid w:val="00686AB6"/>
    <w:rsid w:val="006875D0"/>
    <w:rsid w:val="00687DF7"/>
    <w:rsid w:val="00690135"/>
    <w:rsid w:val="00691F9D"/>
    <w:rsid w:val="006928A5"/>
    <w:rsid w:val="006931B1"/>
    <w:rsid w:val="00697359"/>
    <w:rsid w:val="006A15C0"/>
    <w:rsid w:val="006A1831"/>
    <w:rsid w:val="006A3FF5"/>
    <w:rsid w:val="006A7166"/>
    <w:rsid w:val="006A7D12"/>
    <w:rsid w:val="006B06CE"/>
    <w:rsid w:val="006B33A4"/>
    <w:rsid w:val="006B3C6A"/>
    <w:rsid w:val="006B656A"/>
    <w:rsid w:val="006B6C66"/>
    <w:rsid w:val="006B70ED"/>
    <w:rsid w:val="006B7793"/>
    <w:rsid w:val="006C3E2A"/>
    <w:rsid w:val="006C642F"/>
    <w:rsid w:val="006D03E5"/>
    <w:rsid w:val="006D0B8F"/>
    <w:rsid w:val="006D1042"/>
    <w:rsid w:val="006D37C4"/>
    <w:rsid w:val="006D4176"/>
    <w:rsid w:val="006D4257"/>
    <w:rsid w:val="006D5D3E"/>
    <w:rsid w:val="006E0151"/>
    <w:rsid w:val="006E0211"/>
    <w:rsid w:val="006E08B3"/>
    <w:rsid w:val="006E0AA5"/>
    <w:rsid w:val="006E25D0"/>
    <w:rsid w:val="006E419F"/>
    <w:rsid w:val="006E7C5F"/>
    <w:rsid w:val="006F17AC"/>
    <w:rsid w:val="006F25B8"/>
    <w:rsid w:val="006F572E"/>
    <w:rsid w:val="006F6251"/>
    <w:rsid w:val="0070176C"/>
    <w:rsid w:val="007046D6"/>
    <w:rsid w:val="00704E1A"/>
    <w:rsid w:val="00705B94"/>
    <w:rsid w:val="00705DB0"/>
    <w:rsid w:val="00706D5A"/>
    <w:rsid w:val="00710660"/>
    <w:rsid w:val="007157C8"/>
    <w:rsid w:val="007162EB"/>
    <w:rsid w:val="00717BDE"/>
    <w:rsid w:val="00722B57"/>
    <w:rsid w:val="00722C57"/>
    <w:rsid w:val="00723E05"/>
    <w:rsid w:val="00730F8A"/>
    <w:rsid w:val="0073185B"/>
    <w:rsid w:val="00731B53"/>
    <w:rsid w:val="007359E6"/>
    <w:rsid w:val="00735A8C"/>
    <w:rsid w:val="00736B47"/>
    <w:rsid w:val="00737E37"/>
    <w:rsid w:val="00741470"/>
    <w:rsid w:val="0074253D"/>
    <w:rsid w:val="0074429B"/>
    <w:rsid w:val="00744A7D"/>
    <w:rsid w:val="0074537E"/>
    <w:rsid w:val="00750CB5"/>
    <w:rsid w:val="00753AC1"/>
    <w:rsid w:val="00755B64"/>
    <w:rsid w:val="00755F0C"/>
    <w:rsid w:val="00756980"/>
    <w:rsid w:val="00757081"/>
    <w:rsid w:val="0076069C"/>
    <w:rsid w:val="00760917"/>
    <w:rsid w:val="007609C5"/>
    <w:rsid w:val="00760EAD"/>
    <w:rsid w:val="0076140A"/>
    <w:rsid w:val="007615BC"/>
    <w:rsid w:val="00762F05"/>
    <w:rsid w:val="00763FAE"/>
    <w:rsid w:val="007652FF"/>
    <w:rsid w:val="00770EF1"/>
    <w:rsid w:val="0077386C"/>
    <w:rsid w:val="00773E13"/>
    <w:rsid w:val="00773EF7"/>
    <w:rsid w:val="00774E1D"/>
    <w:rsid w:val="00775FC8"/>
    <w:rsid w:val="007761F6"/>
    <w:rsid w:val="007765D8"/>
    <w:rsid w:val="007766BC"/>
    <w:rsid w:val="0077675A"/>
    <w:rsid w:val="00780355"/>
    <w:rsid w:val="007819FD"/>
    <w:rsid w:val="00783FAF"/>
    <w:rsid w:val="00784240"/>
    <w:rsid w:val="0078514A"/>
    <w:rsid w:val="00785721"/>
    <w:rsid w:val="00787990"/>
    <w:rsid w:val="00791F01"/>
    <w:rsid w:val="0079252A"/>
    <w:rsid w:val="00792620"/>
    <w:rsid w:val="007933D8"/>
    <w:rsid w:val="00793A59"/>
    <w:rsid w:val="007A2257"/>
    <w:rsid w:val="007A2953"/>
    <w:rsid w:val="007A47B6"/>
    <w:rsid w:val="007B1DE2"/>
    <w:rsid w:val="007B3C17"/>
    <w:rsid w:val="007B52DA"/>
    <w:rsid w:val="007B6132"/>
    <w:rsid w:val="007B6E9F"/>
    <w:rsid w:val="007B7972"/>
    <w:rsid w:val="007C1071"/>
    <w:rsid w:val="007C119D"/>
    <w:rsid w:val="007C1216"/>
    <w:rsid w:val="007C1AF7"/>
    <w:rsid w:val="007C2C4B"/>
    <w:rsid w:val="007C35B8"/>
    <w:rsid w:val="007C45AC"/>
    <w:rsid w:val="007C508E"/>
    <w:rsid w:val="007D2AD7"/>
    <w:rsid w:val="007D317B"/>
    <w:rsid w:val="007D35BD"/>
    <w:rsid w:val="007D6999"/>
    <w:rsid w:val="007D7275"/>
    <w:rsid w:val="007E0D3F"/>
    <w:rsid w:val="007E4BE7"/>
    <w:rsid w:val="007E7371"/>
    <w:rsid w:val="007E79FB"/>
    <w:rsid w:val="007E7DE6"/>
    <w:rsid w:val="007F063C"/>
    <w:rsid w:val="007F5A20"/>
    <w:rsid w:val="007F7C28"/>
    <w:rsid w:val="008010EB"/>
    <w:rsid w:val="0080321A"/>
    <w:rsid w:val="00804CFB"/>
    <w:rsid w:val="00805D27"/>
    <w:rsid w:val="00816590"/>
    <w:rsid w:val="0081742A"/>
    <w:rsid w:val="00817770"/>
    <w:rsid w:val="00817FD8"/>
    <w:rsid w:val="008201F3"/>
    <w:rsid w:val="00821776"/>
    <w:rsid w:val="00824438"/>
    <w:rsid w:val="008256DF"/>
    <w:rsid w:val="008271A8"/>
    <w:rsid w:val="008321F5"/>
    <w:rsid w:val="00832369"/>
    <w:rsid w:val="00834660"/>
    <w:rsid w:val="00836BC2"/>
    <w:rsid w:val="008429D3"/>
    <w:rsid w:val="00847B6E"/>
    <w:rsid w:val="0085066F"/>
    <w:rsid w:val="0085156D"/>
    <w:rsid w:val="00852871"/>
    <w:rsid w:val="00852DE9"/>
    <w:rsid w:val="008549F6"/>
    <w:rsid w:val="0085641B"/>
    <w:rsid w:val="00856DF8"/>
    <w:rsid w:val="00857136"/>
    <w:rsid w:val="008621B5"/>
    <w:rsid w:val="0086358B"/>
    <w:rsid w:val="008635E6"/>
    <w:rsid w:val="008637F0"/>
    <w:rsid w:val="00865484"/>
    <w:rsid w:val="00866018"/>
    <w:rsid w:val="00866ADE"/>
    <w:rsid w:val="00873C24"/>
    <w:rsid w:val="008745F5"/>
    <w:rsid w:val="00875680"/>
    <w:rsid w:val="00875C40"/>
    <w:rsid w:val="0088032A"/>
    <w:rsid w:val="008804C0"/>
    <w:rsid w:val="00881FBB"/>
    <w:rsid w:val="0088371D"/>
    <w:rsid w:val="00883C33"/>
    <w:rsid w:val="00885B11"/>
    <w:rsid w:val="00886D15"/>
    <w:rsid w:val="00887932"/>
    <w:rsid w:val="00887DD8"/>
    <w:rsid w:val="00891BA9"/>
    <w:rsid w:val="008925CB"/>
    <w:rsid w:val="00892C1B"/>
    <w:rsid w:val="00896018"/>
    <w:rsid w:val="008960DD"/>
    <w:rsid w:val="0089635C"/>
    <w:rsid w:val="00897FEC"/>
    <w:rsid w:val="008A1FA0"/>
    <w:rsid w:val="008A2B9D"/>
    <w:rsid w:val="008A3D9F"/>
    <w:rsid w:val="008A5E0B"/>
    <w:rsid w:val="008A65C8"/>
    <w:rsid w:val="008A6D59"/>
    <w:rsid w:val="008B1A4E"/>
    <w:rsid w:val="008B2884"/>
    <w:rsid w:val="008B4B03"/>
    <w:rsid w:val="008B596F"/>
    <w:rsid w:val="008B6886"/>
    <w:rsid w:val="008B7618"/>
    <w:rsid w:val="008C12B3"/>
    <w:rsid w:val="008C159F"/>
    <w:rsid w:val="008C1623"/>
    <w:rsid w:val="008C1850"/>
    <w:rsid w:val="008C51A9"/>
    <w:rsid w:val="008C5BD5"/>
    <w:rsid w:val="008D1784"/>
    <w:rsid w:val="008D25E2"/>
    <w:rsid w:val="008D3180"/>
    <w:rsid w:val="008D33E0"/>
    <w:rsid w:val="008D4737"/>
    <w:rsid w:val="008D4D89"/>
    <w:rsid w:val="008D6431"/>
    <w:rsid w:val="008E5786"/>
    <w:rsid w:val="008E59A6"/>
    <w:rsid w:val="008E7846"/>
    <w:rsid w:val="008E78B7"/>
    <w:rsid w:val="008E79D8"/>
    <w:rsid w:val="008E7B63"/>
    <w:rsid w:val="008F02E5"/>
    <w:rsid w:val="008F1180"/>
    <w:rsid w:val="008F1CCC"/>
    <w:rsid w:val="008F2967"/>
    <w:rsid w:val="008F3BED"/>
    <w:rsid w:val="008F42F8"/>
    <w:rsid w:val="008F4C49"/>
    <w:rsid w:val="008F651C"/>
    <w:rsid w:val="008F6943"/>
    <w:rsid w:val="008F6B73"/>
    <w:rsid w:val="009020B2"/>
    <w:rsid w:val="00902A21"/>
    <w:rsid w:val="00904A92"/>
    <w:rsid w:val="0090651C"/>
    <w:rsid w:val="00914423"/>
    <w:rsid w:val="00920330"/>
    <w:rsid w:val="009205C2"/>
    <w:rsid w:val="00920CF3"/>
    <w:rsid w:val="009219D7"/>
    <w:rsid w:val="00922D53"/>
    <w:rsid w:val="00922D68"/>
    <w:rsid w:val="00923B70"/>
    <w:rsid w:val="00924482"/>
    <w:rsid w:val="009247B1"/>
    <w:rsid w:val="00924A49"/>
    <w:rsid w:val="009253FB"/>
    <w:rsid w:val="00930237"/>
    <w:rsid w:val="00930959"/>
    <w:rsid w:val="0093189C"/>
    <w:rsid w:val="009341CB"/>
    <w:rsid w:val="00935CB7"/>
    <w:rsid w:val="00940A89"/>
    <w:rsid w:val="00941851"/>
    <w:rsid w:val="00943B06"/>
    <w:rsid w:val="00944C89"/>
    <w:rsid w:val="009461B9"/>
    <w:rsid w:val="009467C3"/>
    <w:rsid w:val="00946EA5"/>
    <w:rsid w:val="009474AD"/>
    <w:rsid w:val="0094756E"/>
    <w:rsid w:val="0095161A"/>
    <w:rsid w:val="009516B2"/>
    <w:rsid w:val="00951DC4"/>
    <w:rsid w:val="0096237E"/>
    <w:rsid w:val="00962C24"/>
    <w:rsid w:val="00963C08"/>
    <w:rsid w:val="00971605"/>
    <w:rsid w:val="009811AD"/>
    <w:rsid w:val="00981C93"/>
    <w:rsid w:val="00983009"/>
    <w:rsid w:val="0098585A"/>
    <w:rsid w:val="00986A7B"/>
    <w:rsid w:val="009876E5"/>
    <w:rsid w:val="009879A2"/>
    <w:rsid w:val="00990602"/>
    <w:rsid w:val="00997B8B"/>
    <w:rsid w:val="009A073A"/>
    <w:rsid w:val="009A1696"/>
    <w:rsid w:val="009A3BDB"/>
    <w:rsid w:val="009A4CED"/>
    <w:rsid w:val="009A503D"/>
    <w:rsid w:val="009A5869"/>
    <w:rsid w:val="009A690D"/>
    <w:rsid w:val="009B1D12"/>
    <w:rsid w:val="009B300E"/>
    <w:rsid w:val="009B3B8E"/>
    <w:rsid w:val="009B416B"/>
    <w:rsid w:val="009B6FE0"/>
    <w:rsid w:val="009B75F2"/>
    <w:rsid w:val="009C20A3"/>
    <w:rsid w:val="009C4BD5"/>
    <w:rsid w:val="009C54F5"/>
    <w:rsid w:val="009C75EF"/>
    <w:rsid w:val="009C7DD1"/>
    <w:rsid w:val="009D1495"/>
    <w:rsid w:val="009D2D3F"/>
    <w:rsid w:val="009D40CE"/>
    <w:rsid w:val="009D41C6"/>
    <w:rsid w:val="009D46BE"/>
    <w:rsid w:val="009D4BD3"/>
    <w:rsid w:val="009D6420"/>
    <w:rsid w:val="009D7B77"/>
    <w:rsid w:val="009E0BB0"/>
    <w:rsid w:val="009E15D2"/>
    <w:rsid w:val="009E16C0"/>
    <w:rsid w:val="009E3DD4"/>
    <w:rsid w:val="009E3FBB"/>
    <w:rsid w:val="009F140F"/>
    <w:rsid w:val="009F2083"/>
    <w:rsid w:val="009F267D"/>
    <w:rsid w:val="009F26BB"/>
    <w:rsid w:val="009F3E58"/>
    <w:rsid w:val="009F46C9"/>
    <w:rsid w:val="00A001A5"/>
    <w:rsid w:val="00A0208F"/>
    <w:rsid w:val="00A03126"/>
    <w:rsid w:val="00A04F85"/>
    <w:rsid w:val="00A05FA4"/>
    <w:rsid w:val="00A102E4"/>
    <w:rsid w:val="00A119A6"/>
    <w:rsid w:val="00A12C42"/>
    <w:rsid w:val="00A14DF7"/>
    <w:rsid w:val="00A15B41"/>
    <w:rsid w:val="00A211F4"/>
    <w:rsid w:val="00A216F5"/>
    <w:rsid w:val="00A22673"/>
    <w:rsid w:val="00A23D0A"/>
    <w:rsid w:val="00A24050"/>
    <w:rsid w:val="00A26806"/>
    <w:rsid w:val="00A30645"/>
    <w:rsid w:val="00A313E2"/>
    <w:rsid w:val="00A319CC"/>
    <w:rsid w:val="00A3246D"/>
    <w:rsid w:val="00A3500E"/>
    <w:rsid w:val="00A35D0B"/>
    <w:rsid w:val="00A36FA7"/>
    <w:rsid w:val="00A401F4"/>
    <w:rsid w:val="00A41A84"/>
    <w:rsid w:val="00A41B25"/>
    <w:rsid w:val="00A42577"/>
    <w:rsid w:val="00A44DDB"/>
    <w:rsid w:val="00A45E15"/>
    <w:rsid w:val="00A466D8"/>
    <w:rsid w:val="00A475B7"/>
    <w:rsid w:val="00A47AF7"/>
    <w:rsid w:val="00A47C3E"/>
    <w:rsid w:val="00A50226"/>
    <w:rsid w:val="00A50C85"/>
    <w:rsid w:val="00A51755"/>
    <w:rsid w:val="00A55684"/>
    <w:rsid w:val="00A60644"/>
    <w:rsid w:val="00A60BAD"/>
    <w:rsid w:val="00A614A5"/>
    <w:rsid w:val="00A66825"/>
    <w:rsid w:val="00A66861"/>
    <w:rsid w:val="00A714B6"/>
    <w:rsid w:val="00A72050"/>
    <w:rsid w:val="00A76D50"/>
    <w:rsid w:val="00A80B5B"/>
    <w:rsid w:val="00A84E36"/>
    <w:rsid w:val="00A854BB"/>
    <w:rsid w:val="00A86D03"/>
    <w:rsid w:val="00A906E8"/>
    <w:rsid w:val="00A912CD"/>
    <w:rsid w:val="00A964D1"/>
    <w:rsid w:val="00A96AE6"/>
    <w:rsid w:val="00AA0ED0"/>
    <w:rsid w:val="00AA286D"/>
    <w:rsid w:val="00AA4446"/>
    <w:rsid w:val="00AA54CA"/>
    <w:rsid w:val="00AB2362"/>
    <w:rsid w:val="00AC1BA4"/>
    <w:rsid w:val="00AC1CA4"/>
    <w:rsid w:val="00AC2B40"/>
    <w:rsid w:val="00AC2BB2"/>
    <w:rsid w:val="00AC2C3C"/>
    <w:rsid w:val="00AC4ECB"/>
    <w:rsid w:val="00AC512D"/>
    <w:rsid w:val="00AC5C8A"/>
    <w:rsid w:val="00AC7A08"/>
    <w:rsid w:val="00AD0083"/>
    <w:rsid w:val="00AD0ECA"/>
    <w:rsid w:val="00AD392E"/>
    <w:rsid w:val="00AD3935"/>
    <w:rsid w:val="00AD6A2B"/>
    <w:rsid w:val="00AD6D75"/>
    <w:rsid w:val="00AD7403"/>
    <w:rsid w:val="00AE0608"/>
    <w:rsid w:val="00AE0697"/>
    <w:rsid w:val="00AE0A8B"/>
    <w:rsid w:val="00AE25A8"/>
    <w:rsid w:val="00AE3AAE"/>
    <w:rsid w:val="00AE4DB4"/>
    <w:rsid w:val="00AE505E"/>
    <w:rsid w:val="00AE5864"/>
    <w:rsid w:val="00AE65EB"/>
    <w:rsid w:val="00AE67A7"/>
    <w:rsid w:val="00AE7264"/>
    <w:rsid w:val="00AF003D"/>
    <w:rsid w:val="00AF1D94"/>
    <w:rsid w:val="00AF50B9"/>
    <w:rsid w:val="00AF5431"/>
    <w:rsid w:val="00AF60C5"/>
    <w:rsid w:val="00AF6E44"/>
    <w:rsid w:val="00B009C6"/>
    <w:rsid w:val="00B01548"/>
    <w:rsid w:val="00B01749"/>
    <w:rsid w:val="00B045F2"/>
    <w:rsid w:val="00B05AF5"/>
    <w:rsid w:val="00B1015B"/>
    <w:rsid w:val="00B10E54"/>
    <w:rsid w:val="00B13EBD"/>
    <w:rsid w:val="00B1449D"/>
    <w:rsid w:val="00B1469B"/>
    <w:rsid w:val="00B149B9"/>
    <w:rsid w:val="00B15321"/>
    <w:rsid w:val="00B21D29"/>
    <w:rsid w:val="00B2216C"/>
    <w:rsid w:val="00B229D8"/>
    <w:rsid w:val="00B24CF7"/>
    <w:rsid w:val="00B24D6F"/>
    <w:rsid w:val="00B25034"/>
    <w:rsid w:val="00B312EB"/>
    <w:rsid w:val="00B33588"/>
    <w:rsid w:val="00B33863"/>
    <w:rsid w:val="00B33992"/>
    <w:rsid w:val="00B33B34"/>
    <w:rsid w:val="00B33E0C"/>
    <w:rsid w:val="00B349C9"/>
    <w:rsid w:val="00B37D17"/>
    <w:rsid w:val="00B4141C"/>
    <w:rsid w:val="00B4175E"/>
    <w:rsid w:val="00B4368A"/>
    <w:rsid w:val="00B43F48"/>
    <w:rsid w:val="00B452CE"/>
    <w:rsid w:val="00B46822"/>
    <w:rsid w:val="00B46C42"/>
    <w:rsid w:val="00B477B0"/>
    <w:rsid w:val="00B5235C"/>
    <w:rsid w:val="00B525CF"/>
    <w:rsid w:val="00B54A8F"/>
    <w:rsid w:val="00B54C25"/>
    <w:rsid w:val="00B575C0"/>
    <w:rsid w:val="00B57855"/>
    <w:rsid w:val="00B57AD0"/>
    <w:rsid w:val="00B615C7"/>
    <w:rsid w:val="00B62EE0"/>
    <w:rsid w:val="00B655A1"/>
    <w:rsid w:val="00B65804"/>
    <w:rsid w:val="00B733ED"/>
    <w:rsid w:val="00B73561"/>
    <w:rsid w:val="00B76B91"/>
    <w:rsid w:val="00B77EB1"/>
    <w:rsid w:val="00B811C6"/>
    <w:rsid w:val="00B81DF9"/>
    <w:rsid w:val="00B84F6E"/>
    <w:rsid w:val="00B855B0"/>
    <w:rsid w:val="00B8675C"/>
    <w:rsid w:val="00B87554"/>
    <w:rsid w:val="00B90BBA"/>
    <w:rsid w:val="00B92E08"/>
    <w:rsid w:val="00B9351C"/>
    <w:rsid w:val="00B9440A"/>
    <w:rsid w:val="00BA04F3"/>
    <w:rsid w:val="00BA0CA4"/>
    <w:rsid w:val="00BA0CB6"/>
    <w:rsid w:val="00BA0E12"/>
    <w:rsid w:val="00BA3643"/>
    <w:rsid w:val="00BA39C8"/>
    <w:rsid w:val="00BB0DB7"/>
    <w:rsid w:val="00BB2111"/>
    <w:rsid w:val="00BB2B2B"/>
    <w:rsid w:val="00BB3A82"/>
    <w:rsid w:val="00BC0A1F"/>
    <w:rsid w:val="00BC5036"/>
    <w:rsid w:val="00BC5208"/>
    <w:rsid w:val="00BC57B9"/>
    <w:rsid w:val="00BC622A"/>
    <w:rsid w:val="00BC679C"/>
    <w:rsid w:val="00BD1477"/>
    <w:rsid w:val="00BD1E05"/>
    <w:rsid w:val="00BD333F"/>
    <w:rsid w:val="00BD3720"/>
    <w:rsid w:val="00BD4E4A"/>
    <w:rsid w:val="00BD4FDC"/>
    <w:rsid w:val="00BD5A42"/>
    <w:rsid w:val="00BD5E87"/>
    <w:rsid w:val="00BE0A78"/>
    <w:rsid w:val="00BE3002"/>
    <w:rsid w:val="00BE45DE"/>
    <w:rsid w:val="00BE79F0"/>
    <w:rsid w:val="00BF046D"/>
    <w:rsid w:val="00BF1190"/>
    <w:rsid w:val="00BF2B0A"/>
    <w:rsid w:val="00BF3FA6"/>
    <w:rsid w:val="00BF3FBF"/>
    <w:rsid w:val="00BF4AFB"/>
    <w:rsid w:val="00BF505E"/>
    <w:rsid w:val="00BF5D04"/>
    <w:rsid w:val="00C00D1B"/>
    <w:rsid w:val="00C012CF"/>
    <w:rsid w:val="00C05632"/>
    <w:rsid w:val="00C1164D"/>
    <w:rsid w:val="00C11749"/>
    <w:rsid w:val="00C11CF2"/>
    <w:rsid w:val="00C12035"/>
    <w:rsid w:val="00C12373"/>
    <w:rsid w:val="00C16582"/>
    <w:rsid w:val="00C16861"/>
    <w:rsid w:val="00C204DE"/>
    <w:rsid w:val="00C21AEF"/>
    <w:rsid w:val="00C22876"/>
    <w:rsid w:val="00C247AA"/>
    <w:rsid w:val="00C24C43"/>
    <w:rsid w:val="00C32BDB"/>
    <w:rsid w:val="00C33142"/>
    <w:rsid w:val="00C346AB"/>
    <w:rsid w:val="00C36910"/>
    <w:rsid w:val="00C404A6"/>
    <w:rsid w:val="00C40810"/>
    <w:rsid w:val="00C40A36"/>
    <w:rsid w:val="00C427A1"/>
    <w:rsid w:val="00C44419"/>
    <w:rsid w:val="00C45E7B"/>
    <w:rsid w:val="00C471B1"/>
    <w:rsid w:val="00C47882"/>
    <w:rsid w:val="00C50A75"/>
    <w:rsid w:val="00C5159B"/>
    <w:rsid w:val="00C53B95"/>
    <w:rsid w:val="00C556B6"/>
    <w:rsid w:val="00C60839"/>
    <w:rsid w:val="00C6316B"/>
    <w:rsid w:val="00C631BC"/>
    <w:rsid w:val="00C634A9"/>
    <w:rsid w:val="00C63B6B"/>
    <w:rsid w:val="00C64586"/>
    <w:rsid w:val="00C65EAE"/>
    <w:rsid w:val="00C667C4"/>
    <w:rsid w:val="00C668F9"/>
    <w:rsid w:val="00C66AC7"/>
    <w:rsid w:val="00C67190"/>
    <w:rsid w:val="00C70D53"/>
    <w:rsid w:val="00C7169C"/>
    <w:rsid w:val="00C72B91"/>
    <w:rsid w:val="00C72D39"/>
    <w:rsid w:val="00C73D0B"/>
    <w:rsid w:val="00C75055"/>
    <w:rsid w:val="00C75936"/>
    <w:rsid w:val="00C772FF"/>
    <w:rsid w:val="00C80137"/>
    <w:rsid w:val="00C801AF"/>
    <w:rsid w:val="00C80256"/>
    <w:rsid w:val="00C84B9B"/>
    <w:rsid w:val="00C87B55"/>
    <w:rsid w:val="00C919BB"/>
    <w:rsid w:val="00C94FE2"/>
    <w:rsid w:val="00C9607A"/>
    <w:rsid w:val="00C9620F"/>
    <w:rsid w:val="00C962A9"/>
    <w:rsid w:val="00C96F0A"/>
    <w:rsid w:val="00C9747E"/>
    <w:rsid w:val="00CA00FB"/>
    <w:rsid w:val="00CA42B8"/>
    <w:rsid w:val="00CA7513"/>
    <w:rsid w:val="00CB0E32"/>
    <w:rsid w:val="00CB0F56"/>
    <w:rsid w:val="00CB2022"/>
    <w:rsid w:val="00CB5731"/>
    <w:rsid w:val="00CB6BC0"/>
    <w:rsid w:val="00CC1B7C"/>
    <w:rsid w:val="00CC1D6B"/>
    <w:rsid w:val="00CC5661"/>
    <w:rsid w:val="00CC590E"/>
    <w:rsid w:val="00CC727F"/>
    <w:rsid w:val="00CD10F6"/>
    <w:rsid w:val="00CD1F51"/>
    <w:rsid w:val="00CD359B"/>
    <w:rsid w:val="00CD4980"/>
    <w:rsid w:val="00CD60D6"/>
    <w:rsid w:val="00CE1158"/>
    <w:rsid w:val="00CE175A"/>
    <w:rsid w:val="00CE2105"/>
    <w:rsid w:val="00CE4E2B"/>
    <w:rsid w:val="00CE5561"/>
    <w:rsid w:val="00CE5958"/>
    <w:rsid w:val="00CF15C3"/>
    <w:rsid w:val="00CF1DE1"/>
    <w:rsid w:val="00CF2B6F"/>
    <w:rsid w:val="00CF2E72"/>
    <w:rsid w:val="00CF2F3E"/>
    <w:rsid w:val="00CF4289"/>
    <w:rsid w:val="00CF58B6"/>
    <w:rsid w:val="00CF5A09"/>
    <w:rsid w:val="00CF7663"/>
    <w:rsid w:val="00CF7F68"/>
    <w:rsid w:val="00D0062D"/>
    <w:rsid w:val="00D017ED"/>
    <w:rsid w:val="00D040D3"/>
    <w:rsid w:val="00D04C65"/>
    <w:rsid w:val="00D06E44"/>
    <w:rsid w:val="00D07EBF"/>
    <w:rsid w:val="00D121CF"/>
    <w:rsid w:val="00D1479F"/>
    <w:rsid w:val="00D17508"/>
    <w:rsid w:val="00D201D2"/>
    <w:rsid w:val="00D2038E"/>
    <w:rsid w:val="00D224FE"/>
    <w:rsid w:val="00D23139"/>
    <w:rsid w:val="00D232CC"/>
    <w:rsid w:val="00D23C46"/>
    <w:rsid w:val="00D332CA"/>
    <w:rsid w:val="00D3787D"/>
    <w:rsid w:val="00D40B70"/>
    <w:rsid w:val="00D40FAF"/>
    <w:rsid w:val="00D4218C"/>
    <w:rsid w:val="00D425BB"/>
    <w:rsid w:val="00D43FC8"/>
    <w:rsid w:val="00D44CA3"/>
    <w:rsid w:val="00D50F9E"/>
    <w:rsid w:val="00D52E78"/>
    <w:rsid w:val="00D5555C"/>
    <w:rsid w:val="00D55EE7"/>
    <w:rsid w:val="00D575FC"/>
    <w:rsid w:val="00D62513"/>
    <w:rsid w:val="00D62C33"/>
    <w:rsid w:val="00D62E4C"/>
    <w:rsid w:val="00D63C16"/>
    <w:rsid w:val="00D6493E"/>
    <w:rsid w:val="00D64F3F"/>
    <w:rsid w:val="00D67F06"/>
    <w:rsid w:val="00D70008"/>
    <w:rsid w:val="00D7195D"/>
    <w:rsid w:val="00D72010"/>
    <w:rsid w:val="00D7301E"/>
    <w:rsid w:val="00D735AA"/>
    <w:rsid w:val="00D76191"/>
    <w:rsid w:val="00D83AE1"/>
    <w:rsid w:val="00D84719"/>
    <w:rsid w:val="00D84D7A"/>
    <w:rsid w:val="00D855D4"/>
    <w:rsid w:val="00D86B01"/>
    <w:rsid w:val="00D91314"/>
    <w:rsid w:val="00D92529"/>
    <w:rsid w:val="00D93466"/>
    <w:rsid w:val="00D95A73"/>
    <w:rsid w:val="00D96223"/>
    <w:rsid w:val="00D9634B"/>
    <w:rsid w:val="00D96EF6"/>
    <w:rsid w:val="00D97518"/>
    <w:rsid w:val="00DA1124"/>
    <w:rsid w:val="00DA11A4"/>
    <w:rsid w:val="00DA2F87"/>
    <w:rsid w:val="00DA312C"/>
    <w:rsid w:val="00DA4493"/>
    <w:rsid w:val="00DA4A1C"/>
    <w:rsid w:val="00DA6183"/>
    <w:rsid w:val="00DA7A59"/>
    <w:rsid w:val="00DB149F"/>
    <w:rsid w:val="00DB1945"/>
    <w:rsid w:val="00DB330E"/>
    <w:rsid w:val="00DB47B2"/>
    <w:rsid w:val="00DB4B3C"/>
    <w:rsid w:val="00DB4E54"/>
    <w:rsid w:val="00DB6124"/>
    <w:rsid w:val="00DB7063"/>
    <w:rsid w:val="00DB750B"/>
    <w:rsid w:val="00DB75B7"/>
    <w:rsid w:val="00DB7A2F"/>
    <w:rsid w:val="00DC18AF"/>
    <w:rsid w:val="00DC3A44"/>
    <w:rsid w:val="00DC503C"/>
    <w:rsid w:val="00DC5B11"/>
    <w:rsid w:val="00DC6E02"/>
    <w:rsid w:val="00DC7F86"/>
    <w:rsid w:val="00DD0E77"/>
    <w:rsid w:val="00DD2527"/>
    <w:rsid w:val="00DD299A"/>
    <w:rsid w:val="00DD3791"/>
    <w:rsid w:val="00DD61F2"/>
    <w:rsid w:val="00DE02AE"/>
    <w:rsid w:val="00DE0971"/>
    <w:rsid w:val="00DE23CB"/>
    <w:rsid w:val="00DE29D9"/>
    <w:rsid w:val="00DE2C51"/>
    <w:rsid w:val="00DE3F32"/>
    <w:rsid w:val="00DE41E3"/>
    <w:rsid w:val="00DE45D9"/>
    <w:rsid w:val="00DE493A"/>
    <w:rsid w:val="00DE703A"/>
    <w:rsid w:val="00DF1D7F"/>
    <w:rsid w:val="00DF2805"/>
    <w:rsid w:val="00DF4BE4"/>
    <w:rsid w:val="00DF56C9"/>
    <w:rsid w:val="00DF687C"/>
    <w:rsid w:val="00E002FB"/>
    <w:rsid w:val="00E00B5D"/>
    <w:rsid w:val="00E02B31"/>
    <w:rsid w:val="00E02FB4"/>
    <w:rsid w:val="00E03D49"/>
    <w:rsid w:val="00E03E3B"/>
    <w:rsid w:val="00E057D1"/>
    <w:rsid w:val="00E06307"/>
    <w:rsid w:val="00E13282"/>
    <w:rsid w:val="00E13FC7"/>
    <w:rsid w:val="00E14AD9"/>
    <w:rsid w:val="00E15801"/>
    <w:rsid w:val="00E20571"/>
    <w:rsid w:val="00E21718"/>
    <w:rsid w:val="00E2219A"/>
    <w:rsid w:val="00E235F7"/>
    <w:rsid w:val="00E23659"/>
    <w:rsid w:val="00E239D4"/>
    <w:rsid w:val="00E26130"/>
    <w:rsid w:val="00E317EB"/>
    <w:rsid w:val="00E35D92"/>
    <w:rsid w:val="00E378A6"/>
    <w:rsid w:val="00E37C1A"/>
    <w:rsid w:val="00E40B22"/>
    <w:rsid w:val="00E44ED1"/>
    <w:rsid w:val="00E45619"/>
    <w:rsid w:val="00E4588F"/>
    <w:rsid w:val="00E45A3D"/>
    <w:rsid w:val="00E46DA3"/>
    <w:rsid w:val="00E51BB1"/>
    <w:rsid w:val="00E51F29"/>
    <w:rsid w:val="00E52F36"/>
    <w:rsid w:val="00E53880"/>
    <w:rsid w:val="00E54108"/>
    <w:rsid w:val="00E57E9F"/>
    <w:rsid w:val="00E624A5"/>
    <w:rsid w:val="00E639B1"/>
    <w:rsid w:val="00E63ECA"/>
    <w:rsid w:val="00E6490D"/>
    <w:rsid w:val="00E64BA4"/>
    <w:rsid w:val="00E650FD"/>
    <w:rsid w:val="00E65969"/>
    <w:rsid w:val="00E65D0F"/>
    <w:rsid w:val="00E65F2C"/>
    <w:rsid w:val="00E72B98"/>
    <w:rsid w:val="00E7344E"/>
    <w:rsid w:val="00E75BF3"/>
    <w:rsid w:val="00E7647B"/>
    <w:rsid w:val="00E82FDC"/>
    <w:rsid w:val="00E84AFD"/>
    <w:rsid w:val="00E8655B"/>
    <w:rsid w:val="00E91593"/>
    <w:rsid w:val="00E93AA7"/>
    <w:rsid w:val="00E946ED"/>
    <w:rsid w:val="00E94915"/>
    <w:rsid w:val="00E95733"/>
    <w:rsid w:val="00E964D6"/>
    <w:rsid w:val="00E96BD3"/>
    <w:rsid w:val="00E97C55"/>
    <w:rsid w:val="00E97D55"/>
    <w:rsid w:val="00EA07F1"/>
    <w:rsid w:val="00EA0D5C"/>
    <w:rsid w:val="00EA27B1"/>
    <w:rsid w:val="00EA7C6C"/>
    <w:rsid w:val="00EA7F34"/>
    <w:rsid w:val="00EB0798"/>
    <w:rsid w:val="00EB40AD"/>
    <w:rsid w:val="00EB4133"/>
    <w:rsid w:val="00EB586E"/>
    <w:rsid w:val="00EB5B77"/>
    <w:rsid w:val="00EB5FC8"/>
    <w:rsid w:val="00EB6C8B"/>
    <w:rsid w:val="00EB7CA3"/>
    <w:rsid w:val="00EC0309"/>
    <w:rsid w:val="00EC2908"/>
    <w:rsid w:val="00EC2946"/>
    <w:rsid w:val="00EC7A85"/>
    <w:rsid w:val="00ED07A4"/>
    <w:rsid w:val="00ED3CAD"/>
    <w:rsid w:val="00ED4209"/>
    <w:rsid w:val="00ED42EC"/>
    <w:rsid w:val="00ED5A41"/>
    <w:rsid w:val="00ED5EB9"/>
    <w:rsid w:val="00EE1B1A"/>
    <w:rsid w:val="00EE1DE8"/>
    <w:rsid w:val="00EE6D80"/>
    <w:rsid w:val="00EF1BD9"/>
    <w:rsid w:val="00EF2586"/>
    <w:rsid w:val="00EF5574"/>
    <w:rsid w:val="00EF649E"/>
    <w:rsid w:val="00F00CE7"/>
    <w:rsid w:val="00F0143C"/>
    <w:rsid w:val="00F033EC"/>
    <w:rsid w:val="00F0494D"/>
    <w:rsid w:val="00F04F68"/>
    <w:rsid w:val="00F05794"/>
    <w:rsid w:val="00F05A41"/>
    <w:rsid w:val="00F07756"/>
    <w:rsid w:val="00F12670"/>
    <w:rsid w:val="00F129C3"/>
    <w:rsid w:val="00F12B70"/>
    <w:rsid w:val="00F13010"/>
    <w:rsid w:val="00F14B27"/>
    <w:rsid w:val="00F17D4C"/>
    <w:rsid w:val="00F225EB"/>
    <w:rsid w:val="00F27D78"/>
    <w:rsid w:val="00F3148D"/>
    <w:rsid w:val="00F325C5"/>
    <w:rsid w:val="00F32FE0"/>
    <w:rsid w:val="00F35298"/>
    <w:rsid w:val="00F35D38"/>
    <w:rsid w:val="00F36A4A"/>
    <w:rsid w:val="00F459FC"/>
    <w:rsid w:val="00F47333"/>
    <w:rsid w:val="00F47E37"/>
    <w:rsid w:val="00F53758"/>
    <w:rsid w:val="00F53C07"/>
    <w:rsid w:val="00F54B65"/>
    <w:rsid w:val="00F566E6"/>
    <w:rsid w:val="00F5682A"/>
    <w:rsid w:val="00F63037"/>
    <w:rsid w:val="00F640B6"/>
    <w:rsid w:val="00F666D6"/>
    <w:rsid w:val="00F66B07"/>
    <w:rsid w:val="00F67D4A"/>
    <w:rsid w:val="00F80E40"/>
    <w:rsid w:val="00F83B07"/>
    <w:rsid w:val="00F83EF6"/>
    <w:rsid w:val="00F848D9"/>
    <w:rsid w:val="00F86673"/>
    <w:rsid w:val="00F87338"/>
    <w:rsid w:val="00F873B6"/>
    <w:rsid w:val="00F90F49"/>
    <w:rsid w:val="00F911F2"/>
    <w:rsid w:val="00F9130B"/>
    <w:rsid w:val="00F93034"/>
    <w:rsid w:val="00F9592E"/>
    <w:rsid w:val="00FA226D"/>
    <w:rsid w:val="00FA342C"/>
    <w:rsid w:val="00FA49C0"/>
    <w:rsid w:val="00FA501B"/>
    <w:rsid w:val="00FA51C9"/>
    <w:rsid w:val="00FA5B82"/>
    <w:rsid w:val="00FA639E"/>
    <w:rsid w:val="00FA6BCE"/>
    <w:rsid w:val="00FA6ED0"/>
    <w:rsid w:val="00FA7A24"/>
    <w:rsid w:val="00FB0A87"/>
    <w:rsid w:val="00FB3138"/>
    <w:rsid w:val="00FB42C1"/>
    <w:rsid w:val="00FB4415"/>
    <w:rsid w:val="00FB4E98"/>
    <w:rsid w:val="00FB5ADB"/>
    <w:rsid w:val="00FC0847"/>
    <w:rsid w:val="00FC25E4"/>
    <w:rsid w:val="00FC26A8"/>
    <w:rsid w:val="00FC3DA3"/>
    <w:rsid w:val="00FC497A"/>
    <w:rsid w:val="00FC4EF7"/>
    <w:rsid w:val="00FC5302"/>
    <w:rsid w:val="00FC6043"/>
    <w:rsid w:val="00FC6452"/>
    <w:rsid w:val="00FC6616"/>
    <w:rsid w:val="00FC7627"/>
    <w:rsid w:val="00FD0824"/>
    <w:rsid w:val="00FD0E9E"/>
    <w:rsid w:val="00FD119B"/>
    <w:rsid w:val="00FD1EDC"/>
    <w:rsid w:val="00FD3C0A"/>
    <w:rsid w:val="00FD4A88"/>
    <w:rsid w:val="00FE0D7C"/>
    <w:rsid w:val="00FE1DEE"/>
    <w:rsid w:val="00FE266B"/>
    <w:rsid w:val="00FE2FBF"/>
    <w:rsid w:val="00FE527D"/>
    <w:rsid w:val="00FF1A1C"/>
    <w:rsid w:val="00FF2126"/>
    <w:rsid w:val="00FF23F2"/>
    <w:rsid w:val="00FF5755"/>
    <w:rsid w:val="00FF5EB6"/>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E93AA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AD6D7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D6D7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85066F"/>
    <w:pPr>
      <w:ind w:left="720"/>
      <w:contextualSpacing/>
    </w:pPr>
  </w:style>
  <w:style w:type="paragraph" w:customStyle="1" w:styleId="A-Head3">
    <w:name w:val="A-Head 3"/>
    <w:basedOn w:val="Normal"/>
    <w:autoRedefine/>
    <w:rsid w:val="008F42F8"/>
    <w:pPr>
      <w:widowControl w:val="0"/>
      <w:numPr>
        <w:ilvl w:val="12"/>
      </w:numPr>
      <w:spacing w:after="60" w:line="240" w:lineRule="auto"/>
      <w:ind w:right="-108"/>
    </w:pPr>
    <w:rPr>
      <w:rFonts w:ascii="Arial" w:eastAsia="Times New Roman" w:hAnsi="Arial"/>
      <w:b/>
      <w:sz w:val="26"/>
      <w:szCs w:val="20"/>
    </w:rPr>
  </w:style>
  <w:style w:type="paragraph" w:customStyle="1" w:styleId="Bulletpoint">
    <w:name w:val="Bullet point"/>
    <w:basedOn w:val="Normal"/>
    <w:rsid w:val="007B52DA"/>
    <w:pPr>
      <w:numPr>
        <w:numId w:val="6"/>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0A4223"/>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0A4223"/>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0A4223"/>
    <w:pPr>
      <w:spacing w:after="0"/>
    </w:pPr>
    <w:rPr>
      <w:sz w:val="16"/>
      <w:szCs w:val="16"/>
    </w:rPr>
  </w:style>
  <w:style w:type="paragraph" w:customStyle="1" w:styleId="AssessmentSubsection">
    <w:name w:val="Assessment Subsection"/>
    <w:basedOn w:val="Standard"/>
    <w:next w:val="Standard"/>
    <w:rsid w:val="000A4223"/>
    <w:pPr>
      <w:keepNext/>
      <w:spacing w:after="110"/>
      <w:outlineLvl w:val="2"/>
    </w:pPr>
    <w:rPr>
      <w:b/>
      <w:i/>
    </w:rPr>
  </w:style>
  <w:style w:type="character" w:customStyle="1" w:styleId="WhiteSpaceChar">
    <w:name w:val="White Space Char"/>
    <w:basedOn w:val="DefaultParagraphFont"/>
    <w:link w:val="WhiteSpace"/>
    <w:rsid w:val="000A4223"/>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12469E"/>
    <w:pPr>
      <w:outlineLvl w:val="3"/>
    </w:pPr>
    <w:rPr>
      <w:b w:val="0"/>
    </w:rPr>
  </w:style>
  <w:style w:type="paragraph" w:customStyle="1" w:styleId="TableCaption">
    <w:name w:val="Table Caption"/>
    <w:basedOn w:val="Standard"/>
    <w:next w:val="Standard"/>
    <w:link w:val="TableCaptionChar"/>
    <w:rsid w:val="00E964D6"/>
    <w:pPr>
      <w:spacing w:before="60" w:after="440" w:line="215" w:lineRule="exact"/>
      <w:ind w:left="170"/>
    </w:pPr>
    <w:rPr>
      <w:sz w:val="18"/>
      <w:szCs w:val="19"/>
    </w:rPr>
  </w:style>
  <w:style w:type="character" w:customStyle="1" w:styleId="TableCaptionChar">
    <w:name w:val="Table Caption Char"/>
    <w:basedOn w:val="DefaultParagraphFont"/>
    <w:link w:val="TableCaption"/>
    <w:rsid w:val="00E964D6"/>
    <w:rPr>
      <w:rFonts w:ascii="Cambria" w:eastAsia="Times New Roman" w:hAnsi="Cambria" w:cs="Times New Roman"/>
      <w:snapToGrid w:val="0"/>
      <w:kern w:val="16"/>
      <w:sz w:val="18"/>
      <w:szCs w:val="19"/>
    </w:rPr>
  </w:style>
  <w:style w:type="paragraph" w:customStyle="1" w:styleId="AssessmentSection">
    <w:name w:val="Assessment Section"/>
    <w:basedOn w:val="AssessmentSubsection"/>
    <w:next w:val="Standard"/>
    <w:rsid w:val="00D17508"/>
    <w:pPr>
      <w:outlineLvl w:val="1"/>
    </w:pPr>
    <w:rPr>
      <w:i w:val="0"/>
    </w:rPr>
  </w:style>
  <w:style w:type="paragraph" w:customStyle="1" w:styleId="Bullet1">
    <w:name w:val="Bullet 1"/>
    <w:basedOn w:val="Normal"/>
    <w:rsid w:val="00D96EF6"/>
    <w:pPr>
      <w:numPr>
        <w:numId w:val="7"/>
      </w:numPr>
      <w:spacing w:after="0" w:line="240" w:lineRule="auto"/>
    </w:pPr>
    <w:rPr>
      <w:rFonts w:eastAsia="Times New Roman"/>
      <w:kern w:val="24"/>
      <w:szCs w:val="24"/>
      <w:lang w:eastAsia="en-AU"/>
    </w:rPr>
  </w:style>
  <w:style w:type="paragraph" w:customStyle="1" w:styleId="Bullet2">
    <w:name w:val="Bullet 2"/>
    <w:basedOn w:val="Bullet1"/>
    <w:uiPriority w:val="99"/>
    <w:rsid w:val="00D96EF6"/>
    <w:pPr>
      <w:numPr>
        <w:numId w:val="8"/>
      </w:numPr>
    </w:pPr>
  </w:style>
  <w:style w:type="character" w:customStyle="1" w:styleId="Heading8Char">
    <w:name w:val="Heading 8 Char"/>
    <w:basedOn w:val="DefaultParagraphFont"/>
    <w:link w:val="Heading8"/>
    <w:uiPriority w:val="9"/>
    <w:semiHidden/>
    <w:rsid w:val="00AD6D7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6D75"/>
    <w:rPr>
      <w:rFonts w:asciiTheme="majorHAnsi" w:eastAsiaTheme="majorEastAsia" w:hAnsiTheme="majorHAnsi" w:cstheme="majorBidi"/>
      <w:i/>
      <w:iCs/>
      <w:color w:val="404040" w:themeColor="text1" w:themeTint="BF"/>
      <w:sz w:val="20"/>
      <w:szCs w:val="20"/>
    </w:rPr>
  </w:style>
  <w:style w:type="paragraph" w:customStyle="1" w:styleId="Default">
    <w:name w:val="Default"/>
    <w:rsid w:val="0095161A"/>
    <w:pPr>
      <w:autoSpaceDE w:val="0"/>
      <w:autoSpaceDN w:val="0"/>
      <w:adjustRightInd w:val="0"/>
      <w:spacing w:after="0" w:line="240" w:lineRule="auto"/>
    </w:pPr>
    <w:rPr>
      <w:rFonts w:ascii="Times New Roman" w:eastAsia="MS Mincho" w:hAnsi="Times New Roman" w:cs="Times New Roman"/>
      <w:color w:val="000000"/>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E93AA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AD6D7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D6D7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85066F"/>
    <w:pPr>
      <w:ind w:left="720"/>
      <w:contextualSpacing/>
    </w:pPr>
  </w:style>
  <w:style w:type="paragraph" w:customStyle="1" w:styleId="A-Head3">
    <w:name w:val="A-Head 3"/>
    <w:basedOn w:val="Normal"/>
    <w:autoRedefine/>
    <w:rsid w:val="008F42F8"/>
    <w:pPr>
      <w:widowControl w:val="0"/>
      <w:numPr>
        <w:ilvl w:val="12"/>
      </w:numPr>
      <w:spacing w:after="60" w:line="240" w:lineRule="auto"/>
      <w:ind w:right="-108"/>
    </w:pPr>
    <w:rPr>
      <w:rFonts w:ascii="Arial" w:eastAsia="Times New Roman" w:hAnsi="Arial"/>
      <w:b/>
      <w:sz w:val="26"/>
      <w:szCs w:val="20"/>
    </w:rPr>
  </w:style>
  <w:style w:type="paragraph" w:customStyle="1" w:styleId="Bulletpoint">
    <w:name w:val="Bullet point"/>
    <w:basedOn w:val="Normal"/>
    <w:rsid w:val="007B52DA"/>
    <w:pPr>
      <w:numPr>
        <w:numId w:val="6"/>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0A4223"/>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0A4223"/>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0A4223"/>
    <w:pPr>
      <w:spacing w:after="0"/>
    </w:pPr>
    <w:rPr>
      <w:sz w:val="16"/>
      <w:szCs w:val="16"/>
    </w:rPr>
  </w:style>
  <w:style w:type="paragraph" w:customStyle="1" w:styleId="AssessmentSubsection">
    <w:name w:val="Assessment Subsection"/>
    <w:basedOn w:val="Standard"/>
    <w:next w:val="Standard"/>
    <w:rsid w:val="000A4223"/>
    <w:pPr>
      <w:keepNext/>
      <w:spacing w:after="110"/>
      <w:outlineLvl w:val="2"/>
    </w:pPr>
    <w:rPr>
      <w:b/>
      <w:i/>
    </w:rPr>
  </w:style>
  <w:style w:type="character" w:customStyle="1" w:styleId="WhiteSpaceChar">
    <w:name w:val="White Space Char"/>
    <w:basedOn w:val="DefaultParagraphFont"/>
    <w:link w:val="WhiteSpace"/>
    <w:rsid w:val="000A4223"/>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12469E"/>
    <w:pPr>
      <w:outlineLvl w:val="3"/>
    </w:pPr>
    <w:rPr>
      <w:b w:val="0"/>
    </w:rPr>
  </w:style>
  <w:style w:type="paragraph" w:customStyle="1" w:styleId="TableCaption">
    <w:name w:val="Table Caption"/>
    <w:basedOn w:val="Standard"/>
    <w:next w:val="Standard"/>
    <w:link w:val="TableCaptionChar"/>
    <w:rsid w:val="00E964D6"/>
    <w:pPr>
      <w:spacing w:before="60" w:after="440" w:line="215" w:lineRule="exact"/>
      <w:ind w:left="170"/>
    </w:pPr>
    <w:rPr>
      <w:sz w:val="18"/>
      <w:szCs w:val="19"/>
    </w:rPr>
  </w:style>
  <w:style w:type="character" w:customStyle="1" w:styleId="TableCaptionChar">
    <w:name w:val="Table Caption Char"/>
    <w:basedOn w:val="DefaultParagraphFont"/>
    <w:link w:val="TableCaption"/>
    <w:rsid w:val="00E964D6"/>
    <w:rPr>
      <w:rFonts w:ascii="Cambria" w:eastAsia="Times New Roman" w:hAnsi="Cambria" w:cs="Times New Roman"/>
      <w:snapToGrid w:val="0"/>
      <w:kern w:val="16"/>
      <w:sz w:val="18"/>
      <w:szCs w:val="19"/>
    </w:rPr>
  </w:style>
  <w:style w:type="paragraph" w:customStyle="1" w:styleId="AssessmentSection">
    <w:name w:val="Assessment Section"/>
    <w:basedOn w:val="AssessmentSubsection"/>
    <w:next w:val="Standard"/>
    <w:rsid w:val="00D17508"/>
    <w:pPr>
      <w:outlineLvl w:val="1"/>
    </w:pPr>
    <w:rPr>
      <w:i w:val="0"/>
    </w:rPr>
  </w:style>
  <w:style w:type="paragraph" w:customStyle="1" w:styleId="Bullet1">
    <w:name w:val="Bullet 1"/>
    <w:basedOn w:val="Normal"/>
    <w:rsid w:val="00D96EF6"/>
    <w:pPr>
      <w:numPr>
        <w:numId w:val="7"/>
      </w:numPr>
      <w:spacing w:after="0" w:line="240" w:lineRule="auto"/>
    </w:pPr>
    <w:rPr>
      <w:rFonts w:eastAsia="Times New Roman"/>
      <w:kern w:val="24"/>
      <w:szCs w:val="24"/>
      <w:lang w:eastAsia="en-AU"/>
    </w:rPr>
  </w:style>
  <w:style w:type="paragraph" w:customStyle="1" w:styleId="Bullet2">
    <w:name w:val="Bullet 2"/>
    <w:basedOn w:val="Bullet1"/>
    <w:uiPriority w:val="99"/>
    <w:rsid w:val="00D96EF6"/>
    <w:pPr>
      <w:numPr>
        <w:numId w:val="8"/>
      </w:numPr>
    </w:pPr>
  </w:style>
  <w:style w:type="character" w:customStyle="1" w:styleId="Heading8Char">
    <w:name w:val="Heading 8 Char"/>
    <w:basedOn w:val="DefaultParagraphFont"/>
    <w:link w:val="Heading8"/>
    <w:uiPriority w:val="9"/>
    <w:semiHidden/>
    <w:rsid w:val="00AD6D7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6D75"/>
    <w:rPr>
      <w:rFonts w:asciiTheme="majorHAnsi" w:eastAsiaTheme="majorEastAsia" w:hAnsiTheme="majorHAnsi" w:cstheme="majorBidi"/>
      <w:i/>
      <w:iCs/>
      <w:color w:val="404040" w:themeColor="text1" w:themeTint="BF"/>
      <w:sz w:val="20"/>
      <w:szCs w:val="20"/>
    </w:rPr>
  </w:style>
  <w:style w:type="paragraph" w:customStyle="1" w:styleId="Default">
    <w:name w:val="Default"/>
    <w:rsid w:val="0095161A"/>
    <w:pPr>
      <w:autoSpaceDE w:val="0"/>
      <w:autoSpaceDN w:val="0"/>
      <w:adjustRightInd w:val="0"/>
      <w:spacing w:after="0" w:line="240" w:lineRule="auto"/>
    </w:pPr>
    <w:rPr>
      <w:rFonts w:ascii="Times New Roman" w:eastAsia="MS Mincho" w:hAnsi="Times New Roman" w:cs="Times New Roman"/>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2.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5.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4.xml"/><Relationship Id="rId58"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www.tga.gov.au" TargetMode="External"/><Relationship Id="rId61"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3.xml"/><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mailto:info@tga.gov.au"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tga.gov.au/product-information-pi"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82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A049A-1667-4973-A35B-7A39DABCC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153</TotalTime>
  <Pages>94</Pages>
  <Words>35125</Words>
  <Characters>200213</Characters>
  <Application>Microsoft Office Word</Application>
  <DocSecurity>0</DocSecurity>
  <Lines>1668</Lines>
  <Paragraphs>469</Paragraphs>
  <ScaleCrop>false</ScaleCrop>
  <HeadingPairs>
    <vt:vector size="2" baseType="variant">
      <vt:variant>
        <vt:lpstr>Title</vt:lpstr>
      </vt:variant>
      <vt:variant>
        <vt:i4>1</vt:i4>
      </vt:variant>
    </vt:vector>
  </HeadingPairs>
  <TitlesOfParts>
    <vt:vector size="1" baseType="lpstr">
      <vt:lpstr>Australian Public Assessment Report for Apremilast</vt:lpstr>
    </vt:vector>
  </TitlesOfParts>
  <Company>Department of Health Therapeutic Goods Administration</Company>
  <LinksUpToDate>false</LinksUpToDate>
  <CharactersWithSpaces>234869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Apremilast</dc:title>
  <dc:subject>Prescription medicines</dc:subject>
  <dc:creator>Therapeutic Goods Administration</dc:creator>
  <cp:keywords>AusPARs</cp:keywords>
  <cp:lastModifiedBy>Searson, Lisa</cp:lastModifiedBy>
  <cp:revision>6</cp:revision>
  <cp:lastPrinted>2010-12-20T22:59:00Z</cp:lastPrinted>
  <dcterms:created xsi:type="dcterms:W3CDTF">2015-11-24T01:26:00Z</dcterms:created>
  <dcterms:modified xsi:type="dcterms:W3CDTF">2015-11-24T03:59:00Z</dcterms:modified>
</cp:coreProperties>
</file>