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3092DA2" w14:textId="77777777" w:rsidTr="00BF1190">
        <w:trPr>
          <w:trHeight w:val="1863"/>
        </w:trPr>
        <w:tc>
          <w:tcPr>
            <w:tcW w:w="3652" w:type="dxa"/>
            <w:tcBorders>
              <w:top w:val="nil"/>
              <w:left w:val="nil"/>
              <w:bottom w:val="nil"/>
              <w:right w:val="nil"/>
            </w:tcBorders>
          </w:tcPr>
          <w:p w14:paraId="5803560E" w14:textId="53761D9C" w:rsidR="008E7846" w:rsidRPr="00096AA7" w:rsidRDefault="00D70E30" w:rsidP="00096AA7">
            <w:pPr>
              <w:rPr>
                <w:rFonts w:ascii="Arial" w:hAnsi="Arial" w:cs="Arial"/>
                <w:b/>
                <w:color w:val="002C47"/>
                <w:sz w:val="36"/>
                <w:szCs w:val="36"/>
              </w:rPr>
            </w:pPr>
            <w:r>
              <w:rPr>
                <w:rFonts w:ascii="Arial" w:hAnsi="Arial" w:cs="Arial"/>
                <w:b/>
                <w:color w:val="002C47"/>
                <w:sz w:val="36"/>
                <w:szCs w:val="36"/>
              </w:rPr>
              <w:t xml:space="preserve">December </w:t>
            </w:r>
            <w:r w:rsidR="009D6795">
              <w:rPr>
                <w:rFonts w:ascii="Arial" w:hAnsi="Arial" w:cs="Arial"/>
                <w:b/>
                <w:color w:val="002C47"/>
                <w:sz w:val="36"/>
                <w:szCs w:val="36"/>
              </w:rPr>
              <w:t>2019</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EE3BCC4" w14:textId="77777777" w:rsidTr="0032583B">
        <w:trPr>
          <w:trHeight w:val="868"/>
        </w:trPr>
        <w:tc>
          <w:tcPr>
            <w:tcW w:w="9079" w:type="dxa"/>
          </w:tcPr>
          <w:p w14:paraId="62284B75"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9D6795">
              <w:rPr>
                <w:color w:val="FFFFFF" w:themeColor="background1"/>
              </w:rPr>
              <w:t>A</w:t>
            </w:r>
            <w:r w:rsidR="009D6795" w:rsidRPr="009D6795">
              <w:rPr>
                <w:color w:val="FFFFFF" w:themeColor="background1"/>
              </w:rPr>
              <w:t>rtemether</w:t>
            </w:r>
          </w:p>
        </w:tc>
      </w:tr>
      <w:tr w:rsidR="0032583B" w:rsidRPr="00B64760" w14:paraId="05FF96F4" w14:textId="77777777" w:rsidTr="0032583B">
        <w:tc>
          <w:tcPr>
            <w:tcW w:w="9079" w:type="dxa"/>
          </w:tcPr>
          <w:p w14:paraId="41CD8F4F" w14:textId="77777777"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9D6795" w:rsidRPr="009D6795">
              <w:rPr>
                <w:color w:val="FFFFFF" w:themeColor="background1"/>
              </w:rPr>
              <w:t>ArTiMist</w:t>
            </w:r>
            <w:proofErr w:type="spellEnd"/>
            <w:r w:rsidR="009D6795" w:rsidRPr="009D6795">
              <w:rPr>
                <w:color w:val="FFFFFF" w:themeColor="background1"/>
              </w:rPr>
              <w:t xml:space="preserve"> 6</w:t>
            </w:r>
          </w:p>
        </w:tc>
      </w:tr>
      <w:tr w:rsidR="0032583B" w:rsidRPr="00B64760" w14:paraId="1F095899" w14:textId="77777777" w:rsidTr="0032583B">
        <w:trPr>
          <w:trHeight w:val="486"/>
        </w:trPr>
        <w:tc>
          <w:tcPr>
            <w:tcW w:w="9079" w:type="dxa"/>
          </w:tcPr>
          <w:p w14:paraId="394ECC88" w14:textId="77777777" w:rsidR="0032583B" w:rsidRPr="008E7846" w:rsidRDefault="0032583B" w:rsidP="0032583B">
            <w:pPr>
              <w:pStyle w:val="Subtitle"/>
              <w:rPr>
                <w:color w:val="FFFFFF" w:themeColor="background1"/>
              </w:rPr>
            </w:pPr>
            <w:r w:rsidRPr="008E7846">
              <w:rPr>
                <w:color w:val="FFFFFF" w:themeColor="background1"/>
              </w:rPr>
              <w:t xml:space="preserve">Sponsor: </w:t>
            </w:r>
            <w:proofErr w:type="spellStart"/>
            <w:r w:rsidR="009D6795" w:rsidRPr="009D6795">
              <w:rPr>
                <w:color w:val="FFFFFF" w:themeColor="background1"/>
              </w:rPr>
              <w:t>Suda</w:t>
            </w:r>
            <w:proofErr w:type="spellEnd"/>
            <w:r w:rsidR="009D6795" w:rsidRPr="009D6795">
              <w:rPr>
                <w:color w:val="FFFFFF" w:themeColor="background1"/>
              </w:rPr>
              <w:t xml:space="preserve"> Pharmaceuticals Ltd</w:t>
            </w:r>
          </w:p>
        </w:tc>
      </w:tr>
    </w:tbl>
    <w:p w14:paraId="44989B3B" w14:textId="77777777" w:rsidR="008E7846" w:rsidRPr="0085156D" w:rsidRDefault="008E7846" w:rsidP="0085156D">
      <w:r w:rsidRPr="0085156D">
        <w:br w:type="page"/>
      </w:r>
    </w:p>
    <w:p w14:paraId="2D88025F" w14:textId="77777777" w:rsidR="008E7846" w:rsidRPr="001F6CBA" w:rsidRDefault="008E7846" w:rsidP="008E7846">
      <w:pPr>
        <w:pStyle w:val="NonTOCHeading2"/>
      </w:pPr>
      <w:r w:rsidRPr="001F6CBA">
        <w:lastRenderedPageBreak/>
        <w:t>About the Therapeutic Goods Administration (TGA)</w:t>
      </w:r>
    </w:p>
    <w:p w14:paraId="55CFCB7B"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FBE06C7"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5816B2A5"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79D0402D"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453AEF31"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00F6F38F" w14:textId="77777777" w:rsidR="008E7846" w:rsidRDefault="008E7846" w:rsidP="00875A6B">
      <w:pPr>
        <w:pStyle w:val="NonTOCHeading2"/>
      </w:pPr>
      <w:r>
        <w:t xml:space="preserve">About </w:t>
      </w:r>
      <w:proofErr w:type="spellStart"/>
      <w:r>
        <w:t>AusPARs</w:t>
      </w:r>
      <w:proofErr w:type="spellEnd"/>
    </w:p>
    <w:p w14:paraId="1CEA76BD" w14:textId="77777777"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69D9F691"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69D51012"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w:t>
      </w:r>
      <w:proofErr w:type="gramStart"/>
      <w:r>
        <w:t>variations</w:t>
      </w:r>
      <w:proofErr w:type="gramEnd"/>
      <w:r>
        <w:t xml:space="preserve"> and extensions of indications.</w:t>
      </w:r>
    </w:p>
    <w:p w14:paraId="2DD68092"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190F2873" w14:textId="77777777"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758F7B39" w14:textId="77777777" w:rsidR="00924482" w:rsidRPr="00DF1D7F" w:rsidRDefault="00924482" w:rsidP="00F54B65">
      <w:pPr>
        <w:pStyle w:val="LegalSubheading"/>
        <w:spacing w:before="3120"/>
      </w:pPr>
      <w:r w:rsidRPr="00DF1D7F">
        <w:t>Copyright</w:t>
      </w:r>
    </w:p>
    <w:p w14:paraId="1C77236F" w14:textId="77777777" w:rsidR="00924482" w:rsidRDefault="00924482" w:rsidP="00924482">
      <w:pPr>
        <w:pStyle w:val="LegalCopy"/>
      </w:pPr>
      <w:r w:rsidRPr="00191B3B">
        <w:rPr>
          <w:rFonts w:cs="Arial"/>
          <w:lang w:val="en-GB"/>
        </w:rPr>
        <w:t>© Comm</w:t>
      </w:r>
      <w:r>
        <w:rPr>
          <w:rFonts w:cs="Arial"/>
          <w:lang w:val="en-GB"/>
        </w:rPr>
        <w:t>onwealth of Australia 201</w:t>
      </w:r>
      <w:r w:rsidR="00C52E24">
        <w:rPr>
          <w:rFonts w:cs="Arial"/>
          <w:lang w:val="en-GB"/>
        </w:rPr>
        <w:t>9</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proofErr w:type="gramStart"/>
      <w:r w:rsidRPr="00191B3B">
        <w:rPr>
          <w:rFonts w:cs="Arial"/>
          <w:lang w:val="en-GB"/>
        </w:rPr>
        <w:t>reserved</w:t>
      </w:r>
      <w:proofErr w:type="gramEnd"/>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21971831"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C87D27D" w14:textId="77777777" w:rsidR="0089635C" w:rsidRPr="0089635C" w:rsidRDefault="0089635C" w:rsidP="0010788A">
          <w:pPr>
            <w:pStyle w:val="Contents"/>
          </w:pPr>
          <w:r w:rsidRPr="0010788A">
            <w:t>Contents</w:t>
          </w:r>
        </w:p>
        <w:p w14:paraId="43F20FB1" w14:textId="22C696B7" w:rsidR="00BF6D9E"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120536549" w:history="1">
            <w:r w:rsidR="00BF6D9E" w:rsidRPr="00C752BA">
              <w:rPr>
                <w:rStyle w:val="Hyperlink"/>
                <w:noProof/>
              </w:rPr>
              <w:t>Common abbreviations</w:t>
            </w:r>
            <w:r w:rsidR="00BF6D9E">
              <w:rPr>
                <w:noProof/>
                <w:webHidden/>
              </w:rPr>
              <w:tab/>
            </w:r>
            <w:r w:rsidR="00BF6D9E">
              <w:rPr>
                <w:noProof/>
                <w:webHidden/>
              </w:rPr>
              <w:fldChar w:fldCharType="begin"/>
            </w:r>
            <w:r w:rsidR="00BF6D9E">
              <w:rPr>
                <w:noProof/>
                <w:webHidden/>
              </w:rPr>
              <w:instrText xml:space="preserve"> PAGEREF _Toc120536549 \h </w:instrText>
            </w:r>
            <w:r w:rsidR="00BF6D9E">
              <w:rPr>
                <w:noProof/>
                <w:webHidden/>
              </w:rPr>
            </w:r>
            <w:r w:rsidR="00BF6D9E">
              <w:rPr>
                <w:noProof/>
                <w:webHidden/>
              </w:rPr>
              <w:fldChar w:fldCharType="separate"/>
            </w:r>
            <w:r w:rsidR="00636B51">
              <w:rPr>
                <w:noProof/>
                <w:webHidden/>
              </w:rPr>
              <w:t>4</w:t>
            </w:r>
            <w:r w:rsidR="00BF6D9E">
              <w:rPr>
                <w:noProof/>
                <w:webHidden/>
              </w:rPr>
              <w:fldChar w:fldCharType="end"/>
            </w:r>
          </w:hyperlink>
        </w:p>
        <w:p w14:paraId="3850CF18" w14:textId="2F9CAFA2" w:rsidR="00BF6D9E" w:rsidRDefault="00636B51">
          <w:pPr>
            <w:pStyle w:val="TOC2"/>
            <w:rPr>
              <w:rFonts w:asciiTheme="minorHAnsi" w:eastAsiaTheme="minorEastAsia" w:hAnsiTheme="minorHAnsi" w:cstheme="minorBidi"/>
              <w:b w:val="0"/>
              <w:noProof/>
              <w:sz w:val="22"/>
              <w:lang w:eastAsia="en-AU"/>
            </w:rPr>
          </w:pPr>
          <w:hyperlink w:anchor="_Toc120536550" w:history="1">
            <w:r w:rsidR="00BF6D9E" w:rsidRPr="00C752BA">
              <w:rPr>
                <w:rStyle w:val="Hyperlink"/>
                <w:noProof/>
              </w:rPr>
              <w:t>I. Introduction to product submission</w:t>
            </w:r>
            <w:r w:rsidR="00BF6D9E">
              <w:rPr>
                <w:noProof/>
                <w:webHidden/>
              </w:rPr>
              <w:tab/>
            </w:r>
            <w:r w:rsidR="00BF6D9E">
              <w:rPr>
                <w:noProof/>
                <w:webHidden/>
              </w:rPr>
              <w:fldChar w:fldCharType="begin"/>
            </w:r>
            <w:r w:rsidR="00BF6D9E">
              <w:rPr>
                <w:noProof/>
                <w:webHidden/>
              </w:rPr>
              <w:instrText xml:space="preserve"> PAGEREF _Toc120536550 \h </w:instrText>
            </w:r>
            <w:r w:rsidR="00BF6D9E">
              <w:rPr>
                <w:noProof/>
                <w:webHidden/>
              </w:rPr>
            </w:r>
            <w:r w:rsidR="00BF6D9E">
              <w:rPr>
                <w:noProof/>
                <w:webHidden/>
              </w:rPr>
              <w:fldChar w:fldCharType="separate"/>
            </w:r>
            <w:r>
              <w:rPr>
                <w:noProof/>
                <w:webHidden/>
              </w:rPr>
              <w:t>6</w:t>
            </w:r>
            <w:r w:rsidR="00BF6D9E">
              <w:rPr>
                <w:noProof/>
                <w:webHidden/>
              </w:rPr>
              <w:fldChar w:fldCharType="end"/>
            </w:r>
          </w:hyperlink>
        </w:p>
        <w:p w14:paraId="0F25A4BD" w14:textId="104F78AA" w:rsidR="00BF6D9E" w:rsidRDefault="00636B51">
          <w:pPr>
            <w:pStyle w:val="TOC3"/>
            <w:rPr>
              <w:rFonts w:asciiTheme="minorHAnsi" w:eastAsiaTheme="minorEastAsia" w:hAnsiTheme="minorHAnsi" w:cstheme="minorBidi"/>
              <w:noProof/>
              <w:lang w:eastAsia="en-AU"/>
            </w:rPr>
          </w:pPr>
          <w:hyperlink w:anchor="_Toc120536551" w:history="1">
            <w:r w:rsidR="00BF6D9E" w:rsidRPr="00C752BA">
              <w:rPr>
                <w:rStyle w:val="Hyperlink"/>
                <w:noProof/>
                <w:lang w:eastAsia="en-AU"/>
              </w:rPr>
              <w:t>Submission details</w:t>
            </w:r>
            <w:r w:rsidR="00BF6D9E">
              <w:rPr>
                <w:noProof/>
                <w:webHidden/>
              </w:rPr>
              <w:tab/>
            </w:r>
            <w:r w:rsidR="00BF6D9E">
              <w:rPr>
                <w:noProof/>
                <w:webHidden/>
              </w:rPr>
              <w:fldChar w:fldCharType="begin"/>
            </w:r>
            <w:r w:rsidR="00BF6D9E">
              <w:rPr>
                <w:noProof/>
                <w:webHidden/>
              </w:rPr>
              <w:instrText xml:space="preserve"> PAGEREF _Toc120536551 \h </w:instrText>
            </w:r>
            <w:r w:rsidR="00BF6D9E">
              <w:rPr>
                <w:noProof/>
                <w:webHidden/>
              </w:rPr>
            </w:r>
            <w:r w:rsidR="00BF6D9E">
              <w:rPr>
                <w:noProof/>
                <w:webHidden/>
              </w:rPr>
              <w:fldChar w:fldCharType="separate"/>
            </w:r>
            <w:r>
              <w:rPr>
                <w:noProof/>
                <w:webHidden/>
              </w:rPr>
              <w:t>6</w:t>
            </w:r>
            <w:r w:rsidR="00BF6D9E">
              <w:rPr>
                <w:noProof/>
                <w:webHidden/>
              </w:rPr>
              <w:fldChar w:fldCharType="end"/>
            </w:r>
          </w:hyperlink>
        </w:p>
        <w:p w14:paraId="322D920B" w14:textId="65B98414" w:rsidR="00BF6D9E" w:rsidRDefault="00636B51">
          <w:pPr>
            <w:pStyle w:val="TOC3"/>
            <w:rPr>
              <w:rFonts w:asciiTheme="minorHAnsi" w:eastAsiaTheme="minorEastAsia" w:hAnsiTheme="minorHAnsi" w:cstheme="minorBidi"/>
              <w:noProof/>
              <w:lang w:eastAsia="en-AU"/>
            </w:rPr>
          </w:pPr>
          <w:hyperlink w:anchor="_Toc120536552" w:history="1">
            <w:r w:rsidR="00BF6D9E" w:rsidRPr="00C752BA">
              <w:rPr>
                <w:rStyle w:val="Hyperlink"/>
                <w:noProof/>
              </w:rPr>
              <w:t>Product background</w:t>
            </w:r>
            <w:r w:rsidR="00BF6D9E">
              <w:rPr>
                <w:noProof/>
                <w:webHidden/>
              </w:rPr>
              <w:tab/>
            </w:r>
            <w:r w:rsidR="00BF6D9E">
              <w:rPr>
                <w:noProof/>
                <w:webHidden/>
              </w:rPr>
              <w:fldChar w:fldCharType="begin"/>
            </w:r>
            <w:r w:rsidR="00BF6D9E">
              <w:rPr>
                <w:noProof/>
                <w:webHidden/>
              </w:rPr>
              <w:instrText xml:space="preserve"> PAGEREF _Toc120536552 \h </w:instrText>
            </w:r>
            <w:r w:rsidR="00BF6D9E">
              <w:rPr>
                <w:noProof/>
                <w:webHidden/>
              </w:rPr>
            </w:r>
            <w:r w:rsidR="00BF6D9E">
              <w:rPr>
                <w:noProof/>
                <w:webHidden/>
              </w:rPr>
              <w:fldChar w:fldCharType="separate"/>
            </w:r>
            <w:r>
              <w:rPr>
                <w:noProof/>
                <w:webHidden/>
              </w:rPr>
              <w:t>7</w:t>
            </w:r>
            <w:r w:rsidR="00BF6D9E">
              <w:rPr>
                <w:noProof/>
                <w:webHidden/>
              </w:rPr>
              <w:fldChar w:fldCharType="end"/>
            </w:r>
          </w:hyperlink>
        </w:p>
        <w:p w14:paraId="1948905B" w14:textId="64197482" w:rsidR="00BF6D9E" w:rsidRDefault="00636B51">
          <w:pPr>
            <w:pStyle w:val="TOC3"/>
            <w:rPr>
              <w:rFonts w:asciiTheme="minorHAnsi" w:eastAsiaTheme="minorEastAsia" w:hAnsiTheme="minorHAnsi" w:cstheme="minorBidi"/>
              <w:noProof/>
              <w:lang w:eastAsia="en-AU"/>
            </w:rPr>
          </w:pPr>
          <w:hyperlink w:anchor="_Toc120536553" w:history="1">
            <w:r w:rsidR="00BF6D9E" w:rsidRPr="00C752BA">
              <w:rPr>
                <w:rStyle w:val="Hyperlink"/>
                <w:noProof/>
              </w:rPr>
              <w:t>Regulatory status</w:t>
            </w:r>
            <w:r w:rsidR="00BF6D9E">
              <w:rPr>
                <w:noProof/>
                <w:webHidden/>
              </w:rPr>
              <w:tab/>
            </w:r>
            <w:r w:rsidR="00BF6D9E">
              <w:rPr>
                <w:noProof/>
                <w:webHidden/>
              </w:rPr>
              <w:fldChar w:fldCharType="begin"/>
            </w:r>
            <w:r w:rsidR="00BF6D9E">
              <w:rPr>
                <w:noProof/>
                <w:webHidden/>
              </w:rPr>
              <w:instrText xml:space="preserve"> PAGEREF _Toc120536553 \h </w:instrText>
            </w:r>
            <w:r w:rsidR="00BF6D9E">
              <w:rPr>
                <w:noProof/>
                <w:webHidden/>
              </w:rPr>
            </w:r>
            <w:r w:rsidR="00BF6D9E">
              <w:rPr>
                <w:noProof/>
                <w:webHidden/>
              </w:rPr>
              <w:fldChar w:fldCharType="separate"/>
            </w:r>
            <w:r>
              <w:rPr>
                <w:noProof/>
                <w:webHidden/>
              </w:rPr>
              <w:t>8</w:t>
            </w:r>
            <w:r w:rsidR="00BF6D9E">
              <w:rPr>
                <w:noProof/>
                <w:webHidden/>
              </w:rPr>
              <w:fldChar w:fldCharType="end"/>
            </w:r>
          </w:hyperlink>
        </w:p>
        <w:p w14:paraId="0FD6BD2A" w14:textId="3DF35B4E" w:rsidR="00BF6D9E" w:rsidRDefault="00636B51">
          <w:pPr>
            <w:pStyle w:val="TOC2"/>
            <w:rPr>
              <w:rFonts w:asciiTheme="minorHAnsi" w:eastAsiaTheme="minorEastAsia" w:hAnsiTheme="minorHAnsi" w:cstheme="minorBidi"/>
              <w:b w:val="0"/>
              <w:noProof/>
              <w:sz w:val="22"/>
              <w:lang w:eastAsia="en-AU"/>
            </w:rPr>
          </w:pPr>
          <w:hyperlink w:anchor="_Toc120536554" w:history="1">
            <w:r w:rsidR="00BF6D9E" w:rsidRPr="00C752BA">
              <w:rPr>
                <w:rStyle w:val="Hyperlink"/>
                <w:noProof/>
              </w:rPr>
              <w:t>II. Registration timeline</w:t>
            </w:r>
            <w:r w:rsidR="00BF6D9E">
              <w:rPr>
                <w:noProof/>
                <w:webHidden/>
              </w:rPr>
              <w:tab/>
            </w:r>
            <w:r w:rsidR="00BF6D9E">
              <w:rPr>
                <w:noProof/>
                <w:webHidden/>
              </w:rPr>
              <w:fldChar w:fldCharType="begin"/>
            </w:r>
            <w:r w:rsidR="00BF6D9E">
              <w:rPr>
                <w:noProof/>
                <w:webHidden/>
              </w:rPr>
              <w:instrText xml:space="preserve"> PAGEREF _Toc120536554 \h </w:instrText>
            </w:r>
            <w:r w:rsidR="00BF6D9E">
              <w:rPr>
                <w:noProof/>
                <w:webHidden/>
              </w:rPr>
            </w:r>
            <w:r w:rsidR="00BF6D9E">
              <w:rPr>
                <w:noProof/>
                <w:webHidden/>
              </w:rPr>
              <w:fldChar w:fldCharType="separate"/>
            </w:r>
            <w:r>
              <w:rPr>
                <w:noProof/>
                <w:webHidden/>
              </w:rPr>
              <w:t>8</w:t>
            </w:r>
            <w:r w:rsidR="00BF6D9E">
              <w:rPr>
                <w:noProof/>
                <w:webHidden/>
              </w:rPr>
              <w:fldChar w:fldCharType="end"/>
            </w:r>
          </w:hyperlink>
        </w:p>
        <w:p w14:paraId="3C23C063" w14:textId="75640475" w:rsidR="00BF6D9E" w:rsidRDefault="00636B51">
          <w:pPr>
            <w:pStyle w:val="TOC2"/>
            <w:rPr>
              <w:rFonts w:asciiTheme="minorHAnsi" w:eastAsiaTheme="minorEastAsia" w:hAnsiTheme="minorHAnsi" w:cstheme="minorBidi"/>
              <w:b w:val="0"/>
              <w:noProof/>
              <w:sz w:val="22"/>
              <w:lang w:eastAsia="en-AU"/>
            </w:rPr>
          </w:pPr>
          <w:hyperlink w:anchor="_Toc120536555" w:history="1">
            <w:r w:rsidR="00BF6D9E" w:rsidRPr="00C752BA">
              <w:rPr>
                <w:rStyle w:val="Hyperlink"/>
                <w:noProof/>
              </w:rPr>
              <w:t>III. Submission overview and risk/benefit assessment</w:t>
            </w:r>
            <w:r w:rsidR="00BF6D9E">
              <w:rPr>
                <w:noProof/>
                <w:webHidden/>
              </w:rPr>
              <w:tab/>
            </w:r>
            <w:r w:rsidR="00BF6D9E">
              <w:rPr>
                <w:noProof/>
                <w:webHidden/>
              </w:rPr>
              <w:fldChar w:fldCharType="begin"/>
            </w:r>
            <w:r w:rsidR="00BF6D9E">
              <w:rPr>
                <w:noProof/>
                <w:webHidden/>
              </w:rPr>
              <w:instrText xml:space="preserve"> PAGEREF _Toc120536555 \h </w:instrText>
            </w:r>
            <w:r w:rsidR="00BF6D9E">
              <w:rPr>
                <w:noProof/>
                <w:webHidden/>
              </w:rPr>
            </w:r>
            <w:r w:rsidR="00BF6D9E">
              <w:rPr>
                <w:noProof/>
                <w:webHidden/>
              </w:rPr>
              <w:fldChar w:fldCharType="separate"/>
            </w:r>
            <w:r>
              <w:rPr>
                <w:noProof/>
                <w:webHidden/>
              </w:rPr>
              <w:t>9</w:t>
            </w:r>
            <w:r w:rsidR="00BF6D9E">
              <w:rPr>
                <w:noProof/>
                <w:webHidden/>
              </w:rPr>
              <w:fldChar w:fldCharType="end"/>
            </w:r>
          </w:hyperlink>
        </w:p>
        <w:p w14:paraId="42985E6C" w14:textId="70029622" w:rsidR="00BF6D9E" w:rsidRDefault="00636B51">
          <w:pPr>
            <w:pStyle w:val="TOC3"/>
            <w:rPr>
              <w:rFonts w:asciiTheme="minorHAnsi" w:eastAsiaTheme="minorEastAsia" w:hAnsiTheme="minorHAnsi" w:cstheme="minorBidi"/>
              <w:noProof/>
              <w:lang w:eastAsia="en-AU"/>
            </w:rPr>
          </w:pPr>
          <w:hyperlink w:anchor="_Toc120536556" w:history="1">
            <w:r w:rsidR="00BF6D9E" w:rsidRPr="00C752BA">
              <w:rPr>
                <w:rStyle w:val="Hyperlink"/>
                <w:noProof/>
              </w:rPr>
              <w:t>Quality</w:t>
            </w:r>
            <w:r w:rsidR="00BF6D9E">
              <w:rPr>
                <w:noProof/>
                <w:webHidden/>
              </w:rPr>
              <w:tab/>
            </w:r>
            <w:r w:rsidR="00BF6D9E">
              <w:rPr>
                <w:noProof/>
                <w:webHidden/>
              </w:rPr>
              <w:fldChar w:fldCharType="begin"/>
            </w:r>
            <w:r w:rsidR="00BF6D9E">
              <w:rPr>
                <w:noProof/>
                <w:webHidden/>
              </w:rPr>
              <w:instrText xml:space="preserve"> PAGEREF _Toc120536556 \h </w:instrText>
            </w:r>
            <w:r w:rsidR="00BF6D9E">
              <w:rPr>
                <w:noProof/>
                <w:webHidden/>
              </w:rPr>
            </w:r>
            <w:r w:rsidR="00BF6D9E">
              <w:rPr>
                <w:noProof/>
                <w:webHidden/>
              </w:rPr>
              <w:fldChar w:fldCharType="separate"/>
            </w:r>
            <w:r>
              <w:rPr>
                <w:noProof/>
                <w:webHidden/>
              </w:rPr>
              <w:t>9</w:t>
            </w:r>
            <w:r w:rsidR="00BF6D9E">
              <w:rPr>
                <w:noProof/>
                <w:webHidden/>
              </w:rPr>
              <w:fldChar w:fldCharType="end"/>
            </w:r>
          </w:hyperlink>
        </w:p>
        <w:p w14:paraId="6A6B2182" w14:textId="0426FA9C" w:rsidR="00BF6D9E" w:rsidRDefault="00636B51">
          <w:pPr>
            <w:pStyle w:val="TOC3"/>
            <w:rPr>
              <w:rFonts w:asciiTheme="minorHAnsi" w:eastAsiaTheme="minorEastAsia" w:hAnsiTheme="minorHAnsi" w:cstheme="minorBidi"/>
              <w:noProof/>
              <w:lang w:eastAsia="en-AU"/>
            </w:rPr>
          </w:pPr>
          <w:hyperlink w:anchor="_Toc120536557" w:history="1">
            <w:r w:rsidR="00BF6D9E" w:rsidRPr="00C752BA">
              <w:rPr>
                <w:rStyle w:val="Hyperlink"/>
                <w:noProof/>
              </w:rPr>
              <w:t>Nonclinical</w:t>
            </w:r>
            <w:r w:rsidR="00BF6D9E">
              <w:rPr>
                <w:noProof/>
                <w:webHidden/>
              </w:rPr>
              <w:tab/>
            </w:r>
            <w:r w:rsidR="00BF6D9E">
              <w:rPr>
                <w:noProof/>
                <w:webHidden/>
              </w:rPr>
              <w:fldChar w:fldCharType="begin"/>
            </w:r>
            <w:r w:rsidR="00BF6D9E">
              <w:rPr>
                <w:noProof/>
                <w:webHidden/>
              </w:rPr>
              <w:instrText xml:space="preserve"> PAGEREF _Toc120536557 \h </w:instrText>
            </w:r>
            <w:r w:rsidR="00BF6D9E">
              <w:rPr>
                <w:noProof/>
                <w:webHidden/>
              </w:rPr>
            </w:r>
            <w:r w:rsidR="00BF6D9E">
              <w:rPr>
                <w:noProof/>
                <w:webHidden/>
              </w:rPr>
              <w:fldChar w:fldCharType="separate"/>
            </w:r>
            <w:r>
              <w:rPr>
                <w:noProof/>
                <w:webHidden/>
              </w:rPr>
              <w:t>9</w:t>
            </w:r>
            <w:r w:rsidR="00BF6D9E">
              <w:rPr>
                <w:noProof/>
                <w:webHidden/>
              </w:rPr>
              <w:fldChar w:fldCharType="end"/>
            </w:r>
          </w:hyperlink>
        </w:p>
        <w:p w14:paraId="2AF174FC" w14:textId="714E8D8D" w:rsidR="00BF6D9E" w:rsidRDefault="00636B51">
          <w:pPr>
            <w:pStyle w:val="TOC3"/>
            <w:rPr>
              <w:rFonts w:asciiTheme="minorHAnsi" w:eastAsiaTheme="minorEastAsia" w:hAnsiTheme="minorHAnsi" w:cstheme="minorBidi"/>
              <w:noProof/>
              <w:lang w:eastAsia="en-AU"/>
            </w:rPr>
          </w:pPr>
          <w:hyperlink w:anchor="_Toc120536558" w:history="1">
            <w:r w:rsidR="00BF6D9E" w:rsidRPr="00C752BA">
              <w:rPr>
                <w:rStyle w:val="Hyperlink"/>
                <w:noProof/>
              </w:rPr>
              <w:t>Clinical</w:t>
            </w:r>
            <w:r w:rsidR="00BF6D9E">
              <w:rPr>
                <w:noProof/>
                <w:webHidden/>
              </w:rPr>
              <w:tab/>
            </w:r>
            <w:r w:rsidR="00BF6D9E">
              <w:rPr>
                <w:noProof/>
                <w:webHidden/>
              </w:rPr>
              <w:fldChar w:fldCharType="begin"/>
            </w:r>
            <w:r w:rsidR="00BF6D9E">
              <w:rPr>
                <w:noProof/>
                <w:webHidden/>
              </w:rPr>
              <w:instrText xml:space="preserve"> PAGEREF _Toc120536558 \h </w:instrText>
            </w:r>
            <w:r w:rsidR="00BF6D9E">
              <w:rPr>
                <w:noProof/>
                <w:webHidden/>
              </w:rPr>
            </w:r>
            <w:r w:rsidR="00BF6D9E">
              <w:rPr>
                <w:noProof/>
                <w:webHidden/>
              </w:rPr>
              <w:fldChar w:fldCharType="separate"/>
            </w:r>
            <w:r>
              <w:rPr>
                <w:noProof/>
                <w:webHidden/>
              </w:rPr>
              <w:t>10</w:t>
            </w:r>
            <w:r w:rsidR="00BF6D9E">
              <w:rPr>
                <w:noProof/>
                <w:webHidden/>
              </w:rPr>
              <w:fldChar w:fldCharType="end"/>
            </w:r>
          </w:hyperlink>
        </w:p>
        <w:p w14:paraId="0C21AB96" w14:textId="6EF3E26E" w:rsidR="00BF6D9E" w:rsidRDefault="00636B51">
          <w:pPr>
            <w:pStyle w:val="TOC3"/>
            <w:rPr>
              <w:rFonts w:asciiTheme="minorHAnsi" w:eastAsiaTheme="minorEastAsia" w:hAnsiTheme="minorHAnsi" w:cstheme="minorBidi"/>
              <w:noProof/>
              <w:lang w:eastAsia="en-AU"/>
            </w:rPr>
          </w:pPr>
          <w:hyperlink w:anchor="_Toc120536559" w:history="1">
            <w:r w:rsidR="00BF6D9E" w:rsidRPr="00C752BA">
              <w:rPr>
                <w:rStyle w:val="Hyperlink"/>
                <w:noProof/>
                <w:lang w:eastAsia="en-AU"/>
              </w:rPr>
              <w:t>Risk management plan</w:t>
            </w:r>
            <w:r w:rsidR="00BF6D9E">
              <w:rPr>
                <w:noProof/>
                <w:webHidden/>
              </w:rPr>
              <w:tab/>
            </w:r>
            <w:r w:rsidR="00BF6D9E">
              <w:rPr>
                <w:noProof/>
                <w:webHidden/>
              </w:rPr>
              <w:fldChar w:fldCharType="begin"/>
            </w:r>
            <w:r w:rsidR="00BF6D9E">
              <w:rPr>
                <w:noProof/>
                <w:webHidden/>
              </w:rPr>
              <w:instrText xml:space="preserve"> PAGEREF _Toc120536559 \h </w:instrText>
            </w:r>
            <w:r w:rsidR="00BF6D9E">
              <w:rPr>
                <w:noProof/>
                <w:webHidden/>
              </w:rPr>
            </w:r>
            <w:r w:rsidR="00BF6D9E">
              <w:rPr>
                <w:noProof/>
                <w:webHidden/>
              </w:rPr>
              <w:fldChar w:fldCharType="separate"/>
            </w:r>
            <w:r>
              <w:rPr>
                <w:noProof/>
                <w:webHidden/>
              </w:rPr>
              <w:t>16</w:t>
            </w:r>
            <w:r w:rsidR="00BF6D9E">
              <w:rPr>
                <w:noProof/>
                <w:webHidden/>
              </w:rPr>
              <w:fldChar w:fldCharType="end"/>
            </w:r>
          </w:hyperlink>
        </w:p>
        <w:p w14:paraId="02C04A46" w14:textId="0C8DFA44" w:rsidR="00BF6D9E" w:rsidRDefault="00636B51">
          <w:pPr>
            <w:pStyle w:val="TOC3"/>
            <w:rPr>
              <w:rFonts w:asciiTheme="minorHAnsi" w:eastAsiaTheme="minorEastAsia" w:hAnsiTheme="minorHAnsi" w:cstheme="minorBidi"/>
              <w:noProof/>
              <w:lang w:eastAsia="en-AU"/>
            </w:rPr>
          </w:pPr>
          <w:hyperlink w:anchor="_Toc120536560" w:history="1">
            <w:r w:rsidR="00BF6D9E" w:rsidRPr="00C752BA">
              <w:rPr>
                <w:rStyle w:val="Hyperlink"/>
                <w:noProof/>
              </w:rPr>
              <w:t>Risk-benefit analysis</w:t>
            </w:r>
            <w:r w:rsidR="00BF6D9E">
              <w:rPr>
                <w:noProof/>
                <w:webHidden/>
              </w:rPr>
              <w:tab/>
            </w:r>
            <w:r w:rsidR="00BF6D9E">
              <w:rPr>
                <w:noProof/>
                <w:webHidden/>
              </w:rPr>
              <w:fldChar w:fldCharType="begin"/>
            </w:r>
            <w:r w:rsidR="00BF6D9E">
              <w:rPr>
                <w:noProof/>
                <w:webHidden/>
              </w:rPr>
              <w:instrText xml:space="preserve"> PAGEREF _Toc120536560 \h </w:instrText>
            </w:r>
            <w:r w:rsidR="00BF6D9E">
              <w:rPr>
                <w:noProof/>
                <w:webHidden/>
              </w:rPr>
            </w:r>
            <w:r w:rsidR="00BF6D9E">
              <w:rPr>
                <w:noProof/>
                <w:webHidden/>
              </w:rPr>
              <w:fldChar w:fldCharType="separate"/>
            </w:r>
            <w:r>
              <w:rPr>
                <w:noProof/>
                <w:webHidden/>
              </w:rPr>
              <w:t>16</w:t>
            </w:r>
            <w:r w:rsidR="00BF6D9E">
              <w:rPr>
                <w:noProof/>
                <w:webHidden/>
              </w:rPr>
              <w:fldChar w:fldCharType="end"/>
            </w:r>
          </w:hyperlink>
        </w:p>
        <w:p w14:paraId="25EE1C6C" w14:textId="61B78F55" w:rsidR="00BF6D9E" w:rsidRDefault="00636B51">
          <w:pPr>
            <w:pStyle w:val="TOC3"/>
            <w:rPr>
              <w:rFonts w:asciiTheme="minorHAnsi" w:eastAsiaTheme="minorEastAsia" w:hAnsiTheme="minorHAnsi" w:cstheme="minorBidi"/>
              <w:noProof/>
              <w:lang w:eastAsia="en-AU"/>
            </w:rPr>
          </w:pPr>
          <w:hyperlink w:anchor="_Toc120536561" w:history="1">
            <w:r w:rsidR="00BF6D9E" w:rsidRPr="00C752BA">
              <w:rPr>
                <w:rStyle w:val="Hyperlink"/>
                <w:noProof/>
              </w:rPr>
              <w:t>Outcome</w:t>
            </w:r>
            <w:r w:rsidR="00BF6D9E">
              <w:rPr>
                <w:noProof/>
                <w:webHidden/>
              </w:rPr>
              <w:tab/>
            </w:r>
            <w:r w:rsidR="00BF6D9E">
              <w:rPr>
                <w:noProof/>
                <w:webHidden/>
              </w:rPr>
              <w:fldChar w:fldCharType="begin"/>
            </w:r>
            <w:r w:rsidR="00BF6D9E">
              <w:rPr>
                <w:noProof/>
                <w:webHidden/>
              </w:rPr>
              <w:instrText xml:space="preserve"> PAGEREF _Toc120536561 \h </w:instrText>
            </w:r>
            <w:r w:rsidR="00BF6D9E">
              <w:rPr>
                <w:noProof/>
                <w:webHidden/>
              </w:rPr>
            </w:r>
            <w:r w:rsidR="00BF6D9E">
              <w:rPr>
                <w:noProof/>
                <w:webHidden/>
              </w:rPr>
              <w:fldChar w:fldCharType="separate"/>
            </w:r>
            <w:r>
              <w:rPr>
                <w:noProof/>
                <w:webHidden/>
              </w:rPr>
              <w:t>21</w:t>
            </w:r>
            <w:r w:rsidR="00BF6D9E">
              <w:rPr>
                <w:noProof/>
                <w:webHidden/>
              </w:rPr>
              <w:fldChar w:fldCharType="end"/>
            </w:r>
          </w:hyperlink>
        </w:p>
        <w:p w14:paraId="2C97588C" w14:textId="3AC52F88" w:rsidR="003A7F6C" w:rsidRPr="00B811C6" w:rsidRDefault="00DB6124" w:rsidP="00B811C6">
          <w:pPr>
            <w:pStyle w:val="TOC2"/>
          </w:pPr>
          <w:r>
            <w:fldChar w:fldCharType="end"/>
          </w:r>
        </w:p>
      </w:sdtContent>
    </w:sdt>
    <w:bookmarkStart w:id="2" w:name="_Toc314842482" w:displacedByCustomXml="prev"/>
    <w:p w14:paraId="452CB03A" w14:textId="77777777" w:rsidR="00FD119B" w:rsidRDefault="00FD119B">
      <w:pPr>
        <w:spacing w:before="0" w:after="200" w:line="0" w:lineRule="auto"/>
      </w:pPr>
      <w:r>
        <w:br w:type="page"/>
      </w:r>
    </w:p>
    <w:p w14:paraId="5E7171D7" w14:textId="77777777" w:rsidR="00C52E24" w:rsidRPr="00C52E24" w:rsidRDefault="00441C3F" w:rsidP="00AB3146">
      <w:pPr>
        <w:pStyle w:val="Heading2"/>
      </w:pPr>
      <w:bookmarkStart w:id="3" w:name="_Toc351716269"/>
      <w:bookmarkStart w:id="4" w:name="_Toc351718881"/>
      <w:bookmarkStart w:id="5" w:name="_Toc355338616"/>
      <w:bookmarkStart w:id="6" w:name="_Toc356306144"/>
      <w:bookmarkStart w:id="7" w:name="_Toc120536549"/>
      <w:r>
        <w:lastRenderedPageBreak/>
        <w:t>Common</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796"/>
        <w:gridCol w:w="6688"/>
      </w:tblGrid>
      <w:tr w:rsidR="00FD119B" w:rsidRPr="00FD119B" w14:paraId="0163C19F" w14:textId="77777777" w:rsidTr="00AB3146">
        <w:trPr>
          <w:cnfStyle w:val="100000000000" w:firstRow="1" w:lastRow="0" w:firstColumn="0" w:lastColumn="0" w:oddVBand="0" w:evenVBand="0" w:oddHBand="0" w:evenHBand="0" w:firstRowFirstColumn="0" w:firstRowLastColumn="0" w:lastRowFirstColumn="0" w:lastRowLastColumn="0"/>
        </w:trPr>
        <w:tc>
          <w:tcPr>
            <w:tcW w:w="1809" w:type="dxa"/>
          </w:tcPr>
          <w:p w14:paraId="41293DF7" w14:textId="77777777" w:rsidR="00FD119B" w:rsidRPr="00FD119B" w:rsidRDefault="00FD119B" w:rsidP="00AB3146">
            <w:pPr>
              <w:keepNext w:val="0"/>
              <w:ind w:left="0" w:right="0"/>
              <w:rPr>
                <w:szCs w:val="22"/>
                <w:lang w:eastAsia="en-US"/>
              </w:rPr>
            </w:pPr>
            <w:r w:rsidRPr="00FD119B">
              <w:rPr>
                <w:szCs w:val="22"/>
                <w:lang w:eastAsia="en-US"/>
              </w:rPr>
              <w:t>Abbreviation</w:t>
            </w:r>
          </w:p>
        </w:tc>
        <w:tc>
          <w:tcPr>
            <w:tcW w:w="6911" w:type="dxa"/>
          </w:tcPr>
          <w:p w14:paraId="663B060B" w14:textId="77777777" w:rsidR="00FD119B" w:rsidRPr="00FD119B" w:rsidRDefault="00FD119B" w:rsidP="00AB3146">
            <w:pPr>
              <w:keepNext w:val="0"/>
              <w:ind w:left="0" w:right="0"/>
              <w:rPr>
                <w:szCs w:val="22"/>
                <w:lang w:eastAsia="en-US"/>
              </w:rPr>
            </w:pPr>
            <w:r w:rsidRPr="00FD119B">
              <w:rPr>
                <w:szCs w:val="22"/>
                <w:lang w:eastAsia="en-US"/>
              </w:rPr>
              <w:t>Meaning</w:t>
            </w:r>
          </w:p>
        </w:tc>
      </w:tr>
      <w:tr w:rsidR="00AB3146" w:rsidRPr="00FD119B" w14:paraId="730391EC" w14:textId="77777777" w:rsidTr="00AB3146">
        <w:tc>
          <w:tcPr>
            <w:tcW w:w="1809" w:type="dxa"/>
          </w:tcPr>
          <w:p w14:paraId="6B079A45" w14:textId="77777777" w:rsidR="00AB3146" w:rsidRPr="00913273" w:rsidRDefault="00AB3146" w:rsidP="00AB3146">
            <w:r w:rsidRPr="00913273">
              <w:t>ACT</w:t>
            </w:r>
          </w:p>
        </w:tc>
        <w:tc>
          <w:tcPr>
            <w:tcW w:w="6911" w:type="dxa"/>
          </w:tcPr>
          <w:p w14:paraId="1DB63B09" w14:textId="77777777" w:rsidR="00AB3146" w:rsidRPr="00913273" w:rsidRDefault="00AB3146" w:rsidP="00AB3146">
            <w:r w:rsidRPr="00913273">
              <w:t>Artemisinin based combination therapy</w:t>
            </w:r>
          </w:p>
        </w:tc>
      </w:tr>
      <w:tr w:rsidR="00AB3146" w:rsidRPr="00FD119B" w14:paraId="109B5A2B" w14:textId="77777777" w:rsidTr="00AB3146">
        <w:tc>
          <w:tcPr>
            <w:tcW w:w="1809" w:type="dxa"/>
          </w:tcPr>
          <w:p w14:paraId="6B01F9C7" w14:textId="77777777" w:rsidR="00AB3146" w:rsidRPr="00913273" w:rsidRDefault="00AB3146" w:rsidP="00AB3146">
            <w:r w:rsidRPr="00913273">
              <w:t>AE</w:t>
            </w:r>
          </w:p>
        </w:tc>
        <w:tc>
          <w:tcPr>
            <w:tcW w:w="6911" w:type="dxa"/>
          </w:tcPr>
          <w:p w14:paraId="45D828A0" w14:textId="77777777" w:rsidR="00AB3146" w:rsidRPr="00913273" w:rsidRDefault="00AB3146" w:rsidP="00AB3146">
            <w:r w:rsidRPr="00913273">
              <w:t>Adverse event</w:t>
            </w:r>
          </w:p>
        </w:tc>
      </w:tr>
      <w:tr w:rsidR="00AB3146" w:rsidRPr="00FD119B" w14:paraId="1718AFAA" w14:textId="77777777" w:rsidTr="00AB3146">
        <w:tc>
          <w:tcPr>
            <w:tcW w:w="1809" w:type="dxa"/>
          </w:tcPr>
          <w:p w14:paraId="3476937F" w14:textId="77777777" w:rsidR="00AB3146" w:rsidRPr="00913273" w:rsidRDefault="00AB3146" w:rsidP="00AB3146">
            <w:r w:rsidRPr="00913273">
              <w:t>ART</w:t>
            </w:r>
          </w:p>
        </w:tc>
        <w:tc>
          <w:tcPr>
            <w:tcW w:w="6911" w:type="dxa"/>
          </w:tcPr>
          <w:p w14:paraId="440536EB" w14:textId="77777777" w:rsidR="00AB3146" w:rsidRPr="00913273" w:rsidRDefault="00AB3146" w:rsidP="00AB3146">
            <w:r w:rsidRPr="00913273">
              <w:t>Artemether</w:t>
            </w:r>
          </w:p>
        </w:tc>
      </w:tr>
      <w:tr w:rsidR="00AB3146" w:rsidRPr="00FD119B" w14:paraId="6D228571" w14:textId="77777777" w:rsidTr="00AB3146">
        <w:tc>
          <w:tcPr>
            <w:tcW w:w="1809" w:type="dxa"/>
          </w:tcPr>
          <w:p w14:paraId="237F2000" w14:textId="6D1F7DBC" w:rsidR="00AB3146" w:rsidRPr="00913273" w:rsidRDefault="004D7D44" w:rsidP="00AB3146">
            <w:r>
              <w:t>AUC</w:t>
            </w:r>
          </w:p>
        </w:tc>
        <w:tc>
          <w:tcPr>
            <w:tcW w:w="6911" w:type="dxa"/>
          </w:tcPr>
          <w:p w14:paraId="5EFB636F" w14:textId="77777777" w:rsidR="00AB3146" w:rsidRPr="00913273" w:rsidRDefault="00AB3146" w:rsidP="00AB3146">
            <w:r w:rsidRPr="00913273">
              <w:t>Area under the plasma concentration-time curve</w:t>
            </w:r>
          </w:p>
        </w:tc>
      </w:tr>
      <w:tr w:rsidR="00AB3146" w:rsidRPr="00FD119B" w14:paraId="6A327CA2" w14:textId="77777777" w:rsidTr="00AB3146">
        <w:tc>
          <w:tcPr>
            <w:tcW w:w="1809" w:type="dxa"/>
          </w:tcPr>
          <w:p w14:paraId="6066445F" w14:textId="571FF782" w:rsidR="00AB3146" w:rsidRPr="00913273" w:rsidRDefault="006F0AD0" w:rsidP="00AB3146">
            <w:r>
              <w:t>AUC</w:t>
            </w:r>
            <w:r w:rsidRPr="004D7D44">
              <w:rPr>
                <w:vertAlign w:val="subscript"/>
              </w:rPr>
              <w:t>0-t</w:t>
            </w:r>
          </w:p>
        </w:tc>
        <w:tc>
          <w:tcPr>
            <w:tcW w:w="6911" w:type="dxa"/>
          </w:tcPr>
          <w:p w14:paraId="4E59E852" w14:textId="77777777" w:rsidR="00AB3146" w:rsidRPr="00913273" w:rsidRDefault="00AB3146" w:rsidP="00AB3146">
            <w:r w:rsidRPr="00913273">
              <w:t xml:space="preserve">Area under the plasma concentration-time curve from time </w:t>
            </w:r>
            <w:r>
              <w:t>zero up to time t</w:t>
            </w:r>
          </w:p>
        </w:tc>
      </w:tr>
      <w:tr w:rsidR="00AB3146" w:rsidRPr="00FD119B" w14:paraId="7B9D3BC5" w14:textId="77777777" w:rsidTr="00AB3146">
        <w:tc>
          <w:tcPr>
            <w:tcW w:w="1809" w:type="dxa"/>
          </w:tcPr>
          <w:p w14:paraId="2DE453CE" w14:textId="5F5B7C27" w:rsidR="00AB3146" w:rsidRPr="00913273" w:rsidRDefault="004D7D44" w:rsidP="00AB3146">
            <w:r>
              <w:t>AUC</w:t>
            </w:r>
            <w:r w:rsidRPr="004D7D44">
              <w:rPr>
                <w:vertAlign w:val="subscript"/>
              </w:rPr>
              <w:t>0-∞</w:t>
            </w:r>
          </w:p>
        </w:tc>
        <w:tc>
          <w:tcPr>
            <w:tcW w:w="6911" w:type="dxa"/>
          </w:tcPr>
          <w:p w14:paraId="2B6FD077" w14:textId="77777777" w:rsidR="00AB3146" w:rsidRPr="00913273" w:rsidRDefault="00AB3146" w:rsidP="00AB3146">
            <w:r w:rsidRPr="00913273">
              <w:t>Area under the plasma concentration-time curve to infinity</w:t>
            </w:r>
          </w:p>
        </w:tc>
      </w:tr>
      <w:tr w:rsidR="00AB3146" w:rsidRPr="00FD119B" w14:paraId="3B28661E" w14:textId="77777777" w:rsidTr="00AB3146">
        <w:tc>
          <w:tcPr>
            <w:tcW w:w="1809" w:type="dxa"/>
          </w:tcPr>
          <w:p w14:paraId="0DC03EDB" w14:textId="6EB2B710" w:rsidR="00AB3146" w:rsidRPr="00913273" w:rsidRDefault="006F0AD0" w:rsidP="00AB3146">
            <w:r>
              <w:t>CI</w:t>
            </w:r>
          </w:p>
        </w:tc>
        <w:tc>
          <w:tcPr>
            <w:tcW w:w="6911" w:type="dxa"/>
          </w:tcPr>
          <w:p w14:paraId="23381FCB" w14:textId="77777777" w:rsidR="00AB3146" w:rsidRPr="00913273" w:rsidRDefault="00AB3146" w:rsidP="00AB3146">
            <w:r w:rsidRPr="00913273">
              <w:t>Confidence interval</w:t>
            </w:r>
          </w:p>
        </w:tc>
      </w:tr>
      <w:tr w:rsidR="00AB3146" w:rsidRPr="00FD119B" w14:paraId="572EF942" w14:textId="77777777" w:rsidTr="00AB3146">
        <w:tc>
          <w:tcPr>
            <w:tcW w:w="1809" w:type="dxa"/>
          </w:tcPr>
          <w:p w14:paraId="17E26FA8" w14:textId="1CD27837" w:rsidR="00AB3146" w:rsidRPr="00913273" w:rsidRDefault="006F0AD0" w:rsidP="00AB3146">
            <w:proofErr w:type="spellStart"/>
            <w:r>
              <w:t>C</w:t>
            </w:r>
            <w:r w:rsidRPr="002038FE">
              <w:rPr>
                <w:vertAlign w:val="subscript"/>
              </w:rPr>
              <w:t>max</w:t>
            </w:r>
            <w:proofErr w:type="spellEnd"/>
          </w:p>
        </w:tc>
        <w:tc>
          <w:tcPr>
            <w:tcW w:w="6911" w:type="dxa"/>
          </w:tcPr>
          <w:p w14:paraId="64E242F1" w14:textId="77777777" w:rsidR="00AB3146" w:rsidRPr="00913273" w:rsidRDefault="00AB3146" w:rsidP="00AB3146">
            <w:r w:rsidRPr="00913273">
              <w:t>Maximum plasma concentration</w:t>
            </w:r>
          </w:p>
        </w:tc>
      </w:tr>
      <w:tr w:rsidR="008639A4" w:rsidRPr="00FD119B" w14:paraId="0D96CF3E" w14:textId="77777777" w:rsidTr="00AB3146">
        <w:tc>
          <w:tcPr>
            <w:tcW w:w="1809" w:type="dxa"/>
          </w:tcPr>
          <w:p w14:paraId="5CA8FAFD" w14:textId="3528192F" w:rsidR="008639A4" w:rsidRDefault="008639A4" w:rsidP="00AB3146">
            <w:r>
              <w:t>CMI</w:t>
            </w:r>
          </w:p>
        </w:tc>
        <w:tc>
          <w:tcPr>
            <w:tcW w:w="6911" w:type="dxa"/>
          </w:tcPr>
          <w:p w14:paraId="59B19B11" w14:textId="00F21AB0" w:rsidR="008639A4" w:rsidRPr="00913273" w:rsidRDefault="008639A4" w:rsidP="008639A4">
            <w:r>
              <w:t>Consumer Medicines Information</w:t>
            </w:r>
          </w:p>
        </w:tc>
      </w:tr>
      <w:tr w:rsidR="00AB3146" w:rsidRPr="00FD119B" w14:paraId="014B5BC0" w14:textId="77777777" w:rsidTr="00AB3146">
        <w:tc>
          <w:tcPr>
            <w:tcW w:w="1809" w:type="dxa"/>
          </w:tcPr>
          <w:p w14:paraId="6A496498" w14:textId="192FCB1D" w:rsidR="00AB3146" w:rsidRPr="00913273" w:rsidRDefault="006F0AD0" w:rsidP="00AB3146">
            <w:r>
              <w:t>CYP</w:t>
            </w:r>
          </w:p>
        </w:tc>
        <w:tc>
          <w:tcPr>
            <w:tcW w:w="6911" w:type="dxa"/>
          </w:tcPr>
          <w:p w14:paraId="1CA50206" w14:textId="77777777" w:rsidR="00AB3146" w:rsidRPr="00913273" w:rsidRDefault="00AB3146" w:rsidP="00AB3146">
            <w:r w:rsidRPr="00913273">
              <w:t>Cytochrome P450</w:t>
            </w:r>
          </w:p>
        </w:tc>
      </w:tr>
      <w:tr w:rsidR="00AB3146" w:rsidRPr="00FD119B" w14:paraId="6DAAFF3E" w14:textId="77777777" w:rsidTr="00AB3146">
        <w:tc>
          <w:tcPr>
            <w:tcW w:w="1809" w:type="dxa"/>
          </w:tcPr>
          <w:p w14:paraId="430B97BC" w14:textId="55346F3B" w:rsidR="00AB3146" w:rsidRPr="00913273" w:rsidRDefault="006F0AD0" w:rsidP="00AB3146">
            <w:r>
              <w:t>DHA</w:t>
            </w:r>
          </w:p>
        </w:tc>
        <w:tc>
          <w:tcPr>
            <w:tcW w:w="6911" w:type="dxa"/>
          </w:tcPr>
          <w:p w14:paraId="2EC8EFF9" w14:textId="77777777" w:rsidR="00AB3146" w:rsidRPr="00913273" w:rsidRDefault="00AB3146" w:rsidP="00AB3146">
            <w:proofErr w:type="spellStart"/>
            <w:r w:rsidRPr="00913273">
              <w:t>Dihydroartemisinin</w:t>
            </w:r>
            <w:proofErr w:type="spellEnd"/>
          </w:p>
        </w:tc>
      </w:tr>
      <w:tr w:rsidR="00517FBD" w:rsidRPr="00FD119B" w14:paraId="2078C636" w14:textId="77777777" w:rsidTr="00AB3146">
        <w:tc>
          <w:tcPr>
            <w:tcW w:w="1809" w:type="dxa"/>
          </w:tcPr>
          <w:p w14:paraId="3E292900" w14:textId="46C7B8D1" w:rsidR="00517FBD" w:rsidRDefault="00517FBD" w:rsidP="00AB3146">
            <w:r>
              <w:t>FAS</w:t>
            </w:r>
          </w:p>
        </w:tc>
        <w:tc>
          <w:tcPr>
            <w:tcW w:w="6911" w:type="dxa"/>
          </w:tcPr>
          <w:p w14:paraId="4C16C462" w14:textId="4414D7F8" w:rsidR="00517FBD" w:rsidRPr="00913273" w:rsidRDefault="00517FBD" w:rsidP="00D70E30">
            <w:r>
              <w:t xml:space="preserve">Full </w:t>
            </w:r>
            <w:r w:rsidR="00D70E30">
              <w:t>analysis set</w:t>
            </w:r>
          </w:p>
        </w:tc>
      </w:tr>
      <w:tr w:rsidR="0049404A" w:rsidRPr="00FD119B" w14:paraId="790EEF4F" w14:textId="77777777" w:rsidTr="00AB3146">
        <w:tc>
          <w:tcPr>
            <w:tcW w:w="1809" w:type="dxa"/>
          </w:tcPr>
          <w:p w14:paraId="1554106B" w14:textId="1FB92780" w:rsidR="0049404A" w:rsidRDefault="0049404A" w:rsidP="00AB3146">
            <w:r>
              <w:t>FASII</w:t>
            </w:r>
          </w:p>
        </w:tc>
        <w:tc>
          <w:tcPr>
            <w:tcW w:w="6911" w:type="dxa"/>
          </w:tcPr>
          <w:p w14:paraId="55069856" w14:textId="2E207D31" w:rsidR="0049404A" w:rsidRPr="00913273" w:rsidRDefault="0049404A" w:rsidP="0049404A">
            <w:r>
              <w:t>B</w:t>
            </w:r>
            <w:r w:rsidRPr="0049404A">
              <w:t>acteri</w:t>
            </w:r>
            <w:r>
              <w:t>al type II fatty acid synthesis</w:t>
            </w:r>
          </w:p>
        </w:tc>
      </w:tr>
      <w:tr w:rsidR="00AB3146" w:rsidRPr="00FD119B" w14:paraId="3BCBB35B" w14:textId="77777777" w:rsidTr="00AB3146">
        <w:tc>
          <w:tcPr>
            <w:tcW w:w="1809" w:type="dxa"/>
          </w:tcPr>
          <w:p w14:paraId="540EDAEB" w14:textId="2EED696F" w:rsidR="00AB3146" w:rsidRPr="00913273" w:rsidRDefault="006F0AD0" w:rsidP="00AB3146">
            <w:r>
              <w:t>FCT</w:t>
            </w:r>
          </w:p>
        </w:tc>
        <w:tc>
          <w:tcPr>
            <w:tcW w:w="6911" w:type="dxa"/>
          </w:tcPr>
          <w:p w14:paraId="58F14AB4" w14:textId="77777777" w:rsidR="00AB3146" w:rsidRPr="00913273" w:rsidRDefault="00AB3146" w:rsidP="00AB3146">
            <w:r w:rsidRPr="00913273">
              <w:t>Fever clearance time</w:t>
            </w:r>
          </w:p>
        </w:tc>
      </w:tr>
      <w:tr w:rsidR="00AB3146" w:rsidRPr="00FD119B" w14:paraId="2C9DA6E4" w14:textId="77777777" w:rsidTr="00AB3146">
        <w:tc>
          <w:tcPr>
            <w:tcW w:w="1809" w:type="dxa"/>
          </w:tcPr>
          <w:p w14:paraId="0EB8F8A5" w14:textId="43CBBCD2" w:rsidR="00AB3146" w:rsidRPr="00913273" w:rsidRDefault="006F0AD0" w:rsidP="00AB3146">
            <w:r>
              <w:t>GI</w:t>
            </w:r>
          </w:p>
        </w:tc>
        <w:tc>
          <w:tcPr>
            <w:tcW w:w="6911" w:type="dxa"/>
          </w:tcPr>
          <w:p w14:paraId="6927881D" w14:textId="77777777" w:rsidR="00AB3146" w:rsidRPr="00913273" w:rsidRDefault="00AB3146" w:rsidP="00AB3146">
            <w:r w:rsidRPr="00913273">
              <w:t>Gastrointestinal</w:t>
            </w:r>
          </w:p>
        </w:tc>
      </w:tr>
      <w:tr w:rsidR="00AB3146" w:rsidRPr="00FD119B" w14:paraId="39C49156" w14:textId="77777777" w:rsidTr="00AB3146">
        <w:tc>
          <w:tcPr>
            <w:tcW w:w="1809" w:type="dxa"/>
          </w:tcPr>
          <w:p w14:paraId="371830F3" w14:textId="16949DB1" w:rsidR="00AB3146" w:rsidRPr="00913273" w:rsidRDefault="006F0AD0" w:rsidP="00AB3146">
            <w:r>
              <w:t>h</w:t>
            </w:r>
          </w:p>
        </w:tc>
        <w:tc>
          <w:tcPr>
            <w:tcW w:w="6911" w:type="dxa"/>
          </w:tcPr>
          <w:p w14:paraId="361AB5FE" w14:textId="6F1CF4A9" w:rsidR="00AB3146" w:rsidRPr="00913273" w:rsidRDefault="00AB3146" w:rsidP="00AB3146">
            <w:r w:rsidRPr="00913273">
              <w:t>Hour</w:t>
            </w:r>
            <w:r w:rsidR="00D70E30">
              <w:t>(s)</w:t>
            </w:r>
          </w:p>
        </w:tc>
      </w:tr>
      <w:tr w:rsidR="0069694F" w:rsidRPr="00FD119B" w14:paraId="331AAC30" w14:textId="77777777" w:rsidTr="00AB3146">
        <w:tc>
          <w:tcPr>
            <w:tcW w:w="1809" w:type="dxa"/>
          </w:tcPr>
          <w:p w14:paraId="3BCDEDF7" w14:textId="32A4847D" w:rsidR="0069694F" w:rsidRDefault="0069694F" w:rsidP="00AB3146">
            <w:r>
              <w:t>IM</w:t>
            </w:r>
          </w:p>
        </w:tc>
        <w:tc>
          <w:tcPr>
            <w:tcW w:w="6911" w:type="dxa"/>
          </w:tcPr>
          <w:p w14:paraId="662EF931" w14:textId="184C2E94" w:rsidR="0069694F" w:rsidRPr="00913273" w:rsidRDefault="0069694F" w:rsidP="0069694F">
            <w:r>
              <w:t>Intramuscular</w:t>
            </w:r>
          </w:p>
        </w:tc>
      </w:tr>
      <w:tr w:rsidR="00AB3146" w:rsidRPr="00FD119B" w14:paraId="31FD2FDD" w14:textId="77777777" w:rsidTr="00AB3146">
        <w:tc>
          <w:tcPr>
            <w:tcW w:w="1809" w:type="dxa"/>
          </w:tcPr>
          <w:p w14:paraId="6F7070EB" w14:textId="67C1B4A3" w:rsidR="00AB3146" w:rsidRPr="00913273" w:rsidRDefault="006F0AD0" w:rsidP="00AB3146">
            <w:r>
              <w:t>IV</w:t>
            </w:r>
          </w:p>
        </w:tc>
        <w:tc>
          <w:tcPr>
            <w:tcW w:w="6911" w:type="dxa"/>
          </w:tcPr>
          <w:p w14:paraId="47A8CE3F" w14:textId="77777777" w:rsidR="00AB3146" w:rsidRPr="00913273" w:rsidRDefault="00AB3146" w:rsidP="00AB3146">
            <w:r w:rsidRPr="00913273">
              <w:t>Intravenous</w:t>
            </w:r>
          </w:p>
        </w:tc>
      </w:tr>
      <w:tr w:rsidR="00AB3146" w:rsidRPr="00FD119B" w14:paraId="5D357831" w14:textId="77777777" w:rsidTr="00AB3146">
        <w:tc>
          <w:tcPr>
            <w:tcW w:w="1809" w:type="dxa"/>
          </w:tcPr>
          <w:p w14:paraId="5921F71E" w14:textId="037AD7B9" w:rsidR="00AB3146" w:rsidRPr="00913273" w:rsidRDefault="006F0AD0" w:rsidP="00AB3146">
            <w:r>
              <w:t>L</w:t>
            </w:r>
          </w:p>
        </w:tc>
        <w:tc>
          <w:tcPr>
            <w:tcW w:w="6911" w:type="dxa"/>
          </w:tcPr>
          <w:p w14:paraId="07121ED5" w14:textId="44E2EF0E" w:rsidR="00AB3146" w:rsidRPr="00913273" w:rsidRDefault="00AB3146" w:rsidP="00AB3146">
            <w:r w:rsidRPr="00913273">
              <w:t>Litre</w:t>
            </w:r>
            <w:r w:rsidR="00D70E30">
              <w:t>(s)</w:t>
            </w:r>
          </w:p>
        </w:tc>
      </w:tr>
      <w:tr w:rsidR="008639A4" w:rsidRPr="00FD119B" w14:paraId="1172A575" w14:textId="77777777" w:rsidTr="00AB3146">
        <w:tc>
          <w:tcPr>
            <w:tcW w:w="1809" w:type="dxa"/>
          </w:tcPr>
          <w:p w14:paraId="1985237D" w14:textId="0137739C" w:rsidR="008639A4" w:rsidRDefault="008639A4" w:rsidP="00AB3146">
            <w:r>
              <w:t>LBS</w:t>
            </w:r>
          </w:p>
        </w:tc>
        <w:tc>
          <w:tcPr>
            <w:tcW w:w="6911" w:type="dxa"/>
          </w:tcPr>
          <w:p w14:paraId="23AF26DD" w14:textId="1E293CA8" w:rsidR="008639A4" w:rsidRPr="00913273" w:rsidRDefault="008639A4" w:rsidP="00D70E30">
            <w:r>
              <w:t xml:space="preserve">Literature </w:t>
            </w:r>
            <w:r w:rsidR="00D70E30">
              <w:t>based submission</w:t>
            </w:r>
          </w:p>
        </w:tc>
      </w:tr>
      <w:tr w:rsidR="00AB3146" w:rsidRPr="00FD119B" w14:paraId="0F23F99D" w14:textId="77777777" w:rsidTr="00AB3146">
        <w:tc>
          <w:tcPr>
            <w:tcW w:w="1809" w:type="dxa"/>
          </w:tcPr>
          <w:p w14:paraId="6750CD16" w14:textId="19124468" w:rsidR="00AB3146" w:rsidRPr="00913273" w:rsidRDefault="006F0AD0" w:rsidP="00AB3146">
            <w:r>
              <w:t>L/h</w:t>
            </w:r>
          </w:p>
        </w:tc>
        <w:tc>
          <w:tcPr>
            <w:tcW w:w="6911" w:type="dxa"/>
          </w:tcPr>
          <w:p w14:paraId="21D8A44E" w14:textId="77777777" w:rsidR="00AB3146" w:rsidRPr="00913273" w:rsidRDefault="00AB3146" w:rsidP="00AB3146">
            <w:r w:rsidRPr="00913273">
              <w:t>Litre(s) per hour</w:t>
            </w:r>
          </w:p>
        </w:tc>
      </w:tr>
      <w:tr w:rsidR="00AB3146" w:rsidRPr="00FD119B" w14:paraId="2257D8A7" w14:textId="77777777" w:rsidTr="00AB3146">
        <w:tc>
          <w:tcPr>
            <w:tcW w:w="1809" w:type="dxa"/>
          </w:tcPr>
          <w:p w14:paraId="652EEF3D" w14:textId="538F6447" w:rsidR="00AB3146" w:rsidRPr="00913273" w:rsidRDefault="006F0AD0" w:rsidP="00AB3146">
            <w:r>
              <w:t>mg</w:t>
            </w:r>
          </w:p>
        </w:tc>
        <w:tc>
          <w:tcPr>
            <w:tcW w:w="6911" w:type="dxa"/>
          </w:tcPr>
          <w:p w14:paraId="549CE707" w14:textId="03F2DC31" w:rsidR="00AB3146" w:rsidRPr="00913273" w:rsidRDefault="00AB3146" w:rsidP="00AB3146">
            <w:r w:rsidRPr="00913273">
              <w:t>Milligram</w:t>
            </w:r>
            <w:r w:rsidR="00D70E30">
              <w:t>(s)</w:t>
            </w:r>
          </w:p>
        </w:tc>
      </w:tr>
      <w:tr w:rsidR="00AB3146" w:rsidRPr="00FD119B" w14:paraId="08503BA5" w14:textId="77777777" w:rsidTr="00AB3146">
        <w:tc>
          <w:tcPr>
            <w:tcW w:w="1809" w:type="dxa"/>
          </w:tcPr>
          <w:p w14:paraId="18B21DFD" w14:textId="6FF29211" w:rsidR="00AB3146" w:rsidRPr="00913273" w:rsidRDefault="006F0AD0" w:rsidP="00AB3146">
            <w:r>
              <w:t>MITT</w:t>
            </w:r>
          </w:p>
        </w:tc>
        <w:tc>
          <w:tcPr>
            <w:tcW w:w="6911" w:type="dxa"/>
          </w:tcPr>
          <w:p w14:paraId="04353573" w14:textId="0BAC117E" w:rsidR="00AB3146" w:rsidRPr="00913273" w:rsidRDefault="00AB3146" w:rsidP="00AB3146">
            <w:r w:rsidRPr="00913273">
              <w:t xml:space="preserve">Modified </w:t>
            </w:r>
            <w:r w:rsidR="00D70E30">
              <w:t>i</w:t>
            </w:r>
            <w:r w:rsidRPr="00913273">
              <w:t xml:space="preserve">ntention </w:t>
            </w:r>
            <w:r w:rsidR="00D70E30">
              <w:t>t</w:t>
            </w:r>
            <w:r w:rsidRPr="00913273">
              <w:t xml:space="preserve">o </w:t>
            </w:r>
            <w:r w:rsidR="00D70E30">
              <w:t>t</w:t>
            </w:r>
            <w:r w:rsidRPr="00913273">
              <w:t>reat</w:t>
            </w:r>
          </w:p>
        </w:tc>
      </w:tr>
      <w:tr w:rsidR="00AB3146" w:rsidRPr="00FD119B" w14:paraId="6C5393B0" w14:textId="77777777" w:rsidTr="00AB3146">
        <w:tc>
          <w:tcPr>
            <w:tcW w:w="1809" w:type="dxa"/>
          </w:tcPr>
          <w:p w14:paraId="090CEBA2" w14:textId="19A2B7EA" w:rsidR="00AB3146" w:rsidRPr="00913273" w:rsidRDefault="006F3B3F" w:rsidP="00AB3146">
            <w:r>
              <w:t>n</w:t>
            </w:r>
            <w:r w:rsidR="006F0AD0">
              <w:t>g</w:t>
            </w:r>
          </w:p>
        </w:tc>
        <w:tc>
          <w:tcPr>
            <w:tcW w:w="6911" w:type="dxa"/>
          </w:tcPr>
          <w:p w14:paraId="4FB84C4A" w14:textId="16F6043E" w:rsidR="00AB3146" w:rsidRPr="00913273" w:rsidRDefault="00AB3146" w:rsidP="00AB3146">
            <w:r w:rsidRPr="00913273">
              <w:t>Nanogram</w:t>
            </w:r>
            <w:r w:rsidR="00D70E30">
              <w:t>(s)</w:t>
            </w:r>
          </w:p>
        </w:tc>
      </w:tr>
      <w:tr w:rsidR="00AB3146" w:rsidRPr="00FD119B" w14:paraId="6799BC0B" w14:textId="77777777" w:rsidTr="00AB3146">
        <w:tc>
          <w:tcPr>
            <w:tcW w:w="1809" w:type="dxa"/>
          </w:tcPr>
          <w:p w14:paraId="507D47F1" w14:textId="615891B0" w:rsidR="00AB3146" w:rsidRPr="00913273" w:rsidRDefault="006F0AD0" w:rsidP="00AB3146">
            <w:r>
              <w:lastRenderedPageBreak/>
              <w:t>PCR</w:t>
            </w:r>
          </w:p>
        </w:tc>
        <w:tc>
          <w:tcPr>
            <w:tcW w:w="6911" w:type="dxa"/>
          </w:tcPr>
          <w:p w14:paraId="713DB6C6" w14:textId="77777777" w:rsidR="00AB3146" w:rsidRPr="00913273" w:rsidRDefault="00AB3146" w:rsidP="00AB3146">
            <w:r w:rsidRPr="00913273">
              <w:t>Polymerase chain reaction</w:t>
            </w:r>
          </w:p>
        </w:tc>
      </w:tr>
      <w:tr w:rsidR="00AB3146" w:rsidRPr="00FD119B" w14:paraId="3EE68B6F" w14:textId="77777777" w:rsidTr="00AB3146">
        <w:tc>
          <w:tcPr>
            <w:tcW w:w="1809" w:type="dxa"/>
          </w:tcPr>
          <w:p w14:paraId="3FA4294A" w14:textId="1F906C1E" w:rsidR="00AB3146" w:rsidRPr="00913273" w:rsidRDefault="00AB3146" w:rsidP="00AB3146">
            <w:r w:rsidRPr="00913273">
              <w:t>PCT</w:t>
            </w:r>
            <w:r w:rsidRPr="00913273">
              <w:rPr>
                <w:vertAlign w:val="subscript"/>
              </w:rPr>
              <w:t>50</w:t>
            </w:r>
          </w:p>
        </w:tc>
        <w:tc>
          <w:tcPr>
            <w:tcW w:w="6911" w:type="dxa"/>
          </w:tcPr>
          <w:p w14:paraId="17D0C371" w14:textId="77777777" w:rsidR="00AB3146" w:rsidRPr="00913273" w:rsidRDefault="00AB3146" w:rsidP="00AB3146">
            <w:r w:rsidRPr="00913273">
              <w:t>Time for parasite count to fall by 50%</w:t>
            </w:r>
          </w:p>
        </w:tc>
      </w:tr>
      <w:tr w:rsidR="00AB3146" w:rsidRPr="00FD119B" w14:paraId="3222F3B3" w14:textId="77777777" w:rsidTr="00AB3146">
        <w:tc>
          <w:tcPr>
            <w:tcW w:w="1809" w:type="dxa"/>
          </w:tcPr>
          <w:p w14:paraId="2D8002CF" w14:textId="3ACB3096" w:rsidR="00AB3146" w:rsidRPr="00913273" w:rsidRDefault="00AB3146" w:rsidP="00AB3146">
            <w:r w:rsidRPr="00913273">
              <w:t>PCT</w:t>
            </w:r>
            <w:r w:rsidRPr="00913273">
              <w:rPr>
                <w:vertAlign w:val="subscript"/>
              </w:rPr>
              <w:t>90</w:t>
            </w:r>
          </w:p>
        </w:tc>
        <w:tc>
          <w:tcPr>
            <w:tcW w:w="6911" w:type="dxa"/>
          </w:tcPr>
          <w:p w14:paraId="22F87EBE" w14:textId="77777777" w:rsidR="00AB3146" w:rsidRPr="00913273" w:rsidRDefault="00AB3146" w:rsidP="00AB3146">
            <w:r w:rsidRPr="00913273">
              <w:t>Time for parasite count to fall by 90%</w:t>
            </w:r>
          </w:p>
        </w:tc>
      </w:tr>
      <w:tr w:rsidR="00AB3146" w:rsidRPr="00FD119B" w14:paraId="6281B5A6" w14:textId="77777777" w:rsidTr="00AB3146">
        <w:tc>
          <w:tcPr>
            <w:tcW w:w="1809" w:type="dxa"/>
          </w:tcPr>
          <w:p w14:paraId="187B561C" w14:textId="299DACB7" w:rsidR="00AB3146" w:rsidRPr="00913273" w:rsidRDefault="006F0AD0" w:rsidP="00AB3146">
            <w:r>
              <w:t>PD</w:t>
            </w:r>
          </w:p>
        </w:tc>
        <w:tc>
          <w:tcPr>
            <w:tcW w:w="6911" w:type="dxa"/>
          </w:tcPr>
          <w:p w14:paraId="4EA31C4E" w14:textId="375BA7EB" w:rsidR="00AB3146" w:rsidRPr="00913273" w:rsidRDefault="00775666" w:rsidP="00AB3146">
            <w:r>
              <w:t>Pharmacodynamic(s)</w:t>
            </w:r>
          </w:p>
        </w:tc>
      </w:tr>
      <w:tr w:rsidR="0049404A" w:rsidRPr="00FD119B" w14:paraId="7B55E95D" w14:textId="77777777" w:rsidTr="00AB3146">
        <w:tc>
          <w:tcPr>
            <w:tcW w:w="1809" w:type="dxa"/>
          </w:tcPr>
          <w:p w14:paraId="2DB4D8B6" w14:textId="2A31EBAA" w:rsidR="0049404A" w:rsidRDefault="0049404A" w:rsidP="00AB3146">
            <w:r>
              <w:t>PfK13</w:t>
            </w:r>
          </w:p>
        </w:tc>
        <w:tc>
          <w:tcPr>
            <w:tcW w:w="6911" w:type="dxa"/>
          </w:tcPr>
          <w:p w14:paraId="0DEA94AA" w14:textId="71F11F1D" w:rsidR="0049404A" w:rsidRPr="00913273" w:rsidRDefault="0049404A" w:rsidP="0049404A">
            <w:r w:rsidRPr="0049404A">
              <w:rPr>
                <w:i/>
              </w:rPr>
              <w:t>P. falciparum</w:t>
            </w:r>
            <w:r>
              <w:t xml:space="preserve"> Kelch13</w:t>
            </w:r>
          </w:p>
        </w:tc>
      </w:tr>
      <w:tr w:rsidR="006F0AD0" w:rsidRPr="00FD119B" w14:paraId="508576D0" w14:textId="77777777" w:rsidTr="00AB3146">
        <w:tc>
          <w:tcPr>
            <w:tcW w:w="1809" w:type="dxa"/>
          </w:tcPr>
          <w:p w14:paraId="52188ADC" w14:textId="102E6490" w:rsidR="006F0AD0" w:rsidRDefault="006F0AD0" w:rsidP="00AB3146">
            <w:r>
              <w:t>PI3K</w:t>
            </w:r>
          </w:p>
        </w:tc>
        <w:tc>
          <w:tcPr>
            <w:tcW w:w="6911" w:type="dxa"/>
          </w:tcPr>
          <w:p w14:paraId="1293F0B1" w14:textId="6982A5DF" w:rsidR="006F0AD0" w:rsidRPr="00913273" w:rsidRDefault="006F0AD0" w:rsidP="006F0AD0">
            <w:r>
              <w:t>Phosphoinositide 3-kinase</w:t>
            </w:r>
          </w:p>
        </w:tc>
      </w:tr>
      <w:tr w:rsidR="0049404A" w:rsidRPr="00FD119B" w14:paraId="6D76EEA0" w14:textId="77777777" w:rsidTr="00AB3146">
        <w:tc>
          <w:tcPr>
            <w:tcW w:w="1809" w:type="dxa"/>
          </w:tcPr>
          <w:p w14:paraId="205C2FB5" w14:textId="0AFD4483" w:rsidR="0049404A" w:rsidRDefault="0049404A" w:rsidP="00AB3146">
            <w:r>
              <w:t>PI3P</w:t>
            </w:r>
          </w:p>
        </w:tc>
        <w:tc>
          <w:tcPr>
            <w:tcW w:w="6911" w:type="dxa"/>
          </w:tcPr>
          <w:p w14:paraId="0B9EFDB0" w14:textId="021C3301" w:rsidR="0049404A" w:rsidRDefault="0049404A" w:rsidP="0049404A">
            <w:r>
              <w:t>P</w:t>
            </w:r>
            <w:r w:rsidRPr="006F0AD0">
              <w:t>hosphatidylinos</w:t>
            </w:r>
            <w:r>
              <w:t>itol 3-phosphate</w:t>
            </w:r>
          </w:p>
        </w:tc>
      </w:tr>
      <w:tr w:rsidR="00AB3146" w:rsidRPr="00FD119B" w14:paraId="4509C10F" w14:textId="77777777" w:rsidTr="00AB3146">
        <w:tc>
          <w:tcPr>
            <w:tcW w:w="1809" w:type="dxa"/>
          </w:tcPr>
          <w:p w14:paraId="25228EED" w14:textId="4B4562D0" w:rsidR="00AB3146" w:rsidRPr="00913273" w:rsidRDefault="006F0AD0" w:rsidP="00AB3146">
            <w:r>
              <w:t>PK</w:t>
            </w:r>
          </w:p>
        </w:tc>
        <w:tc>
          <w:tcPr>
            <w:tcW w:w="6911" w:type="dxa"/>
          </w:tcPr>
          <w:p w14:paraId="39D1E9F9" w14:textId="46E9D775" w:rsidR="00AB3146" w:rsidRPr="00913273" w:rsidRDefault="00775666" w:rsidP="00AB3146">
            <w:r>
              <w:t>Pharmacokinetic(s)</w:t>
            </w:r>
          </w:p>
        </w:tc>
      </w:tr>
      <w:tr w:rsidR="00AB3146" w:rsidRPr="00FD119B" w14:paraId="4B4B6952" w14:textId="77777777" w:rsidTr="00AB3146">
        <w:tc>
          <w:tcPr>
            <w:tcW w:w="1809" w:type="dxa"/>
          </w:tcPr>
          <w:p w14:paraId="33DE47A3" w14:textId="43E1B1C2" w:rsidR="00AB3146" w:rsidRPr="00913273" w:rsidRDefault="006F0AD0" w:rsidP="00AB3146">
            <w:r>
              <w:t>PP</w:t>
            </w:r>
          </w:p>
        </w:tc>
        <w:tc>
          <w:tcPr>
            <w:tcW w:w="6911" w:type="dxa"/>
          </w:tcPr>
          <w:p w14:paraId="716F0623" w14:textId="7F6B4ACF" w:rsidR="00AB3146" w:rsidRPr="00913273" w:rsidRDefault="00AB3146" w:rsidP="00AB3146">
            <w:r w:rsidRPr="00913273">
              <w:t xml:space="preserve">Per </w:t>
            </w:r>
            <w:r w:rsidR="00D70E30">
              <w:t>p</w:t>
            </w:r>
            <w:r w:rsidRPr="00913273">
              <w:t>rotocol</w:t>
            </w:r>
          </w:p>
        </w:tc>
      </w:tr>
      <w:tr w:rsidR="00AB3146" w:rsidRPr="00FD119B" w14:paraId="5D48D6B0" w14:textId="77777777" w:rsidTr="00AB3146">
        <w:tc>
          <w:tcPr>
            <w:tcW w:w="1809" w:type="dxa"/>
          </w:tcPr>
          <w:p w14:paraId="51BEB60B" w14:textId="4C9EBFBC" w:rsidR="00AB3146" w:rsidRPr="00913273" w:rsidRDefault="00AB3146" w:rsidP="00AB3146">
            <w:r w:rsidRPr="00913273">
              <w:t>PRR</w:t>
            </w:r>
            <w:r w:rsidRPr="00913273">
              <w:rPr>
                <w:vertAlign w:val="subscript"/>
              </w:rPr>
              <w:t>24</w:t>
            </w:r>
          </w:p>
        </w:tc>
        <w:tc>
          <w:tcPr>
            <w:tcW w:w="6911" w:type="dxa"/>
          </w:tcPr>
          <w:p w14:paraId="1C5AAA6D" w14:textId="77774D53" w:rsidR="00AB3146" w:rsidRPr="00913273" w:rsidRDefault="00AB3146" w:rsidP="00AB3146">
            <w:r w:rsidRPr="00913273">
              <w:t xml:space="preserve">Parasite </w:t>
            </w:r>
            <w:r w:rsidR="00D70E30">
              <w:t>r</w:t>
            </w:r>
            <w:r w:rsidRPr="00913273">
              <w:t xml:space="preserve">eduction </w:t>
            </w:r>
            <w:r w:rsidR="00D70E30">
              <w:t>r</w:t>
            </w:r>
            <w:r w:rsidRPr="00913273">
              <w:t>atio at 24 hours</w:t>
            </w:r>
          </w:p>
        </w:tc>
      </w:tr>
      <w:tr w:rsidR="00AB3146" w:rsidRPr="00FD119B" w14:paraId="34C8D58D" w14:textId="77777777" w:rsidTr="00AB3146">
        <w:tc>
          <w:tcPr>
            <w:tcW w:w="1809" w:type="dxa"/>
          </w:tcPr>
          <w:p w14:paraId="01DDB641" w14:textId="0EE8E7E9" w:rsidR="00AB3146" w:rsidRPr="00913273" w:rsidRDefault="006F0AD0" w:rsidP="00AB3146">
            <w:r>
              <w:t>SAE</w:t>
            </w:r>
          </w:p>
        </w:tc>
        <w:tc>
          <w:tcPr>
            <w:tcW w:w="6911" w:type="dxa"/>
          </w:tcPr>
          <w:p w14:paraId="31A57D68" w14:textId="77777777" w:rsidR="00AB3146" w:rsidRPr="00913273" w:rsidRDefault="00AB3146" w:rsidP="00AB3146">
            <w:r w:rsidRPr="00913273">
              <w:t>Serious adverse event</w:t>
            </w:r>
          </w:p>
        </w:tc>
      </w:tr>
      <w:tr w:rsidR="0049404A" w:rsidRPr="00FD119B" w14:paraId="4F6C3FD2" w14:textId="77777777" w:rsidTr="00AB3146">
        <w:tc>
          <w:tcPr>
            <w:tcW w:w="1809" w:type="dxa"/>
          </w:tcPr>
          <w:p w14:paraId="1605D4FF" w14:textId="242EA45A" w:rsidR="0049404A" w:rsidRPr="00913273" w:rsidRDefault="0049404A" w:rsidP="00AB3146">
            <w:r>
              <w:t>SL</w:t>
            </w:r>
          </w:p>
        </w:tc>
        <w:tc>
          <w:tcPr>
            <w:tcW w:w="6911" w:type="dxa"/>
          </w:tcPr>
          <w:p w14:paraId="78C8EE56" w14:textId="785E5636" w:rsidR="0049404A" w:rsidRPr="00913273" w:rsidRDefault="0049404A" w:rsidP="0049404A">
            <w:r>
              <w:t>Sublingual</w:t>
            </w:r>
          </w:p>
        </w:tc>
      </w:tr>
      <w:tr w:rsidR="00AB3146" w:rsidRPr="00FD119B" w14:paraId="69218922" w14:textId="77777777" w:rsidTr="00AB3146">
        <w:tc>
          <w:tcPr>
            <w:tcW w:w="1809" w:type="dxa"/>
          </w:tcPr>
          <w:p w14:paraId="2B788FD4" w14:textId="7080D159" w:rsidR="00AB3146" w:rsidRPr="00913273" w:rsidRDefault="006F0AD0" w:rsidP="00AB3146">
            <w:r>
              <w:t>TEAE</w:t>
            </w:r>
          </w:p>
        </w:tc>
        <w:tc>
          <w:tcPr>
            <w:tcW w:w="6911" w:type="dxa"/>
          </w:tcPr>
          <w:p w14:paraId="4B3270E3" w14:textId="4E9E080C" w:rsidR="00AB3146" w:rsidRPr="00913273" w:rsidRDefault="00AB3146" w:rsidP="00AB3146">
            <w:r w:rsidRPr="00913273">
              <w:t>T</w:t>
            </w:r>
            <w:r w:rsidR="00517FBD">
              <w:t>reatment-emergent adverse event</w:t>
            </w:r>
          </w:p>
        </w:tc>
      </w:tr>
      <w:tr w:rsidR="002038FE" w:rsidRPr="00FD119B" w14:paraId="4236CCB0" w14:textId="77777777" w:rsidTr="00AB3146">
        <w:tc>
          <w:tcPr>
            <w:tcW w:w="1809" w:type="dxa"/>
          </w:tcPr>
          <w:p w14:paraId="35F1E86A" w14:textId="1516BD78" w:rsidR="002038FE" w:rsidRDefault="002038FE" w:rsidP="00AB3146">
            <w:r>
              <w:t>T1, T2, T3, T4</w:t>
            </w:r>
          </w:p>
        </w:tc>
        <w:tc>
          <w:tcPr>
            <w:tcW w:w="6911" w:type="dxa"/>
          </w:tcPr>
          <w:p w14:paraId="1C6DFAAF" w14:textId="67F0F939" w:rsidR="002038FE" w:rsidRPr="00913273" w:rsidRDefault="002038FE" w:rsidP="00AB3146">
            <w:r>
              <w:t>Treatment groups 1</w:t>
            </w:r>
            <w:r w:rsidR="00D70E30">
              <w:t xml:space="preserve"> to</w:t>
            </w:r>
            <w:r>
              <w:t>4 in Study ART001</w:t>
            </w:r>
          </w:p>
        </w:tc>
      </w:tr>
      <w:tr w:rsidR="00AB3146" w:rsidRPr="00FD119B" w14:paraId="29BA5522" w14:textId="77777777" w:rsidTr="00AB3146">
        <w:tc>
          <w:tcPr>
            <w:tcW w:w="1809" w:type="dxa"/>
          </w:tcPr>
          <w:p w14:paraId="4696C0EE" w14:textId="578FF0C8" w:rsidR="00AB3146" w:rsidRPr="00913273" w:rsidRDefault="006F0AD0" w:rsidP="00AB3146">
            <w:proofErr w:type="spellStart"/>
            <w:r>
              <w:t>T</w:t>
            </w:r>
            <w:r w:rsidRPr="0049404A">
              <w:rPr>
                <w:vertAlign w:val="subscript"/>
              </w:rPr>
              <w:t>max</w:t>
            </w:r>
            <w:proofErr w:type="spellEnd"/>
          </w:p>
        </w:tc>
        <w:tc>
          <w:tcPr>
            <w:tcW w:w="6911" w:type="dxa"/>
          </w:tcPr>
          <w:p w14:paraId="207453AA" w14:textId="77777777" w:rsidR="00AB3146" w:rsidRPr="00913273" w:rsidRDefault="00AB3146" w:rsidP="00AB3146">
            <w:r w:rsidRPr="00913273">
              <w:t>Time to reach maximum plasma concentration</w:t>
            </w:r>
          </w:p>
        </w:tc>
      </w:tr>
      <w:tr w:rsidR="006F0AD0" w:rsidRPr="00FD119B" w14:paraId="2E4DB5A7" w14:textId="77777777" w:rsidTr="00AB3146">
        <w:tc>
          <w:tcPr>
            <w:tcW w:w="1809" w:type="dxa"/>
          </w:tcPr>
          <w:p w14:paraId="3391B337" w14:textId="1A724DB8" w:rsidR="006F0AD0" w:rsidRDefault="006F0AD0" w:rsidP="00AB3146">
            <w:r>
              <w:t>UPR</w:t>
            </w:r>
          </w:p>
        </w:tc>
        <w:tc>
          <w:tcPr>
            <w:tcW w:w="6911" w:type="dxa"/>
          </w:tcPr>
          <w:p w14:paraId="77951B85" w14:textId="5502FB30" w:rsidR="006F0AD0" w:rsidRPr="00913273" w:rsidRDefault="006F0AD0" w:rsidP="006F0AD0">
            <w:r>
              <w:t>Unfolded protein response</w:t>
            </w:r>
          </w:p>
        </w:tc>
      </w:tr>
      <w:tr w:rsidR="00AB3146" w:rsidRPr="00FD119B" w14:paraId="01164BB5" w14:textId="77777777" w:rsidTr="00AB3146">
        <w:tc>
          <w:tcPr>
            <w:tcW w:w="1809" w:type="dxa"/>
          </w:tcPr>
          <w:p w14:paraId="0B948CC7" w14:textId="2AAFE2A5" w:rsidR="00AB3146" w:rsidRPr="00913273" w:rsidRDefault="006F0AD0" w:rsidP="00AB3146">
            <w:r>
              <w:t>WHO</w:t>
            </w:r>
          </w:p>
        </w:tc>
        <w:tc>
          <w:tcPr>
            <w:tcW w:w="6911" w:type="dxa"/>
          </w:tcPr>
          <w:p w14:paraId="5CE966B6" w14:textId="77777777" w:rsidR="00AB3146" w:rsidRPr="00913273" w:rsidRDefault="00AB3146" w:rsidP="00AB3146">
            <w:r w:rsidRPr="00913273">
              <w:t>World Health Organization</w:t>
            </w:r>
          </w:p>
        </w:tc>
      </w:tr>
    </w:tbl>
    <w:p w14:paraId="4F630E55" w14:textId="77777777" w:rsidR="00FD119B" w:rsidRDefault="00FD119B" w:rsidP="00FD119B"/>
    <w:p w14:paraId="2629B9D5"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9CAF559" w14:textId="77777777" w:rsidR="008E7846" w:rsidRDefault="00F53C07" w:rsidP="008E7846">
      <w:pPr>
        <w:pStyle w:val="Heading2"/>
      </w:pPr>
      <w:bookmarkStart w:id="8" w:name="_Toc120536550"/>
      <w:r>
        <w:lastRenderedPageBreak/>
        <w:t>I.</w:t>
      </w:r>
      <w:r w:rsidR="008E7846">
        <w:t xml:space="preserve"> Introduction to product submission</w:t>
      </w:r>
      <w:bookmarkEnd w:id="8"/>
      <w:bookmarkEnd w:id="0"/>
      <w:bookmarkEnd w:id="2"/>
    </w:p>
    <w:p w14:paraId="6A33306B" w14:textId="77777777" w:rsidR="00214E38" w:rsidRDefault="00214E38" w:rsidP="00214E38">
      <w:pPr>
        <w:pStyle w:val="Heading3"/>
        <w:rPr>
          <w:lang w:eastAsia="en-AU"/>
        </w:rPr>
      </w:pPr>
      <w:bookmarkStart w:id="9" w:name="_Toc247691502"/>
      <w:bookmarkStart w:id="10" w:name="_Toc314842483"/>
      <w:bookmarkStart w:id="11" w:name="_Toc120536551"/>
      <w:bookmarkStart w:id="12" w:name="_Toc247691503"/>
      <w:bookmarkStart w:id="13" w:name="_Toc314842484"/>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214E38" w:rsidRPr="003D1E62" w14:paraId="5DE06F6E" w14:textId="77777777" w:rsidTr="00B31A51">
        <w:tc>
          <w:tcPr>
            <w:tcW w:w="2907" w:type="dxa"/>
          </w:tcPr>
          <w:p w14:paraId="48D577F3" w14:textId="77777777" w:rsidR="00214E38" w:rsidRPr="003D1E62" w:rsidRDefault="00214E38" w:rsidP="00B31A51">
            <w:pPr>
              <w:rPr>
                <w:i/>
              </w:rPr>
            </w:pPr>
            <w:r>
              <w:rPr>
                <w:i/>
              </w:rPr>
              <w:t>Type of s</w:t>
            </w:r>
            <w:r w:rsidRPr="003D1E62">
              <w:rPr>
                <w:i/>
              </w:rPr>
              <w:t>ubmission</w:t>
            </w:r>
            <w:r>
              <w:rPr>
                <w:i/>
              </w:rPr>
              <w:t>:</w:t>
            </w:r>
          </w:p>
        </w:tc>
        <w:tc>
          <w:tcPr>
            <w:tcW w:w="6307" w:type="dxa"/>
          </w:tcPr>
          <w:p w14:paraId="40678184" w14:textId="77777777" w:rsidR="00214E38" w:rsidRPr="003D1E62" w:rsidRDefault="00214E38" w:rsidP="00B31A51">
            <w:r>
              <w:t>Extension of indications</w:t>
            </w:r>
          </w:p>
        </w:tc>
      </w:tr>
      <w:tr w:rsidR="00214E38" w:rsidRPr="003D1E62" w14:paraId="6FD313FF" w14:textId="77777777" w:rsidTr="00B31A51">
        <w:tc>
          <w:tcPr>
            <w:tcW w:w="2907" w:type="dxa"/>
          </w:tcPr>
          <w:p w14:paraId="061FBDEF" w14:textId="77777777" w:rsidR="00214E38" w:rsidRPr="003D1E62" w:rsidRDefault="00214E38" w:rsidP="00B31A51">
            <w:r w:rsidRPr="003D1E62">
              <w:rPr>
                <w:i/>
              </w:rPr>
              <w:t>Decision</w:t>
            </w:r>
            <w:r w:rsidRPr="003D1E62">
              <w:t>:</w:t>
            </w:r>
          </w:p>
        </w:tc>
        <w:tc>
          <w:tcPr>
            <w:tcW w:w="6307" w:type="dxa"/>
          </w:tcPr>
          <w:p w14:paraId="0AC62DAE" w14:textId="77777777" w:rsidR="00214E38" w:rsidRPr="003D1E62" w:rsidRDefault="00214E38" w:rsidP="00B31A51">
            <w:r>
              <w:t>Rejected</w:t>
            </w:r>
          </w:p>
        </w:tc>
      </w:tr>
      <w:tr w:rsidR="00214E38" w:rsidRPr="003D1E62" w14:paraId="51A33A26" w14:textId="77777777" w:rsidTr="00B31A51">
        <w:tc>
          <w:tcPr>
            <w:tcW w:w="2907" w:type="dxa"/>
          </w:tcPr>
          <w:p w14:paraId="0FB308CA" w14:textId="77777777" w:rsidR="00214E38" w:rsidRPr="003D1E62" w:rsidRDefault="00214E38" w:rsidP="00B31A51">
            <w:pPr>
              <w:rPr>
                <w:i/>
              </w:rPr>
            </w:pPr>
            <w:r w:rsidRPr="003D1E62">
              <w:rPr>
                <w:i/>
              </w:rPr>
              <w:t xml:space="preserve">Date of </w:t>
            </w:r>
            <w:r>
              <w:rPr>
                <w:i/>
              </w:rPr>
              <w:t>d</w:t>
            </w:r>
            <w:r w:rsidRPr="003D1E62">
              <w:rPr>
                <w:i/>
              </w:rPr>
              <w:t>ecision:</w:t>
            </w:r>
          </w:p>
        </w:tc>
        <w:tc>
          <w:tcPr>
            <w:tcW w:w="6307" w:type="dxa"/>
          </w:tcPr>
          <w:p w14:paraId="6264D744" w14:textId="77777777" w:rsidR="00214E38" w:rsidRPr="003D1E62" w:rsidRDefault="00214E38" w:rsidP="00B31A51">
            <w:r>
              <w:t>14 May 2019</w:t>
            </w:r>
          </w:p>
        </w:tc>
      </w:tr>
      <w:tr w:rsidR="00423C05" w:rsidRPr="003D1E62" w14:paraId="1718DCBF" w14:textId="77777777" w:rsidTr="00B31A51">
        <w:tc>
          <w:tcPr>
            <w:tcW w:w="2907" w:type="dxa"/>
          </w:tcPr>
          <w:p w14:paraId="7DBDE157" w14:textId="442E6856" w:rsidR="00423C05" w:rsidRPr="003D1E62" w:rsidRDefault="00423C05" w:rsidP="00B31A51">
            <w:pPr>
              <w:rPr>
                <w:i/>
              </w:rPr>
            </w:pPr>
            <w:r>
              <w:rPr>
                <w:i/>
              </w:rPr>
              <w:t>AAT* outcome</w:t>
            </w:r>
          </w:p>
        </w:tc>
        <w:tc>
          <w:tcPr>
            <w:tcW w:w="6307" w:type="dxa"/>
          </w:tcPr>
          <w:p w14:paraId="787AB905" w14:textId="1A0B503B" w:rsidR="00423C05" w:rsidRDefault="00423C05" w:rsidP="00B31A51">
            <w:r>
              <w:t>Appeal was withdrawn</w:t>
            </w:r>
            <w:r>
              <w:rPr>
                <w:rStyle w:val="FootnoteReference"/>
              </w:rPr>
              <w:footnoteReference w:id="1"/>
            </w:r>
          </w:p>
        </w:tc>
      </w:tr>
      <w:tr w:rsidR="00214E38" w:rsidRPr="003D1E62" w14:paraId="643CB713" w14:textId="77777777" w:rsidTr="00B31A51">
        <w:tc>
          <w:tcPr>
            <w:tcW w:w="2907" w:type="dxa"/>
          </w:tcPr>
          <w:p w14:paraId="7DFA939A" w14:textId="77777777" w:rsidR="00214E38" w:rsidRPr="00441C3F" w:rsidRDefault="00214E38" w:rsidP="00B31A51">
            <w:pPr>
              <w:rPr>
                <w:i/>
              </w:rPr>
            </w:pPr>
            <w:r w:rsidRPr="00441C3F">
              <w:rPr>
                <w:i/>
              </w:rPr>
              <w:t>Date of entry onto ARTG</w:t>
            </w:r>
            <w:r>
              <w:rPr>
                <w:i/>
              </w:rPr>
              <w:t>:</w:t>
            </w:r>
          </w:p>
        </w:tc>
        <w:tc>
          <w:tcPr>
            <w:tcW w:w="6307" w:type="dxa"/>
          </w:tcPr>
          <w:p w14:paraId="10FD65F2" w14:textId="77777777" w:rsidR="00214E38" w:rsidRPr="00441C3F" w:rsidRDefault="00E655DD" w:rsidP="00B31A51">
            <w:pPr>
              <w:rPr>
                <w:i/>
              </w:rPr>
            </w:pPr>
            <w:r>
              <w:t>Not applicable</w:t>
            </w:r>
          </w:p>
        </w:tc>
      </w:tr>
      <w:tr w:rsidR="00214E38" w:rsidRPr="003D1E62" w14:paraId="2FC40D4C" w14:textId="77777777" w:rsidTr="00B31A51">
        <w:tc>
          <w:tcPr>
            <w:tcW w:w="2907" w:type="dxa"/>
          </w:tcPr>
          <w:p w14:paraId="08483CA8" w14:textId="77777777" w:rsidR="00214E38" w:rsidRPr="00441C3F" w:rsidRDefault="00214E38" w:rsidP="00B31A51">
            <w:pPr>
              <w:rPr>
                <w:i/>
              </w:rPr>
            </w:pPr>
            <w:r>
              <w:rPr>
                <w:i/>
              </w:rPr>
              <w:t>ARTG number:</w:t>
            </w:r>
          </w:p>
        </w:tc>
        <w:tc>
          <w:tcPr>
            <w:tcW w:w="6307" w:type="dxa"/>
          </w:tcPr>
          <w:p w14:paraId="564BA9F5" w14:textId="77777777" w:rsidR="00214E38" w:rsidRPr="00441C3F" w:rsidRDefault="00E655DD" w:rsidP="00B31A51">
            <w:r>
              <w:t>Not applicable</w:t>
            </w:r>
          </w:p>
        </w:tc>
      </w:tr>
      <w:tr w:rsidR="00214E38" w:rsidRPr="003D1E62" w14:paraId="2667D849" w14:textId="77777777" w:rsidTr="00B31A51">
        <w:tc>
          <w:tcPr>
            <w:tcW w:w="2907" w:type="dxa"/>
          </w:tcPr>
          <w:p w14:paraId="0F3EE8AA" w14:textId="77777777" w:rsidR="00214E38" w:rsidRDefault="00214E38" w:rsidP="00B31A51">
            <w:pPr>
              <w:rPr>
                <w:i/>
              </w:rPr>
            </w:pPr>
            <w:r>
              <w:rPr>
                <w:rFonts w:ascii="Wingdings 3" w:hAnsi="Wingdings 3"/>
                <w:sz w:val="34"/>
                <w:szCs w:val="34"/>
                <w:lang w:eastAsia="en-AU"/>
              </w:rPr>
              <w:t></w:t>
            </w:r>
            <w:r w:rsidRPr="003735BC">
              <w:rPr>
                <w:i/>
              </w:rPr>
              <w:t>Black Triangle Scheme</w:t>
            </w:r>
          </w:p>
        </w:tc>
        <w:tc>
          <w:tcPr>
            <w:tcW w:w="6307" w:type="dxa"/>
          </w:tcPr>
          <w:p w14:paraId="7B70833E" w14:textId="77777777" w:rsidR="00214E38" w:rsidRPr="00487162" w:rsidRDefault="00E655DD" w:rsidP="00B31A51">
            <w:r>
              <w:t>Not applicable</w:t>
            </w:r>
          </w:p>
        </w:tc>
      </w:tr>
    </w:tbl>
    <w:p w14:paraId="78E13E9C" w14:textId="77777777" w:rsidR="00214E38" w:rsidRDefault="00214E38" w:rsidP="00214E38"/>
    <w:tbl>
      <w:tblPr>
        <w:tblW w:w="9214" w:type="dxa"/>
        <w:tblInd w:w="108" w:type="dxa"/>
        <w:tblLook w:val="01E0" w:firstRow="1" w:lastRow="1" w:firstColumn="1" w:lastColumn="1" w:noHBand="0" w:noVBand="0"/>
      </w:tblPr>
      <w:tblGrid>
        <w:gridCol w:w="2907"/>
        <w:gridCol w:w="6307"/>
      </w:tblGrid>
      <w:tr w:rsidR="00214E38" w:rsidRPr="00487162" w14:paraId="0B57BD56" w14:textId="77777777" w:rsidTr="00B31A51">
        <w:tc>
          <w:tcPr>
            <w:tcW w:w="2907" w:type="dxa"/>
          </w:tcPr>
          <w:p w14:paraId="742BDB8F" w14:textId="77777777" w:rsidR="00214E38" w:rsidRPr="00487162" w:rsidRDefault="00214E38" w:rsidP="00B31A51">
            <w:pPr>
              <w:rPr>
                <w:i/>
              </w:rPr>
            </w:pPr>
            <w:r>
              <w:rPr>
                <w:i/>
              </w:rPr>
              <w:t>Active ingredient:</w:t>
            </w:r>
          </w:p>
        </w:tc>
        <w:tc>
          <w:tcPr>
            <w:tcW w:w="6307" w:type="dxa"/>
          </w:tcPr>
          <w:p w14:paraId="5192E493" w14:textId="77777777" w:rsidR="00214E38" w:rsidRPr="00487162" w:rsidRDefault="00214E38" w:rsidP="00B31A51">
            <w:r>
              <w:t>A</w:t>
            </w:r>
            <w:r w:rsidRPr="00B16452">
              <w:t>rtemether</w:t>
            </w:r>
          </w:p>
        </w:tc>
      </w:tr>
      <w:tr w:rsidR="00214E38" w:rsidRPr="00487162" w14:paraId="42C80BB6" w14:textId="77777777" w:rsidTr="00B31A51">
        <w:tc>
          <w:tcPr>
            <w:tcW w:w="2907" w:type="dxa"/>
          </w:tcPr>
          <w:p w14:paraId="40074F3A" w14:textId="77777777" w:rsidR="00214E38" w:rsidRPr="00487162" w:rsidRDefault="00214E38" w:rsidP="00B31A51">
            <w:pPr>
              <w:rPr>
                <w:i/>
              </w:rPr>
            </w:pPr>
            <w:r w:rsidRPr="00487162">
              <w:rPr>
                <w:i/>
              </w:rPr>
              <w:t>Product</w:t>
            </w:r>
            <w:r>
              <w:rPr>
                <w:i/>
              </w:rPr>
              <w:t xml:space="preserve"> name:</w:t>
            </w:r>
          </w:p>
        </w:tc>
        <w:tc>
          <w:tcPr>
            <w:tcW w:w="6307" w:type="dxa"/>
          </w:tcPr>
          <w:p w14:paraId="73774CBE" w14:textId="77777777" w:rsidR="00214E38" w:rsidRPr="00487162" w:rsidRDefault="00214E38" w:rsidP="00B31A51">
            <w:proofErr w:type="spellStart"/>
            <w:r w:rsidRPr="00B16452">
              <w:t>ArTiMist</w:t>
            </w:r>
            <w:proofErr w:type="spellEnd"/>
            <w:r w:rsidRPr="00B16452">
              <w:t xml:space="preserve"> 6</w:t>
            </w:r>
          </w:p>
        </w:tc>
      </w:tr>
      <w:tr w:rsidR="00214E38" w:rsidRPr="00487162" w14:paraId="5CDF0295" w14:textId="77777777" w:rsidTr="00B31A51">
        <w:tc>
          <w:tcPr>
            <w:tcW w:w="2907" w:type="dxa"/>
          </w:tcPr>
          <w:p w14:paraId="0F76142B" w14:textId="77777777" w:rsidR="00214E38" w:rsidRPr="00487162" w:rsidRDefault="00214E38" w:rsidP="00B31A51">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3FF0814D" w14:textId="77777777" w:rsidR="00214E38" w:rsidRDefault="00214E38" w:rsidP="00B31A51">
            <w:r>
              <w:t>SUDA Pharmaceuticals Ltd</w:t>
            </w:r>
          </w:p>
          <w:p w14:paraId="089D2BFC" w14:textId="77777777" w:rsidR="00214E38" w:rsidRDefault="00214E38" w:rsidP="00B31A51">
            <w:r>
              <w:t>Level 1, Unit 12, 55 Howe St</w:t>
            </w:r>
          </w:p>
          <w:p w14:paraId="10AD2131" w14:textId="77777777" w:rsidR="00214E38" w:rsidRPr="00487162" w:rsidRDefault="0081013E" w:rsidP="00B31A51">
            <w:r>
              <w:t xml:space="preserve">Osborne Park </w:t>
            </w:r>
            <w:r w:rsidR="00214E38">
              <w:t>WA 6017</w:t>
            </w:r>
          </w:p>
        </w:tc>
      </w:tr>
      <w:tr w:rsidR="00214E38" w:rsidRPr="00487162" w14:paraId="10DD0DA8" w14:textId="77777777" w:rsidTr="00B31A51">
        <w:tc>
          <w:tcPr>
            <w:tcW w:w="2907" w:type="dxa"/>
          </w:tcPr>
          <w:p w14:paraId="7272E74A" w14:textId="77777777" w:rsidR="00214E38" w:rsidRPr="00487162" w:rsidRDefault="00214E38" w:rsidP="00B31A51">
            <w:pPr>
              <w:rPr>
                <w:i/>
              </w:rPr>
            </w:pPr>
            <w:r>
              <w:rPr>
                <w:i/>
              </w:rPr>
              <w:t>Dose form:</w:t>
            </w:r>
          </w:p>
        </w:tc>
        <w:tc>
          <w:tcPr>
            <w:tcW w:w="6307" w:type="dxa"/>
          </w:tcPr>
          <w:p w14:paraId="3D2007EE" w14:textId="77777777" w:rsidR="00214E38" w:rsidRPr="00487162" w:rsidRDefault="00214E38" w:rsidP="00B31A51">
            <w:r>
              <w:t>Spray solution</w:t>
            </w:r>
          </w:p>
        </w:tc>
      </w:tr>
      <w:tr w:rsidR="00214E38" w:rsidRPr="00487162" w14:paraId="4E5ACBA5" w14:textId="77777777" w:rsidTr="00B31A51">
        <w:tc>
          <w:tcPr>
            <w:tcW w:w="2907" w:type="dxa"/>
          </w:tcPr>
          <w:p w14:paraId="0B61917E" w14:textId="77777777" w:rsidR="00214E38" w:rsidRPr="00487162" w:rsidRDefault="00214E38" w:rsidP="00B31A51">
            <w:pPr>
              <w:rPr>
                <w:i/>
              </w:rPr>
            </w:pPr>
            <w:r>
              <w:rPr>
                <w:i/>
              </w:rPr>
              <w:t>Strength</w:t>
            </w:r>
            <w:r w:rsidRPr="00487162">
              <w:rPr>
                <w:i/>
              </w:rPr>
              <w:t xml:space="preserve">: </w:t>
            </w:r>
          </w:p>
        </w:tc>
        <w:tc>
          <w:tcPr>
            <w:tcW w:w="6307" w:type="dxa"/>
          </w:tcPr>
          <w:p w14:paraId="39174FBD" w14:textId="77777777" w:rsidR="00214E38" w:rsidRPr="00487162" w:rsidRDefault="00214E38" w:rsidP="00B31A51">
            <w:r>
              <w:t>6.17 mg</w:t>
            </w:r>
          </w:p>
        </w:tc>
      </w:tr>
      <w:tr w:rsidR="00214E38" w:rsidRPr="00487162" w14:paraId="2910935E" w14:textId="77777777" w:rsidTr="00B31A51">
        <w:tc>
          <w:tcPr>
            <w:tcW w:w="2907" w:type="dxa"/>
          </w:tcPr>
          <w:p w14:paraId="0C434572" w14:textId="77777777" w:rsidR="00214E38" w:rsidRPr="00487162" w:rsidRDefault="00214E38" w:rsidP="00B31A51">
            <w:pPr>
              <w:rPr>
                <w:i/>
              </w:rPr>
            </w:pPr>
            <w:r>
              <w:rPr>
                <w:i/>
              </w:rPr>
              <w:t>Container</w:t>
            </w:r>
            <w:r w:rsidRPr="00487162">
              <w:rPr>
                <w:i/>
              </w:rPr>
              <w:t>:</w:t>
            </w:r>
          </w:p>
        </w:tc>
        <w:tc>
          <w:tcPr>
            <w:tcW w:w="6307" w:type="dxa"/>
          </w:tcPr>
          <w:p w14:paraId="0BCBEB5A" w14:textId="77777777" w:rsidR="00214E38" w:rsidRPr="00487162" w:rsidRDefault="00214E38" w:rsidP="00B31A51">
            <w:r w:rsidRPr="00641C60">
              <w:t>Pump actuated metered dose spray unit</w:t>
            </w:r>
          </w:p>
        </w:tc>
      </w:tr>
      <w:tr w:rsidR="00214E38" w:rsidRPr="00487162" w14:paraId="5D4FF2E3" w14:textId="77777777" w:rsidTr="00B31A51">
        <w:tc>
          <w:tcPr>
            <w:tcW w:w="2907" w:type="dxa"/>
          </w:tcPr>
          <w:p w14:paraId="7BF25569" w14:textId="77777777" w:rsidR="00214E38" w:rsidRPr="00487162" w:rsidRDefault="00214E38" w:rsidP="00B31A51">
            <w:pPr>
              <w:rPr>
                <w:i/>
              </w:rPr>
            </w:pPr>
            <w:r>
              <w:rPr>
                <w:i/>
              </w:rPr>
              <w:t>Pack size</w:t>
            </w:r>
            <w:r w:rsidRPr="00487162">
              <w:rPr>
                <w:i/>
              </w:rPr>
              <w:t>:</w:t>
            </w:r>
          </w:p>
        </w:tc>
        <w:tc>
          <w:tcPr>
            <w:tcW w:w="6307" w:type="dxa"/>
          </w:tcPr>
          <w:p w14:paraId="1AC39C4D" w14:textId="7697E690" w:rsidR="00214E38" w:rsidRPr="00641C60" w:rsidRDefault="00E7615F" w:rsidP="00B31A51">
            <w:r>
              <w:t>One</w:t>
            </w:r>
          </w:p>
        </w:tc>
      </w:tr>
      <w:tr w:rsidR="00214E38" w:rsidRPr="00487162" w14:paraId="04771C66" w14:textId="77777777" w:rsidTr="00B31A51">
        <w:tc>
          <w:tcPr>
            <w:tcW w:w="2907" w:type="dxa"/>
          </w:tcPr>
          <w:p w14:paraId="5F25E227" w14:textId="77777777" w:rsidR="00214E38" w:rsidRPr="00487162" w:rsidRDefault="00214E38" w:rsidP="00B31A51">
            <w:pPr>
              <w:rPr>
                <w:i/>
              </w:rPr>
            </w:pPr>
            <w:r w:rsidRPr="00487162">
              <w:rPr>
                <w:i/>
              </w:rPr>
              <w:t xml:space="preserve">Approved </w:t>
            </w:r>
            <w:r>
              <w:rPr>
                <w:i/>
              </w:rPr>
              <w:t>t</w:t>
            </w:r>
            <w:r w:rsidRPr="00487162">
              <w:rPr>
                <w:i/>
              </w:rPr>
              <w:t>herapeutic use:</w:t>
            </w:r>
          </w:p>
        </w:tc>
        <w:tc>
          <w:tcPr>
            <w:tcW w:w="6307" w:type="dxa"/>
          </w:tcPr>
          <w:p w14:paraId="4B61DD64" w14:textId="77777777" w:rsidR="00214E38" w:rsidRPr="00487162" w:rsidRDefault="00E655DD" w:rsidP="00B31A51">
            <w:pPr>
              <w:rPr>
                <w:rFonts w:eastAsia="MS Mincho"/>
                <w:lang w:eastAsia="ja-JP"/>
              </w:rPr>
            </w:pPr>
            <w:r>
              <w:t>Not applicable</w:t>
            </w:r>
          </w:p>
        </w:tc>
      </w:tr>
      <w:tr w:rsidR="00214E38" w:rsidRPr="00487162" w14:paraId="3743D7F0" w14:textId="77777777" w:rsidTr="00B31A51">
        <w:tc>
          <w:tcPr>
            <w:tcW w:w="2907" w:type="dxa"/>
          </w:tcPr>
          <w:p w14:paraId="68892B13" w14:textId="77777777" w:rsidR="00214E38" w:rsidRPr="00487162" w:rsidRDefault="00214E38" w:rsidP="00B31A51">
            <w:pPr>
              <w:rPr>
                <w:i/>
              </w:rPr>
            </w:pPr>
            <w:r>
              <w:rPr>
                <w:i/>
              </w:rPr>
              <w:t>Route</w:t>
            </w:r>
            <w:r w:rsidRPr="00487162">
              <w:rPr>
                <w:i/>
              </w:rPr>
              <w:t xml:space="preserve"> of administration:</w:t>
            </w:r>
          </w:p>
        </w:tc>
        <w:tc>
          <w:tcPr>
            <w:tcW w:w="6307" w:type="dxa"/>
          </w:tcPr>
          <w:p w14:paraId="714676AE" w14:textId="77777777" w:rsidR="00214E38" w:rsidRPr="00487162" w:rsidRDefault="00214E38" w:rsidP="00B31A51">
            <w:r>
              <w:t>Sublingual</w:t>
            </w:r>
          </w:p>
        </w:tc>
      </w:tr>
      <w:tr w:rsidR="00214E38" w:rsidRPr="00487162" w14:paraId="4B684751" w14:textId="77777777" w:rsidTr="00B31A51">
        <w:tc>
          <w:tcPr>
            <w:tcW w:w="2907" w:type="dxa"/>
          </w:tcPr>
          <w:p w14:paraId="40BFED3A" w14:textId="77777777" w:rsidR="00214E38" w:rsidRPr="00487162" w:rsidRDefault="00214E38" w:rsidP="00B31A51">
            <w:pPr>
              <w:rPr>
                <w:i/>
              </w:rPr>
            </w:pPr>
            <w:r w:rsidRPr="00487162">
              <w:rPr>
                <w:i/>
              </w:rPr>
              <w:t>Dosage:</w:t>
            </w:r>
          </w:p>
        </w:tc>
        <w:tc>
          <w:tcPr>
            <w:tcW w:w="6307" w:type="dxa"/>
          </w:tcPr>
          <w:p w14:paraId="1DFC9826" w14:textId="77777777" w:rsidR="00214E38" w:rsidRDefault="00214E38" w:rsidP="00B31A51">
            <w:r>
              <w:t>Proposed</w:t>
            </w:r>
          </w:p>
          <w:p w14:paraId="7E65A79E" w14:textId="77777777" w:rsidR="00214E38" w:rsidRPr="00D84F1D" w:rsidRDefault="00214E38" w:rsidP="00B31A51">
            <w:pPr>
              <w:rPr>
                <w:i/>
              </w:rPr>
            </w:pPr>
            <w:r w:rsidRPr="00D84F1D">
              <w:rPr>
                <w:i/>
              </w:rPr>
              <w:t>Children and infants weighing 5 kg to 15 kg</w:t>
            </w:r>
          </w:p>
          <w:p w14:paraId="1CDC52FC" w14:textId="0EE2B6F1" w:rsidR="00423C05" w:rsidRPr="00487162" w:rsidRDefault="00214E38" w:rsidP="00B31A51">
            <w:proofErr w:type="spellStart"/>
            <w:r>
              <w:t>ArTiMist</w:t>
            </w:r>
            <w:proofErr w:type="spellEnd"/>
            <w:r>
              <w:t xml:space="preserve"> 6 should be administered sublingually at a dose of 3 mg/kg starting at the time of initial diagnosis and again after 8 hours, 24 hours, 36 hours, 48 hours, and at 60 hours and every 24 hours until the patient returns to normal </w:t>
            </w:r>
            <w:r w:rsidRPr="00641C60">
              <w:rPr>
                <w:i/>
              </w:rPr>
              <w:t xml:space="preserve">per </w:t>
            </w:r>
            <w:proofErr w:type="spellStart"/>
            <w:r w:rsidRPr="00641C60">
              <w:rPr>
                <w:i/>
              </w:rPr>
              <w:t>os</w:t>
            </w:r>
            <w:proofErr w:type="spellEnd"/>
            <w:r>
              <w:t>.</w:t>
            </w:r>
          </w:p>
        </w:tc>
      </w:tr>
    </w:tbl>
    <w:p w14:paraId="3076523C" w14:textId="3DA86D59" w:rsidR="00423C05" w:rsidRDefault="00423C05" w:rsidP="00423C05">
      <w:pPr>
        <w:pStyle w:val="TableDescription"/>
      </w:pPr>
      <w:r>
        <w:t>*AAT= Administrative Appeals Tribunal</w:t>
      </w:r>
    </w:p>
    <w:p w14:paraId="7A84C9FC" w14:textId="4A8D7961" w:rsidR="008E7846" w:rsidRDefault="008E7846" w:rsidP="008E7846">
      <w:pPr>
        <w:pStyle w:val="Heading3"/>
      </w:pPr>
      <w:bookmarkStart w:id="14" w:name="_Toc120536552"/>
      <w:r>
        <w:lastRenderedPageBreak/>
        <w:t>Product background</w:t>
      </w:r>
      <w:bookmarkEnd w:id="12"/>
      <w:bookmarkEnd w:id="13"/>
      <w:bookmarkEnd w:id="14"/>
    </w:p>
    <w:p w14:paraId="5345C766" w14:textId="7C73DC62" w:rsidR="008E7846" w:rsidRDefault="00940A89" w:rsidP="00940A89">
      <w:r w:rsidRPr="00940A89">
        <w:t xml:space="preserve">This </w:t>
      </w:r>
      <w:proofErr w:type="spellStart"/>
      <w:r w:rsidRPr="00940A89">
        <w:t>AusPAR</w:t>
      </w:r>
      <w:proofErr w:type="spellEnd"/>
      <w:r w:rsidRPr="00940A89">
        <w:t xml:space="preserve"> describes the application by </w:t>
      </w:r>
      <w:r w:rsidR="00214E38">
        <w:t>SUDA</w:t>
      </w:r>
      <w:r w:rsidR="00214E38" w:rsidRPr="00214E38">
        <w:t xml:space="preserve"> Pharmaceuticals Ltd</w:t>
      </w:r>
      <w:r w:rsidR="00214E38">
        <w:t xml:space="preserve"> (</w:t>
      </w:r>
      <w:r w:rsidRPr="00940A89">
        <w:t>the sponsor</w:t>
      </w:r>
      <w:r w:rsidR="00214E38">
        <w:t>)</w:t>
      </w:r>
      <w:r w:rsidRPr="00940A89">
        <w:t xml:space="preserve"> to re</w:t>
      </w:r>
      <w:r w:rsidR="00214E38">
        <w:t xml:space="preserve">gister </w:t>
      </w:r>
      <w:proofErr w:type="spellStart"/>
      <w:r w:rsidR="00214E38" w:rsidRPr="00214E38">
        <w:t>ArTiMist</w:t>
      </w:r>
      <w:proofErr w:type="spellEnd"/>
      <w:r w:rsidR="00214E38" w:rsidRPr="00214E38">
        <w:t xml:space="preserve"> 6</w:t>
      </w:r>
      <w:r w:rsidR="00214E38">
        <w:t xml:space="preserve"> (artemether)</w:t>
      </w:r>
      <w:r w:rsidRPr="00940A89">
        <w:t xml:space="preserve"> </w:t>
      </w:r>
      <w:r w:rsidR="002A27A3">
        <w:t xml:space="preserve">spray solution </w:t>
      </w:r>
      <w:r w:rsidRPr="00940A89">
        <w:t xml:space="preserve">for the following </w:t>
      </w:r>
      <w:r w:rsidR="00214E38">
        <w:t>proposed indication:</w:t>
      </w:r>
    </w:p>
    <w:p w14:paraId="36FF81D3" w14:textId="77777777" w:rsidR="00214E38" w:rsidRPr="00A706B5" w:rsidRDefault="00214E38" w:rsidP="00A706B5">
      <w:pPr>
        <w:pStyle w:val="ListBullet"/>
        <w:rPr>
          <w:i/>
          <w:iCs/>
        </w:rPr>
      </w:pPr>
      <w:r w:rsidRPr="00A706B5">
        <w:rPr>
          <w:i/>
          <w:iCs/>
        </w:rPr>
        <w:t>For the initial treatment of children with severe falciparum malaria weighing between 5 and 15 kg</w:t>
      </w:r>
    </w:p>
    <w:p w14:paraId="03245977" w14:textId="77777777" w:rsidR="00214E38" w:rsidRPr="00A706B5" w:rsidRDefault="00214E38" w:rsidP="00A706B5">
      <w:pPr>
        <w:pStyle w:val="ListBullet"/>
        <w:rPr>
          <w:i/>
          <w:iCs/>
        </w:rPr>
      </w:pPr>
      <w:r w:rsidRPr="00A706B5">
        <w:rPr>
          <w:i/>
          <w:iCs/>
        </w:rPr>
        <w:t>For the initial treatment of children with falciparum malaria who cannot take (or reliably take) oral medication due to gastrointestinal complications such as vomiting or diarrhoea.</w:t>
      </w:r>
    </w:p>
    <w:p w14:paraId="2488ED98" w14:textId="77777777" w:rsidR="00093686" w:rsidRDefault="0081013E" w:rsidP="00093686">
      <w:r w:rsidRPr="0081013E">
        <w:t xml:space="preserve">Malaria infection is caused by the </w:t>
      </w:r>
      <w:r w:rsidRPr="00093686">
        <w:rPr>
          <w:i/>
        </w:rPr>
        <w:t>Plasmodium</w:t>
      </w:r>
      <w:r w:rsidRPr="0081013E">
        <w:t xml:space="preserve"> species of parasite which is transmitted via the bite of the female </w:t>
      </w:r>
      <w:r w:rsidRPr="004A726A">
        <w:rPr>
          <w:i/>
        </w:rPr>
        <w:t>Anopheles</w:t>
      </w:r>
      <w:r w:rsidRPr="0081013E">
        <w:t xml:space="preserve"> mosquito. The disease is endemic throughout the tropical with approximately 3.2 bi</w:t>
      </w:r>
      <w:r w:rsidR="00093686">
        <w:t>llion people living in malaria-endemic</w:t>
      </w:r>
      <w:r w:rsidRPr="0081013E">
        <w:t xml:space="preserve"> countries. The World Health Organization (WHO) estimates that there were some 214 million cases of symptomatic malaria in 2015.</w:t>
      </w:r>
      <w:r w:rsidR="00F14E93">
        <w:rPr>
          <w:rStyle w:val="FootnoteReference"/>
        </w:rPr>
        <w:footnoteReference w:id="2"/>
      </w:r>
      <w:r w:rsidRPr="0081013E">
        <w:t xml:space="preserve"> The estimated number of deaths was 438,000. Most cases and deaths (88%) occur in the African region and the largest burden of</w:t>
      </w:r>
      <w:r w:rsidR="00093686">
        <w:t xml:space="preserve"> malaria disease is caused by </w:t>
      </w:r>
      <w:r w:rsidR="00093686" w:rsidRPr="00093686">
        <w:rPr>
          <w:i/>
        </w:rPr>
        <w:t>Plasmodium</w:t>
      </w:r>
      <w:r w:rsidRPr="00093686">
        <w:rPr>
          <w:i/>
        </w:rPr>
        <w:t xml:space="preserve"> falciparum</w:t>
      </w:r>
      <w:r w:rsidRPr="0081013E">
        <w:t>.</w:t>
      </w:r>
    </w:p>
    <w:p w14:paraId="340F9F03" w14:textId="77777777" w:rsidR="00940A89" w:rsidRPr="00CE20E8" w:rsidRDefault="00CE20E8" w:rsidP="00093686">
      <w:r>
        <w:rPr>
          <w:lang w:eastAsia="ja-JP"/>
        </w:rPr>
        <w:t xml:space="preserve">Following the bite of a malaria-infected mosquito, the inoculated sporozoites travel to the liver within one to two hours. Symptoms become apparent during the </w:t>
      </w:r>
      <w:proofErr w:type="spellStart"/>
      <w:r>
        <w:rPr>
          <w:lang w:eastAsia="ja-JP"/>
        </w:rPr>
        <w:t>erthrocytic</w:t>
      </w:r>
      <w:proofErr w:type="spellEnd"/>
      <w:r>
        <w:rPr>
          <w:lang w:eastAsia="ja-JP"/>
        </w:rPr>
        <w:t xml:space="preserve"> stage of the parasite life cycle. The release of the merozoites from infected red blood cells, via cell rupture, causes fever and other manifestations. Severe malaria is the result of the red blood cells adhering to the small blood vessels causing infarcts, capillary </w:t>
      </w:r>
      <w:proofErr w:type="gramStart"/>
      <w:r>
        <w:rPr>
          <w:lang w:eastAsia="ja-JP"/>
        </w:rPr>
        <w:t>leakage</w:t>
      </w:r>
      <w:proofErr w:type="gramEnd"/>
      <w:r>
        <w:rPr>
          <w:lang w:eastAsia="ja-JP"/>
        </w:rPr>
        <w:t xml:space="preserve"> and organ dysfunction. This can result in altered consciousness, seizures, respiratory distress and pulmonary oedema, circulatory collapse, metabolic acidosis, renal failure, haemoglobinuria, coagulopathy and disseminated intravascular coagulation, </w:t>
      </w:r>
      <w:proofErr w:type="gramStart"/>
      <w:r>
        <w:rPr>
          <w:lang w:eastAsia="ja-JP"/>
        </w:rPr>
        <w:t>anaemia</w:t>
      </w:r>
      <w:proofErr w:type="gramEnd"/>
      <w:r>
        <w:rPr>
          <w:lang w:eastAsia="ja-JP"/>
        </w:rPr>
        <w:t xml:space="preserve"> and hypoglycaemia. </w:t>
      </w:r>
      <w:r w:rsidR="00093686">
        <w:rPr>
          <w:lang w:eastAsia="ja-JP"/>
        </w:rPr>
        <w:t>Severe malaria is a medical emergency and death is highly likely if untreated. The mortality risk increases if the patient cannot take oral medications reliably, has a high parasite count or has evidence of vital organ dysfunction.</w:t>
      </w:r>
      <w:r>
        <w:rPr>
          <w:lang w:eastAsia="ja-JP"/>
        </w:rPr>
        <w:t xml:space="preserve"> However, with effective treatment and supportive </w:t>
      </w:r>
      <w:r w:rsidR="00BB626A">
        <w:rPr>
          <w:lang w:eastAsia="ja-JP"/>
        </w:rPr>
        <w:t xml:space="preserve">care mortality rates fall to 10 to </w:t>
      </w:r>
      <w:r>
        <w:rPr>
          <w:lang w:eastAsia="ja-JP"/>
        </w:rPr>
        <w:t xml:space="preserve">20%. Therefore, for the treatment of severe malaria, it is </w:t>
      </w:r>
      <w:r w:rsidRPr="00CE20E8">
        <w:rPr>
          <w:lang w:eastAsia="ja-JP"/>
        </w:rPr>
        <w:t xml:space="preserve">essential </w:t>
      </w:r>
      <w:r w:rsidRPr="00CE20E8">
        <w:t>that therapeutic concentrations of a highly effective antimalarial drug be achieved as soon as possible.</w:t>
      </w:r>
      <w:bookmarkStart w:id="15" w:name="_Ref23430019"/>
      <w:r w:rsidR="00F14E93">
        <w:rPr>
          <w:rStyle w:val="FootnoteReference"/>
        </w:rPr>
        <w:footnoteReference w:id="3"/>
      </w:r>
      <w:bookmarkEnd w:id="15"/>
    </w:p>
    <w:p w14:paraId="565408CF" w14:textId="475FBF20" w:rsidR="0081013E" w:rsidRPr="00BB626A" w:rsidRDefault="00F14E93" w:rsidP="00093686">
      <w:r>
        <w:t>Artemether is a semi-synthetic drug substance synthesised in a two-step process from the sta</w:t>
      </w:r>
      <w:r w:rsidR="002A27A3">
        <w:t>rting material, a</w:t>
      </w:r>
      <w:r>
        <w:t>rtemisinin</w:t>
      </w:r>
      <w:r w:rsidR="00D70E30">
        <w:t>,</w:t>
      </w:r>
      <w:r>
        <w:t xml:space="preserve"> which is derived from the leaves of the sweet wormwood </w:t>
      </w:r>
      <w:r w:rsidR="00D70E30">
        <w:t>(</w:t>
      </w:r>
      <w:r w:rsidRPr="002A27A3">
        <w:rPr>
          <w:i/>
        </w:rPr>
        <w:t>Artemisia annua</w:t>
      </w:r>
      <w:r w:rsidR="00D70E30">
        <w:rPr>
          <w:i/>
        </w:rPr>
        <w:t>)</w:t>
      </w:r>
      <w:r>
        <w:t xml:space="preserve"> plant. Artemether is an antimalarial agent. </w:t>
      </w:r>
      <w:proofErr w:type="spellStart"/>
      <w:r>
        <w:t>Artemisinins</w:t>
      </w:r>
      <w:proofErr w:type="spellEnd"/>
      <w:r>
        <w:t xml:space="preserve"> act against ring stages, early and late trophozoites, and schizonts malaria parasites. </w:t>
      </w:r>
      <w:proofErr w:type="spellStart"/>
      <w:r>
        <w:t>Artemisinins</w:t>
      </w:r>
      <w:proofErr w:type="spellEnd"/>
      <w:r>
        <w:t xml:space="preserve"> are only active against blood stages of the parasite and are not active against liver or mosquito stages.</w:t>
      </w:r>
      <w:r w:rsidR="00BB626A">
        <w:t xml:space="preserve"> </w:t>
      </w:r>
      <w:r w:rsidR="0081013E" w:rsidRPr="004C0ECD">
        <w:rPr>
          <w:rFonts w:eastAsiaTheme="minorHAnsi"/>
        </w:rPr>
        <w:t xml:space="preserve">Artemether and the </w:t>
      </w:r>
      <w:proofErr w:type="spellStart"/>
      <w:r w:rsidR="0081013E" w:rsidRPr="004C0ECD">
        <w:rPr>
          <w:rFonts w:eastAsiaTheme="minorHAnsi"/>
        </w:rPr>
        <w:t>artemesinin</w:t>
      </w:r>
      <w:proofErr w:type="spellEnd"/>
      <w:r w:rsidR="0081013E" w:rsidRPr="004C0ECD">
        <w:rPr>
          <w:rFonts w:eastAsiaTheme="minorHAnsi"/>
        </w:rPr>
        <w:t xml:space="preserve"> class in general </w:t>
      </w:r>
      <w:proofErr w:type="gramStart"/>
      <w:r w:rsidR="0081013E" w:rsidRPr="004C0ECD">
        <w:rPr>
          <w:rFonts w:eastAsiaTheme="minorHAnsi"/>
        </w:rPr>
        <w:t>are considered to be</w:t>
      </w:r>
      <w:proofErr w:type="gramEnd"/>
      <w:r w:rsidR="0081013E" w:rsidRPr="004C0ECD">
        <w:rPr>
          <w:rFonts w:eastAsiaTheme="minorHAnsi"/>
        </w:rPr>
        <w:t xml:space="preserve"> highly effective and well tolerated with a wi</w:t>
      </w:r>
      <w:r w:rsidR="00BB626A">
        <w:rPr>
          <w:rFonts w:eastAsiaTheme="minorHAnsi"/>
        </w:rPr>
        <w:t>de therapeutic index</w:t>
      </w:r>
      <w:r w:rsidR="0081013E" w:rsidRPr="004C0ECD">
        <w:rPr>
          <w:rFonts w:eastAsiaTheme="minorHAnsi"/>
        </w:rPr>
        <w:t>.</w:t>
      </w:r>
      <w:r w:rsidR="00BB626A">
        <w:rPr>
          <w:rFonts w:eastAsiaTheme="minorHAnsi"/>
        </w:rPr>
        <w:fldChar w:fldCharType="begin"/>
      </w:r>
      <w:r w:rsidR="00BB626A">
        <w:rPr>
          <w:rFonts w:eastAsiaTheme="minorHAnsi"/>
        </w:rPr>
        <w:instrText xml:space="preserve"> NOTEREF _Ref23430019 \f \h </w:instrText>
      </w:r>
      <w:r w:rsidR="00BB626A">
        <w:rPr>
          <w:rFonts w:eastAsiaTheme="minorHAnsi"/>
        </w:rPr>
      </w:r>
      <w:r w:rsidR="00BB626A">
        <w:rPr>
          <w:rFonts w:eastAsiaTheme="minorHAnsi"/>
        </w:rPr>
        <w:fldChar w:fldCharType="separate"/>
      </w:r>
      <w:r w:rsidR="00BB626A" w:rsidRPr="00BB626A">
        <w:rPr>
          <w:rStyle w:val="FootnoteReference"/>
        </w:rPr>
        <w:t>2</w:t>
      </w:r>
      <w:r w:rsidR="00BB626A">
        <w:rPr>
          <w:rFonts w:eastAsiaTheme="minorHAnsi"/>
        </w:rPr>
        <w:fldChar w:fldCharType="end"/>
      </w:r>
      <w:r w:rsidR="0081013E" w:rsidRPr="004C0ECD">
        <w:rPr>
          <w:rFonts w:eastAsiaTheme="minorHAnsi"/>
        </w:rPr>
        <w:t xml:space="preserve"> </w:t>
      </w:r>
      <w:r w:rsidR="0081013E" w:rsidRPr="004C0ECD">
        <w:rPr>
          <w:lang w:eastAsia="ja-JP"/>
        </w:rPr>
        <w:t>Arte</w:t>
      </w:r>
      <w:r w:rsidR="0081013E" w:rsidRPr="00CE16A8">
        <w:rPr>
          <w:lang w:eastAsia="ja-JP"/>
        </w:rPr>
        <w:t>misinin-based combination</w:t>
      </w:r>
      <w:r w:rsidR="0081013E">
        <w:rPr>
          <w:lang w:eastAsia="ja-JP"/>
        </w:rPr>
        <w:t xml:space="preserve"> therapies</w:t>
      </w:r>
      <w:r w:rsidR="0081013E" w:rsidRPr="00CE16A8">
        <w:rPr>
          <w:lang w:eastAsia="ja-JP"/>
        </w:rPr>
        <w:t xml:space="preserve"> </w:t>
      </w:r>
      <w:r w:rsidR="0081013E">
        <w:rPr>
          <w:lang w:eastAsia="ja-JP"/>
        </w:rPr>
        <w:t xml:space="preserve">(ACT) </w:t>
      </w:r>
      <w:r w:rsidR="0081013E" w:rsidRPr="00CE16A8">
        <w:rPr>
          <w:lang w:eastAsia="ja-JP"/>
        </w:rPr>
        <w:t xml:space="preserve">are </w:t>
      </w:r>
      <w:r w:rsidR="0081013E">
        <w:rPr>
          <w:lang w:eastAsia="ja-JP"/>
        </w:rPr>
        <w:t xml:space="preserve">also </w:t>
      </w:r>
      <w:r w:rsidR="0081013E" w:rsidRPr="00CE16A8">
        <w:rPr>
          <w:lang w:eastAsia="ja-JP"/>
        </w:rPr>
        <w:t>the treatment of choice for uncomplicated malaria</w:t>
      </w:r>
      <w:r w:rsidR="0081013E">
        <w:rPr>
          <w:lang w:eastAsia="ja-JP"/>
        </w:rPr>
        <w:t>. T</w:t>
      </w:r>
      <w:r w:rsidR="0081013E" w:rsidRPr="00CE16A8">
        <w:rPr>
          <w:rFonts w:eastAsiaTheme="minorHAnsi"/>
        </w:rPr>
        <w:t xml:space="preserve">reatment with ACT is recommended </w:t>
      </w:r>
      <w:proofErr w:type="gramStart"/>
      <w:r w:rsidR="0081013E" w:rsidRPr="00CE16A8">
        <w:rPr>
          <w:rFonts w:eastAsiaTheme="minorHAnsi"/>
        </w:rPr>
        <w:t>in order to</w:t>
      </w:r>
      <w:proofErr w:type="gramEnd"/>
      <w:r w:rsidR="0081013E" w:rsidRPr="00CE16A8">
        <w:rPr>
          <w:rFonts w:eastAsiaTheme="minorHAnsi"/>
        </w:rPr>
        <w:t xml:space="preserve"> reduce treatment duration and to prevent the emergence of drug resistance.</w:t>
      </w:r>
      <w:r w:rsidR="0081013E">
        <w:rPr>
          <w:rFonts w:eastAsiaTheme="minorHAnsi"/>
        </w:rPr>
        <w:t xml:space="preserve"> Oral </w:t>
      </w:r>
      <w:proofErr w:type="spellStart"/>
      <w:r w:rsidR="0081013E">
        <w:rPr>
          <w:rFonts w:eastAsiaTheme="minorHAnsi"/>
        </w:rPr>
        <w:t>artemesinin</w:t>
      </w:r>
      <w:proofErr w:type="spellEnd"/>
      <w:r w:rsidR="0081013E">
        <w:rPr>
          <w:rFonts w:eastAsiaTheme="minorHAnsi"/>
        </w:rPr>
        <w:t>-based monotherapy is not recommended by the WHO due t</w:t>
      </w:r>
      <w:r w:rsidR="00093686">
        <w:rPr>
          <w:rFonts w:eastAsiaTheme="minorHAnsi"/>
        </w:rPr>
        <w:t>o this risk of drug resistance.</w:t>
      </w:r>
    </w:p>
    <w:p w14:paraId="70E2DB6B" w14:textId="77777777" w:rsidR="0081013E" w:rsidRDefault="0081013E" w:rsidP="00093686">
      <w:pPr>
        <w:rPr>
          <w:lang w:eastAsia="ja-JP"/>
        </w:rPr>
      </w:pPr>
      <w:r>
        <w:rPr>
          <w:lang w:eastAsia="ja-JP"/>
        </w:rPr>
        <w:t>Given risk of death in young children with severe malaria, prompt effective treat</w:t>
      </w:r>
      <w:r w:rsidR="00093686">
        <w:rPr>
          <w:lang w:eastAsia="ja-JP"/>
        </w:rPr>
        <w:t>ment is imperative. In malaria-endemic</w:t>
      </w:r>
      <w:r>
        <w:rPr>
          <w:lang w:eastAsia="ja-JP"/>
        </w:rPr>
        <w:t xml:space="preserve"> regions appropriate medical facilities may not be nearby, therefore treatment should be initiated prior to transport to the facility. Minimising any delay in treatment commencement may have a positive impact on malaria mortality.</w:t>
      </w:r>
    </w:p>
    <w:p w14:paraId="4A087921" w14:textId="77777777" w:rsidR="0081013E" w:rsidRDefault="0081013E" w:rsidP="00093686">
      <w:pPr>
        <w:rPr>
          <w:lang w:eastAsia="ja-JP"/>
        </w:rPr>
      </w:pPr>
      <w:r>
        <w:rPr>
          <w:lang w:eastAsia="ja-JP"/>
        </w:rPr>
        <w:t xml:space="preserve">Oral artemether has low and variable bioavailability and is not feasible if the child is unable to take oral therapy. Intravenous or intramuscular administration requires skill on </w:t>
      </w:r>
      <w:r>
        <w:rPr>
          <w:lang w:eastAsia="ja-JP"/>
        </w:rPr>
        <w:lastRenderedPageBreak/>
        <w:t>the part of the person administering the therapy. Rectal suppositories also may not be reliable if the gastrointestinal tract is not functioning adequately. The clinical rationale for the sublingual product is to have an effective medication that can be easily and promptly given so that clinical stability can be achieved and oral administration of full treatment wit</w:t>
      </w:r>
      <w:r w:rsidR="00BB626A">
        <w:rPr>
          <w:lang w:eastAsia="ja-JP"/>
        </w:rPr>
        <w:t>h an ACT can then be given.</w:t>
      </w:r>
    </w:p>
    <w:p w14:paraId="421BB823" w14:textId="77777777" w:rsidR="008E7846" w:rsidRPr="003F31A2" w:rsidRDefault="00386150" w:rsidP="008E7846">
      <w:pPr>
        <w:pStyle w:val="Heading3"/>
      </w:pPr>
      <w:bookmarkStart w:id="16" w:name="_Toc314842485"/>
      <w:bookmarkStart w:id="17" w:name="_Toc247691504"/>
      <w:bookmarkStart w:id="18" w:name="_Toc120536553"/>
      <w:r>
        <w:t>Regulatory s</w:t>
      </w:r>
      <w:r w:rsidR="008E7846">
        <w:t>tatus</w:t>
      </w:r>
      <w:bookmarkEnd w:id="16"/>
      <w:bookmarkEnd w:id="17"/>
      <w:bookmarkEnd w:id="18"/>
    </w:p>
    <w:p w14:paraId="3C73E5B1" w14:textId="76949A37" w:rsidR="00940A89" w:rsidRDefault="00E655DD" w:rsidP="00940A89">
      <w:bookmarkStart w:id="19" w:name="_Toc247691505"/>
      <w:bookmarkStart w:id="20" w:name="_Toc314842486"/>
      <w:proofErr w:type="spellStart"/>
      <w:r>
        <w:t>ArTiMist</w:t>
      </w:r>
      <w:proofErr w:type="spellEnd"/>
      <w:r>
        <w:t xml:space="preserve"> 6 </w:t>
      </w:r>
      <w:r w:rsidR="00CE20E8">
        <w:t>(</w:t>
      </w:r>
      <w:r w:rsidR="00CE20E8" w:rsidRPr="00E406D4">
        <w:rPr>
          <w:lang w:eastAsia="ja-JP"/>
        </w:rPr>
        <w:t>a</w:t>
      </w:r>
      <w:r w:rsidR="00CE20E8" w:rsidRPr="00E406D4">
        <w:rPr>
          <w:rFonts w:eastAsiaTheme="minorHAnsi"/>
        </w:rPr>
        <w:t>rtemether</w:t>
      </w:r>
      <w:r w:rsidR="00CE20E8">
        <w:t>) is a</w:t>
      </w:r>
      <w:r w:rsidR="00820707">
        <w:t xml:space="preserve"> sublingual spray proposed for the in</w:t>
      </w:r>
      <w:r w:rsidR="00EB6078">
        <w:t>i</w:t>
      </w:r>
      <w:r w:rsidR="00820707">
        <w:t xml:space="preserve">tial treatment of </w:t>
      </w:r>
      <w:r w:rsidR="00820707" w:rsidRPr="00820707">
        <w:t>severe falciparum malaria</w:t>
      </w:r>
      <w:r>
        <w:t>.</w:t>
      </w:r>
      <w:r w:rsidR="00CE20E8">
        <w:t xml:space="preserve"> Combination products </w:t>
      </w:r>
      <w:r w:rsidR="00F14E93">
        <w:t xml:space="preserve">containing </w:t>
      </w:r>
      <w:r w:rsidR="00F14E93" w:rsidRPr="00E406D4">
        <w:rPr>
          <w:lang w:eastAsia="ja-JP"/>
        </w:rPr>
        <w:t>a</w:t>
      </w:r>
      <w:r w:rsidR="00F14E93" w:rsidRPr="00E406D4">
        <w:rPr>
          <w:rFonts w:eastAsiaTheme="minorHAnsi"/>
        </w:rPr>
        <w:t>rtemether</w:t>
      </w:r>
      <w:r w:rsidR="00F14E93">
        <w:t xml:space="preserve"> </w:t>
      </w:r>
      <w:r w:rsidR="00CE20E8">
        <w:t xml:space="preserve">that have previously been approved in Australia </w:t>
      </w:r>
      <w:r w:rsidR="002B242C">
        <w:t xml:space="preserve">(all sponsored by </w:t>
      </w:r>
      <w:r w:rsidR="002B242C" w:rsidRPr="00BB626A">
        <w:t>Novartis Pharmaceuticals Australia Pty Ltd</w:t>
      </w:r>
      <w:r w:rsidR="002B242C">
        <w:t>)</w:t>
      </w:r>
      <w:r w:rsidR="00D70E30">
        <w:t xml:space="preserve"> and are registered on the Australian Register of Therapeutic Goods (ARTG)</w:t>
      </w:r>
      <w:r w:rsidR="002B242C">
        <w:t xml:space="preserve"> </w:t>
      </w:r>
      <w:r w:rsidR="00CE20E8">
        <w:t>are</w:t>
      </w:r>
      <w:r w:rsidR="00D70E30">
        <w:t xml:space="preserve"> as follows</w:t>
      </w:r>
      <w:r w:rsidR="00F14E93">
        <w:t>:</w:t>
      </w:r>
    </w:p>
    <w:p w14:paraId="453F7C03" w14:textId="77777777" w:rsidR="00CE20E8" w:rsidRDefault="00CE20E8" w:rsidP="00CE20E8">
      <w:pPr>
        <w:pStyle w:val="ListBullet"/>
      </w:pPr>
      <w:r>
        <w:t xml:space="preserve">AUST R 90011 </w:t>
      </w:r>
      <w:proofErr w:type="spellStart"/>
      <w:r>
        <w:t>Riamet</w:t>
      </w:r>
      <w:proofErr w:type="spellEnd"/>
      <w:r>
        <w:t xml:space="preserve"> </w:t>
      </w:r>
      <w:r w:rsidR="00F14E93">
        <w:t>(</w:t>
      </w:r>
      <w:r>
        <w:t>artemether/lumefantrine</w:t>
      </w:r>
      <w:r w:rsidR="00F14E93">
        <w:t>)</w:t>
      </w:r>
      <w:r>
        <w:t xml:space="preserve"> 20 mg/120 mg tablet blister pack. </w:t>
      </w:r>
      <w:r w:rsidR="00BB626A">
        <w:t>Registered</w:t>
      </w:r>
      <w:r w:rsidR="00F14E93">
        <w:t xml:space="preserve"> </w:t>
      </w:r>
      <w:r>
        <w:t>24 July 2002.</w:t>
      </w:r>
    </w:p>
    <w:p w14:paraId="2F854839" w14:textId="77777777" w:rsidR="00CE20E8" w:rsidRDefault="00CE20E8" w:rsidP="00CE20E8">
      <w:pPr>
        <w:pStyle w:val="ListBullet"/>
      </w:pPr>
      <w:r>
        <w:t xml:space="preserve">AUST R 158523 </w:t>
      </w:r>
      <w:proofErr w:type="spellStart"/>
      <w:r>
        <w:t>Riamet</w:t>
      </w:r>
      <w:proofErr w:type="spellEnd"/>
      <w:r>
        <w:t xml:space="preserve"> 20 mg/120 mg </w:t>
      </w:r>
      <w:r w:rsidR="00F14E93">
        <w:t>(</w:t>
      </w:r>
      <w:r>
        <w:t>artemether/lumefantrine</w:t>
      </w:r>
      <w:r w:rsidR="00F14E93">
        <w:t>)</w:t>
      </w:r>
      <w:r>
        <w:t xml:space="preserve"> 20 mg/120 mg dispersible tablet blister pack. </w:t>
      </w:r>
      <w:r w:rsidR="00BB626A">
        <w:t>Registered</w:t>
      </w:r>
      <w:r w:rsidR="00F14E93">
        <w:t xml:space="preserve"> </w:t>
      </w:r>
      <w:r>
        <w:t>9 July 2010.</w:t>
      </w:r>
    </w:p>
    <w:p w14:paraId="273070F9" w14:textId="77777777" w:rsidR="00BB626A" w:rsidRDefault="00BB626A" w:rsidP="00BB626A">
      <w:pPr>
        <w:pStyle w:val="ListBullet"/>
      </w:pPr>
      <w:r>
        <w:t xml:space="preserve">AUST R 158527 </w:t>
      </w:r>
      <w:proofErr w:type="spellStart"/>
      <w:r>
        <w:t>Coartem</w:t>
      </w:r>
      <w:proofErr w:type="spellEnd"/>
      <w:r>
        <w:t xml:space="preserve"> 20 mg/120 mg (artemether/lumefantrine) dispersible tablet blister pack. Registered 9 July 2010.</w:t>
      </w:r>
    </w:p>
    <w:p w14:paraId="086AD820" w14:textId="48637397" w:rsidR="00E655DD" w:rsidRDefault="00BB626A" w:rsidP="00940A89">
      <w:pPr>
        <w:rPr>
          <w:rFonts w:asciiTheme="minorHAnsi" w:hAnsiTheme="minorHAnsi"/>
        </w:rPr>
      </w:pPr>
      <w:r>
        <w:rPr>
          <w:rFonts w:asciiTheme="minorHAnsi" w:hAnsiTheme="minorHAnsi"/>
        </w:rPr>
        <w:t>The sponsor</w:t>
      </w:r>
      <w:r w:rsidR="00E655DD" w:rsidRPr="00E655DD">
        <w:rPr>
          <w:rFonts w:asciiTheme="minorHAnsi" w:hAnsiTheme="minorHAnsi"/>
        </w:rPr>
        <w:t xml:space="preserve"> is not intending to market this prop</w:t>
      </w:r>
      <w:r w:rsidR="00F14E93">
        <w:rPr>
          <w:rFonts w:asciiTheme="minorHAnsi" w:hAnsiTheme="minorHAnsi"/>
        </w:rPr>
        <w:t>osed product in Australia. The s</w:t>
      </w:r>
      <w:r w:rsidR="00E655DD" w:rsidRPr="00E655DD">
        <w:rPr>
          <w:rFonts w:asciiTheme="minorHAnsi" w:hAnsiTheme="minorHAnsi"/>
        </w:rPr>
        <w:t xml:space="preserve">ponsor states they have selected </w:t>
      </w:r>
      <w:r w:rsidR="00D70E30">
        <w:rPr>
          <w:rFonts w:asciiTheme="minorHAnsi" w:hAnsiTheme="minorHAnsi"/>
        </w:rPr>
        <w:t xml:space="preserve">the </w:t>
      </w:r>
      <w:r w:rsidR="00E655DD" w:rsidRPr="00E655DD">
        <w:rPr>
          <w:rFonts w:asciiTheme="minorHAnsi" w:hAnsiTheme="minorHAnsi"/>
        </w:rPr>
        <w:t>TGA as a stringent regulatory authority for prequalification. Their medicine is intended for the treatment of malaria in</w:t>
      </w:r>
      <w:r>
        <w:rPr>
          <w:rFonts w:asciiTheme="minorHAnsi" w:hAnsiTheme="minorHAnsi"/>
        </w:rPr>
        <w:t xml:space="preserve"> malaria endemic countries (</w:t>
      </w:r>
      <w:r w:rsidR="000D148C">
        <w:rPr>
          <w:rFonts w:asciiTheme="minorHAnsi" w:hAnsiTheme="minorHAnsi"/>
        </w:rPr>
        <w:t xml:space="preserve">for </w:t>
      </w:r>
      <w:proofErr w:type="gramStart"/>
      <w:r w:rsidR="000D148C">
        <w:rPr>
          <w:rFonts w:asciiTheme="minorHAnsi" w:hAnsiTheme="minorHAnsi"/>
        </w:rPr>
        <w:t xml:space="preserve">example </w:t>
      </w:r>
      <w:r>
        <w:rPr>
          <w:rFonts w:asciiTheme="minorHAnsi" w:hAnsiTheme="minorHAnsi"/>
        </w:rPr>
        <w:t>,</w:t>
      </w:r>
      <w:proofErr w:type="gramEnd"/>
      <w:r w:rsidR="00E655DD" w:rsidRPr="00E655DD">
        <w:rPr>
          <w:rFonts w:asciiTheme="minorHAnsi" w:hAnsiTheme="minorHAnsi"/>
        </w:rPr>
        <w:t xml:space="preserve"> Ghana, Ethiopia and Ke</w:t>
      </w:r>
      <w:r w:rsidR="00E655DD">
        <w:rPr>
          <w:rFonts w:asciiTheme="minorHAnsi" w:hAnsiTheme="minorHAnsi"/>
        </w:rPr>
        <w:t xml:space="preserve">nya). </w:t>
      </w:r>
      <w:r>
        <w:rPr>
          <w:rFonts w:asciiTheme="minorHAnsi" w:hAnsiTheme="minorHAnsi"/>
        </w:rPr>
        <w:t xml:space="preserve">The sponsor </w:t>
      </w:r>
      <w:r w:rsidR="00E655DD">
        <w:rPr>
          <w:rFonts w:asciiTheme="minorHAnsi" w:hAnsiTheme="minorHAnsi"/>
        </w:rPr>
        <w:t xml:space="preserve">would like </w:t>
      </w:r>
      <w:proofErr w:type="spellStart"/>
      <w:r w:rsidR="00E655DD">
        <w:rPr>
          <w:rFonts w:asciiTheme="minorHAnsi" w:hAnsiTheme="minorHAnsi"/>
        </w:rPr>
        <w:t>ArTiMist</w:t>
      </w:r>
      <w:proofErr w:type="spellEnd"/>
      <w:r w:rsidR="00E655DD" w:rsidRPr="00E655DD">
        <w:rPr>
          <w:rFonts w:asciiTheme="minorHAnsi" w:hAnsiTheme="minorHAnsi"/>
        </w:rPr>
        <w:t xml:space="preserve"> to be adopted on to the World Health Organization (WHO) Guidelines for the Treatment of Malaria.</w:t>
      </w:r>
    </w:p>
    <w:p w14:paraId="17CDC935" w14:textId="7D667A6E" w:rsidR="00940A89" w:rsidRDefault="00E655DD" w:rsidP="00940A89">
      <w:r>
        <w:rPr>
          <w:rFonts w:asciiTheme="minorHAnsi" w:hAnsiTheme="minorHAnsi"/>
        </w:rPr>
        <w:t>At the time the TGA considered this application no similar applications have been approved or are planned in any other countries except Australia.</w:t>
      </w:r>
      <w:bookmarkStart w:id="21" w:name="_Toc247691506"/>
      <w:bookmarkStart w:id="22" w:name="_Toc314842487"/>
      <w:bookmarkEnd w:id="19"/>
      <w:bookmarkEnd w:id="20"/>
    </w:p>
    <w:p w14:paraId="4CACB50B" w14:textId="592F9BB0" w:rsidR="00500337" w:rsidRDefault="00A6709C" w:rsidP="00500337">
      <w:pPr>
        <w:pStyle w:val="Heading2"/>
      </w:pPr>
      <w:bookmarkStart w:id="23" w:name="_Toc504480011"/>
      <w:bookmarkStart w:id="24" w:name="_Toc120536554"/>
      <w:r>
        <w:t>II. Registration time</w:t>
      </w:r>
      <w:r w:rsidR="00500337">
        <w:t>line</w:t>
      </w:r>
      <w:bookmarkEnd w:id="23"/>
      <w:bookmarkEnd w:id="24"/>
    </w:p>
    <w:p w14:paraId="18AA4914" w14:textId="761F7088" w:rsidR="00500337" w:rsidRDefault="002A27A3" w:rsidP="00500337">
      <w:r>
        <w:fldChar w:fldCharType="begin"/>
      </w:r>
      <w:r>
        <w:instrText xml:space="preserve"> REF _Ref24351411 \h </w:instrText>
      </w:r>
      <w:r>
        <w:fldChar w:fldCharType="separate"/>
      </w:r>
      <w:r>
        <w:t xml:space="preserve">Table </w:t>
      </w:r>
      <w:r>
        <w:rPr>
          <w:noProof/>
        </w:rPr>
        <w:t>1</w:t>
      </w:r>
      <w:r>
        <w:fldChar w:fldCharType="end"/>
      </w:r>
      <w:r>
        <w:t xml:space="preserve"> </w:t>
      </w:r>
      <w:r w:rsidR="00500337">
        <w:t>captures the key steps and dates for this application and which are detailed and discussed</w:t>
      </w:r>
      <w:r w:rsidR="00BB3372">
        <w:t xml:space="preserve"> in this </w:t>
      </w:r>
      <w:proofErr w:type="spellStart"/>
      <w:r w:rsidR="00BB3372">
        <w:t>AusPAR</w:t>
      </w:r>
      <w:proofErr w:type="spellEnd"/>
      <w:r w:rsidR="00500337">
        <w:t>.</w:t>
      </w:r>
    </w:p>
    <w:p w14:paraId="57C25530" w14:textId="51D85002" w:rsidR="00500337" w:rsidRPr="00377BD4" w:rsidRDefault="002A27A3" w:rsidP="002A27A3">
      <w:pPr>
        <w:pStyle w:val="TableTitle"/>
      </w:pPr>
      <w:bookmarkStart w:id="25" w:name="_Ref24351411"/>
      <w:r>
        <w:t xml:space="preserve">Table </w:t>
      </w:r>
      <w:fldSimple w:instr=" SEQ Table \* ARABIC ">
        <w:r>
          <w:rPr>
            <w:noProof/>
          </w:rPr>
          <w:t>1</w:t>
        </w:r>
      </w:fldSimple>
      <w:bookmarkEnd w:id="25"/>
      <w:r>
        <w:t xml:space="preserve">: </w:t>
      </w:r>
      <w:r w:rsidR="006A58A8" w:rsidRPr="006A58A8">
        <w:t xml:space="preserve">Timeline for Submission </w:t>
      </w:r>
      <w:r w:rsidR="00214E38" w:rsidRPr="00214E38">
        <w:t>PM-2016-04637-1-2</w:t>
      </w:r>
    </w:p>
    <w:tbl>
      <w:tblPr>
        <w:tblStyle w:val="TableTGAblue"/>
        <w:tblW w:w="0" w:type="auto"/>
        <w:tblLook w:val="04A0" w:firstRow="1" w:lastRow="0" w:firstColumn="1" w:lastColumn="0" w:noHBand="0" w:noVBand="1"/>
      </w:tblPr>
      <w:tblGrid>
        <w:gridCol w:w="4246"/>
        <w:gridCol w:w="4238"/>
      </w:tblGrid>
      <w:tr w:rsidR="00500337" w14:paraId="3245E200"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554AF2DF" w14:textId="77777777" w:rsidR="00500337" w:rsidRDefault="00500337" w:rsidP="00500337">
            <w:pPr>
              <w:ind w:left="0" w:right="0"/>
            </w:pPr>
            <w:r>
              <w:t>Description</w:t>
            </w:r>
          </w:p>
        </w:tc>
        <w:tc>
          <w:tcPr>
            <w:tcW w:w="4360" w:type="dxa"/>
          </w:tcPr>
          <w:p w14:paraId="37542616" w14:textId="77777777" w:rsidR="00500337" w:rsidRDefault="00500337" w:rsidP="00500337">
            <w:pPr>
              <w:ind w:left="0" w:right="0"/>
            </w:pPr>
            <w:r>
              <w:t>Date</w:t>
            </w:r>
          </w:p>
        </w:tc>
      </w:tr>
      <w:tr w:rsidR="00500337" w14:paraId="5BA5D680" w14:textId="77777777" w:rsidTr="00500337">
        <w:tc>
          <w:tcPr>
            <w:tcW w:w="4360" w:type="dxa"/>
          </w:tcPr>
          <w:p w14:paraId="3DFBE2D5" w14:textId="77777777" w:rsidR="00500337" w:rsidRDefault="00500337" w:rsidP="00500337">
            <w:pPr>
              <w:ind w:left="0" w:right="0"/>
            </w:pPr>
            <w:r>
              <w:t>Submission dossier accepted and first round evaluation commenced</w:t>
            </w:r>
          </w:p>
        </w:tc>
        <w:tc>
          <w:tcPr>
            <w:tcW w:w="4360" w:type="dxa"/>
          </w:tcPr>
          <w:p w14:paraId="0339CE23" w14:textId="77777777" w:rsidR="00500337" w:rsidRDefault="00C560E0" w:rsidP="00500337">
            <w:pPr>
              <w:ind w:left="0" w:right="0"/>
            </w:pPr>
            <w:r>
              <w:t>31 March 2017</w:t>
            </w:r>
          </w:p>
        </w:tc>
      </w:tr>
      <w:tr w:rsidR="00500337" w14:paraId="6A95BB95" w14:textId="77777777" w:rsidTr="00500337">
        <w:tc>
          <w:tcPr>
            <w:tcW w:w="4360" w:type="dxa"/>
          </w:tcPr>
          <w:p w14:paraId="0422D8C7" w14:textId="77777777" w:rsidR="00500337" w:rsidRDefault="00500337" w:rsidP="00500337">
            <w:pPr>
              <w:ind w:left="0" w:right="0"/>
            </w:pPr>
            <w:r>
              <w:t>First round evaluation completed</w:t>
            </w:r>
          </w:p>
        </w:tc>
        <w:tc>
          <w:tcPr>
            <w:tcW w:w="4360" w:type="dxa"/>
          </w:tcPr>
          <w:p w14:paraId="47E30077" w14:textId="77777777" w:rsidR="00500337" w:rsidRDefault="00C560E0" w:rsidP="00500337">
            <w:pPr>
              <w:ind w:left="0" w:right="0"/>
            </w:pPr>
            <w:r>
              <w:t>5 October 2017</w:t>
            </w:r>
          </w:p>
        </w:tc>
      </w:tr>
      <w:tr w:rsidR="00500337" w14:paraId="267E08D1" w14:textId="77777777" w:rsidTr="00500337">
        <w:tc>
          <w:tcPr>
            <w:tcW w:w="4360" w:type="dxa"/>
          </w:tcPr>
          <w:p w14:paraId="0D4A219E" w14:textId="77777777" w:rsidR="00500337" w:rsidRPr="00D84F1D" w:rsidRDefault="00500337" w:rsidP="00500337">
            <w:pPr>
              <w:ind w:left="0" w:right="0"/>
            </w:pPr>
            <w:r w:rsidRPr="00D84F1D">
              <w:t>Sponsor provides responses on questions raised in first round evaluation</w:t>
            </w:r>
          </w:p>
        </w:tc>
        <w:tc>
          <w:tcPr>
            <w:tcW w:w="4360" w:type="dxa"/>
          </w:tcPr>
          <w:p w14:paraId="6FF85FBF" w14:textId="77777777" w:rsidR="00500337" w:rsidRPr="00D84F1D" w:rsidRDefault="00BB3372" w:rsidP="00500337">
            <w:pPr>
              <w:ind w:left="0" w:right="0"/>
            </w:pPr>
            <w:r w:rsidRPr="00D84F1D">
              <w:t>13 December 2018</w:t>
            </w:r>
          </w:p>
        </w:tc>
      </w:tr>
      <w:tr w:rsidR="00500337" w14:paraId="37D984B0" w14:textId="77777777" w:rsidTr="00500337">
        <w:tc>
          <w:tcPr>
            <w:tcW w:w="4360" w:type="dxa"/>
          </w:tcPr>
          <w:p w14:paraId="4C24F917" w14:textId="77777777" w:rsidR="00500337" w:rsidRDefault="00500337" w:rsidP="00500337">
            <w:pPr>
              <w:ind w:left="0" w:right="0"/>
            </w:pPr>
            <w:r>
              <w:t>Second round evaluation completed</w:t>
            </w:r>
          </w:p>
        </w:tc>
        <w:tc>
          <w:tcPr>
            <w:tcW w:w="4360" w:type="dxa"/>
          </w:tcPr>
          <w:p w14:paraId="4174C5EA" w14:textId="77777777" w:rsidR="00500337" w:rsidRDefault="00C560E0" w:rsidP="00500337">
            <w:pPr>
              <w:ind w:left="0" w:right="0"/>
            </w:pPr>
            <w:r>
              <w:t>28 February 2019</w:t>
            </w:r>
          </w:p>
        </w:tc>
      </w:tr>
      <w:tr w:rsidR="00500337" w14:paraId="1B3626C4" w14:textId="77777777" w:rsidTr="00500337">
        <w:tc>
          <w:tcPr>
            <w:tcW w:w="4360" w:type="dxa"/>
          </w:tcPr>
          <w:p w14:paraId="2EC4363F" w14:textId="77777777" w:rsidR="00500337" w:rsidRDefault="00500337" w:rsidP="00500337">
            <w:pPr>
              <w:ind w:left="0" w:right="0"/>
            </w:pPr>
            <w:r>
              <w:t>Delegate’s Overall benefit-risk assessment and request for Advisory Committee advice</w:t>
            </w:r>
          </w:p>
        </w:tc>
        <w:tc>
          <w:tcPr>
            <w:tcW w:w="4360" w:type="dxa"/>
          </w:tcPr>
          <w:p w14:paraId="3861CE5A" w14:textId="77777777" w:rsidR="00500337" w:rsidRDefault="00C560E0" w:rsidP="00500337">
            <w:pPr>
              <w:ind w:left="0" w:right="0"/>
            </w:pPr>
            <w:r>
              <w:t>4 March 2019</w:t>
            </w:r>
          </w:p>
        </w:tc>
      </w:tr>
      <w:tr w:rsidR="00500337" w14:paraId="53FE02A9" w14:textId="77777777" w:rsidTr="00500337">
        <w:tc>
          <w:tcPr>
            <w:tcW w:w="4360" w:type="dxa"/>
          </w:tcPr>
          <w:p w14:paraId="0779FF67" w14:textId="77777777" w:rsidR="00500337" w:rsidRDefault="00500337" w:rsidP="00500337">
            <w:pPr>
              <w:ind w:left="0" w:right="0"/>
            </w:pPr>
            <w:r>
              <w:lastRenderedPageBreak/>
              <w:t>Sponsor’s pre-Advisory Committee response</w:t>
            </w:r>
          </w:p>
        </w:tc>
        <w:tc>
          <w:tcPr>
            <w:tcW w:w="4360" w:type="dxa"/>
          </w:tcPr>
          <w:p w14:paraId="6E47CFDB" w14:textId="77777777" w:rsidR="00500337" w:rsidRDefault="00C560E0" w:rsidP="00500337">
            <w:pPr>
              <w:ind w:left="0" w:right="0"/>
            </w:pPr>
            <w:r>
              <w:t>19 March 2019</w:t>
            </w:r>
          </w:p>
        </w:tc>
      </w:tr>
      <w:tr w:rsidR="00500337" w14:paraId="10824FA0" w14:textId="77777777" w:rsidTr="00500337">
        <w:tc>
          <w:tcPr>
            <w:tcW w:w="4360" w:type="dxa"/>
          </w:tcPr>
          <w:p w14:paraId="52B90235" w14:textId="77777777" w:rsidR="00500337" w:rsidRDefault="00500337" w:rsidP="00500337">
            <w:pPr>
              <w:ind w:left="0" w:right="0"/>
            </w:pPr>
            <w:r>
              <w:t>Advisory Committee meeting</w:t>
            </w:r>
          </w:p>
        </w:tc>
        <w:tc>
          <w:tcPr>
            <w:tcW w:w="4360" w:type="dxa"/>
          </w:tcPr>
          <w:p w14:paraId="1E968BEA" w14:textId="77777777" w:rsidR="00500337" w:rsidRDefault="00C560E0" w:rsidP="00500337">
            <w:pPr>
              <w:ind w:left="0" w:right="0"/>
            </w:pPr>
            <w:r>
              <w:t>4 April 2019</w:t>
            </w:r>
          </w:p>
        </w:tc>
      </w:tr>
      <w:tr w:rsidR="00500337" w14:paraId="72F02DF1" w14:textId="77777777" w:rsidTr="00500337">
        <w:tc>
          <w:tcPr>
            <w:tcW w:w="4360" w:type="dxa"/>
          </w:tcPr>
          <w:p w14:paraId="723568C4" w14:textId="77777777" w:rsidR="00500337" w:rsidRDefault="00500337" w:rsidP="00500337">
            <w:pPr>
              <w:ind w:left="0" w:right="0"/>
            </w:pPr>
            <w:r>
              <w:t>Registration decision (Outcome)</w:t>
            </w:r>
          </w:p>
        </w:tc>
        <w:tc>
          <w:tcPr>
            <w:tcW w:w="4360" w:type="dxa"/>
          </w:tcPr>
          <w:p w14:paraId="06011786" w14:textId="77777777" w:rsidR="00500337" w:rsidRDefault="00C560E0" w:rsidP="00500337">
            <w:pPr>
              <w:ind w:left="0" w:right="0"/>
            </w:pPr>
            <w:r>
              <w:t>14 May 2019</w:t>
            </w:r>
          </w:p>
        </w:tc>
      </w:tr>
      <w:tr w:rsidR="00500337" w14:paraId="65400852" w14:textId="77777777" w:rsidTr="00500337">
        <w:tc>
          <w:tcPr>
            <w:tcW w:w="4360" w:type="dxa"/>
          </w:tcPr>
          <w:p w14:paraId="031F7496" w14:textId="77777777" w:rsidR="00500337" w:rsidRDefault="00500337" w:rsidP="00500337">
            <w:pPr>
              <w:ind w:left="0" w:right="0"/>
            </w:pPr>
            <w:r>
              <w:t>Number of working days from submission dossier acceptance to registration decision*</w:t>
            </w:r>
          </w:p>
        </w:tc>
        <w:tc>
          <w:tcPr>
            <w:tcW w:w="4360" w:type="dxa"/>
          </w:tcPr>
          <w:p w14:paraId="68C83FAF" w14:textId="77777777" w:rsidR="00500337" w:rsidRDefault="00066F1C" w:rsidP="00500337">
            <w:pPr>
              <w:ind w:left="0" w:right="0"/>
            </w:pPr>
            <w:r w:rsidRPr="00066F1C">
              <w:t>177</w:t>
            </w:r>
          </w:p>
        </w:tc>
      </w:tr>
    </w:tbl>
    <w:p w14:paraId="648C2A46"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2CFDB891" w14:textId="4A29B47C" w:rsidR="008E7846" w:rsidRPr="00792A32" w:rsidRDefault="00456765" w:rsidP="008E7846">
      <w:pPr>
        <w:pStyle w:val="Heading2"/>
      </w:pPr>
      <w:bookmarkStart w:id="26" w:name="_Toc196046504"/>
      <w:bookmarkStart w:id="27" w:name="_Toc247691527"/>
      <w:bookmarkStart w:id="28" w:name="_Toc314842510"/>
      <w:bookmarkStart w:id="29" w:name="_Toc120536555"/>
      <w:bookmarkStart w:id="30" w:name="_Toc163441390"/>
      <w:bookmarkEnd w:id="21"/>
      <w:bookmarkEnd w:id="22"/>
      <w:bookmarkEnd w:id="1"/>
      <w:r>
        <w:t>I</w:t>
      </w:r>
      <w:r w:rsidR="00DA64CB">
        <w:t>I</w:t>
      </w:r>
      <w:r w:rsidR="008E7846">
        <w:t xml:space="preserve">I. </w:t>
      </w:r>
      <w:r w:rsidR="00BE049C">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29"/>
    </w:p>
    <w:p w14:paraId="1C9E60D4" w14:textId="6FFC67F0" w:rsidR="008E7846" w:rsidRDefault="008E7846" w:rsidP="008E7846">
      <w:bookmarkStart w:id="31" w:name="_Toc247691528"/>
      <w:r>
        <w:t xml:space="preserve">The submission was summarised in the following </w:t>
      </w:r>
      <w:r w:rsidRPr="00EF5C48">
        <w:t>Delegate</w:t>
      </w:r>
      <w:r w:rsidR="000265EB">
        <w:t xml:space="preserve"> of the Secretary</w:t>
      </w:r>
      <w:r w:rsidRPr="00EF5C48">
        <w:t>’s</w:t>
      </w:r>
      <w:r w:rsidR="000265EB">
        <w:t xml:space="preserve"> (</w:t>
      </w:r>
      <w:r w:rsidR="00E7615F">
        <w:t>herein referred to as the ‘Delegate’)</w:t>
      </w:r>
      <w:r w:rsidRPr="00EF5C48">
        <w:t xml:space="preserve"> </w:t>
      </w:r>
      <w:r>
        <w:t>overview</w:t>
      </w:r>
      <w:r w:rsidRPr="00EF5C48">
        <w:t xml:space="preserve"> and recommendation</w:t>
      </w:r>
      <w:r w:rsidR="00BE049C">
        <w:t>s.</w:t>
      </w:r>
    </w:p>
    <w:p w14:paraId="02F569CE" w14:textId="77777777" w:rsidR="008E7846" w:rsidRDefault="008E7846" w:rsidP="008E7846">
      <w:pPr>
        <w:pStyle w:val="Heading3"/>
      </w:pPr>
      <w:bookmarkStart w:id="32" w:name="_Toc314842511"/>
      <w:bookmarkStart w:id="33" w:name="_Toc120536556"/>
      <w:r>
        <w:t>Quality</w:t>
      </w:r>
      <w:bookmarkEnd w:id="31"/>
      <w:bookmarkEnd w:id="32"/>
      <w:bookmarkEnd w:id="33"/>
    </w:p>
    <w:p w14:paraId="1BE8AD93" w14:textId="77777777" w:rsidR="009D6795" w:rsidRDefault="009D6795" w:rsidP="009D6795">
      <w:r>
        <w:t xml:space="preserve">Quality aspects </w:t>
      </w:r>
      <w:r w:rsidR="00BB626A">
        <w:t xml:space="preserve">of the product are acceptable. </w:t>
      </w:r>
      <w:r>
        <w:t>The dose form is manufactured in Canada.</w:t>
      </w:r>
    </w:p>
    <w:p w14:paraId="48579A8D" w14:textId="08D622D8" w:rsidR="009D6795" w:rsidRDefault="009D6795" w:rsidP="009D6795">
      <w:r>
        <w:t>The evaluation h</w:t>
      </w:r>
      <w:r w:rsidR="007B6D80">
        <w:t>as drawn attention to 3</w:t>
      </w:r>
      <w:r>
        <w:t xml:space="preserve"> matters.</w:t>
      </w:r>
    </w:p>
    <w:p w14:paraId="63D0DBE7" w14:textId="41A5531F" w:rsidR="009D6795" w:rsidRDefault="009D6795" w:rsidP="009D6795">
      <w:r>
        <w:t xml:space="preserve">Artemether and Artemether Spray Solution are not subject to </w:t>
      </w:r>
      <w:r w:rsidR="006F0AD0">
        <w:t>British Pharmacopoeia</w:t>
      </w:r>
      <w:r>
        <w:t xml:space="preserve">, </w:t>
      </w:r>
      <w:r w:rsidR="006F0AD0" w:rsidRPr="006F0AD0">
        <w:t xml:space="preserve">United States Pharmacopeia </w:t>
      </w:r>
      <w:r>
        <w:t xml:space="preserve">or </w:t>
      </w:r>
      <w:r w:rsidR="006F0AD0" w:rsidRPr="006F0AD0">
        <w:t xml:space="preserve">European Pharmacopoeia </w:t>
      </w:r>
      <w:r>
        <w:t>monographs. Each metered dose contains 6.17 mg artemether. For a 15 kg patient a total of 7 actuations per dose are required. The maximum recommended daily dose of artemether is 90 mg fo</w:t>
      </w:r>
      <w:r w:rsidR="00C560E0">
        <w:t xml:space="preserve">r a child weighing between 13.5 to </w:t>
      </w:r>
      <w:r>
        <w:t xml:space="preserve">15 kg. </w:t>
      </w:r>
      <w:proofErr w:type="spellStart"/>
      <w:r>
        <w:t>ArTiMist</w:t>
      </w:r>
      <w:proofErr w:type="spellEnd"/>
      <w:r>
        <w:t xml:space="preserve"> 6 should not be used for more than 7 days. The pack is labelled as 50 actuations although it </w:t>
      </w:r>
      <w:r w:rsidR="006F0AD0">
        <w:t>contains enough liquid to give approximately</w:t>
      </w:r>
      <w:r w:rsidR="00C560E0">
        <w:t xml:space="preserve"> </w:t>
      </w:r>
      <w:r>
        <w:t>60 actuations before the volume in each activation starts to fall off.</w:t>
      </w:r>
    </w:p>
    <w:p w14:paraId="5E910E19" w14:textId="48FB66C7" w:rsidR="00730F8A" w:rsidRDefault="009D6795" w:rsidP="009D6795">
      <w:r>
        <w:t>The lack of absolute bioavailabi</w:t>
      </w:r>
      <w:r w:rsidR="00641C60">
        <w:t>li</w:t>
      </w:r>
      <w:r>
        <w:t xml:space="preserve">ty study and lack of a food effect study are drawn to the </w:t>
      </w:r>
      <w:r w:rsidR="006F0AD0">
        <w:t>attention of the Delegate. The s</w:t>
      </w:r>
      <w:r>
        <w:t>ponsor has justified the lack of an absolute bioavailability study on the basis that no intravenous</w:t>
      </w:r>
      <w:r w:rsidR="001161C7">
        <w:t xml:space="preserve"> (IV)</w:t>
      </w:r>
      <w:r>
        <w:t xml:space="preserve"> formulation for artemether (a highly lipid soluble drug) is currently available for either human or toxicolog</w:t>
      </w:r>
      <w:r w:rsidR="00C560E0">
        <w:t xml:space="preserve">ical use. </w:t>
      </w:r>
      <w:r>
        <w:t xml:space="preserve">The sponsor has justified the absence of a food effect study on the basis that patients are advised that they should not eat or drink 10 minutes before and after administration of </w:t>
      </w:r>
      <w:proofErr w:type="spellStart"/>
      <w:r>
        <w:t>ArTiMist</w:t>
      </w:r>
      <w:proofErr w:type="spellEnd"/>
      <w:r>
        <w:t xml:space="preserve"> and </w:t>
      </w:r>
      <w:proofErr w:type="spellStart"/>
      <w:r>
        <w:t>ArTiMist</w:t>
      </w:r>
      <w:proofErr w:type="spellEnd"/>
      <w:r>
        <w:t xml:space="preserve"> is contraindicated in patients who can take food.</w:t>
      </w:r>
    </w:p>
    <w:p w14:paraId="7DD6C579" w14:textId="77777777" w:rsidR="008E7846" w:rsidRDefault="008E7846" w:rsidP="008E7846">
      <w:pPr>
        <w:pStyle w:val="Heading3"/>
      </w:pPr>
      <w:bookmarkStart w:id="34" w:name="_Toc314842512"/>
      <w:bookmarkStart w:id="35" w:name="_Toc120536557"/>
      <w:r>
        <w:t>Nonclinical</w:t>
      </w:r>
      <w:bookmarkEnd w:id="34"/>
      <w:bookmarkEnd w:id="35"/>
    </w:p>
    <w:p w14:paraId="33629E7B" w14:textId="11EAFBF3" w:rsidR="009D6795" w:rsidRDefault="009D6795" w:rsidP="0049404A">
      <w:r>
        <w:t xml:space="preserve">The </w:t>
      </w:r>
      <w:r w:rsidR="006F0AD0">
        <w:t xml:space="preserve">nonclinical </w:t>
      </w:r>
      <w:r>
        <w:t xml:space="preserve">submission </w:t>
      </w:r>
      <w:r w:rsidR="006F0AD0">
        <w:t xml:space="preserve">was entirely literature based. </w:t>
      </w:r>
      <w:r>
        <w:t>No primary or secondary pharmacology studies were conducted with the formulation. Due to the extensive clinical experience using artemisinin derivatives to tre</w:t>
      </w:r>
      <w:r w:rsidR="006F0AD0">
        <w:t>at malaria, this is acceptable.</w:t>
      </w:r>
    </w:p>
    <w:p w14:paraId="6966A155" w14:textId="2DCEB57E" w:rsidR="009D6795" w:rsidRDefault="009D6795" w:rsidP="0049404A">
      <w:r>
        <w:t xml:space="preserve">Resistance to artemisinin-based therapy was not addressed in the </w:t>
      </w:r>
      <w:r w:rsidR="006F0AD0">
        <w:t>nonclinical</w:t>
      </w:r>
      <w:r>
        <w:t xml:space="preserve"> submission. </w:t>
      </w:r>
      <w:r w:rsidRPr="006F0AD0">
        <w:rPr>
          <w:i/>
        </w:rPr>
        <w:t>P. falciparum</w:t>
      </w:r>
      <w:r>
        <w:t xml:space="preserve"> </w:t>
      </w:r>
      <w:r w:rsidR="00947F78">
        <w:t>has been shown to</w:t>
      </w:r>
      <w:r w:rsidR="00485819">
        <w:t xml:space="preserve"> </w:t>
      </w:r>
      <w:r>
        <w:t>develop resistance to artemisinin monotherapy</w:t>
      </w:r>
      <w:r w:rsidR="00947F78">
        <w:t xml:space="preserve"> over time</w:t>
      </w:r>
      <w:r>
        <w:t xml:space="preserve"> Artemisinin resistance is associated with increased unfolded protein response (UPR), dysregulation of the pre-replication phase </w:t>
      </w:r>
      <w:r w:rsidR="006F0AD0">
        <w:t>and the phosphoinositide 3-kinase (PI3K)/p</w:t>
      </w:r>
      <w:r w:rsidR="006F0AD0" w:rsidRPr="006F0AD0">
        <w:t xml:space="preserve">hosphatidylinositol 3-phosphate </w:t>
      </w:r>
      <w:r w:rsidR="006F0AD0">
        <w:t xml:space="preserve">(PI3P)/Akt pathway. </w:t>
      </w:r>
      <w:r>
        <w:t xml:space="preserve">A mutation of the </w:t>
      </w:r>
      <w:r w:rsidR="0049404A" w:rsidRPr="0049404A">
        <w:rPr>
          <w:i/>
        </w:rPr>
        <w:t>P.</w:t>
      </w:r>
      <w:r w:rsidR="0075322C">
        <w:rPr>
          <w:i/>
        </w:rPr>
        <w:t> </w:t>
      </w:r>
      <w:r w:rsidR="0049404A" w:rsidRPr="0049404A">
        <w:rPr>
          <w:i/>
        </w:rPr>
        <w:t>falciparum</w:t>
      </w:r>
      <w:r w:rsidR="0049404A" w:rsidRPr="0049404A">
        <w:t xml:space="preserve"> Kelch13 </w:t>
      </w:r>
      <w:r w:rsidR="0049404A">
        <w:t>(</w:t>
      </w:r>
      <w:r>
        <w:t>PfK13</w:t>
      </w:r>
      <w:r w:rsidR="0049404A">
        <w:t>)</w:t>
      </w:r>
      <w:r>
        <w:t xml:space="preserve"> propeller domain endows the parasites with an increased </w:t>
      </w:r>
      <w:r>
        <w:lastRenderedPageBreak/>
        <w:t xml:space="preserve">ability to enter the quiescent state. PfK13-mutant (resistant) parasites have greater UPR expression and </w:t>
      </w:r>
      <w:r w:rsidR="0075322C">
        <w:t>mobilisation</w:t>
      </w:r>
      <w:r>
        <w:t xml:space="preserve">, which increase their capacity to manage oxidative damage and to repair or degrade proteins damaged by alkylation and oxidation generated by artemisinin. These parasites also have an elevated production of PI3P, which could play a role in the maintenance of a minimal energetic metabolism based on mitochondrial and </w:t>
      </w:r>
      <w:proofErr w:type="spellStart"/>
      <w:r>
        <w:t>apicoplast</w:t>
      </w:r>
      <w:proofErr w:type="spellEnd"/>
      <w:r>
        <w:t xml:space="preserve"> activity. The quiescence state is maintained by alternative tricarboxylic acid cycle and </w:t>
      </w:r>
      <w:r w:rsidR="0049404A">
        <w:t>b</w:t>
      </w:r>
      <w:r w:rsidR="0049404A" w:rsidRPr="0049404A">
        <w:t xml:space="preserve">acterial type II fatty acid synthesis </w:t>
      </w:r>
      <w:r w:rsidR="0049404A">
        <w:t>(</w:t>
      </w:r>
      <w:r>
        <w:t>FASII</w:t>
      </w:r>
      <w:r w:rsidR="0049404A">
        <w:t>)</w:t>
      </w:r>
      <w:r>
        <w:t xml:space="preserve"> metabolism, until drug removal/excretion when parasites can resume growth. </w:t>
      </w:r>
      <w:r w:rsidR="0075322C">
        <w:t xml:space="preserve">The </w:t>
      </w:r>
      <w:r>
        <w:t xml:space="preserve">WHO does not recommend </w:t>
      </w:r>
      <w:proofErr w:type="spellStart"/>
      <w:r>
        <w:t>artemisinins</w:t>
      </w:r>
      <w:proofErr w:type="spellEnd"/>
      <w:r>
        <w:t xml:space="preserve"> are used as monotherapy in the treatment of malaria due to the risk of potentiating t</w:t>
      </w:r>
      <w:r w:rsidR="0049404A">
        <w:t>reatment resistance.</w:t>
      </w:r>
      <w:r w:rsidR="002A27A3">
        <w:fldChar w:fldCharType="begin"/>
      </w:r>
      <w:r w:rsidR="002A27A3">
        <w:instrText xml:space="preserve"> NOTEREF _Ref23430019 \f \h </w:instrText>
      </w:r>
      <w:r w:rsidR="002A27A3">
        <w:fldChar w:fldCharType="separate"/>
      </w:r>
      <w:r w:rsidR="002A27A3" w:rsidRPr="002A27A3">
        <w:rPr>
          <w:rStyle w:val="FootnoteReference"/>
        </w:rPr>
        <w:t>2</w:t>
      </w:r>
      <w:r w:rsidR="002A27A3">
        <w:fldChar w:fldCharType="end"/>
      </w:r>
      <w:r w:rsidR="0049404A">
        <w:t xml:space="preserve"> </w:t>
      </w:r>
      <w:r>
        <w:t xml:space="preserve">Given the risk of potentiating treatment resistance, the nonclinical evaluation considers it would be advisable to use </w:t>
      </w:r>
      <w:proofErr w:type="spellStart"/>
      <w:r>
        <w:t>ArTiMist</w:t>
      </w:r>
      <w:proofErr w:type="spellEnd"/>
      <w:r>
        <w:t xml:space="preserve"> only when parenteral therapy is not available.</w:t>
      </w:r>
    </w:p>
    <w:p w14:paraId="2148331D" w14:textId="3D984365" w:rsidR="009D6795" w:rsidRDefault="009D6795" w:rsidP="0049404A">
      <w:r>
        <w:t xml:space="preserve">The main toxicity of clinical concern with artemether is the potential for neurotoxicity. Since very young animals seem to be more sensitive to neurotoxicity than adult animals, and the toxicity of sublingual </w:t>
      </w:r>
      <w:proofErr w:type="spellStart"/>
      <w:r>
        <w:t>ArTiMist</w:t>
      </w:r>
      <w:proofErr w:type="spellEnd"/>
      <w:r>
        <w:t xml:space="preserve"> has not been assessed in animals of any age, the nonclinical evaluation recommends that the treat</w:t>
      </w:r>
      <w:r w:rsidR="0049404A">
        <w:t xml:space="preserve">ment of children weighing 5 to </w:t>
      </w:r>
      <w:r>
        <w:t xml:space="preserve">15 kg with </w:t>
      </w:r>
      <w:proofErr w:type="spellStart"/>
      <w:r>
        <w:t>ArTiMist</w:t>
      </w:r>
      <w:proofErr w:type="spellEnd"/>
      <w:r>
        <w:t xml:space="preserve"> is limited to less than 4 days. However, a longer treatment duration can be acceptable if supported by clinical data.</w:t>
      </w:r>
    </w:p>
    <w:p w14:paraId="69DDB553" w14:textId="77777777" w:rsidR="00DC1948" w:rsidRPr="00DC1948" w:rsidRDefault="009D6795" w:rsidP="0049404A">
      <w:r>
        <w:t>There are no nonclinical objections to registration provided local effects at the site of administration have been adequately addressed by clinical data.</w:t>
      </w:r>
    </w:p>
    <w:p w14:paraId="79823087" w14:textId="235DD326" w:rsidR="008E7846" w:rsidRDefault="008E7846" w:rsidP="008E7846">
      <w:pPr>
        <w:pStyle w:val="Heading3"/>
      </w:pPr>
      <w:bookmarkStart w:id="36" w:name="_Toc247691530"/>
      <w:bookmarkStart w:id="37" w:name="_Toc314842513"/>
      <w:bookmarkStart w:id="38" w:name="_Toc120536558"/>
      <w:r>
        <w:t>Clinical</w:t>
      </w:r>
      <w:bookmarkEnd w:id="36"/>
      <w:bookmarkEnd w:id="37"/>
      <w:bookmarkEnd w:id="38"/>
    </w:p>
    <w:p w14:paraId="0F3E9968" w14:textId="796B76D4" w:rsidR="008639A4" w:rsidRDefault="008639A4" w:rsidP="008639A4">
      <w:r>
        <w:t>The clinical dossier contained four clinical trials:</w:t>
      </w:r>
    </w:p>
    <w:p w14:paraId="6F8FEC44" w14:textId="57D7751D" w:rsidR="008639A4" w:rsidRDefault="008639A4" w:rsidP="008639A4">
      <w:pPr>
        <w:pStyle w:val="ListBullet"/>
      </w:pPr>
      <w:r>
        <w:t xml:space="preserve">Study ART001: a single dose </w:t>
      </w:r>
      <w:r w:rsidR="006F3B3F">
        <w:t>pharmacokinetic (</w:t>
      </w:r>
      <w:r>
        <w:t>PK</w:t>
      </w:r>
      <w:r w:rsidR="006F3B3F">
        <w:t>)</w:t>
      </w:r>
      <w:r>
        <w:t xml:space="preserve"> study in </w:t>
      </w:r>
      <w:proofErr w:type="gramStart"/>
      <w:r>
        <w:t>adults;</w:t>
      </w:r>
      <w:proofErr w:type="gramEnd"/>
    </w:p>
    <w:p w14:paraId="7F67E376" w14:textId="5278BC3E" w:rsidR="008639A4" w:rsidRDefault="008639A4" w:rsidP="008639A4">
      <w:pPr>
        <w:pStyle w:val="ListBullet"/>
      </w:pPr>
      <w:r>
        <w:t xml:space="preserve">Study ART002: a multi-dose PK study in </w:t>
      </w:r>
      <w:proofErr w:type="gramStart"/>
      <w:r>
        <w:t>adults;</w:t>
      </w:r>
      <w:proofErr w:type="gramEnd"/>
    </w:p>
    <w:p w14:paraId="4F8E2253" w14:textId="4CAD7710" w:rsidR="008639A4" w:rsidRDefault="008639A4" w:rsidP="008639A4">
      <w:pPr>
        <w:pStyle w:val="ListBullet"/>
      </w:pPr>
      <w:r>
        <w:t xml:space="preserve">Study ART003: an exploratory Phase </w:t>
      </w:r>
      <w:proofErr w:type="spellStart"/>
      <w:r>
        <w:t>IIa</w:t>
      </w:r>
      <w:proofErr w:type="spellEnd"/>
      <w:r>
        <w:t xml:space="preserve"> efficacy and safety study;</w:t>
      </w:r>
      <w:r w:rsidR="0075322C">
        <w:t xml:space="preserve"> and</w:t>
      </w:r>
    </w:p>
    <w:p w14:paraId="1AC798C1" w14:textId="7D37F1F3" w:rsidR="008639A4" w:rsidRDefault="008639A4" w:rsidP="008639A4">
      <w:pPr>
        <w:pStyle w:val="ListBullet"/>
      </w:pPr>
      <w:r>
        <w:t>Study ART004: a Phase III efficacy and safety study.</w:t>
      </w:r>
    </w:p>
    <w:p w14:paraId="617A1D36" w14:textId="6D047E64" w:rsidR="008639A4" w:rsidRPr="008639A4" w:rsidRDefault="008639A4" w:rsidP="008639A4">
      <w:r>
        <w:t xml:space="preserve">It also contained </w:t>
      </w:r>
      <w:proofErr w:type="gramStart"/>
      <w:r>
        <w:t>a large number of</w:t>
      </w:r>
      <w:proofErr w:type="gramEnd"/>
      <w:r>
        <w:t xml:space="preserve"> literature references.</w:t>
      </w:r>
    </w:p>
    <w:p w14:paraId="128CA328" w14:textId="77777777" w:rsidR="009D6795" w:rsidRDefault="009D6795" w:rsidP="009D6795">
      <w:pPr>
        <w:pStyle w:val="Heading4"/>
      </w:pPr>
      <w:bookmarkStart w:id="39" w:name="_Toc314842514"/>
      <w:r>
        <w:t>Pharmacokinetics</w:t>
      </w:r>
    </w:p>
    <w:p w14:paraId="3B6146A2" w14:textId="7DFC7802" w:rsidR="0049404A" w:rsidRDefault="009D6795" w:rsidP="009D6795">
      <w:r>
        <w:t>Two cl</w:t>
      </w:r>
      <w:r w:rsidR="0049404A">
        <w:t xml:space="preserve">inical </w:t>
      </w:r>
      <w:r w:rsidR="006F3B3F">
        <w:t>PK</w:t>
      </w:r>
      <w:r w:rsidR="008639A4">
        <w:t xml:space="preserve"> </w:t>
      </w:r>
      <w:r w:rsidR="0049404A">
        <w:t>studies were submitted:</w:t>
      </w:r>
    </w:p>
    <w:p w14:paraId="2511F5DB" w14:textId="35BD89CA" w:rsidR="0049404A" w:rsidRDefault="0049404A" w:rsidP="0049404A">
      <w:pPr>
        <w:pStyle w:val="ListBullet"/>
      </w:pPr>
      <w:r>
        <w:t xml:space="preserve">Study </w:t>
      </w:r>
      <w:r w:rsidR="009D6795">
        <w:t>ART001 a sin</w:t>
      </w:r>
      <w:r>
        <w:t>gle dose PK study in adults;</w:t>
      </w:r>
      <w:r w:rsidR="0075322C">
        <w:t xml:space="preserve"> and</w:t>
      </w:r>
    </w:p>
    <w:p w14:paraId="5D2855EB" w14:textId="0DEFF346" w:rsidR="0049404A" w:rsidRDefault="0049404A" w:rsidP="0049404A">
      <w:pPr>
        <w:pStyle w:val="ListBullet"/>
      </w:pPr>
      <w:r>
        <w:t xml:space="preserve">Study </w:t>
      </w:r>
      <w:r w:rsidR="009D6795">
        <w:t xml:space="preserve">ART002 </w:t>
      </w:r>
      <w:r>
        <w:t>a multi dose PK study in adults.</w:t>
      </w:r>
    </w:p>
    <w:p w14:paraId="385BEF9A" w14:textId="2EC67F25" w:rsidR="009D6795" w:rsidRDefault="008639A4" w:rsidP="009D6795">
      <w:r>
        <w:t>PK</w:t>
      </w:r>
      <w:r w:rsidR="00775666">
        <w:t xml:space="preserve"> </w:t>
      </w:r>
      <w:r w:rsidR="009D6795">
        <w:t xml:space="preserve">was also assessed in the target population </w:t>
      </w:r>
      <w:r w:rsidR="0049404A">
        <w:t>in Studies ART003 and ART004.</w:t>
      </w:r>
    </w:p>
    <w:p w14:paraId="004F7E1E" w14:textId="2038841C" w:rsidR="0049404A" w:rsidRDefault="002A27A3" w:rsidP="0049404A">
      <w:r>
        <w:t xml:space="preserve">Study </w:t>
      </w:r>
      <w:r w:rsidR="009D6795">
        <w:t xml:space="preserve">ART001 assessed the relative bioavailability of </w:t>
      </w:r>
      <w:r w:rsidR="0049404A">
        <w:t>sublingual (</w:t>
      </w:r>
      <w:r w:rsidR="009D6795">
        <w:t>SL</w:t>
      </w:r>
      <w:r w:rsidR="0049404A">
        <w:t>)</w:t>
      </w:r>
      <w:r w:rsidR="009D6795">
        <w:t xml:space="preserve"> sprays 3</w:t>
      </w:r>
      <w:r>
        <w:t> </w:t>
      </w:r>
      <w:r w:rsidR="009D6795">
        <w:t>mg/actuation and 6</w:t>
      </w:r>
      <w:r w:rsidR="0049404A">
        <w:t xml:space="preserve"> mg/actuations </w:t>
      </w:r>
      <w:r w:rsidR="009D6795">
        <w:t>(2 strengths) and 15</w:t>
      </w:r>
      <w:r w:rsidR="0049404A">
        <w:t xml:space="preserve"> </w:t>
      </w:r>
      <w:r w:rsidR="009D6795">
        <w:t>mg and 30 mg doses with a single oral dose of 30</w:t>
      </w:r>
      <w:r w:rsidR="0049404A">
        <w:t xml:space="preserve"> </w:t>
      </w:r>
      <w:r w:rsidR="009D6795">
        <w:t>mg artemet</w:t>
      </w:r>
      <w:r w:rsidR="0049404A">
        <w:t>her in 16 healthy adult males. The treatment groups were as follows:</w:t>
      </w:r>
    </w:p>
    <w:p w14:paraId="67717E8D" w14:textId="22B4F033" w:rsidR="0049404A" w:rsidRDefault="009D6795" w:rsidP="0049404A">
      <w:pPr>
        <w:pStyle w:val="ListBullet"/>
      </w:pPr>
      <w:r>
        <w:t>T</w:t>
      </w:r>
      <w:r w:rsidR="0049404A">
        <w:t xml:space="preserve">reatment </w:t>
      </w:r>
      <w:r>
        <w:t>1</w:t>
      </w:r>
      <w:r w:rsidR="0049404A">
        <w:t xml:space="preserve"> (T1):</w:t>
      </w:r>
      <w:r>
        <w:t xml:space="preserve"> 15m</w:t>
      </w:r>
      <w:r w:rsidR="0049404A">
        <w:t>g SL dose by 3</w:t>
      </w:r>
      <w:r w:rsidR="002038FE">
        <w:t xml:space="preserve"> </w:t>
      </w:r>
      <w:r w:rsidR="0049404A">
        <w:t>mg/</w:t>
      </w:r>
      <w:proofErr w:type="gramStart"/>
      <w:r w:rsidR="0049404A">
        <w:t>actuation;</w:t>
      </w:r>
      <w:proofErr w:type="gramEnd"/>
    </w:p>
    <w:p w14:paraId="53ED23FF" w14:textId="0F6128BE" w:rsidR="0049404A" w:rsidRDefault="009D6795" w:rsidP="0049404A">
      <w:pPr>
        <w:pStyle w:val="ListBullet"/>
      </w:pPr>
      <w:r>
        <w:t>T</w:t>
      </w:r>
      <w:r w:rsidR="0049404A">
        <w:t xml:space="preserve">reatment </w:t>
      </w:r>
      <w:r>
        <w:t>2</w:t>
      </w:r>
      <w:r w:rsidR="0049404A">
        <w:t xml:space="preserve"> (T2):</w:t>
      </w:r>
      <w:r w:rsidR="002038FE">
        <w:t xml:space="preserve"> 30mg SL dose by 3 </w:t>
      </w:r>
      <w:r w:rsidR="0049404A">
        <w:t>mg/</w:t>
      </w:r>
      <w:proofErr w:type="gramStart"/>
      <w:r w:rsidR="0049404A">
        <w:t>actuation;</w:t>
      </w:r>
      <w:proofErr w:type="gramEnd"/>
    </w:p>
    <w:p w14:paraId="46CBB4EE" w14:textId="435BD037" w:rsidR="0049404A" w:rsidRDefault="009D6795" w:rsidP="0049404A">
      <w:pPr>
        <w:pStyle w:val="ListBullet"/>
      </w:pPr>
      <w:r>
        <w:t>T</w:t>
      </w:r>
      <w:r w:rsidR="0049404A">
        <w:t xml:space="preserve">reatment </w:t>
      </w:r>
      <w:r>
        <w:t>3</w:t>
      </w:r>
      <w:r w:rsidR="0049404A">
        <w:t xml:space="preserve"> (T3):</w:t>
      </w:r>
      <w:r w:rsidR="002038FE">
        <w:t xml:space="preserve"> 30mg SL</w:t>
      </w:r>
      <w:r w:rsidR="0049404A">
        <w:t xml:space="preserve"> dose by 6</w:t>
      </w:r>
      <w:r w:rsidR="002038FE">
        <w:t xml:space="preserve"> </w:t>
      </w:r>
      <w:r w:rsidR="0049404A">
        <w:t>mg/actuation;</w:t>
      </w:r>
      <w:r w:rsidR="0075322C">
        <w:t xml:space="preserve"> and</w:t>
      </w:r>
    </w:p>
    <w:p w14:paraId="6459DD52" w14:textId="5C493927" w:rsidR="0049404A" w:rsidRDefault="0049404A" w:rsidP="0049404A">
      <w:pPr>
        <w:pStyle w:val="ListBullet"/>
      </w:pPr>
      <w:r>
        <w:t>Treatment 4 (T4); 30 mg oral tablet.</w:t>
      </w:r>
    </w:p>
    <w:p w14:paraId="3A03B805" w14:textId="32C46AAB" w:rsidR="009D6795" w:rsidRDefault="009D6795" w:rsidP="0049404A">
      <w:r>
        <w:t xml:space="preserve">PK parameters were measured for artemether and the more biologically active metabolite </w:t>
      </w:r>
      <w:proofErr w:type="spellStart"/>
      <w:r>
        <w:t>dihydroartemisinin</w:t>
      </w:r>
      <w:proofErr w:type="spellEnd"/>
      <w:r w:rsidR="002A27A3">
        <w:t xml:space="preserve"> (DHA)</w:t>
      </w:r>
      <w:r>
        <w:t xml:space="preserve">. The </w:t>
      </w:r>
      <w:r w:rsidR="0049404A">
        <w:t>t</w:t>
      </w:r>
      <w:r w:rsidR="0049404A" w:rsidRPr="00913273">
        <w:t>ime to reach maximum plasma concentration</w:t>
      </w:r>
      <w:r w:rsidR="0049404A">
        <w:t xml:space="preserve"> (</w:t>
      </w:r>
      <w:proofErr w:type="spellStart"/>
      <w:r>
        <w:t>T</w:t>
      </w:r>
      <w:r w:rsidRPr="0049404A">
        <w:rPr>
          <w:vertAlign w:val="subscript"/>
        </w:rPr>
        <w:t>max</w:t>
      </w:r>
      <w:proofErr w:type="spellEnd"/>
      <w:r w:rsidR="0049404A">
        <w:t>)</w:t>
      </w:r>
      <w:r>
        <w:t xml:space="preserve"> was </w:t>
      </w:r>
      <w:r>
        <w:lastRenderedPageBreak/>
        <w:t>around 1.7 hours.</w:t>
      </w:r>
      <w:r w:rsidR="0049404A">
        <w:t xml:space="preserve"> </w:t>
      </w:r>
      <w:r>
        <w:t xml:space="preserve">The ratio of mean log </w:t>
      </w:r>
      <w:r w:rsidR="002038FE">
        <w:t>a</w:t>
      </w:r>
      <w:r w:rsidR="002038FE" w:rsidRPr="002038FE">
        <w:t xml:space="preserve">rea under the plasma concentration-time curve from time zero up to </w:t>
      </w:r>
      <w:r w:rsidR="002038FE">
        <w:t>12 hours (</w:t>
      </w:r>
      <w:r>
        <w:t>AUC</w:t>
      </w:r>
      <w:r w:rsidRPr="002038FE">
        <w:rPr>
          <w:vertAlign w:val="subscript"/>
        </w:rPr>
        <w:t>0-12</w:t>
      </w:r>
      <w:r w:rsidR="002038FE">
        <w:t>)</w:t>
      </w:r>
      <w:r w:rsidRPr="002038FE">
        <w:t xml:space="preserve"> </w:t>
      </w:r>
      <w:r>
        <w:t>was 229% and 213% for T2/T4 and T</w:t>
      </w:r>
      <w:r w:rsidR="002A27A3">
        <w:t>3/T4, respectively. For DHA</w:t>
      </w:r>
      <w:r w:rsidR="002038FE">
        <w:t xml:space="preserve">, the ratio of </w:t>
      </w:r>
      <w:r>
        <w:t>mean log AUC</w:t>
      </w:r>
      <w:r w:rsidRPr="002038FE">
        <w:rPr>
          <w:vertAlign w:val="subscript"/>
        </w:rPr>
        <w:t xml:space="preserve">0-12 </w:t>
      </w:r>
      <w:r>
        <w:t>was 264% an</w:t>
      </w:r>
      <w:r w:rsidR="002038FE">
        <w:t>d</w:t>
      </w:r>
      <w:r>
        <w:t xml:space="preserve"> 239% for T2/T4 and T3/T4, respectively. The relative bioavailability, as measured by AUC</w:t>
      </w:r>
      <w:r w:rsidRPr="002038FE">
        <w:rPr>
          <w:vertAlign w:val="subscript"/>
        </w:rPr>
        <w:t>0-12</w:t>
      </w:r>
      <w:r>
        <w:t>, AUC</w:t>
      </w:r>
      <w:r w:rsidRPr="002038FE">
        <w:rPr>
          <w:vertAlign w:val="subscript"/>
        </w:rPr>
        <w:t>0-∞</w:t>
      </w:r>
      <w:r w:rsidR="002038FE">
        <w:t xml:space="preserve">, </w:t>
      </w:r>
      <w:r>
        <w:t xml:space="preserve">and </w:t>
      </w:r>
      <w:r w:rsidR="002038FE">
        <w:t>m</w:t>
      </w:r>
      <w:r w:rsidR="002038FE" w:rsidRPr="002038FE">
        <w:t xml:space="preserve">aximum plasma concentration </w:t>
      </w:r>
      <w:r w:rsidR="002038FE">
        <w:t>(</w:t>
      </w:r>
      <w:proofErr w:type="spellStart"/>
      <w:r>
        <w:t>C</w:t>
      </w:r>
      <w:r w:rsidRPr="002038FE">
        <w:rPr>
          <w:vertAlign w:val="subscript"/>
        </w:rPr>
        <w:t>max</w:t>
      </w:r>
      <w:proofErr w:type="spellEnd"/>
      <w:r w:rsidR="002038FE">
        <w:t>) of artemether in S</w:t>
      </w:r>
      <w:r w:rsidR="002A27A3">
        <w:t>tudy ART001, of the 3 </w:t>
      </w:r>
      <w:r>
        <w:t>mg/actuation and the 6 mg/actuation formulations was similar. This was also the case for the AUC</w:t>
      </w:r>
      <w:r w:rsidRPr="002038FE">
        <w:rPr>
          <w:vertAlign w:val="subscript"/>
        </w:rPr>
        <w:t xml:space="preserve">0-12 </w:t>
      </w:r>
      <w:r>
        <w:t xml:space="preserve">and </w:t>
      </w:r>
      <w:proofErr w:type="spellStart"/>
      <w:r>
        <w:t>C</w:t>
      </w:r>
      <w:r w:rsidRPr="002038FE">
        <w:rPr>
          <w:vertAlign w:val="subscript"/>
        </w:rPr>
        <w:t>max</w:t>
      </w:r>
      <w:proofErr w:type="spellEnd"/>
      <w:r>
        <w:t xml:space="preserve"> of DHA. The </w:t>
      </w:r>
      <w:proofErr w:type="spellStart"/>
      <w:r>
        <w:t>C</w:t>
      </w:r>
      <w:r w:rsidRPr="002038FE">
        <w:rPr>
          <w:vertAlign w:val="subscript"/>
        </w:rPr>
        <w:t>max</w:t>
      </w:r>
      <w:proofErr w:type="spellEnd"/>
      <w:r>
        <w:t xml:space="preserve"> of artemether and </w:t>
      </w:r>
      <w:r w:rsidR="002038FE">
        <w:t>DHA</w:t>
      </w:r>
      <w:r>
        <w:t xml:space="preserve"> was dose proportional between the 15 (T1)</w:t>
      </w:r>
      <w:r w:rsidR="002038FE">
        <w:t xml:space="preserve"> </w:t>
      </w:r>
      <w:r>
        <w:t>and 30 mg (T2)</w:t>
      </w:r>
      <w:r w:rsidR="002038FE">
        <w:t xml:space="preserve"> </w:t>
      </w:r>
      <w:r>
        <w:t>SL sprays. AUC</w:t>
      </w:r>
      <w:r w:rsidRPr="002038FE">
        <w:rPr>
          <w:vertAlign w:val="subscript"/>
        </w:rPr>
        <w:t xml:space="preserve">0-12 </w:t>
      </w:r>
      <w:r>
        <w:t>was less than dose proportio</w:t>
      </w:r>
      <w:r w:rsidR="002038FE">
        <w:t>nal for both artemether (25.8 versus</w:t>
      </w:r>
      <w:r>
        <w:t xml:space="preserve"> 76.6 </w:t>
      </w:r>
      <w:proofErr w:type="spellStart"/>
      <w:r>
        <w:t>ng.h</w:t>
      </w:r>
      <w:proofErr w:type="spellEnd"/>
      <w:r>
        <w:t xml:space="preserve">/mL) and </w:t>
      </w:r>
      <w:r w:rsidR="002038FE">
        <w:t>DHA (29.6 versus 99.5 </w:t>
      </w:r>
      <w:proofErr w:type="spellStart"/>
      <w:r>
        <w:t>ng.h</w:t>
      </w:r>
      <w:proofErr w:type="spellEnd"/>
      <w:r>
        <w:t xml:space="preserve">/mL). This is likely due to the shorter </w:t>
      </w:r>
      <w:r w:rsidR="002038FE">
        <w:t>e</w:t>
      </w:r>
      <w:r w:rsidR="002038FE" w:rsidRPr="002038FE">
        <w:t xml:space="preserve">limination half-life </w:t>
      </w:r>
      <w:r w:rsidR="002038FE">
        <w:t>(</w:t>
      </w:r>
      <w:r w:rsidR="00A8290B">
        <w:t>t</w:t>
      </w:r>
      <w:r w:rsidR="00A8290B" w:rsidRPr="004A726A">
        <w:rPr>
          <w:vertAlign w:val="subscript"/>
        </w:rPr>
        <w:t>1/2</w:t>
      </w:r>
      <w:r w:rsidR="00A8290B">
        <w:t xml:space="preserve">) </w:t>
      </w:r>
      <w:r>
        <w:t>of the 15 mg dose.</w:t>
      </w:r>
    </w:p>
    <w:p w14:paraId="3BB75FD3" w14:textId="77133E27" w:rsidR="009D6795" w:rsidRDefault="002038FE" w:rsidP="0049404A">
      <w:r>
        <w:t xml:space="preserve">Study </w:t>
      </w:r>
      <w:r w:rsidR="00BB3372">
        <w:t xml:space="preserve">ART002 assessed </w:t>
      </w:r>
      <w:r>
        <w:t xml:space="preserve">the bioequivalence of </w:t>
      </w:r>
      <w:r w:rsidR="009D6795">
        <w:t>30m</w:t>
      </w:r>
      <w:r>
        <w:t>g SL</w:t>
      </w:r>
      <w:r w:rsidR="009D6795">
        <w:t xml:space="preserve"> spray given by 3</w:t>
      </w:r>
      <w:r>
        <w:t xml:space="preserve"> </w:t>
      </w:r>
      <w:r w:rsidR="009D6795">
        <w:t>mg and 6</w:t>
      </w:r>
      <w:r>
        <w:t> </w:t>
      </w:r>
      <w:r w:rsidR="009D6795">
        <w:t>mg/actuation for 5</w:t>
      </w:r>
      <w:r>
        <w:t xml:space="preserve"> days</w:t>
      </w:r>
      <w:r w:rsidR="00A8290B">
        <w:t xml:space="preserve"> in</w:t>
      </w:r>
      <w:r>
        <w:t xml:space="preserve"> 16 healthy African males.</w:t>
      </w:r>
      <w:r w:rsidR="009D6795">
        <w:t xml:space="preserve"> For artemether AUC</w:t>
      </w:r>
      <w:r w:rsidR="009D6795" w:rsidRPr="002038FE">
        <w:rPr>
          <w:vertAlign w:val="subscript"/>
        </w:rPr>
        <w:t>0-∞</w:t>
      </w:r>
      <w:r>
        <w:t xml:space="preserve"> the ratio of means (Day 5 to D</w:t>
      </w:r>
      <w:r w:rsidR="009D6795">
        <w:t xml:space="preserve">ay 1) was 0.96 (90% </w:t>
      </w:r>
      <w:r w:rsidR="00775666">
        <w:t>confidence interval (</w:t>
      </w:r>
      <w:r w:rsidR="009D6795">
        <w:t>CI</w:t>
      </w:r>
      <w:r w:rsidR="00775666">
        <w:t>)</w:t>
      </w:r>
      <w:r w:rsidR="009D6795">
        <w:t xml:space="preserve">: 0.19, 1.080.60, 1.32) and 1.3 (90% CI: 0.19, 1.080.36, 2.25) for the respective formulations. After 5 days dosing the </w:t>
      </w:r>
      <w:proofErr w:type="spellStart"/>
      <w:r w:rsidR="009D6795">
        <w:t>C</w:t>
      </w:r>
      <w:r w:rsidR="009D6795" w:rsidRPr="00775666">
        <w:rPr>
          <w:vertAlign w:val="subscript"/>
        </w:rPr>
        <w:t>max</w:t>
      </w:r>
      <w:proofErr w:type="spellEnd"/>
      <w:r w:rsidR="009D6795">
        <w:t xml:space="preserve"> and AUC</w:t>
      </w:r>
      <w:r w:rsidR="009D6795" w:rsidRPr="00775666">
        <w:rPr>
          <w:vertAlign w:val="subscript"/>
        </w:rPr>
        <w:t xml:space="preserve">0-last </w:t>
      </w:r>
      <w:r w:rsidR="00775666">
        <w:t xml:space="preserve">for DHA increased (30 to </w:t>
      </w:r>
      <w:r w:rsidR="009D6795">
        <w:t xml:space="preserve">59% for </w:t>
      </w:r>
      <w:proofErr w:type="spellStart"/>
      <w:r w:rsidR="009D6795">
        <w:t>C</w:t>
      </w:r>
      <w:r w:rsidR="009D6795" w:rsidRPr="00775666">
        <w:rPr>
          <w:vertAlign w:val="subscript"/>
        </w:rPr>
        <w:t>max</w:t>
      </w:r>
      <w:proofErr w:type="spellEnd"/>
      <w:r w:rsidR="00775666">
        <w:t xml:space="preserve"> and 62 to </w:t>
      </w:r>
      <w:r w:rsidR="009D6795">
        <w:t>70% for AUC</w:t>
      </w:r>
      <w:r w:rsidR="009D6795" w:rsidRPr="00775666">
        <w:rPr>
          <w:vertAlign w:val="subscript"/>
        </w:rPr>
        <w:t>0-last</w:t>
      </w:r>
      <w:r w:rsidR="009D6795">
        <w:t>)</w:t>
      </w:r>
      <w:r w:rsidR="00775666">
        <w:t>,</w:t>
      </w:r>
      <w:r w:rsidR="009D6795">
        <w:t xml:space="preserve"> ind</w:t>
      </w:r>
      <w:r w:rsidR="00775666">
        <w:t>icating accumulation of DHA. T</w:t>
      </w:r>
      <w:r w:rsidR="009D6795">
        <w:t>here were no major differences in the PK parameters of the two formulations of 6 mg and 3</w:t>
      </w:r>
      <w:r w:rsidR="00775666">
        <w:t xml:space="preserve"> </w:t>
      </w:r>
      <w:r w:rsidR="009D6795">
        <w:t xml:space="preserve">mg per actuation. Bioequivalence was not demonstrated </w:t>
      </w:r>
      <w:r w:rsidR="00775666">
        <w:t>on all parameters although the P</w:t>
      </w:r>
      <w:r w:rsidR="009D6795">
        <w:t>hase I studies were not powered to assess this formally.</w:t>
      </w:r>
    </w:p>
    <w:p w14:paraId="4E13239F" w14:textId="2111B7BE" w:rsidR="009D6795" w:rsidRDefault="009D6795" w:rsidP="00775666">
      <w:r>
        <w:t>Pharmacokinetics in the tar</w:t>
      </w:r>
      <w:r w:rsidR="00775666">
        <w:t xml:space="preserve">get population was assessed by </w:t>
      </w:r>
      <w:r w:rsidR="00DF36D6">
        <w:t>non-compartmental</w:t>
      </w:r>
      <w:r w:rsidR="00775666">
        <w:t xml:space="preserve"> PK analyses in efficacy Studies ART003 and ART004. In S</w:t>
      </w:r>
      <w:r>
        <w:t xml:space="preserve">tudy ART003, plasma levels close to the target of 200 ng/mL were reached at 45 minutes post first dose and the </w:t>
      </w:r>
      <w:proofErr w:type="spellStart"/>
      <w:r>
        <w:t>C</w:t>
      </w:r>
      <w:r w:rsidRPr="00775666">
        <w:rPr>
          <w:vertAlign w:val="subscript"/>
        </w:rPr>
        <w:t>max</w:t>
      </w:r>
      <w:proofErr w:type="spellEnd"/>
      <w:r w:rsidR="00DF36D6">
        <w:t xml:space="preserve"> of 271 </w:t>
      </w:r>
      <w:r>
        <w:t xml:space="preserve">ng/L was achieved at 1.6 hours. For DHA, a </w:t>
      </w:r>
      <w:proofErr w:type="spellStart"/>
      <w:r>
        <w:t>C</w:t>
      </w:r>
      <w:r w:rsidRPr="00775666">
        <w:rPr>
          <w:vertAlign w:val="subscript"/>
        </w:rPr>
        <w:t>max</w:t>
      </w:r>
      <w:proofErr w:type="spellEnd"/>
      <w:r w:rsidR="00DF36D6">
        <w:t xml:space="preserve"> of 107 ng/mL was reached by 2 </w:t>
      </w:r>
      <w:r>
        <w:t>hours. There was high variability in artemether and DHA</w:t>
      </w:r>
      <w:r w:rsidR="00775666">
        <w:t xml:space="preserve"> </w:t>
      </w:r>
      <w:r>
        <w:t>concentrations.</w:t>
      </w:r>
      <w:r w:rsidR="00DF36D6">
        <w:t xml:space="preserve"> </w:t>
      </w:r>
      <w:r w:rsidR="00775666">
        <w:t>In S</w:t>
      </w:r>
      <w:r>
        <w:t>tudy</w:t>
      </w:r>
      <w:r w:rsidR="00A8290B">
        <w:t> </w:t>
      </w:r>
      <w:r>
        <w:t xml:space="preserve">ART004, at 45 minutes post the first dose the mean artemether plasma concentration was 211.2 ng/mL and a </w:t>
      </w:r>
      <w:proofErr w:type="spellStart"/>
      <w:r>
        <w:t>C</w:t>
      </w:r>
      <w:r w:rsidRPr="00775666">
        <w:rPr>
          <w:vertAlign w:val="subscript"/>
        </w:rPr>
        <w:t>max</w:t>
      </w:r>
      <w:proofErr w:type="spellEnd"/>
      <w:r>
        <w:t xml:space="preserve"> of 333.2 ng/mL was reached at 1.3 hours. After the third dose the mean </w:t>
      </w:r>
      <w:proofErr w:type="spellStart"/>
      <w:r>
        <w:t>C</w:t>
      </w:r>
      <w:r w:rsidRPr="00775666">
        <w:rPr>
          <w:vertAlign w:val="subscript"/>
        </w:rPr>
        <w:t>max</w:t>
      </w:r>
      <w:proofErr w:type="spellEnd"/>
      <w:r w:rsidRPr="00775666">
        <w:rPr>
          <w:vertAlign w:val="subscript"/>
        </w:rPr>
        <w:t xml:space="preserve"> </w:t>
      </w:r>
      <w:r>
        <w:t>of 224.4 ng/mL was reac</w:t>
      </w:r>
      <w:r w:rsidR="00775666">
        <w:t>hed at 2.3 hours post dose. On D</w:t>
      </w:r>
      <w:r>
        <w:t>ay 2</w:t>
      </w:r>
      <w:r w:rsidR="00A8290B">
        <w:t>,</w:t>
      </w:r>
      <w:r>
        <w:t xml:space="preserve"> after 3 doses, the DHA </w:t>
      </w:r>
      <w:proofErr w:type="spellStart"/>
      <w:r>
        <w:t>C</w:t>
      </w:r>
      <w:r w:rsidRPr="00775666">
        <w:rPr>
          <w:vertAlign w:val="subscript"/>
        </w:rPr>
        <w:t>max</w:t>
      </w:r>
      <w:proofErr w:type="spellEnd"/>
      <w:r>
        <w:t xml:space="preserve"> of 315.4 ng/mL was measured at 2.8 hours post dose.</w:t>
      </w:r>
    </w:p>
    <w:p w14:paraId="4F4A7708" w14:textId="3BBFA766" w:rsidR="009D6795" w:rsidRDefault="009D6795" w:rsidP="00775666">
      <w:r>
        <w:t>In the paediatric patients, target artemether levels</w:t>
      </w:r>
      <w:r w:rsidR="00775666">
        <w:t xml:space="preserve"> (200 ng/mL) were reached by 45 </w:t>
      </w:r>
      <w:r>
        <w:t xml:space="preserve">minutes post first dose and the </w:t>
      </w:r>
      <w:proofErr w:type="spellStart"/>
      <w:r>
        <w:t>C</w:t>
      </w:r>
      <w:r w:rsidRPr="00775666">
        <w:rPr>
          <w:vertAlign w:val="subscript"/>
        </w:rPr>
        <w:t>max</w:t>
      </w:r>
      <w:proofErr w:type="spellEnd"/>
      <w:r>
        <w:t xml:space="preserve"> was achieved at around one a half </w:t>
      </w:r>
      <w:proofErr w:type="gramStart"/>
      <w:r>
        <w:t>hours</w:t>
      </w:r>
      <w:proofErr w:type="gramEnd"/>
      <w:r>
        <w:t>. DHA showed evidence of accumula</w:t>
      </w:r>
      <w:r w:rsidR="00775666">
        <w:t>tion in children and by D</w:t>
      </w:r>
      <w:r>
        <w:t xml:space="preserve">ay 2 a </w:t>
      </w:r>
      <w:proofErr w:type="gramStart"/>
      <w:r>
        <w:t>5 fold</w:t>
      </w:r>
      <w:proofErr w:type="gramEnd"/>
      <w:r>
        <w:t xml:space="preserve"> increase in </w:t>
      </w:r>
      <w:proofErr w:type="spellStart"/>
      <w:r>
        <w:t>C</w:t>
      </w:r>
      <w:r w:rsidRPr="00775666">
        <w:rPr>
          <w:vertAlign w:val="subscript"/>
        </w:rPr>
        <w:t>max</w:t>
      </w:r>
      <w:proofErr w:type="spellEnd"/>
      <w:r w:rsidR="00775666">
        <w:t xml:space="preserve"> and 10 </w:t>
      </w:r>
      <w:r>
        <w:t>fold increase in AUC</w:t>
      </w:r>
      <w:r w:rsidRPr="00775666">
        <w:rPr>
          <w:vertAlign w:val="subscript"/>
        </w:rPr>
        <w:t>0-∞</w:t>
      </w:r>
      <w:r>
        <w:t xml:space="preserve"> was found.</w:t>
      </w:r>
    </w:p>
    <w:p w14:paraId="76C559CD" w14:textId="66780267" w:rsidR="009D6795" w:rsidRDefault="00A8290B" w:rsidP="00775666">
      <w:r>
        <w:t>A p</w:t>
      </w:r>
      <w:r w:rsidR="009D6795">
        <w:t>opulation PK analysis was undertaken on the healthy subjects (Studies ART001 and ART002) and the paediatric patients (</w:t>
      </w:r>
      <w:r>
        <w:t xml:space="preserve">Studies </w:t>
      </w:r>
      <w:r w:rsidR="009D6795">
        <w:t>ART003 and ART004</w:t>
      </w:r>
      <w:proofErr w:type="gramStart"/>
      <w:r w:rsidR="009D6795">
        <w:t>)</w:t>
      </w:r>
      <w:proofErr w:type="gramEnd"/>
      <w:r w:rsidR="009D6795">
        <w:t xml:space="preserve"> and the models were the subject of two literature reports.</w:t>
      </w:r>
      <w:r w:rsidR="00DF36D6">
        <w:rPr>
          <w:rStyle w:val="FootnoteReference"/>
        </w:rPr>
        <w:footnoteReference w:id="4"/>
      </w:r>
      <w:r>
        <w:rPr>
          <w:vertAlign w:val="superscript"/>
        </w:rPr>
        <w:t>,</w:t>
      </w:r>
      <w:r w:rsidR="00DF36D6">
        <w:rPr>
          <w:rStyle w:val="FootnoteReference"/>
        </w:rPr>
        <w:footnoteReference w:id="5"/>
      </w:r>
      <w:r w:rsidR="00DF36D6">
        <w:t xml:space="preserve"> Studies ART003 and ART004</w:t>
      </w:r>
      <w:r w:rsidR="009D6795">
        <w:t xml:space="preserve"> included 824 plasma </w:t>
      </w:r>
      <w:r w:rsidR="00DF36D6">
        <w:t>concentrations</w:t>
      </w:r>
      <w:r w:rsidR="009D6795">
        <w:t xml:space="preserve"> for artemether and 788 </w:t>
      </w:r>
      <w:r w:rsidR="00DF36D6">
        <w:t>concentrations</w:t>
      </w:r>
      <w:r w:rsidR="009D6795">
        <w:t xml:space="preserve"> for DHA. It was proposed that there is more </w:t>
      </w:r>
      <w:r w:rsidR="00DF36D6">
        <w:t>SL</w:t>
      </w:r>
      <w:r w:rsidR="009D6795">
        <w:t xml:space="preserve"> absorption in healthy adults than sick young children due to longer SL retention time. In addition, in children</w:t>
      </w:r>
      <w:r>
        <w:t>,</w:t>
      </w:r>
      <w:r w:rsidR="009D6795">
        <w:t xml:space="preserve"> some artemether is swallowed and absorbed via the </w:t>
      </w:r>
      <w:r w:rsidR="00DF36D6">
        <w:t>gastrointestinal (</w:t>
      </w:r>
      <w:r w:rsidR="009D6795">
        <w:t>GI</w:t>
      </w:r>
      <w:r w:rsidR="00DF36D6">
        <w:t>)</w:t>
      </w:r>
      <w:r w:rsidR="009D6795">
        <w:t xml:space="preserve"> tract.</w:t>
      </w:r>
    </w:p>
    <w:p w14:paraId="0C12FCE5" w14:textId="7BBF5B0F" w:rsidR="009D6795" w:rsidRDefault="009D6795" w:rsidP="00775666">
      <w:r>
        <w:t xml:space="preserve">Artemether is rapidly metabolised by the liver to DHA mainly via </w:t>
      </w:r>
      <w:r w:rsidR="001161C7">
        <w:t>c</w:t>
      </w:r>
      <w:r w:rsidR="001161C7" w:rsidRPr="001161C7">
        <w:t xml:space="preserve">ytochrome P450 </w:t>
      </w:r>
      <w:r w:rsidR="001161C7">
        <w:t xml:space="preserve">(CYP) </w:t>
      </w:r>
      <w:r w:rsidR="001161C7" w:rsidRPr="001161C7">
        <w:t>3A4</w:t>
      </w:r>
      <w:r w:rsidR="001161C7">
        <w:t>/3A5</w:t>
      </w:r>
      <w:r w:rsidR="001161C7" w:rsidRPr="001161C7">
        <w:t xml:space="preserve"> </w:t>
      </w:r>
      <w:r>
        <w:t>and to a lesser extent CYP2B6. DHA is then metabolised to largely inactive compounds. As hepatic metabolism is the main clearance mechanism, caution will be required in patients with severe hepatic impairment. As artemether is metabolised by CYP3A4 and inducers of CYP3A4 may reduce artemether leve</w:t>
      </w:r>
      <w:r w:rsidR="001161C7">
        <w:t>ls, t</w:t>
      </w:r>
      <w:r>
        <w:t>herefore strong CYP3A4 inducers are contraindicated.</w:t>
      </w:r>
    </w:p>
    <w:p w14:paraId="795C3B11" w14:textId="7B86B0E3" w:rsidR="009D6795" w:rsidRDefault="009D6795" w:rsidP="00775666">
      <w:r>
        <w:lastRenderedPageBreak/>
        <w:t xml:space="preserve">TGA replication of the </w:t>
      </w:r>
      <w:r w:rsidR="00D80AB8" w:rsidRPr="00D80AB8">
        <w:t xml:space="preserve">population </w:t>
      </w:r>
      <w:r w:rsidR="00D80AB8">
        <w:t>PK</w:t>
      </w:r>
      <w:r w:rsidR="00D80AB8" w:rsidRPr="00D80AB8">
        <w:t xml:space="preserve"> </w:t>
      </w:r>
      <w:r w:rsidR="00D80AB8">
        <w:t>analysis suggested</w:t>
      </w:r>
      <w:r>
        <w:t xml:space="preserve"> there are no barriers to registration arising from the evaluatio</w:t>
      </w:r>
      <w:r w:rsidR="001161C7">
        <w:t>ns of the p</w:t>
      </w:r>
      <w:r>
        <w:t xml:space="preserve">opulation </w:t>
      </w:r>
      <w:r w:rsidR="001161C7">
        <w:t>PK</w:t>
      </w:r>
      <w:r>
        <w:t>.</w:t>
      </w:r>
    </w:p>
    <w:p w14:paraId="6252E473" w14:textId="77777777" w:rsidR="009D6795" w:rsidRDefault="009D6795" w:rsidP="009D6795">
      <w:pPr>
        <w:pStyle w:val="Heading4"/>
      </w:pPr>
      <w:r>
        <w:t>Pharmacodynamics</w:t>
      </w:r>
    </w:p>
    <w:p w14:paraId="2112F190" w14:textId="16255E2E" w:rsidR="009D6795" w:rsidRDefault="009D6795" w:rsidP="009D6795">
      <w:r>
        <w:t xml:space="preserve">No pharmacodynamics </w:t>
      </w:r>
      <w:r w:rsidR="001161C7">
        <w:t xml:space="preserve">(PD) </w:t>
      </w:r>
      <w:r>
        <w:t xml:space="preserve">studies were submitted. The primary </w:t>
      </w:r>
      <w:r w:rsidR="001161C7">
        <w:t>PD</w:t>
      </w:r>
      <w:r>
        <w:t xml:space="preserve"> effect of artemether is parasite cleara</w:t>
      </w:r>
      <w:r w:rsidR="001161C7">
        <w:t>nce. In the paediatric patient S</w:t>
      </w:r>
      <w:r>
        <w:t>tudies ART003 and ART004, the mean parasite clearance times were 35.7 hours</w:t>
      </w:r>
      <w:r w:rsidR="001161C7">
        <w:t xml:space="preserve"> and 30.3 hours, respectively. In the literature, m</w:t>
      </w:r>
      <w:r>
        <w:t>ost studies have failed to demonstrate a correlation between parasite clearance time and drug concentration.</w:t>
      </w:r>
    </w:p>
    <w:p w14:paraId="6EC9D65C" w14:textId="2E720CEF" w:rsidR="009D6795" w:rsidRDefault="001161C7" w:rsidP="009D6795">
      <w:r>
        <w:t>Resistance to artemisinin-</w:t>
      </w:r>
      <w:r w:rsidR="009D6795">
        <w:t xml:space="preserve">based therapy has not been assessed by the sponsor. Artemisinin resistance </w:t>
      </w:r>
      <w:r>
        <w:t xml:space="preserve">has been reported in parts of </w:t>
      </w:r>
      <w:proofErr w:type="gramStart"/>
      <w:r>
        <w:t>South East</w:t>
      </w:r>
      <w:proofErr w:type="gramEnd"/>
      <w:r w:rsidR="009D6795">
        <w:t xml:space="preserve"> Asia. The Worldwide Antimalarial Resistance Network states that a major focus for containing resistance is the cessation of artemisinin-based monotherapy.</w:t>
      </w:r>
    </w:p>
    <w:p w14:paraId="50317857" w14:textId="77777777" w:rsidR="009D6795" w:rsidRDefault="009D6795" w:rsidP="009D6795">
      <w:pPr>
        <w:pStyle w:val="Heading4"/>
      </w:pPr>
      <w:r>
        <w:t>Dose selection for efficacy studies</w:t>
      </w:r>
    </w:p>
    <w:p w14:paraId="14E27142" w14:textId="0D13E25C" w:rsidR="009D6795" w:rsidRDefault="009D6795" w:rsidP="009D6795">
      <w:r>
        <w:t xml:space="preserve">The </w:t>
      </w:r>
      <w:r w:rsidR="001161C7">
        <w:t>sponsor’s</w:t>
      </w:r>
      <w:r>
        <w:t xml:space="preserve"> response </w:t>
      </w:r>
      <w:r w:rsidR="001161C7">
        <w:t xml:space="preserve">to TGA questions from the </w:t>
      </w:r>
      <w:proofErr w:type="gramStart"/>
      <w:r w:rsidR="001161C7">
        <w:t>first round</w:t>
      </w:r>
      <w:proofErr w:type="gramEnd"/>
      <w:r w:rsidR="001161C7">
        <w:t xml:space="preserve"> clinical evaluation report has described </w:t>
      </w:r>
      <w:r w:rsidR="00676703">
        <w:t xml:space="preserve">that </w:t>
      </w:r>
      <w:r w:rsidR="001161C7">
        <w:t xml:space="preserve">a </w:t>
      </w:r>
      <w:r>
        <w:t xml:space="preserve">dose of 3 mg/kg in patients was expected to give </w:t>
      </w:r>
      <w:r w:rsidR="00676703">
        <w:t xml:space="preserve">an </w:t>
      </w:r>
      <w:r>
        <w:t xml:space="preserve">artemether </w:t>
      </w:r>
      <w:proofErr w:type="spellStart"/>
      <w:r>
        <w:t>C</w:t>
      </w:r>
      <w:r w:rsidRPr="001161C7">
        <w:rPr>
          <w:vertAlign w:val="subscript"/>
        </w:rPr>
        <w:t>max</w:t>
      </w:r>
      <w:proofErr w:type="spellEnd"/>
      <w:r>
        <w:t xml:space="preserve"> and AUC of bet</w:t>
      </w:r>
      <w:r w:rsidR="001161C7">
        <w:t xml:space="preserve">ween 200 to 400 ng/mL and 400 to </w:t>
      </w:r>
      <w:r>
        <w:t xml:space="preserve">800 </w:t>
      </w:r>
      <w:proofErr w:type="spellStart"/>
      <w:r>
        <w:t>ng.h</w:t>
      </w:r>
      <w:proofErr w:type="spellEnd"/>
      <w:r>
        <w:t>/mL</w:t>
      </w:r>
      <w:r w:rsidR="001161C7">
        <w:t>,</w:t>
      </w:r>
      <w:r>
        <w:t xml:space="preserve"> respectively, which is known to be in the therapeutic and safe range. The comparable exposure to artemether and DHA in paediatric and adult patients with malaria was based literature and on data </w:t>
      </w:r>
      <w:r w:rsidR="00676703">
        <w:t>from</w:t>
      </w:r>
      <w:r>
        <w:t xml:space="preserve"> the PI for </w:t>
      </w:r>
      <w:proofErr w:type="spellStart"/>
      <w:r>
        <w:t>Riamet</w:t>
      </w:r>
      <w:proofErr w:type="spellEnd"/>
      <w:r w:rsidR="00676703">
        <w:t xml:space="preserve"> (artemether/lumefantrine) combination product</w:t>
      </w:r>
      <w:r>
        <w:t>.</w:t>
      </w:r>
    </w:p>
    <w:p w14:paraId="4E1FA7AC" w14:textId="77777777" w:rsidR="009D6795" w:rsidRDefault="009D6795" w:rsidP="009D6795">
      <w:pPr>
        <w:pStyle w:val="Heading4"/>
      </w:pPr>
      <w:r>
        <w:t>Efficacy</w:t>
      </w:r>
    </w:p>
    <w:p w14:paraId="2F706241" w14:textId="72EEB598" w:rsidR="009D6795" w:rsidRDefault="009D6795" w:rsidP="009D6795">
      <w:r>
        <w:t xml:space="preserve">Two studies in the dossier which provided efficacy data: </w:t>
      </w:r>
      <w:r w:rsidR="001161C7">
        <w:t xml:space="preserve">Studies </w:t>
      </w:r>
      <w:r>
        <w:t xml:space="preserve">ART003 </w:t>
      </w:r>
      <w:r w:rsidR="001161C7">
        <w:t>and ART004. Study ART003 was a P</w:t>
      </w:r>
      <w:r>
        <w:t xml:space="preserve">hase </w:t>
      </w:r>
      <w:proofErr w:type="spellStart"/>
      <w:r>
        <w:t>IIa</w:t>
      </w:r>
      <w:proofErr w:type="spellEnd"/>
      <w:r>
        <w:t xml:space="preserve"> study and Study ART004 the pivotal efficacy study.</w:t>
      </w:r>
    </w:p>
    <w:p w14:paraId="7905740C" w14:textId="2247F485" w:rsidR="001161C7" w:rsidRDefault="001161C7" w:rsidP="001161C7">
      <w:pPr>
        <w:pStyle w:val="Heading5"/>
      </w:pPr>
      <w:r>
        <w:t>Study ART004</w:t>
      </w:r>
    </w:p>
    <w:p w14:paraId="05761941" w14:textId="25A950FD" w:rsidR="009D6795" w:rsidRDefault="001161C7" w:rsidP="009D6795">
      <w:r>
        <w:t>Study ART004 was a P</w:t>
      </w:r>
      <w:r w:rsidR="009D6795">
        <w:t xml:space="preserve">hase III, randomised, open </w:t>
      </w:r>
      <w:r>
        <w:t>label, active controlled, multi</w:t>
      </w:r>
      <w:r w:rsidR="009D6795">
        <w:t>centre</w:t>
      </w:r>
      <w:r>
        <w:t xml:space="preserve">, superiority trial of </w:t>
      </w:r>
      <w:proofErr w:type="spellStart"/>
      <w:r>
        <w:t>ArTiMist</w:t>
      </w:r>
      <w:proofErr w:type="spellEnd"/>
      <w:r w:rsidR="009D6795">
        <w:t xml:space="preserve"> versus </w:t>
      </w:r>
      <w:r>
        <w:t>IV</w:t>
      </w:r>
      <w:r w:rsidR="009D6795">
        <w:t xml:space="preserve"> quinine in 151 children with severe or complicated falciparum malaria, or children with uncomplicated malaria with </w:t>
      </w:r>
      <w:r w:rsidR="00676703">
        <w:t xml:space="preserve">GI </w:t>
      </w:r>
      <w:r w:rsidR="009D6795">
        <w:t xml:space="preserve">complications. It was conducted at 3 sites (Rwanda, </w:t>
      </w:r>
      <w:proofErr w:type="gramStart"/>
      <w:r w:rsidR="009D6795">
        <w:t>Ghana</w:t>
      </w:r>
      <w:proofErr w:type="gramEnd"/>
      <w:r w:rsidR="009D6795">
        <w:t xml:space="preserve"> and Burkina Faso) between Nov</w:t>
      </w:r>
      <w:r>
        <w:t xml:space="preserve">ember 2010 and September 2012. </w:t>
      </w:r>
      <w:r w:rsidR="009D6795">
        <w:t xml:space="preserve">The study is presented in the </w:t>
      </w:r>
      <w:r>
        <w:t>clinical evaluation report</w:t>
      </w:r>
      <w:r w:rsidR="009D6795">
        <w:t>.</w:t>
      </w:r>
    </w:p>
    <w:p w14:paraId="1EB38A96" w14:textId="61080A6A" w:rsidR="009D6795" w:rsidRDefault="009D6795" w:rsidP="009D6795">
      <w:r>
        <w:t>The primary objective was to demonstr</w:t>
      </w:r>
      <w:r w:rsidR="001161C7">
        <w:t xml:space="preserve">ate the superiority of </w:t>
      </w:r>
      <w:proofErr w:type="spellStart"/>
      <w:r w:rsidR="001161C7">
        <w:t>ArTiMist</w:t>
      </w:r>
      <w:proofErr w:type="spellEnd"/>
      <w:r>
        <w:t xml:space="preserve"> over IV quinine in establishing parasitological success (reduction of parasite co</w:t>
      </w:r>
      <w:r w:rsidR="001161C7">
        <w:t>unts by ≥ 90% within 24 hours).</w:t>
      </w:r>
    </w:p>
    <w:p w14:paraId="5171A15F" w14:textId="389D960D" w:rsidR="009D6795" w:rsidRDefault="009D6795" w:rsidP="009D6795">
      <w:r>
        <w:t>Inclusion criteria were: children weighing between 5.00 kg and 15.00 kg inclusive; falciparum malaria as evidenced by thick or thin blood smears of ≥</w:t>
      </w:r>
      <w:r w:rsidR="001161C7">
        <w:t xml:space="preserve"> </w:t>
      </w:r>
      <w:r>
        <w:t xml:space="preserve">500 </w:t>
      </w:r>
      <w:r w:rsidRPr="001161C7">
        <w:rPr>
          <w:i/>
        </w:rPr>
        <w:t>P. falciparum</w:t>
      </w:r>
      <w:r w:rsidR="005757F4">
        <w:t xml:space="preserve"> per</w:t>
      </w:r>
      <w:r w:rsidR="00676703">
        <w:t> </w:t>
      </w:r>
      <w:r w:rsidR="005757F4">
        <w:t>µL</w:t>
      </w:r>
      <w:r>
        <w:t xml:space="preserve"> (patients with mixed infections could be included prov</w:t>
      </w:r>
      <w:r w:rsidR="005757F4">
        <w:t xml:space="preserve">ided ≥ 500 </w:t>
      </w:r>
      <w:r w:rsidR="005757F4" w:rsidRPr="005757F4">
        <w:rPr>
          <w:i/>
        </w:rPr>
        <w:t>P. falciparum</w:t>
      </w:r>
      <w:r w:rsidR="005757F4">
        <w:t xml:space="preserve"> per</w:t>
      </w:r>
      <w:r w:rsidR="00676703">
        <w:t> </w:t>
      </w:r>
      <w:r w:rsidR="005757F4">
        <w:t>µL</w:t>
      </w:r>
      <w:r>
        <w:t>); either severe or complicated falciparum malaria as determ</w:t>
      </w:r>
      <w:r w:rsidR="005757F4">
        <w:t>ined by the i</w:t>
      </w:r>
      <w:r>
        <w:t xml:space="preserve">nvestigator based on WHO criteria for severity, and/or uncomplicated falciparum malaria unable to tolerate oral medication as a result of </w:t>
      </w:r>
      <w:r w:rsidR="005757F4">
        <w:t>GI</w:t>
      </w:r>
      <w:r>
        <w:t xml:space="preserve"> complications such as vomiting or diarrhoea.</w:t>
      </w:r>
    </w:p>
    <w:p w14:paraId="0F489E38" w14:textId="77777777" w:rsidR="009D6795" w:rsidRDefault="009D6795" w:rsidP="009D6795">
      <w:proofErr w:type="spellStart"/>
      <w:r>
        <w:t>ArTiMist</w:t>
      </w:r>
      <w:proofErr w:type="spellEnd"/>
      <w:r>
        <w:t xml:space="preserve"> was given sublingually at a dose of 3 mg/kg. In the first 3 days, 6 doses in total were given at 0, 8, 24, 36, 48 and 60 hours. This was followed by a further 4 days of </w:t>
      </w:r>
      <w:proofErr w:type="spellStart"/>
      <w:r>
        <w:t>ArTiMist</w:t>
      </w:r>
      <w:proofErr w:type="spellEnd"/>
      <w:r>
        <w:t xml:space="preserve"> or oral therapy according to local guidelines. The formulation of artemether was 6 mg per actuation.</w:t>
      </w:r>
    </w:p>
    <w:p w14:paraId="6FEA829D" w14:textId="3D303F19" w:rsidR="009D6795" w:rsidRDefault="005757F4" w:rsidP="009D6795">
      <w:r>
        <w:t>IV</w:t>
      </w:r>
      <w:r w:rsidR="009D6795">
        <w:t xml:space="preserve"> quinine (600 mg/2 mL) was given as per local guidelines with an initial loading dose of 20 mg/kg over 4 hours and then 10 mg/kg every 8 hours. Once able to swallow, treatment </w:t>
      </w:r>
      <w:r w:rsidR="009D6795">
        <w:lastRenderedPageBreak/>
        <w:t xml:space="preserve">was changed to quinine syrup, crushed </w:t>
      </w:r>
      <w:proofErr w:type="gramStart"/>
      <w:r w:rsidR="009D6795">
        <w:t>tablets</w:t>
      </w:r>
      <w:proofErr w:type="gramEnd"/>
      <w:r w:rsidR="009D6795">
        <w:t xml:space="preserve"> or combination therapy so that treatment continued for at least 7 days.</w:t>
      </w:r>
    </w:p>
    <w:p w14:paraId="12A1AAB0" w14:textId="77777777" w:rsidR="009D6795" w:rsidRDefault="009D6795" w:rsidP="009D6795">
      <w:r>
        <w:t>If there was inadequate response at 24 hours, rescue medication could be given.</w:t>
      </w:r>
    </w:p>
    <w:p w14:paraId="5F1DD9E8" w14:textId="20556954" w:rsidR="009D6795" w:rsidRDefault="009D6795" w:rsidP="009D6795">
      <w:r>
        <w:t xml:space="preserve">The study included a </w:t>
      </w:r>
      <w:proofErr w:type="gramStart"/>
      <w:r>
        <w:t>4 day</w:t>
      </w:r>
      <w:proofErr w:type="gramEnd"/>
      <w:r>
        <w:t xml:space="preserve"> i</w:t>
      </w:r>
      <w:r w:rsidR="005757F4">
        <w:t>npatient period</w:t>
      </w:r>
      <w:r w:rsidR="00676703">
        <w:t>,</w:t>
      </w:r>
      <w:r w:rsidR="005757F4">
        <w:t xml:space="preserve"> and then follow up visits on D</w:t>
      </w:r>
      <w:r>
        <w:t>ays 7, 14, 21 and 28.</w:t>
      </w:r>
    </w:p>
    <w:p w14:paraId="173D8D6C" w14:textId="0EFD34C2" w:rsidR="009D6795" w:rsidRDefault="009D6795" w:rsidP="009D6795">
      <w:r>
        <w:t xml:space="preserve">The primary efficacy variable was blood parasite counts (thick and thin smears). These were assessed at the local site </w:t>
      </w:r>
      <w:proofErr w:type="gramStart"/>
      <w:r>
        <w:t>and also</w:t>
      </w:r>
      <w:proofErr w:type="gramEnd"/>
      <w:r>
        <w:t xml:space="preserve"> sent to a central laboratory for blinded assessment. Only the data from the central laboratory was used for efficacy analysis. Other variables were parasite </w:t>
      </w:r>
      <w:r w:rsidR="006F3B3F">
        <w:t>p</w:t>
      </w:r>
      <w:r w:rsidR="006F3B3F" w:rsidRPr="006F3B3F">
        <w:t xml:space="preserve">olymerase chain reaction </w:t>
      </w:r>
      <w:r w:rsidR="006F3B3F">
        <w:t>(</w:t>
      </w:r>
      <w:r>
        <w:t>PCR</w:t>
      </w:r>
      <w:r w:rsidR="006F3B3F">
        <w:t>)</w:t>
      </w:r>
      <w:r>
        <w:t xml:space="preserve"> genotyping, temperature, level of consciousness and </w:t>
      </w:r>
      <w:r w:rsidRPr="004A726A">
        <w:rPr>
          <w:i/>
        </w:rPr>
        <w:t xml:space="preserve">per </w:t>
      </w:r>
      <w:proofErr w:type="spellStart"/>
      <w:r w:rsidRPr="004A726A">
        <w:rPr>
          <w:i/>
        </w:rPr>
        <w:t>os</w:t>
      </w:r>
      <w:proofErr w:type="spellEnd"/>
      <w:r>
        <w:t xml:space="preserve"> </w:t>
      </w:r>
      <w:r w:rsidR="005757F4">
        <w:t xml:space="preserve">(oral administration) </w:t>
      </w:r>
      <w:r>
        <w:t>status.</w:t>
      </w:r>
    </w:p>
    <w:p w14:paraId="2F67308B" w14:textId="4A3132F9" w:rsidR="009D6795" w:rsidRDefault="009D6795" w:rsidP="009D6795">
      <w:r>
        <w:t>The primary efficacy endpoint was parasitological success defined as a reduction in parasite count ≥</w:t>
      </w:r>
      <w:r w:rsidR="005757F4">
        <w:t xml:space="preserve"> </w:t>
      </w:r>
      <w:r>
        <w:t xml:space="preserve">90% of </w:t>
      </w:r>
      <w:r w:rsidR="00676703">
        <w:t xml:space="preserve">Baseline </w:t>
      </w:r>
      <w:r>
        <w:t xml:space="preserve">at 24 hours after the first dose. Secondary efficacy objectives included complete cure, parasite clearance, fever clearance time (FCT), early and late treatment failures, late parasitological </w:t>
      </w:r>
      <w:proofErr w:type="gramStart"/>
      <w:r>
        <w:t>failures</w:t>
      </w:r>
      <w:proofErr w:type="gramEnd"/>
      <w:r>
        <w:t xml:space="preserve"> and time to normal clinical status.</w:t>
      </w:r>
    </w:p>
    <w:p w14:paraId="24BE02D7" w14:textId="288BAEBB" w:rsidR="009D6795" w:rsidRDefault="005757F4" w:rsidP="009D6795">
      <w:r>
        <w:t xml:space="preserve">Subject </w:t>
      </w:r>
      <w:proofErr w:type="gramStart"/>
      <w:r>
        <w:t>disposition;</w:t>
      </w:r>
      <w:proofErr w:type="gramEnd"/>
      <w:r>
        <w:t xml:space="preserve"> t</w:t>
      </w:r>
      <w:r w:rsidR="009D6795">
        <w:t xml:space="preserve">here were 180 subjects screened and 151 randomised with 77 and 74 in the </w:t>
      </w:r>
      <w:proofErr w:type="spellStart"/>
      <w:r w:rsidR="009D6795">
        <w:t>ArTiMist</w:t>
      </w:r>
      <w:proofErr w:type="spellEnd"/>
      <w:r w:rsidR="009D6795">
        <w:t xml:space="preserve"> and quinine groups, respectively. The completion rate was the same in the two groups (97%). The </w:t>
      </w:r>
      <w:r>
        <w:t>modified intention to treat (</w:t>
      </w:r>
      <w:r w:rsidR="009D6795">
        <w:t>MITT</w:t>
      </w:r>
      <w:r>
        <w:t>)</w:t>
      </w:r>
      <w:r w:rsidR="009D6795">
        <w:t xml:space="preserve"> population included 70 and 71 subjects, respectively (93.4%). The </w:t>
      </w:r>
      <w:r w:rsidR="00676703">
        <w:t>p</w:t>
      </w:r>
      <w:r>
        <w:t xml:space="preserve">er </w:t>
      </w:r>
      <w:r w:rsidR="00676703">
        <w:t>p</w:t>
      </w:r>
      <w:r>
        <w:t>rotocol (</w:t>
      </w:r>
      <w:r w:rsidR="009D6795">
        <w:t>PP</w:t>
      </w:r>
      <w:r>
        <w:t>)</w:t>
      </w:r>
      <w:r w:rsidR="009D6795">
        <w:t xml:space="preserve"> population included 137 subjects (90.7%).</w:t>
      </w:r>
    </w:p>
    <w:p w14:paraId="287FAA61" w14:textId="495DD6B0" w:rsidR="009D6795" w:rsidRDefault="009D6795" w:rsidP="009D6795">
      <w:r>
        <w:t>Demographic and baseline characteristics were similar between groups. The mean age was 2.8 and 2.5 years in the artemether and quinine groups, respectively. All subjects were black African. Subjects were more likely to have sever</w:t>
      </w:r>
      <w:r w:rsidR="005757F4">
        <w:t xml:space="preserve">e or complicated malaria (63.6% to </w:t>
      </w:r>
      <w:r>
        <w:t>68.9%) than uncomplicated malar</w:t>
      </w:r>
      <w:r w:rsidR="005757F4">
        <w:t xml:space="preserve">ia with GI complications (31.1% to </w:t>
      </w:r>
      <w:r>
        <w:t>36.4%). The mean weight was 11 kg. The mean parasite count pre</w:t>
      </w:r>
      <w:r w:rsidR="005757F4">
        <w:t xml:space="preserve">-dose on Day 1 was 87,498 and 72,284 </w:t>
      </w:r>
      <w:r w:rsidR="005757F4" w:rsidRPr="005757F4">
        <w:rPr>
          <w:i/>
        </w:rPr>
        <w:t>P. f</w:t>
      </w:r>
      <w:r w:rsidRPr="005757F4">
        <w:rPr>
          <w:i/>
        </w:rPr>
        <w:t>alciparum</w:t>
      </w:r>
      <w:r w:rsidR="005757F4">
        <w:t>/µL</w:t>
      </w:r>
      <w:r>
        <w:t xml:space="preserve"> in the </w:t>
      </w:r>
      <w:proofErr w:type="spellStart"/>
      <w:r>
        <w:t>artemther</w:t>
      </w:r>
      <w:proofErr w:type="spellEnd"/>
      <w:r>
        <w:t xml:space="preserve"> and quinine groups, respectively. T</w:t>
      </w:r>
      <w:r w:rsidR="005757F4">
        <w:t>he rate of Blantyre</w:t>
      </w:r>
      <w:r w:rsidR="00676703">
        <w:t> </w:t>
      </w:r>
      <w:r w:rsidR="005757F4">
        <w:t xml:space="preserve">Coma Scale </w:t>
      </w:r>
      <w:r>
        <w:t>&lt;</w:t>
      </w:r>
      <w:r w:rsidR="005757F4">
        <w:t xml:space="preserve"> 5 at B</w:t>
      </w:r>
      <w:r>
        <w:t>aseline was 22.1% and 28.4%, respectively.</w:t>
      </w:r>
      <w:r w:rsidR="00676703">
        <w:rPr>
          <w:rStyle w:val="FootnoteReference"/>
        </w:rPr>
        <w:footnoteReference w:id="6"/>
      </w:r>
      <w:r>
        <w:t xml:space="preserve"> All children (except for one) with uncomplicated malaria with GI complications were at site </w:t>
      </w:r>
      <w:r w:rsidR="005757F4">
        <w:t>[Information redacted]</w:t>
      </w:r>
      <w:r>
        <w:t>.</w:t>
      </w:r>
    </w:p>
    <w:p w14:paraId="44B80E86" w14:textId="77777777" w:rsidR="009D6795" w:rsidRDefault="009D6795" w:rsidP="009D6795">
      <w:r>
        <w:t xml:space="preserve">Subjects finished their antimalarial therapy with artesunate-amodiaquine (9.1% and 9.5% in the artemether and quinine groups, respectively) or artemether-lumefantrine (61.0% and 82.4% in the artemether and quinine groups, respectively). The lower rate in the artemether group was due to one site finishing the 7 days of therapy with </w:t>
      </w:r>
      <w:proofErr w:type="spellStart"/>
      <w:r>
        <w:t>ArTiMist</w:t>
      </w:r>
      <w:proofErr w:type="spellEnd"/>
      <w:r>
        <w:t>.</w:t>
      </w:r>
    </w:p>
    <w:p w14:paraId="641208DD" w14:textId="03CB5203" w:rsidR="009D6795" w:rsidRDefault="009D6795" w:rsidP="009D6795">
      <w:r>
        <w:t>Results f</w:t>
      </w:r>
      <w:r w:rsidR="005757F4">
        <w:t>or the primary efficacy outcome; r</w:t>
      </w:r>
      <w:r>
        <w:t>ate of parasitological success (reduction of parasite counts by ≥</w:t>
      </w:r>
      <w:r w:rsidR="005757F4">
        <w:t xml:space="preserve"> </w:t>
      </w:r>
      <w:r>
        <w:t xml:space="preserve">90% within 24 hours) in the MITT population was 94.3% in the </w:t>
      </w:r>
      <w:proofErr w:type="spellStart"/>
      <w:r>
        <w:t>ArTiMist</w:t>
      </w:r>
      <w:proofErr w:type="spellEnd"/>
      <w:r>
        <w:t xml:space="preserve"> group and 39.4% in the IV quinine group. The difference of 54.8% (95% CI: 42.3, 67.5) was significant (p</w:t>
      </w:r>
      <w:r w:rsidR="005757F4">
        <w:t xml:space="preserve"> </w:t>
      </w:r>
      <w:r>
        <w:t>&lt;</w:t>
      </w:r>
      <w:r w:rsidR="005757F4">
        <w:t xml:space="preserve"> </w:t>
      </w:r>
      <w:r>
        <w:t>0.005) thus superiority was achieved. In the PP analysis (parasitolo</w:t>
      </w:r>
      <w:r w:rsidR="005757F4">
        <w:t xml:space="preserve">gical success rates of 95.6% versus 40.6%). </w:t>
      </w:r>
      <w:r>
        <w:t xml:space="preserve">Study site was a significant factor in the model and when adjusting for this factor the difference in success rates between </w:t>
      </w:r>
      <w:proofErr w:type="spellStart"/>
      <w:r>
        <w:t>ArTiMist</w:t>
      </w:r>
      <w:proofErr w:type="spellEnd"/>
      <w:r>
        <w:t xml:space="preserve"> and quinine was 30.4% (95% CI: 9.4, 98.7) in the MITT population.</w:t>
      </w:r>
    </w:p>
    <w:p w14:paraId="22EAEC7D" w14:textId="0EEC67BD" w:rsidR="009D6795" w:rsidRDefault="009D6795" w:rsidP="009D6795">
      <w:r>
        <w:t>Resu</w:t>
      </w:r>
      <w:r w:rsidR="005757F4">
        <w:t>lts for other efficacy outcomes; p</w:t>
      </w:r>
      <w:r>
        <w:t xml:space="preserve">arasite clearance (two successive negative smears) was </w:t>
      </w:r>
      <w:r w:rsidR="000F4128">
        <w:t>similar between groups (100% versus</w:t>
      </w:r>
      <w:r>
        <w:t xml:space="preserve"> 94.4%), however the mean parasite clearance time was faster with </w:t>
      </w:r>
      <w:proofErr w:type="spellStart"/>
      <w:r>
        <w:t>ArTi</w:t>
      </w:r>
      <w:r w:rsidR="000F4128">
        <w:t>Mist</w:t>
      </w:r>
      <w:proofErr w:type="spellEnd"/>
      <w:r w:rsidR="000F4128">
        <w:t xml:space="preserve"> (30.3 versus</w:t>
      </w:r>
      <w:r>
        <w:t xml:space="preserve"> 68.0 hours, p</w:t>
      </w:r>
      <w:r w:rsidR="000F4128">
        <w:t xml:space="preserve"> </w:t>
      </w:r>
      <w:r>
        <w:t>&lt;</w:t>
      </w:r>
      <w:r w:rsidR="000F4128">
        <w:t xml:space="preserve"> </w:t>
      </w:r>
      <w:r>
        <w:t xml:space="preserve">0.005). The faster clearance was also demonstrated on the mean </w:t>
      </w:r>
      <w:r w:rsidR="000F4128">
        <w:t>t</w:t>
      </w:r>
      <w:r w:rsidR="000F4128" w:rsidRPr="00913273">
        <w:t>ime for parasite count to fall by 50%</w:t>
      </w:r>
      <w:r w:rsidR="000F4128">
        <w:t xml:space="preserve"> (PCT</w:t>
      </w:r>
      <w:r w:rsidR="000F4128" w:rsidRPr="00517FBD">
        <w:rPr>
          <w:vertAlign w:val="subscript"/>
        </w:rPr>
        <w:t>50</w:t>
      </w:r>
      <w:r w:rsidR="000F4128">
        <w:t>; 9.4 versus</w:t>
      </w:r>
      <w:r>
        <w:t xml:space="preserve"> 18.6 hours) and </w:t>
      </w:r>
      <w:r w:rsidR="000F4128">
        <w:t>t</w:t>
      </w:r>
      <w:r w:rsidR="000F4128" w:rsidRPr="00913273">
        <w:t>ime</w:t>
      </w:r>
      <w:r w:rsidR="000F4128">
        <w:t xml:space="preserve"> for parasite count to fall by 9</w:t>
      </w:r>
      <w:r w:rsidR="000F4128" w:rsidRPr="00913273">
        <w:t>0%</w:t>
      </w:r>
      <w:r w:rsidR="000F4128">
        <w:t xml:space="preserve"> (PCT</w:t>
      </w:r>
      <w:r w:rsidR="000F4128" w:rsidRPr="00517FBD">
        <w:rPr>
          <w:vertAlign w:val="subscript"/>
        </w:rPr>
        <w:t>90</w:t>
      </w:r>
      <w:r w:rsidR="000F4128">
        <w:t>; 15.0 versus 27.9 </w:t>
      </w:r>
      <w:r w:rsidR="006F705B">
        <w:t>hours)</w:t>
      </w:r>
      <w:r>
        <w:t xml:space="preserve">. The mean percentage </w:t>
      </w:r>
      <w:r w:rsidR="006F705B">
        <w:t xml:space="preserve">parasite </w:t>
      </w:r>
      <w:r>
        <w:t>reduction</w:t>
      </w:r>
      <w:r w:rsidR="006F705B">
        <w:t xml:space="preserve"> ratio</w:t>
      </w:r>
      <w:r>
        <w:t xml:space="preserve"> at 24 hours (PRR</w:t>
      </w:r>
      <w:r w:rsidRPr="006F705B">
        <w:rPr>
          <w:vertAlign w:val="subscript"/>
        </w:rPr>
        <w:t>24</w:t>
      </w:r>
      <w:r w:rsidR="006F705B">
        <w:t>) was 98.2% versus</w:t>
      </w:r>
      <w:r>
        <w:t xml:space="preserve"> 44.5% (p &lt;</w:t>
      </w:r>
      <w:r w:rsidR="006F705B">
        <w:t xml:space="preserve"> </w:t>
      </w:r>
      <w:r>
        <w:t xml:space="preserve">0.005). There were no early treatment failures in the </w:t>
      </w:r>
      <w:proofErr w:type="spellStart"/>
      <w:r>
        <w:t>ArTiMist</w:t>
      </w:r>
      <w:proofErr w:type="spellEnd"/>
      <w:r>
        <w:t xml:space="preserve"> group </w:t>
      </w:r>
      <w:r>
        <w:lastRenderedPageBreak/>
        <w:t xml:space="preserve">and 10 (14%) in the quinine group with one of these subjects needing rescue therapy. The late parasitological failure rate was </w:t>
      </w:r>
      <w:r w:rsidR="006F705B">
        <w:t>similar between group (17.1% versus</w:t>
      </w:r>
      <w:r>
        <w:t xml:space="preserve"> 19.7% p</w:t>
      </w:r>
      <w:r w:rsidR="006F705B">
        <w:t xml:space="preserve"> </w:t>
      </w:r>
      <w:r>
        <w:t>=</w:t>
      </w:r>
      <w:r w:rsidR="006F705B">
        <w:t xml:space="preserve"> </w:t>
      </w:r>
      <w:r>
        <w:t>0.95).</w:t>
      </w:r>
    </w:p>
    <w:p w14:paraId="297F47F6" w14:textId="7584876E" w:rsidR="009D6795" w:rsidRDefault="009D6795" w:rsidP="009D6795">
      <w:r>
        <w:t>Of the s</w:t>
      </w:r>
      <w:r w:rsidR="006F705B">
        <w:t xml:space="preserve">ubjects with available data (55 out of 70 and 63 out of </w:t>
      </w:r>
      <w:r>
        <w:t>71 in the artemether and quinine groups, respectively), the complete cure rate was 74.5% and 73.0%, respectively, with no significant difference between groups (p</w:t>
      </w:r>
      <w:r w:rsidR="006F705B">
        <w:t xml:space="preserve"> </w:t>
      </w:r>
      <w:r>
        <w:t>=</w:t>
      </w:r>
      <w:r w:rsidR="006F705B">
        <w:t xml:space="preserve"> </w:t>
      </w:r>
      <w:r>
        <w:t xml:space="preserve">0.99). The late </w:t>
      </w:r>
      <w:r w:rsidR="006F705B">
        <w:t>clinical failure rate was 4.3% versus</w:t>
      </w:r>
      <w:r>
        <w:t xml:space="preserve"> 1.4%. The fever clearance time, time to return to normal </w:t>
      </w:r>
      <w:r w:rsidRPr="004A726A">
        <w:rPr>
          <w:i/>
        </w:rPr>
        <w:t xml:space="preserve">per </w:t>
      </w:r>
      <w:proofErr w:type="spellStart"/>
      <w:r w:rsidRPr="004A726A">
        <w:rPr>
          <w:i/>
        </w:rPr>
        <w:t>os</w:t>
      </w:r>
      <w:proofErr w:type="spellEnd"/>
      <w:r>
        <w:t>, and time to return to normal level of consciousness were similar between groups.</w:t>
      </w:r>
    </w:p>
    <w:p w14:paraId="12F865F6" w14:textId="5849DA15" w:rsidR="009D6795" w:rsidRDefault="006F705B" w:rsidP="009D6795">
      <w:r>
        <w:t>The clinical evaluation report</w:t>
      </w:r>
      <w:r w:rsidR="009D6795">
        <w:t xml:space="preserve"> comments that the study was not designed primarily to assess clinical endpoints. There was also no controlling for multiplicity in the analysis of </w:t>
      </w:r>
      <w:proofErr w:type="gramStart"/>
      <w:r w:rsidR="009D6795">
        <w:t>a large number of</w:t>
      </w:r>
      <w:proofErr w:type="gramEnd"/>
      <w:r w:rsidR="009D6795">
        <w:t xml:space="preserve"> secondary endpoints. As such, the data on secondary endpoints only provide limited support for efficacy.</w:t>
      </w:r>
    </w:p>
    <w:p w14:paraId="70DD7DE8" w14:textId="7F7E1CE3" w:rsidR="001161C7" w:rsidRDefault="001161C7" w:rsidP="001161C7">
      <w:pPr>
        <w:pStyle w:val="Heading5"/>
      </w:pPr>
      <w:r>
        <w:t>Study ART003</w:t>
      </w:r>
    </w:p>
    <w:p w14:paraId="5E6C4DAE" w14:textId="7A318D56" w:rsidR="009D6795" w:rsidRDefault="006F705B" w:rsidP="009D6795">
      <w:r>
        <w:t>Study</w:t>
      </w:r>
      <w:r w:rsidR="009D6795">
        <w:t xml:space="preserve"> ART003 was an open label, randomised, controlled study conducted at one </w:t>
      </w:r>
      <w:r>
        <w:t xml:space="preserve">hospital site in Rwanda in 2009 to </w:t>
      </w:r>
      <w:r w:rsidR="009D6795">
        <w:t>2010. The primary objective was to c</w:t>
      </w:r>
      <w:r>
        <w:t xml:space="preserve">ompare the efficacy of </w:t>
      </w:r>
      <w:proofErr w:type="spellStart"/>
      <w:r>
        <w:t>ArTiMist</w:t>
      </w:r>
      <w:proofErr w:type="spellEnd"/>
      <w:r w:rsidR="009D6795">
        <w:t xml:space="preserve"> 3</w:t>
      </w:r>
      <w:r>
        <w:t xml:space="preserve"> </w:t>
      </w:r>
      <w:r w:rsidR="009D6795">
        <w:t xml:space="preserve">mg/kg to IV quinine in reducing the parasite count by 90% within 24 hours in children with severe or complicated falciparum malaria, or children with uncomplicated malaria with </w:t>
      </w:r>
      <w:r w:rsidR="004E444C">
        <w:t xml:space="preserve">GI </w:t>
      </w:r>
      <w:r w:rsidR="009D6795">
        <w:t>complications.</w:t>
      </w:r>
    </w:p>
    <w:p w14:paraId="7BECF8B4" w14:textId="669E1438" w:rsidR="009D6795" w:rsidRDefault="009D6795" w:rsidP="009D6795">
      <w:r>
        <w:t xml:space="preserve">Subjects were randomised to </w:t>
      </w:r>
      <w:proofErr w:type="spellStart"/>
      <w:r>
        <w:t>ArTiMist</w:t>
      </w:r>
      <w:proofErr w:type="spellEnd"/>
      <w:r>
        <w:t xml:space="preserve"> 3</w:t>
      </w:r>
      <w:r w:rsidR="00517FBD">
        <w:t xml:space="preserve"> </w:t>
      </w:r>
      <w:r>
        <w:t>mg/kg or IV quinine in a 1:1 ratio. Both formulations of 3</w:t>
      </w:r>
      <w:r w:rsidR="00517FBD">
        <w:t xml:space="preserve"> </w:t>
      </w:r>
      <w:r>
        <w:t xml:space="preserve">mg/actuation and 6 mg/actuation were used. Quinine 20 mg/kg was given as a loading dose over 4 hours followed by 10 mg/kg 8 hourly and oral </w:t>
      </w:r>
      <w:proofErr w:type="spellStart"/>
      <w:r>
        <w:t>Coartem</w:t>
      </w:r>
      <w:proofErr w:type="spellEnd"/>
      <w:r>
        <w:t xml:space="preserve"> (artemether</w:t>
      </w:r>
      <w:r w:rsidR="004E444C">
        <w:t>/</w:t>
      </w:r>
      <w:r>
        <w:t>lumefantrine</w:t>
      </w:r>
      <w:r w:rsidR="004E444C">
        <w:t xml:space="preserve"> combination product</w:t>
      </w:r>
      <w:r>
        <w:t>) once oral dosing was possible.</w:t>
      </w:r>
    </w:p>
    <w:p w14:paraId="4D0E1231" w14:textId="3866CEC5" w:rsidR="009D6795" w:rsidRDefault="009D6795" w:rsidP="009D6795">
      <w:r>
        <w:t>The study included children weighing 5 to 15 kg with severe or complicated malaria or uncomplicated malaria but unable to tolerated oral medication due to gastrointestinal complications. Falciparum count of &gt;</w:t>
      </w:r>
      <w:r w:rsidR="00517FBD">
        <w:t xml:space="preserve"> </w:t>
      </w:r>
      <w:r>
        <w:t xml:space="preserve">500 per </w:t>
      </w:r>
      <w:r w:rsidR="00517FBD">
        <w:t xml:space="preserve">µL </w:t>
      </w:r>
      <w:r>
        <w:t>on thick or thin blood smear was required.</w:t>
      </w:r>
    </w:p>
    <w:p w14:paraId="2FDCC4EF" w14:textId="5EC4A727" w:rsidR="009D6795" w:rsidRDefault="009D6795" w:rsidP="009D6795">
      <w:r>
        <w:t>The primary efficacy variable was parasite count with the primary endpoint of parasitological success being defined as a reduction in parasite count of ≥</w:t>
      </w:r>
      <w:r w:rsidR="00517FBD">
        <w:t xml:space="preserve"> 90% from B</w:t>
      </w:r>
      <w:r>
        <w:t xml:space="preserve">aseline at </w:t>
      </w:r>
      <w:r w:rsidR="00517FBD">
        <w:t xml:space="preserve">24 hours after the first dose. </w:t>
      </w:r>
      <w:r>
        <w:t xml:space="preserve">Efficacy was analysed on the </w:t>
      </w:r>
      <w:r w:rsidR="00E84EED">
        <w:t xml:space="preserve">full analysis set </w:t>
      </w:r>
      <w:r w:rsidR="00517FBD">
        <w:t>(FAS</w:t>
      </w:r>
      <w:r w:rsidR="00E84EED">
        <w:t>)</w:t>
      </w:r>
      <w:r w:rsidR="00517FBD">
        <w:t xml:space="preserve">; </w:t>
      </w:r>
      <w:r w:rsidR="00E84EED">
        <w:t xml:space="preserve">this included </w:t>
      </w:r>
      <w:r>
        <w:t>all patients who received at least one dose of medication and had at least one parasite count at 12 or 24 hours post the first dose of study medication.</w:t>
      </w:r>
    </w:p>
    <w:p w14:paraId="437BC437" w14:textId="3CC88B5F" w:rsidR="009D6795" w:rsidRDefault="009D6795" w:rsidP="009D6795">
      <w:r>
        <w:t>16 child</w:t>
      </w:r>
      <w:r w:rsidR="00517FBD">
        <w:t xml:space="preserve">ren were screened and enrolled </w:t>
      </w:r>
      <w:r>
        <w:t xml:space="preserve">in the </w:t>
      </w:r>
      <w:proofErr w:type="spellStart"/>
      <w:r>
        <w:t>ArTiMist</w:t>
      </w:r>
      <w:proofErr w:type="spellEnd"/>
      <w:r>
        <w:t xml:space="preserve"> group and 15 in the quinine group. One subject was withdrawn due to a proto</w:t>
      </w:r>
      <w:r w:rsidR="00517FBD">
        <w:t xml:space="preserve">col violation. Mean age was 3.0 to </w:t>
      </w:r>
      <w:r>
        <w:t xml:space="preserve">3.6 years with a mean weight of 11 kg. Most children had severe or complicated malaria (62.5% and 80.0% in the </w:t>
      </w:r>
      <w:proofErr w:type="spellStart"/>
      <w:r>
        <w:t>ArTiMist</w:t>
      </w:r>
      <w:proofErr w:type="spellEnd"/>
      <w:r>
        <w:t xml:space="preserve"> and quinine groups, respectively). Baseline median parasite counts were 19,660 and 21,800 parasites/mL, respectively.</w:t>
      </w:r>
    </w:p>
    <w:p w14:paraId="7E233F14" w14:textId="77777777" w:rsidR="009D6795" w:rsidRDefault="009D6795" w:rsidP="009D6795">
      <w:r>
        <w:t xml:space="preserve">The rate of parasitological success was 93.3% and 66.7% in the </w:t>
      </w:r>
      <w:proofErr w:type="spellStart"/>
      <w:r>
        <w:t>ArTiMist</w:t>
      </w:r>
      <w:proofErr w:type="spellEnd"/>
      <w:r>
        <w:t xml:space="preserve"> and quinine groups, respectively. The difference of 26.7% (95% CI: -0.3%, 53.7%). At 24 hours, the proportion of patients with negative smears was 73.3% and 40% for </w:t>
      </w:r>
      <w:proofErr w:type="spellStart"/>
      <w:r>
        <w:t>ArTiMist</w:t>
      </w:r>
      <w:proofErr w:type="spellEnd"/>
      <w:r>
        <w:t xml:space="preserve"> and quinine groups, respectively. There was also no significant difference in the </w:t>
      </w:r>
      <w:proofErr w:type="spellStart"/>
      <w:proofErr w:type="gramStart"/>
      <w:r>
        <w:t>mean time</w:t>
      </w:r>
      <w:proofErr w:type="spellEnd"/>
      <w:proofErr w:type="gramEnd"/>
      <w:r>
        <w:t xml:space="preserve"> to PCT</w:t>
      </w:r>
      <w:r w:rsidRPr="00517FBD">
        <w:rPr>
          <w:vertAlign w:val="subscript"/>
        </w:rPr>
        <w:t>90</w:t>
      </w:r>
      <w:r>
        <w:t xml:space="preserve"> or PCT</w:t>
      </w:r>
      <w:r w:rsidRPr="00517FBD">
        <w:rPr>
          <w:vertAlign w:val="subscript"/>
        </w:rPr>
        <w:t>50</w:t>
      </w:r>
      <w:r>
        <w:t>.</w:t>
      </w:r>
    </w:p>
    <w:p w14:paraId="2937DEF3" w14:textId="77777777" w:rsidR="009D6795" w:rsidRDefault="009D6795" w:rsidP="009D6795">
      <w:pPr>
        <w:pStyle w:val="Heading4"/>
      </w:pPr>
      <w:r>
        <w:t>Safety</w:t>
      </w:r>
    </w:p>
    <w:p w14:paraId="5F70CD58" w14:textId="4FF78EBA" w:rsidR="009D6795" w:rsidRDefault="009D6795" w:rsidP="009D6795">
      <w:r>
        <w:t xml:space="preserve">There were 125 subjects exposed to </w:t>
      </w:r>
      <w:proofErr w:type="spellStart"/>
      <w:r>
        <w:t>ArTiMist</w:t>
      </w:r>
      <w:proofErr w:type="spellEnd"/>
      <w:r>
        <w:t xml:space="preserve"> in the clinical development program, 32</w:t>
      </w:r>
      <w:r w:rsidR="00E84EED">
        <w:t> </w:t>
      </w:r>
      <w:r>
        <w:t>were healthy</w:t>
      </w:r>
      <w:r w:rsidR="00517FBD">
        <w:t xml:space="preserve"> adults and 93 were children (5 to </w:t>
      </w:r>
      <w:r>
        <w:t>15 kg) with severe or complicated falciparum malaria or with uncomplicated falciparum malaria who could not t</w:t>
      </w:r>
      <w:r w:rsidR="00517FBD">
        <w:t>ake oral medication.</w:t>
      </w:r>
    </w:p>
    <w:p w14:paraId="0582843C" w14:textId="2E2A06ED" w:rsidR="009D6795" w:rsidRDefault="009D6795" w:rsidP="009D6795">
      <w:r>
        <w:t xml:space="preserve">In </w:t>
      </w:r>
      <w:r w:rsidR="009048CC">
        <w:t xml:space="preserve">Study </w:t>
      </w:r>
      <w:r>
        <w:t xml:space="preserve">ART004 the </w:t>
      </w:r>
      <w:r w:rsidR="00517FBD">
        <w:t>treatment-emergent adverse event (</w:t>
      </w:r>
      <w:r>
        <w:t>TEAE</w:t>
      </w:r>
      <w:r w:rsidR="00517FBD">
        <w:t>)</w:t>
      </w:r>
      <w:r>
        <w:t xml:space="preserve"> rate was 55.8% and 59.5% in the </w:t>
      </w:r>
      <w:proofErr w:type="spellStart"/>
      <w:r>
        <w:t>ArTiMist</w:t>
      </w:r>
      <w:proofErr w:type="spellEnd"/>
      <w:r>
        <w:t xml:space="preserve"> and quinine groups, respectively. The most frequent TEAEs (</w:t>
      </w:r>
      <w:proofErr w:type="spellStart"/>
      <w:r>
        <w:t>ArTiMist</w:t>
      </w:r>
      <w:proofErr w:type="spellEnd"/>
      <w:r w:rsidR="00517FBD">
        <w:t xml:space="preserve"> versus</w:t>
      </w:r>
      <w:r>
        <w:t xml:space="preserve"> IV </w:t>
      </w:r>
      <w:r w:rsidR="00517FBD">
        <w:t>quinine) were anaemia, (7.8% versus 16.2%), pyrexia (9.1% versus</w:t>
      </w:r>
      <w:r>
        <w:t xml:space="preserve"> </w:t>
      </w:r>
      <w:r>
        <w:lastRenderedPageBreak/>
        <w:t xml:space="preserve">8.1%), vomiting </w:t>
      </w:r>
      <w:r w:rsidR="00517FBD">
        <w:t>(6.5% versus</w:t>
      </w:r>
      <w:r>
        <w:t xml:space="preserve"> 2.7%</w:t>
      </w:r>
      <w:r w:rsidR="00517FBD">
        <w:t>)</w:t>
      </w:r>
      <w:r>
        <w:t>, re</w:t>
      </w:r>
      <w:r w:rsidR="00517FBD">
        <w:t>spiratory tract infection (9.1% versus 4.1%), proteinuria (1.3% versus 5.4%), cough (7.8% versus 2.7%) and bronchitis (5.2% versus</w:t>
      </w:r>
      <w:r>
        <w:t xml:space="preserve"> 2.7%).</w:t>
      </w:r>
    </w:p>
    <w:p w14:paraId="7B17AE69" w14:textId="7BD0C9D8" w:rsidR="009D6795" w:rsidRDefault="00517FBD" w:rsidP="009D6795">
      <w:r>
        <w:t>There were no TEAE</w:t>
      </w:r>
      <w:r w:rsidR="00E84EED">
        <w:t>s</w:t>
      </w:r>
      <w:r w:rsidR="009D6795">
        <w:t xml:space="preserve"> related to local oral tolerability of the </w:t>
      </w:r>
      <w:r w:rsidR="009048CC">
        <w:t xml:space="preserve">SL </w:t>
      </w:r>
      <w:r w:rsidR="009D6795">
        <w:t>product in any subject during the clinical development program.</w:t>
      </w:r>
    </w:p>
    <w:p w14:paraId="568AF053" w14:textId="13DC5D4E" w:rsidR="009D6795" w:rsidRDefault="009D6795" w:rsidP="00E84EED">
      <w:r>
        <w:t>The percentage of subjects wi</w:t>
      </w:r>
      <w:r w:rsidR="00517FBD">
        <w:t xml:space="preserve">th a </w:t>
      </w:r>
      <w:proofErr w:type="gramStart"/>
      <w:r w:rsidR="00517FBD">
        <w:t>treatment-related</w:t>
      </w:r>
      <w:proofErr w:type="gramEnd"/>
      <w:r w:rsidR="00517FBD">
        <w:t xml:space="preserve"> TEAE in S</w:t>
      </w:r>
      <w:r>
        <w:t xml:space="preserve">tudy ART004 was 6.5% and 8.1% in the </w:t>
      </w:r>
      <w:proofErr w:type="spellStart"/>
      <w:r>
        <w:t>ArTiMist</w:t>
      </w:r>
      <w:proofErr w:type="spellEnd"/>
      <w:r>
        <w:t xml:space="preserve"> and quinine groups, respectively. Th</w:t>
      </w:r>
      <w:r w:rsidR="00517FBD">
        <w:t xml:space="preserve">e </w:t>
      </w:r>
      <w:proofErr w:type="gramStart"/>
      <w:r w:rsidR="00517FBD">
        <w:t>treatment-related</w:t>
      </w:r>
      <w:proofErr w:type="gramEnd"/>
      <w:r w:rsidR="00517FBD" w:rsidRPr="00E84EED">
        <w:t xml:space="preserve"> </w:t>
      </w:r>
      <w:r w:rsidR="00517FBD">
        <w:t>TEAE</w:t>
      </w:r>
      <w:r w:rsidR="00E84EED">
        <w:t>s</w:t>
      </w:r>
      <w:r>
        <w:t xml:space="preserve"> in the </w:t>
      </w:r>
      <w:proofErr w:type="spellStart"/>
      <w:r>
        <w:t>ArTiMist</w:t>
      </w:r>
      <w:proofErr w:type="spellEnd"/>
      <w:r>
        <w:t xml:space="preserve"> group (5 subjects) were diarrhoea (2 cases), vomiting (2 cases), parotitis and cough.</w:t>
      </w:r>
    </w:p>
    <w:p w14:paraId="2B32757F" w14:textId="07F43A27" w:rsidR="009D6795" w:rsidRDefault="009D6795" w:rsidP="009D6795">
      <w:r>
        <w:t xml:space="preserve">The </w:t>
      </w:r>
      <w:r w:rsidR="00517FBD">
        <w:t>s</w:t>
      </w:r>
      <w:r w:rsidR="00517FBD" w:rsidRPr="00913273">
        <w:t>erious adverse event</w:t>
      </w:r>
      <w:r w:rsidR="00517FBD">
        <w:t xml:space="preserve"> (</w:t>
      </w:r>
      <w:r>
        <w:t>SAE</w:t>
      </w:r>
      <w:r w:rsidR="00517FBD">
        <w:t>) rate in S</w:t>
      </w:r>
      <w:r>
        <w:t>tudy ART004 was 6.5% (n</w:t>
      </w:r>
      <w:r w:rsidR="00517FBD">
        <w:t xml:space="preserve"> </w:t>
      </w:r>
      <w:r>
        <w:t>=</w:t>
      </w:r>
      <w:r w:rsidR="00517FBD">
        <w:t xml:space="preserve"> </w:t>
      </w:r>
      <w:r>
        <w:t>4) and 8.1% (n</w:t>
      </w:r>
      <w:r w:rsidR="00517FBD">
        <w:t xml:space="preserve"> </w:t>
      </w:r>
      <w:r>
        <w:t>=</w:t>
      </w:r>
      <w:r w:rsidR="00517FBD">
        <w:t xml:space="preserve"> </w:t>
      </w:r>
      <w:r>
        <w:t xml:space="preserve">10) in the </w:t>
      </w:r>
      <w:proofErr w:type="spellStart"/>
      <w:r>
        <w:t>ArTiMist</w:t>
      </w:r>
      <w:proofErr w:type="spellEnd"/>
      <w:r>
        <w:t xml:space="preserve"> and quinine groups, respectively. In the </w:t>
      </w:r>
      <w:proofErr w:type="spellStart"/>
      <w:r>
        <w:t>ArTiMist</w:t>
      </w:r>
      <w:proofErr w:type="spellEnd"/>
      <w:r>
        <w:t xml:space="preserve"> gr</w:t>
      </w:r>
      <w:r w:rsidR="00517FBD">
        <w:t>oup, the SAE</w:t>
      </w:r>
      <w:r w:rsidR="00E84EED">
        <w:t>s</w:t>
      </w:r>
      <w:r>
        <w:t xml:space="preserve"> were anaemia (n</w:t>
      </w:r>
      <w:r w:rsidR="00517FBD">
        <w:t xml:space="preserve"> </w:t>
      </w:r>
      <w:r>
        <w:t>=</w:t>
      </w:r>
      <w:r w:rsidR="00517FBD">
        <w:t xml:space="preserve"> </w:t>
      </w:r>
      <w:r>
        <w:t>2</w:t>
      </w:r>
      <w:r w:rsidR="00517FBD">
        <w:t>), bronchopneumonia and sepsis.</w:t>
      </w:r>
    </w:p>
    <w:p w14:paraId="49D25EB4" w14:textId="0B322F97" w:rsidR="009D6795" w:rsidRDefault="009D6795" w:rsidP="009D6795">
      <w:r>
        <w:t xml:space="preserve">There were no subjects who discontinued SL artemether due to an </w:t>
      </w:r>
      <w:r w:rsidR="004D7D44">
        <w:t>adverse event (</w:t>
      </w:r>
      <w:r>
        <w:t>AE</w:t>
      </w:r>
      <w:r w:rsidR="004D7D44">
        <w:t>)</w:t>
      </w:r>
      <w:r>
        <w:t>, while there were 2 in the quinine group.</w:t>
      </w:r>
    </w:p>
    <w:p w14:paraId="268809DE" w14:textId="3E568710" w:rsidR="009D6795" w:rsidRDefault="00517FBD" w:rsidP="009D6795">
      <w:r>
        <w:t>In S</w:t>
      </w:r>
      <w:r w:rsidR="009D6795">
        <w:t xml:space="preserve">tudy ART003 the TEAE rate was 81.3% and 73.3% in the </w:t>
      </w:r>
      <w:proofErr w:type="spellStart"/>
      <w:r w:rsidR="009D6795">
        <w:t>ArTiMist</w:t>
      </w:r>
      <w:proofErr w:type="spellEnd"/>
      <w:r w:rsidR="009D6795">
        <w:t xml:space="preserve"> and quinine groups, respectively. The most freque</w:t>
      </w:r>
      <w:r w:rsidR="0069694F">
        <w:t>nt TEAEs were pyrexia (37.5% versus 33.3%), malaria (12.5% versus</w:t>
      </w:r>
      <w:r w:rsidR="009D6795">
        <w:t xml:space="preserve"> 26.7%) and </w:t>
      </w:r>
      <w:r w:rsidR="0069694F">
        <w:t>upper respiratory tract infection (31.3% versus</w:t>
      </w:r>
      <w:r w:rsidR="009D6795">
        <w:t xml:space="preserve"> 6.7%).</w:t>
      </w:r>
    </w:p>
    <w:p w14:paraId="4BEF4165" w14:textId="16110939" w:rsidR="009D6795" w:rsidRDefault="009D6795" w:rsidP="00E84EED">
      <w:r>
        <w:t>There were</w:t>
      </w:r>
      <w:r w:rsidR="0069694F">
        <w:t xml:space="preserve"> no </w:t>
      </w:r>
      <w:proofErr w:type="gramStart"/>
      <w:r w:rsidR="0069694F">
        <w:t>treatment-related</w:t>
      </w:r>
      <w:proofErr w:type="gramEnd"/>
      <w:r w:rsidR="0069694F">
        <w:t xml:space="preserve"> TEAEs in S</w:t>
      </w:r>
      <w:r>
        <w:t>tudy ART003 or in the healthy volunteer studies.</w:t>
      </w:r>
    </w:p>
    <w:p w14:paraId="34AC9EED" w14:textId="1DE507D2" w:rsidR="009D6795" w:rsidRDefault="009D6795" w:rsidP="009D6795">
      <w:r>
        <w:t>There was 1 SAE in the quinine group in</w:t>
      </w:r>
      <w:r w:rsidR="0069694F">
        <w:t xml:space="preserve"> S</w:t>
      </w:r>
      <w:r>
        <w:t>tudy ART003.</w:t>
      </w:r>
    </w:p>
    <w:p w14:paraId="5D59BEC4" w14:textId="77777777" w:rsidR="009D6795" w:rsidRDefault="009D6795" w:rsidP="009D6795">
      <w:r>
        <w:t>There were no deaths in the clinical development program.</w:t>
      </w:r>
    </w:p>
    <w:p w14:paraId="56F848C8" w14:textId="5F4C70D0" w:rsidR="009D6795" w:rsidRDefault="009D6795" w:rsidP="009D6795">
      <w:r>
        <w:t>The risk of neurotoxicity with chronic dosing in animals does not appear to be evident in human</w:t>
      </w:r>
      <w:r w:rsidR="0069694F">
        <w:t>s</w:t>
      </w:r>
      <w:r>
        <w:t>.</w:t>
      </w:r>
    </w:p>
    <w:p w14:paraId="0E0D09DC" w14:textId="3F138298" w:rsidR="009D6795" w:rsidRDefault="0069694F" w:rsidP="009D6795">
      <w:r>
        <w:t>In S</w:t>
      </w:r>
      <w:r w:rsidR="009D6795">
        <w:t>tudy ART004, the rate of subjects with clinically significant abnormal biochemistr</w:t>
      </w:r>
      <w:r>
        <w:t>y was highest on Day 0 (16.9% versus 9.5%) and by D</w:t>
      </w:r>
      <w:r w:rsidR="009D6795">
        <w:t>ay 21</w:t>
      </w:r>
      <w:r>
        <w:t xml:space="preserve"> all abnormalities had resolved</w:t>
      </w:r>
      <w:r w:rsidR="009D6795">
        <w:t xml:space="preserve">. Overall, 12 of the 13 cases in the </w:t>
      </w:r>
      <w:proofErr w:type="spellStart"/>
      <w:r w:rsidR="009D6795">
        <w:t>ArTiMist</w:t>
      </w:r>
      <w:proofErr w:type="spellEnd"/>
      <w:r w:rsidR="009D6795">
        <w:t xml:space="preserve"> group had elevated direct and/or total bilirubin. In </w:t>
      </w:r>
      <w:r>
        <w:t xml:space="preserve">Study </w:t>
      </w:r>
      <w:r w:rsidR="009D6795">
        <w:t>ART003 there were no cases of clinically significant biochemistry results. Renal</w:t>
      </w:r>
      <w:r>
        <w:t xml:space="preserve"> findings were unremarkable in S</w:t>
      </w:r>
      <w:r w:rsidR="009D6795">
        <w:t>tudy ART004.</w:t>
      </w:r>
    </w:p>
    <w:p w14:paraId="253FF14C" w14:textId="18881F86" w:rsidR="009D6795" w:rsidRDefault="009D6795" w:rsidP="009D6795">
      <w:r>
        <w:t xml:space="preserve">In </w:t>
      </w:r>
      <w:r w:rsidR="0069694F">
        <w:t xml:space="preserve">Study </w:t>
      </w:r>
      <w:r>
        <w:t xml:space="preserve">ART004 the rate of clinically significant haematology </w:t>
      </w:r>
      <w:r w:rsidR="0069694F">
        <w:t>results was 20.8% and 16.2% on D</w:t>
      </w:r>
      <w:r>
        <w:t xml:space="preserve">ay 0 in the </w:t>
      </w:r>
      <w:proofErr w:type="spellStart"/>
      <w:r>
        <w:t>ArTiMist</w:t>
      </w:r>
      <w:proofErr w:type="spellEnd"/>
      <w:r>
        <w:t xml:space="preserve"> and quinine groups, respe</w:t>
      </w:r>
      <w:r w:rsidR="0069694F">
        <w:t>ctively. These had resolved by D</w:t>
      </w:r>
      <w:r>
        <w:t>ay 21.</w:t>
      </w:r>
    </w:p>
    <w:p w14:paraId="2118C92D" w14:textId="77777777" w:rsidR="009D6795" w:rsidRDefault="009D6795" w:rsidP="009D6795">
      <w:r>
        <w:t xml:space="preserve">There were two </w:t>
      </w:r>
      <w:proofErr w:type="spellStart"/>
      <w:r>
        <w:t>ArTiMist</w:t>
      </w:r>
      <w:proofErr w:type="spellEnd"/>
      <w:r>
        <w:t xml:space="preserve"> and seven quinine treated subjects with an SAE of anaemia.</w:t>
      </w:r>
    </w:p>
    <w:p w14:paraId="4EEA91A6" w14:textId="0C734915" w:rsidR="009D6795" w:rsidRDefault="009D6795" w:rsidP="009D6795">
      <w:r>
        <w:t xml:space="preserve">In </w:t>
      </w:r>
      <w:r w:rsidR="0069694F">
        <w:t xml:space="preserve">Study </w:t>
      </w:r>
      <w:r>
        <w:t>ART003, the rate of clinically significant abnormal haematology at study entry was 18.8% and 26.7%, respecti</w:t>
      </w:r>
      <w:r w:rsidR="0069694F">
        <w:t>vely. All cases were normal by D</w:t>
      </w:r>
      <w:r>
        <w:t>ay 21.</w:t>
      </w:r>
    </w:p>
    <w:p w14:paraId="17E26007" w14:textId="032B74FA" w:rsidR="009D6795" w:rsidRDefault="0069694F" w:rsidP="009D6795">
      <w:r>
        <w:t>The clinical evaluation report concludes that i</w:t>
      </w:r>
      <w:r w:rsidR="009D6795">
        <w:t>n line with this large amount of literature on artemether use in children and adults, in this limited clinical safety dataset SL artemether was well tolerated by the young children. The risk of neurotoxicity with chronic dosing in animals does not appear to be evident in humans.</w:t>
      </w:r>
    </w:p>
    <w:p w14:paraId="628AB466" w14:textId="77777777" w:rsidR="009D6795" w:rsidRDefault="009D6795" w:rsidP="009D6795">
      <w:pPr>
        <w:pStyle w:val="Heading4"/>
      </w:pPr>
      <w:r>
        <w:t>Benefit-risk assessment</w:t>
      </w:r>
    </w:p>
    <w:p w14:paraId="7E378E4F" w14:textId="0DA469F5" w:rsidR="009D6795" w:rsidRDefault="0069694F" w:rsidP="009D6795">
      <w:r>
        <w:t>The clinical evaluation report</w:t>
      </w:r>
      <w:r w:rsidR="009D6795">
        <w:t xml:space="preserve"> has identified benefits as:</w:t>
      </w:r>
    </w:p>
    <w:p w14:paraId="345B6410" w14:textId="6466DD83" w:rsidR="009D6795" w:rsidRDefault="009D6795" w:rsidP="0069694F">
      <w:pPr>
        <w:pStyle w:val="ListBullet"/>
      </w:pPr>
      <w:proofErr w:type="spellStart"/>
      <w:r>
        <w:t>ArTiMist</w:t>
      </w:r>
      <w:proofErr w:type="spellEnd"/>
      <w:r>
        <w:t xml:space="preserve"> was effective at clearing </w:t>
      </w:r>
      <w:r w:rsidRPr="0069694F">
        <w:rPr>
          <w:i/>
        </w:rPr>
        <w:t>P. falciparum</w:t>
      </w:r>
      <w:r>
        <w:t xml:space="preserve"> parasites i</w:t>
      </w:r>
      <w:r w:rsidR="0069694F">
        <w:t xml:space="preserve">n children with severe </w:t>
      </w:r>
      <w:proofErr w:type="gramStart"/>
      <w:r w:rsidR="0069694F">
        <w:t>malaria;</w:t>
      </w:r>
      <w:proofErr w:type="gramEnd"/>
    </w:p>
    <w:p w14:paraId="311A7AED" w14:textId="2BC4C5E7" w:rsidR="009D6795" w:rsidRDefault="00E84EED" w:rsidP="0069694F">
      <w:pPr>
        <w:pStyle w:val="ListBullet"/>
      </w:pPr>
      <w:r>
        <w:t xml:space="preserve">on </w:t>
      </w:r>
      <w:r w:rsidR="009D6795">
        <w:t>clinical endpoints</w:t>
      </w:r>
      <w:r>
        <w:t>,</w:t>
      </w:r>
      <w:r w:rsidR="009D6795">
        <w:t xml:space="preserve"> the efficacy of </w:t>
      </w:r>
      <w:proofErr w:type="spellStart"/>
      <w:r w:rsidR="009D6795">
        <w:t>ArTiM</w:t>
      </w:r>
      <w:r w:rsidR="0069694F">
        <w:t>ist</w:t>
      </w:r>
      <w:proofErr w:type="spellEnd"/>
      <w:r w:rsidR="0069694F">
        <w:t xml:space="preserve"> was in line with IV </w:t>
      </w:r>
      <w:proofErr w:type="gramStart"/>
      <w:r w:rsidR="0069694F">
        <w:t>quinine;</w:t>
      </w:r>
      <w:proofErr w:type="gramEnd"/>
    </w:p>
    <w:p w14:paraId="5FEAAA04" w14:textId="557F32E3" w:rsidR="009D6795" w:rsidRDefault="00E84EED" w:rsidP="0069694F">
      <w:pPr>
        <w:pStyle w:val="ListBullet"/>
      </w:pPr>
      <w:r>
        <w:t xml:space="preserve">artemether </w:t>
      </w:r>
      <w:r w:rsidR="009D6795">
        <w:t>is an effective and widely used me</w:t>
      </w:r>
      <w:r w:rsidR="0069694F">
        <w:t xml:space="preserve">dication in adults and </w:t>
      </w:r>
      <w:proofErr w:type="gramStart"/>
      <w:r w:rsidR="0069694F">
        <w:t>children;</w:t>
      </w:r>
      <w:proofErr w:type="gramEnd"/>
    </w:p>
    <w:p w14:paraId="48894613" w14:textId="50BB09D6" w:rsidR="009D6795" w:rsidRDefault="00E84EED" w:rsidP="0069694F">
      <w:pPr>
        <w:pStyle w:val="ListBullet"/>
      </w:pPr>
      <w:r>
        <w:lastRenderedPageBreak/>
        <w:t xml:space="preserve">the </w:t>
      </w:r>
      <w:r w:rsidR="0069694F">
        <w:t xml:space="preserve">SL formulation was well </w:t>
      </w:r>
      <w:proofErr w:type="gramStart"/>
      <w:r w:rsidR="0069694F">
        <w:t>tolerated;</w:t>
      </w:r>
      <w:proofErr w:type="gramEnd"/>
    </w:p>
    <w:p w14:paraId="555232F3" w14:textId="1DA16647" w:rsidR="009D6795" w:rsidRDefault="00E84EED" w:rsidP="0069694F">
      <w:pPr>
        <w:pStyle w:val="ListBullet"/>
      </w:pPr>
      <w:r>
        <w:t xml:space="preserve">the </w:t>
      </w:r>
      <w:r w:rsidR="0069694F">
        <w:t>SL</w:t>
      </w:r>
      <w:r w:rsidR="009D6795">
        <w:t xml:space="preserve"> formulation has demonstrated rapid absorption and higher bioa</w:t>
      </w:r>
      <w:r w:rsidR="0069694F">
        <w:t xml:space="preserve">vailability than oral </w:t>
      </w:r>
      <w:proofErr w:type="gramStart"/>
      <w:r w:rsidR="0069694F">
        <w:t>tablets;</w:t>
      </w:r>
      <w:proofErr w:type="gramEnd"/>
    </w:p>
    <w:p w14:paraId="4D796B45" w14:textId="599EE9A5" w:rsidR="009D6795" w:rsidRDefault="00E84EED" w:rsidP="0069694F">
      <w:pPr>
        <w:pStyle w:val="ListBullet"/>
      </w:pPr>
      <w:r>
        <w:t xml:space="preserve">the </w:t>
      </w:r>
      <w:r w:rsidR="0069694F">
        <w:t>SL</w:t>
      </w:r>
      <w:r w:rsidR="009D6795">
        <w:t xml:space="preserve"> formulation would be easy to administer with possibility it could be given </w:t>
      </w:r>
      <w:r w:rsidR="0069694F">
        <w:t>prior to transfer to a hospital;</w:t>
      </w:r>
      <w:r>
        <w:t xml:space="preserve"> and</w:t>
      </w:r>
    </w:p>
    <w:p w14:paraId="46150B7C" w14:textId="76874942" w:rsidR="009D6795" w:rsidRDefault="00E84EED" w:rsidP="0069694F">
      <w:pPr>
        <w:pStyle w:val="ListBullet"/>
      </w:pPr>
      <w:r>
        <w:t xml:space="preserve">the potential </w:t>
      </w:r>
      <w:r w:rsidR="009D6795">
        <w:t>for a si</w:t>
      </w:r>
      <w:r w:rsidR="0069694F">
        <w:t>gnificant public health benefit.</w:t>
      </w:r>
    </w:p>
    <w:p w14:paraId="30667096" w14:textId="1E0DBBAF" w:rsidR="009D6795" w:rsidRDefault="0069694F" w:rsidP="009D6795">
      <w:r>
        <w:t>The clinical evaluation report</w:t>
      </w:r>
      <w:r w:rsidR="009D6795">
        <w:t xml:space="preserve"> has identified risks as:</w:t>
      </w:r>
    </w:p>
    <w:p w14:paraId="64F9EA7B" w14:textId="5C2EA39B" w:rsidR="009D6795" w:rsidRDefault="00E84EED" w:rsidP="0069694F">
      <w:pPr>
        <w:pStyle w:val="ListBullet"/>
      </w:pPr>
      <w:r>
        <w:t xml:space="preserve">the </w:t>
      </w:r>
      <w:proofErr w:type="spellStart"/>
      <w:r w:rsidR="009D6795">
        <w:t>ArTiMist</w:t>
      </w:r>
      <w:proofErr w:type="spellEnd"/>
      <w:r w:rsidR="009D6795">
        <w:t xml:space="preserve"> clinical trial database is very small, although there is extensive literature on other fo</w:t>
      </w:r>
      <w:r w:rsidR="0069694F">
        <w:t xml:space="preserve">rmulations of </w:t>
      </w:r>
      <w:proofErr w:type="gramStart"/>
      <w:r w:rsidR="0069694F">
        <w:t>artemether;</w:t>
      </w:r>
      <w:proofErr w:type="gramEnd"/>
    </w:p>
    <w:p w14:paraId="62A54F2B" w14:textId="628B01B7" w:rsidR="009D6795" w:rsidRDefault="00E84EED" w:rsidP="0069694F">
      <w:pPr>
        <w:pStyle w:val="ListBullet"/>
      </w:pPr>
      <w:r>
        <w:t xml:space="preserve">safety </w:t>
      </w:r>
      <w:r w:rsidR="009D6795">
        <w:t xml:space="preserve">risks of </w:t>
      </w:r>
      <w:proofErr w:type="spellStart"/>
      <w:r w:rsidR="009D6795">
        <w:t>haemotoxicity</w:t>
      </w:r>
      <w:proofErr w:type="spellEnd"/>
      <w:r w:rsidR="009D6795">
        <w:t>, cardiotoxicity, hypersensitivity, audio-neural toxic</w:t>
      </w:r>
      <w:r w:rsidR="0069694F">
        <w:t xml:space="preserve">ity and reproductive toxicity, </w:t>
      </w:r>
      <w:r w:rsidR="009D6795">
        <w:t xml:space="preserve">although there is extensive literature safety data that indicate </w:t>
      </w:r>
      <w:r w:rsidR="0069694F">
        <w:t xml:space="preserve">the level of these risks is </w:t>
      </w:r>
      <w:proofErr w:type="gramStart"/>
      <w:r w:rsidR="0069694F">
        <w:t>low;</w:t>
      </w:r>
      <w:proofErr w:type="gramEnd"/>
    </w:p>
    <w:p w14:paraId="7ADB0054" w14:textId="54DF19DA" w:rsidR="009D6795" w:rsidRDefault="00E84EED" w:rsidP="0069694F">
      <w:pPr>
        <w:pStyle w:val="ListBullet"/>
      </w:pPr>
      <w:r>
        <w:t xml:space="preserve">possible </w:t>
      </w:r>
      <w:r w:rsidR="009D6795">
        <w:t xml:space="preserve">drug </w:t>
      </w:r>
      <w:proofErr w:type="gramStart"/>
      <w:r w:rsidR="009D6795">
        <w:t>in</w:t>
      </w:r>
      <w:r w:rsidR="0069694F">
        <w:t>teractions;</w:t>
      </w:r>
      <w:proofErr w:type="gramEnd"/>
    </w:p>
    <w:p w14:paraId="3EA8A34E" w14:textId="70A15316" w:rsidR="009D6795" w:rsidRDefault="00E84EED" w:rsidP="0069694F">
      <w:pPr>
        <w:pStyle w:val="ListBullet"/>
      </w:pPr>
      <w:r>
        <w:t xml:space="preserve">lack </w:t>
      </w:r>
      <w:r w:rsidR="009D6795">
        <w:t>of comparative data with the current recommended treatment for severe</w:t>
      </w:r>
      <w:r w:rsidR="0069694F">
        <w:t xml:space="preserve"> falciparum malaria in children;</w:t>
      </w:r>
      <w:r>
        <w:t xml:space="preserve"> and</w:t>
      </w:r>
    </w:p>
    <w:p w14:paraId="668DCCDD" w14:textId="57BE1FF9" w:rsidR="009D6795" w:rsidRDefault="00E84EED" w:rsidP="0069694F">
      <w:pPr>
        <w:pStyle w:val="ListBullet"/>
      </w:pPr>
      <w:r>
        <w:t xml:space="preserve">the </w:t>
      </w:r>
      <w:r w:rsidR="009D6795">
        <w:t xml:space="preserve">WHO does not recommend </w:t>
      </w:r>
      <w:proofErr w:type="spellStart"/>
      <w:r w:rsidR="009D6795">
        <w:t>artemisinins</w:t>
      </w:r>
      <w:proofErr w:type="spellEnd"/>
      <w:r w:rsidR="009D6795">
        <w:t xml:space="preserve"> are used as monotherapy in the treatment of malaria due to the risk of potentiating treatment resistance.</w:t>
      </w:r>
    </w:p>
    <w:p w14:paraId="68F918D8" w14:textId="287E6C3D" w:rsidR="00456765" w:rsidRPr="00456765" w:rsidRDefault="009D6795" w:rsidP="009D6795">
      <w:r>
        <w:t xml:space="preserve">The evaluator finds that </w:t>
      </w:r>
      <w:r w:rsidR="009048CC">
        <w:t>SL</w:t>
      </w:r>
      <w:r>
        <w:t xml:space="preserve"> artemether demonstrated efficacy and safety in the small clinical trial program and this was supported by a very large database of literature which is in favour of the product’s use. In addition, given it may be used easily prior to transfer to hospital, </w:t>
      </w:r>
      <w:proofErr w:type="spellStart"/>
      <w:r>
        <w:t>ArTiMist</w:t>
      </w:r>
      <w:proofErr w:type="spellEnd"/>
      <w:r>
        <w:t xml:space="preserve"> has a clear clinical place as a second line therapy in initial treatment of severe falciparum malaria when parenteral artesunate is not available. For the sub</w:t>
      </w:r>
      <w:r w:rsidR="00E84EED">
        <w:noBreakHyphen/>
      </w:r>
      <w:r>
        <w:t>indication of treatment of children with uncomplicated falciparum malaria who cannot take oral medications, the evaluator concludes that the benefit risk profile is positive.</w:t>
      </w:r>
    </w:p>
    <w:p w14:paraId="373AF926" w14:textId="77777777" w:rsidR="008E7846" w:rsidRDefault="00386150" w:rsidP="007B6132">
      <w:pPr>
        <w:pStyle w:val="Heading3"/>
        <w:rPr>
          <w:lang w:eastAsia="en-AU"/>
        </w:rPr>
      </w:pPr>
      <w:bookmarkStart w:id="40" w:name="_Toc120536559"/>
      <w:r>
        <w:rPr>
          <w:lang w:eastAsia="en-AU"/>
        </w:rPr>
        <w:t>Risk m</w:t>
      </w:r>
      <w:r w:rsidR="008E7846">
        <w:rPr>
          <w:lang w:eastAsia="en-AU"/>
        </w:rPr>
        <w:t xml:space="preserve">anagement </w:t>
      </w:r>
      <w:r>
        <w:rPr>
          <w:lang w:eastAsia="en-AU"/>
        </w:rPr>
        <w:t>p</w:t>
      </w:r>
      <w:r w:rsidR="008E7846">
        <w:rPr>
          <w:lang w:eastAsia="en-AU"/>
        </w:rPr>
        <w:t>lan</w:t>
      </w:r>
      <w:bookmarkEnd w:id="39"/>
      <w:bookmarkEnd w:id="40"/>
    </w:p>
    <w:p w14:paraId="6C75091C" w14:textId="315F8126" w:rsidR="008E7846" w:rsidRDefault="007B6D80" w:rsidP="008E7846">
      <w:r>
        <w:t>The TGA</w:t>
      </w:r>
      <w:r w:rsidR="009D6795" w:rsidRPr="009D6795">
        <w:t xml:space="preserve"> granted a waiver for submission of a </w:t>
      </w:r>
      <w:r w:rsidR="00E84EED">
        <w:t>risk management plan (</w:t>
      </w:r>
      <w:r w:rsidR="009D6795" w:rsidRPr="009D6795">
        <w:t>RMP</w:t>
      </w:r>
      <w:r w:rsidR="00E84EED">
        <w:t>)</w:t>
      </w:r>
      <w:r w:rsidR="009D6795" w:rsidRPr="009D6795">
        <w:t xml:space="preserve"> on the basis that the product was not intended f</w:t>
      </w:r>
      <w:r w:rsidR="00BE049C">
        <w:t>or marketing in Australia. The s</w:t>
      </w:r>
      <w:r w:rsidR="009D6795" w:rsidRPr="009D6795">
        <w:t>ponsor stated that prior to commerciali</w:t>
      </w:r>
      <w:r w:rsidR="00E84EED">
        <w:t>s</w:t>
      </w:r>
      <w:r w:rsidR="009D6795" w:rsidRPr="009D6795">
        <w:t xml:space="preserve">ation of </w:t>
      </w:r>
      <w:proofErr w:type="spellStart"/>
      <w:r w:rsidR="009D6795" w:rsidRPr="009D6795">
        <w:t>ArTiMist</w:t>
      </w:r>
      <w:proofErr w:type="spellEnd"/>
      <w:r w:rsidR="009D6795" w:rsidRPr="009D6795">
        <w:t xml:space="preserve">, the sponsorship of </w:t>
      </w:r>
      <w:proofErr w:type="spellStart"/>
      <w:r w:rsidR="009D6795" w:rsidRPr="009D6795">
        <w:t>ArTiMist</w:t>
      </w:r>
      <w:proofErr w:type="spellEnd"/>
      <w:r w:rsidR="009D6795" w:rsidRPr="009D6795">
        <w:t xml:space="preserve"> will be transferred to a nominated party who will be responsible for post-marketing activities.</w:t>
      </w:r>
    </w:p>
    <w:p w14:paraId="60EB5CFF" w14:textId="77777777" w:rsidR="008E7846" w:rsidRDefault="00AA0ED0" w:rsidP="008E7846">
      <w:pPr>
        <w:pStyle w:val="Heading3"/>
      </w:pPr>
      <w:bookmarkStart w:id="41" w:name="_Toc247691531"/>
      <w:bookmarkStart w:id="42" w:name="_Toc314842515"/>
      <w:bookmarkStart w:id="43" w:name="_Toc120536560"/>
      <w:bookmarkStart w:id="44" w:name="_Toc196046505"/>
      <w:bookmarkStart w:id="45" w:name="_Toc196046949"/>
      <w:r>
        <w:t>Risk-benefit a</w:t>
      </w:r>
      <w:r w:rsidR="008E7846">
        <w:t>nalysis</w:t>
      </w:r>
      <w:bookmarkEnd w:id="41"/>
      <w:bookmarkEnd w:id="42"/>
      <w:bookmarkEnd w:id="43"/>
    </w:p>
    <w:p w14:paraId="405B9D25" w14:textId="77777777" w:rsidR="00D23139" w:rsidRDefault="009D6795" w:rsidP="00D23139">
      <w:pPr>
        <w:pStyle w:val="Heading4"/>
      </w:pPr>
      <w:r>
        <w:t>Delegate’s considerations</w:t>
      </w:r>
    </w:p>
    <w:p w14:paraId="7981B2FD" w14:textId="2987234C" w:rsidR="009D6795" w:rsidRDefault="009D6795" w:rsidP="009D6795">
      <w:r>
        <w:t xml:space="preserve">The </w:t>
      </w:r>
      <w:r w:rsidR="0069694F">
        <w:t>quality evaluation</w:t>
      </w:r>
      <w:r>
        <w:t xml:space="preserve"> report has drawn attention to the number of actuations required</w:t>
      </w:r>
      <w:r w:rsidR="0069694F">
        <w:t xml:space="preserve"> for treatment of child of 13.5 to 15 kg. The D</w:t>
      </w:r>
      <w:r>
        <w:t>elegate notes target concentrations of artemether and DHA were achieved in clinical</w:t>
      </w:r>
      <w:r w:rsidR="0069694F">
        <w:t xml:space="preserve"> studies with this dosage. The D</w:t>
      </w:r>
      <w:r>
        <w:t>elega</w:t>
      </w:r>
      <w:r w:rsidR="0069694F">
        <w:t>te accepts the s</w:t>
      </w:r>
      <w:r>
        <w:t>ponsor’s justification for lack of an absolute bioavailability and lack of a food effect study.</w:t>
      </w:r>
    </w:p>
    <w:p w14:paraId="7FBC9263" w14:textId="77777777" w:rsidR="009D6795" w:rsidRDefault="009D6795" w:rsidP="009D6795">
      <w:r>
        <w:t xml:space="preserve">The nonclinical evaluation report recommended that duration of treatment with </w:t>
      </w:r>
      <w:proofErr w:type="spellStart"/>
      <w:r>
        <w:t>ArTiMist</w:t>
      </w:r>
      <w:proofErr w:type="spellEnd"/>
      <w:r>
        <w:t xml:space="preserve"> be limited to 4 days. The clinical studies included treatment for up to 7 day and with good local tolerability.</w:t>
      </w:r>
    </w:p>
    <w:p w14:paraId="20DDDC46" w14:textId="61EEE003" w:rsidR="0069694F" w:rsidRDefault="009D6795" w:rsidP="009D6795">
      <w:r>
        <w:t xml:space="preserve">At the </w:t>
      </w:r>
      <w:r w:rsidR="0069694F">
        <w:t xml:space="preserve">time the clinical studies (2009 to </w:t>
      </w:r>
      <w:r>
        <w:t xml:space="preserve">2010) were commenced, </w:t>
      </w:r>
      <w:r w:rsidR="0069694F">
        <w:t>IV</w:t>
      </w:r>
      <w:r>
        <w:t xml:space="preserve"> quinine was considered by the WHO as the first line of treatment for children with severe or </w:t>
      </w:r>
      <w:r>
        <w:lastRenderedPageBreak/>
        <w:t>complicated falciparum malaria</w:t>
      </w:r>
      <w:r w:rsidR="008D5FEF">
        <w:t xml:space="preserve"> with GI complication</w:t>
      </w:r>
      <w:r>
        <w:t xml:space="preserve">. </w:t>
      </w:r>
      <w:r w:rsidR="008D5FEF">
        <w:t xml:space="preserve">The TGA have provided confirmation that they are also of the opinion that IV quinine is an acceptable comparator as it is registered and recommended as an alternative treatment for severe </w:t>
      </w:r>
      <w:r w:rsidR="008D5FEF" w:rsidRPr="009048CC">
        <w:rPr>
          <w:i/>
        </w:rPr>
        <w:t>P falciparum</w:t>
      </w:r>
      <w:r w:rsidR="008D5FEF">
        <w:t xml:space="preserve"> malaria in Therapeutic Guidelines.</w:t>
      </w:r>
      <w:r w:rsidR="008D5FEF">
        <w:rPr>
          <w:rStyle w:val="FootnoteReference"/>
        </w:rPr>
        <w:footnoteReference w:id="7"/>
      </w:r>
      <w:r w:rsidR="008D5FEF">
        <w:t xml:space="preserve"> </w:t>
      </w:r>
      <w:r>
        <w:t xml:space="preserve">During the conduct of </w:t>
      </w:r>
      <w:r w:rsidR="0069694F">
        <w:t xml:space="preserve">Study </w:t>
      </w:r>
      <w:r>
        <w:t xml:space="preserve">ART004, </w:t>
      </w:r>
      <w:r w:rsidR="00E84EED">
        <w:t xml:space="preserve">the </w:t>
      </w:r>
      <w:r>
        <w:t>WHO changed their treatment recommendations for sev</w:t>
      </w:r>
      <w:r w:rsidR="0069694F">
        <w:t xml:space="preserve">ere childhood malaria to state </w:t>
      </w:r>
      <w:r>
        <w:t xml:space="preserve">that IV or </w:t>
      </w:r>
      <w:r w:rsidR="0069694F">
        <w:t>intramuscular (</w:t>
      </w:r>
      <w:r>
        <w:t>IM</w:t>
      </w:r>
      <w:r w:rsidR="0069694F">
        <w:t>)</w:t>
      </w:r>
      <w:r>
        <w:t xml:space="preserve"> artesunate (2.4 mg/kg body weight) is the treatment of choice and that only if parenteral artesunate is not available should artemether IM or quinine (IV or IM) be </w:t>
      </w:r>
      <w:r w:rsidRPr="008D5FEF">
        <w:t>given.</w:t>
      </w:r>
      <w:r w:rsidR="00B51FE3">
        <w:fldChar w:fldCharType="begin"/>
      </w:r>
      <w:r w:rsidR="00B51FE3">
        <w:instrText xml:space="preserve"> NOTEREF _Ref23430019 \f \h </w:instrText>
      </w:r>
      <w:r w:rsidR="00B51FE3">
        <w:fldChar w:fldCharType="separate"/>
      </w:r>
      <w:r w:rsidR="00B51FE3" w:rsidRPr="00B51FE3">
        <w:rPr>
          <w:rStyle w:val="FootnoteReference"/>
        </w:rPr>
        <w:t>2</w:t>
      </w:r>
      <w:r w:rsidR="00B51FE3">
        <w:fldChar w:fldCharType="end"/>
      </w:r>
      <w:r w:rsidRPr="008D5FEF">
        <w:t xml:space="preserve"> This should</w:t>
      </w:r>
      <w:r>
        <w:t xml:space="preserve"> be followed by a full dose of effective artemisinin-based combination </w:t>
      </w:r>
      <w:r w:rsidR="0069694F">
        <w:t xml:space="preserve">therapy (ACT) orally. </w:t>
      </w:r>
      <w:r w:rsidR="00E84EED">
        <w:t>The p</w:t>
      </w:r>
      <w:r w:rsidR="0069694F">
        <w:t>roposed i</w:t>
      </w:r>
      <w:r>
        <w:t xml:space="preserve">ndications for </w:t>
      </w:r>
      <w:proofErr w:type="spellStart"/>
      <w:r>
        <w:t>ArTiMist</w:t>
      </w:r>
      <w:proofErr w:type="spellEnd"/>
      <w:r>
        <w:t xml:space="preserve"> 6 have been amended during the </w:t>
      </w:r>
      <w:r w:rsidR="0069694F">
        <w:t>evaluation process to state:</w:t>
      </w:r>
    </w:p>
    <w:p w14:paraId="0048D130" w14:textId="5707FC73" w:rsidR="009D6795" w:rsidRPr="0069694F" w:rsidRDefault="0069694F" w:rsidP="0069694F">
      <w:pPr>
        <w:ind w:left="720"/>
        <w:rPr>
          <w:i/>
        </w:rPr>
      </w:pPr>
      <w:r w:rsidRPr="0069694F">
        <w:rPr>
          <w:i/>
        </w:rPr>
        <w:t xml:space="preserve">[…] </w:t>
      </w:r>
      <w:r w:rsidR="009D6795" w:rsidRPr="0069694F">
        <w:rPr>
          <w:i/>
        </w:rPr>
        <w:t xml:space="preserve">in severe falciparum malaria </w:t>
      </w:r>
      <w:proofErr w:type="spellStart"/>
      <w:r w:rsidR="009D6795" w:rsidRPr="0069694F">
        <w:rPr>
          <w:i/>
        </w:rPr>
        <w:t>ArTiMist</w:t>
      </w:r>
      <w:proofErr w:type="spellEnd"/>
      <w:r w:rsidR="009D6795" w:rsidRPr="0069694F">
        <w:rPr>
          <w:i/>
        </w:rPr>
        <w:t xml:space="preserve"> 6 should only be used when therapy with parente</w:t>
      </w:r>
      <w:r w:rsidR="00F05342">
        <w:rPr>
          <w:i/>
        </w:rPr>
        <w:t>ral artesunate is not available</w:t>
      </w:r>
      <w:r w:rsidR="009D6795" w:rsidRPr="0069694F">
        <w:rPr>
          <w:i/>
        </w:rPr>
        <w:t>.</w:t>
      </w:r>
    </w:p>
    <w:p w14:paraId="048DBD3D" w14:textId="4CC3F314" w:rsidR="009D6795" w:rsidRDefault="009D6795" w:rsidP="009D6795">
      <w:r>
        <w:t xml:space="preserve">The clinical rationale initially given for the </w:t>
      </w:r>
      <w:r w:rsidR="00B51FE3">
        <w:t>SL</w:t>
      </w:r>
      <w:r>
        <w:t xml:space="preserve"> product is to have an effective medication that can be easily and promptly given to young children with severe malaria so that clinical stability can be achieved. </w:t>
      </w:r>
      <w:r w:rsidR="00B51FE3">
        <w:t>The sponsor</w:t>
      </w:r>
      <w:r w:rsidR="0069694F">
        <w:t xml:space="preserve"> has subsequently proposed </w:t>
      </w:r>
      <w:r>
        <w:t xml:space="preserve">that </w:t>
      </w:r>
      <w:proofErr w:type="spellStart"/>
      <w:r>
        <w:t>ArTiMist</w:t>
      </w:r>
      <w:proofErr w:type="spellEnd"/>
      <w:r>
        <w:t xml:space="preserve"> could be used as a frontline treatment for severe malaria</w:t>
      </w:r>
      <w:r w:rsidR="0069694F">
        <w:t xml:space="preserve"> outside the hospital setting. The clinical evaluation report</w:t>
      </w:r>
      <w:r>
        <w:t xml:space="preserve"> considers that this </w:t>
      </w:r>
      <w:r w:rsidR="00B51FE3">
        <w:t>SL</w:t>
      </w:r>
      <w:r>
        <w:t xml:space="preserve"> treatment could be given b</w:t>
      </w:r>
      <w:r w:rsidR="0069694F">
        <w:t>y non-medical personnel. The clinical evaluation report recommends that a post</w:t>
      </w:r>
      <w:r w:rsidR="0069694F">
        <w:noBreakHyphen/>
      </w:r>
      <w:r>
        <w:t>marketing surveillance study is carried out to assess treatment efficacy in this field setting. The sponsor has also committed to development of an education program for health care providers to ensure the product remains within the health care system and does not reach the public domain.</w:t>
      </w:r>
    </w:p>
    <w:p w14:paraId="4CA17360" w14:textId="3112FFFA" w:rsidR="009D6795" w:rsidRDefault="009D6795" w:rsidP="009D6795">
      <w:r>
        <w:t xml:space="preserve">The </w:t>
      </w:r>
      <w:proofErr w:type="gramStart"/>
      <w:r w:rsidR="0069694F">
        <w:t>first round</w:t>
      </w:r>
      <w:proofErr w:type="gramEnd"/>
      <w:r w:rsidR="0069694F">
        <w:t xml:space="preserve"> clinical evaluation report</w:t>
      </w:r>
      <w:r>
        <w:t xml:space="preserve"> recommended conduct of a clinical trial comparing the efficacy of </w:t>
      </w:r>
      <w:r w:rsidR="0069694F">
        <w:t>SL</w:t>
      </w:r>
      <w:r>
        <w:t xml:space="preserve"> artemether to parenteral artesunate in children with severe falciparum malaria. The sponsor has stated that conduct of such a clinical study would be unethical. The risk/benefit for parenteral artesunate is exceptionally favourable where there is access to this treatment.</w:t>
      </w:r>
    </w:p>
    <w:p w14:paraId="68D40426" w14:textId="2E0D0612" w:rsidR="009D6795" w:rsidRDefault="009D6795" w:rsidP="009D6795">
      <w:r>
        <w:t>This Category 1 application is a 'mixed' application (</w:t>
      </w:r>
      <w:proofErr w:type="gramStart"/>
      <w:r w:rsidR="00E84EED">
        <w:t>literature based</w:t>
      </w:r>
      <w:proofErr w:type="gramEnd"/>
      <w:r w:rsidR="00E84EED">
        <w:t xml:space="preserve"> submission </w:t>
      </w:r>
      <w:r>
        <w:t>(LBS) and clin</w:t>
      </w:r>
      <w:r w:rsidR="008639A4">
        <w:t xml:space="preserve">ical studies) to address </w:t>
      </w:r>
      <w:r w:rsidR="00E84EED">
        <w:t xml:space="preserve">the </w:t>
      </w:r>
      <w:r w:rsidR="008639A4">
        <w:t>non</w:t>
      </w:r>
      <w:r>
        <w:t xml:space="preserve">clinical and clinical aspects of the application. The search strategy for the LBS was approved by the TGA on </w:t>
      </w:r>
      <w:r w:rsidR="008639A4">
        <w:t>4 May</w:t>
      </w:r>
      <w:r>
        <w:t xml:space="preserve"> 2016.</w:t>
      </w:r>
    </w:p>
    <w:p w14:paraId="28B00A6F" w14:textId="127D3533" w:rsidR="009D6795" w:rsidRDefault="009D6795" w:rsidP="009D6795">
      <w:r>
        <w:t>The clinical study program ha</w:t>
      </w:r>
      <w:r w:rsidR="008639A4">
        <w:t>s been limited to treatment of 93 young</w:t>
      </w:r>
      <w:r>
        <w:t xml:space="preserve"> children and only 125 subjects in total have been exposed to </w:t>
      </w:r>
      <w:r w:rsidR="00E84EED">
        <w:t xml:space="preserve">SL </w:t>
      </w:r>
      <w:r>
        <w:t>artemether.</w:t>
      </w:r>
    </w:p>
    <w:p w14:paraId="048D1BFF" w14:textId="2A5DCAD9" w:rsidR="009D6795" w:rsidRDefault="008639A4" w:rsidP="009D6795">
      <w:r>
        <w:t xml:space="preserve">Efficacy was reported </w:t>
      </w:r>
      <w:r w:rsidR="009D6795">
        <w:t xml:space="preserve">in one pivotal clinical study based on clearance of </w:t>
      </w:r>
      <w:r w:rsidR="009D6795" w:rsidRPr="008639A4">
        <w:rPr>
          <w:i/>
        </w:rPr>
        <w:t>P. falciparum</w:t>
      </w:r>
      <w:r w:rsidR="009D6795">
        <w:t xml:space="preserve"> parasites in children with severe malaria or unable to take oral medication. The study was not designed for primary assessment of clinical outcomes.</w:t>
      </w:r>
    </w:p>
    <w:p w14:paraId="3477A6AE" w14:textId="17D10A40" w:rsidR="009D6795" w:rsidRDefault="009D6795" w:rsidP="009D6795">
      <w:r>
        <w:t xml:space="preserve">A significant risk with </w:t>
      </w:r>
      <w:proofErr w:type="spellStart"/>
      <w:r>
        <w:t>ArTiMist</w:t>
      </w:r>
      <w:proofErr w:type="spellEnd"/>
      <w:r>
        <w:t xml:space="preserve"> 6 is</w:t>
      </w:r>
      <w:r w:rsidR="00E84EED">
        <w:t xml:space="preserve"> the</w:t>
      </w:r>
      <w:r>
        <w:t xml:space="preserve"> resistance risk with the monotherapy. Numbers of statements in </w:t>
      </w:r>
      <w:r w:rsidR="00B51FE3">
        <w:t>the Product Information (</w:t>
      </w:r>
      <w:r>
        <w:t>PI</w:t>
      </w:r>
      <w:r w:rsidR="00B51FE3">
        <w:t>)</w:t>
      </w:r>
      <w:r>
        <w:t xml:space="preserve"> and </w:t>
      </w:r>
      <w:r w:rsidR="008639A4">
        <w:t>Consumer Medicines Information (</w:t>
      </w:r>
      <w:r>
        <w:t>CMI</w:t>
      </w:r>
      <w:r w:rsidR="008639A4">
        <w:t>)</w:t>
      </w:r>
      <w:r>
        <w:t xml:space="preserve"> have been inclu</w:t>
      </w:r>
      <w:r w:rsidR="008639A4">
        <w:t>ded to mitigate this risk. The s</w:t>
      </w:r>
      <w:r>
        <w:t>ponsor provides a commitment to develop an education program for health care providers (which would include educational material/medication guides) prior to commercialisation of the product in malaria endemic countries. The aim of the program will be to ensure the product remains within the health care system and does not reach the public domain.</w:t>
      </w:r>
    </w:p>
    <w:p w14:paraId="6D423F05" w14:textId="3BA9EC72" w:rsidR="009D6795" w:rsidRDefault="008639A4" w:rsidP="009D6795">
      <w:r>
        <w:t>The s</w:t>
      </w:r>
      <w:r w:rsidR="009D6795">
        <w:t xml:space="preserve">ponsor provides a commitment to work collaboratively with </w:t>
      </w:r>
      <w:r w:rsidR="00E84EED">
        <w:t xml:space="preserve">the </w:t>
      </w:r>
      <w:r w:rsidR="009D6795">
        <w:t>WHO and to ensure adequate measures are in place to minimise the potential risk to treatment resistance with the monotherapy prior to launch.</w:t>
      </w:r>
    </w:p>
    <w:p w14:paraId="73872DC0" w14:textId="4DFE1315" w:rsidR="0093230B" w:rsidRDefault="009D6795" w:rsidP="009D6795">
      <w:r>
        <w:t>No RMP was submitted</w:t>
      </w:r>
      <w:r w:rsidR="0093230B">
        <w:t xml:space="preserve"> as agreed at the outset of the submission application.</w:t>
      </w:r>
      <w:r w:rsidR="008544F2">
        <w:t xml:space="preserve"> Potential for misuse of the monotherapy in malaria endemic countries cannot be assessed. The 6 mg dose per actuation strength does restrict potential for misuse in older children and adults.</w:t>
      </w:r>
    </w:p>
    <w:p w14:paraId="5B697990" w14:textId="77777777" w:rsidR="00D23139" w:rsidRDefault="00D23139" w:rsidP="00D23139">
      <w:pPr>
        <w:pStyle w:val="Heading4"/>
      </w:pPr>
      <w:r w:rsidRPr="00D23139">
        <w:lastRenderedPageBreak/>
        <w:t>Proposed action</w:t>
      </w:r>
    </w:p>
    <w:p w14:paraId="78696F70" w14:textId="7B8C566D" w:rsidR="00456765" w:rsidRPr="00456765" w:rsidRDefault="008D5FEF" w:rsidP="00456765">
      <w:r>
        <w:t>The Delegate was</w:t>
      </w:r>
      <w:r w:rsidR="008E1660" w:rsidRPr="008E1660">
        <w:t xml:space="preserve"> not </w:t>
      </w:r>
      <w:proofErr w:type="gramStart"/>
      <w:r w:rsidR="008E1660" w:rsidRPr="008E1660">
        <w:t>in a position</w:t>
      </w:r>
      <w:proofErr w:type="gramEnd"/>
      <w:r w:rsidR="008E1660" w:rsidRPr="008E1660">
        <w:t xml:space="preserve"> to say, at this time, that </w:t>
      </w:r>
      <w:r w:rsidR="008E1660">
        <w:t xml:space="preserve">the application for </w:t>
      </w:r>
      <w:proofErr w:type="spellStart"/>
      <w:r w:rsidR="008E1660">
        <w:t>ArTiMist</w:t>
      </w:r>
      <w:proofErr w:type="spellEnd"/>
      <w:r w:rsidR="008E1660">
        <w:t xml:space="preserve"> 6 </w:t>
      </w:r>
      <w:r w:rsidR="008E1660" w:rsidRPr="008E1660">
        <w:t>should be approved for registration.</w:t>
      </w:r>
    </w:p>
    <w:p w14:paraId="7FE50BA0" w14:textId="77777777" w:rsidR="00D23139" w:rsidRDefault="00A22D57" w:rsidP="00D23139">
      <w:pPr>
        <w:pStyle w:val="Heading4"/>
      </w:pPr>
      <w:r>
        <w:t>Request for AC</w:t>
      </w:r>
      <w:r w:rsidR="00D23139" w:rsidRPr="00D23139">
        <w:t>M advice</w:t>
      </w:r>
    </w:p>
    <w:p w14:paraId="10FC07B7" w14:textId="77777777" w:rsidR="008E1660" w:rsidRDefault="008E1660" w:rsidP="008E1660">
      <w:r>
        <w:t>The committee is requested to provide advice on the following specific issues:</w:t>
      </w:r>
    </w:p>
    <w:p w14:paraId="2FC0C46F" w14:textId="72E2F9D9" w:rsidR="008E1660" w:rsidRPr="008D5FEF" w:rsidRDefault="008E1660" w:rsidP="008D5FEF">
      <w:pPr>
        <w:pStyle w:val="Numberbullet0"/>
      </w:pPr>
      <w:r w:rsidRPr="008D5FEF">
        <w:t xml:space="preserve">Does </w:t>
      </w:r>
      <w:r w:rsidR="001D1FF3">
        <w:t xml:space="preserve">the </w:t>
      </w:r>
      <w:r w:rsidRPr="008D5FEF">
        <w:t xml:space="preserve">ACM consider there is a potential role for this sublingual monotherapy product for initial treatment of severe falciparum malaria in young children in endemic countries, given </w:t>
      </w:r>
      <w:proofErr w:type="spellStart"/>
      <w:r w:rsidRPr="008D5FEF">
        <w:t>ArTiMist</w:t>
      </w:r>
      <w:proofErr w:type="spellEnd"/>
      <w:r w:rsidRPr="008D5FEF">
        <w:t xml:space="preserve"> 6 should only be used when therapy with parenteral artesunate is not available? The </w:t>
      </w:r>
      <w:r w:rsidR="008D5FEF">
        <w:t>clinical evaluation report</w:t>
      </w:r>
      <w:r w:rsidRPr="008D5FEF">
        <w:t xml:space="preserve"> considers that this sublingual treatment could be given</w:t>
      </w:r>
      <w:r w:rsidR="008D5FEF">
        <w:t xml:space="preserve"> by non-medical personnel. The s</w:t>
      </w:r>
      <w:r w:rsidRPr="008D5FEF">
        <w:t>ponsor has committed to an educational program to ensure the product remains within the health care system and does not reach the public domain.</w:t>
      </w:r>
    </w:p>
    <w:p w14:paraId="113C9EB5" w14:textId="5D272352" w:rsidR="008E1660" w:rsidRDefault="008E1660" w:rsidP="008D5FEF">
      <w:pPr>
        <w:pStyle w:val="Numberbullet0"/>
      </w:pPr>
      <w:r>
        <w:t>Has efficacy for the new product been adequately established in the one small pivotal clinical study?</w:t>
      </w:r>
    </w:p>
    <w:p w14:paraId="5DA14B10" w14:textId="275F8A2A" w:rsidR="00456765" w:rsidRDefault="008E1660" w:rsidP="008D5FEF">
      <w:pPr>
        <w:pStyle w:val="Numberbullet0"/>
      </w:pPr>
      <w:r>
        <w:t>Has the safety of the product for t</w:t>
      </w:r>
      <w:r w:rsidR="008D5FEF">
        <w:t xml:space="preserve">he new product been adequately </w:t>
      </w:r>
      <w:r>
        <w:t>established given clinical study program has involved only 93 children?</w:t>
      </w:r>
    </w:p>
    <w:p w14:paraId="0FC97F54" w14:textId="5F5B9AD7" w:rsidR="008E1660" w:rsidRDefault="001D1FF3" w:rsidP="008D5FEF">
      <w:pPr>
        <w:pStyle w:val="Numberbullet0"/>
      </w:pPr>
      <w:r>
        <w:t xml:space="preserve">Has the </w:t>
      </w:r>
      <w:r w:rsidR="008E1660">
        <w:t xml:space="preserve">risk of potentiation of resistance associated with this monotherapy product been adequately addressed by changes to draft </w:t>
      </w:r>
      <w:r w:rsidR="00CC244C">
        <w:t>PI</w:t>
      </w:r>
      <w:r w:rsidR="008E1660">
        <w:t xml:space="preserve"> and CMI, and the sponsor’s commitments to provide an educational program for health care providers and to work</w:t>
      </w:r>
      <w:r w:rsidR="008D5FEF">
        <w:t xml:space="preserve"> with </w:t>
      </w:r>
      <w:r>
        <w:t xml:space="preserve">the </w:t>
      </w:r>
      <w:r w:rsidR="008D5FEF">
        <w:t>WHO to minimise this risk</w:t>
      </w:r>
      <w:r w:rsidR="008E1660">
        <w:t>?</w:t>
      </w:r>
    </w:p>
    <w:p w14:paraId="40267D2D" w14:textId="77777777" w:rsidR="008E1660" w:rsidRPr="00456765" w:rsidRDefault="008E1660" w:rsidP="008E1660">
      <w:r>
        <w:t xml:space="preserve">The committee is (also) requested to provide advice on any other issues that it thinks may be relevant to a decision on </w:t>
      </w:r>
      <w:proofErr w:type="gramStart"/>
      <w:r>
        <w:t>whether or not</w:t>
      </w:r>
      <w:proofErr w:type="gramEnd"/>
      <w:r>
        <w:t xml:space="preserve"> to approve this application.</w:t>
      </w:r>
    </w:p>
    <w:p w14:paraId="1F9D0203" w14:textId="77777777" w:rsidR="008E7846" w:rsidRDefault="008E7846" w:rsidP="008E7846">
      <w:pPr>
        <w:pStyle w:val="Heading4"/>
      </w:pPr>
      <w:r>
        <w:t>Advisory Committee Considerations</w:t>
      </w:r>
      <w:r w:rsidR="00456765">
        <w:rPr>
          <w:rStyle w:val="FootnoteReference"/>
        </w:rPr>
        <w:footnoteReference w:id="8"/>
      </w:r>
    </w:p>
    <w:p w14:paraId="6562FEAF" w14:textId="77777777" w:rsidR="008E7846" w:rsidRDefault="00456765" w:rsidP="008E7846">
      <w:pPr>
        <w:rPr>
          <w:bCs/>
        </w:rPr>
      </w:pPr>
      <w:r w:rsidRPr="00456765">
        <w:rPr>
          <w:bCs/>
        </w:rPr>
        <w:t>The Advisory Committee on Medicines (ACM), having considered the evaluations and the Delegate’s overview, as well as the sponsor’s response to these documents, advised the foll</w:t>
      </w:r>
      <w:r w:rsidR="00B31A51">
        <w:rPr>
          <w:bCs/>
        </w:rPr>
        <w:t>owing.</w:t>
      </w:r>
    </w:p>
    <w:p w14:paraId="21D1785C" w14:textId="77777777" w:rsidR="00B31A51" w:rsidRPr="00B31A51" w:rsidRDefault="00B31A51" w:rsidP="00B31A51">
      <w:pPr>
        <w:rPr>
          <w:bCs/>
        </w:rPr>
      </w:pPr>
      <w:r w:rsidRPr="00B31A51">
        <w:rPr>
          <w:bCs/>
        </w:rPr>
        <w:t xml:space="preserve">The ACM considered the referral for advice from the Delegate in relation to the application to register </w:t>
      </w:r>
      <w:proofErr w:type="spellStart"/>
      <w:r w:rsidRPr="00B31A51">
        <w:rPr>
          <w:bCs/>
        </w:rPr>
        <w:t>ArTiMist</w:t>
      </w:r>
      <w:proofErr w:type="spellEnd"/>
      <w:r w:rsidRPr="00B31A51">
        <w:rPr>
          <w:bCs/>
        </w:rPr>
        <w:t xml:space="preserve"> 6, in the form of 6 mg per actuation sublingual spray (60 mg/mL solution of artemether).</w:t>
      </w:r>
    </w:p>
    <w:p w14:paraId="7C0333C4" w14:textId="69B80AAD" w:rsidR="00B31A51" w:rsidRPr="00B31A51" w:rsidRDefault="00B31A51" w:rsidP="00B31A51">
      <w:pPr>
        <w:rPr>
          <w:bCs/>
        </w:rPr>
      </w:pPr>
      <w:r w:rsidRPr="00B31A51">
        <w:rPr>
          <w:bCs/>
        </w:rPr>
        <w:t xml:space="preserve">The ACM </w:t>
      </w:r>
      <w:r w:rsidR="00EB6078">
        <w:rPr>
          <w:bCs/>
        </w:rPr>
        <w:t>agreed</w:t>
      </w:r>
      <w:r w:rsidR="004A726A">
        <w:rPr>
          <w:bCs/>
        </w:rPr>
        <w:t xml:space="preserve"> </w:t>
      </w:r>
      <w:r w:rsidRPr="00B31A51">
        <w:rPr>
          <w:bCs/>
        </w:rPr>
        <w:t xml:space="preserve">that </w:t>
      </w:r>
      <w:proofErr w:type="spellStart"/>
      <w:r w:rsidRPr="00B31A51">
        <w:rPr>
          <w:bCs/>
        </w:rPr>
        <w:t>ArTiMist</w:t>
      </w:r>
      <w:proofErr w:type="spellEnd"/>
      <w:r w:rsidRPr="00B31A51">
        <w:rPr>
          <w:bCs/>
        </w:rPr>
        <w:t xml:space="preserve"> 6 had an overall negative benefit-risk profile for the proposed indication:</w:t>
      </w:r>
    </w:p>
    <w:p w14:paraId="21E5D7F2" w14:textId="2A6F76B3" w:rsidR="00B31A51" w:rsidRPr="008D5FEF" w:rsidRDefault="00B31A51" w:rsidP="008D5FEF">
      <w:pPr>
        <w:ind w:left="720"/>
        <w:rPr>
          <w:bCs/>
          <w:i/>
        </w:rPr>
      </w:pPr>
      <w:proofErr w:type="spellStart"/>
      <w:r w:rsidRPr="008D5FEF">
        <w:rPr>
          <w:bCs/>
          <w:i/>
        </w:rPr>
        <w:t>ArTiMist</w:t>
      </w:r>
      <w:proofErr w:type="spellEnd"/>
      <w:r w:rsidRPr="008D5FEF">
        <w:rPr>
          <w:bCs/>
          <w:i/>
        </w:rPr>
        <w:t xml:space="preserve"> 6 is indicated for the initial treatment of severe falciparum malaria in children weighing between 5 and 15</w:t>
      </w:r>
      <w:r w:rsidR="008D5FEF">
        <w:rPr>
          <w:bCs/>
          <w:i/>
        </w:rPr>
        <w:t xml:space="preserve"> </w:t>
      </w:r>
      <w:r w:rsidRPr="008D5FEF">
        <w:rPr>
          <w:bCs/>
          <w:i/>
        </w:rPr>
        <w:t xml:space="preserve">kg. </w:t>
      </w:r>
      <w:proofErr w:type="spellStart"/>
      <w:r w:rsidRPr="008D5FEF">
        <w:rPr>
          <w:bCs/>
          <w:i/>
        </w:rPr>
        <w:t>ArTiMist</w:t>
      </w:r>
      <w:proofErr w:type="spellEnd"/>
      <w:r w:rsidRPr="008D5FEF">
        <w:rPr>
          <w:bCs/>
          <w:i/>
        </w:rPr>
        <w:t xml:space="preserve"> 6 should only be used when therapy with parenteral artesunate is not available.</w:t>
      </w:r>
    </w:p>
    <w:p w14:paraId="099A2E91" w14:textId="517CF7A1" w:rsidR="00B31A51" w:rsidRPr="008D5FEF" w:rsidRDefault="00B31A51" w:rsidP="008D5FEF">
      <w:pPr>
        <w:ind w:left="720"/>
        <w:rPr>
          <w:bCs/>
          <w:i/>
        </w:rPr>
      </w:pPr>
      <w:proofErr w:type="spellStart"/>
      <w:r w:rsidRPr="008D5FEF">
        <w:rPr>
          <w:bCs/>
          <w:i/>
        </w:rPr>
        <w:t>ArTiMist</w:t>
      </w:r>
      <w:proofErr w:type="spellEnd"/>
      <w:r w:rsidRPr="008D5FEF">
        <w:rPr>
          <w:bCs/>
          <w:i/>
        </w:rPr>
        <w:t xml:space="preserve"> 6 is also indicated for the initial treatment of children weighing between 5 and 15kg with uncomplicated falciparum malaria who cannot tolerate or reliably </w:t>
      </w:r>
      <w:r w:rsidRPr="008D5FEF">
        <w:rPr>
          <w:bCs/>
          <w:i/>
        </w:rPr>
        <w:lastRenderedPageBreak/>
        <w:t xml:space="preserve">take oral medication due to gastrointestinal complications such as vomiting or diarrhoea (Refer </w:t>
      </w:r>
      <w:r w:rsidR="001D1FF3" w:rsidRPr="008D5FEF">
        <w:rPr>
          <w:bCs/>
          <w:i/>
        </w:rPr>
        <w:t>Precautions</w:t>
      </w:r>
      <w:r w:rsidRPr="008D5FEF">
        <w:rPr>
          <w:bCs/>
          <w:i/>
        </w:rPr>
        <w:t xml:space="preserve"> and </w:t>
      </w:r>
      <w:r w:rsidR="001D1FF3" w:rsidRPr="008D5FEF">
        <w:rPr>
          <w:bCs/>
          <w:i/>
        </w:rPr>
        <w:t>Contraindications</w:t>
      </w:r>
      <w:r w:rsidRPr="008D5FEF">
        <w:rPr>
          <w:bCs/>
          <w:i/>
        </w:rPr>
        <w:t>).</w:t>
      </w:r>
    </w:p>
    <w:p w14:paraId="7AF9275F" w14:textId="49905FD4" w:rsidR="00B31A51" w:rsidRPr="008D5FEF" w:rsidRDefault="00B31A51" w:rsidP="008D5FEF">
      <w:pPr>
        <w:ind w:left="720"/>
        <w:rPr>
          <w:bCs/>
          <w:i/>
        </w:rPr>
      </w:pPr>
      <w:r w:rsidRPr="008D5FEF">
        <w:rPr>
          <w:bCs/>
          <w:i/>
        </w:rPr>
        <w:t xml:space="preserve">Patients started on </w:t>
      </w:r>
      <w:proofErr w:type="spellStart"/>
      <w:r w:rsidRPr="008D5FEF">
        <w:rPr>
          <w:bCs/>
          <w:i/>
        </w:rPr>
        <w:t>ArTiMist</w:t>
      </w:r>
      <w:proofErr w:type="spellEnd"/>
      <w:r w:rsidRPr="008D5FEF">
        <w:rPr>
          <w:bCs/>
          <w:i/>
        </w:rPr>
        <w:t xml:space="preserve"> 6 should receive at least 24 hours treatment (2 doses) and stop as soon as possible thereafter once they are normal per </w:t>
      </w:r>
      <w:proofErr w:type="spellStart"/>
      <w:r w:rsidRPr="008D5FEF">
        <w:rPr>
          <w:bCs/>
          <w:i/>
        </w:rPr>
        <w:t>os</w:t>
      </w:r>
      <w:proofErr w:type="spellEnd"/>
      <w:r w:rsidRPr="008D5FEF">
        <w:rPr>
          <w:bCs/>
          <w:i/>
        </w:rPr>
        <w:t xml:space="preserve">, and a complete course of </w:t>
      </w:r>
      <w:proofErr w:type="gramStart"/>
      <w:r w:rsidRPr="008D5FEF">
        <w:rPr>
          <w:bCs/>
          <w:i/>
        </w:rPr>
        <w:t>artemisinin based</w:t>
      </w:r>
      <w:proofErr w:type="gramEnd"/>
      <w:r w:rsidRPr="008D5FEF">
        <w:rPr>
          <w:bCs/>
          <w:i/>
        </w:rPr>
        <w:t xml:space="preserve"> combination therapy should be provided (</w:t>
      </w:r>
      <w:r w:rsidR="008D5FEF" w:rsidRPr="008D5FEF">
        <w:rPr>
          <w:bCs/>
          <w:i/>
        </w:rPr>
        <w:t xml:space="preserve">see </w:t>
      </w:r>
      <w:r w:rsidR="001D1FF3" w:rsidRPr="008D5FEF">
        <w:rPr>
          <w:bCs/>
          <w:i/>
        </w:rPr>
        <w:t>Dosage And Administration</w:t>
      </w:r>
      <w:r w:rsidR="008D5FEF" w:rsidRPr="008D5FEF">
        <w:rPr>
          <w:bCs/>
          <w:i/>
        </w:rPr>
        <w:t>).</w:t>
      </w:r>
    </w:p>
    <w:p w14:paraId="43685847" w14:textId="77777777" w:rsidR="00B31A51" w:rsidRPr="00B31A51" w:rsidRDefault="00B31A51" w:rsidP="00B31A51">
      <w:pPr>
        <w:rPr>
          <w:bCs/>
        </w:rPr>
      </w:pPr>
      <w:r w:rsidRPr="00B31A51">
        <w:rPr>
          <w:bCs/>
        </w:rPr>
        <w:t>In providing this advice the ACM:</w:t>
      </w:r>
    </w:p>
    <w:p w14:paraId="150F83DF" w14:textId="728B4669" w:rsidR="00B31A51" w:rsidRPr="00B31A51" w:rsidRDefault="008D5FEF" w:rsidP="008D5FEF">
      <w:pPr>
        <w:pStyle w:val="ListBullet"/>
      </w:pPr>
      <w:r>
        <w:t>Noted that the s</w:t>
      </w:r>
      <w:r w:rsidR="00B31A51" w:rsidRPr="00B31A51">
        <w:t xml:space="preserve">ponsor does not intend to market </w:t>
      </w:r>
      <w:proofErr w:type="spellStart"/>
      <w:r w:rsidR="00B31A51" w:rsidRPr="00B31A51">
        <w:t>ArTiMist</w:t>
      </w:r>
      <w:proofErr w:type="spellEnd"/>
      <w:r w:rsidR="00B31A51" w:rsidRPr="00B31A51">
        <w:t xml:space="preserve"> 6 in Australia but is seeking prequalification from a stringent regulatory authority </w:t>
      </w:r>
      <w:proofErr w:type="gramStart"/>
      <w:r w:rsidR="00B31A51" w:rsidRPr="00B31A51">
        <w:t>in order to</w:t>
      </w:r>
      <w:proofErr w:type="gramEnd"/>
      <w:r w:rsidR="00B31A51" w:rsidRPr="00B31A51">
        <w:t xml:space="preserve"> register the proposed product for the treatment of malaria in malaria-endemic countries (for example, G</w:t>
      </w:r>
      <w:r>
        <w:t>hana, Ethiopia and Kenya</w:t>
      </w:r>
      <w:r w:rsidR="00B51FE3">
        <w:t>). The s</w:t>
      </w:r>
      <w:r w:rsidR="00B31A51" w:rsidRPr="00B31A51">
        <w:t xml:space="preserve">ponsor would like </w:t>
      </w:r>
      <w:proofErr w:type="spellStart"/>
      <w:r w:rsidR="00B31A51" w:rsidRPr="00B31A51">
        <w:t>ArTiMist</w:t>
      </w:r>
      <w:proofErr w:type="spellEnd"/>
      <w:r w:rsidR="00B31A51" w:rsidRPr="00B31A51">
        <w:t xml:space="preserve"> 6 to be adopted onto the </w:t>
      </w:r>
      <w:r>
        <w:t>WHO</w:t>
      </w:r>
      <w:r w:rsidR="00B31A51" w:rsidRPr="00B31A51">
        <w:t xml:space="preserve"> Guidelines for the Treatment of Malaria.</w:t>
      </w:r>
    </w:p>
    <w:p w14:paraId="0F42C0F4" w14:textId="75F8F55A" w:rsidR="00B31A51" w:rsidRPr="00B31A51" w:rsidRDefault="008D5FEF" w:rsidP="008D5FEF">
      <w:pPr>
        <w:pStyle w:val="ListBullet"/>
      </w:pPr>
      <w:r>
        <w:t>N</w:t>
      </w:r>
      <w:r w:rsidR="00B31A51" w:rsidRPr="00B31A51">
        <w:t>oted that no similar applications have been approved or are planned in any other countries.</w:t>
      </w:r>
    </w:p>
    <w:p w14:paraId="0EF11A4C" w14:textId="295C24BE" w:rsidR="00B31A51" w:rsidRPr="00B31A51" w:rsidRDefault="008D5FEF" w:rsidP="008D5FEF">
      <w:pPr>
        <w:pStyle w:val="ListBullet"/>
      </w:pPr>
      <w:r>
        <w:t>N</w:t>
      </w:r>
      <w:r w:rsidR="00B31A51" w:rsidRPr="00B31A51">
        <w:t>oted that the WHO does not recommend oral artemisinin monotherapy in the treatment of malaria due to the risk of potentiating treatment resistance.</w:t>
      </w:r>
    </w:p>
    <w:p w14:paraId="528A9E4A" w14:textId="037B612E" w:rsidR="00B31A51" w:rsidRPr="00B31A51" w:rsidRDefault="008D5FEF" w:rsidP="008D5FEF">
      <w:pPr>
        <w:pStyle w:val="ListBullet"/>
      </w:pPr>
      <w:r>
        <w:t>N</w:t>
      </w:r>
      <w:r w:rsidR="00B31A51" w:rsidRPr="00B31A51">
        <w:t>oted that there are currently intramuscular and rectal artemisinin-based formulations available in Africa for pre-referral treatment of falciparum malaria and that the rectal formulations have proven efficacy and safety in young children and their use when intravenous or intramuscular artesunate cannot be given is supported by the WHO.</w:t>
      </w:r>
    </w:p>
    <w:p w14:paraId="2AE75E11" w14:textId="78FCC63A" w:rsidR="00B31A51" w:rsidRPr="00B31A51" w:rsidRDefault="008D5FEF" w:rsidP="008D5FEF">
      <w:pPr>
        <w:pStyle w:val="ListBullet"/>
      </w:pPr>
      <w:r>
        <w:t>E</w:t>
      </w:r>
      <w:r w:rsidR="00B31A51" w:rsidRPr="00D0757D">
        <w:t>xpressed concern that the stability of the proposed product was not tested at higher temperatures comparable to African temperature zones.</w:t>
      </w:r>
    </w:p>
    <w:p w14:paraId="09107C35" w14:textId="3BE600CF" w:rsidR="00B31A51" w:rsidRDefault="008D5FEF" w:rsidP="008D5FEF">
      <w:pPr>
        <w:pStyle w:val="ListBullet"/>
      </w:pPr>
      <w:r>
        <w:t>W</w:t>
      </w:r>
      <w:r w:rsidR="00B31A51" w:rsidRPr="00B31A51">
        <w:t xml:space="preserve">as of the view that there was insufficient evidence to establish efficacy and safety of </w:t>
      </w:r>
      <w:proofErr w:type="spellStart"/>
      <w:r w:rsidR="00B31A51" w:rsidRPr="00B31A51">
        <w:t>ArTiMist</w:t>
      </w:r>
      <w:proofErr w:type="spellEnd"/>
      <w:r w:rsidR="00B31A51" w:rsidRPr="00B31A51">
        <w:t xml:space="preserve"> 6 and that the potential benefit of a new dosage form did not outweigh the significant risks associated with development of resistance from monotherapy.</w:t>
      </w:r>
    </w:p>
    <w:p w14:paraId="5879C269" w14:textId="4D1E23F7" w:rsidR="00B31A51" w:rsidRDefault="00CC244C" w:rsidP="00CC244C">
      <w:pPr>
        <w:pStyle w:val="Heading5"/>
      </w:pPr>
      <w:r>
        <w:t>Specific Advice</w:t>
      </w:r>
    </w:p>
    <w:p w14:paraId="52242915" w14:textId="5E5C6EC8" w:rsidR="00B31A51" w:rsidRDefault="00B31A51" w:rsidP="00CC244C">
      <w:r>
        <w:t>The ACM advised the following in response to the Delegate</w:t>
      </w:r>
      <w:r w:rsidR="00CC244C">
        <w:t>’s specific request for advice.</w:t>
      </w:r>
    </w:p>
    <w:p w14:paraId="1B1AB71C" w14:textId="7759C572" w:rsidR="00B31A51" w:rsidRPr="00CC244C" w:rsidRDefault="00B31A51" w:rsidP="00CC244C">
      <w:pPr>
        <w:pStyle w:val="Numberbullet0"/>
        <w:numPr>
          <w:ilvl w:val="0"/>
          <w:numId w:val="30"/>
        </w:numPr>
        <w:rPr>
          <w:b/>
          <w:i/>
        </w:rPr>
      </w:pPr>
      <w:r w:rsidRPr="00CC244C">
        <w:rPr>
          <w:b/>
          <w:i/>
        </w:rPr>
        <w:t xml:space="preserve">Does ACM consider there is a potential role for this sublingual monotherapy product for initial treatment of severe falciparum malaria in young children in endemic countries, given </w:t>
      </w:r>
      <w:proofErr w:type="spellStart"/>
      <w:r w:rsidRPr="00CC244C">
        <w:rPr>
          <w:b/>
          <w:i/>
        </w:rPr>
        <w:t>ArTiMist</w:t>
      </w:r>
      <w:proofErr w:type="spellEnd"/>
      <w:r w:rsidRPr="00CC244C">
        <w:rPr>
          <w:b/>
          <w:i/>
        </w:rPr>
        <w:t xml:space="preserve"> 6 should only be used when therapy with parenteral artesunate is not available? The </w:t>
      </w:r>
      <w:r w:rsidR="00CC244C">
        <w:rPr>
          <w:b/>
          <w:i/>
        </w:rPr>
        <w:t>clinical evaluation report</w:t>
      </w:r>
      <w:r w:rsidRPr="00CC244C">
        <w:rPr>
          <w:b/>
          <w:i/>
        </w:rPr>
        <w:t xml:space="preserve"> considers that this sublingual treatment could be given by non-medical </w:t>
      </w:r>
      <w:r w:rsidR="00CC244C">
        <w:rPr>
          <w:b/>
          <w:i/>
        </w:rPr>
        <w:t>personnel. The s</w:t>
      </w:r>
      <w:r w:rsidRPr="00CC244C">
        <w:rPr>
          <w:b/>
          <w:i/>
        </w:rPr>
        <w:t>ponsor has committed to an educational program to ensure the product remains within the health care system and do</w:t>
      </w:r>
      <w:r w:rsidR="00CC244C" w:rsidRPr="00CC244C">
        <w:rPr>
          <w:b/>
          <w:i/>
        </w:rPr>
        <w:t>es not reach the public domain.</w:t>
      </w:r>
    </w:p>
    <w:p w14:paraId="6AEF5F72" w14:textId="0B611667" w:rsidR="00B31A51" w:rsidRDefault="00B31A51" w:rsidP="00CC244C">
      <w:r>
        <w:t xml:space="preserve">The ACM noted that the WHO recommendations for pre-referral treatment of severe malaria, in descending order of preference, are: </w:t>
      </w:r>
      <w:r w:rsidR="00CC244C">
        <w:t>IV</w:t>
      </w:r>
      <w:r>
        <w:t xml:space="preserve"> artesunate &gt; </w:t>
      </w:r>
      <w:r w:rsidR="00CC244C">
        <w:t>IM</w:t>
      </w:r>
      <w:r>
        <w:t xml:space="preserve"> artesunate &gt; rectal artesunate &gt; </w:t>
      </w:r>
      <w:r w:rsidR="00CC244C">
        <w:t>I</w:t>
      </w:r>
      <w:r w:rsidR="00B51FE3">
        <w:t>M</w:t>
      </w:r>
      <w:r>
        <w:t xml:space="preserve"> artemether &gt; </w:t>
      </w:r>
      <w:r w:rsidR="00CC244C">
        <w:t>IM</w:t>
      </w:r>
      <w:r>
        <w:t xml:space="preserve"> quinine. The patient should then be referred to an appropriate facility for further care and treatment with a lo</w:t>
      </w:r>
      <w:r w:rsidR="00CC244C">
        <w:t>nger acting antimalarial agent.</w:t>
      </w:r>
    </w:p>
    <w:p w14:paraId="7C2D940B" w14:textId="2B2EB71F" w:rsidR="00B31A51" w:rsidRDefault="00B31A51" w:rsidP="00CC244C">
      <w:r>
        <w:t>The ACM also noted that the WHO currently supports</w:t>
      </w:r>
      <w:r w:rsidR="00CC244C">
        <w:t xml:space="preserve"> the development of artemisinin</w:t>
      </w:r>
      <w:r w:rsidR="00CC244C">
        <w:noBreakHyphen/>
      </w:r>
      <w:r>
        <w:t xml:space="preserve">based combination therapies in preference of </w:t>
      </w:r>
      <w:r w:rsidR="00FC05D1">
        <w:t>artemisinin</w:t>
      </w:r>
      <w:r w:rsidR="00FC05D1" w:rsidDel="00FC05D1">
        <w:t xml:space="preserve"> </w:t>
      </w:r>
      <w:r>
        <w:t>-based monotherapies due to the risk of potentia</w:t>
      </w:r>
      <w:r w:rsidR="00CC244C">
        <w:t>ting development of resistance.</w:t>
      </w:r>
    </w:p>
    <w:p w14:paraId="7B955F1B" w14:textId="21445699" w:rsidR="00B31A51" w:rsidRDefault="00B31A51" w:rsidP="00CC244C">
      <w:r>
        <w:t xml:space="preserve">The role of the proposed product would be in remote rural areas that do not have access to parenteral artesunate and there is potentially a long delay before the patient could reach hospital. In such scenarios, a </w:t>
      </w:r>
      <w:r w:rsidR="00CC244C">
        <w:t>SL</w:t>
      </w:r>
      <w:r>
        <w:t xml:space="preserve"> spray may be easier to administer prior to transfer to a hospital and would provide rapid absorption and a higher </w:t>
      </w:r>
      <w:r w:rsidR="00CC244C">
        <w:t>bioavailability than oral tablets.</w:t>
      </w:r>
    </w:p>
    <w:p w14:paraId="2C6E8B6A" w14:textId="79213723" w:rsidR="00B31A51" w:rsidRDefault="00B31A51" w:rsidP="00CC244C">
      <w:r w:rsidRPr="004C00AF">
        <w:lastRenderedPageBreak/>
        <w:t>However, the ACM advised that a rectal dosage form of artesunate has been available for some years and is readily available in regions across Africa</w:t>
      </w:r>
      <w:r>
        <w:t xml:space="preserve">. Additionally, suppositories provide good absorption and are likely to be more stable than a </w:t>
      </w:r>
      <w:r w:rsidR="00CC244C">
        <w:t>SL</w:t>
      </w:r>
      <w:r>
        <w:t xml:space="preserve"> spray in relation to the higher temp</w:t>
      </w:r>
      <w:r w:rsidR="00CC244C">
        <w:t>eratures experienced in Africa.</w:t>
      </w:r>
    </w:p>
    <w:p w14:paraId="27E73E0C" w14:textId="5A5D34D9" w:rsidR="00B31A51" w:rsidRDefault="00B31A51" w:rsidP="00CC244C">
      <w:r>
        <w:t xml:space="preserve">The ACM was of the view that the potential role of a </w:t>
      </w:r>
      <w:r w:rsidR="00CC244C">
        <w:t>SL</w:t>
      </w:r>
      <w:r>
        <w:t xml:space="preserve"> artemether monotherapy is not supported by </w:t>
      </w:r>
      <w:r w:rsidR="00CC244C">
        <w:t>the current WHO recommendations/</w:t>
      </w:r>
      <w:r>
        <w:t>preference for combination therapy, especially given that there are already alternative effective treatment</w:t>
      </w:r>
      <w:r w:rsidR="00CC244C">
        <w:t>s available in African regions.</w:t>
      </w:r>
    </w:p>
    <w:p w14:paraId="6780BED1" w14:textId="79B69495" w:rsidR="00B31A51" w:rsidRPr="00CC244C" w:rsidRDefault="00B31A51" w:rsidP="00CC244C">
      <w:pPr>
        <w:pStyle w:val="Numberbullet0"/>
        <w:rPr>
          <w:b/>
          <w:i/>
        </w:rPr>
      </w:pPr>
      <w:r w:rsidRPr="00CC244C">
        <w:rPr>
          <w:b/>
          <w:i/>
        </w:rPr>
        <w:t>Has efficacy for the new product been adequately established in the on</w:t>
      </w:r>
      <w:r w:rsidR="00CC244C" w:rsidRPr="00CC244C">
        <w:rPr>
          <w:b/>
          <w:i/>
        </w:rPr>
        <w:t>e small pivotal clinical study?</w:t>
      </w:r>
    </w:p>
    <w:p w14:paraId="512533B6" w14:textId="11EB7CE1" w:rsidR="00B31A51" w:rsidRDefault="00B31A51" w:rsidP="00CC244C">
      <w:r>
        <w:t xml:space="preserve">Efficacy data for </w:t>
      </w:r>
      <w:proofErr w:type="spellStart"/>
      <w:r>
        <w:t>ArTiMist</w:t>
      </w:r>
      <w:proofErr w:type="spellEnd"/>
      <w:r>
        <w:t xml:space="preserve"> 6 was provided in the </w:t>
      </w:r>
      <w:r w:rsidR="00CC244C">
        <w:t>P</w:t>
      </w:r>
      <w:r>
        <w:t xml:space="preserve">hase </w:t>
      </w:r>
      <w:proofErr w:type="spellStart"/>
      <w:r>
        <w:t>IIa</w:t>
      </w:r>
      <w:proofErr w:type="spellEnd"/>
      <w:r>
        <w:t xml:space="preserve"> </w:t>
      </w:r>
      <w:r w:rsidR="001D1FF3">
        <w:t>S</w:t>
      </w:r>
      <w:r>
        <w:t>tudy</w:t>
      </w:r>
      <w:r w:rsidR="001D1FF3">
        <w:t xml:space="preserve"> ART003</w:t>
      </w:r>
      <w:r>
        <w:t xml:space="preserve"> and the pivotal efficacy </w:t>
      </w:r>
      <w:r w:rsidR="001D1FF3">
        <w:t>S</w:t>
      </w:r>
      <w:r>
        <w:t>tudy</w:t>
      </w:r>
      <w:r w:rsidR="001D1FF3">
        <w:t xml:space="preserve"> ART004</w:t>
      </w:r>
      <w:r w:rsidR="00CC244C">
        <w:t xml:space="preserve">. </w:t>
      </w:r>
      <w:r w:rsidR="001D1FF3">
        <w:t xml:space="preserve">Study </w:t>
      </w:r>
      <w:r w:rsidR="00CC244C">
        <w:t>ART004 was a P</w:t>
      </w:r>
      <w:r>
        <w:t xml:space="preserve">hase III, randomised, open label, superiority trial of </w:t>
      </w:r>
      <w:proofErr w:type="spellStart"/>
      <w:r>
        <w:t>ArTiMist</w:t>
      </w:r>
      <w:proofErr w:type="spellEnd"/>
      <w:r>
        <w:t xml:space="preserve"> 6 versus </w:t>
      </w:r>
      <w:r w:rsidR="00CC244C">
        <w:t>IV</w:t>
      </w:r>
      <w:r>
        <w:t xml:space="preserve"> quinine. The study was conducted in 151</w:t>
      </w:r>
      <w:r w:rsidR="001D1FF3">
        <w:t> </w:t>
      </w:r>
      <w:r>
        <w:t xml:space="preserve">children with severe or complicated falciparum malaria, or children with uncomplicated malaria with </w:t>
      </w:r>
      <w:r w:rsidR="00CC244C">
        <w:t>GI</w:t>
      </w:r>
      <w:r>
        <w:t xml:space="preserve"> complications. The small clinical trial program demonstrated efficacy of </w:t>
      </w:r>
      <w:r w:rsidR="00CC244C">
        <w:t>SL</w:t>
      </w:r>
      <w:r>
        <w:t xml:space="preserve"> artemether in line with </w:t>
      </w:r>
      <w:r w:rsidR="00CC244C">
        <w:t>IV quinine.</w:t>
      </w:r>
    </w:p>
    <w:p w14:paraId="1B3DBA84" w14:textId="66A59C35" w:rsidR="00B31A51" w:rsidRDefault="00B31A51" w:rsidP="00CC244C">
      <w:r>
        <w:t xml:space="preserve">The ACM was of the view that although artemether is an effective and widely used medication in adults and children, the population group for the single pivotal study was too small to sufficiently demonstrate the efficacy of </w:t>
      </w:r>
      <w:proofErr w:type="spellStart"/>
      <w:r>
        <w:t>ArTiMist</w:t>
      </w:r>
      <w:proofErr w:type="spellEnd"/>
      <w:r>
        <w:t xml:space="preserve"> 6. Additionally, the </w:t>
      </w:r>
      <w:r w:rsidR="001D1FF3">
        <w:t>Study </w:t>
      </w:r>
      <w:r>
        <w:t>ART004 design, investigator blinding and currency of data (the study was conducted between November 2010 and Septem</w:t>
      </w:r>
      <w:r w:rsidR="00CC244C">
        <w:t>ber 2012) also raised concerns.</w:t>
      </w:r>
    </w:p>
    <w:p w14:paraId="2A2914EC" w14:textId="698B3088" w:rsidR="00B31A51" w:rsidRPr="00CC244C" w:rsidRDefault="00B31A51" w:rsidP="00CC244C">
      <w:pPr>
        <w:pStyle w:val="Numberbullet0"/>
        <w:rPr>
          <w:b/>
          <w:i/>
        </w:rPr>
      </w:pPr>
      <w:r w:rsidRPr="00CC244C">
        <w:rPr>
          <w:b/>
          <w:i/>
        </w:rPr>
        <w:t>Has the safety of the product for the new product been adequately established given clinical study program</w:t>
      </w:r>
      <w:r w:rsidR="00CC244C" w:rsidRPr="00CC244C">
        <w:rPr>
          <w:b/>
          <w:i/>
        </w:rPr>
        <w:t xml:space="preserve"> has involved only 93 children?</w:t>
      </w:r>
    </w:p>
    <w:p w14:paraId="051479B4" w14:textId="77777777" w:rsidR="00B31A51" w:rsidRPr="00B31A51" w:rsidRDefault="00B31A51" w:rsidP="00CC244C">
      <w:r w:rsidRPr="00B31A51">
        <w:t>The ACM noted that there are no safety signals related to the use of artemether and that there is a very large database of literature in favour of its use.</w:t>
      </w:r>
    </w:p>
    <w:p w14:paraId="7D8DAB4E" w14:textId="5C9BE210" w:rsidR="00B31A51" w:rsidRPr="00B31A51" w:rsidRDefault="00B31A51" w:rsidP="00CC244C">
      <w:r w:rsidRPr="00B31A51">
        <w:t xml:space="preserve">However, the ACM also noted that limited safety information on </w:t>
      </w:r>
      <w:proofErr w:type="spellStart"/>
      <w:r w:rsidR="00CC244C">
        <w:t>ArTiMist</w:t>
      </w:r>
      <w:proofErr w:type="spellEnd"/>
      <w:r w:rsidR="00CC244C">
        <w:t xml:space="preserve"> 6 was provided by the s</w:t>
      </w:r>
      <w:r w:rsidRPr="00B31A51">
        <w:t xml:space="preserve">ponsor and no safety pharmacology studies were submitted. Although the clinical trial program for </w:t>
      </w:r>
      <w:proofErr w:type="spellStart"/>
      <w:r w:rsidRPr="00B31A51">
        <w:t>ArTiMist</w:t>
      </w:r>
      <w:proofErr w:type="spellEnd"/>
      <w:r w:rsidRPr="00B31A51">
        <w:t xml:space="preserve"> 6 demonstrated safety in a small population, the population size </w:t>
      </w:r>
      <w:proofErr w:type="gramStart"/>
      <w:r w:rsidRPr="00B31A51">
        <w:t>was considered to be</w:t>
      </w:r>
      <w:proofErr w:type="gramEnd"/>
      <w:r w:rsidRPr="00B31A51">
        <w:t xml:space="preserve"> too small to be representative.</w:t>
      </w:r>
    </w:p>
    <w:p w14:paraId="3EF1C307" w14:textId="77777777" w:rsidR="00B31A51" w:rsidRPr="00B31A51" w:rsidRDefault="00B31A51" w:rsidP="00CC244C">
      <w:r w:rsidRPr="00B31A51">
        <w:t xml:space="preserve">The ACM was of the view that there was insufficient data to adequately establish the safety of </w:t>
      </w:r>
      <w:proofErr w:type="spellStart"/>
      <w:r w:rsidRPr="00B31A51">
        <w:t>ArTiMist</w:t>
      </w:r>
      <w:proofErr w:type="spellEnd"/>
      <w:r w:rsidRPr="00B31A51">
        <w:t xml:space="preserve"> 6.</w:t>
      </w:r>
    </w:p>
    <w:p w14:paraId="5BD3A867" w14:textId="50B9CF0F" w:rsidR="00B31A51" w:rsidRPr="00CC244C" w:rsidRDefault="001D1FF3" w:rsidP="00CC244C">
      <w:pPr>
        <w:pStyle w:val="Numberbullet0"/>
        <w:rPr>
          <w:b/>
          <w:i/>
        </w:rPr>
      </w:pPr>
      <w:r w:rsidRPr="00CC244C">
        <w:rPr>
          <w:b/>
          <w:i/>
        </w:rPr>
        <w:t>Ha</w:t>
      </w:r>
      <w:r>
        <w:rPr>
          <w:b/>
          <w:i/>
        </w:rPr>
        <w:t>s the</w:t>
      </w:r>
      <w:r w:rsidRPr="00CC244C">
        <w:rPr>
          <w:b/>
          <w:i/>
        </w:rPr>
        <w:t xml:space="preserve"> </w:t>
      </w:r>
      <w:r w:rsidR="00B31A51" w:rsidRPr="00CC244C">
        <w:rPr>
          <w:b/>
          <w:i/>
        </w:rPr>
        <w:t xml:space="preserve">risk of potentiation of resistance associated with this monotherapy product been adequately addressed by changes to draft </w:t>
      </w:r>
      <w:r w:rsidR="00CC244C">
        <w:rPr>
          <w:b/>
          <w:i/>
        </w:rPr>
        <w:t>PI</w:t>
      </w:r>
      <w:r w:rsidR="00B31A51" w:rsidRPr="00CC244C">
        <w:rPr>
          <w:b/>
          <w:i/>
        </w:rPr>
        <w:t xml:space="preserve"> and CMI, and the sponsor’s commitments to provide an educational program for health care providers and to work</w:t>
      </w:r>
      <w:r w:rsidR="00CC244C" w:rsidRPr="00CC244C">
        <w:rPr>
          <w:b/>
          <w:i/>
        </w:rPr>
        <w:t xml:space="preserve"> with WHO to minimise this risk</w:t>
      </w:r>
      <w:r w:rsidR="00B31A51" w:rsidRPr="00CC244C">
        <w:rPr>
          <w:b/>
          <w:i/>
        </w:rPr>
        <w:t>?</w:t>
      </w:r>
    </w:p>
    <w:p w14:paraId="61F04E7C" w14:textId="4895FAED" w:rsidR="00B31A51" w:rsidRPr="00B31A51" w:rsidRDefault="00CC244C" w:rsidP="00CC244C">
      <w:r>
        <w:t xml:space="preserve">The ACM advised that </w:t>
      </w:r>
      <w:r w:rsidRPr="00CC244C">
        <w:rPr>
          <w:i/>
        </w:rPr>
        <w:t>P.</w:t>
      </w:r>
      <w:r w:rsidR="00B31A51" w:rsidRPr="00CC244C">
        <w:rPr>
          <w:i/>
        </w:rPr>
        <w:t xml:space="preserve"> falciparum</w:t>
      </w:r>
      <w:r w:rsidR="00B31A51" w:rsidRPr="00B31A51">
        <w:t xml:space="preserve"> readily develops resistance to artemisinin monotherapy and resistant strains have been found in parts of South-East Asia. Resistance is slower to develop after the use of artemisinin-based combination therapies (compared to monotherapy).</w:t>
      </w:r>
    </w:p>
    <w:p w14:paraId="5AFFC76F" w14:textId="77777777" w:rsidR="00B31A51" w:rsidRPr="00B31A51" w:rsidRDefault="00B31A51" w:rsidP="00CC244C">
      <w:r w:rsidRPr="00B31A51">
        <w:t>The WHO recommends use of artemisinin-based combination therapies as development of artemisinin resistance could be potentiated by artemisinin monotherapy. The Worldwide Antimalaria Resistance Network states that a major focus for containing resistance is the cessation of artemisinin-based monotherapy. The WHO Global Malaria Programme has a project in place to phase out the use of oral artemisinin-based monotherapy medicines from the market to limit the emergence and spread of artemisinin-resistance.</w:t>
      </w:r>
    </w:p>
    <w:p w14:paraId="2192C5BE" w14:textId="77777777" w:rsidR="00B31A51" w:rsidRPr="00B31A51" w:rsidRDefault="00B31A51" w:rsidP="00CC244C">
      <w:r w:rsidRPr="00B31A51">
        <w:t xml:space="preserve">Although reasonable measures have been proposed to mitigate the risk of resistance from </w:t>
      </w:r>
      <w:proofErr w:type="spellStart"/>
      <w:r w:rsidRPr="00B31A51">
        <w:t>ArTiMist</w:t>
      </w:r>
      <w:proofErr w:type="spellEnd"/>
      <w:r w:rsidRPr="00B31A51">
        <w:t xml:space="preserve"> 6, the risk remains real as the potential for misuse of the monotherapy in malaria-endemic countries cannot be assessed.</w:t>
      </w:r>
    </w:p>
    <w:p w14:paraId="16B8CA64" w14:textId="77777777" w:rsidR="00B31A51" w:rsidRDefault="00B31A51" w:rsidP="00CC244C">
      <w:r w:rsidRPr="00B31A51">
        <w:lastRenderedPageBreak/>
        <w:t>The ACM was of the view that it was unnecessary to discuss the PI or CMI given the overall negative risk-benefit profile for the proposed product.</w:t>
      </w:r>
    </w:p>
    <w:p w14:paraId="4A3912ED" w14:textId="77777777" w:rsidR="008E7846" w:rsidRPr="002E238E" w:rsidRDefault="008E7846" w:rsidP="008E7846">
      <w:pPr>
        <w:pStyle w:val="Heading3"/>
      </w:pPr>
      <w:bookmarkStart w:id="46" w:name="_Toc247691532"/>
      <w:bookmarkStart w:id="47" w:name="_Toc314842516"/>
      <w:bookmarkStart w:id="48" w:name="_Toc120536561"/>
      <w:bookmarkEnd w:id="30"/>
      <w:bookmarkEnd w:id="44"/>
      <w:bookmarkEnd w:id="45"/>
      <w:r>
        <w:t>Outcome</w:t>
      </w:r>
      <w:bookmarkEnd w:id="46"/>
      <w:bookmarkEnd w:id="47"/>
      <w:bookmarkEnd w:id="48"/>
    </w:p>
    <w:p w14:paraId="0A97FB92" w14:textId="4522529E" w:rsidR="00456765" w:rsidRDefault="00456765" w:rsidP="00456765">
      <w:bookmarkStart w:id="49" w:name="_Toc247691533"/>
      <w:bookmarkStart w:id="50" w:name="_Toc314842517"/>
      <w:r w:rsidRPr="007B57C1">
        <w:t xml:space="preserve">Based on a review of quality, </w:t>
      </w:r>
      <w:proofErr w:type="gramStart"/>
      <w:r w:rsidRPr="007B57C1">
        <w:t>safety</w:t>
      </w:r>
      <w:proofErr w:type="gramEnd"/>
      <w:r w:rsidRPr="007B57C1">
        <w:t xml:space="preserve"> and efficacy, TGA rejected the registration of </w:t>
      </w:r>
      <w:proofErr w:type="spellStart"/>
      <w:r w:rsidR="005F61F8" w:rsidRPr="00E84F96">
        <w:t>ArTiMist</w:t>
      </w:r>
      <w:proofErr w:type="spellEnd"/>
      <w:r w:rsidR="001D1FF3">
        <w:t> </w:t>
      </w:r>
      <w:r w:rsidR="005F61F8" w:rsidRPr="00E84F96">
        <w:t>6 artemether 6.17 mg/actuation spray solution bottle</w:t>
      </w:r>
      <w:r w:rsidRPr="007B57C1">
        <w:t xml:space="preserve"> for the </w:t>
      </w:r>
      <w:r w:rsidR="005F61F8">
        <w:t>proposed therapeutic indication:</w:t>
      </w:r>
    </w:p>
    <w:p w14:paraId="039AD1FB" w14:textId="77777777" w:rsidR="00B31A51" w:rsidRPr="005F61F8" w:rsidRDefault="00B31A51" w:rsidP="005F61F8">
      <w:pPr>
        <w:ind w:left="720"/>
        <w:rPr>
          <w:i/>
        </w:rPr>
      </w:pPr>
      <w:proofErr w:type="spellStart"/>
      <w:r w:rsidRPr="005F61F8">
        <w:rPr>
          <w:i/>
        </w:rPr>
        <w:t>ArTiMist</w:t>
      </w:r>
      <w:proofErr w:type="spellEnd"/>
      <w:r w:rsidRPr="005F61F8">
        <w:rPr>
          <w:i/>
        </w:rPr>
        <w:t xml:space="preserve"> 6 is indicated for the initial treatment of severe falciparum malaria in children weighing between 5 and 15kg. </w:t>
      </w:r>
      <w:proofErr w:type="spellStart"/>
      <w:r w:rsidRPr="005F61F8">
        <w:rPr>
          <w:i/>
        </w:rPr>
        <w:t>ArTiMist</w:t>
      </w:r>
      <w:proofErr w:type="spellEnd"/>
      <w:r w:rsidRPr="005F61F8">
        <w:rPr>
          <w:i/>
        </w:rPr>
        <w:t xml:space="preserve"> 6 should only be used when therapy with parenteral artesunate is not available.</w:t>
      </w:r>
    </w:p>
    <w:p w14:paraId="657637AA" w14:textId="77777777" w:rsidR="00B31A51" w:rsidRPr="005F61F8" w:rsidRDefault="00B31A51" w:rsidP="005F61F8">
      <w:pPr>
        <w:ind w:left="720"/>
        <w:rPr>
          <w:i/>
        </w:rPr>
      </w:pPr>
      <w:proofErr w:type="spellStart"/>
      <w:r w:rsidRPr="005F61F8">
        <w:rPr>
          <w:i/>
        </w:rPr>
        <w:t>ArTiMist</w:t>
      </w:r>
      <w:proofErr w:type="spellEnd"/>
      <w:r w:rsidRPr="005F61F8">
        <w:rPr>
          <w:i/>
        </w:rPr>
        <w:t xml:space="preserve"> 6 is also indicated for the initial treatment of children weighing between 5 and 15kg with uncomplicated falciparum malaria who cannot tolerate or reliably take oral medication due to gastrointestinal complications such as vomiting or diarrhoea (Refer PRECAUTIONS and CONTRAINDICATIONS).</w:t>
      </w:r>
    </w:p>
    <w:p w14:paraId="0342586B" w14:textId="77777777" w:rsidR="00B31A51" w:rsidRPr="005F61F8" w:rsidRDefault="00B31A51" w:rsidP="005F61F8">
      <w:pPr>
        <w:ind w:left="720"/>
        <w:rPr>
          <w:i/>
        </w:rPr>
      </w:pPr>
      <w:r w:rsidRPr="005F61F8">
        <w:rPr>
          <w:i/>
        </w:rPr>
        <w:t xml:space="preserve">Patients started on </w:t>
      </w:r>
      <w:proofErr w:type="spellStart"/>
      <w:r w:rsidRPr="005F61F8">
        <w:rPr>
          <w:i/>
        </w:rPr>
        <w:t>ArTiMist</w:t>
      </w:r>
      <w:proofErr w:type="spellEnd"/>
      <w:r w:rsidRPr="005F61F8">
        <w:rPr>
          <w:i/>
        </w:rPr>
        <w:t xml:space="preserve"> 6 should receive at least 24 hours treatment (2 doses) and stop as soon as possible thereafter once they are normal per </w:t>
      </w:r>
      <w:proofErr w:type="spellStart"/>
      <w:r w:rsidRPr="005F61F8">
        <w:rPr>
          <w:i/>
        </w:rPr>
        <w:t>os</w:t>
      </w:r>
      <w:proofErr w:type="spellEnd"/>
      <w:r w:rsidRPr="005F61F8">
        <w:rPr>
          <w:i/>
        </w:rPr>
        <w:t xml:space="preserve">, and a complete course of </w:t>
      </w:r>
      <w:proofErr w:type="gramStart"/>
      <w:r w:rsidRPr="005F61F8">
        <w:rPr>
          <w:i/>
        </w:rPr>
        <w:t>artemisinin based</w:t>
      </w:r>
      <w:proofErr w:type="gramEnd"/>
      <w:r w:rsidRPr="005F61F8">
        <w:rPr>
          <w:i/>
        </w:rPr>
        <w:t xml:space="preserve"> combination therapy should be provided (see DOSAGE AND ADMINISTRATION).</w:t>
      </w:r>
    </w:p>
    <w:p w14:paraId="2346A450" w14:textId="77777777" w:rsidR="00AB3146" w:rsidRDefault="00AB3146" w:rsidP="00CC244C">
      <w:pPr>
        <w:pStyle w:val="Heading4"/>
      </w:pPr>
      <w:r>
        <w:t>Reasons for the decision</w:t>
      </w:r>
    </w:p>
    <w:p w14:paraId="681A67AE" w14:textId="124D103E" w:rsidR="005F61F8" w:rsidRDefault="005F61F8" w:rsidP="00CC244C">
      <w:r>
        <w:t xml:space="preserve">The Delegate has considered the opinion of the </w:t>
      </w:r>
      <w:proofErr w:type="gramStart"/>
      <w:r>
        <w:t>ACM, and</w:t>
      </w:r>
      <w:proofErr w:type="gramEnd"/>
      <w:r>
        <w:t xml:space="preserve"> has made a decision not to register </w:t>
      </w:r>
      <w:proofErr w:type="spellStart"/>
      <w:r>
        <w:t>ArTiMist</w:t>
      </w:r>
      <w:proofErr w:type="spellEnd"/>
      <w:r>
        <w:t xml:space="preserve"> 6 because clinical efficacy and safety of the proposed product have not been adequately established for the proposed indica</w:t>
      </w:r>
      <w:r w:rsidR="00CC244C">
        <w:t>tion.</w:t>
      </w:r>
    </w:p>
    <w:p w14:paraId="58086E27" w14:textId="43C3BC69" w:rsidR="005F61F8" w:rsidRDefault="00CC244C" w:rsidP="00CC244C">
      <w:r>
        <w:t>The single pivotal S</w:t>
      </w:r>
      <w:r w:rsidR="005F61F8">
        <w:t xml:space="preserve">tudy ART004 was too small to sufficiently demonstrate the efficacy of </w:t>
      </w:r>
      <w:proofErr w:type="spellStart"/>
      <w:r w:rsidR="005F61F8">
        <w:t>ArTiMist</w:t>
      </w:r>
      <w:proofErr w:type="spellEnd"/>
      <w:r w:rsidR="005F61F8">
        <w:t xml:space="preserve"> 6. Additionally, the </w:t>
      </w:r>
      <w:r w:rsidR="001D1FF3">
        <w:t xml:space="preserve">Study </w:t>
      </w:r>
      <w:r w:rsidR="005F61F8">
        <w:t>ART004 design, investigator blinding and currency of data (the study was conducted between November 2010 and September 2012) also raise concerns.</w:t>
      </w:r>
    </w:p>
    <w:p w14:paraId="5676B63E" w14:textId="77777777" w:rsidR="005F61F8" w:rsidRDefault="005F61F8" w:rsidP="00CC244C">
      <w:r>
        <w:t xml:space="preserve">Clinical studies with the proposed product involve only 93 paediatric patients with malaria and provide insufficient data to adequately establish the safety of </w:t>
      </w:r>
      <w:proofErr w:type="spellStart"/>
      <w:r>
        <w:t>ArTiMist</w:t>
      </w:r>
      <w:proofErr w:type="spellEnd"/>
      <w:r>
        <w:t xml:space="preserve"> 6.</w:t>
      </w:r>
    </w:p>
    <w:p w14:paraId="233A4DD4" w14:textId="74320615" w:rsidR="005F61F8" w:rsidRDefault="00CC244C" w:rsidP="00CC244C">
      <w:r>
        <w:t>The Delegate has</w:t>
      </w:r>
      <w:r w:rsidR="005F61F8">
        <w:t xml:space="preserve"> also taken into acco</w:t>
      </w:r>
      <w:r>
        <w:t xml:space="preserve">unt the potential for </w:t>
      </w:r>
      <w:r w:rsidRPr="00CC244C">
        <w:rPr>
          <w:i/>
        </w:rPr>
        <w:t>P.</w:t>
      </w:r>
      <w:r w:rsidR="005F61F8" w:rsidRPr="00CC244C">
        <w:rPr>
          <w:i/>
        </w:rPr>
        <w:t xml:space="preserve"> falciparum</w:t>
      </w:r>
      <w:r w:rsidR="005F61F8">
        <w:t xml:space="preserve"> resistance to artemisinin with an oral monotherapy product and the potential for misuse of the monotherapy in malaria-endemic countries cannot be assessed. The potential role of a </w:t>
      </w:r>
      <w:r>
        <w:t xml:space="preserve">SL </w:t>
      </w:r>
      <w:r w:rsidR="005F61F8">
        <w:t xml:space="preserve">artemether monotherapy is not supported by the current </w:t>
      </w:r>
      <w:r>
        <w:t>WHO recommendations</w:t>
      </w:r>
      <w:r w:rsidR="001D1FF3">
        <w:t> </w:t>
      </w:r>
      <w:r>
        <w:t>/</w:t>
      </w:r>
      <w:r w:rsidR="001D1FF3">
        <w:t xml:space="preserve"> </w:t>
      </w:r>
      <w:r w:rsidR="005F61F8">
        <w:t>preference for combination therapy, especially given that there are already alternative effective treatments available in African regions.</w:t>
      </w:r>
    </w:p>
    <w:p w14:paraId="0EC887AC" w14:textId="2FD07BE7" w:rsidR="005F61F8" w:rsidRDefault="00CC244C" w:rsidP="00CC244C">
      <w:r>
        <w:t>The Delegate has</w:t>
      </w:r>
      <w:r w:rsidR="005F61F8">
        <w:t xml:space="preserve"> decided there is an overall negative benefit-risk profile for </w:t>
      </w:r>
      <w:proofErr w:type="spellStart"/>
      <w:r w:rsidR="005F61F8">
        <w:t>ArTiMist</w:t>
      </w:r>
      <w:proofErr w:type="spellEnd"/>
      <w:r w:rsidR="005F61F8">
        <w:t xml:space="preserve"> 6.</w:t>
      </w:r>
    </w:p>
    <w:p w14:paraId="3E099A2A" w14:textId="77777777" w:rsidR="00D23139" w:rsidRDefault="00D23139" w:rsidP="00D23139">
      <w:pPr>
        <w:pStyle w:val="Heading4"/>
      </w:pPr>
      <w:proofErr w:type="gramStart"/>
      <w:r w:rsidRPr="00D23139">
        <w:t>Final outcome</w:t>
      </w:r>
      <w:proofErr w:type="gramEnd"/>
    </w:p>
    <w:p w14:paraId="7BD89F14" w14:textId="77777777" w:rsidR="00456765" w:rsidRDefault="00456765" w:rsidP="00CC244C">
      <w:r>
        <w:t xml:space="preserve">Following the initial decision described above, the sponsor sought a review under the provisions of Section 60 of the Therapeutics Goods Act. The Delegate of the Minister for the review noted that paragraph 25(1)(d) of the Therapeutic Goods Act, which requires the goods to be evaluated </w:t>
      </w:r>
      <w:proofErr w:type="gramStart"/>
      <w:r>
        <w:t>with regard to</w:t>
      </w:r>
      <w:proofErr w:type="gramEnd"/>
      <w:r>
        <w:t xml:space="preserve"> whether the quality, safety and efficacy of the goods for the purposes for which they are to be used have been satisfactorily established, is of particular relevance.</w:t>
      </w:r>
    </w:p>
    <w:p w14:paraId="405BADCA" w14:textId="7036F417" w:rsidR="005F61F8" w:rsidRDefault="00CC244C" w:rsidP="00CC244C">
      <w:r>
        <w:t>The Delegate</w:t>
      </w:r>
      <w:r w:rsidR="005F61F8">
        <w:t xml:space="preserve"> </w:t>
      </w:r>
      <w:r w:rsidR="000265EB">
        <w:t xml:space="preserve">of the Minister </w:t>
      </w:r>
      <w:r w:rsidR="005F61F8">
        <w:t xml:space="preserve">decided to confirm the initial decision on the basis that </w:t>
      </w:r>
      <w:r>
        <w:t>they are</w:t>
      </w:r>
      <w:r w:rsidR="005F61F8">
        <w:t xml:space="preserve"> not satisfied that safety and efficacy of the product have been satisfactorily established </w:t>
      </w:r>
      <w:r w:rsidR="005F61F8">
        <w:lastRenderedPageBreak/>
        <w:t>for the purpose for whi</w:t>
      </w:r>
      <w:r>
        <w:t>ch it is pr</w:t>
      </w:r>
      <w:r w:rsidR="000265EB">
        <w:t>oposed to be used. The Delegate of the Minister’</w:t>
      </w:r>
      <w:r>
        <w:t>s</w:t>
      </w:r>
      <w:r w:rsidR="005F61F8">
        <w:t xml:space="preserve"> reasons for that decision are as follows.</w:t>
      </w:r>
    </w:p>
    <w:p w14:paraId="1826EB0A" w14:textId="047F2100" w:rsidR="005F61F8" w:rsidRDefault="005F61F8" w:rsidP="00CC244C">
      <w:r>
        <w:t xml:space="preserve">The material in the submission was sufficient to demonstrate superiority of the product compared to </w:t>
      </w:r>
      <w:r w:rsidR="00CC244C">
        <w:t>IV</w:t>
      </w:r>
      <w:r>
        <w:t xml:space="preserve"> quinine, at the dose proposed, for the treatment of severe malaria or malaria where oral intake is compromised. Such treatment is now being actively discouraged by the WHO because monotherapy treatment with artemether promotes the development of resistance to artemisinin-based compounds. Should resistance develop in fut</w:t>
      </w:r>
      <w:r w:rsidR="00CC244C">
        <w:t xml:space="preserve">ure, the treatment of </w:t>
      </w:r>
      <w:r w:rsidR="00CC244C" w:rsidRPr="00CC244C">
        <w:rPr>
          <w:i/>
        </w:rPr>
        <w:t>P.</w:t>
      </w:r>
      <w:r w:rsidRPr="00CC244C">
        <w:rPr>
          <w:i/>
        </w:rPr>
        <w:t xml:space="preserve"> falciparum</w:t>
      </w:r>
      <w:r>
        <w:t xml:space="preserve"> malaria will be severely compromised.</w:t>
      </w:r>
    </w:p>
    <w:p w14:paraId="28138B24" w14:textId="4AFFD124" w:rsidR="005F61F8" w:rsidRDefault="00CC244C" w:rsidP="00CC244C">
      <w:r>
        <w:t xml:space="preserve">The </w:t>
      </w:r>
      <w:r w:rsidR="000265EB">
        <w:t>Delegate of the Minister</w:t>
      </w:r>
      <w:r w:rsidR="005F61F8">
        <w:t xml:space="preserve"> note</w:t>
      </w:r>
      <w:r>
        <w:t>s</w:t>
      </w:r>
      <w:r w:rsidR="005F61F8">
        <w:t xml:space="preserve"> the conclusion of the authors of a Cochrane review referred to by the </w:t>
      </w:r>
      <w:r>
        <w:t>sponsor</w:t>
      </w:r>
      <w:r w:rsidR="005F61F8">
        <w:t xml:space="preserve"> that evaluated the role for artemether in severe malaria.</w:t>
      </w:r>
      <w:r>
        <w:rPr>
          <w:rStyle w:val="FootnoteReference"/>
        </w:rPr>
        <w:footnoteReference w:id="9"/>
      </w:r>
      <w:r w:rsidR="00740C2E">
        <w:t xml:space="preserve"> The </w:t>
      </w:r>
      <w:r w:rsidR="000265EB">
        <w:t>Delegate of the Minister</w:t>
      </w:r>
      <w:r w:rsidR="005F61F8">
        <w:t xml:space="preserve"> agree</w:t>
      </w:r>
      <w:r w:rsidR="00740C2E">
        <w:t>s</w:t>
      </w:r>
      <w:r w:rsidR="005F61F8">
        <w:t xml:space="preserve"> with those authors in that artemether appears to be more effective than quinine in children (with severe malaria) and that artemether is acceptable when </w:t>
      </w:r>
      <w:proofErr w:type="spellStart"/>
      <w:r w:rsidR="005F61F8">
        <w:t>artensunate</w:t>
      </w:r>
      <w:proofErr w:type="spellEnd"/>
      <w:r w:rsidR="005F61F8">
        <w:t xml:space="preserve"> is not available. While this may be so, it is not consistent with current WHO malaria treatment guidelines. The </w:t>
      </w:r>
      <w:r w:rsidR="00740C2E">
        <w:t>sponsor</w:t>
      </w:r>
      <w:r w:rsidR="005F61F8">
        <w:t xml:space="preserve"> has contended that </w:t>
      </w:r>
      <w:r w:rsidR="00AB3146">
        <w:t xml:space="preserve">it is consistent with the third </w:t>
      </w:r>
      <w:r w:rsidR="005F61F8">
        <w:t>edition (2015) WHO treatment guidelines</w:t>
      </w:r>
      <w:r w:rsidR="00740C2E">
        <w:t>;</w:t>
      </w:r>
      <w:r w:rsidR="00740C2E">
        <w:fldChar w:fldCharType="begin"/>
      </w:r>
      <w:r w:rsidR="00740C2E">
        <w:instrText xml:space="preserve"> NOTEREF _Ref23430019 \f \h </w:instrText>
      </w:r>
      <w:r w:rsidR="00740C2E">
        <w:fldChar w:fldCharType="separate"/>
      </w:r>
      <w:r w:rsidR="00740C2E" w:rsidRPr="00740C2E">
        <w:rPr>
          <w:rStyle w:val="FootnoteReference"/>
        </w:rPr>
        <w:t>2</w:t>
      </w:r>
      <w:r w:rsidR="00740C2E">
        <w:fldChar w:fldCharType="end"/>
      </w:r>
      <w:r w:rsidR="005F61F8">
        <w:t xml:space="preserve"> however, those guidelines were referring only to the initial treatment stage where patients were not able to tolerate oral treatments. The initial treatment w</w:t>
      </w:r>
      <w:r w:rsidR="00740C2E">
        <w:t xml:space="preserve">as to be followed with an ACT. The </w:t>
      </w:r>
      <w:r w:rsidR="000265EB">
        <w:t>Delegate of the Minister</w:t>
      </w:r>
      <w:r w:rsidR="005F61F8">
        <w:t xml:space="preserve"> note</w:t>
      </w:r>
      <w:r w:rsidR="00740C2E">
        <w:t>s</w:t>
      </w:r>
      <w:r w:rsidR="005F61F8">
        <w:t xml:space="preserve"> that while some national guidelines may include use of monotherapy treatments for falciparum malaria, these guidelines have not taken into sufficient consideration the potential for the development of resistance of falciparum malaria to a monotherapy treatment, including monotherapy artemether.</w:t>
      </w:r>
    </w:p>
    <w:p w14:paraId="10CDB9E0" w14:textId="5D1850C4" w:rsidR="005F61F8" w:rsidRDefault="00740C2E" w:rsidP="00CC244C">
      <w:r>
        <w:t xml:space="preserve">The </w:t>
      </w:r>
      <w:r w:rsidR="000265EB">
        <w:t>Delegate of the Minister</w:t>
      </w:r>
      <w:r w:rsidR="005F61F8">
        <w:t xml:space="preserve"> also note</w:t>
      </w:r>
      <w:r>
        <w:t>s</w:t>
      </w:r>
      <w:r w:rsidR="005F61F8">
        <w:t xml:space="preserve"> that, consistent with the 2015 WHO guideline on the treatment of malaria,</w:t>
      </w:r>
      <w:r>
        <w:fldChar w:fldCharType="begin"/>
      </w:r>
      <w:r>
        <w:instrText xml:space="preserve"> NOTEREF _Ref23430019 \f \h </w:instrText>
      </w:r>
      <w:r>
        <w:fldChar w:fldCharType="separate"/>
      </w:r>
      <w:r w:rsidRPr="00740C2E">
        <w:rPr>
          <w:rStyle w:val="FootnoteReference"/>
        </w:rPr>
        <w:t>2</w:t>
      </w:r>
      <w:r>
        <w:fldChar w:fldCharType="end"/>
      </w:r>
      <w:r w:rsidR="005F61F8">
        <w:t xml:space="preserve"> that if artesunate is not available, artemether is recommended in preference to quinine for treating children and adu</w:t>
      </w:r>
      <w:r>
        <w:t xml:space="preserve">lts with severe malaria. While the </w:t>
      </w:r>
      <w:r w:rsidR="000265EB">
        <w:t>Delegate of the Minister</w:t>
      </w:r>
      <w:r w:rsidR="005F61F8">
        <w:t xml:space="preserve"> agree</w:t>
      </w:r>
      <w:r>
        <w:t>s</w:t>
      </w:r>
      <w:r w:rsidR="005F61F8">
        <w:t xml:space="preserve"> with this statement, the context was that it applied to the first 24 hours of treatment only and that it referred to parenteral therapy until patients can tolerate oral medication. It was to be followed with complete treatment with 3 days of ACT. That recommendation is not consistent with the proposed dose recommendations for </w:t>
      </w:r>
      <w:proofErr w:type="spellStart"/>
      <w:r w:rsidR="005F61F8">
        <w:t>ArTiMist</w:t>
      </w:r>
      <w:proofErr w:type="spellEnd"/>
      <w:r w:rsidR="005F61F8">
        <w:t xml:space="preserve"> 6, which allow for up to 4 days treatment for ch</w:t>
      </w:r>
      <w:r w:rsidR="00BB2B96">
        <w:t>ildren with a body weight of 15 </w:t>
      </w:r>
      <w:r w:rsidR="005F61F8">
        <w:t>kg and longer for children and infants with lower body weights.</w:t>
      </w:r>
    </w:p>
    <w:p w14:paraId="3F607907" w14:textId="10C2702B" w:rsidR="005F61F8" w:rsidRDefault="00740C2E" w:rsidP="00CC244C">
      <w:r>
        <w:t xml:space="preserve">The </w:t>
      </w:r>
      <w:r w:rsidR="000265EB">
        <w:t>Delegate of the Minister</w:t>
      </w:r>
      <w:r w:rsidR="005F61F8">
        <w:t xml:space="preserve"> note</w:t>
      </w:r>
      <w:r>
        <w:t>s t</w:t>
      </w:r>
      <w:r w:rsidR="00E7615F">
        <w:t xml:space="preserve">hat the </w:t>
      </w:r>
      <w:r>
        <w:t>Delegate</w:t>
      </w:r>
      <w:r w:rsidR="005F61F8">
        <w:t xml:space="preserve"> </w:t>
      </w:r>
      <w:r w:rsidR="00E7615F">
        <w:t xml:space="preserve">(of the Secretary) </w:t>
      </w:r>
      <w:r w:rsidR="005F61F8">
        <w:t xml:space="preserve">had contended the following </w:t>
      </w:r>
      <w:r>
        <w:t>in</w:t>
      </w:r>
      <w:r w:rsidR="005F61F8">
        <w:t xml:space="preserve"> </w:t>
      </w:r>
      <w:r w:rsidR="00E7615F">
        <w:t>their</w:t>
      </w:r>
      <w:r w:rsidR="005F61F8">
        <w:t xml:space="preserve"> report:</w:t>
      </w:r>
    </w:p>
    <w:p w14:paraId="730FD349" w14:textId="08A8B0B2" w:rsidR="005F61F8" w:rsidRDefault="00740C2E" w:rsidP="00740C2E">
      <w:pPr>
        <w:ind w:left="720"/>
      </w:pPr>
      <w:r>
        <w:t>‘</w:t>
      </w:r>
      <w:proofErr w:type="spellStart"/>
      <w:r w:rsidR="005F61F8">
        <w:t>ArTiMist</w:t>
      </w:r>
      <w:proofErr w:type="spellEnd"/>
      <w:r w:rsidR="005F61F8">
        <w:t xml:space="preserve"> is consistent with WHO recommendations for pre-referral treatment in that </w:t>
      </w:r>
      <w:proofErr w:type="spellStart"/>
      <w:r w:rsidR="005F61F8">
        <w:t>i</w:t>
      </w:r>
      <w:proofErr w:type="spellEnd"/>
      <w:r w:rsidR="005F61F8">
        <w:t xml:space="preserve">) it is easy to administer and well tolerated, and ii) its bioavailability and thus blood concentrations to which the parasite is exposed are at least those of equivalent oral therapy. The artemisinin drug in </w:t>
      </w:r>
      <w:proofErr w:type="spellStart"/>
      <w:r w:rsidR="005F61F8">
        <w:t>ArTiMist</w:t>
      </w:r>
      <w:proofErr w:type="spellEnd"/>
      <w:r w:rsidR="005F61F8">
        <w:t xml:space="preserve"> is artemether with which there is extensive clinical expe</w:t>
      </w:r>
      <w:r>
        <w:t xml:space="preserve">rience of safety and efficacy; </w:t>
      </w:r>
      <w:r w:rsidR="005F61F8">
        <w:t>it is simply being administered in a different form and route.</w:t>
      </w:r>
      <w:r>
        <w:t>’</w:t>
      </w:r>
    </w:p>
    <w:p w14:paraId="41299E3E" w14:textId="32BB2EF3" w:rsidR="005F61F8" w:rsidRDefault="00740C2E" w:rsidP="00CC244C">
      <w:r>
        <w:t xml:space="preserve">The </w:t>
      </w:r>
      <w:r w:rsidR="000265EB">
        <w:t>Delegate of the Minister</w:t>
      </w:r>
      <w:r w:rsidR="005F61F8">
        <w:t xml:space="preserve"> consider</w:t>
      </w:r>
      <w:r>
        <w:t>s</w:t>
      </w:r>
      <w:r w:rsidR="005F61F8">
        <w:t xml:space="preserve"> the above statement to be true however, this does not outweigh the deleterious effects of use of artemether as a monotherapy. In particular, the use of a rectal artemisinin product for pre-treatment of malaria is recommended only for a single dose. </w:t>
      </w:r>
      <w:proofErr w:type="gramStart"/>
      <w:r w:rsidR="005F61F8">
        <w:t>Furthermore</w:t>
      </w:r>
      <w:proofErr w:type="gramEnd"/>
      <w:r w:rsidR="005F61F8">
        <w:t xml:space="preserve"> it is known to be misused and to be contributing to the development of resistance to </w:t>
      </w:r>
      <w:proofErr w:type="spellStart"/>
      <w:r w:rsidR="005F61F8">
        <w:t>artemisinins</w:t>
      </w:r>
      <w:proofErr w:type="spellEnd"/>
      <w:r w:rsidR="005F61F8">
        <w:t xml:space="preserve"> in the treatment of falciparum malaria. The addition of another, easier to use monotherapy artemisinin product containing doses sufficient to provide multiple days of treatment when only a single dose of that type of treatment is currently recommended by the WHO (for pre-referral treatment) is not consistent with the safe use of artemether.</w:t>
      </w:r>
    </w:p>
    <w:p w14:paraId="74A87AC6" w14:textId="3512FE19" w:rsidR="005F61F8" w:rsidRDefault="00B15598" w:rsidP="00CC244C">
      <w:r>
        <w:t xml:space="preserve">The </w:t>
      </w:r>
      <w:r w:rsidR="000265EB">
        <w:t>Delegate of the Minister</w:t>
      </w:r>
      <w:r>
        <w:t xml:space="preserve"> is</w:t>
      </w:r>
      <w:r w:rsidR="005F61F8">
        <w:t xml:space="preserve"> of the view that should </w:t>
      </w:r>
      <w:proofErr w:type="spellStart"/>
      <w:r w:rsidR="005F61F8">
        <w:t>ArTiMist</w:t>
      </w:r>
      <w:proofErr w:type="spellEnd"/>
      <w:r w:rsidR="005F61F8">
        <w:t xml:space="preserve"> 6 be made available in areas where there is falciparum malaria, initially it is likely to be efficacious in areas where </w:t>
      </w:r>
      <w:r w:rsidR="005F61F8">
        <w:lastRenderedPageBreak/>
        <w:t xml:space="preserve">there is no or limited resistance to </w:t>
      </w:r>
      <w:proofErr w:type="spellStart"/>
      <w:r w:rsidR="005F61F8">
        <w:t>artemisinins</w:t>
      </w:r>
      <w:proofErr w:type="spellEnd"/>
      <w:r w:rsidR="005F61F8">
        <w:t xml:space="preserve">, however that success would be followed by decreasing efficacy over time as resistance develops to artemether and to other products containing </w:t>
      </w:r>
      <w:proofErr w:type="spellStart"/>
      <w:r w:rsidR="005F61F8">
        <w:t>artemisinins</w:t>
      </w:r>
      <w:proofErr w:type="spellEnd"/>
      <w:r w:rsidR="005F61F8">
        <w:t>. Were this resistance to occur there wou</w:t>
      </w:r>
      <w:r>
        <w:t>ld be a strongly negative risk/</w:t>
      </w:r>
      <w:r w:rsidR="005F61F8">
        <w:t xml:space="preserve">benefit balance to the use of </w:t>
      </w:r>
      <w:proofErr w:type="spellStart"/>
      <w:r w:rsidR="005F61F8">
        <w:t>ArTiMist</w:t>
      </w:r>
      <w:proofErr w:type="spellEnd"/>
      <w:r w:rsidR="005F61F8">
        <w:t xml:space="preserve"> 6 for the treatment of falciparum malaria.</w:t>
      </w:r>
    </w:p>
    <w:p w14:paraId="59996686" w14:textId="2006FB14" w:rsidR="005F61F8" w:rsidRDefault="00B15598" w:rsidP="00CC244C">
      <w:r>
        <w:t xml:space="preserve">The </w:t>
      </w:r>
      <w:r w:rsidR="000265EB">
        <w:t>Delegate of the Minister</w:t>
      </w:r>
      <w:r>
        <w:t xml:space="preserve"> does</w:t>
      </w:r>
      <w:r w:rsidR="005F61F8">
        <w:t xml:space="preserve"> not consider that it w</w:t>
      </w:r>
      <w:r w:rsidR="00BB2B96">
        <w:t>ill be possible to restrict uses</w:t>
      </w:r>
      <w:r w:rsidR="005F61F8">
        <w:t xml:space="preserve"> of </w:t>
      </w:r>
      <w:proofErr w:type="spellStart"/>
      <w:r w:rsidR="005F61F8">
        <w:t>ArTiMist</w:t>
      </w:r>
      <w:proofErr w:type="spellEnd"/>
      <w:r w:rsidR="005F61F8">
        <w:t xml:space="preserve"> 6 to those recommended by the </w:t>
      </w:r>
      <w:r>
        <w:t xml:space="preserve">sponsor. To support this view, the </w:t>
      </w:r>
      <w:r w:rsidR="000265EB">
        <w:t>Delegate of the Minister</w:t>
      </w:r>
      <w:r w:rsidR="005F61F8">
        <w:t xml:space="preserve"> note</w:t>
      </w:r>
      <w:r>
        <w:t>s</w:t>
      </w:r>
      <w:r w:rsidR="005F61F8">
        <w:t xml:space="preserve"> the following from a published paper referred to by the </w:t>
      </w:r>
      <w:r>
        <w:t>sponsor</w:t>
      </w:r>
      <w:r w:rsidR="005F61F8">
        <w:t>.</w:t>
      </w:r>
      <w:r>
        <w:rPr>
          <w:rStyle w:val="FootnoteReference"/>
        </w:rPr>
        <w:footnoteReference w:id="10"/>
      </w:r>
      <w:r w:rsidR="005F61F8">
        <w:t xml:space="preserve"> That paper reported significant difference between public and private healthcare workers on adherence to national malaria diagnosis and treatment guidelines. In addition, the publication noted that monotherapy</w:t>
      </w:r>
      <w:r>
        <w:t xml:space="preserve"> including artesunate (58.3 % versus 12.5 %), amodiaquine (38.9 % versus</w:t>
      </w:r>
      <w:r w:rsidR="005F61F8">
        <w:t xml:space="preserve"> 8</w:t>
      </w:r>
      <w:r>
        <w:t>.3 %) and chloroquine (26.4 % versus</w:t>
      </w:r>
      <w:r w:rsidR="005F61F8">
        <w:t xml:space="preserve"> 4.2 %) were signific</w:t>
      </w:r>
      <w:r>
        <w:t xml:space="preserve">antly more available in private </w:t>
      </w:r>
      <w:r w:rsidR="005F61F8">
        <w:t>than public health facilities, respectively. Adherence to guidelines was significantly higher among public healthcare workers (60.6 %) compared to th</w:t>
      </w:r>
      <w:r>
        <w:t xml:space="preserve">ose in private facilities (27.3 %). Additionally, while the </w:t>
      </w:r>
      <w:r w:rsidR="000265EB">
        <w:t>Delegate of the Minister</w:t>
      </w:r>
      <w:r w:rsidR="005F61F8">
        <w:t xml:space="preserve"> note</w:t>
      </w:r>
      <w:r>
        <w:t>s</w:t>
      </w:r>
      <w:r w:rsidR="005F61F8">
        <w:t xml:space="preserve"> that </w:t>
      </w:r>
      <w:r>
        <w:t>[Information redacted]</w:t>
      </w:r>
      <w:r w:rsidR="005F61F8">
        <w:t xml:space="preserve">, Head of Clinical Research Unit/Principal Investigator, supports use of </w:t>
      </w:r>
      <w:r>
        <w:t>SL</w:t>
      </w:r>
      <w:r w:rsidR="005F61F8">
        <w:t xml:space="preserve"> artemether for stabilising patients </w:t>
      </w:r>
      <w:r>
        <w:t xml:space="preserve">before being referred for care, the </w:t>
      </w:r>
      <w:r w:rsidR="000265EB">
        <w:t>Delegate of the Minister</w:t>
      </w:r>
      <w:r w:rsidR="005F61F8">
        <w:t xml:space="preserve"> do</w:t>
      </w:r>
      <w:r>
        <w:t>es</w:t>
      </w:r>
      <w:r w:rsidR="005F61F8">
        <w:t xml:space="preserve"> not consider it will be possible for the proposed education program, monitoring and regulation to prevent misuse of the product in the remote areas where it is proposed to be used. </w:t>
      </w:r>
      <w:r>
        <w:t xml:space="preserve">The </w:t>
      </w:r>
      <w:r w:rsidR="000265EB">
        <w:t>Delegate of the Minister</w:t>
      </w:r>
      <w:r>
        <w:t xml:space="preserve"> has</w:t>
      </w:r>
      <w:r w:rsidR="005F61F8">
        <w:t xml:space="preserve"> formed this view because there is already evidence of misuse of monotherapy</w:t>
      </w:r>
      <w:r>
        <w:t xml:space="preserve"> rectal artemisinin derivatives;</w:t>
      </w:r>
      <w:bookmarkStart w:id="51" w:name="_Ref24099862"/>
      <w:r>
        <w:rPr>
          <w:rStyle w:val="FootnoteReference"/>
        </w:rPr>
        <w:footnoteReference w:id="11"/>
      </w:r>
      <w:bookmarkEnd w:id="51"/>
      <w:r w:rsidR="005F61F8">
        <w:t xml:space="preserve"> beyond its recommended purpose and </w:t>
      </w:r>
      <w:proofErr w:type="spellStart"/>
      <w:r w:rsidR="005F61F8">
        <w:t>ArTiMist</w:t>
      </w:r>
      <w:proofErr w:type="spellEnd"/>
      <w:r w:rsidR="005F61F8">
        <w:t>, containing multiple doses per bottle and being easier to administer, is likely to be more prone to misuse, particularly in the treatment of suspected malaria and malaria which is not severe.</w:t>
      </w:r>
    </w:p>
    <w:p w14:paraId="6CFF06DC" w14:textId="6D9E4C20" w:rsidR="005F61F8" w:rsidRDefault="005F61F8" w:rsidP="00CC244C">
      <w:r>
        <w:t>Given the low adherence to na</w:t>
      </w:r>
      <w:r w:rsidR="00E35406">
        <w:t xml:space="preserve">tional or treatment guidelines the </w:t>
      </w:r>
      <w:r w:rsidR="000265EB">
        <w:t>Delegate of the Minister</w:t>
      </w:r>
      <w:r>
        <w:t xml:space="preserve"> consider</w:t>
      </w:r>
      <w:r w:rsidR="00E35406">
        <w:t>s</w:t>
      </w:r>
      <w:r>
        <w:t xml:space="preserve"> it is likely that adherence to the indications and dosage recommendations for </w:t>
      </w:r>
      <w:proofErr w:type="spellStart"/>
      <w:r>
        <w:t>ArTiMist</w:t>
      </w:r>
      <w:proofErr w:type="spellEnd"/>
      <w:r>
        <w:t xml:space="preserve"> 6 will have a </w:t>
      </w:r>
      <w:proofErr w:type="gramStart"/>
      <w:r>
        <w:t>similar</w:t>
      </w:r>
      <w:proofErr w:type="gramEnd"/>
      <w:r>
        <w:t xml:space="preserve"> low level of compliance and its use would provide an additional avenue for exposure to monotherapy artemisinin in patients with falciparum malaria. This will increase the likelihood of resistance to </w:t>
      </w:r>
      <w:proofErr w:type="spellStart"/>
      <w:r>
        <w:t>artemisinins</w:t>
      </w:r>
      <w:proofErr w:type="spellEnd"/>
      <w:r>
        <w:t>, including artemether developing in these populations.</w:t>
      </w:r>
    </w:p>
    <w:p w14:paraId="0EB71126" w14:textId="06AF9E90" w:rsidR="005F61F8" w:rsidRDefault="00E35406" w:rsidP="00CC244C">
      <w:r>
        <w:t xml:space="preserve">The </w:t>
      </w:r>
      <w:r w:rsidR="000265EB">
        <w:t>Delegate of the Minister</w:t>
      </w:r>
      <w:r w:rsidR="005F61F8">
        <w:t xml:space="preserve"> note</w:t>
      </w:r>
      <w:r>
        <w:t>s</w:t>
      </w:r>
      <w:r w:rsidR="005F61F8">
        <w:t xml:space="preserve"> that the </w:t>
      </w:r>
      <w:r>
        <w:t>sponsor</w:t>
      </w:r>
      <w:r w:rsidR="005F61F8">
        <w:t xml:space="preserve"> recognises the importance of the WHO Malaria Treatment Guidelines, and the need to ensure that the risk of resistance to </w:t>
      </w:r>
      <w:proofErr w:type="spellStart"/>
      <w:r w:rsidR="005F61F8">
        <w:t>artemisinins</w:t>
      </w:r>
      <w:proofErr w:type="spellEnd"/>
      <w:r w:rsidR="005F61F8">
        <w:t xml:space="preserve"> is minimised. To this effect it was proposed that the primary use of the product would be for patients prior to embarking on the critical journey between a rural community setting and an appropriately equipped treatment centre where artemisinin-based combination therapies can be administered. The bottle contains 50 doses, which is sufficient for patients with a body weight of 15 kg, the maximum recommended body weight for use of the product, to receive 7 doses. Following the proposed dose regimen of a dose at 0, 8, 24, 36, 48, 60, then every 24 hours, this would be 84 hours of treatment. Longer treatment durations would be possible for children with lower body weights. In </w:t>
      </w:r>
      <w:r w:rsidR="00BB2B96">
        <w:t>Delegate of the Minister’s</w:t>
      </w:r>
      <w:r w:rsidR="005F61F8">
        <w:t xml:space="preserve"> view, such excess supply of the product in each bottle is likely to encourage use beyond the recommended initial period prior to transfer to a treatment facility.</w:t>
      </w:r>
    </w:p>
    <w:p w14:paraId="20198F96" w14:textId="7E61FDAC" w:rsidR="005F61F8" w:rsidRDefault="005F61F8" w:rsidP="00CC244C">
      <w:r>
        <w:t>As noted in the WHO document on the use of rectal artesunate for pre-referral treatment of severe malaria</w:t>
      </w:r>
      <w:r w:rsidR="001D1FF3">
        <w:t>;</w:t>
      </w:r>
      <w:r w:rsidR="00E35406">
        <w:fldChar w:fldCharType="begin"/>
      </w:r>
      <w:r w:rsidR="00E35406">
        <w:instrText xml:space="preserve"> NOTEREF _Ref24099862 \f \h </w:instrText>
      </w:r>
      <w:r w:rsidR="00E35406">
        <w:fldChar w:fldCharType="separate"/>
      </w:r>
      <w:r w:rsidR="00E35406" w:rsidRPr="00E35406">
        <w:rPr>
          <w:rStyle w:val="FootnoteReference"/>
        </w:rPr>
        <w:t>10</w:t>
      </w:r>
      <w:r w:rsidR="00E35406">
        <w:fldChar w:fldCharType="end"/>
      </w:r>
      <w:r>
        <w:t xml:space="preserve"> access to treatment is still poor in many areas, and the rational use of rectal artesunate is key to reducing mortality due to severe malaria and at the same time to preserving </w:t>
      </w:r>
      <w:proofErr w:type="spellStart"/>
      <w:r>
        <w:t>artemisinins</w:t>
      </w:r>
      <w:proofErr w:type="spellEnd"/>
      <w:r>
        <w:t xml:space="preserve"> from the risk that resistance to them will develop. This would have devastating consequences on people’s health in malaria-endemic countries and could </w:t>
      </w:r>
      <w:r>
        <w:lastRenderedPageBreak/>
        <w:t>reverse the progress in malaria control achieved in many countries over the past decade. No alternative medicines are ready to enter the market in the next few years that could replace ACTs, the mainstay of treatment for malaria.</w:t>
      </w:r>
    </w:p>
    <w:p w14:paraId="6B920FB4" w14:textId="2A9D2738" w:rsidR="005F61F8" w:rsidRDefault="00E35406" w:rsidP="00CC244C">
      <w:r>
        <w:t xml:space="preserve">The </w:t>
      </w:r>
      <w:r w:rsidR="000265EB">
        <w:t>Delegate of the Minister</w:t>
      </w:r>
      <w:r w:rsidR="005F61F8">
        <w:t xml:space="preserve"> note</w:t>
      </w:r>
      <w:r>
        <w:t>s</w:t>
      </w:r>
      <w:r w:rsidR="005F61F8">
        <w:t xml:space="preserve"> that the </w:t>
      </w:r>
      <w:r>
        <w:t>sponsor</w:t>
      </w:r>
      <w:r w:rsidR="005F61F8">
        <w:t xml:space="preserve"> has proposed an education program for healthcare workers in the areas in which the product would be marketed. However, given the reported lack of adherence to treatment recommendations published by the WHO and to national guidelines it is not evident to </w:t>
      </w:r>
      <w:r w:rsidR="00BB2B96">
        <w:t>the Delegate of the Minister</w:t>
      </w:r>
      <w:r w:rsidR="005F61F8">
        <w:t xml:space="preserve"> that this program would be successful.</w:t>
      </w:r>
    </w:p>
    <w:p w14:paraId="5D716A32" w14:textId="08F48BCC" w:rsidR="005F61F8" w:rsidRDefault="005F61F8" w:rsidP="00CC244C">
      <w:r>
        <w:t xml:space="preserve">Efficacy and safety of the product as an initial treatment for severe malaria in children prior to embarking on the critical journey between a rural community setting and an appropriately equipped treatment centre where artemisinin combination therapy can be administered has not been assessed in a clinical trial. The pivotal clinical trial involved a complete monotherapy treatment course of either </w:t>
      </w:r>
      <w:proofErr w:type="spellStart"/>
      <w:r>
        <w:t>ArTiMist</w:t>
      </w:r>
      <w:proofErr w:type="spellEnd"/>
      <w:r>
        <w:t xml:space="preserve"> or </w:t>
      </w:r>
      <w:r w:rsidR="00E35406">
        <w:t>IV</w:t>
      </w:r>
      <w:r>
        <w:t xml:space="preserve"> quinine however the indications proposed limit use to initial treatment.</w:t>
      </w:r>
    </w:p>
    <w:p w14:paraId="6303D91A" w14:textId="594E36A5" w:rsidR="005F61F8" w:rsidRDefault="005F61F8" w:rsidP="00CC244C">
      <w:r>
        <w:t xml:space="preserve">There are available treatments for an initial treatment where children are unable to take oral medication. A single </w:t>
      </w:r>
      <w:r w:rsidR="00E35406">
        <w:t>IM</w:t>
      </w:r>
      <w:r>
        <w:t xml:space="preserve"> dose of artesunate or a single rectal dose of artesunate (in children aged &lt;</w:t>
      </w:r>
      <w:r w:rsidR="00E35406">
        <w:t xml:space="preserve"> </w:t>
      </w:r>
      <w:r>
        <w:t>6 years) are alternatives recommended in the 2015 edition of the WHO Guidelines for the treatment of malaria.</w:t>
      </w:r>
      <w:r w:rsidR="00E35406">
        <w:fldChar w:fldCharType="begin"/>
      </w:r>
      <w:r w:rsidR="00E35406">
        <w:instrText xml:space="preserve"> NOTEREF _Ref23430019 \f \h </w:instrText>
      </w:r>
      <w:r w:rsidR="00E35406">
        <w:fldChar w:fldCharType="separate"/>
      </w:r>
      <w:r w:rsidR="00E35406" w:rsidRPr="00E35406">
        <w:rPr>
          <w:rStyle w:val="FootnoteReference"/>
        </w:rPr>
        <w:t>2</w:t>
      </w:r>
      <w:r w:rsidR="00E35406">
        <w:fldChar w:fldCharType="end"/>
      </w:r>
      <w:r w:rsidR="00BB2B96">
        <w:t xml:space="preserve"> The Delegate of the Minister</w:t>
      </w:r>
      <w:r>
        <w:t xml:space="preserve"> note</w:t>
      </w:r>
      <w:r w:rsidR="00BB2B96">
        <w:t>s</w:t>
      </w:r>
      <w:r>
        <w:t xml:space="preserve"> these are single doses and consider</w:t>
      </w:r>
      <w:r w:rsidR="00BB2B96">
        <w:t>s</w:t>
      </w:r>
      <w:r>
        <w:t xml:space="preserve"> it likely that these single doses would be less likely to lead to the development of resistance than a product containing a minimum of 84 hours of monotherapy treatment which is relatively easy to administer.</w:t>
      </w:r>
    </w:p>
    <w:p w14:paraId="25ACAB97" w14:textId="4BBA56AA" w:rsidR="005F61F8" w:rsidRDefault="005F61F8" w:rsidP="00CC244C">
      <w:r>
        <w:t xml:space="preserve">In </w:t>
      </w:r>
      <w:proofErr w:type="gramStart"/>
      <w:r>
        <w:t>giving consideration to</w:t>
      </w:r>
      <w:proofErr w:type="gramEnd"/>
      <w:r>
        <w:t xml:space="preserve"> the safety and efficacy of a pr</w:t>
      </w:r>
      <w:r w:rsidR="00E35406">
        <w:t xml:space="preserve">oduct for its intended purpose the </w:t>
      </w:r>
      <w:r w:rsidR="000265EB">
        <w:t>Delegate of the Minister</w:t>
      </w:r>
      <w:r w:rsidR="00E35406">
        <w:t xml:space="preserve"> has</w:t>
      </w:r>
      <w:r>
        <w:t xml:space="preserve"> considered not only efficacy and safety in individual patients on initial approval but have also considered the impact of use of the product in patients with </w:t>
      </w:r>
      <w:r w:rsidR="00E35406">
        <w:t xml:space="preserve">falciparum malaria as a whole. The </w:t>
      </w:r>
      <w:r w:rsidR="000265EB">
        <w:t>Delegate of the Minister</w:t>
      </w:r>
      <w:r>
        <w:t xml:space="preserve"> find</w:t>
      </w:r>
      <w:r w:rsidR="00E35406">
        <w:t>s</w:t>
      </w:r>
      <w:r>
        <w:t xml:space="preserve"> that this product is likely to lead to a reduction in efficacy of artemisinin-based anti-malarial products, including this product, in areas in which it is used. Furthermore, efficacy for the primary intended purpose of initial treatment prior to transfer to a treatment facility has not been assessed.</w:t>
      </w:r>
    </w:p>
    <w:p w14:paraId="6C3F7DF8" w14:textId="77777777" w:rsidR="005F61F8" w:rsidRDefault="005F61F8" w:rsidP="00E35406">
      <w:pPr>
        <w:pStyle w:val="Heading5"/>
      </w:pPr>
      <w:r>
        <w:t>Conclusion</w:t>
      </w:r>
    </w:p>
    <w:p w14:paraId="5AD0832F" w14:textId="414A7D7A" w:rsidR="005F61F8" w:rsidRDefault="005F61F8" w:rsidP="00CC244C">
      <w:r>
        <w:t>For th</w:t>
      </w:r>
      <w:r w:rsidR="00E35406">
        <w:t xml:space="preserve">e reasons outlined above, the </w:t>
      </w:r>
      <w:r w:rsidR="000265EB">
        <w:t>Delegate of the Minister</w:t>
      </w:r>
      <w:r w:rsidR="00E35406">
        <w:t xml:space="preserve"> has</w:t>
      </w:r>
      <w:r>
        <w:t xml:space="preserve"> decided to confirm the initial decision on the basis that </w:t>
      </w:r>
      <w:r w:rsidR="00E35406">
        <w:t>they are</w:t>
      </w:r>
      <w:r>
        <w:t xml:space="preserve"> not satisfied that the safety and efficacy of the product have been satisfactorily established for the purpose for which it is proposed to be used.</w:t>
      </w:r>
    </w:p>
    <w:p w14:paraId="61DA429F" w14:textId="77777777" w:rsidR="00BF6D9E" w:rsidRDefault="00E35406" w:rsidP="00BF6D9E">
      <w:r>
        <w:t xml:space="preserve">The </w:t>
      </w:r>
      <w:r w:rsidR="000265EB">
        <w:t>Delegate of the Minister</w:t>
      </w:r>
      <w:r w:rsidR="005F61F8">
        <w:t xml:space="preserve"> further consider</w:t>
      </w:r>
      <w:r>
        <w:t>s</w:t>
      </w:r>
      <w:r w:rsidR="005F61F8">
        <w:t xml:space="preserve"> that the product should not be registered because of the significant likelihood that the product will lead to a broader reduction in the efficacy of artemisinin-based anti-malarial products due to the potentiation of disease resistance.</w:t>
      </w:r>
      <w:bookmarkEnd w:id="49"/>
      <w:bookmarkEnd w:id="50"/>
    </w:p>
    <w:p w14:paraId="07BB6D30" w14:textId="02A8DE26" w:rsidR="00BF6D9E" w:rsidRDefault="00BF6D9E" w:rsidP="00BF6D9E">
      <w:pPr>
        <w:pStyle w:val="Heading4"/>
      </w:pPr>
      <w:r>
        <w:t>Outcome from appeal to the Administrative Appeals Tribunal</w:t>
      </w:r>
    </w:p>
    <w:p w14:paraId="235F0F2E" w14:textId="23642D40" w:rsidR="00BF6D9E" w:rsidRDefault="00BF6D9E" w:rsidP="00BF6D9E">
      <w:r>
        <w:t>The sponsor appealed to the Administrative Appeals Tribunal (AAT) for review of the TGA’s decision not to register Artemether.</w:t>
      </w:r>
    </w:p>
    <w:p w14:paraId="5528C764" w14:textId="25094C45" w:rsidR="00BF6D9E" w:rsidRPr="00BF6D9E" w:rsidRDefault="00BF6D9E" w:rsidP="00BF6D9E">
      <w:r>
        <w:t>The sponsor later withdrew their application to the AAT.</w:t>
      </w:r>
    </w:p>
    <w:p w14:paraId="00A824D9" w14:textId="29ED17EB" w:rsidR="00BF6D9E" w:rsidRPr="001D043B" w:rsidRDefault="00BF6D9E" w:rsidP="00BF6D9E">
      <w:pPr>
        <w:sectPr w:rsidR="00BF6D9E" w:rsidRPr="001D043B" w:rsidSect="00B452CE">
          <w:headerReference w:type="even" r:id="rId13"/>
          <w:headerReference w:type="default" r:id="rId14"/>
          <w:headerReference w:type="first" r:id="rId15"/>
          <w:footerReference w:type="first" r:id="rId1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35FE505" w14:textId="77777777" w:rsidTr="00A05FA4">
        <w:trPr>
          <w:trHeight w:hRule="exact" w:val="704"/>
        </w:trPr>
        <w:tc>
          <w:tcPr>
            <w:tcW w:w="9175" w:type="dxa"/>
          </w:tcPr>
          <w:p w14:paraId="4D9A4BEF" w14:textId="77777777" w:rsidR="001C32CD" w:rsidRPr="00487162" w:rsidRDefault="001C32CD" w:rsidP="00A05FA4">
            <w:pPr>
              <w:pStyle w:val="TGASignoff"/>
            </w:pPr>
            <w:r w:rsidRPr="00487162">
              <w:lastRenderedPageBreak/>
              <w:t>Therapeutic Goods Administration</w:t>
            </w:r>
          </w:p>
        </w:tc>
      </w:tr>
      <w:tr w:rsidR="001C32CD" w:rsidRPr="004C239D" w14:paraId="008D4A40" w14:textId="77777777" w:rsidTr="00A05FA4">
        <w:trPr>
          <w:trHeight w:val="1221"/>
        </w:trPr>
        <w:tc>
          <w:tcPr>
            <w:tcW w:w="9175" w:type="dxa"/>
            <w:tcMar>
              <w:top w:w="28" w:type="dxa"/>
            </w:tcMar>
          </w:tcPr>
          <w:p w14:paraId="00E1C3EB" w14:textId="77777777" w:rsidR="001C32CD" w:rsidRPr="00487162" w:rsidRDefault="001C32CD" w:rsidP="00A05FA4">
            <w:pPr>
              <w:pStyle w:val="Address"/>
            </w:pPr>
            <w:r w:rsidRPr="00487162">
              <w:t>PO Box 100 Woden ACT 2606 Australia</w:t>
            </w:r>
          </w:p>
          <w:p w14:paraId="7025AC57" w14:textId="77777777" w:rsidR="001C32CD" w:rsidRPr="00487162" w:rsidRDefault="001C32CD" w:rsidP="00A05FA4">
            <w:pPr>
              <w:pStyle w:val="Address"/>
            </w:pPr>
            <w:r w:rsidRPr="00487162">
              <w:t xml:space="preserve">Email: </w:t>
            </w:r>
            <w:hyperlink r:id="rId17"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7051789E" w14:textId="77777777" w:rsidR="001C32CD" w:rsidRPr="004C239D" w:rsidRDefault="00636B51" w:rsidP="00A05FA4">
            <w:pPr>
              <w:pStyle w:val="Address"/>
              <w:spacing w:line="260" w:lineRule="atLeast"/>
              <w:rPr>
                <w:b/>
                <w:color w:val="0000FF"/>
                <w:u w:val="single"/>
              </w:rPr>
            </w:pPr>
            <w:hyperlink r:id="rId18" w:history="1">
              <w:r w:rsidR="007C6B9B" w:rsidRPr="007C6B9B">
                <w:rPr>
                  <w:rStyle w:val="Hyperlink"/>
                  <w:b/>
                </w:rPr>
                <w:t>https://www.tga.gov.au</w:t>
              </w:r>
            </w:hyperlink>
          </w:p>
        </w:tc>
      </w:tr>
    </w:tbl>
    <w:p w14:paraId="47662EAC" w14:textId="77777777" w:rsidR="00774E1D" w:rsidRPr="008A5E0B" w:rsidRDefault="00774E1D" w:rsidP="004C239D"/>
    <w:sectPr w:rsidR="00774E1D" w:rsidRPr="008A5E0B" w:rsidSect="001C32CD">
      <w:headerReference w:type="even" r:id="rId19"/>
      <w:headerReference w:type="default" r:id="rId20"/>
      <w:footerReference w:type="default" r:id="rId21"/>
      <w:headerReference w:type="first" r:id="rId22"/>
      <w:footerReference w:type="first" r:id="rId2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9BF2" w14:textId="77777777" w:rsidR="00D70E30" w:rsidRDefault="00D70E30" w:rsidP="00C40A36">
      <w:pPr>
        <w:spacing w:after="0"/>
      </w:pPr>
      <w:r>
        <w:separator/>
      </w:r>
    </w:p>
  </w:endnote>
  <w:endnote w:type="continuationSeparator" w:id="0">
    <w:p w14:paraId="47B30201" w14:textId="77777777" w:rsidR="00D70E30" w:rsidRDefault="00D70E3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70E30" w:rsidRPr="00487162" w14:paraId="5E5CD7F3" w14:textId="77777777" w:rsidTr="00DB750B">
      <w:trPr>
        <w:trHeight w:val="269"/>
      </w:trPr>
      <w:tc>
        <w:tcPr>
          <w:tcW w:w="7371" w:type="dxa"/>
          <w:tcMar>
            <w:top w:w="142" w:type="dxa"/>
            <w:bottom w:w="0" w:type="dxa"/>
          </w:tcMar>
        </w:tcPr>
        <w:p w14:paraId="0DD598E3" w14:textId="2A1E57E9" w:rsidR="00D70E30" w:rsidRPr="00487162" w:rsidRDefault="00D70E30" w:rsidP="004A726A">
          <w:pPr>
            <w:pStyle w:val="Footer"/>
          </w:pPr>
          <w:proofErr w:type="spellStart"/>
          <w:r w:rsidRPr="009D6795">
            <w:t>ArTiMist</w:t>
          </w:r>
          <w:proofErr w:type="spellEnd"/>
          <w:r w:rsidRPr="009D6795">
            <w:t xml:space="preserve"> 6 - Artemether - </w:t>
          </w:r>
          <w:proofErr w:type="spellStart"/>
          <w:r w:rsidRPr="009D6795">
            <w:t>Suda</w:t>
          </w:r>
          <w:proofErr w:type="spellEnd"/>
          <w:r w:rsidRPr="009D6795">
            <w:t xml:space="preserve"> Pharmaceuticals Ltd - PM-2016-04637-1-2</w:t>
          </w:r>
          <w:r>
            <w:br/>
          </w:r>
          <w:r w:rsidR="004A726A">
            <w:t>FINAL 4 December</w:t>
          </w:r>
          <w:r>
            <w:t xml:space="preserve"> 2019</w:t>
          </w:r>
        </w:p>
      </w:tc>
      <w:tc>
        <w:tcPr>
          <w:tcW w:w="1490" w:type="dxa"/>
          <w:tcMar>
            <w:top w:w="142" w:type="dxa"/>
            <w:bottom w:w="0" w:type="dxa"/>
          </w:tcMar>
        </w:tcPr>
        <w:p w14:paraId="5656E35A" w14:textId="77E28788" w:rsidR="00D70E30" w:rsidRPr="00487162" w:rsidRDefault="00D70E30" w:rsidP="00DB750B">
          <w:pPr>
            <w:pStyle w:val="Footer"/>
            <w:jc w:val="right"/>
          </w:pPr>
          <w:r w:rsidRPr="00487162">
            <w:t xml:space="preserve">Page </w:t>
          </w:r>
          <w:r>
            <w:fldChar w:fldCharType="begin"/>
          </w:r>
          <w:r>
            <w:instrText xml:space="preserve"> PAGE  \* Arabic </w:instrText>
          </w:r>
          <w:r>
            <w:fldChar w:fldCharType="separate"/>
          </w:r>
          <w:r w:rsidR="004A726A">
            <w:rPr>
              <w:noProof/>
            </w:rPr>
            <w:t>2</w:t>
          </w:r>
          <w:r>
            <w:fldChar w:fldCharType="end"/>
          </w:r>
          <w:r w:rsidRPr="00487162">
            <w:t xml:space="preserve"> of </w:t>
          </w:r>
          <w:fldSimple w:instr=" NUMPAGES  \* Arabic ">
            <w:r w:rsidR="004A726A">
              <w:rPr>
                <w:noProof/>
              </w:rPr>
              <w:t>25</w:t>
            </w:r>
          </w:fldSimple>
        </w:p>
      </w:tc>
    </w:tr>
  </w:tbl>
  <w:p w14:paraId="2AD56077" w14:textId="77777777" w:rsidR="00D70E30" w:rsidRDefault="00D70E30"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70E30" w:rsidRPr="00487162" w14:paraId="7143F1E3" w14:textId="77777777" w:rsidTr="00E45619">
      <w:trPr>
        <w:trHeight w:val="269"/>
      </w:trPr>
      <w:tc>
        <w:tcPr>
          <w:tcW w:w="4519" w:type="dxa"/>
          <w:tcBorders>
            <w:top w:val="single" w:sz="4" w:space="0" w:color="auto"/>
          </w:tcBorders>
          <w:tcMar>
            <w:top w:w="142" w:type="dxa"/>
            <w:bottom w:w="0" w:type="dxa"/>
          </w:tcMar>
        </w:tcPr>
        <w:p w14:paraId="4EDF2466" w14:textId="77777777" w:rsidR="00D70E30" w:rsidRPr="00487162" w:rsidRDefault="00D70E30" w:rsidP="00FE1DEE">
          <w:pPr>
            <w:pStyle w:val="Footer"/>
          </w:pPr>
          <w:r w:rsidRPr="00487162">
            <w:t>Document title, Part #, Section # - Section title</w:t>
          </w:r>
        </w:p>
        <w:p w14:paraId="61842D27" w14:textId="77777777" w:rsidR="00D70E30" w:rsidRPr="00487162" w:rsidRDefault="00D70E30" w:rsidP="00FE1DEE">
          <w:pPr>
            <w:pStyle w:val="Footer"/>
          </w:pPr>
          <w:r w:rsidRPr="00487162">
            <w:t>V1.0 October 2010</w:t>
          </w:r>
        </w:p>
      </w:tc>
      <w:tc>
        <w:tcPr>
          <w:tcW w:w="4342" w:type="dxa"/>
          <w:tcBorders>
            <w:top w:val="single" w:sz="4" w:space="0" w:color="auto"/>
          </w:tcBorders>
          <w:tcMar>
            <w:top w:w="142" w:type="dxa"/>
            <w:bottom w:w="0" w:type="dxa"/>
          </w:tcMar>
        </w:tcPr>
        <w:p w14:paraId="26C511AD" w14:textId="77777777" w:rsidR="00D70E30" w:rsidRPr="00487162" w:rsidRDefault="00D70E3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56A37BB6" w14:textId="77777777" w:rsidR="00D70E30" w:rsidRDefault="00D70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1444" w14:textId="77777777" w:rsidR="00D70E30" w:rsidRPr="001C32CD" w:rsidRDefault="00D70E30"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70E30" w14:paraId="42922A7A" w14:textId="77777777" w:rsidTr="0010601F">
      <w:trPr>
        <w:trHeight w:val="108"/>
      </w:trPr>
      <w:tc>
        <w:tcPr>
          <w:tcW w:w="8875" w:type="dxa"/>
          <w:gridSpan w:val="2"/>
          <w:tcBorders>
            <w:bottom w:val="single" w:sz="4" w:space="0" w:color="auto"/>
          </w:tcBorders>
          <w:tcMar>
            <w:right w:w="284" w:type="dxa"/>
          </w:tcMar>
        </w:tcPr>
        <w:p w14:paraId="25ADAF33" w14:textId="77777777" w:rsidR="00D70E30" w:rsidRDefault="00D70E30" w:rsidP="006E08B3">
          <w:pPr>
            <w:pStyle w:val="Heading3"/>
          </w:pPr>
          <w:r>
            <w:t>Copyright</w:t>
          </w:r>
        </w:p>
        <w:p w14:paraId="1326EF21" w14:textId="77777777" w:rsidR="00D70E30" w:rsidRDefault="00D70E30" w:rsidP="006E08B3">
          <w:r>
            <w:rPr>
              <w:rFonts w:cs="Arial"/>
            </w:rPr>
            <w:t>©</w:t>
          </w:r>
          <w:r>
            <w:t xml:space="preserve"> Commonwealth of Australia [add year]</w:t>
          </w:r>
        </w:p>
        <w:p w14:paraId="57B06FEC" w14:textId="77777777" w:rsidR="00D70E30" w:rsidRDefault="00D70E30" w:rsidP="006E08B3"/>
        <w:p w14:paraId="26C28DA6" w14:textId="77777777" w:rsidR="00D70E30" w:rsidRDefault="00D70E3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10C0D5C6" w14:textId="77777777" w:rsidR="00D70E30" w:rsidRDefault="00D70E30" w:rsidP="006E08B3"/>
        <w:p w14:paraId="50D5D6CF" w14:textId="77777777" w:rsidR="00D70E30" w:rsidRDefault="00D70E30" w:rsidP="006E08B3">
          <w:pPr>
            <w:pStyle w:val="Heading3"/>
          </w:pPr>
          <w:r>
            <w:t>Confidentiality</w:t>
          </w:r>
        </w:p>
        <w:p w14:paraId="369EA0C9" w14:textId="77777777" w:rsidR="00D70E30" w:rsidRDefault="00D70E3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E8B13D6" w14:textId="77777777" w:rsidR="00D70E30" w:rsidRDefault="00D70E30" w:rsidP="006E08B3"/>
        <w:p w14:paraId="3884EA42" w14:textId="77777777" w:rsidR="00D70E30" w:rsidRDefault="00D70E30" w:rsidP="006E08B3">
          <w:r>
            <w:t>For submission made by individuals, all personal details, other than your name, will be removed from your submission before it is published on the TGA’s Internet site.</w:t>
          </w:r>
        </w:p>
        <w:p w14:paraId="5E1BC702" w14:textId="77777777" w:rsidR="00D70E30" w:rsidRDefault="00D70E30" w:rsidP="006E08B3"/>
        <w:p w14:paraId="6AAE7A2E" w14:textId="77777777" w:rsidR="00D70E30" w:rsidRDefault="00D70E3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70E30" w14:paraId="43C2825B" w14:textId="77777777" w:rsidTr="0010601F">
      <w:trPr>
        <w:trHeight w:val="417"/>
      </w:trPr>
      <w:tc>
        <w:tcPr>
          <w:tcW w:w="4519" w:type="dxa"/>
          <w:tcBorders>
            <w:top w:val="single" w:sz="4" w:space="0" w:color="auto"/>
          </w:tcBorders>
          <w:tcMar>
            <w:top w:w="142" w:type="dxa"/>
            <w:bottom w:w="0" w:type="dxa"/>
          </w:tcMar>
        </w:tcPr>
        <w:p w14:paraId="7C745625" w14:textId="77777777" w:rsidR="00D70E30" w:rsidRDefault="00D70E30" w:rsidP="006E08B3">
          <w:r>
            <w:t>Document title, Part #, Section # - Section title</w:t>
          </w:r>
        </w:p>
        <w:p w14:paraId="1619C2C1" w14:textId="77777777" w:rsidR="00D70E30" w:rsidRDefault="00D70E30" w:rsidP="006E08B3">
          <w:r>
            <w:t>V1.0 October 2010</w:t>
          </w:r>
        </w:p>
      </w:tc>
      <w:tc>
        <w:tcPr>
          <w:tcW w:w="4356" w:type="dxa"/>
          <w:tcBorders>
            <w:top w:val="single" w:sz="4" w:space="0" w:color="auto"/>
          </w:tcBorders>
          <w:tcMar>
            <w:top w:w="142" w:type="dxa"/>
            <w:bottom w:w="0" w:type="dxa"/>
          </w:tcMar>
        </w:tcPr>
        <w:p w14:paraId="75511C95" w14:textId="77777777" w:rsidR="00D70E30" w:rsidRDefault="00D70E3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180FAB36" w14:textId="77777777" w:rsidR="00D70E30" w:rsidRDefault="00D70E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9E714" w14:textId="77777777" w:rsidR="00D70E30" w:rsidRDefault="00D70E30" w:rsidP="00C40A36">
      <w:pPr>
        <w:spacing w:after="0"/>
      </w:pPr>
      <w:r>
        <w:separator/>
      </w:r>
    </w:p>
  </w:footnote>
  <w:footnote w:type="continuationSeparator" w:id="0">
    <w:p w14:paraId="5A8A8375" w14:textId="77777777" w:rsidR="00D70E30" w:rsidRDefault="00D70E30" w:rsidP="00C40A36">
      <w:pPr>
        <w:spacing w:after="0"/>
      </w:pPr>
      <w:r>
        <w:continuationSeparator/>
      </w:r>
    </w:p>
  </w:footnote>
  <w:footnote w:id="1">
    <w:p w14:paraId="3F11BA4E" w14:textId="25B6994C" w:rsidR="00423C05" w:rsidRDefault="00423C05">
      <w:pPr>
        <w:pStyle w:val="FootnoteText"/>
      </w:pPr>
      <w:r>
        <w:rPr>
          <w:rStyle w:val="FootnoteReference"/>
        </w:rPr>
        <w:footnoteRef/>
      </w:r>
      <w:r>
        <w:t xml:space="preserve"> The sponsor appealed to the AAT for a review of the TGA’s decision not to register Artemether.</w:t>
      </w:r>
    </w:p>
  </w:footnote>
  <w:footnote w:id="2">
    <w:p w14:paraId="38238803" w14:textId="77777777" w:rsidR="00D70E30" w:rsidRDefault="00D70E30">
      <w:pPr>
        <w:pStyle w:val="FootnoteText"/>
      </w:pPr>
      <w:r>
        <w:rPr>
          <w:rStyle w:val="FootnoteReference"/>
        </w:rPr>
        <w:footnoteRef/>
      </w:r>
      <w:r>
        <w:t xml:space="preserve"> </w:t>
      </w:r>
      <w:r w:rsidRPr="002E5C17">
        <w:rPr>
          <w:lang w:eastAsia="ja-JP"/>
        </w:rPr>
        <w:t>World Health Organi</w:t>
      </w:r>
      <w:r>
        <w:rPr>
          <w:lang w:eastAsia="ja-JP"/>
        </w:rPr>
        <w:t>zation (2016</w:t>
      </w:r>
      <w:r w:rsidRPr="002E5C17">
        <w:rPr>
          <w:lang w:eastAsia="ja-JP"/>
        </w:rPr>
        <w:t xml:space="preserve">). </w:t>
      </w:r>
      <w:r w:rsidRPr="002E5C17">
        <w:rPr>
          <w:i/>
          <w:lang w:eastAsia="ja-JP"/>
        </w:rPr>
        <w:t>WHO World Malaria Report 2015</w:t>
      </w:r>
      <w:r w:rsidRPr="002E5C17">
        <w:rPr>
          <w:lang w:eastAsia="ja-JP"/>
        </w:rPr>
        <w:t>. WHO, Geneva 2016</w:t>
      </w:r>
    </w:p>
  </w:footnote>
  <w:footnote w:id="3">
    <w:p w14:paraId="4625A665" w14:textId="5F0BB98D" w:rsidR="00D70E30" w:rsidRDefault="00D70E30">
      <w:pPr>
        <w:pStyle w:val="FootnoteText"/>
      </w:pPr>
      <w:r>
        <w:rPr>
          <w:rStyle w:val="FootnoteReference"/>
        </w:rPr>
        <w:footnoteRef/>
      </w:r>
      <w:r>
        <w:t xml:space="preserve"> </w:t>
      </w:r>
      <w:r>
        <w:rPr>
          <w:rFonts w:eastAsiaTheme="minorHAnsi"/>
        </w:rPr>
        <w:t>World Health Organiz</w:t>
      </w:r>
      <w:r w:rsidRPr="008922CF">
        <w:rPr>
          <w:rFonts w:eastAsiaTheme="minorHAnsi"/>
        </w:rPr>
        <w:t xml:space="preserve">ation (2015). </w:t>
      </w:r>
      <w:r w:rsidRPr="008922CF">
        <w:rPr>
          <w:rFonts w:eastAsiaTheme="minorHAnsi"/>
          <w:i/>
          <w:iCs/>
        </w:rPr>
        <w:t xml:space="preserve">Guidelines for the treatment of malaria. </w:t>
      </w:r>
      <w:r>
        <w:rPr>
          <w:rFonts w:eastAsiaTheme="minorHAnsi"/>
        </w:rPr>
        <w:t>Third</w:t>
      </w:r>
      <w:r w:rsidRPr="008922CF">
        <w:rPr>
          <w:rFonts w:eastAsiaTheme="minorHAnsi"/>
        </w:rPr>
        <w:t xml:space="preserve"> ed</w:t>
      </w:r>
      <w:r>
        <w:rPr>
          <w:rFonts w:eastAsiaTheme="minorHAnsi"/>
        </w:rPr>
        <w:t>ition</w:t>
      </w:r>
      <w:r w:rsidRPr="008922CF">
        <w:rPr>
          <w:rFonts w:eastAsiaTheme="minorHAnsi"/>
        </w:rPr>
        <w:t xml:space="preserve">. </w:t>
      </w:r>
      <w:r>
        <w:rPr>
          <w:rFonts w:eastAsiaTheme="minorHAnsi"/>
        </w:rPr>
        <w:t xml:space="preserve">Geneva, </w:t>
      </w:r>
      <w:r w:rsidRPr="008922CF">
        <w:rPr>
          <w:rFonts w:eastAsiaTheme="minorHAnsi"/>
        </w:rPr>
        <w:t>Switzerland: WHO Press.</w:t>
      </w:r>
    </w:p>
  </w:footnote>
  <w:footnote w:id="4">
    <w:p w14:paraId="2441C026" w14:textId="3B38FFDC" w:rsidR="00D70E30" w:rsidRDefault="00D70E30">
      <w:pPr>
        <w:pStyle w:val="FootnoteText"/>
      </w:pPr>
      <w:r>
        <w:rPr>
          <w:rStyle w:val="FootnoteReference"/>
        </w:rPr>
        <w:footnoteRef/>
      </w:r>
      <w:r>
        <w:t xml:space="preserve"> </w:t>
      </w:r>
      <w:r w:rsidRPr="003B0104">
        <w:t>Salman</w:t>
      </w:r>
      <w:r>
        <w:t>, S.</w:t>
      </w:r>
      <w:r w:rsidRPr="003B0104">
        <w:t xml:space="preserve"> </w:t>
      </w:r>
      <w:r>
        <w:t>et al</w:t>
      </w:r>
      <w:r w:rsidRPr="003B0104">
        <w:t xml:space="preserve"> (2015 a). Pharmacokinetics of a novel sublingual spray formulation of the</w:t>
      </w:r>
      <w:r>
        <w:t xml:space="preserve"> </w:t>
      </w:r>
      <w:r w:rsidRPr="003B0104">
        <w:t xml:space="preserve">antimalarial drug artemether in healthy adults. </w:t>
      </w:r>
      <w:r w:rsidRPr="003B0104">
        <w:rPr>
          <w:i/>
        </w:rPr>
        <w:t>Antimicrob Agents Chemoth</w:t>
      </w:r>
      <w:r>
        <w:t>.</w:t>
      </w:r>
      <w:r w:rsidRPr="003B0104">
        <w:t xml:space="preserve"> </w:t>
      </w:r>
      <w:r>
        <w:t>2015; 59</w:t>
      </w:r>
      <w:r w:rsidRPr="003B0104">
        <w:t>,</w:t>
      </w:r>
      <w:r>
        <w:t xml:space="preserve"> </w:t>
      </w:r>
      <w:r w:rsidRPr="003B0104">
        <w:t>3197-3207.</w:t>
      </w:r>
    </w:p>
  </w:footnote>
  <w:footnote w:id="5">
    <w:p w14:paraId="2D6815F2" w14:textId="39BEA5BD" w:rsidR="00D70E30" w:rsidRDefault="00D70E30">
      <w:pPr>
        <w:pStyle w:val="FootnoteText"/>
      </w:pPr>
      <w:r>
        <w:rPr>
          <w:rStyle w:val="FootnoteReference"/>
        </w:rPr>
        <w:footnoteRef/>
      </w:r>
      <w:r>
        <w:t xml:space="preserve"> </w:t>
      </w:r>
      <w:r w:rsidRPr="00DF36D6">
        <w:t>Salman</w:t>
      </w:r>
      <w:r>
        <w:t>, S.</w:t>
      </w:r>
      <w:r w:rsidRPr="00DF36D6">
        <w:t xml:space="preserve"> et al (2015 b). Pharmacokinetics of a novel sublingual spray formulation of the antimalarial drug artemether in African children with malaria. </w:t>
      </w:r>
      <w:r w:rsidRPr="00DF36D6">
        <w:rPr>
          <w:i/>
        </w:rPr>
        <w:t>Antimicrob Agents Chemother</w:t>
      </w:r>
      <w:r w:rsidRPr="00DF36D6">
        <w:t xml:space="preserve">. </w:t>
      </w:r>
      <w:r>
        <w:t xml:space="preserve">2015; </w:t>
      </w:r>
      <w:r w:rsidRPr="00DF36D6">
        <w:t>59:</w:t>
      </w:r>
      <w:r>
        <w:t xml:space="preserve"> </w:t>
      </w:r>
      <w:r w:rsidRPr="00DF36D6">
        <w:t>32</w:t>
      </w:r>
      <w:r>
        <w:t>08</w:t>
      </w:r>
      <w:r w:rsidRPr="00DF36D6">
        <w:t>–3215.</w:t>
      </w:r>
    </w:p>
  </w:footnote>
  <w:footnote w:id="6">
    <w:p w14:paraId="6F8DC6EA" w14:textId="7CFEFAE8" w:rsidR="00676703" w:rsidRPr="004A726A" w:rsidRDefault="00676703">
      <w:pPr>
        <w:pStyle w:val="FootnoteText"/>
        <w:rPr>
          <w:lang w:val="en-GB"/>
        </w:rPr>
      </w:pPr>
      <w:r>
        <w:rPr>
          <w:rStyle w:val="FootnoteReference"/>
        </w:rPr>
        <w:footnoteRef/>
      </w:r>
      <w:r>
        <w:t xml:space="preserve"> </w:t>
      </w:r>
      <w:r>
        <w:rPr>
          <w:lang w:val="en-GB"/>
        </w:rPr>
        <w:t xml:space="preserve">The Blantyre Coma Scale is a modification of the Paediatric Glasgow Coma Scale designed for use in </w:t>
      </w:r>
      <w:r w:rsidR="004E444C">
        <w:rPr>
          <w:lang w:val="en-GB"/>
        </w:rPr>
        <w:t>assessing children with malaria, with a composite minimum and maximum score of 0 and 5 respectively. All scores &lt; 5 are considered abnormal.</w:t>
      </w:r>
    </w:p>
  </w:footnote>
  <w:footnote w:id="7">
    <w:p w14:paraId="47C41F22" w14:textId="77777777" w:rsidR="00D70E30" w:rsidRDefault="00D70E30" w:rsidP="008D5FEF">
      <w:pPr>
        <w:pStyle w:val="FootnoteText"/>
      </w:pPr>
      <w:r>
        <w:rPr>
          <w:rStyle w:val="FootnoteReference"/>
        </w:rPr>
        <w:footnoteRef/>
      </w:r>
      <w:r>
        <w:t xml:space="preserve"> Therapeutic Guidelines: Antibiotic, Version 15, 2014, Therapeutic Guidelines Limited, Melbourne.</w:t>
      </w:r>
    </w:p>
  </w:footnote>
  <w:footnote w:id="8">
    <w:p w14:paraId="2D6D3939" w14:textId="77777777" w:rsidR="00D70E30" w:rsidRDefault="00D70E3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523912F4" w14:textId="77777777" w:rsidR="00D70E30" w:rsidRPr="00456765" w:rsidRDefault="00D70E30"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 w:id="9">
    <w:p w14:paraId="19122946" w14:textId="02CF2C87" w:rsidR="00D70E30" w:rsidRDefault="00D70E30">
      <w:pPr>
        <w:pStyle w:val="FootnoteText"/>
      </w:pPr>
      <w:r>
        <w:rPr>
          <w:rStyle w:val="FootnoteReference"/>
        </w:rPr>
        <w:footnoteRef/>
      </w:r>
      <w:r>
        <w:t xml:space="preserve"> Esu, E. B. et al (2019). </w:t>
      </w:r>
      <w:r w:rsidRPr="00CC244C">
        <w:t>Artemether for severe malaria</w:t>
      </w:r>
      <w:r>
        <w:t xml:space="preserve">, </w:t>
      </w:r>
      <w:r w:rsidRPr="00B15598">
        <w:rPr>
          <w:i/>
        </w:rPr>
        <w:t>Cochrane Systematic Review</w:t>
      </w:r>
      <w:r>
        <w:t>.</w:t>
      </w:r>
    </w:p>
  </w:footnote>
  <w:footnote w:id="10">
    <w:p w14:paraId="4D708F4D" w14:textId="14B86ECE" w:rsidR="00D70E30" w:rsidRDefault="00D70E30">
      <w:pPr>
        <w:pStyle w:val="FootnoteText"/>
      </w:pPr>
      <w:r>
        <w:rPr>
          <w:rStyle w:val="FootnoteReference"/>
        </w:rPr>
        <w:footnoteRef/>
      </w:r>
      <w:r>
        <w:t xml:space="preserve"> Bamiselu, O.F. et al (2016). </w:t>
      </w:r>
      <w:r>
        <w:rPr>
          <w:lang w:val="en"/>
        </w:rPr>
        <w:t>Adherence to malaria diagnosis and treatment guidelines among healthcare workers in Ogun State, Nigeria, BMC Public Health, 2016; 16: 828</w:t>
      </w:r>
    </w:p>
  </w:footnote>
  <w:footnote w:id="11">
    <w:p w14:paraId="3121D653" w14:textId="095B8F00" w:rsidR="00D70E30" w:rsidRDefault="00D70E30">
      <w:pPr>
        <w:pStyle w:val="FootnoteText"/>
      </w:pPr>
      <w:r>
        <w:rPr>
          <w:rStyle w:val="FootnoteReference"/>
        </w:rPr>
        <w:footnoteRef/>
      </w:r>
      <w:r>
        <w:t xml:space="preserve"> Global Malaria Programme, </w:t>
      </w:r>
      <w:r w:rsidRPr="00B15598">
        <w:t>Rectal artesunate for pre-referral treatment of severe malaria</w:t>
      </w:r>
      <w:r>
        <w:t>, October 2017 (Rev. October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97EB" w14:textId="77777777" w:rsidR="00D70E30" w:rsidRDefault="00D70E30"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D376" w14:textId="77777777" w:rsidR="00D70E30" w:rsidRDefault="00D70E30">
    <w:pPr>
      <w:rPr>
        <w:noProof/>
        <w:lang w:eastAsia="en-AU"/>
      </w:rPr>
    </w:pPr>
    <w:r w:rsidRPr="00347824">
      <w:rPr>
        <w:noProof/>
        <w:lang w:eastAsia="en-AU"/>
      </w:rPr>
      <w:drawing>
        <wp:anchor distT="0" distB="0" distL="114300" distR="114300" simplePos="0" relativeHeight="251659264" behindDoc="1" locked="0" layoutInCell="1" allowOverlap="1" wp14:anchorId="1A709E77" wp14:editId="6D7BECE8">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7BF2AD5" w14:textId="1B60478C" w:rsidR="00D70E30" w:rsidRDefault="00D70E30"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C019" w14:textId="77777777" w:rsidR="00D70E30" w:rsidRDefault="00D70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657B" w14:textId="77777777" w:rsidR="00D70E30" w:rsidRDefault="00D70E30">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F6E1" w14:textId="77777777" w:rsidR="00D70E30" w:rsidRDefault="00D70E3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B8E9" w14:textId="77777777" w:rsidR="00D70E30" w:rsidRDefault="00D70E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29AB" w14:textId="77777777" w:rsidR="00D70E30" w:rsidRDefault="00D70E30"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27A0" w14:textId="77777777" w:rsidR="00D70E30" w:rsidRDefault="00D70E30" w:rsidP="006E08B3">
    <w:r>
      <w:t>Therapeutic Goods Administration</w:t>
    </w:r>
  </w:p>
  <w:p w14:paraId="2542DBC0" w14:textId="77777777" w:rsidR="00D70E30" w:rsidRDefault="00D70E30"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CD30F8D"/>
    <w:multiLevelType w:val="hybridMultilevel"/>
    <w:tmpl w:val="A3FA42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6"/>
  </w:num>
  <w:num w:numId="28">
    <w:abstractNumId w:val="7"/>
  </w:num>
  <w:num w:numId="29">
    <w:abstractNumId w:val="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8F"/>
    <w:rsid w:val="00002031"/>
    <w:rsid w:val="00004734"/>
    <w:rsid w:val="00006B22"/>
    <w:rsid w:val="0001276A"/>
    <w:rsid w:val="000246AE"/>
    <w:rsid w:val="00025C67"/>
    <w:rsid w:val="000265EB"/>
    <w:rsid w:val="00044772"/>
    <w:rsid w:val="0004541C"/>
    <w:rsid w:val="0005559E"/>
    <w:rsid w:val="000604D6"/>
    <w:rsid w:val="00066F1C"/>
    <w:rsid w:val="000734D8"/>
    <w:rsid w:val="00077775"/>
    <w:rsid w:val="00090471"/>
    <w:rsid w:val="00093686"/>
    <w:rsid w:val="00096AA7"/>
    <w:rsid w:val="000A3AED"/>
    <w:rsid w:val="000B3532"/>
    <w:rsid w:val="000B3A75"/>
    <w:rsid w:val="000C00C2"/>
    <w:rsid w:val="000C690F"/>
    <w:rsid w:val="000D06D7"/>
    <w:rsid w:val="000D1295"/>
    <w:rsid w:val="000D148C"/>
    <w:rsid w:val="000D391B"/>
    <w:rsid w:val="000D3D6D"/>
    <w:rsid w:val="000D4FC7"/>
    <w:rsid w:val="000E6196"/>
    <w:rsid w:val="000E71BB"/>
    <w:rsid w:val="000F4128"/>
    <w:rsid w:val="000F4869"/>
    <w:rsid w:val="000F5B42"/>
    <w:rsid w:val="000F6E6F"/>
    <w:rsid w:val="0010601F"/>
    <w:rsid w:val="0010788A"/>
    <w:rsid w:val="00107A31"/>
    <w:rsid w:val="00110EA5"/>
    <w:rsid w:val="00112F56"/>
    <w:rsid w:val="001161C7"/>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A03AF"/>
    <w:rsid w:val="001A2158"/>
    <w:rsid w:val="001A525F"/>
    <w:rsid w:val="001B09F9"/>
    <w:rsid w:val="001B5C90"/>
    <w:rsid w:val="001B6448"/>
    <w:rsid w:val="001C32CD"/>
    <w:rsid w:val="001D1FF3"/>
    <w:rsid w:val="001D2984"/>
    <w:rsid w:val="001E07CF"/>
    <w:rsid w:val="001E59F1"/>
    <w:rsid w:val="001F2CEE"/>
    <w:rsid w:val="001F3D25"/>
    <w:rsid w:val="001F49EB"/>
    <w:rsid w:val="001F69CE"/>
    <w:rsid w:val="001F6CBA"/>
    <w:rsid w:val="00201D4E"/>
    <w:rsid w:val="002038FE"/>
    <w:rsid w:val="002076C9"/>
    <w:rsid w:val="00214E38"/>
    <w:rsid w:val="00220B8A"/>
    <w:rsid w:val="002228DE"/>
    <w:rsid w:val="002257F3"/>
    <w:rsid w:val="00233456"/>
    <w:rsid w:val="002339A5"/>
    <w:rsid w:val="00257848"/>
    <w:rsid w:val="0027075D"/>
    <w:rsid w:val="0027084A"/>
    <w:rsid w:val="00280265"/>
    <w:rsid w:val="00286434"/>
    <w:rsid w:val="00286C59"/>
    <w:rsid w:val="00291957"/>
    <w:rsid w:val="002942D1"/>
    <w:rsid w:val="0029501A"/>
    <w:rsid w:val="002A27A3"/>
    <w:rsid w:val="002A3721"/>
    <w:rsid w:val="002B1638"/>
    <w:rsid w:val="002B242C"/>
    <w:rsid w:val="002B3624"/>
    <w:rsid w:val="002D0952"/>
    <w:rsid w:val="002D227A"/>
    <w:rsid w:val="002E40B3"/>
    <w:rsid w:val="002E4C9A"/>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70CE3"/>
    <w:rsid w:val="003728F3"/>
    <w:rsid w:val="003735BC"/>
    <w:rsid w:val="0037496E"/>
    <w:rsid w:val="003768F7"/>
    <w:rsid w:val="00383221"/>
    <w:rsid w:val="00386150"/>
    <w:rsid w:val="003874CE"/>
    <w:rsid w:val="00390900"/>
    <w:rsid w:val="003A7F6C"/>
    <w:rsid w:val="003B4D60"/>
    <w:rsid w:val="003B7E39"/>
    <w:rsid w:val="003C58DC"/>
    <w:rsid w:val="003D1E62"/>
    <w:rsid w:val="003E0B99"/>
    <w:rsid w:val="003E2486"/>
    <w:rsid w:val="003E3208"/>
    <w:rsid w:val="003F0B04"/>
    <w:rsid w:val="0040134E"/>
    <w:rsid w:val="00423C05"/>
    <w:rsid w:val="004334C7"/>
    <w:rsid w:val="00440A2D"/>
    <w:rsid w:val="00441C3F"/>
    <w:rsid w:val="00444D1A"/>
    <w:rsid w:val="004460DB"/>
    <w:rsid w:val="0045186A"/>
    <w:rsid w:val="004564A7"/>
    <w:rsid w:val="00456765"/>
    <w:rsid w:val="004617BF"/>
    <w:rsid w:val="00463658"/>
    <w:rsid w:val="004637A0"/>
    <w:rsid w:val="004722CC"/>
    <w:rsid w:val="00485819"/>
    <w:rsid w:val="00490483"/>
    <w:rsid w:val="004936E4"/>
    <w:rsid w:val="0049404A"/>
    <w:rsid w:val="00494E60"/>
    <w:rsid w:val="00497487"/>
    <w:rsid w:val="004A2771"/>
    <w:rsid w:val="004A6189"/>
    <w:rsid w:val="004A726A"/>
    <w:rsid w:val="004A7390"/>
    <w:rsid w:val="004B7B76"/>
    <w:rsid w:val="004C00AF"/>
    <w:rsid w:val="004C239D"/>
    <w:rsid w:val="004C2DCA"/>
    <w:rsid w:val="004C61D2"/>
    <w:rsid w:val="004D7D44"/>
    <w:rsid w:val="004E444C"/>
    <w:rsid w:val="004E7BCA"/>
    <w:rsid w:val="004F0C4A"/>
    <w:rsid w:val="004F0F38"/>
    <w:rsid w:val="004F47D6"/>
    <w:rsid w:val="00500337"/>
    <w:rsid w:val="00501921"/>
    <w:rsid w:val="00517FBD"/>
    <w:rsid w:val="00526483"/>
    <w:rsid w:val="00530354"/>
    <w:rsid w:val="0053625B"/>
    <w:rsid w:val="005434C6"/>
    <w:rsid w:val="00543B39"/>
    <w:rsid w:val="00546154"/>
    <w:rsid w:val="00550096"/>
    <w:rsid w:val="00555280"/>
    <w:rsid w:val="00556639"/>
    <w:rsid w:val="00557FF9"/>
    <w:rsid w:val="00562327"/>
    <w:rsid w:val="005711D5"/>
    <w:rsid w:val="005757F4"/>
    <w:rsid w:val="00576378"/>
    <w:rsid w:val="00577130"/>
    <w:rsid w:val="00577945"/>
    <w:rsid w:val="00577E38"/>
    <w:rsid w:val="00585322"/>
    <w:rsid w:val="005857C6"/>
    <w:rsid w:val="00592F6E"/>
    <w:rsid w:val="00593AD1"/>
    <w:rsid w:val="005A68B6"/>
    <w:rsid w:val="005C5570"/>
    <w:rsid w:val="005C79A4"/>
    <w:rsid w:val="005D5442"/>
    <w:rsid w:val="005F61F8"/>
    <w:rsid w:val="00603F32"/>
    <w:rsid w:val="00605AD4"/>
    <w:rsid w:val="006126AC"/>
    <w:rsid w:val="006136D7"/>
    <w:rsid w:val="00625A6E"/>
    <w:rsid w:val="00632398"/>
    <w:rsid w:val="00636B51"/>
    <w:rsid w:val="00640FC3"/>
    <w:rsid w:val="00641C60"/>
    <w:rsid w:val="00642020"/>
    <w:rsid w:val="006430EE"/>
    <w:rsid w:val="0065337B"/>
    <w:rsid w:val="0065419D"/>
    <w:rsid w:val="006603BC"/>
    <w:rsid w:val="006604D8"/>
    <w:rsid w:val="00664A5B"/>
    <w:rsid w:val="0066735C"/>
    <w:rsid w:val="006763D2"/>
    <w:rsid w:val="00676703"/>
    <w:rsid w:val="00680C08"/>
    <w:rsid w:val="006916A0"/>
    <w:rsid w:val="006931B1"/>
    <w:rsid w:val="0069694F"/>
    <w:rsid w:val="006A15C0"/>
    <w:rsid w:val="006A58A8"/>
    <w:rsid w:val="006C3E2A"/>
    <w:rsid w:val="006C642F"/>
    <w:rsid w:val="006D03E5"/>
    <w:rsid w:val="006D5D3E"/>
    <w:rsid w:val="006E08B3"/>
    <w:rsid w:val="006F0AD0"/>
    <w:rsid w:val="006F17AC"/>
    <w:rsid w:val="006F25B8"/>
    <w:rsid w:val="006F3B3F"/>
    <w:rsid w:val="006F572E"/>
    <w:rsid w:val="006F705B"/>
    <w:rsid w:val="0070437C"/>
    <w:rsid w:val="007046D6"/>
    <w:rsid w:val="00705DB0"/>
    <w:rsid w:val="00722B57"/>
    <w:rsid w:val="00730F8A"/>
    <w:rsid w:val="00735A8C"/>
    <w:rsid w:val="00740C2E"/>
    <w:rsid w:val="0074253D"/>
    <w:rsid w:val="0074429B"/>
    <w:rsid w:val="0075322C"/>
    <w:rsid w:val="0075446A"/>
    <w:rsid w:val="007615BC"/>
    <w:rsid w:val="00762F05"/>
    <w:rsid w:val="007652FF"/>
    <w:rsid w:val="00770CAC"/>
    <w:rsid w:val="00770EF1"/>
    <w:rsid w:val="00773EF7"/>
    <w:rsid w:val="00774E1D"/>
    <w:rsid w:val="00775666"/>
    <w:rsid w:val="007765D8"/>
    <w:rsid w:val="0077675A"/>
    <w:rsid w:val="00780355"/>
    <w:rsid w:val="007819FD"/>
    <w:rsid w:val="00785717"/>
    <w:rsid w:val="00785721"/>
    <w:rsid w:val="00793A59"/>
    <w:rsid w:val="007A46F5"/>
    <w:rsid w:val="007A6505"/>
    <w:rsid w:val="007B6132"/>
    <w:rsid w:val="007B6D80"/>
    <w:rsid w:val="007B6E9F"/>
    <w:rsid w:val="007C1216"/>
    <w:rsid w:val="007C1AF7"/>
    <w:rsid w:val="007C20D1"/>
    <w:rsid w:val="007C6B9B"/>
    <w:rsid w:val="00803BEC"/>
    <w:rsid w:val="00805D27"/>
    <w:rsid w:val="00806DCB"/>
    <w:rsid w:val="0081013E"/>
    <w:rsid w:val="00820707"/>
    <w:rsid w:val="00821776"/>
    <w:rsid w:val="008321F5"/>
    <w:rsid w:val="00832369"/>
    <w:rsid w:val="00834660"/>
    <w:rsid w:val="00836BC2"/>
    <w:rsid w:val="0085156D"/>
    <w:rsid w:val="00852B28"/>
    <w:rsid w:val="008544F2"/>
    <w:rsid w:val="0085641B"/>
    <w:rsid w:val="00857136"/>
    <w:rsid w:val="008639A4"/>
    <w:rsid w:val="00875A6B"/>
    <w:rsid w:val="00885B11"/>
    <w:rsid w:val="00886D15"/>
    <w:rsid w:val="00887DD8"/>
    <w:rsid w:val="00887E8F"/>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5FEF"/>
    <w:rsid w:val="008E1660"/>
    <w:rsid w:val="008E7846"/>
    <w:rsid w:val="008F02E5"/>
    <w:rsid w:val="008F1CCC"/>
    <w:rsid w:val="008F2967"/>
    <w:rsid w:val="008F6943"/>
    <w:rsid w:val="00902A21"/>
    <w:rsid w:val="009048CC"/>
    <w:rsid w:val="0091523F"/>
    <w:rsid w:val="00920330"/>
    <w:rsid w:val="009219D7"/>
    <w:rsid w:val="00922D53"/>
    <w:rsid w:val="00923B70"/>
    <w:rsid w:val="00924482"/>
    <w:rsid w:val="00930237"/>
    <w:rsid w:val="0093230B"/>
    <w:rsid w:val="00937C17"/>
    <w:rsid w:val="00940A89"/>
    <w:rsid w:val="00941F77"/>
    <w:rsid w:val="00946EA5"/>
    <w:rsid w:val="00947F78"/>
    <w:rsid w:val="00963C08"/>
    <w:rsid w:val="009752A5"/>
    <w:rsid w:val="0098585A"/>
    <w:rsid w:val="009A4CED"/>
    <w:rsid w:val="009A690D"/>
    <w:rsid w:val="009B1D12"/>
    <w:rsid w:val="009B416B"/>
    <w:rsid w:val="009C4BD5"/>
    <w:rsid w:val="009D6795"/>
    <w:rsid w:val="009D7B77"/>
    <w:rsid w:val="009E0BB0"/>
    <w:rsid w:val="009E3FBB"/>
    <w:rsid w:val="009F7353"/>
    <w:rsid w:val="00A02C0D"/>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6709C"/>
    <w:rsid w:val="00A706B5"/>
    <w:rsid w:val="00A77F87"/>
    <w:rsid w:val="00A80B5B"/>
    <w:rsid w:val="00A8290B"/>
    <w:rsid w:val="00A84E36"/>
    <w:rsid w:val="00A964D1"/>
    <w:rsid w:val="00A96F6E"/>
    <w:rsid w:val="00AA0ED0"/>
    <w:rsid w:val="00AB3146"/>
    <w:rsid w:val="00AC2B40"/>
    <w:rsid w:val="00AC2BB2"/>
    <w:rsid w:val="00AC2C3C"/>
    <w:rsid w:val="00AC512D"/>
    <w:rsid w:val="00AD0083"/>
    <w:rsid w:val="00AD3935"/>
    <w:rsid w:val="00AE65EB"/>
    <w:rsid w:val="00AE67A7"/>
    <w:rsid w:val="00AF1D94"/>
    <w:rsid w:val="00AF60C5"/>
    <w:rsid w:val="00B009C6"/>
    <w:rsid w:val="00B01548"/>
    <w:rsid w:val="00B130C5"/>
    <w:rsid w:val="00B13EBD"/>
    <w:rsid w:val="00B15598"/>
    <w:rsid w:val="00B16452"/>
    <w:rsid w:val="00B21D29"/>
    <w:rsid w:val="00B25034"/>
    <w:rsid w:val="00B31A51"/>
    <w:rsid w:val="00B33588"/>
    <w:rsid w:val="00B33863"/>
    <w:rsid w:val="00B37D17"/>
    <w:rsid w:val="00B4175E"/>
    <w:rsid w:val="00B41C85"/>
    <w:rsid w:val="00B452CE"/>
    <w:rsid w:val="00B51FE3"/>
    <w:rsid w:val="00B54C25"/>
    <w:rsid w:val="00B76B91"/>
    <w:rsid w:val="00B77EB1"/>
    <w:rsid w:val="00B811C6"/>
    <w:rsid w:val="00B855B0"/>
    <w:rsid w:val="00B92E08"/>
    <w:rsid w:val="00B95ACF"/>
    <w:rsid w:val="00BB2B96"/>
    <w:rsid w:val="00BB3372"/>
    <w:rsid w:val="00BB626A"/>
    <w:rsid w:val="00BC622A"/>
    <w:rsid w:val="00BE049C"/>
    <w:rsid w:val="00BE0A78"/>
    <w:rsid w:val="00BE79F0"/>
    <w:rsid w:val="00BF046D"/>
    <w:rsid w:val="00BF1190"/>
    <w:rsid w:val="00BF3774"/>
    <w:rsid w:val="00BF5D04"/>
    <w:rsid w:val="00BF6D9E"/>
    <w:rsid w:val="00C009AA"/>
    <w:rsid w:val="00C1164D"/>
    <w:rsid w:val="00C16861"/>
    <w:rsid w:val="00C346AB"/>
    <w:rsid w:val="00C404A6"/>
    <w:rsid w:val="00C40A36"/>
    <w:rsid w:val="00C44419"/>
    <w:rsid w:val="00C45E7B"/>
    <w:rsid w:val="00C471B1"/>
    <w:rsid w:val="00C52E24"/>
    <w:rsid w:val="00C560E0"/>
    <w:rsid w:val="00C6316B"/>
    <w:rsid w:val="00C634A9"/>
    <w:rsid w:val="00C64586"/>
    <w:rsid w:val="00C70D53"/>
    <w:rsid w:val="00C73D0B"/>
    <w:rsid w:val="00C772FF"/>
    <w:rsid w:val="00C80137"/>
    <w:rsid w:val="00C801AF"/>
    <w:rsid w:val="00C80256"/>
    <w:rsid w:val="00C94CD4"/>
    <w:rsid w:val="00C9747E"/>
    <w:rsid w:val="00CB6BC0"/>
    <w:rsid w:val="00CC1B7C"/>
    <w:rsid w:val="00CC244C"/>
    <w:rsid w:val="00CC727F"/>
    <w:rsid w:val="00CE20E8"/>
    <w:rsid w:val="00CF15C3"/>
    <w:rsid w:val="00CF2B6F"/>
    <w:rsid w:val="00CF2F3E"/>
    <w:rsid w:val="00CF58B6"/>
    <w:rsid w:val="00D0062D"/>
    <w:rsid w:val="00D017ED"/>
    <w:rsid w:val="00D040D3"/>
    <w:rsid w:val="00D04C65"/>
    <w:rsid w:val="00D0757D"/>
    <w:rsid w:val="00D153D8"/>
    <w:rsid w:val="00D201D2"/>
    <w:rsid w:val="00D224FE"/>
    <w:rsid w:val="00D23139"/>
    <w:rsid w:val="00D425BB"/>
    <w:rsid w:val="00D453FA"/>
    <w:rsid w:val="00D6493E"/>
    <w:rsid w:val="00D70E30"/>
    <w:rsid w:val="00D7195D"/>
    <w:rsid w:val="00D7301E"/>
    <w:rsid w:val="00D80AB8"/>
    <w:rsid w:val="00D83AE1"/>
    <w:rsid w:val="00D84F1D"/>
    <w:rsid w:val="00D855D4"/>
    <w:rsid w:val="00D902C9"/>
    <w:rsid w:val="00D93466"/>
    <w:rsid w:val="00DA1124"/>
    <w:rsid w:val="00DA64CB"/>
    <w:rsid w:val="00DB06B8"/>
    <w:rsid w:val="00DB6124"/>
    <w:rsid w:val="00DB750B"/>
    <w:rsid w:val="00DB75B7"/>
    <w:rsid w:val="00DC0A2F"/>
    <w:rsid w:val="00DC1948"/>
    <w:rsid w:val="00DC6E02"/>
    <w:rsid w:val="00DD28CD"/>
    <w:rsid w:val="00DE02AE"/>
    <w:rsid w:val="00DE39D1"/>
    <w:rsid w:val="00DF1D7F"/>
    <w:rsid w:val="00DF36D6"/>
    <w:rsid w:val="00DF4BE4"/>
    <w:rsid w:val="00E02382"/>
    <w:rsid w:val="00E02FB4"/>
    <w:rsid w:val="00E13FC7"/>
    <w:rsid w:val="00E20571"/>
    <w:rsid w:val="00E235F7"/>
    <w:rsid w:val="00E23659"/>
    <w:rsid w:val="00E239D4"/>
    <w:rsid w:val="00E26130"/>
    <w:rsid w:val="00E35406"/>
    <w:rsid w:val="00E40B22"/>
    <w:rsid w:val="00E44ED1"/>
    <w:rsid w:val="00E45619"/>
    <w:rsid w:val="00E4588F"/>
    <w:rsid w:val="00E46DA3"/>
    <w:rsid w:val="00E51BB1"/>
    <w:rsid w:val="00E55CB0"/>
    <w:rsid w:val="00E624A5"/>
    <w:rsid w:val="00E64BA4"/>
    <w:rsid w:val="00E655DD"/>
    <w:rsid w:val="00E7344E"/>
    <w:rsid w:val="00E7615F"/>
    <w:rsid w:val="00E82665"/>
    <w:rsid w:val="00E84EED"/>
    <w:rsid w:val="00EB0798"/>
    <w:rsid w:val="00EB40AD"/>
    <w:rsid w:val="00EB53AD"/>
    <w:rsid w:val="00EB586E"/>
    <w:rsid w:val="00EB5FC8"/>
    <w:rsid w:val="00EB6078"/>
    <w:rsid w:val="00EC463D"/>
    <w:rsid w:val="00EC7A85"/>
    <w:rsid w:val="00ED2922"/>
    <w:rsid w:val="00ED3CAD"/>
    <w:rsid w:val="00ED5A41"/>
    <w:rsid w:val="00EE1DE8"/>
    <w:rsid w:val="00EE27C2"/>
    <w:rsid w:val="00EF4BAD"/>
    <w:rsid w:val="00EF59DC"/>
    <w:rsid w:val="00F033EC"/>
    <w:rsid w:val="00F04F68"/>
    <w:rsid w:val="00F05342"/>
    <w:rsid w:val="00F12670"/>
    <w:rsid w:val="00F14B27"/>
    <w:rsid w:val="00F14E93"/>
    <w:rsid w:val="00F3148D"/>
    <w:rsid w:val="00F325C5"/>
    <w:rsid w:val="00F32FE0"/>
    <w:rsid w:val="00F35298"/>
    <w:rsid w:val="00F47333"/>
    <w:rsid w:val="00F47E37"/>
    <w:rsid w:val="00F53C07"/>
    <w:rsid w:val="00F54B65"/>
    <w:rsid w:val="00F640B6"/>
    <w:rsid w:val="00F66DF2"/>
    <w:rsid w:val="00F80E40"/>
    <w:rsid w:val="00F848D9"/>
    <w:rsid w:val="00FA5069"/>
    <w:rsid w:val="00FA5B82"/>
    <w:rsid w:val="00FA639E"/>
    <w:rsid w:val="00FC05D1"/>
    <w:rsid w:val="00FC1FCA"/>
    <w:rsid w:val="00FC25E4"/>
    <w:rsid w:val="00FC4EF7"/>
    <w:rsid w:val="00FD0824"/>
    <w:rsid w:val="00FD119B"/>
    <w:rsid w:val="00FD1EDC"/>
    <w:rsid w:val="00FE1DEE"/>
    <w:rsid w:val="00FF17AB"/>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0D87A5"/>
  <w15:docId w15:val="{E411EE75-71C9-488A-8861-AAEB969D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4E9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214E38"/>
    <w:pPr>
      <w:ind w:left="720"/>
      <w:contextualSpacing/>
    </w:pPr>
  </w:style>
  <w:style w:type="paragraph" w:customStyle="1" w:styleId="Default">
    <w:name w:val="Default"/>
    <w:rsid w:val="00B31A5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50223">
      <w:bodyDiv w:val="1"/>
      <w:marLeft w:val="0"/>
      <w:marRight w:val="0"/>
      <w:marTop w:val="0"/>
      <w:marBottom w:val="0"/>
      <w:divBdr>
        <w:top w:val="none" w:sz="0" w:space="0" w:color="auto"/>
        <w:left w:val="none" w:sz="0" w:space="0" w:color="auto"/>
        <w:bottom w:val="none" w:sz="0" w:space="0" w:color="auto"/>
        <w:right w:val="none" w:sz="0" w:space="0" w:color="auto"/>
      </w:divBdr>
    </w:div>
    <w:div w:id="490296966">
      <w:bodyDiv w:val="1"/>
      <w:marLeft w:val="0"/>
      <w:marRight w:val="0"/>
      <w:marTop w:val="0"/>
      <w:marBottom w:val="0"/>
      <w:divBdr>
        <w:top w:val="none" w:sz="0" w:space="0" w:color="auto"/>
        <w:left w:val="none" w:sz="0" w:space="0" w:color="auto"/>
        <w:bottom w:val="none" w:sz="0" w:space="0" w:color="auto"/>
        <w:right w:val="none" w:sz="0" w:space="0" w:color="auto"/>
      </w:divBdr>
    </w:div>
    <w:div w:id="580068839">
      <w:bodyDiv w:val="1"/>
      <w:marLeft w:val="0"/>
      <w:marRight w:val="0"/>
      <w:marTop w:val="0"/>
      <w:marBottom w:val="0"/>
      <w:divBdr>
        <w:top w:val="none" w:sz="0" w:space="0" w:color="auto"/>
        <w:left w:val="none" w:sz="0" w:space="0" w:color="auto"/>
        <w:bottom w:val="none" w:sz="0" w:space="0" w:color="auto"/>
        <w:right w:val="none" w:sz="0" w:space="0" w:color="auto"/>
      </w:divBdr>
    </w:div>
    <w:div w:id="757409367">
      <w:bodyDiv w:val="1"/>
      <w:marLeft w:val="0"/>
      <w:marRight w:val="0"/>
      <w:marTop w:val="0"/>
      <w:marBottom w:val="0"/>
      <w:divBdr>
        <w:top w:val="none" w:sz="0" w:space="0" w:color="auto"/>
        <w:left w:val="none" w:sz="0" w:space="0" w:color="auto"/>
        <w:bottom w:val="none" w:sz="0" w:space="0" w:color="auto"/>
        <w:right w:val="none" w:sz="0" w:space="0" w:color="auto"/>
      </w:divBdr>
    </w:div>
    <w:div w:id="830219424">
      <w:bodyDiv w:val="1"/>
      <w:marLeft w:val="0"/>
      <w:marRight w:val="0"/>
      <w:marTop w:val="0"/>
      <w:marBottom w:val="0"/>
      <w:divBdr>
        <w:top w:val="none" w:sz="0" w:space="0" w:color="auto"/>
        <w:left w:val="none" w:sz="0" w:space="0" w:color="auto"/>
        <w:bottom w:val="none" w:sz="0" w:space="0" w:color="auto"/>
        <w:right w:val="none" w:sz="0" w:space="0" w:color="auto"/>
      </w:divBdr>
    </w:div>
    <w:div w:id="996691263">
      <w:bodyDiv w:val="1"/>
      <w:marLeft w:val="0"/>
      <w:marRight w:val="0"/>
      <w:marTop w:val="0"/>
      <w:marBottom w:val="0"/>
      <w:divBdr>
        <w:top w:val="none" w:sz="0" w:space="0" w:color="auto"/>
        <w:left w:val="none" w:sz="0" w:space="0" w:color="auto"/>
        <w:bottom w:val="none" w:sz="0" w:space="0" w:color="auto"/>
        <w:right w:val="none" w:sz="0" w:space="0" w:color="auto"/>
      </w:divBdr>
    </w:div>
    <w:div w:id="1194921338">
      <w:bodyDiv w:val="1"/>
      <w:marLeft w:val="0"/>
      <w:marRight w:val="0"/>
      <w:marTop w:val="0"/>
      <w:marBottom w:val="0"/>
      <w:divBdr>
        <w:top w:val="none" w:sz="0" w:space="0" w:color="auto"/>
        <w:left w:val="none" w:sz="0" w:space="0" w:color="auto"/>
        <w:bottom w:val="none" w:sz="0" w:space="0" w:color="auto"/>
        <w:right w:val="none" w:sz="0" w:space="0" w:color="auto"/>
      </w:divBdr>
    </w:div>
    <w:div w:id="1334408374">
      <w:bodyDiv w:val="1"/>
      <w:marLeft w:val="0"/>
      <w:marRight w:val="0"/>
      <w:marTop w:val="0"/>
      <w:marBottom w:val="0"/>
      <w:divBdr>
        <w:top w:val="none" w:sz="0" w:space="0" w:color="auto"/>
        <w:left w:val="none" w:sz="0" w:space="0" w:color="auto"/>
        <w:bottom w:val="none" w:sz="0" w:space="0" w:color="auto"/>
        <w:right w:val="none" w:sz="0" w:space="0" w:color="auto"/>
      </w:divBdr>
    </w:div>
    <w:div w:id="1959022679">
      <w:bodyDiv w:val="1"/>
      <w:marLeft w:val="0"/>
      <w:marRight w:val="0"/>
      <w:marTop w:val="0"/>
      <w:marBottom w:val="0"/>
      <w:divBdr>
        <w:top w:val="none" w:sz="0" w:space="0" w:color="auto"/>
        <w:left w:val="none" w:sz="0" w:space="0" w:color="auto"/>
        <w:bottom w:val="none" w:sz="0" w:space="0" w:color="auto"/>
        <w:right w:val="none" w:sz="0" w:space="0" w:color="auto"/>
      </w:divBdr>
    </w:div>
    <w:div w:id="20079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3.xml"/><Relationship Id="rId18"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nfo@tga.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4.xm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4608\t0Q1N4LL.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7EEF-F380-440D-8B7E-7B84CE53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t0Q1N4LL.DOTX</Template>
  <TotalTime>150</TotalTime>
  <Pages>25</Pages>
  <Words>10123</Words>
  <Characters>55075</Characters>
  <Application>Microsoft Office Word</Application>
  <DocSecurity>0</DocSecurity>
  <Lines>1039</Lines>
  <Paragraphs>475</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and Aged Care</Company>
  <LinksUpToDate>false</LinksUpToDate>
  <CharactersWithSpaces>64723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Artemether</dc:title>
  <dc:subject>prescription medicine regulation</dc:subject>
  <dc:creator>Therapeutic Goods Administration</dc:creator>
  <cp:keywords/>
  <cp:lastModifiedBy>PITKIN, Brendan</cp:lastModifiedBy>
  <cp:revision>6</cp:revision>
  <cp:lastPrinted>2019-08-14T04:30:00Z</cp:lastPrinted>
  <dcterms:created xsi:type="dcterms:W3CDTF">2022-11-28T02:47:00Z</dcterms:created>
  <dcterms:modified xsi:type="dcterms:W3CDTF">2022-12-14T02:32:00Z</dcterms:modified>
  <cp:category/>
</cp:coreProperties>
</file>