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FE1311" w:rsidP="00331C57">
            <w:pPr>
              <w:rPr>
                <w:rFonts w:ascii="Arial" w:hAnsi="Arial" w:cs="Arial"/>
                <w:b/>
                <w:color w:val="002C47"/>
                <w:sz w:val="36"/>
                <w:szCs w:val="36"/>
              </w:rPr>
            </w:pPr>
            <w:r>
              <w:rPr>
                <w:rFonts w:ascii="Arial" w:hAnsi="Arial" w:cs="Arial"/>
                <w:b/>
                <w:color w:val="002C47"/>
                <w:sz w:val="36"/>
                <w:szCs w:val="36"/>
              </w:rPr>
              <w:t>October</w:t>
            </w:r>
            <w:r w:rsidR="00331C57">
              <w:rPr>
                <w:rFonts w:ascii="Arial" w:hAnsi="Arial" w:cs="Arial"/>
                <w:b/>
                <w:color w:val="002C47"/>
                <w:sz w:val="36"/>
                <w:szCs w:val="36"/>
              </w:rPr>
              <w:t xml:space="preserve"> 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331C57">
            <w:pPr>
              <w:pStyle w:val="Title"/>
              <w:rPr>
                <w:color w:val="FFFFFF" w:themeColor="background1"/>
              </w:rPr>
            </w:pPr>
            <w:r w:rsidRPr="00A964D1">
              <w:rPr>
                <w:color w:val="FFFFFF" w:themeColor="background1"/>
              </w:rPr>
              <w:t xml:space="preserve">Australian Public Assessment Report for </w:t>
            </w:r>
            <w:proofErr w:type="spellStart"/>
            <w:r w:rsidR="00331C57" w:rsidRPr="00331C57">
              <w:rPr>
                <w:color w:val="FFFFFF" w:themeColor="background1"/>
              </w:rPr>
              <w:t>Atazanavir</w:t>
            </w:r>
            <w:proofErr w:type="spellEnd"/>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Proprietary Product Name:</w:t>
            </w:r>
            <w:r w:rsidR="00A10B25">
              <w:rPr>
                <w:color w:val="FFFFFF" w:themeColor="background1"/>
              </w:rPr>
              <w:t xml:space="preserve"> </w:t>
            </w:r>
            <w:r w:rsidR="00331C57" w:rsidRPr="00331C57">
              <w:rPr>
                <w:color w:val="FFFFFF" w:themeColor="background1"/>
              </w:rPr>
              <w:t>Reyataz</w:t>
            </w:r>
            <w:r w:rsidR="00A10B25">
              <w:rPr>
                <w:color w:val="FFFFFF" w:themeColor="background1"/>
              </w:rPr>
              <w:t xml:space="preserve"> </w:t>
            </w:r>
          </w:p>
        </w:tc>
      </w:tr>
      <w:tr w:rsidR="0032583B" w:rsidRPr="00B64760" w:rsidTr="0032583B">
        <w:trPr>
          <w:trHeight w:val="486"/>
        </w:trPr>
        <w:tc>
          <w:tcPr>
            <w:tcW w:w="9079" w:type="dxa"/>
          </w:tcPr>
          <w:p w:rsidR="0032583B" w:rsidRPr="008E7846" w:rsidRDefault="0032583B" w:rsidP="00331C57">
            <w:pPr>
              <w:pStyle w:val="Subtitle"/>
              <w:rPr>
                <w:color w:val="FFFFFF" w:themeColor="background1"/>
              </w:rPr>
            </w:pPr>
            <w:r w:rsidRPr="008E7846">
              <w:rPr>
                <w:color w:val="FFFFFF" w:themeColor="background1"/>
              </w:rPr>
              <w:t>Sponsor:</w:t>
            </w:r>
            <w:r w:rsidR="00331C57" w:rsidRPr="00331C57">
              <w:rPr>
                <w:rFonts w:eastAsia="Cambria" w:cs="Arial"/>
                <w:bCs w:val="0"/>
                <w:iCs w:val="0"/>
                <w:color w:val="FFFFFF" w:themeColor="background1"/>
                <w:szCs w:val="40"/>
              </w:rPr>
              <w:t xml:space="preserve"> </w:t>
            </w:r>
            <w:r w:rsidR="00331C57" w:rsidRPr="00331C57">
              <w:rPr>
                <w:color w:val="FFFFFF" w:themeColor="background1"/>
              </w:rPr>
              <w:t>Bristol-Myers Squibb Australian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E0107D">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E0107D">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E0107D">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E0107D">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E0107D">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AD0A60">
          <w:rPr>
            <w:rStyle w:val="Hyperlink"/>
          </w:rPr>
          <w:t>http://www.tga.gov.au</w:t>
        </w:r>
      </w:hyperlink>
      <w:r w:rsidR="00112F56">
        <w:t>&gt;</w:t>
      </w:r>
      <w:r>
        <w:t>.</w:t>
      </w:r>
    </w:p>
    <w:p w:rsidR="008E7846" w:rsidRDefault="008E7846" w:rsidP="008E7846">
      <w:pPr>
        <w:pStyle w:val="NonTOCHeading2"/>
      </w:pPr>
      <w:r>
        <w:t>About AusPARs</w:t>
      </w:r>
    </w:p>
    <w:p w:rsidR="008E7846" w:rsidRDefault="008E7846" w:rsidP="00E0107D">
      <w:pPr>
        <w:pStyle w:val="ListBullet"/>
        <w:numPr>
          <w:ilvl w:val="0"/>
          <w:numId w:val="1"/>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E0107D">
      <w:pPr>
        <w:pStyle w:val="ListBullet"/>
        <w:numPr>
          <w:ilvl w:val="0"/>
          <w:numId w:val="1"/>
        </w:numPr>
        <w:ind w:left="357" w:hanging="357"/>
      </w:pPr>
      <w:r>
        <w:t>AusPARs are prepared and published by the TGA.</w:t>
      </w:r>
    </w:p>
    <w:p w:rsidR="008E7846" w:rsidRDefault="008E7846" w:rsidP="00E0107D">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E0107D">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E0107D">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rsidR="0089635C" w:rsidRPr="0089635C" w:rsidRDefault="0089635C" w:rsidP="0010788A">
          <w:pPr>
            <w:pStyle w:val="Contents"/>
          </w:pPr>
          <w:r w:rsidRPr="0010788A">
            <w:t>Contents</w:t>
          </w:r>
        </w:p>
        <w:p w:rsidR="0099682D" w:rsidRDefault="0000112E">
          <w:pPr>
            <w:pStyle w:val="TOC2"/>
            <w:rPr>
              <w:rFonts w:asciiTheme="minorHAnsi" w:eastAsiaTheme="minorEastAsia" w:hAnsiTheme="minorHAnsi" w:cstheme="minorBidi"/>
              <w:b w:val="0"/>
              <w:noProof/>
              <w:sz w:val="22"/>
              <w:lang w:eastAsia="en-AU"/>
            </w:rPr>
          </w:pPr>
          <w:r w:rsidRPr="0000112E">
            <w:fldChar w:fldCharType="begin"/>
          </w:r>
          <w:r w:rsidR="0089635C">
            <w:instrText xml:space="preserve"> TOC \o "1-3" \h \z \u </w:instrText>
          </w:r>
          <w:r w:rsidRPr="0000112E">
            <w:fldChar w:fldCharType="separate"/>
          </w:r>
          <w:hyperlink w:anchor="_Toc371428577" w:history="1">
            <w:r w:rsidR="0099682D" w:rsidRPr="00722EB0">
              <w:rPr>
                <w:rStyle w:val="Hyperlink"/>
                <w:noProof/>
              </w:rPr>
              <w:t>List of abbreviations</w:t>
            </w:r>
            <w:r w:rsidR="0099682D">
              <w:rPr>
                <w:noProof/>
                <w:webHidden/>
              </w:rPr>
              <w:tab/>
            </w:r>
            <w:r>
              <w:rPr>
                <w:noProof/>
                <w:webHidden/>
              </w:rPr>
              <w:fldChar w:fldCharType="begin"/>
            </w:r>
            <w:r w:rsidR="0099682D">
              <w:rPr>
                <w:noProof/>
                <w:webHidden/>
              </w:rPr>
              <w:instrText xml:space="preserve"> PAGEREF _Toc371428577 \h </w:instrText>
            </w:r>
            <w:r>
              <w:rPr>
                <w:noProof/>
                <w:webHidden/>
              </w:rPr>
            </w:r>
            <w:r>
              <w:rPr>
                <w:noProof/>
                <w:webHidden/>
              </w:rPr>
              <w:fldChar w:fldCharType="separate"/>
            </w:r>
            <w:r w:rsidR="0099682D">
              <w:rPr>
                <w:noProof/>
                <w:webHidden/>
              </w:rPr>
              <w:t>4</w:t>
            </w:r>
            <w:r>
              <w:rPr>
                <w:noProof/>
                <w:webHidden/>
              </w:rPr>
              <w:fldChar w:fldCharType="end"/>
            </w:r>
          </w:hyperlink>
        </w:p>
        <w:p w:rsidR="0099682D" w:rsidRDefault="0000112E">
          <w:pPr>
            <w:pStyle w:val="TOC2"/>
            <w:rPr>
              <w:rFonts w:asciiTheme="minorHAnsi" w:eastAsiaTheme="minorEastAsia" w:hAnsiTheme="minorHAnsi" w:cstheme="minorBidi"/>
              <w:b w:val="0"/>
              <w:noProof/>
              <w:sz w:val="22"/>
              <w:lang w:eastAsia="en-AU"/>
            </w:rPr>
          </w:pPr>
          <w:hyperlink w:anchor="_Toc371428578" w:history="1">
            <w:r w:rsidR="0099682D" w:rsidRPr="00722EB0">
              <w:rPr>
                <w:rStyle w:val="Hyperlink"/>
                <w:noProof/>
              </w:rPr>
              <w:t>I. Introduction to product submission</w:t>
            </w:r>
            <w:r w:rsidR="0099682D">
              <w:rPr>
                <w:noProof/>
                <w:webHidden/>
              </w:rPr>
              <w:tab/>
            </w:r>
            <w:r>
              <w:rPr>
                <w:noProof/>
                <w:webHidden/>
              </w:rPr>
              <w:fldChar w:fldCharType="begin"/>
            </w:r>
            <w:r w:rsidR="0099682D">
              <w:rPr>
                <w:noProof/>
                <w:webHidden/>
              </w:rPr>
              <w:instrText xml:space="preserve"> PAGEREF _Toc371428578 \h </w:instrText>
            </w:r>
            <w:r>
              <w:rPr>
                <w:noProof/>
                <w:webHidden/>
              </w:rPr>
            </w:r>
            <w:r>
              <w:rPr>
                <w:noProof/>
                <w:webHidden/>
              </w:rPr>
              <w:fldChar w:fldCharType="separate"/>
            </w:r>
            <w:r w:rsidR="0099682D">
              <w:rPr>
                <w:noProof/>
                <w:webHidden/>
              </w:rPr>
              <w:t>8</w:t>
            </w:r>
            <w:r>
              <w:rPr>
                <w:noProof/>
                <w:webHidden/>
              </w:rPr>
              <w:fldChar w:fldCharType="end"/>
            </w:r>
          </w:hyperlink>
        </w:p>
        <w:p w:rsidR="0099682D" w:rsidRDefault="0000112E">
          <w:pPr>
            <w:pStyle w:val="TOC3"/>
            <w:rPr>
              <w:rFonts w:asciiTheme="minorHAnsi" w:eastAsiaTheme="minorEastAsia" w:hAnsiTheme="minorHAnsi" w:cstheme="minorBidi"/>
              <w:noProof/>
              <w:lang w:eastAsia="en-AU"/>
            </w:rPr>
          </w:pPr>
          <w:hyperlink w:anchor="_Toc371428579" w:history="1">
            <w:r w:rsidR="0099682D" w:rsidRPr="00722EB0">
              <w:rPr>
                <w:rStyle w:val="Hyperlink"/>
                <w:noProof/>
                <w:lang w:eastAsia="en-AU"/>
              </w:rPr>
              <w:t>Submission details</w:t>
            </w:r>
            <w:r w:rsidR="0099682D">
              <w:rPr>
                <w:noProof/>
                <w:webHidden/>
              </w:rPr>
              <w:tab/>
            </w:r>
            <w:r>
              <w:rPr>
                <w:noProof/>
                <w:webHidden/>
              </w:rPr>
              <w:fldChar w:fldCharType="begin"/>
            </w:r>
            <w:r w:rsidR="0099682D">
              <w:rPr>
                <w:noProof/>
                <w:webHidden/>
              </w:rPr>
              <w:instrText xml:space="preserve"> PAGEREF _Toc371428579 \h </w:instrText>
            </w:r>
            <w:r>
              <w:rPr>
                <w:noProof/>
                <w:webHidden/>
              </w:rPr>
            </w:r>
            <w:r>
              <w:rPr>
                <w:noProof/>
                <w:webHidden/>
              </w:rPr>
              <w:fldChar w:fldCharType="separate"/>
            </w:r>
            <w:r w:rsidR="0099682D">
              <w:rPr>
                <w:noProof/>
                <w:webHidden/>
              </w:rPr>
              <w:t>8</w:t>
            </w:r>
            <w:r>
              <w:rPr>
                <w:noProof/>
                <w:webHidden/>
              </w:rPr>
              <w:fldChar w:fldCharType="end"/>
            </w:r>
          </w:hyperlink>
        </w:p>
        <w:p w:rsidR="0099682D" w:rsidRDefault="0000112E">
          <w:pPr>
            <w:pStyle w:val="TOC3"/>
            <w:rPr>
              <w:rFonts w:asciiTheme="minorHAnsi" w:eastAsiaTheme="minorEastAsia" w:hAnsiTheme="minorHAnsi" w:cstheme="minorBidi"/>
              <w:noProof/>
              <w:lang w:eastAsia="en-AU"/>
            </w:rPr>
          </w:pPr>
          <w:hyperlink w:anchor="_Toc371428580" w:history="1">
            <w:r w:rsidR="0099682D" w:rsidRPr="00722EB0">
              <w:rPr>
                <w:rStyle w:val="Hyperlink"/>
                <w:noProof/>
              </w:rPr>
              <w:t>Product background</w:t>
            </w:r>
            <w:r w:rsidR="0099682D">
              <w:rPr>
                <w:noProof/>
                <w:webHidden/>
              </w:rPr>
              <w:tab/>
            </w:r>
            <w:r>
              <w:rPr>
                <w:noProof/>
                <w:webHidden/>
              </w:rPr>
              <w:fldChar w:fldCharType="begin"/>
            </w:r>
            <w:r w:rsidR="0099682D">
              <w:rPr>
                <w:noProof/>
                <w:webHidden/>
              </w:rPr>
              <w:instrText xml:space="preserve"> PAGEREF _Toc371428580 \h </w:instrText>
            </w:r>
            <w:r>
              <w:rPr>
                <w:noProof/>
                <w:webHidden/>
              </w:rPr>
            </w:r>
            <w:r>
              <w:rPr>
                <w:noProof/>
                <w:webHidden/>
              </w:rPr>
              <w:fldChar w:fldCharType="separate"/>
            </w:r>
            <w:r w:rsidR="0099682D">
              <w:rPr>
                <w:noProof/>
                <w:webHidden/>
              </w:rPr>
              <w:t>8</w:t>
            </w:r>
            <w:r>
              <w:rPr>
                <w:noProof/>
                <w:webHidden/>
              </w:rPr>
              <w:fldChar w:fldCharType="end"/>
            </w:r>
          </w:hyperlink>
        </w:p>
        <w:p w:rsidR="0099682D" w:rsidRDefault="0000112E">
          <w:pPr>
            <w:pStyle w:val="TOC3"/>
            <w:rPr>
              <w:rFonts w:asciiTheme="minorHAnsi" w:eastAsiaTheme="minorEastAsia" w:hAnsiTheme="minorHAnsi" w:cstheme="minorBidi"/>
              <w:noProof/>
              <w:lang w:eastAsia="en-AU"/>
            </w:rPr>
          </w:pPr>
          <w:hyperlink w:anchor="_Toc371428581" w:history="1">
            <w:r w:rsidR="0099682D" w:rsidRPr="00722EB0">
              <w:rPr>
                <w:rStyle w:val="Hyperlink"/>
                <w:noProof/>
              </w:rPr>
              <w:t>Regulatory status</w:t>
            </w:r>
            <w:r w:rsidR="0099682D">
              <w:rPr>
                <w:noProof/>
                <w:webHidden/>
              </w:rPr>
              <w:tab/>
            </w:r>
            <w:r>
              <w:rPr>
                <w:noProof/>
                <w:webHidden/>
              </w:rPr>
              <w:fldChar w:fldCharType="begin"/>
            </w:r>
            <w:r w:rsidR="0099682D">
              <w:rPr>
                <w:noProof/>
                <w:webHidden/>
              </w:rPr>
              <w:instrText xml:space="preserve"> PAGEREF _Toc371428581 \h </w:instrText>
            </w:r>
            <w:r>
              <w:rPr>
                <w:noProof/>
                <w:webHidden/>
              </w:rPr>
            </w:r>
            <w:r>
              <w:rPr>
                <w:noProof/>
                <w:webHidden/>
              </w:rPr>
              <w:fldChar w:fldCharType="separate"/>
            </w:r>
            <w:r w:rsidR="0099682D">
              <w:rPr>
                <w:noProof/>
                <w:webHidden/>
              </w:rPr>
              <w:t>9</w:t>
            </w:r>
            <w:r>
              <w:rPr>
                <w:noProof/>
                <w:webHidden/>
              </w:rPr>
              <w:fldChar w:fldCharType="end"/>
            </w:r>
          </w:hyperlink>
        </w:p>
        <w:p w:rsidR="0099682D" w:rsidRDefault="0000112E">
          <w:pPr>
            <w:pStyle w:val="TOC3"/>
            <w:rPr>
              <w:rFonts w:asciiTheme="minorHAnsi" w:eastAsiaTheme="minorEastAsia" w:hAnsiTheme="minorHAnsi" w:cstheme="minorBidi"/>
              <w:noProof/>
              <w:lang w:eastAsia="en-AU"/>
            </w:rPr>
          </w:pPr>
          <w:hyperlink w:anchor="_Toc371428582" w:history="1">
            <w:r w:rsidR="0099682D" w:rsidRPr="00722EB0">
              <w:rPr>
                <w:rStyle w:val="Hyperlink"/>
                <w:noProof/>
              </w:rPr>
              <w:t>Product Information</w:t>
            </w:r>
            <w:r w:rsidR="0099682D">
              <w:rPr>
                <w:noProof/>
                <w:webHidden/>
              </w:rPr>
              <w:tab/>
            </w:r>
            <w:r>
              <w:rPr>
                <w:noProof/>
                <w:webHidden/>
              </w:rPr>
              <w:fldChar w:fldCharType="begin"/>
            </w:r>
            <w:r w:rsidR="0099682D">
              <w:rPr>
                <w:noProof/>
                <w:webHidden/>
              </w:rPr>
              <w:instrText xml:space="preserve"> PAGEREF _Toc371428582 \h </w:instrText>
            </w:r>
            <w:r>
              <w:rPr>
                <w:noProof/>
                <w:webHidden/>
              </w:rPr>
            </w:r>
            <w:r>
              <w:rPr>
                <w:noProof/>
                <w:webHidden/>
              </w:rPr>
              <w:fldChar w:fldCharType="separate"/>
            </w:r>
            <w:r w:rsidR="0099682D">
              <w:rPr>
                <w:noProof/>
                <w:webHidden/>
              </w:rPr>
              <w:t>10</w:t>
            </w:r>
            <w:r>
              <w:rPr>
                <w:noProof/>
                <w:webHidden/>
              </w:rPr>
              <w:fldChar w:fldCharType="end"/>
            </w:r>
          </w:hyperlink>
        </w:p>
        <w:p w:rsidR="0099682D" w:rsidRDefault="0000112E">
          <w:pPr>
            <w:pStyle w:val="TOC2"/>
            <w:rPr>
              <w:rFonts w:asciiTheme="minorHAnsi" w:eastAsiaTheme="minorEastAsia" w:hAnsiTheme="minorHAnsi" w:cstheme="minorBidi"/>
              <w:b w:val="0"/>
              <w:noProof/>
              <w:sz w:val="22"/>
              <w:lang w:eastAsia="en-AU"/>
            </w:rPr>
          </w:pPr>
          <w:hyperlink w:anchor="_Toc371428583" w:history="1">
            <w:r w:rsidR="0099682D" w:rsidRPr="00722EB0">
              <w:rPr>
                <w:rStyle w:val="Hyperlink"/>
                <w:noProof/>
              </w:rPr>
              <w:t>II. Quality findings</w:t>
            </w:r>
            <w:r w:rsidR="0099682D">
              <w:rPr>
                <w:noProof/>
                <w:webHidden/>
              </w:rPr>
              <w:tab/>
            </w:r>
            <w:r>
              <w:rPr>
                <w:noProof/>
                <w:webHidden/>
              </w:rPr>
              <w:fldChar w:fldCharType="begin"/>
            </w:r>
            <w:r w:rsidR="0099682D">
              <w:rPr>
                <w:noProof/>
                <w:webHidden/>
              </w:rPr>
              <w:instrText xml:space="preserve"> PAGEREF _Toc371428583 \h </w:instrText>
            </w:r>
            <w:r>
              <w:rPr>
                <w:noProof/>
                <w:webHidden/>
              </w:rPr>
            </w:r>
            <w:r>
              <w:rPr>
                <w:noProof/>
                <w:webHidden/>
              </w:rPr>
              <w:fldChar w:fldCharType="separate"/>
            </w:r>
            <w:r w:rsidR="0099682D">
              <w:rPr>
                <w:noProof/>
                <w:webHidden/>
              </w:rPr>
              <w:t>10</w:t>
            </w:r>
            <w:r>
              <w:rPr>
                <w:noProof/>
                <w:webHidden/>
              </w:rPr>
              <w:fldChar w:fldCharType="end"/>
            </w:r>
          </w:hyperlink>
        </w:p>
        <w:p w:rsidR="0099682D" w:rsidRDefault="0000112E">
          <w:pPr>
            <w:pStyle w:val="TOC2"/>
            <w:rPr>
              <w:rFonts w:asciiTheme="minorHAnsi" w:eastAsiaTheme="minorEastAsia" w:hAnsiTheme="minorHAnsi" w:cstheme="minorBidi"/>
              <w:b w:val="0"/>
              <w:noProof/>
              <w:sz w:val="22"/>
              <w:lang w:eastAsia="en-AU"/>
            </w:rPr>
          </w:pPr>
          <w:hyperlink w:anchor="_Toc371428584" w:history="1">
            <w:r w:rsidR="0099682D" w:rsidRPr="00722EB0">
              <w:rPr>
                <w:rStyle w:val="Hyperlink"/>
                <w:noProof/>
              </w:rPr>
              <w:t>III. Nonclinical findings</w:t>
            </w:r>
            <w:r w:rsidR="0099682D">
              <w:rPr>
                <w:noProof/>
                <w:webHidden/>
              </w:rPr>
              <w:tab/>
            </w:r>
            <w:r>
              <w:rPr>
                <w:noProof/>
                <w:webHidden/>
              </w:rPr>
              <w:fldChar w:fldCharType="begin"/>
            </w:r>
            <w:r w:rsidR="0099682D">
              <w:rPr>
                <w:noProof/>
                <w:webHidden/>
              </w:rPr>
              <w:instrText xml:space="preserve"> PAGEREF _Toc371428584 \h </w:instrText>
            </w:r>
            <w:r>
              <w:rPr>
                <w:noProof/>
                <w:webHidden/>
              </w:rPr>
            </w:r>
            <w:r>
              <w:rPr>
                <w:noProof/>
                <w:webHidden/>
              </w:rPr>
              <w:fldChar w:fldCharType="separate"/>
            </w:r>
            <w:r w:rsidR="0099682D">
              <w:rPr>
                <w:noProof/>
                <w:webHidden/>
              </w:rPr>
              <w:t>10</w:t>
            </w:r>
            <w:r>
              <w:rPr>
                <w:noProof/>
                <w:webHidden/>
              </w:rPr>
              <w:fldChar w:fldCharType="end"/>
            </w:r>
          </w:hyperlink>
        </w:p>
        <w:p w:rsidR="0099682D" w:rsidRDefault="0000112E">
          <w:pPr>
            <w:pStyle w:val="TOC2"/>
            <w:rPr>
              <w:rFonts w:asciiTheme="minorHAnsi" w:eastAsiaTheme="minorEastAsia" w:hAnsiTheme="minorHAnsi" w:cstheme="minorBidi"/>
              <w:b w:val="0"/>
              <w:noProof/>
              <w:sz w:val="22"/>
              <w:lang w:eastAsia="en-AU"/>
            </w:rPr>
          </w:pPr>
          <w:hyperlink w:anchor="_Toc371428585" w:history="1">
            <w:r w:rsidR="0099682D" w:rsidRPr="00722EB0">
              <w:rPr>
                <w:rStyle w:val="Hyperlink"/>
                <w:noProof/>
              </w:rPr>
              <w:t>IV. Clinical findings</w:t>
            </w:r>
            <w:r w:rsidR="0099682D">
              <w:rPr>
                <w:noProof/>
                <w:webHidden/>
              </w:rPr>
              <w:tab/>
            </w:r>
            <w:r>
              <w:rPr>
                <w:noProof/>
                <w:webHidden/>
              </w:rPr>
              <w:fldChar w:fldCharType="begin"/>
            </w:r>
            <w:r w:rsidR="0099682D">
              <w:rPr>
                <w:noProof/>
                <w:webHidden/>
              </w:rPr>
              <w:instrText xml:space="preserve"> PAGEREF _Toc371428585 \h </w:instrText>
            </w:r>
            <w:r>
              <w:rPr>
                <w:noProof/>
                <w:webHidden/>
              </w:rPr>
            </w:r>
            <w:r>
              <w:rPr>
                <w:noProof/>
                <w:webHidden/>
              </w:rPr>
              <w:fldChar w:fldCharType="separate"/>
            </w:r>
            <w:r w:rsidR="0099682D">
              <w:rPr>
                <w:noProof/>
                <w:webHidden/>
              </w:rPr>
              <w:t>10</w:t>
            </w:r>
            <w:r>
              <w:rPr>
                <w:noProof/>
                <w:webHidden/>
              </w:rPr>
              <w:fldChar w:fldCharType="end"/>
            </w:r>
          </w:hyperlink>
        </w:p>
        <w:p w:rsidR="0099682D" w:rsidRDefault="0000112E">
          <w:pPr>
            <w:pStyle w:val="TOC3"/>
            <w:rPr>
              <w:rFonts w:asciiTheme="minorHAnsi" w:eastAsiaTheme="minorEastAsia" w:hAnsiTheme="minorHAnsi" w:cstheme="minorBidi"/>
              <w:noProof/>
              <w:lang w:eastAsia="en-AU"/>
            </w:rPr>
          </w:pPr>
          <w:hyperlink w:anchor="_Toc371428586" w:history="1">
            <w:r w:rsidR="0099682D" w:rsidRPr="00722EB0">
              <w:rPr>
                <w:rStyle w:val="Hyperlink"/>
                <w:noProof/>
              </w:rPr>
              <w:t>Introduction</w:t>
            </w:r>
            <w:r w:rsidR="0099682D">
              <w:rPr>
                <w:noProof/>
                <w:webHidden/>
              </w:rPr>
              <w:tab/>
            </w:r>
            <w:r>
              <w:rPr>
                <w:noProof/>
                <w:webHidden/>
              </w:rPr>
              <w:fldChar w:fldCharType="begin"/>
            </w:r>
            <w:r w:rsidR="0099682D">
              <w:rPr>
                <w:noProof/>
                <w:webHidden/>
              </w:rPr>
              <w:instrText xml:space="preserve"> PAGEREF _Toc371428586 \h </w:instrText>
            </w:r>
            <w:r>
              <w:rPr>
                <w:noProof/>
                <w:webHidden/>
              </w:rPr>
            </w:r>
            <w:r>
              <w:rPr>
                <w:noProof/>
                <w:webHidden/>
              </w:rPr>
              <w:fldChar w:fldCharType="separate"/>
            </w:r>
            <w:r w:rsidR="0099682D">
              <w:rPr>
                <w:noProof/>
                <w:webHidden/>
              </w:rPr>
              <w:t>10</w:t>
            </w:r>
            <w:r>
              <w:rPr>
                <w:noProof/>
                <w:webHidden/>
              </w:rPr>
              <w:fldChar w:fldCharType="end"/>
            </w:r>
          </w:hyperlink>
        </w:p>
        <w:p w:rsidR="0099682D" w:rsidRDefault="0000112E">
          <w:pPr>
            <w:pStyle w:val="TOC3"/>
            <w:rPr>
              <w:rFonts w:asciiTheme="minorHAnsi" w:eastAsiaTheme="minorEastAsia" w:hAnsiTheme="minorHAnsi" w:cstheme="minorBidi"/>
              <w:noProof/>
              <w:lang w:eastAsia="en-AU"/>
            </w:rPr>
          </w:pPr>
          <w:hyperlink w:anchor="_Toc371428587" w:history="1">
            <w:r w:rsidR="0099682D" w:rsidRPr="00722EB0">
              <w:rPr>
                <w:rStyle w:val="Hyperlink"/>
                <w:noProof/>
              </w:rPr>
              <w:t>Pharmacokinetics</w:t>
            </w:r>
            <w:r w:rsidR="0099682D">
              <w:rPr>
                <w:noProof/>
                <w:webHidden/>
              </w:rPr>
              <w:tab/>
            </w:r>
            <w:r>
              <w:rPr>
                <w:noProof/>
                <w:webHidden/>
              </w:rPr>
              <w:fldChar w:fldCharType="begin"/>
            </w:r>
            <w:r w:rsidR="0099682D">
              <w:rPr>
                <w:noProof/>
                <w:webHidden/>
              </w:rPr>
              <w:instrText xml:space="preserve"> PAGEREF _Toc371428587 \h </w:instrText>
            </w:r>
            <w:r>
              <w:rPr>
                <w:noProof/>
                <w:webHidden/>
              </w:rPr>
            </w:r>
            <w:r>
              <w:rPr>
                <w:noProof/>
                <w:webHidden/>
              </w:rPr>
              <w:fldChar w:fldCharType="separate"/>
            </w:r>
            <w:r w:rsidR="0099682D">
              <w:rPr>
                <w:noProof/>
                <w:webHidden/>
              </w:rPr>
              <w:t>13</w:t>
            </w:r>
            <w:r>
              <w:rPr>
                <w:noProof/>
                <w:webHidden/>
              </w:rPr>
              <w:fldChar w:fldCharType="end"/>
            </w:r>
          </w:hyperlink>
        </w:p>
        <w:p w:rsidR="0099682D" w:rsidRDefault="0000112E">
          <w:pPr>
            <w:pStyle w:val="TOC3"/>
            <w:rPr>
              <w:rFonts w:asciiTheme="minorHAnsi" w:eastAsiaTheme="minorEastAsia" w:hAnsiTheme="minorHAnsi" w:cstheme="minorBidi"/>
              <w:noProof/>
              <w:lang w:eastAsia="en-AU"/>
            </w:rPr>
          </w:pPr>
          <w:hyperlink w:anchor="_Toc371428588" w:history="1">
            <w:r w:rsidR="0099682D" w:rsidRPr="00722EB0">
              <w:rPr>
                <w:rStyle w:val="Hyperlink"/>
                <w:noProof/>
              </w:rPr>
              <w:t>Pharmacodynamics</w:t>
            </w:r>
            <w:r w:rsidR="0099682D">
              <w:rPr>
                <w:noProof/>
                <w:webHidden/>
              </w:rPr>
              <w:tab/>
            </w:r>
            <w:r>
              <w:rPr>
                <w:noProof/>
                <w:webHidden/>
              </w:rPr>
              <w:fldChar w:fldCharType="begin"/>
            </w:r>
            <w:r w:rsidR="0099682D">
              <w:rPr>
                <w:noProof/>
                <w:webHidden/>
              </w:rPr>
              <w:instrText xml:space="preserve"> PAGEREF _Toc371428588 \h </w:instrText>
            </w:r>
            <w:r>
              <w:rPr>
                <w:noProof/>
                <w:webHidden/>
              </w:rPr>
            </w:r>
            <w:r>
              <w:rPr>
                <w:noProof/>
                <w:webHidden/>
              </w:rPr>
              <w:fldChar w:fldCharType="separate"/>
            </w:r>
            <w:r w:rsidR="0099682D">
              <w:rPr>
                <w:noProof/>
                <w:webHidden/>
              </w:rPr>
              <w:t>16</w:t>
            </w:r>
            <w:r>
              <w:rPr>
                <w:noProof/>
                <w:webHidden/>
              </w:rPr>
              <w:fldChar w:fldCharType="end"/>
            </w:r>
          </w:hyperlink>
        </w:p>
        <w:p w:rsidR="0099682D" w:rsidRDefault="0000112E">
          <w:pPr>
            <w:pStyle w:val="TOC3"/>
            <w:rPr>
              <w:rFonts w:asciiTheme="minorHAnsi" w:eastAsiaTheme="minorEastAsia" w:hAnsiTheme="minorHAnsi" w:cstheme="minorBidi"/>
              <w:noProof/>
              <w:lang w:eastAsia="en-AU"/>
            </w:rPr>
          </w:pPr>
          <w:hyperlink w:anchor="_Toc371428589" w:history="1">
            <w:r w:rsidR="0099682D" w:rsidRPr="00722EB0">
              <w:rPr>
                <w:rStyle w:val="Hyperlink"/>
                <w:noProof/>
              </w:rPr>
              <w:t>Efficacy</w:t>
            </w:r>
            <w:r w:rsidR="0099682D">
              <w:rPr>
                <w:noProof/>
                <w:webHidden/>
              </w:rPr>
              <w:tab/>
            </w:r>
            <w:r>
              <w:rPr>
                <w:noProof/>
                <w:webHidden/>
              </w:rPr>
              <w:fldChar w:fldCharType="begin"/>
            </w:r>
            <w:r w:rsidR="0099682D">
              <w:rPr>
                <w:noProof/>
                <w:webHidden/>
              </w:rPr>
              <w:instrText xml:space="preserve"> PAGEREF _Toc371428589 \h </w:instrText>
            </w:r>
            <w:r>
              <w:rPr>
                <w:noProof/>
                <w:webHidden/>
              </w:rPr>
            </w:r>
            <w:r>
              <w:rPr>
                <w:noProof/>
                <w:webHidden/>
              </w:rPr>
              <w:fldChar w:fldCharType="separate"/>
            </w:r>
            <w:r w:rsidR="0099682D">
              <w:rPr>
                <w:noProof/>
                <w:webHidden/>
              </w:rPr>
              <w:t>16</w:t>
            </w:r>
            <w:r>
              <w:rPr>
                <w:noProof/>
                <w:webHidden/>
              </w:rPr>
              <w:fldChar w:fldCharType="end"/>
            </w:r>
          </w:hyperlink>
        </w:p>
        <w:p w:rsidR="0099682D" w:rsidRDefault="0000112E">
          <w:pPr>
            <w:pStyle w:val="TOC3"/>
            <w:rPr>
              <w:rFonts w:asciiTheme="minorHAnsi" w:eastAsiaTheme="minorEastAsia" w:hAnsiTheme="minorHAnsi" w:cstheme="minorBidi"/>
              <w:noProof/>
              <w:lang w:eastAsia="en-AU"/>
            </w:rPr>
          </w:pPr>
          <w:hyperlink w:anchor="_Toc371428590" w:history="1">
            <w:r w:rsidR="0099682D" w:rsidRPr="00722EB0">
              <w:rPr>
                <w:rStyle w:val="Hyperlink"/>
                <w:noProof/>
              </w:rPr>
              <w:t>Safety</w:t>
            </w:r>
            <w:r w:rsidR="0099682D">
              <w:rPr>
                <w:noProof/>
                <w:webHidden/>
              </w:rPr>
              <w:tab/>
            </w:r>
            <w:r>
              <w:rPr>
                <w:noProof/>
                <w:webHidden/>
              </w:rPr>
              <w:fldChar w:fldCharType="begin"/>
            </w:r>
            <w:r w:rsidR="0099682D">
              <w:rPr>
                <w:noProof/>
                <w:webHidden/>
              </w:rPr>
              <w:instrText xml:space="preserve"> PAGEREF _Toc371428590 \h </w:instrText>
            </w:r>
            <w:r>
              <w:rPr>
                <w:noProof/>
                <w:webHidden/>
              </w:rPr>
            </w:r>
            <w:r>
              <w:rPr>
                <w:noProof/>
                <w:webHidden/>
              </w:rPr>
              <w:fldChar w:fldCharType="separate"/>
            </w:r>
            <w:r w:rsidR="0099682D">
              <w:rPr>
                <w:noProof/>
                <w:webHidden/>
              </w:rPr>
              <w:t>17</w:t>
            </w:r>
            <w:r>
              <w:rPr>
                <w:noProof/>
                <w:webHidden/>
              </w:rPr>
              <w:fldChar w:fldCharType="end"/>
            </w:r>
          </w:hyperlink>
        </w:p>
        <w:p w:rsidR="0099682D" w:rsidRDefault="0000112E">
          <w:pPr>
            <w:pStyle w:val="TOC3"/>
            <w:rPr>
              <w:rFonts w:asciiTheme="minorHAnsi" w:eastAsiaTheme="minorEastAsia" w:hAnsiTheme="minorHAnsi" w:cstheme="minorBidi"/>
              <w:noProof/>
              <w:lang w:eastAsia="en-AU"/>
            </w:rPr>
          </w:pPr>
          <w:hyperlink w:anchor="_Toc371428591" w:history="1">
            <w:r w:rsidR="0099682D" w:rsidRPr="00722EB0">
              <w:rPr>
                <w:rStyle w:val="Hyperlink"/>
                <w:noProof/>
              </w:rPr>
              <w:t>List of questions</w:t>
            </w:r>
            <w:r w:rsidR="0099682D">
              <w:rPr>
                <w:noProof/>
                <w:webHidden/>
              </w:rPr>
              <w:tab/>
            </w:r>
            <w:r>
              <w:rPr>
                <w:noProof/>
                <w:webHidden/>
              </w:rPr>
              <w:fldChar w:fldCharType="begin"/>
            </w:r>
            <w:r w:rsidR="0099682D">
              <w:rPr>
                <w:noProof/>
                <w:webHidden/>
              </w:rPr>
              <w:instrText xml:space="preserve"> PAGEREF _Toc371428591 \h </w:instrText>
            </w:r>
            <w:r>
              <w:rPr>
                <w:noProof/>
                <w:webHidden/>
              </w:rPr>
            </w:r>
            <w:r>
              <w:rPr>
                <w:noProof/>
                <w:webHidden/>
              </w:rPr>
              <w:fldChar w:fldCharType="separate"/>
            </w:r>
            <w:r w:rsidR="0099682D">
              <w:rPr>
                <w:noProof/>
                <w:webHidden/>
              </w:rPr>
              <w:t>17</w:t>
            </w:r>
            <w:r>
              <w:rPr>
                <w:noProof/>
                <w:webHidden/>
              </w:rPr>
              <w:fldChar w:fldCharType="end"/>
            </w:r>
          </w:hyperlink>
        </w:p>
        <w:p w:rsidR="0099682D" w:rsidRDefault="0000112E">
          <w:pPr>
            <w:pStyle w:val="TOC3"/>
            <w:rPr>
              <w:rFonts w:asciiTheme="minorHAnsi" w:eastAsiaTheme="minorEastAsia" w:hAnsiTheme="minorHAnsi" w:cstheme="minorBidi"/>
              <w:noProof/>
              <w:lang w:eastAsia="en-AU"/>
            </w:rPr>
          </w:pPr>
          <w:hyperlink w:anchor="_Toc371428592" w:history="1">
            <w:r w:rsidR="0099682D" w:rsidRPr="00722EB0">
              <w:rPr>
                <w:rStyle w:val="Hyperlink"/>
                <w:noProof/>
              </w:rPr>
              <w:t>Pharmacodynamics</w:t>
            </w:r>
            <w:r w:rsidR="0099682D">
              <w:rPr>
                <w:noProof/>
                <w:webHidden/>
              </w:rPr>
              <w:tab/>
            </w:r>
            <w:r>
              <w:rPr>
                <w:noProof/>
                <w:webHidden/>
              </w:rPr>
              <w:fldChar w:fldCharType="begin"/>
            </w:r>
            <w:r w:rsidR="0099682D">
              <w:rPr>
                <w:noProof/>
                <w:webHidden/>
              </w:rPr>
              <w:instrText xml:space="preserve"> PAGEREF _Toc371428592 \h </w:instrText>
            </w:r>
            <w:r>
              <w:rPr>
                <w:noProof/>
                <w:webHidden/>
              </w:rPr>
            </w:r>
            <w:r>
              <w:rPr>
                <w:noProof/>
                <w:webHidden/>
              </w:rPr>
              <w:fldChar w:fldCharType="separate"/>
            </w:r>
            <w:r w:rsidR="0099682D">
              <w:rPr>
                <w:noProof/>
                <w:webHidden/>
              </w:rPr>
              <w:t>25</w:t>
            </w:r>
            <w:r>
              <w:rPr>
                <w:noProof/>
                <w:webHidden/>
              </w:rPr>
              <w:fldChar w:fldCharType="end"/>
            </w:r>
          </w:hyperlink>
        </w:p>
        <w:p w:rsidR="0099682D" w:rsidRDefault="0000112E">
          <w:pPr>
            <w:pStyle w:val="TOC3"/>
            <w:rPr>
              <w:rFonts w:asciiTheme="minorHAnsi" w:eastAsiaTheme="minorEastAsia" w:hAnsiTheme="minorHAnsi" w:cstheme="minorBidi"/>
              <w:noProof/>
              <w:lang w:eastAsia="en-AU"/>
            </w:rPr>
          </w:pPr>
          <w:hyperlink w:anchor="_Toc371428593" w:history="1">
            <w:r w:rsidR="0099682D" w:rsidRPr="00722EB0">
              <w:rPr>
                <w:rStyle w:val="Hyperlink"/>
                <w:noProof/>
              </w:rPr>
              <w:t>Clinical summary and conclusions (clinical evaluator)</w:t>
            </w:r>
            <w:r w:rsidR="0099682D">
              <w:rPr>
                <w:noProof/>
                <w:webHidden/>
              </w:rPr>
              <w:tab/>
            </w:r>
            <w:r>
              <w:rPr>
                <w:noProof/>
                <w:webHidden/>
              </w:rPr>
              <w:fldChar w:fldCharType="begin"/>
            </w:r>
            <w:r w:rsidR="0099682D">
              <w:rPr>
                <w:noProof/>
                <w:webHidden/>
              </w:rPr>
              <w:instrText xml:space="preserve"> PAGEREF _Toc371428593 \h </w:instrText>
            </w:r>
            <w:r>
              <w:rPr>
                <w:noProof/>
                <w:webHidden/>
              </w:rPr>
            </w:r>
            <w:r>
              <w:rPr>
                <w:noProof/>
                <w:webHidden/>
              </w:rPr>
              <w:fldChar w:fldCharType="separate"/>
            </w:r>
            <w:r w:rsidR="0099682D">
              <w:rPr>
                <w:noProof/>
                <w:webHidden/>
              </w:rPr>
              <w:t>29</w:t>
            </w:r>
            <w:r>
              <w:rPr>
                <w:noProof/>
                <w:webHidden/>
              </w:rPr>
              <w:fldChar w:fldCharType="end"/>
            </w:r>
          </w:hyperlink>
        </w:p>
        <w:p w:rsidR="0099682D" w:rsidRDefault="0000112E">
          <w:pPr>
            <w:pStyle w:val="TOC3"/>
            <w:rPr>
              <w:rFonts w:asciiTheme="minorHAnsi" w:eastAsiaTheme="minorEastAsia" w:hAnsiTheme="minorHAnsi" w:cstheme="minorBidi"/>
              <w:noProof/>
              <w:lang w:eastAsia="en-AU"/>
            </w:rPr>
          </w:pPr>
          <w:hyperlink w:anchor="_Toc371428594" w:history="1">
            <w:r w:rsidR="0099682D" w:rsidRPr="00722EB0">
              <w:rPr>
                <w:rStyle w:val="Hyperlink"/>
                <w:noProof/>
              </w:rPr>
              <w:t>Recommendation regarding authorisation (clinical evaluator)</w:t>
            </w:r>
            <w:r w:rsidR="0099682D">
              <w:rPr>
                <w:noProof/>
                <w:webHidden/>
              </w:rPr>
              <w:tab/>
            </w:r>
            <w:r>
              <w:rPr>
                <w:noProof/>
                <w:webHidden/>
              </w:rPr>
              <w:fldChar w:fldCharType="begin"/>
            </w:r>
            <w:r w:rsidR="0099682D">
              <w:rPr>
                <w:noProof/>
                <w:webHidden/>
              </w:rPr>
              <w:instrText xml:space="preserve"> PAGEREF _Toc371428594 \h </w:instrText>
            </w:r>
            <w:r>
              <w:rPr>
                <w:noProof/>
                <w:webHidden/>
              </w:rPr>
            </w:r>
            <w:r>
              <w:rPr>
                <w:noProof/>
                <w:webHidden/>
              </w:rPr>
              <w:fldChar w:fldCharType="separate"/>
            </w:r>
            <w:r w:rsidR="0099682D">
              <w:rPr>
                <w:noProof/>
                <w:webHidden/>
              </w:rPr>
              <w:t>30</w:t>
            </w:r>
            <w:r>
              <w:rPr>
                <w:noProof/>
                <w:webHidden/>
              </w:rPr>
              <w:fldChar w:fldCharType="end"/>
            </w:r>
          </w:hyperlink>
        </w:p>
        <w:p w:rsidR="0099682D" w:rsidRDefault="0000112E">
          <w:pPr>
            <w:pStyle w:val="TOC2"/>
            <w:rPr>
              <w:rFonts w:asciiTheme="minorHAnsi" w:eastAsiaTheme="minorEastAsia" w:hAnsiTheme="minorHAnsi" w:cstheme="minorBidi"/>
              <w:b w:val="0"/>
              <w:noProof/>
              <w:sz w:val="22"/>
              <w:lang w:eastAsia="en-AU"/>
            </w:rPr>
          </w:pPr>
          <w:hyperlink w:anchor="_Toc371428595" w:history="1">
            <w:r w:rsidR="0099682D" w:rsidRPr="00722EB0">
              <w:rPr>
                <w:rStyle w:val="Hyperlink"/>
                <w:noProof/>
              </w:rPr>
              <w:t>V. Pharmacovigilance findings</w:t>
            </w:r>
            <w:r w:rsidR="0099682D">
              <w:rPr>
                <w:noProof/>
                <w:webHidden/>
              </w:rPr>
              <w:tab/>
            </w:r>
            <w:r>
              <w:rPr>
                <w:noProof/>
                <w:webHidden/>
              </w:rPr>
              <w:fldChar w:fldCharType="begin"/>
            </w:r>
            <w:r w:rsidR="0099682D">
              <w:rPr>
                <w:noProof/>
                <w:webHidden/>
              </w:rPr>
              <w:instrText xml:space="preserve"> PAGEREF _Toc371428595 \h </w:instrText>
            </w:r>
            <w:r>
              <w:rPr>
                <w:noProof/>
                <w:webHidden/>
              </w:rPr>
            </w:r>
            <w:r>
              <w:rPr>
                <w:noProof/>
                <w:webHidden/>
              </w:rPr>
              <w:fldChar w:fldCharType="separate"/>
            </w:r>
            <w:r w:rsidR="0099682D">
              <w:rPr>
                <w:noProof/>
                <w:webHidden/>
              </w:rPr>
              <w:t>31</w:t>
            </w:r>
            <w:r>
              <w:rPr>
                <w:noProof/>
                <w:webHidden/>
              </w:rPr>
              <w:fldChar w:fldCharType="end"/>
            </w:r>
          </w:hyperlink>
        </w:p>
        <w:p w:rsidR="0099682D" w:rsidRDefault="0000112E">
          <w:pPr>
            <w:pStyle w:val="TOC3"/>
            <w:rPr>
              <w:rFonts w:asciiTheme="minorHAnsi" w:eastAsiaTheme="minorEastAsia" w:hAnsiTheme="minorHAnsi" w:cstheme="minorBidi"/>
              <w:noProof/>
              <w:lang w:eastAsia="en-AU"/>
            </w:rPr>
          </w:pPr>
          <w:hyperlink w:anchor="_Toc371428596" w:history="1">
            <w:r w:rsidR="0099682D" w:rsidRPr="00722EB0">
              <w:rPr>
                <w:rStyle w:val="Hyperlink"/>
                <w:noProof/>
                <w:lang w:eastAsia="en-AU"/>
              </w:rPr>
              <w:t>Risk management plan</w:t>
            </w:r>
            <w:r w:rsidR="0099682D">
              <w:rPr>
                <w:noProof/>
                <w:webHidden/>
              </w:rPr>
              <w:tab/>
            </w:r>
            <w:r>
              <w:rPr>
                <w:noProof/>
                <w:webHidden/>
              </w:rPr>
              <w:fldChar w:fldCharType="begin"/>
            </w:r>
            <w:r w:rsidR="0099682D">
              <w:rPr>
                <w:noProof/>
                <w:webHidden/>
              </w:rPr>
              <w:instrText xml:space="preserve"> PAGEREF _Toc371428596 \h </w:instrText>
            </w:r>
            <w:r>
              <w:rPr>
                <w:noProof/>
                <w:webHidden/>
              </w:rPr>
            </w:r>
            <w:r>
              <w:rPr>
                <w:noProof/>
                <w:webHidden/>
              </w:rPr>
              <w:fldChar w:fldCharType="separate"/>
            </w:r>
            <w:r w:rsidR="0099682D">
              <w:rPr>
                <w:noProof/>
                <w:webHidden/>
              </w:rPr>
              <w:t>31</w:t>
            </w:r>
            <w:r>
              <w:rPr>
                <w:noProof/>
                <w:webHidden/>
              </w:rPr>
              <w:fldChar w:fldCharType="end"/>
            </w:r>
          </w:hyperlink>
        </w:p>
        <w:p w:rsidR="0099682D" w:rsidRDefault="0000112E">
          <w:pPr>
            <w:pStyle w:val="TOC2"/>
            <w:rPr>
              <w:rFonts w:asciiTheme="minorHAnsi" w:eastAsiaTheme="minorEastAsia" w:hAnsiTheme="minorHAnsi" w:cstheme="minorBidi"/>
              <w:b w:val="0"/>
              <w:noProof/>
              <w:sz w:val="22"/>
              <w:lang w:eastAsia="en-AU"/>
            </w:rPr>
          </w:pPr>
          <w:hyperlink w:anchor="_Toc371428597" w:history="1">
            <w:r w:rsidR="0099682D" w:rsidRPr="00722EB0">
              <w:rPr>
                <w:rStyle w:val="Hyperlink"/>
                <w:noProof/>
              </w:rPr>
              <w:t>VI. Overall conclusion and risk/benefit assessment</w:t>
            </w:r>
            <w:r w:rsidR="0099682D">
              <w:rPr>
                <w:noProof/>
                <w:webHidden/>
              </w:rPr>
              <w:tab/>
            </w:r>
            <w:r>
              <w:rPr>
                <w:noProof/>
                <w:webHidden/>
              </w:rPr>
              <w:fldChar w:fldCharType="begin"/>
            </w:r>
            <w:r w:rsidR="0099682D">
              <w:rPr>
                <w:noProof/>
                <w:webHidden/>
              </w:rPr>
              <w:instrText xml:space="preserve"> PAGEREF _Toc371428597 \h </w:instrText>
            </w:r>
            <w:r>
              <w:rPr>
                <w:noProof/>
                <w:webHidden/>
              </w:rPr>
            </w:r>
            <w:r>
              <w:rPr>
                <w:noProof/>
                <w:webHidden/>
              </w:rPr>
              <w:fldChar w:fldCharType="separate"/>
            </w:r>
            <w:r w:rsidR="0099682D">
              <w:rPr>
                <w:noProof/>
                <w:webHidden/>
              </w:rPr>
              <w:t>34</w:t>
            </w:r>
            <w:r>
              <w:rPr>
                <w:noProof/>
                <w:webHidden/>
              </w:rPr>
              <w:fldChar w:fldCharType="end"/>
            </w:r>
          </w:hyperlink>
        </w:p>
        <w:p w:rsidR="0099682D" w:rsidRDefault="0000112E">
          <w:pPr>
            <w:pStyle w:val="TOC3"/>
            <w:rPr>
              <w:rFonts w:asciiTheme="minorHAnsi" w:eastAsiaTheme="minorEastAsia" w:hAnsiTheme="minorHAnsi" w:cstheme="minorBidi"/>
              <w:noProof/>
              <w:lang w:eastAsia="en-AU"/>
            </w:rPr>
          </w:pPr>
          <w:hyperlink w:anchor="_Toc371428598" w:history="1">
            <w:r w:rsidR="0099682D" w:rsidRPr="00722EB0">
              <w:rPr>
                <w:rStyle w:val="Hyperlink"/>
                <w:noProof/>
              </w:rPr>
              <w:t>Introduction</w:t>
            </w:r>
            <w:r w:rsidR="0099682D">
              <w:rPr>
                <w:noProof/>
                <w:webHidden/>
              </w:rPr>
              <w:tab/>
            </w:r>
            <w:r>
              <w:rPr>
                <w:noProof/>
                <w:webHidden/>
              </w:rPr>
              <w:fldChar w:fldCharType="begin"/>
            </w:r>
            <w:r w:rsidR="0099682D">
              <w:rPr>
                <w:noProof/>
                <w:webHidden/>
              </w:rPr>
              <w:instrText xml:space="preserve"> PAGEREF _Toc371428598 \h </w:instrText>
            </w:r>
            <w:r>
              <w:rPr>
                <w:noProof/>
                <w:webHidden/>
              </w:rPr>
            </w:r>
            <w:r>
              <w:rPr>
                <w:noProof/>
                <w:webHidden/>
              </w:rPr>
              <w:fldChar w:fldCharType="separate"/>
            </w:r>
            <w:r w:rsidR="0099682D">
              <w:rPr>
                <w:noProof/>
                <w:webHidden/>
              </w:rPr>
              <w:t>34</w:t>
            </w:r>
            <w:r>
              <w:rPr>
                <w:noProof/>
                <w:webHidden/>
              </w:rPr>
              <w:fldChar w:fldCharType="end"/>
            </w:r>
          </w:hyperlink>
        </w:p>
        <w:p w:rsidR="0099682D" w:rsidRDefault="0000112E">
          <w:pPr>
            <w:pStyle w:val="TOC3"/>
            <w:rPr>
              <w:rFonts w:asciiTheme="minorHAnsi" w:eastAsiaTheme="minorEastAsia" w:hAnsiTheme="minorHAnsi" w:cstheme="minorBidi"/>
              <w:noProof/>
              <w:lang w:eastAsia="en-AU"/>
            </w:rPr>
          </w:pPr>
          <w:hyperlink w:anchor="_Toc371428599" w:history="1">
            <w:r w:rsidR="0099682D" w:rsidRPr="00722EB0">
              <w:rPr>
                <w:rStyle w:val="Hyperlink"/>
                <w:noProof/>
              </w:rPr>
              <w:t>Quality</w:t>
            </w:r>
            <w:r w:rsidR="0099682D">
              <w:rPr>
                <w:noProof/>
                <w:webHidden/>
              </w:rPr>
              <w:tab/>
            </w:r>
            <w:r>
              <w:rPr>
                <w:noProof/>
                <w:webHidden/>
              </w:rPr>
              <w:fldChar w:fldCharType="begin"/>
            </w:r>
            <w:r w:rsidR="0099682D">
              <w:rPr>
                <w:noProof/>
                <w:webHidden/>
              </w:rPr>
              <w:instrText xml:space="preserve"> PAGEREF _Toc371428599 \h </w:instrText>
            </w:r>
            <w:r>
              <w:rPr>
                <w:noProof/>
                <w:webHidden/>
              </w:rPr>
            </w:r>
            <w:r>
              <w:rPr>
                <w:noProof/>
                <w:webHidden/>
              </w:rPr>
              <w:fldChar w:fldCharType="separate"/>
            </w:r>
            <w:r w:rsidR="0099682D">
              <w:rPr>
                <w:noProof/>
                <w:webHidden/>
              </w:rPr>
              <w:t>34</w:t>
            </w:r>
            <w:r>
              <w:rPr>
                <w:noProof/>
                <w:webHidden/>
              </w:rPr>
              <w:fldChar w:fldCharType="end"/>
            </w:r>
          </w:hyperlink>
        </w:p>
        <w:p w:rsidR="0099682D" w:rsidRDefault="0000112E">
          <w:pPr>
            <w:pStyle w:val="TOC3"/>
            <w:rPr>
              <w:rFonts w:asciiTheme="minorHAnsi" w:eastAsiaTheme="minorEastAsia" w:hAnsiTheme="minorHAnsi" w:cstheme="minorBidi"/>
              <w:noProof/>
              <w:lang w:eastAsia="en-AU"/>
            </w:rPr>
          </w:pPr>
          <w:hyperlink w:anchor="_Toc371428600" w:history="1">
            <w:r w:rsidR="0099682D" w:rsidRPr="00722EB0">
              <w:rPr>
                <w:rStyle w:val="Hyperlink"/>
                <w:noProof/>
              </w:rPr>
              <w:t>Nonclinical</w:t>
            </w:r>
            <w:r w:rsidR="0099682D">
              <w:rPr>
                <w:noProof/>
                <w:webHidden/>
              </w:rPr>
              <w:tab/>
            </w:r>
            <w:r>
              <w:rPr>
                <w:noProof/>
                <w:webHidden/>
              </w:rPr>
              <w:fldChar w:fldCharType="begin"/>
            </w:r>
            <w:r w:rsidR="0099682D">
              <w:rPr>
                <w:noProof/>
                <w:webHidden/>
              </w:rPr>
              <w:instrText xml:space="preserve"> PAGEREF _Toc371428600 \h </w:instrText>
            </w:r>
            <w:r>
              <w:rPr>
                <w:noProof/>
                <w:webHidden/>
              </w:rPr>
            </w:r>
            <w:r>
              <w:rPr>
                <w:noProof/>
                <w:webHidden/>
              </w:rPr>
              <w:fldChar w:fldCharType="separate"/>
            </w:r>
            <w:r w:rsidR="0099682D">
              <w:rPr>
                <w:noProof/>
                <w:webHidden/>
              </w:rPr>
              <w:t>34</w:t>
            </w:r>
            <w:r>
              <w:rPr>
                <w:noProof/>
                <w:webHidden/>
              </w:rPr>
              <w:fldChar w:fldCharType="end"/>
            </w:r>
          </w:hyperlink>
        </w:p>
        <w:p w:rsidR="0099682D" w:rsidRDefault="0000112E">
          <w:pPr>
            <w:pStyle w:val="TOC3"/>
            <w:rPr>
              <w:rFonts w:asciiTheme="minorHAnsi" w:eastAsiaTheme="minorEastAsia" w:hAnsiTheme="minorHAnsi" w:cstheme="minorBidi"/>
              <w:noProof/>
              <w:lang w:eastAsia="en-AU"/>
            </w:rPr>
          </w:pPr>
          <w:hyperlink w:anchor="_Toc371428601" w:history="1">
            <w:r w:rsidR="0099682D" w:rsidRPr="00722EB0">
              <w:rPr>
                <w:rStyle w:val="Hyperlink"/>
                <w:noProof/>
              </w:rPr>
              <w:t>Clinical</w:t>
            </w:r>
            <w:r w:rsidR="0099682D">
              <w:rPr>
                <w:noProof/>
                <w:webHidden/>
              </w:rPr>
              <w:tab/>
            </w:r>
            <w:r>
              <w:rPr>
                <w:noProof/>
                <w:webHidden/>
              </w:rPr>
              <w:fldChar w:fldCharType="begin"/>
            </w:r>
            <w:r w:rsidR="0099682D">
              <w:rPr>
                <w:noProof/>
                <w:webHidden/>
              </w:rPr>
              <w:instrText xml:space="preserve"> PAGEREF _Toc371428601 \h </w:instrText>
            </w:r>
            <w:r>
              <w:rPr>
                <w:noProof/>
                <w:webHidden/>
              </w:rPr>
            </w:r>
            <w:r>
              <w:rPr>
                <w:noProof/>
                <w:webHidden/>
              </w:rPr>
              <w:fldChar w:fldCharType="separate"/>
            </w:r>
            <w:r w:rsidR="0099682D">
              <w:rPr>
                <w:noProof/>
                <w:webHidden/>
              </w:rPr>
              <w:t>35</w:t>
            </w:r>
            <w:r>
              <w:rPr>
                <w:noProof/>
                <w:webHidden/>
              </w:rPr>
              <w:fldChar w:fldCharType="end"/>
            </w:r>
          </w:hyperlink>
        </w:p>
        <w:p w:rsidR="0099682D" w:rsidRDefault="0000112E">
          <w:pPr>
            <w:pStyle w:val="TOC3"/>
            <w:rPr>
              <w:rFonts w:asciiTheme="minorHAnsi" w:eastAsiaTheme="minorEastAsia" w:hAnsiTheme="minorHAnsi" w:cstheme="minorBidi"/>
              <w:noProof/>
              <w:lang w:eastAsia="en-AU"/>
            </w:rPr>
          </w:pPr>
          <w:hyperlink w:anchor="_Toc371428602" w:history="1">
            <w:r w:rsidR="0099682D" w:rsidRPr="00722EB0">
              <w:rPr>
                <w:rStyle w:val="Hyperlink"/>
                <w:noProof/>
                <w:lang w:eastAsia="en-AU"/>
              </w:rPr>
              <w:t>Risk management plan</w:t>
            </w:r>
            <w:r w:rsidR="0099682D">
              <w:rPr>
                <w:noProof/>
                <w:webHidden/>
              </w:rPr>
              <w:tab/>
            </w:r>
            <w:r>
              <w:rPr>
                <w:noProof/>
                <w:webHidden/>
              </w:rPr>
              <w:fldChar w:fldCharType="begin"/>
            </w:r>
            <w:r w:rsidR="0099682D">
              <w:rPr>
                <w:noProof/>
                <w:webHidden/>
              </w:rPr>
              <w:instrText xml:space="preserve"> PAGEREF _Toc371428602 \h </w:instrText>
            </w:r>
            <w:r>
              <w:rPr>
                <w:noProof/>
                <w:webHidden/>
              </w:rPr>
            </w:r>
            <w:r>
              <w:rPr>
                <w:noProof/>
                <w:webHidden/>
              </w:rPr>
              <w:fldChar w:fldCharType="separate"/>
            </w:r>
            <w:r w:rsidR="0099682D">
              <w:rPr>
                <w:noProof/>
                <w:webHidden/>
              </w:rPr>
              <w:t>42</w:t>
            </w:r>
            <w:r>
              <w:rPr>
                <w:noProof/>
                <w:webHidden/>
              </w:rPr>
              <w:fldChar w:fldCharType="end"/>
            </w:r>
          </w:hyperlink>
        </w:p>
        <w:p w:rsidR="0099682D" w:rsidRDefault="0000112E">
          <w:pPr>
            <w:pStyle w:val="TOC3"/>
            <w:rPr>
              <w:rFonts w:asciiTheme="minorHAnsi" w:eastAsiaTheme="minorEastAsia" w:hAnsiTheme="minorHAnsi" w:cstheme="minorBidi"/>
              <w:noProof/>
              <w:lang w:eastAsia="en-AU"/>
            </w:rPr>
          </w:pPr>
          <w:hyperlink w:anchor="_Toc371428603" w:history="1">
            <w:r w:rsidR="0099682D" w:rsidRPr="00722EB0">
              <w:rPr>
                <w:rStyle w:val="Hyperlink"/>
                <w:noProof/>
              </w:rPr>
              <w:t>Risk-benefit analysis</w:t>
            </w:r>
            <w:r w:rsidR="0099682D">
              <w:rPr>
                <w:noProof/>
                <w:webHidden/>
              </w:rPr>
              <w:tab/>
            </w:r>
            <w:r>
              <w:rPr>
                <w:noProof/>
                <w:webHidden/>
              </w:rPr>
              <w:fldChar w:fldCharType="begin"/>
            </w:r>
            <w:r w:rsidR="0099682D">
              <w:rPr>
                <w:noProof/>
                <w:webHidden/>
              </w:rPr>
              <w:instrText xml:space="preserve"> PAGEREF _Toc371428603 \h </w:instrText>
            </w:r>
            <w:r>
              <w:rPr>
                <w:noProof/>
                <w:webHidden/>
              </w:rPr>
            </w:r>
            <w:r>
              <w:rPr>
                <w:noProof/>
                <w:webHidden/>
              </w:rPr>
              <w:fldChar w:fldCharType="separate"/>
            </w:r>
            <w:r w:rsidR="0099682D">
              <w:rPr>
                <w:noProof/>
                <w:webHidden/>
              </w:rPr>
              <w:t>42</w:t>
            </w:r>
            <w:r>
              <w:rPr>
                <w:noProof/>
                <w:webHidden/>
              </w:rPr>
              <w:fldChar w:fldCharType="end"/>
            </w:r>
          </w:hyperlink>
        </w:p>
        <w:p w:rsidR="0099682D" w:rsidRDefault="0000112E">
          <w:pPr>
            <w:pStyle w:val="TOC2"/>
            <w:tabs>
              <w:tab w:val="left" w:pos="2448"/>
            </w:tabs>
            <w:rPr>
              <w:rFonts w:asciiTheme="minorHAnsi" w:eastAsiaTheme="minorEastAsia" w:hAnsiTheme="minorHAnsi" w:cstheme="minorBidi"/>
              <w:b w:val="0"/>
              <w:noProof/>
              <w:sz w:val="22"/>
              <w:lang w:eastAsia="en-AU"/>
            </w:rPr>
          </w:pPr>
          <w:hyperlink w:anchor="_Toc371428604" w:history="1">
            <w:r w:rsidR="0099682D" w:rsidRPr="00722EB0">
              <w:rPr>
                <w:rStyle w:val="Hyperlink"/>
                <w:noProof/>
              </w:rPr>
              <w:t>Attachment 1.</w:t>
            </w:r>
            <w:r w:rsidR="0099682D">
              <w:rPr>
                <w:rFonts w:asciiTheme="minorHAnsi" w:eastAsiaTheme="minorEastAsia" w:hAnsiTheme="minorHAnsi" w:cstheme="minorBidi"/>
                <w:b w:val="0"/>
                <w:noProof/>
                <w:sz w:val="22"/>
                <w:lang w:eastAsia="en-AU"/>
              </w:rPr>
              <w:tab/>
            </w:r>
            <w:r w:rsidR="0099682D" w:rsidRPr="00722EB0">
              <w:rPr>
                <w:rStyle w:val="Hyperlink"/>
                <w:noProof/>
              </w:rPr>
              <w:t>Product Information</w:t>
            </w:r>
            <w:r w:rsidR="0099682D">
              <w:rPr>
                <w:noProof/>
                <w:webHidden/>
              </w:rPr>
              <w:tab/>
            </w:r>
            <w:r>
              <w:rPr>
                <w:noProof/>
                <w:webHidden/>
              </w:rPr>
              <w:fldChar w:fldCharType="begin"/>
            </w:r>
            <w:r w:rsidR="0099682D">
              <w:rPr>
                <w:noProof/>
                <w:webHidden/>
              </w:rPr>
              <w:instrText xml:space="preserve"> PAGEREF _Toc371428604 \h </w:instrText>
            </w:r>
            <w:r>
              <w:rPr>
                <w:noProof/>
                <w:webHidden/>
              </w:rPr>
            </w:r>
            <w:r>
              <w:rPr>
                <w:noProof/>
                <w:webHidden/>
              </w:rPr>
              <w:fldChar w:fldCharType="separate"/>
            </w:r>
            <w:r w:rsidR="0099682D">
              <w:rPr>
                <w:noProof/>
                <w:webHidden/>
              </w:rPr>
              <w:t>47</w:t>
            </w:r>
            <w:r>
              <w:rPr>
                <w:noProof/>
                <w:webHidden/>
              </w:rPr>
              <w:fldChar w:fldCharType="end"/>
            </w:r>
          </w:hyperlink>
        </w:p>
        <w:p w:rsidR="0099682D" w:rsidRDefault="0000112E">
          <w:pPr>
            <w:pStyle w:val="TOC2"/>
            <w:rPr>
              <w:rFonts w:asciiTheme="minorHAnsi" w:eastAsiaTheme="minorEastAsia" w:hAnsiTheme="minorHAnsi" w:cstheme="minorBidi"/>
              <w:b w:val="0"/>
              <w:noProof/>
              <w:sz w:val="22"/>
              <w:lang w:eastAsia="en-AU"/>
            </w:rPr>
          </w:pPr>
          <w:hyperlink w:anchor="_Toc371428605" w:history="1">
            <w:r w:rsidR="0099682D" w:rsidRPr="00722EB0">
              <w:rPr>
                <w:rStyle w:val="Hyperlink"/>
                <w:noProof/>
                <w:lang w:eastAsia="en-AU"/>
              </w:rPr>
              <w:t>Attachment 2. Extract from the Clinical Evaluation Report</w:t>
            </w:r>
            <w:r w:rsidR="0099682D">
              <w:rPr>
                <w:noProof/>
                <w:webHidden/>
              </w:rPr>
              <w:tab/>
            </w:r>
            <w:r>
              <w:rPr>
                <w:noProof/>
                <w:webHidden/>
              </w:rPr>
              <w:fldChar w:fldCharType="begin"/>
            </w:r>
            <w:r w:rsidR="0099682D">
              <w:rPr>
                <w:noProof/>
                <w:webHidden/>
              </w:rPr>
              <w:instrText xml:space="preserve"> PAGEREF _Toc371428605 \h </w:instrText>
            </w:r>
            <w:r>
              <w:rPr>
                <w:noProof/>
                <w:webHidden/>
              </w:rPr>
            </w:r>
            <w:r>
              <w:rPr>
                <w:noProof/>
                <w:webHidden/>
              </w:rPr>
              <w:fldChar w:fldCharType="separate"/>
            </w:r>
            <w:r w:rsidR="0099682D">
              <w:rPr>
                <w:noProof/>
                <w:webHidden/>
              </w:rPr>
              <w:t>47</w:t>
            </w:r>
            <w:r>
              <w:rPr>
                <w:noProof/>
                <w:webHidden/>
              </w:rPr>
              <w:fldChar w:fldCharType="end"/>
            </w:r>
          </w:hyperlink>
        </w:p>
        <w:p w:rsidR="003A7F6C" w:rsidRPr="00B811C6" w:rsidRDefault="0000112E" w:rsidP="0099682D">
          <w:r>
            <w:fldChar w:fldCharType="end"/>
          </w:r>
        </w:p>
      </w:sdtContent>
    </w:sdt>
    <w:bookmarkStart w:id="2" w:name="_Toc314842482" w:displacedByCustomXml="prev"/>
    <w:p w:rsidR="0099682D" w:rsidRDefault="0099682D">
      <w:pPr>
        <w:spacing w:before="0" w:after="200" w:line="0" w:lineRule="auto"/>
        <w:rPr>
          <w:rFonts w:ascii="Arial" w:eastAsia="Times New Roman" w:hAnsi="Arial"/>
          <w:b/>
          <w:bCs/>
          <w:sz w:val="32"/>
          <w:szCs w:val="26"/>
        </w:rPr>
      </w:pPr>
      <w:r>
        <w:br w:type="page"/>
      </w:r>
    </w:p>
    <w:p w:rsidR="00331C57" w:rsidRDefault="00331C57" w:rsidP="0099682D">
      <w:pPr>
        <w:pStyle w:val="Heading2"/>
      </w:pPr>
      <w:bookmarkStart w:id="3" w:name="_Toc371428577"/>
      <w:r>
        <w:t xml:space="preserve">List of </w:t>
      </w:r>
      <w:r w:rsidR="00AD0A60">
        <w:t>a</w:t>
      </w:r>
      <w:r>
        <w:t>bbreviations</w:t>
      </w:r>
      <w:bookmarkEnd w:id="3"/>
    </w:p>
    <w:tbl>
      <w:tblPr>
        <w:tblStyle w:val="TableTGAblue"/>
        <w:tblW w:w="0" w:type="auto"/>
        <w:tblLook w:val="04A0"/>
      </w:tblPr>
      <w:tblGrid>
        <w:gridCol w:w="2093"/>
        <w:gridCol w:w="4536"/>
      </w:tblGrid>
      <w:tr w:rsidR="00704C6C" w:rsidTr="00704C6C">
        <w:trPr>
          <w:cnfStyle w:val="100000000000"/>
          <w:tblHeader/>
        </w:trPr>
        <w:tc>
          <w:tcPr>
            <w:tcW w:w="2093" w:type="dxa"/>
          </w:tcPr>
          <w:p w:rsidR="00704C6C" w:rsidRPr="00704C6C" w:rsidRDefault="00704C6C" w:rsidP="0099682D">
            <w:pPr>
              <w:ind w:left="0" w:right="0"/>
            </w:pPr>
            <w:r w:rsidRPr="00704C6C">
              <w:t>Abbreviation</w:t>
            </w:r>
          </w:p>
        </w:tc>
        <w:tc>
          <w:tcPr>
            <w:tcW w:w="4536" w:type="dxa"/>
          </w:tcPr>
          <w:p w:rsidR="00704C6C" w:rsidRPr="00704C6C" w:rsidRDefault="00704C6C" w:rsidP="0099682D">
            <w:pPr>
              <w:ind w:left="34" w:right="0"/>
            </w:pPr>
            <w:r w:rsidRPr="00704C6C">
              <w:t>Meaning</w:t>
            </w:r>
          </w:p>
        </w:tc>
      </w:tr>
      <w:tr w:rsidR="00704C6C" w:rsidTr="00704C6C">
        <w:tc>
          <w:tcPr>
            <w:tcW w:w="2093" w:type="dxa"/>
          </w:tcPr>
          <w:p w:rsidR="00704C6C" w:rsidRPr="00704C6C" w:rsidRDefault="00704C6C" w:rsidP="0099682D">
            <w:pPr>
              <w:ind w:left="0" w:right="0"/>
            </w:pPr>
            <w:r w:rsidRPr="00704C6C">
              <w:t>AIC</w:t>
            </w:r>
          </w:p>
        </w:tc>
        <w:tc>
          <w:tcPr>
            <w:tcW w:w="4536" w:type="dxa"/>
          </w:tcPr>
          <w:p w:rsidR="00704C6C" w:rsidRPr="00704C6C" w:rsidRDefault="00704C6C" w:rsidP="0099682D">
            <w:pPr>
              <w:ind w:left="34" w:right="0"/>
            </w:pPr>
            <w:r w:rsidRPr="00704C6C">
              <w:rPr>
                <w:lang w:val="en-US"/>
              </w:rPr>
              <w:t>Akaike’s information criteria</w:t>
            </w:r>
          </w:p>
        </w:tc>
      </w:tr>
      <w:tr w:rsidR="00704C6C" w:rsidTr="00704C6C">
        <w:tc>
          <w:tcPr>
            <w:tcW w:w="2093" w:type="dxa"/>
          </w:tcPr>
          <w:p w:rsidR="00704C6C" w:rsidRPr="00704C6C" w:rsidRDefault="00704C6C" w:rsidP="0099682D">
            <w:pPr>
              <w:ind w:left="0" w:right="0"/>
            </w:pPr>
            <w:r w:rsidRPr="00704C6C">
              <w:t>ALB</w:t>
            </w:r>
          </w:p>
        </w:tc>
        <w:tc>
          <w:tcPr>
            <w:tcW w:w="4536" w:type="dxa"/>
          </w:tcPr>
          <w:p w:rsidR="00704C6C" w:rsidRPr="00704C6C" w:rsidRDefault="00704C6C" w:rsidP="0099682D">
            <w:pPr>
              <w:ind w:left="34" w:right="0"/>
            </w:pPr>
            <w:r w:rsidRPr="00704C6C">
              <w:t>Albumin</w:t>
            </w:r>
          </w:p>
        </w:tc>
      </w:tr>
      <w:tr w:rsidR="00704C6C" w:rsidTr="00704C6C">
        <w:tc>
          <w:tcPr>
            <w:tcW w:w="2093" w:type="dxa"/>
          </w:tcPr>
          <w:p w:rsidR="00704C6C" w:rsidRPr="00704C6C" w:rsidRDefault="00704C6C" w:rsidP="0099682D">
            <w:pPr>
              <w:ind w:left="0" w:right="0"/>
            </w:pPr>
            <w:proofErr w:type="spellStart"/>
            <w:r w:rsidRPr="00704C6C">
              <w:t>ALBn</w:t>
            </w:r>
            <w:proofErr w:type="spellEnd"/>
          </w:p>
        </w:tc>
        <w:tc>
          <w:tcPr>
            <w:tcW w:w="4536" w:type="dxa"/>
          </w:tcPr>
          <w:p w:rsidR="00704C6C" w:rsidRPr="00704C6C" w:rsidRDefault="00704C6C" w:rsidP="0099682D">
            <w:pPr>
              <w:ind w:left="34" w:right="0"/>
            </w:pPr>
            <w:r w:rsidRPr="00704C6C">
              <w:t>Normalised albumin</w:t>
            </w:r>
          </w:p>
        </w:tc>
      </w:tr>
      <w:tr w:rsidR="00704C6C" w:rsidTr="00704C6C">
        <w:tc>
          <w:tcPr>
            <w:tcW w:w="2093" w:type="dxa"/>
          </w:tcPr>
          <w:p w:rsidR="00704C6C" w:rsidRPr="00704C6C" w:rsidRDefault="00704C6C" w:rsidP="0099682D">
            <w:pPr>
              <w:ind w:left="0" w:right="0"/>
            </w:pPr>
            <w:r w:rsidRPr="00704C6C">
              <w:t xml:space="preserve">ALP </w:t>
            </w:r>
          </w:p>
        </w:tc>
        <w:tc>
          <w:tcPr>
            <w:tcW w:w="4536" w:type="dxa"/>
          </w:tcPr>
          <w:p w:rsidR="00704C6C" w:rsidRPr="00704C6C" w:rsidRDefault="00704C6C" w:rsidP="0099682D">
            <w:pPr>
              <w:ind w:left="34" w:right="0"/>
            </w:pPr>
            <w:r w:rsidRPr="00704C6C">
              <w:t>Alkaline phosphatase</w:t>
            </w:r>
          </w:p>
        </w:tc>
      </w:tr>
      <w:tr w:rsidR="00704C6C" w:rsidTr="00704C6C">
        <w:tc>
          <w:tcPr>
            <w:tcW w:w="2093" w:type="dxa"/>
          </w:tcPr>
          <w:p w:rsidR="00704C6C" w:rsidRPr="00704C6C" w:rsidRDefault="00704C6C" w:rsidP="0099682D">
            <w:pPr>
              <w:ind w:left="0" w:right="0"/>
            </w:pPr>
            <w:proofErr w:type="spellStart"/>
            <w:r w:rsidRPr="00704C6C">
              <w:t>ALPn</w:t>
            </w:r>
            <w:proofErr w:type="spellEnd"/>
          </w:p>
        </w:tc>
        <w:tc>
          <w:tcPr>
            <w:tcW w:w="4536" w:type="dxa"/>
          </w:tcPr>
          <w:p w:rsidR="00704C6C" w:rsidRPr="00704C6C" w:rsidRDefault="00704C6C" w:rsidP="0099682D">
            <w:pPr>
              <w:ind w:left="34" w:right="0"/>
            </w:pPr>
            <w:r w:rsidRPr="00704C6C">
              <w:t>Normalised alkaline phosphatase</w:t>
            </w:r>
          </w:p>
        </w:tc>
      </w:tr>
      <w:tr w:rsidR="00704C6C" w:rsidTr="00704C6C">
        <w:tc>
          <w:tcPr>
            <w:tcW w:w="2093" w:type="dxa"/>
          </w:tcPr>
          <w:p w:rsidR="00704C6C" w:rsidRPr="00704C6C" w:rsidRDefault="00704C6C" w:rsidP="0099682D">
            <w:pPr>
              <w:ind w:left="0" w:right="0"/>
            </w:pPr>
            <w:r w:rsidRPr="00704C6C">
              <w:t>ALT</w:t>
            </w:r>
          </w:p>
        </w:tc>
        <w:tc>
          <w:tcPr>
            <w:tcW w:w="4536" w:type="dxa"/>
          </w:tcPr>
          <w:p w:rsidR="00704C6C" w:rsidRPr="00704C6C" w:rsidRDefault="00704C6C" w:rsidP="0099682D">
            <w:pPr>
              <w:ind w:left="34" w:right="0"/>
            </w:pPr>
            <w:r w:rsidRPr="00704C6C">
              <w:t>Alanine amino transferase</w:t>
            </w:r>
          </w:p>
        </w:tc>
      </w:tr>
      <w:tr w:rsidR="00704C6C" w:rsidTr="00704C6C">
        <w:tc>
          <w:tcPr>
            <w:tcW w:w="2093" w:type="dxa"/>
          </w:tcPr>
          <w:p w:rsidR="00704C6C" w:rsidRPr="00704C6C" w:rsidRDefault="00704C6C" w:rsidP="0099682D">
            <w:pPr>
              <w:ind w:left="0" w:right="0"/>
            </w:pPr>
            <w:r w:rsidRPr="00704C6C">
              <w:t>ART</w:t>
            </w:r>
          </w:p>
        </w:tc>
        <w:tc>
          <w:tcPr>
            <w:tcW w:w="4536" w:type="dxa"/>
          </w:tcPr>
          <w:p w:rsidR="00704C6C" w:rsidRPr="00704C6C" w:rsidRDefault="00704C6C" w:rsidP="0099682D">
            <w:pPr>
              <w:ind w:left="34" w:right="0"/>
            </w:pPr>
            <w:r w:rsidRPr="00704C6C">
              <w:t>Anti-retroviral treatment</w:t>
            </w:r>
          </w:p>
        </w:tc>
      </w:tr>
      <w:tr w:rsidR="00704C6C" w:rsidTr="00704C6C">
        <w:tc>
          <w:tcPr>
            <w:tcW w:w="2093" w:type="dxa"/>
          </w:tcPr>
          <w:p w:rsidR="00704C6C" w:rsidRPr="00704C6C" w:rsidRDefault="00704C6C" w:rsidP="0099682D">
            <w:pPr>
              <w:ind w:left="0" w:right="0"/>
            </w:pPr>
            <w:r w:rsidRPr="00704C6C">
              <w:t>AST</w:t>
            </w:r>
          </w:p>
        </w:tc>
        <w:tc>
          <w:tcPr>
            <w:tcW w:w="4536" w:type="dxa"/>
          </w:tcPr>
          <w:p w:rsidR="00704C6C" w:rsidRPr="00704C6C" w:rsidRDefault="00704C6C" w:rsidP="0099682D">
            <w:pPr>
              <w:ind w:left="34" w:right="0"/>
            </w:pPr>
            <w:r w:rsidRPr="00704C6C">
              <w:t>Aspartate amino transferase</w:t>
            </w:r>
          </w:p>
        </w:tc>
      </w:tr>
      <w:tr w:rsidR="00704C6C" w:rsidTr="00704C6C">
        <w:tc>
          <w:tcPr>
            <w:tcW w:w="2093" w:type="dxa"/>
          </w:tcPr>
          <w:p w:rsidR="00704C6C" w:rsidRPr="00704C6C" w:rsidRDefault="00704C6C" w:rsidP="0099682D">
            <w:pPr>
              <w:ind w:left="0" w:right="0"/>
            </w:pPr>
            <w:r w:rsidRPr="00704C6C">
              <w:t>ATV</w:t>
            </w:r>
          </w:p>
        </w:tc>
        <w:tc>
          <w:tcPr>
            <w:tcW w:w="4536" w:type="dxa"/>
          </w:tcPr>
          <w:p w:rsidR="00704C6C" w:rsidRPr="00704C6C" w:rsidRDefault="00704C6C" w:rsidP="0099682D">
            <w:pPr>
              <w:ind w:left="34" w:right="0"/>
            </w:pPr>
            <w:r w:rsidRPr="00704C6C">
              <w:t>Atazanavir</w:t>
            </w:r>
          </w:p>
        </w:tc>
      </w:tr>
      <w:tr w:rsidR="00704C6C" w:rsidTr="00704C6C">
        <w:tc>
          <w:tcPr>
            <w:tcW w:w="2093" w:type="dxa"/>
          </w:tcPr>
          <w:p w:rsidR="00704C6C" w:rsidRPr="00704C6C" w:rsidRDefault="00704C6C" w:rsidP="0099682D">
            <w:pPr>
              <w:ind w:left="0" w:right="0"/>
            </w:pPr>
            <w:r w:rsidRPr="00704C6C">
              <w:t>AUC</w:t>
            </w:r>
          </w:p>
        </w:tc>
        <w:tc>
          <w:tcPr>
            <w:tcW w:w="4536" w:type="dxa"/>
          </w:tcPr>
          <w:p w:rsidR="00704C6C" w:rsidRPr="00704C6C" w:rsidRDefault="00704C6C" w:rsidP="0099682D">
            <w:pPr>
              <w:ind w:left="34" w:right="0"/>
            </w:pPr>
            <w:r w:rsidRPr="00704C6C">
              <w:t>Area Under the Concentration-time curve</w:t>
            </w:r>
          </w:p>
        </w:tc>
      </w:tr>
      <w:tr w:rsidR="00704C6C" w:rsidTr="00704C6C">
        <w:tc>
          <w:tcPr>
            <w:tcW w:w="2093" w:type="dxa"/>
          </w:tcPr>
          <w:p w:rsidR="00704C6C" w:rsidRPr="00704C6C" w:rsidRDefault="00704C6C" w:rsidP="0099682D">
            <w:pPr>
              <w:ind w:left="0" w:right="0"/>
            </w:pPr>
            <w:r w:rsidRPr="00704C6C">
              <w:t>BIC</w:t>
            </w:r>
          </w:p>
        </w:tc>
        <w:tc>
          <w:tcPr>
            <w:tcW w:w="4536" w:type="dxa"/>
          </w:tcPr>
          <w:p w:rsidR="00704C6C" w:rsidRPr="00704C6C" w:rsidRDefault="00704C6C" w:rsidP="0099682D">
            <w:pPr>
              <w:ind w:left="34" w:right="0"/>
            </w:pPr>
            <w:r w:rsidRPr="00704C6C">
              <w:t>Bayesian Information Criteria</w:t>
            </w:r>
          </w:p>
        </w:tc>
      </w:tr>
      <w:tr w:rsidR="00704C6C" w:rsidTr="00704C6C">
        <w:tc>
          <w:tcPr>
            <w:tcW w:w="2093" w:type="dxa"/>
          </w:tcPr>
          <w:p w:rsidR="00704C6C" w:rsidRPr="00704C6C" w:rsidRDefault="00704C6C" w:rsidP="0099682D">
            <w:pPr>
              <w:ind w:left="0" w:right="0"/>
            </w:pPr>
            <w:r w:rsidRPr="00704C6C">
              <w:t>BILI</w:t>
            </w:r>
          </w:p>
        </w:tc>
        <w:tc>
          <w:tcPr>
            <w:tcW w:w="4536" w:type="dxa"/>
          </w:tcPr>
          <w:p w:rsidR="00704C6C" w:rsidRPr="00704C6C" w:rsidRDefault="00704C6C" w:rsidP="0099682D">
            <w:pPr>
              <w:ind w:left="34" w:right="0"/>
            </w:pPr>
            <w:r w:rsidRPr="00704C6C">
              <w:t>Total bilirubin</w:t>
            </w:r>
          </w:p>
        </w:tc>
      </w:tr>
      <w:tr w:rsidR="00704C6C" w:rsidTr="00704C6C">
        <w:tc>
          <w:tcPr>
            <w:tcW w:w="2093" w:type="dxa"/>
          </w:tcPr>
          <w:p w:rsidR="00704C6C" w:rsidRPr="00704C6C" w:rsidRDefault="00704C6C" w:rsidP="0099682D">
            <w:pPr>
              <w:ind w:left="0" w:right="0"/>
            </w:pPr>
            <w:r w:rsidRPr="00704C6C">
              <w:t>BLQ</w:t>
            </w:r>
          </w:p>
        </w:tc>
        <w:tc>
          <w:tcPr>
            <w:tcW w:w="4536" w:type="dxa"/>
          </w:tcPr>
          <w:p w:rsidR="00704C6C" w:rsidRPr="00704C6C" w:rsidRDefault="00704C6C" w:rsidP="0099682D">
            <w:pPr>
              <w:ind w:left="34" w:right="0"/>
            </w:pPr>
            <w:r w:rsidRPr="00704C6C">
              <w:t>Below the limit of quantification</w:t>
            </w:r>
          </w:p>
        </w:tc>
      </w:tr>
      <w:tr w:rsidR="00704C6C" w:rsidTr="00704C6C">
        <w:tc>
          <w:tcPr>
            <w:tcW w:w="2093" w:type="dxa"/>
          </w:tcPr>
          <w:p w:rsidR="00704C6C" w:rsidRPr="00704C6C" w:rsidRDefault="00704C6C" w:rsidP="0099682D">
            <w:pPr>
              <w:ind w:left="0" w:right="0"/>
            </w:pPr>
            <w:r w:rsidRPr="00704C6C">
              <w:t>BWT</w:t>
            </w:r>
          </w:p>
        </w:tc>
        <w:tc>
          <w:tcPr>
            <w:tcW w:w="4536" w:type="dxa"/>
          </w:tcPr>
          <w:p w:rsidR="00704C6C" w:rsidRPr="00704C6C" w:rsidRDefault="00704C6C" w:rsidP="0099682D">
            <w:pPr>
              <w:ind w:left="34" w:right="0"/>
            </w:pPr>
            <w:r w:rsidRPr="00704C6C">
              <w:t>Birth weight</w:t>
            </w:r>
          </w:p>
        </w:tc>
      </w:tr>
      <w:tr w:rsidR="00704C6C" w:rsidTr="00704C6C">
        <w:tc>
          <w:tcPr>
            <w:tcW w:w="2093" w:type="dxa"/>
          </w:tcPr>
          <w:p w:rsidR="00704C6C" w:rsidRPr="00704C6C" w:rsidRDefault="00704C6C" w:rsidP="0099682D">
            <w:pPr>
              <w:ind w:left="0" w:right="0"/>
            </w:pPr>
            <w:r w:rsidRPr="00704C6C">
              <w:t>C</w:t>
            </w:r>
            <w:r w:rsidRPr="00704C6C">
              <w:rPr>
                <w:vertAlign w:val="subscript"/>
              </w:rPr>
              <w:t>0</w:t>
            </w:r>
          </w:p>
        </w:tc>
        <w:tc>
          <w:tcPr>
            <w:tcW w:w="4536" w:type="dxa"/>
          </w:tcPr>
          <w:p w:rsidR="00704C6C" w:rsidRPr="00704C6C" w:rsidRDefault="00704C6C" w:rsidP="0099682D">
            <w:pPr>
              <w:ind w:left="34" w:right="0"/>
            </w:pPr>
            <w:r w:rsidRPr="00704C6C">
              <w:t>Plasma concentration at time 0</w:t>
            </w:r>
          </w:p>
        </w:tc>
      </w:tr>
      <w:tr w:rsidR="00704C6C" w:rsidTr="00704C6C">
        <w:tc>
          <w:tcPr>
            <w:tcW w:w="2093" w:type="dxa"/>
          </w:tcPr>
          <w:p w:rsidR="00704C6C" w:rsidRPr="00704C6C" w:rsidRDefault="00704C6C" w:rsidP="0099682D">
            <w:pPr>
              <w:ind w:left="0" w:right="0"/>
            </w:pPr>
            <w:r w:rsidRPr="00704C6C">
              <w:t>C</w:t>
            </w:r>
            <w:r w:rsidRPr="00704C6C">
              <w:rPr>
                <w:vertAlign w:val="subscript"/>
              </w:rPr>
              <w:t>24</w:t>
            </w:r>
          </w:p>
        </w:tc>
        <w:tc>
          <w:tcPr>
            <w:tcW w:w="4536" w:type="dxa"/>
          </w:tcPr>
          <w:p w:rsidR="00704C6C" w:rsidRPr="00704C6C" w:rsidRDefault="00704C6C" w:rsidP="0099682D">
            <w:pPr>
              <w:ind w:left="34" w:right="0"/>
            </w:pPr>
            <w:r w:rsidRPr="00704C6C">
              <w:t>Plasma concentration at 24 hours</w:t>
            </w:r>
          </w:p>
        </w:tc>
      </w:tr>
      <w:tr w:rsidR="00704C6C" w:rsidTr="00704C6C">
        <w:tc>
          <w:tcPr>
            <w:tcW w:w="2093" w:type="dxa"/>
          </w:tcPr>
          <w:p w:rsidR="00704C6C" w:rsidRPr="00704C6C" w:rsidRDefault="00704C6C" w:rsidP="0099682D">
            <w:pPr>
              <w:ind w:left="0" w:right="0"/>
            </w:pPr>
            <w:r w:rsidRPr="00704C6C">
              <w:t>CI</w:t>
            </w:r>
          </w:p>
        </w:tc>
        <w:tc>
          <w:tcPr>
            <w:tcW w:w="4536" w:type="dxa"/>
          </w:tcPr>
          <w:p w:rsidR="00704C6C" w:rsidRPr="00704C6C" w:rsidRDefault="00704C6C" w:rsidP="0099682D">
            <w:pPr>
              <w:ind w:left="34" w:right="0"/>
            </w:pPr>
            <w:r w:rsidRPr="00704C6C">
              <w:t>Confidence Interval</w:t>
            </w:r>
          </w:p>
        </w:tc>
      </w:tr>
      <w:tr w:rsidR="00704C6C" w:rsidTr="00704C6C">
        <w:tc>
          <w:tcPr>
            <w:tcW w:w="2093" w:type="dxa"/>
          </w:tcPr>
          <w:p w:rsidR="00704C6C" w:rsidRPr="00704C6C" w:rsidRDefault="00704C6C" w:rsidP="0099682D">
            <w:pPr>
              <w:ind w:left="0" w:right="0"/>
            </w:pPr>
            <w:r w:rsidRPr="00704C6C">
              <w:t>CL</w:t>
            </w:r>
          </w:p>
        </w:tc>
        <w:tc>
          <w:tcPr>
            <w:tcW w:w="4536" w:type="dxa"/>
          </w:tcPr>
          <w:p w:rsidR="00704C6C" w:rsidRPr="00704C6C" w:rsidRDefault="00704C6C" w:rsidP="0099682D">
            <w:pPr>
              <w:ind w:left="34" w:right="0"/>
            </w:pPr>
            <w:r w:rsidRPr="00704C6C">
              <w:t>Clearance</w:t>
            </w:r>
          </w:p>
        </w:tc>
      </w:tr>
      <w:tr w:rsidR="00704C6C" w:rsidTr="00704C6C">
        <w:tc>
          <w:tcPr>
            <w:tcW w:w="2093" w:type="dxa"/>
          </w:tcPr>
          <w:p w:rsidR="00704C6C" w:rsidRPr="00704C6C" w:rsidRDefault="00704C6C" w:rsidP="0099682D">
            <w:pPr>
              <w:ind w:left="0" w:right="0"/>
            </w:pPr>
            <w:r w:rsidRPr="00704C6C">
              <w:t>CLCR</w:t>
            </w:r>
          </w:p>
        </w:tc>
        <w:tc>
          <w:tcPr>
            <w:tcW w:w="4536" w:type="dxa"/>
          </w:tcPr>
          <w:p w:rsidR="00704C6C" w:rsidRPr="00704C6C" w:rsidRDefault="00704C6C" w:rsidP="0099682D">
            <w:pPr>
              <w:ind w:left="34" w:right="0"/>
            </w:pPr>
            <w:r w:rsidRPr="00704C6C">
              <w:t>Creatinine Clearance</w:t>
            </w:r>
          </w:p>
        </w:tc>
      </w:tr>
      <w:tr w:rsidR="00704C6C" w:rsidTr="00704C6C">
        <w:tc>
          <w:tcPr>
            <w:tcW w:w="2093" w:type="dxa"/>
          </w:tcPr>
          <w:p w:rsidR="00704C6C" w:rsidRPr="00704C6C" w:rsidRDefault="00704C6C" w:rsidP="0099682D">
            <w:pPr>
              <w:ind w:left="0" w:right="0"/>
            </w:pPr>
            <w:r w:rsidRPr="00704C6C">
              <w:t>C</w:t>
            </w:r>
            <w:r w:rsidRPr="00704C6C">
              <w:rPr>
                <w:vertAlign w:val="subscript"/>
              </w:rPr>
              <w:t>max</w:t>
            </w:r>
          </w:p>
        </w:tc>
        <w:tc>
          <w:tcPr>
            <w:tcW w:w="4536" w:type="dxa"/>
          </w:tcPr>
          <w:p w:rsidR="00704C6C" w:rsidRPr="00704C6C" w:rsidRDefault="00704C6C" w:rsidP="0099682D">
            <w:pPr>
              <w:ind w:left="34" w:right="0"/>
            </w:pPr>
            <w:r w:rsidRPr="00704C6C">
              <w:t>Maximum plasma concentration (concentration at the end of infusion)</w:t>
            </w:r>
          </w:p>
        </w:tc>
      </w:tr>
      <w:tr w:rsidR="00704C6C" w:rsidTr="00704C6C">
        <w:tc>
          <w:tcPr>
            <w:tcW w:w="2093" w:type="dxa"/>
          </w:tcPr>
          <w:p w:rsidR="00704C6C" w:rsidRPr="00704C6C" w:rsidRDefault="00704C6C" w:rsidP="0099682D">
            <w:pPr>
              <w:ind w:left="0" w:right="0"/>
            </w:pPr>
            <w:r w:rsidRPr="00704C6C">
              <w:t>C</w:t>
            </w:r>
            <w:r w:rsidRPr="00704C6C">
              <w:rPr>
                <w:vertAlign w:val="subscript"/>
              </w:rPr>
              <w:t>min</w:t>
            </w:r>
          </w:p>
        </w:tc>
        <w:tc>
          <w:tcPr>
            <w:tcW w:w="4536" w:type="dxa"/>
          </w:tcPr>
          <w:p w:rsidR="00704C6C" w:rsidRPr="00704C6C" w:rsidRDefault="00704C6C" w:rsidP="0099682D">
            <w:pPr>
              <w:ind w:left="34" w:right="0"/>
            </w:pPr>
            <w:r w:rsidRPr="00704C6C">
              <w:t>Minimum plasma concentration (trough)</w:t>
            </w:r>
          </w:p>
        </w:tc>
      </w:tr>
      <w:tr w:rsidR="00704C6C" w:rsidTr="00704C6C">
        <w:tc>
          <w:tcPr>
            <w:tcW w:w="2093" w:type="dxa"/>
          </w:tcPr>
          <w:p w:rsidR="00704C6C" w:rsidRPr="00704C6C" w:rsidRDefault="00704C6C" w:rsidP="0099682D">
            <w:pPr>
              <w:ind w:left="0" w:right="0"/>
            </w:pPr>
            <w:r w:rsidRPr="00704C6C">
              <w:t>COMD</w:t>
            </w:r>
          </w:p>
        </w:tc>
        <w:tc>
          <w:tcPr>
            <w:tcW w:w="4536" w:type="dxa"/>
          </w:tcPr>
          <w:p w:rsidR="00704C6C" w:rsidRPr="00704C6C" w:rsidRDefault="00704C6C" w:rsidP="0099682D">
            <w:pPr>
              <w:ind w:left="34" w:right="0"/>
            </w:pPr>
            <w:r w:rsidRPr="00704C6C">
              <w:t>co-medication</w:t>
            </w:r>
          </w:p>
        </w:tc>
      </w:tr>
      <w:tr w:rsidR="00704C6C" w:rsidTr="00704C6C">
        <w:tc>
          <w:tcPr>
            <w:tcW w:w="2093" w:type="dxa"/>
          </w:tcPr>
          <w:p w:rsidR="00704C6C" w:rsidRPr="00704C6C" w:rsidRDefault="00704C6C" w:rsidP="0099682D">
            <w:pPr>
              <w:ind w:left="0" w:right="0"/>
            </w:pPr>
            <w:r w:rsidRPr="00704C6C">
              <w:t>CSR</w:t>
            </w:r>
          </w:p>
        </w:tc>
        <w:tc>
          <w:tcPr>
            <w:tcW w:w="4536" w:type="dxa"/>
          </w:tcPr>
          <w:p w:rsidR="00704C6C" w:rsidRPr="00704C6C" w:rsidRDefault="00704C6C" w:rsidP="0099682D">
            <w:pPr>
              <w:ind w:left="34" w:right="0"/>
            </w:pPr>
            <w:r w:rsidRPr="00704C6C">
              <w:t>Clinical Study Report</w:t>
            </w:r>
          </w:p>
        </w:tc>
      </w:tr>
      <w:tr w:rsidR="00704C6C" w:rsidTr="00704C6C">
        <w:tc>
          <w:tcPr>
            <w:tcW w:w="2093" w:type="dxa"/>
          </w:tcPr>
          <w:p w:rsidR="00704C6C" w:rsidRPr="00704C6C" w:rsidRDefault="00704C6C" w:rsidP="0099682D">
            <w:pPr>
              <w:ind w:left="0" w:right="0"/>
            </w:pPr>
            <w:r w:rsidRPr="00704C6C">
              <w:t>Ctrough</w:t>
            </w:r>
          </w:p>
        </w:tc>
        <w:tc>
          <w:tcPr>
            <w:tcW w:w="4536" w:type="dxa"/>
          </w:tcPr>
          <w:p w:rsidR="00704C6C" w:rsidRPr="00704C6C" w:rsidRDefault="00704C6C" w:rsidP="0099682D">
            <w:pPr>
              <w:ind w:left="34" w:right="0"/>
            </w:pPr>
            <w:r w:rsidRPr="00704C6C">
              <w:t>Concentration of free drug at the end of the first cycle</w:t>
            </w:r>
          </w:p>
        </w:tc>
      </w:tr>
      <w:tr w:rsidR="00704C6C" w:rsidTr="00704C6C">
        <w:tc>
          <w:tcPr>
            <w:tcW w:w="2093" w:type="dxa"/>
          </w:tcPr>
          <w:p w:rsidR="00704C6C" w:rsidRPr="00704C6C" w:rsidRDefault="00704C6C" w:rsidP="0099682D">
            <w:pPr>
              <w:ind w:left="0" w:right="0"/>
            </w:pPr>
            <w:r w:rsidRPr="00704C6C">
              <w:t>CV</w:t>
            </w:r>
          </w:p>
        </w:tc>
        <w:tc>
          <w:tcPr>
            <w:tcW w:w="4536" w:type="dxa"/>
          </w:tcPr>
          <w:p w:rsidR="00704C6C" w:rsidRPr="00704C6C" w:rsidRDefault="00704C6C" w:rsidP="0099682D">
            <w:pPr>
              <w:ind w:left="34" w:right="0"/>
            </w:pPr>
            <w:r w:rsidRPr="00704C6C">
              <w:t>Coefficient of variation</w:t>
            </w:r>
          </w:p>
        </w:tc>
      </w:tr>
      <w:tr w:rsidR="00704C6C" w:rsidTr="00704C6C">
        <w:tc>
          <w:tcPr>
            <w:tcW w:w="2093" w:type="dxa"/>
          </w:tcPr>
          <w:p w:rsidR="00704C6C" w:rsidRPr="00704C6C" w:rsidRDefault="00704C6C" w:rsidP="0099682D">
            <w:pPr>
              <w:ind w:left="0" w:right="0"/>
            </w:pPr>
            <w:r w:rsidRPr="00704C6C">
              <w:t>CWRES</w:t>
            </w:r>
          </w:p>
        </w:tc>
        <w:tc>
          <w:tcPr>
            <w:tcW w:w="4536" w:type="dxa"/>
          </w:tcPr>
          <w:p w:rsidR="00704C6C" w:rsidRPr="00704C6C" w:rsidRDefault="00704C6C" w:rsidP="0099682D">
            <w:pPr>
              <w:ind w:left="34" w:right="0"/>
            </w:pPr>
            <w:r w:rsidRPr="00704C6C">
              <w:rPr>
                <w:lang w:val="en-US"/>
              </w:rPr>
              <w:t>Weighted Residuals evaluated at individual conditional estimates</w:t>
            </w:r>
          </w:p>
        </w:tc>
      </w:tr>
      <w:tr w:rsidR="00704C6C" w:rsidTr="00704C6C">
        <w:tc>
          <w:tcPr>
            <w:tcW w:w="2093" w:type="dxa"/>
          </w:tcPr>
          <w:p w:rsidR="00704C6C" w:rsidRPr="00704C6C" w:rsidRDefault="00704C6C" w:rsidP="0099682D">
            <w:pPr>
              <w:ind w:left="0" w:right="0"/>
            </w:pPr>
            <w:r w:rsidRPr="00704C6C">
              <w:t>DV</w:t>
            </w:r>
          </w:p>
        </w:tc>
        <w:tc>
          <w:tcPr>
            <w:tcW w:w="4536" w:type="dxa"/>
          </w:tcPr>
          <w:p w:rsidR="00704C6C" w:rsidRPr="00704C6C" w:rsidRDefault="00704C6C" w:rsidP="0099682D">
            <w:pPr>
              <w:ind w:left="34" w:right="0"/>
            </w:pPr>
            <w:r w:rsidRPr="00704C6C">
              <w:t>Dependent variable</w:t>
            </w:r>
          </w:p>
        </w:tc>
      </w:tr>
      <w:tr w:rsidR="00704C6C" w:rsidTr="00704C6C">
        <w:tc>
          <w:tcPr>
            <w:tcW w:w="2093" w:type="dxa"/>
          </w:tcPr>
          <w:p w:rsidR="00704C6C" w:rsidRPr="00704C6C" w:rsidRDefault="00704C6C" w:rsidP="0099682D">
            <w:pPr>
              <w:ind w:left="0" w:right="0"/>
            </w:pPr>
            <w:r w:rsidRPr="00704C6C">
              <w:t>EC50</w:t>
            </w:r>
          </w:p>
        </w:tc>
        <w:tc>
          <w:tcPr>
            <w:tcW w:w="4536" w:type="dxa"/>
          </w:tcPr>
          <w:p w:rsidR="00704C6C" w:rsidRPr="00704C6C" w:rsidRDefault="00704C6C" w:rsidP="0099682D">
            <w:pPr>
              <w:ind w:left="34" w:right="0"/>
            </w:pPr>
            <w:r w:rsidRPr="00704C6C">
              <w:t>Plasma concentration at 50% maximal effect</w:t>
            </w:r>
          </w:p>
        </w:tc>
      </w:tr>
      <w:tr w:rsidR="00704C6C" w:rsidTr="00704C6C">
        <w:tc>
          <w:tcPr>
            <w:tcW w:w="2093" w:type="dxa"/>
          </w:tcPr>
          <w:p w:rsidR="00704C6C" w:rsidRPr="00704C6C" w:rsidRDefault="00704C6C" w:rsidP="0099682D">
            <w:pPr>
              <w:ind w:left="0" w:right="0"/>
            </w:pPr>
            <w:r w:rsidRPr="00704C6C">
              <w:t>ELISA</w:t>
            </w:r>
          </w:p>
        </w:tc>
        <w:tc>
          <w:tcPr>
            <w:tcW w:w="4536" w:type="dxa"/>
          </w:tcPr>
          <w:p w:rsidR="00704C6C" w:rsidRPr="00704C6C" w:rsidRDefault="00704C6C" w:rsidP="0099682D">
            <w:pPr>
              <w:ind w:left="34" w:right="0"/>
            </w:pPr>
            <w:r w:rsidRPr="00704C6C">
              <w:t xml:space="preserve">Enzyme Linked </w:t>
            </w:r>
            <w:proofErr w:type="spellStart"/>
            <w:r w:rsidRPr="00704C6C">
              <w:t>ImmunoSorbent</w:t>
            </w:r>
            <w:proofErr w:type="spellEnd"/>
            <w:r w:rsidRPr="00704C6C">
              <w:t xml:space="preserve"> Assay</w:t>
            </w:r>
          </w:p>
        </w:tc>
      </w:tr>
      <w:tr w:rsidR="00704C6C" w:rsidTr="00704C6C">
        <w:tc>
          <w:tcPr>
            <w:tcW w:w="2093" w:type="dxa"/>
          </w:tcPr>
          <w:p w:rsidR="00704C6C" w:rsidRPr="00704C6C" w:rsidRDefault="00704C6C" w:rsidP="0099682D">
            <w:pPr>
              <w:ind w:left="0" w:right="0"/>
            </w:pPr>
            <w:r w:rsidRPr="00704C6C">
              <w:t>Emax</w:t>
            </w:r>
          </w:p>
        </w:tc>
        <w:tc>
          <w:tcPr>
            <w:tcW w:w="4536" w:type="dxa"/>
          </w:tcPr>
          <w:p w:rsidR="00704C6C" w:rsidRPr="00704C6C" w:rsidRDefault="00704C6C" w:rsidP="0099682D">
            <w:pPr>
              <w:ind w:left="34" w:right="0"/>
            </w:pPr>
            <w:r w:rsidRPr="00704C6C">
              <w:t>Maximum effect</w:t>
            </w:r>
          </w:p>
        </w:tc>
      </w:tr>
      <w:tr w:rsidR="00704C6C" w:rsidTr="00704C6C">
        <w:tc>
          <w:tcPr>
            <w:tcW w:w="2093" w:type="dxa"/>
          </w:tcPr>
          <w:p w:rsidR="00704C6C" w:rsidRPr="00704C6C" w:rsidRDefault="00704C6C" w:rsidP="0099682D">
            <w:pPr>
              <w:ind w:left="0" w:right="0"/>
            </w:pPr>
            <w:r w:rsidRPr="00704C6C">
              <w:t>ETA</w:t>
            </w:r>
          </w:p>
        </w:tc>
        <w:tc>
          <w:tcPr>
            <w:tcW w:w="4536" w:type="dxa"/>
          </w:tcPr>
          <w:p w:rsidR="00704C6C" w:rsidRPr="00704C6C" w:rsidRDefault="00704C6C" w:rsidP="0099682D">
            <w:pPr>
              <w:ind w:left="34" w:right="0"/>
            </w:pPr>
            <w:r w:rsidRPr="00704C6C">
              <w:t xml:space="preserve">Random effect describing the deviation of the individual empirical </w:t>
            </w:r>
            <w:proofErr w:type="spellStart"/>
            <w:r w:rsidRPr="00704C6C">
              <w:t>Bayes</w:t>
            </w:r>
            <w:proofErr w:type="spellEnd"/>
            <w:r w:rsidRPr="00704C6C">
              <w:t xml:space="preserve"> estimate of the parameter from the typical population parameter estimate</w:t>
            </w:r>
          </w:p>
        </w:tc>
      </w:tr>
      <w:tr w:rsidR="00704C6C" w:rsidTr="00704C6C">
        <w:tc>
          <w:tcPr>
            <w:tcW w:w="2093" w:type="dxa"/>
          </w:tcPr>
          <w:p w:rsidR="00704C6C" w:rsidRPr="00704C6C" w:rsidRDefault="00704C6C" w:rsidP="0099682D">
            <w:pPr>
              <w:ind w:left="0" w:right="0"/>
            </w:pPr>
            <w:r w:rsidRPr="00704C6C">
              <w:t>F</w:t>
            </w:r>
          </w:p>
        </w:tc>
        <w:tc>
          <w:tcPr>
            <w:tcW w:w="4536" w:type="dxa"/>
          </w:tcPr>
          <w:p w:rsidR="00704C6C" w:rsidRPr="00704C6C" w:rsidRDefault="00704C6C" w:rsidP="0099682D">
            <w:pPr>
              <w:ind w:left="34" w:right="0"/>
            </w:pPr>
            <w:r w:rsidRPr="00704C6C">
              <w:t>Bioavailability</w:t>
            </w:r>
          </w:p>
        </w:tc>
      </w:tr>
      <w:tr w:rsidR="00704C6C" w:rsidTr="00704C6C">
        <w:tc>
          <w:tcPr>
            <w:tcW w:w="2093" w:type="dxa"/>
          </w:tcPr>
          <w:p w:rsidR="00704C6C" w:rsidRPr="00704C6C" w:rsidRDefault="00704C6C" w:rsidP="0099682D">
            <w:pPr>
              <w:ind w:left="0" w:right="0"/>
            </w:pPr>
            <w:r w:rsidRPr="00704C6C">
              <w:t>F</w:t>
            </w:r>
            <w:r w:rsidRPr="00704C6C">
              <w:rPr>
                <w:vertAlign w:val="subscript"/>
              </w:rPr>
              <w:t>rel</w:t>
            </w:r>
          </w:p>
        </w:tc>
        <w:tc>
          <w:tcPr>
            <w:tcW w:w="4536" w:type="dxa"/>
          </w:tcPr>
          <w:p w:rsidR="00704C6C" w:rsidRPr="00704C6C" w:rsidRDefault="00704C6C" w:rsidP="0099682D">
            <w:pPr>
              <w:ind w:left="34" w:right="0"/>
            </w:pPr>
            <w:r w:rsidRPr="00704C6C">
              <w:t>Relative bioavailability</w:t>
            </w:r>
          </w:p>
        </w:tc>
      </w:tr>
      <w:tr w:rsidR="00704C6C" w:rsidTr="00704C6C">
        <w:tc>
          <w:tcPr>
            <w:tcW w:w="2093" w:type="dxa"/>
          </w:tcPr>
          <w:p w:rsidR="00704C6C" w:rsidRPr="00704C6C" w:rsidRDefault="00704C6C" w:rsidP="0099682D">
            <w:pPr>
              <w:ind w:left="0" w:right="0"/>
            </w:pPr>
            <w:r w:rsidRPr="00704C6C">
              <w:t>FOCE</w:t>
            </w:r>
          </w:p>
        </w:tc>
        <w:tc>
          <w:tcPr>
            <w:tcW w:w="4536" w:type="dxa"/>
          </w:tcPr>
          <w:p w:rsidR="00704C6C" w:rsidRPr="00704C6C" w:rsidRDefault="00704C6C" w:rsidP="0099682D">
            <w:pPr>
              <w:ind w:left="34" w:right="0"/>
            </w:pPr>
            <w:r w:rsidRPr="00704C6C">
              <w:t>First order conditional estimation</w:t>
            </w:r>
          </w:p>
        </w:tc>
      </w:tr>
      <w:tr w:rsidR="00704C6C" w:rsidTr="00704C6C">
        <w:tc>
          <w:tcPr>
            <w:tcW w:w="2093" w:type="dxa"/>
          </w:tcPr>
          <w:p w:rsidR="00704C6C" w:rsidRPr="00704C6C" w:rsidRDefault="00704C6C" w:rsidP="0099682D">
            <w:pPr>
              <w:ind w:left="0" w:right="0"/>
            </w:pPr>
            <w:r w:rsidRPr="00704C6C">
              <w:t>FORM</w:t>
            </w:r>
          </w:p>
        </w:tc>
        <w:tc>
          <w:tcPr>
            <w:tcW w:w="4536" w:type="dxa"/>
          </w:tcPr>
          <w:p w:rsidR="00704C6C" w:rsidRPr="00704C6C" w:rsidRDefault="00704C6C" w:rsidP="0099682D">
            <w:pPr>
              <w:ind w:left="34" w:right="0"/>
            </w:pPr>
            <w:r w:rsidRPr="00704C6C">
              <w:t>Formulation</w:t>
            </w:r>
          </w:p>
        </w:tc>
      </w:tr>
      <w:tr w:rsidR="00704C6C" w:rsidTr="00704C6C">
        <w:tc>
          <w:tcPr>
            <w:tcW w:w="2093" w:type="dxa"/>
          </w:tcPr>
          <w:p w:rsidR="00704C6C" w:rsidRPr="00704C6C" w:rsidRDefault="00704C6C" w:rsidP="0099682D">
            <w:pPr>
              <w:ind w:left="0" w:right="0"/>
            </w:pPr>
            <w:r w:rsidRPr="00704C6C">
              <w:t>GCP</w:t>
            </w:r>
          </w:p>
        </w:tc>
        <w:tc>
          <w:tcPr>
            <w:tcW w:w="4536" w:type="dxa"/>
          </w:tcPr>
          <w:p w:rsidR="00704C6C" w:rsidRPr="00704C6C" w:rsidRDefault="00704C6C" w:rsidP="0099682D">
            <w:pPr>
              <w:ind w:left="34" w:right="0"/>
            </w:pPr>
            <w:r w:rsidRPr="00704C6C">
              <w:t>Good clinical research practice</w:t>
            </w:r>
          </w:p>
        </w:tc>
      </w:tr>
      <w:tr w:rsidR="00704C6C" w:rsidTr="00704C6C">
        <w:tc>
          <w:tcPr>
            <w:tcW w:w="2093" w:type="dxa"/>
          </w:tcPr>
          <w:p w:rsidR="00704C6C" w:rsidRPr="00704C6C" w:rsidRDefault="00704C6C" w:rsidP="0099682D">
            <w:pPr>
              <w:ind w:left="0" w:right="0"/>
            </w:pPr>
            <w:r w:rsidRPr="00704C6C">
              <w:t>GOF</w:t>
            </w:r>
          </w:p>
        </w:tc>
        <w:tc>
          <w:tcPr>
            <w:tcW w:w="4536" w:type="dxa"/>
          </w:tcPr>
          <w:p w:rsidR="00704C6C" w:rsidRPr="00704C6C" w:rsidRDefault="00704C6C" w:rsidP="0099682D">
            <w:pPr>
              <w:ind w:left="34" w:right="0"/>
            </w:pPr>
            <w:r w:rsidRPr="00704C6C">
              <w:t>Goodness of fit plots</w:t>
            </w:r>
          </w:p>
        </w:tc>
      </w:tr>
      <w:tr w:rsidR="00704C6C" w:rsidTr="00704C6C">
        <w:tc>
          <w:tcPr>
            <w:tcW w:w="2093" w:type="dxa"/>
          </w:tcPr>
          <w:p w:rsidR="00704C6C" w:rsidRPr="00704C6C" w:rsidRDefault="00704C6C" w:rsidP="0099682D">
            <w:pPr>
              <w:ind w:left="0" w:right="0"/>
            </w:pPr>
            <w:r w:rsidRPr="00704C6C">
              <w:t>HT</w:t>
            </w:r>
          </w:p>
        </w:tc>
        <w:tc>
          <w:tcPr>
            <w:tcW w:w="4536" w:type="dxa"/>
          </w:tcPr>
          <w:p w:rsidR="00704C6C" w:rsidRPr="00704C6C" w:rsidRDefault="00704C6C" w:rsidP="0099682D">
            <w:pPr>
              <w:ind w:left="34" w:right="0"/>
            </w:pPr>
            <w:r w:rsidRPr="00704C6C">
              <w:t>Height</w:t>
            </w:r>
          </w:p>
        </w:tc>
      </w:tr>
      <w:tr w:rsidR="00704C6C" w:rsidTr="00704C6C">
        <w:tc>
          <w:tcPr>
            <w:tcW w:w="2093" w:type="dxa"/>
          </w:tcPr>
          <w:p w:rsidR="00704C6C" w:rsidRPr="00704C6C" w:rsidRDefault="00704C6C" w:rsidP="0099682D">
            <w:pPr>
              <w:ind w:left="0" w:right="0"/>
            </w:pPr>
            <w:r w:rsidRPr="00704C6C">
              <w:t>HIV</w:t>
            </w:r>
          </w:p>
        </w:tc>
        <w:tc>
          <w:tcPr>
            <w:tcW w:w="4536" w:type="dxa"/>
          </w:tcPr>
          <w:p w:rsidR="00704C6C" w:rsidRPr="00704C6C" w:rsidRDefault="00704C6C" w:rsidP="0099682D">
            <w:pPr>
              <w:ind w:left="34" w:right="0"/>
            </w:pPr>
            <w:r w:rsidRPr="00704C6C">
              <w:t>Human immunodeficiency virus</w:t>
            </w:r>
          </w:p>
        </w:tc>
      </w:tr>
      <w:tr w:rsidR="00704C6C" w:rsidTr="00704C6C">
        <w:tc>
          <w:tcPr>
            <w:tcW w:w="2093" w:type="dxa"/>
          </w:tcPr>
          <w:p w:rsidR="00704C6C" w:rsidRPr="00704C6C" w:rsidRDefault="00704C6C" w:rsidP="0099682D">
            <w:pPr>
              <w:ind w:left="0" w:right="0"/>
            </w:pPr>
            <w:proofErr w:type="spellStart"/>
            <w:r w:rsidRPr="00704C6C">
              <w:t>i.v</w:t>
            </w:r>
            <w:proofErr w:type="spellEnd"/>
            <w:r w:rsidRPr="00704C6C">
              <w:t>.</w:t>
            </w:r>
          </w:p>
        </w:tc>
        <w:tc>
          <w:tcPr>
            <w:tcW w:w="4536" w:type="dxa"/>
          </w:tcPr>
          <w:p w:rsidR="00704C6C" w:rsidRPr="00704C6C" w:rsidRDefault="00704C6C" w:rsidP="0099682D">
            <w:pPr>
              <w:ind w:left="34" w:right="0"/>
            </w:pPr>
            <w:r w:rsidRPr="00704C6C">
              <w:t>Intravenous</w:t>
            </w:r>
          </w:p>
        </w:tc>
      </w:tr>
      <w:tr w:rsidR="00704C6C" w:rsidTr="00704C6C">
        <w:tc>
          <w:tcPr>
            <w:tcW w:w="2093" w:type="dxa"/>
          </w:tcPr>
          <w:p w:rsidR="00704C6C" w:rsidRPr="00704C6C" w:rsidRDefault="00704C6C" w:rsidP="0099682D">
            <w:pPr>
              <w:ind w:left="0" w:right="0"/>
            </w:pPr>
            <w:r w:rsidRPr="00704C6C">
              <w:t>IIV</w:t>
            </w:r>
          </w:p>
        </w:tc>
        <w:tc>
          <w:tcPr>
            <w:tcW w:w="4536" w:type="dxa"/>
          </w:tcPr>
          <w:p w:rsidR="00704C6C" w:rsidRPr="00704C6C" w:rsidRDefault="00704C6C" w:rsidP="0099682D">
            <w:pPr>
              <w:ind w:left="34" w:right="0"/>
            </w:pPr>
            <w:r w:rsidRPr="00704C6C">
              <w:t>Inter-Individual variability</w:t>
            </w:r>
          </w:p>
        </w:tc>
      </w:tr>
      <w:tr w:rsidR="00704C6C" w:rsidTr="00704C6C">
        <w:tc>
          <w:tcPr>
            <w:tcW w:w="2093" w:type="dxa"/>
          </w:tcPr>
          <w:p w:rsidR="00704C6C" w:rsidRPr="00704C6C" w:rsidRDefault="00704C6C" w:rsidP="0099682D">
            <w:pPr>
              <w:ind w:left="0" w:right="0"/>
            </w:pPr>
            <w:r w:rsidRPr="00704C6C">
              <w:t>INTER</w:t>
            </w:r>
          </w:p>
        </w:tc>
        <w:tc>
          <w:tcPr>
            <w:tcW w:w="4536" w:type="dxa"/>
          </w:tcPr>
          <w:p w:rsidR="00704C6C" w:rsidRPr="00704C6C" w:rsidRDefault="00704C6C" w:rsidP="0099682D">
            <w:pPr>
              <w:ind w:left="34" w:right="0"/>
            </w:pPr>
            <w:r w:rsidRPr="00704C6C">
              <w:t>Interaction</w:t>
            </w:r>
          </w:p>
        </w:tc>
      </w:tr>
      <w:tr w:rsidR="00704C6C" w:rsidTr="00704C6C">
        <w:tc>
          <w:tcPr>
            <w:tcW w:w="2093" w:type="dxa"/>
          </w:tcPr>
          <w:p w:rsidR="00704C6C" w:rsidRPr="00704C6C" w:rsidRDefault="00704C6C" w:rsidP="0099682D">
            <w:pPr>
              <w:ind w:left="0" w:right="0"/>
            </w:pPr>
            <w:r w:rsidRPr="00704C6C">
              <w:t>IOV</w:t>
            </w:r>
          </w:p>
        </w:tc>
        <w:tc>
          <w:tcPr>
            <w:tcW w:w="4536" w:type="dxa"/>
          </w:tcPr>
          <w:p w:rsidR="00704C6C" w:rsidRPr="00704C6C" w:rsidRDefault="00704C6C" w:rsidP="0099682D">
            <w:pPr>
              <w:ind w:left="34" w:right="0"/>
            </w:pPr>
            <w:r w:rsidRPr="00704C6C">
              <w:t>Inter-occasion variability</w:t>
            </w:r>
          </w:p>
        </w:tc>
      </w:tr>
      <w:tr w:rsidR="00704C6C" w:rsidTr="00704C6C">
        <w:tc>
          <w:tcPr>
            <w:tcW w:w="2093" w:type="dxa"/>
          </w:tcPr>
          <w:p w:rsidR="00704C6C" w:rsidRPr="00704C6C" w:rsidRDefault="00704C6C" w:rsidP="0099682D">
            <w:pPr>
              <w:ind w:left="0" w:right="0"/>
            </w:pPr>
            <w:r w:rsidRPr="00704C6C">
              <w:t>IPRED</w:t>
            </w:r>
          </w:p>
        </w:tc>
        <w:tc>
          <w:tcPr>
            <w:tcW w:w="4536" w:type="dxa"/>
          </w:tcPr>
          <w:p w:rsidR="00704C6C" w:rsidRPr="00704C6C" w:rsidRDefault="00704C6C" w:rsidP="0099682D">
            <w:pPr>
              <w:ind w:left="34" w:right="0"/>
            </w:pPr>
            <w:r w:rsidRPr="00704C6C">
              <w:t>Model predictions for the individual subject</w:t>
            </w:r>
          </w:p>
        </w:tc>
      </w:tr>
      <w:tr w:rsidR="00704C6C" w:rsidTr="00704C6C">
        <w:tc>
          <w:tcPr>
            <w:tcW w:w="2093" w:type="dxa"/>
          </w:tcPr>
          <w:p w:rsidR="00704C6C" w:rsidRPr="00704C6C" w:rsidRDefault="00704C6C" w:rsidP="0099682D">
            <w:pPr>
              <w:ind w:left="0" w:right="0"/>
            </w:pPr>
            <w:r w:rsidRPr="00704C6C">
              <w:t>IRES</w:t>
            </w:r>
          </w:p>
        </w:tc>
        <w:tc>
          <w:tcPr>
            <w:tcW w:w="4536" w:type="dxa"/>
          </w:tcPr>
          <w:p w:rsidR="00704C6C" w:rsidRPr="00704C6C" w:rsidRDefault="00704C6C" w:rsidP="0099682D">
            <w:pPr>
              <w:ind w:left="34" w:right="0"/>
            </w:pPr>
            <w:r w:rsidRPr="00704C6C">
              <w:t>Residuals based on individual prediction</w:t>
            </w:r>
          </w:p>
        </w:tc>
      </w:tr>
      <w:tr w:rsidR="00704C6C" w:rsidTr="00704C6C">
        <w:tc>
          <w:tcPr>
            <w:tcW w:w="2093" w:type="dxa"/>
          </w:tcPr>
          <w:p w:rsidR="00704C6C" w:rsidRPr="00704C6C" w:rsidRDefault="00704C6C" w:rsidP="0099682D">
            <w:pPr>
              <w:ind w:left="0" w:right="0"/>
            </w:pPr>
            <w:r w:rsidRPr="00704C6C">
              <w:t>IWRES</w:t>
            </w:r>
          </w:p>
        </w:tc>
        <w:tc>
          <w:tcPr>
            <w:tcW w:w="4536" w:type="dxa"/>
          </w:tcPr>
          <w:p w:rsidR="00704C6C" w:rsidRPr="00704C6C" w:rsidRDefault="00704C6C" w:rsidP="0099682D">
            <w:pPr>
              <w:ind w:left="34" w:right="0"/>
            </w:pPr>
            <w:r w:rsidRPr="00704C6C">
              <w:t>Weighted residuals based on individual prediction</w:t>
            </w:r>
          </w:p>
        </w:tc>
      </w:tr>
      <w:tr w:rsidR="00704C6C" w:rsidTr="00704C6C">
        <w:tc>
          <w:tcPr>
            <w:tcW w:w="2093" w:type="dxa"/>
          </w:tcPr>
          <w:p w:rsidR="00704C6C" w:rsidRPr="00704C6C" w:rsidRDefault="00704C6C" w:rsidP="0099682D">
            <w:pPr>
              <w:ind w:left="0" w:right="0"/>
            </w:pPr>
            <w:proofErr w:type="spellStart"/>
            <w:r w:rsidRPr="00704C6C">
              <w:t>k</w:t>
            </w:r>
            <w:r w:rsidRPr="00704C6C">
              <w:rPr>
                <w:vertAlign w:val="subscript"/>
              </w:rPr>
              <w:t>el</w:t>
            </w:r>
            <w:proofErr w:type="spellEnd"/>
          </w:p>
        </w:tc>
        <w:tc>
          <w:tcPr>
            <w:tcW w:w="4536" w:type="dxa"/>
          </w:tcPr>
          <w:p w:rsidR="00704C6C" w:rsidRPr="00704C6C" w:rsidRDefault="00704C6C" w:rsidP="0099682D">
            <w:pPr>
              <w:ind w:left="34" w:right="0"/>
            </w:pPr>
            <w:r w:rsidRPr="00704C6C">
              <w:t>Elimination rate constant</w:t>
            </w:r>
          </w:p>
        </w:tc>
      </w:tr>
      <w:tr w:rsidR="00704C6C" w:rsidTr="00704C6C">
        <w:tc>
          <w:tcPr>
            <w:tcW w:w="2093" w:type="dxa"/>
          </w:tcPr>
          <w:p w:rsidR="00704C6C" w:rsidRPr="00704C6C" w:rsidRDefault="00704C6C" w:rsidP="0099682D">
            <w:pPr>
              <w:ind w:left="0" w:right="0"/>
            </w:pPr>
            <w:proofErr w:type="spellStart"/>
            <w:r w:rsidRPr="00704C6C">
              <w:t>k</w:t>
            </w:r>
            <w:r w:rsidRPr="00704C6C">
              <w:rPr>
                <w:vertAlign w:val="subscript"/>
              </w:rPr>
              <w:t>int</w:t>
            </w:r>
            <w:proofErr w:type="spellEnd"/>
            <w:r w:rsidRPr="00704C6C">
              <w:t xml:space="preserve"> </w:t>
            </w:r>
          </w:p>
        </w:tc>
        <w:tc>
          <w:tcPr>
            <w:tcW w:w="4536" w:type="dxa"/>
          </w:tcPr>
          <w:p w:rsidR="00704C6C" w:rsidRPr="00704C6C" w:rsidRDefault="00704C6C" w:rsidP="0099682D">
            <w:pPr>
              <w:ind w:left="34" w:right="0"/>
            </w:pPr>
            <w:r w:rsidRPr="00704C6C">
              <w:t>Bound drug internalization rate constant</w:t>
            </w:r>
          </w:p>
        </w:tc>
      </w:tr>
      <w:tr w:rsidR="00704C6C" w:rsidTr="00704C6C">
        <w:tc>
          <w:tcPr>
            <w:tcW w:w="2093" w:type="dxa"/>
          </w:tcPr>
          <w:p w:rsidR="00704C6C" w:rsidRPr="00704C6C" w:rsidRDefault="00704C6C" w:rsidP="0099682D">
            <w:pPr>
              <w:ind w:left="0" w:right="0"/>
            </w:pPr>
            <w:r w:rsidRPr="00704C6C">
              <w:t>K</w:t>
            </w:r>
            <w:r w:rsidRPr="00704C6C">
              <w:rPr>
                <w:vertAlign w:val="subscript"/>
              </w:rPr>
              <w:t>i</w:t>
            </w:r>
          </w:p>
        </w:tc>
        <w:tc>
          <w:tcPr>
            <w:tcW w:w="4536" w:type="dxa"/>
          </w:tcPr>
          <w:p w:rsidR="00704C6C" w:rsidRPr="00704C6C" w:rsidRDefault="00704C6C" w:rsidP="0099682D">
            <w:pPr>
              <w:ind w:left="34" w:right="0"/>
            </w:pPr>
            <w:r w:rsidRPr="00704C6C">
              <w:t>Inhibitory rate constant</w:t>
            </w:r>
          </w:p>
        </w:tc>
      </w:tr>
      <w:tr w:rsidR="00704C6C" w:rsidTr="00704C6C">
        <w:tc>
          <w:tcPr>
            <w:tcW w:w="2093" w:type="dxa"/>
          </w:tcPr>
          <w:p w:rsidR="00704C6C" w:rsidRPr="00704C6C" w:rsidRDefault="00704C6C" w:rsidP="0099682D">
            <w:pPr>
              <w:ind w:left="0" w:right="0"/>
            </w:pPr>
            <w:r w:rsidRPr="00704C6C">
              <w:t>k</w:t>
            </w:r>
            <w:r w:rsidRPr="00704C6C">
              <w:rPr>
                <w:vertAlign w:val="subscript"/>
              </w:rPr>
              <w:t>m</w:t>
            </w:r>
          </w:p>
        </w:tc>
        <w:tc>
          <w:tcPr>
            <w:tcW w:w="4536" w:type="dxa"/>
          </w:tcPr>
          <w:p w:rsidR="00704C6C" w:rsidRPr="00704C6C" w:rsidRDefault="00704C6C" w:rsidP="0099682D">
            <w:pPr>
              <w:ind w:left="34" w:right="0"/>
            </w:pPr>
            <w:r w:rsidRPr="00704C6C">
              <w:t>Concentration of drug corresponding to half of maximum binding capacity</w:t>
            </w:r>
          </w:p>
        </w:tc>
      </w:tr>
      <w:tr w:rsidR="00704C6C" w:rsidTr="00704C6C">
        <w:tc>
          <w:tcPr>
            <w:tcW w:w="2093" w:type="dxa"/>
          </w:tcPr>
          <w:p w:rsidR="00704C6C" w:rsidRPr="00704C6C" w:rsidRDefault="00704C6C" w:rsidP="0099682D">
            <w:pPr>
              <w:ind w:left="0" w:right="0"/>
            </w:pPr>
            <w:proofErr w:type="spellStart"/>
            <w:r w:rsidRPr="00704C6C">
              <w:t>k</w:t>
            </w:r>
            <w:r w:rsidRPr="00704C6C">
              <w:rPr>
                <w:vertAlign w:val="subscript"/>
              </w:rPr>
              <w:t>pt</w:t>
            </w:r>
            <w:proofErr w:type="spellEnd"/>
            <w:r w:rsidRPr="00704C6C">
              <w:t xml:space="preserve"> </w:t>
            </w:r>
          </w:p>
        </w:tc>
        <w:tc>
          <w:tcPr>
            <w:tcW w:w="4536" w:type="dxa"/>
          </w:tcPr>
          <w:p w:rsidR="00704C6C" w:rsidRPr="00704C6C" w:rsidRDefault="00704C6C" w:rsidP="0099682D">
            <w:pPr>
              <w:ind w:left="34" w:right="0"/>
            </w:pPr>
            <w:r w:rsidRPr="00704C6C">
              <w:t>Plasma to tissue rate constant</w:t>
            </w:r>
          </w:p>
        </w:tc>
      </w:tr>
      <w:tr w:rsidR="00704C6C" w:rsidTr="00704C6C">
        <w:tc>
          <w:tcPr>
            <w:tcW w:w="2093" w:type="dxa"/>
          </w:tcPr>
          <w:p w:rsidR="00704C6C" w:rsidRPr="00704C6C" w:rsidRDefault="00704C6C" w:rsidP="0099682D">
            <w:pPr>
              <w:ind w:left="0" w:right="0"/>
            </w:pPr>
            <w:proofErr w:type="spellStart"/>
            <w:r w:rsidRPr="00704C6C">
              <w:t>k</w:t>
            </w:r>
            <w:r w:rsidRPr="00704C6C">
              <w:rPr>
                <w:vertAlign w:val="subscript"/>
              </w:rPr>
              <w:t>tp</w:t>
            </w:r>
            <w:proofErr w:type="spellEnd"/>
            <w:r w:rsidRPr="00704C6C">
              <w:t xml:space="preserve"> </w:t>
            </w:r>
          </w:p>
        </w:tc>
        <w:tc>
          <w:tcPr>
            <w:tcW w:w="4536" w:type="dxa"/>
          </w:tcPr>
          <w:p w:rsidR="00704C6C" w:rsidRPr="00704C6C" w:rsidRDefault="00704C6C" w:rsidP="0099682D">
            <w:pPr>
              <w:ind w:left="34" w:right="0"/>
            </w:pPr>
            <w:r w:rsidRPr="00704C6C">
              <w:t>Tissue to plasma rate constant</w:t>
            </w:r>
          </w:p>
        </w:tc>
      </w:tr>
      <w:tr w:rsidR="00704C6C" w:rsidTr="00704C6C">
        <w:tc>
          <w:tcPr>
            <w:tcW w:w="2093" w:type="dxa"/>
          </w:tcPr>
          <w:p w:rsidR="00704C6C" w:rsidRPr="00704C6C" w:rsidRDefault="00704C6C" w:rsidP="0099682D">
            <w:pPr>
              <w:ind w:left="0" w:right="0"/>
            </w:pPr>
            <w:r w:rsidRPr="00704C6C">
              <w:t>LLOQ</w:t>
            </w:r>
          </w:p>
        </w:tc>
        <w:tc>
          <w:tcPr>
            <w:tcW w:w="4536" w:type="dxa"/>
          </w:tcPr>
          <w:p w:rsidR="00704C6C" w:rsidRPr="00704C6C" w:rsidRDefault="00704C6C" w:rsidP="0099682D">
            <w:pPr>
              <w:ind w:left="34" w:right="0"/>
            </w:pPr>
            <w:r w:rsidRPr="00704C6C">
              <w:t>Lower limit of quantification</w:t>
            </w:r>
          </w:p>
        </w:tc>
      </w:tr>
      <w:tr w:rsidR="00704C6C" w:rsidTr="00704C6C">
        <w:tc>
          <w:tcPr>
            <w:tcW w:w="2093" w:type="dxa"/>
          </w:tcPr>
          <w:p w:rsidR="00704C6C" w:rsidRPr="00704C6C" w:rsidRDefault="00704C6C" w:rsidP="0099682D">
            <w:pPr>
              <w:ind w:left="0" w:right="0"/>
            </w:pPr>
            <w:r w:rsidRPr="00704C6C">
              <w:t>LOCF</w:t>
            </w:r>
          </w:p>
        </w:tc>
        <w:tc>
          <w:tcPr>
            <w:tcW w:w="4536" w:type="dxa"/>
          </w:tcPr>
          <w:p w:rsidR="00704C6C" w:rsidRPr="00704C6C" w:rsidRDefault="00704C6C" w:rsidP="0099682D">
            <w:pPr>
              <w:ind w:left="34" w:right="0"/>
            </w:pPr>
            <w:r w:rsidRPr="00704C6C">
              <w:t xml:space="preserve">last observation carried </w:t>
            </w:r>
            <w:proofErr w:type="spellStart"/>
            <w:r w:rsidRPr="00704C6C">
              <w:t>frowards</w:t>
            </w:r>
            <w:proofErr w:type="spellEnd"/>
          </w:p>
        </w:tc>
      </w:tr>
      <w:tr w:rsidR="00704C6C" w:rsidTr="00704C6C">
        <w:tc>
          <w:tcPr>
            <w:tcW w:w="2093" w:type="dxa"/>
          </w:tcPr>
          <w:p w:rsidR="00704C6C" w:rsidRPr="00704C6C" w:rsidRDefault="00704C6C" w:rsidP="0099682D">
            <w:pPr>
              <w:ind w:left="0" w:right="0"/>
            </w:pPr>
            <w:r w:rsidRPr="00704C6C">
              <w:t>LOQ</w:t>
            </w:r>
          </w:p>
        </w:tc>
        <w:tc>
          <w:tcPr>
            <w:tcW w:w="4536" w:type="dxa"/>
          </w:tcPr>
          <w:p w:rsidR="00704C6C" w:rsidRPr="00704C6C" w:rsidRDefault="00704C6C" w:rsidP="0099682D">
            <w:pPr>
              <w:ind w:left="34" w:right="0"/>
            </w:pPr>
            <w:r w:rsidRPr="00704C6C">
              <w:t>Limit of quantification</w:t>
            </w:r>
          </w:p>
        </w:tc>
      </w:tr>
      <w:tr w:rsidR="00704C6C" w:rsidTr="00704C6C">
        <w:tc>
          <w:tcPr>
            <w:tcW w:w="2093" w:type="dxa"/>
          </w:tcPr>
          <w:p w:rsidR="00704C6C" w:rsidRPr="00704C6C" w:rsidRDefault="00704C6C" w:rsidP="0099682D">
            <w:pPr>
              <w:ind w:left="0" w:right="0"/>
            </w:pPr>
            <w:r w:rsidRPr="00704C6C">
              <w:t xml:space="preserve">NM-TRAN </w:t>
            </w:r>
          </w:p>
        </w:tc>
        <w:tc>
          <w:tcPr>
            <w:tcW w:w="4536" w:type="dxa"/>
          </w:tcPr>
          <w:p w:rsidR="00704C6C" w:rsidRPr="00704C6C" w:rsidRDefault="00704C6C" w:rsidP="0099682D">
            <w:pPr>
              <w:ind w:left="34" w:right="0"/>
            </w:pPr>
            <w:r w:rsidRPr="00704C6C">
              <w:t>NONMEM translator</w:t>
            </w:r>
          </w:p>
        </w:tc>
      </w:tr>
      <w:tr w:rsidR="00704C6C" w:rsidTr="00704C6C">
        <w:tc>
          <w:tcPr>
            <w:tcW w:w="2093" w:type="dxa"/>
          </w:tcPr>
          <w:p w:rsidR="00704C6C" w:rsidRPr="00704C6C" w:rsidRDefault="00704C6C" w:rsidP="0099682D">
            <w:pPr>
              <w:ind w:left="0" w:right="0"/>
            </w:pPr>
            <w:r w:rsidRPr="00704C6C">
              <w:t xml:space="preserve">NONMEM </w:t>
            </w:r>
          </w:p>
        </w:tc>
        <w:tc>
          <w:tcPr>
            <w:tcW w:w="4536" w:type="dxa"/>
          </w:tcPr>
          <w:p w:rsidR="00704C6C" w:rsidRPr="00704C6C" w:rsidRDefault="00704C6C" w:rsidP="0099682D">
            <w:pPr>
              <w:ind w:left="34" w:right="0"/>
            </w:pPr>
            <w:r w:rsidRPr="00704C6C">
              <w:t>Nonlinear mixed effects model</w:t>
            </w:r>
          </w:p>
        </w:tc>
      </w:tr>
      <w:tr w:rsidR="00704C6C" w:rsidTr="00704C6C">
        <w:tc>
          <w:tcPr>
            <w:tcW w:w="2093" w:type="dxa"/>
          </w:tcPr>
          <w:p w:rsidR="00704C6C" w:rsidRPr="00704C6C" w:rsidRDefault="00704C6C" w:rsidP="0099682D">
            <w:pPr>
              <w:ind w:left="0" w:right="0"/>
            </w:pPr>
            <w:r w:rsidRPr="00704C6C">
              <w:t xml:space="preserve">NPDE </w:t>
            </w:r>
          </w:p>
        </w:tc>
        <w:tc>
          <w:tcPr>
            <w:tcW w:w="4536" w:type="dxa"/>
          </w:tcPr>
          <w:p w:rsidR="00704C6C" w:rsidRPr="00704C6C" w:rsidRDefault="00704C6C" w:rsidP="0099682D">
            <w:pPr>
              <w:ind w:left="34" w:right="0"/>
            </w:pPr>
            <w:r w:rsidRPr="00704C6C">
              <w:t>Normalized Prediction Distribution Errors</w:t>
            </w:r>
          </w:p>
        </w:tc>
      </w:tr>
      <w:tr w:rsidR="00704C6C" w:rsidTr="00704C6C">
        <w:tc>
          <w:tcPr>
            <w:tcW w:w="2093" w:type="dxa"/>
          </w:tcPr>
          <w:p w:rsidR="00704C6C" w:rsidRPr="00704C6C" w:rsidRDefault="00704C6C" w:rsidP="0099682D">
            <w:pPr>
              <w:ind w:left="0" w:right="0"/>
            </w:pPr>
            <w:r w:rsidRPr="00704C6C">
              <w:t xml:space="preserve">PK </w:t>
            </w:r>
          </w:p>
        </w:tc>
        <w:tc>
          <w:tcPr>
            <w:tcW w:w="4536" w:type="dxa"/>
          </w:tcPr>
          <w:p w:rsidR="00704C6C" w:rsidRPr="00704C6C" w:rsidRDefault="00704C6C" w:rsidP="0099682D">
            <w:pPr>
              <w:ind w:left="34" w:right="0"/>
            </w:pPr>
            <w:r w:rsidRPr="00704C6C">
              <w:t>Pharmacokinetics</w:t>
            </w:r>
          </w:p>
        </w:tc>
      </w:tr>
      <w:tr w:rsidR="00704C6C" w:rsidTr="00704C6C">
        <w:tc>
          <w:tcPr>
            <w:tcW w:w="2093" w:type="dxa"/>
          </w:tcPr>
          <w:p w:rsidR="00704C6C" w:rsidRPr="00704C6C" w:rsidRDefault="00704C6C" w:rsidP="0099682D">
            <w:pPr>
              <w:ind w:left="0" w:right="0"/>
            </w:pPr>
            <w:r w:rsidRPr="00704C6C">
              <w:t>PK/PD</w:t>
            </w:r>
          </w:p>
        </w:tc>
        <w:tc>
          <w:tcPr>
            <w:tcW w:w="4536" w:type="dxa"/>
          </w:tcPr>
          <w:p w:rsidR="00704C6C" w:rsidRPr="00704C6C" w:rsidRDefault="00704C6C" w:rsidP="0099682D">
            <w:pPr>
              <w:ind w:left="34" w:right="0"/>
            </w:pPr>
            <w:r w:rsidRPr="00704C6C">
              <w:t>Pharmacokinetics/pharmacodynamics</w:t>
            </w:r>
          </w:p>
        </w:tc>
      </w:tr>
      <w:tr w:rsidR="00704C6C" w:rsidTr="00704C6C">
        <w:tc>
          <w:tcPr>
            <w:tcW w:w="2093" w:type="dxa"/>
          </w:tcPr>
          <w:p w:rsidR="00704C6C" w:rsidRPr="00704C6C" w:rsidRDefault="00704C6C" w:rsidP="0099682D">
            <w:pPr>
              <w:ind w:left="0" w:right="0"/>
            </w:pPr>
            <w:r w:rsidRPr="00704C6C">
              <w:t>PRED</w:t>
            </w:r>
          </w:p>
        </w:tc>
        <w:tc>
          <w:tcPr>
            <w:tcW w:w="4536" w:type="dxa"/>
          </w:tcPr>
          <w:p w:rsidR="00704C6C" w:rsidRPr="00704C6C" w:rsidRDefault="00704C6C" w:rsidP="0099682D">
            <w:pPr>
              <w:ind w:left="34" w:right="0"/>
            </w:pPr>
            <w:r w:rsidRPr="00704C6C">
              <w:t>Predicted Data based on population parameter estimates</w:t>
            </w:r>
          </w:p>
        </w:tc>
      </w:tr>
      <w:tr w:rsidR="00704C6C" w:rsidTr="00704C6C">
        <w:tc>
          <w:tcPr>
            <w:tcW w:w="2093" w:type="dxa"/>
          </w:tcPr>
          <w:p w:rsidR="00704C6C" w:rsidRPr="00704C6C" w:rsidRDefault="00704C6C" w:rsidP="0099682D">
            <w:pPr>
              <w:ind w:left="0" w:right="0"/>
            </w:pPr>
            <w:r w:rsidRPr="00704C6C">
              <w:t xml:space="preserve">PREDPP </w:t>
            </w:r>
          </w:p>
        </w:tc>
        <w:tc>
          <w:tcPr>
            <w:tcW w:w="4536" w:type="dxa"/>
          </w:tcPr>
          <w:p w:rsidR="00704C6C" w:rsidRPr="00704C6C" w:rsidRDefault="00704C6C" w:rsidP="0099682D">
            <w:pPr>
              <w:ind w:left="34" w:right="0"/>
            </w:pPr>
            <w:r w:rsidRPr="00704C6C">
              <w:t>Prediction for population pharmacokinetics</w:t>
            </w:r>
          </w:p>
        </w:tc>
      </w:tr>
      <w:tr w:rsidR="00704C6C" w:rsidTr="00704C6C">
        <w:tc>
          <w:tcPr>
            <w:tcW w:w="2093" w:type="dxa"/>
          </w:tcPr>
          <w:p w:rsidR="00704C6C" w:rsidRPr="00704C6C" w:rsidRDefault="00704C6C" w:rsidP="0099682D">
            <w:pPr>
              <w:ind w:left="0" w:right="0"/>
            </w:pPr>
            <w:r w:rsidRPr="00704C6C">
              <w:t xml:space="preserve">Q </w:t>
            </w:r>
          </w:p>
        </w:tc>
        <w:tc>
          <w:tcPr>
            <w:tcW w:w="4536" w:type="dxa"/>
          </w:tcPr>
          <w:p w:rsidR="00704C6C" w:rsidRPr="00704C6C" w:rsidRDefault="00704C6C" w:rsidP="0099682D">
            <w:pPr>
              <w:ind w:left="34" w:right="0"/>
            </w:pPr>
            <w:r w:rsidRPr="00704C6C">
              <w:t>Inter-compartmental clearance</w:t>
            </w:r>
          </w:p>
        </w:tc>
      </w:tr>
      <w:tr w:rsidR="00704C6C" w:rsidTr="00704C6C">
        <w:tc>
          <w:tcPr>
            <w:tcW w:w="2093" w:type="dxa"/>
          </w:tcPr>
          <w:p w:rsidR="00704C6C" w:rsidRPr="00704C6C" w:rsidRDefault="00704C6C" w:rsidP="0099682D">
            <w:pPr>
              <w:ind w:left="0" w:right="0"/>
            </w:pPr>
            <w:r w:rsidRPr="00704C6C">
              <w:t>QQ</w:t>
            </w:r>
          </w:p>
        </w:tc>
        <w:tc>
          <w:tcPr>
            <w:tcW w:w="4536" w:type="dxa"/>
          </w:tcPr>
          <w:p w:rsidR="00704C6C" w:rsidRPr="00704C6C" w:rsidRDefault="00704C6C" w:rsidP="0099682D">
            <w:pPr>
              <w:ind w:left="34" w:right="0"/>
            </w:pPr>
            <w:proofErr w:type="spellStart"/>
            <w:r w:rsidRPr="00704C6C">
              <w:t>Quantile-quantile</w:t>
            </w:r>
            <w:proofErr w:type="spellEnd"/>
          </w:p>
        </w:tc>
      </w:tr>
      <w:tr w:rsidR="00704C6C" w:rsidTr="00704C6C">
        <w:tc>
          <w:tcPr>
            <w:tcW w:w="2093" w:type="dxa"/>
          </w:tcPr>
          <w:p w:rsidR="00704C6C" w:rsidRPr="00704C6C" w:rsidRDefault="00704C6C" w:rsidP="0099682D">
            <w:pPr>
              <w:ind w:left="0" w:right="0"/>
            </w:pPr>
            <w:r w:rsidRPr="00704C6C">
              <w:t>REGN</w:t>
            </w:r>
          </w:p>
        </w:tc>
        <w:tc>
          <w:tcPr>
            <w:tcW w:w="4536" w:type="dxa"/>
          </w:tcPr>
          <w:p w:rsidR="00704C6C" w:rsidRPr="00704C6C" w:rsidRDefault="00704C6C" w:rsidP="0099682D">
            <w:pPr>
              <w:ind w:left="34" w:right="0"/>
            </w:pPr>
            <w:r w:rsidRPr="00704C6C">
              <w:t>Region</w:t>
            </w:r>
          </w:p>
        </w:tc>
      </w:tr>
      <w:tr w:rsidR="00704C6C" w:rsidTr="00704C6C">
        <w:tc>
          <w:tcPr>
            <w:tcW w:w="2093" w:type="dxa"/>
          </w:tcPr>
          <w:p w:rsidR="00704C6C" w:rsidRPr="00704C6C" w:rsidRDefault="00704C6C" w:rsidP="0099682D">
            <w:pPr>
              <w:ind w:left="0" w:right="0"/>
            </w:pPr>
            <w:r w:rsidRPr="00704C6C">
              <w:t>RES</w:t>
            </w:r>
          </w:p>
        </w:tc>
        <w:tc>
          <w:tcPr>
            <w:tcW w:w="4536" w:type="dxa"/>
          </w:tcPr>
          <w:p w:rsidR="00704C6C" w:rsidRPr="00704C6C" w:rsidRDefault="00704C6C" w:rsidP="0099682D">
            <w:pPr>
              <w:ind w:left="34" w:right="0"/>
            </w:pPr>
            <w:r w:rsidRPr="00704C6C">
              <w:t>Residuals based on population prediction</w:t>
            </w:r>
          </w:p>
        </w:tc>
      </w:tr>
      <w:tr w:rsidR="00704C6C" w:rsidTr="00704C6C">
        <w:tc>
          <w:tcPr>
            <w:tcW w:w="2093" w:type="dxa"/>
          </w:tcPr>
          <w:p w:rsidR="00704C6C" w:rsidRPr="00704C6C" w:rsidRDefault="00704C6C" w:rsidP="0099682D">
            <w:pPr>
              <w:ind w:left="0" w:right="0"/>
            </w:pPr>
            <w:r w:rsidRPr="00704C6C">
              <w:t xml:space="preserve">RSE </w:t>
            </w:r>
          </w:p>
        </w:tc>
        <w:tc>
          <w:tcPr>
            <w:tcW w:w="4536" w:type="dxa"/>
          </w:tcPr>
          <w:p w:rsidR="00704C6C" w:rsidRPr="00704C6C" w:rsidRDefault="00704C6C" w:rsidP="0099682D">
            <w:pPr>
              <w:ind w:left="34" w:right="0"/>
            </w:pPr>
            <w:r w:rsidRPr="00704C6C">
              <w:t>Relative standard error</w:t>
            </w:r>
          </w:p>
        </w:tc>
      </w:tr>
      <w:tr w:rsidR="00704C6C" w:rsidTr="00704C6C">
        <w:tc>
          <w:tcPr>
            <w:tcW w:w="2093" w:type="dxa"/>
          </w:tcPr>
          <w:p w:rsidR="00704C6C" w:rsidRPr="00704C6C" w:rsidRDefault="00704C6C" w:rsidP="0099682D">
            <w:pPr>
              <w:ind w:left="0" w:right="0"/>
            </w:pPr>
            <w:r w:rsidRPr="00704C6C">
              <w:t>RTV</w:t>
            </w:r>
          </w:p>
        </w:tc>
        <w:tc>
          <w:tcPr>
            <w:tcW w:w="4536" w:type="dxa"/>
          </w:tcPr>
          <w:p w:rsidR="00704C6C" w:rsidRPr="00704C6C" w:rsidRDefault="00704C6C" w:rsidP="0099682D">
            <w:pPr>
              <w:ind w:left="34" w:right="0"/>
            </w:pPr>
            <w:r w:rsidRPr="00704C6C">
              <w:t>Ritonavir</w:t>
            </w:r>
          </w:p>
        </w:tc>
      </w:tr>
      <w:tr w:rsidR="00704C6C" w:rsidTr="00704C6C">
        <w:tc>
          <w:tcPr>
            <w:tcW w:w="2093" w:type="dxa"/>
          </w:tcPr>
          <w:p w:rsidR="00704C6C" w:rsidRPr="00704C6C" w:rsidRDefault="00704C6C" w:rsidP="0099682D">
            <w:pPr>
              <w:ind w:left="0" w:right="0"/>
            </w:pPr>
            <w:r w:rsidRPr="00704C6C">
              <w:t xml:space="preserve">SAEM </w:t>
            </w:r>
          </w:p>
        </w:tc>
        <w:tc>
          <w:tcPr>
            <w:tcW w:w="4536" w:type="dxa"/>
          </w:tcPr>
          <w:p w:rsidR="00704C6C" w:rsidRPr="00704C6C" w:rsidRDefault="00704C6C" w:rsidP="0099682D">
            <w:pPr>
              <w:ind w:left="34" w:right="0"/>
            </w:pPr>
            <w:r w:rsidRPr="00704C6C">
              <w:t>Stochastic Approximation Expectation Maximization</w:t>
            </w:r>
          </w:p>
        </w:tc>
      </w:tr>
      <w:tr w:rsidR="00704C6C" w:rsidTr="00704C6C">
        <w:tc>
          <w:tcPr>
            <w:tcW w:w="2093" w:type="dxa"/>
          </w:tcPr>
          <w:p w:rsidR="00704C6C" w:rsidRPr="00704C6C" w:rsidRDefault="00704C6C" w:rsidP="0099682D">
            <w:pPr>
              <w:ind w:left="0" w:right="0"/>
            </w:pPr>
            <w:r w:rsidRPr="00704C6C">
              <w:t>TAD</w:t>
            </w:r>
          </w:p>
        </w:tc>
        <w:tc>
          <w:tcPr>
            <w:tcW w:w="4536" w:type="dxa"/>
          </w:tcPr>
          <w:p w:rsidR="00704C6C" w:rsidRPr="00704C6C" w:rsidRDefault="00704C6C" w:rsidP="0099682D">
            <w:pPr>
              <w:ind w:left="34" w:right="0"/>
            </w:pPr>
            <w:r w:rsidRPr="00704C6C">
              <w:t>Time After Dose</w:t>
            </w:r>
          </w:p>
        </w:tc>
      </w:tr>
      <w:tr w:rsidR="00704C6C" w:rsidTr="00704C6C">
        <w:tc>
          <w:tcPr>
            <w:tcW w:w="2093" w:type="dxa"/>
          </w:tcPr>
          <w:p w:rsidR="00704C6C" w:rsidRPr="00704C6C" w:rsidRDefault="00704C6C" w:rsidP="0099682D">
            <w:pPr>
              <w:ind w:left="0" w:right="0"/>
            </w:pPr>
            <w:r w:rsidRPr="00704C6C">
              <w:t xml:space="preserve">t1/2λ1 </w:t>
            </w:r>
          </w:p>
        </w:tc>
        <w:tc>
          <w:tcPr>
            <w:tcW w:w="4536" w:type="dxa"/>
          </w:tcPr>
          <w:p w:rsidR="00704C6C" w:rsidRPr="00704C6C" w:rsidRDefault="00704C6C" w:rsidP="0099682D">
            <w:pPr>
              <w:ind w:left="34" w:right="0"/>
            </w:pPr>
            <w:r w:rsidRPr="00704C6C">
              <w:t>Distribution half-life for free drug</w:t>
            </w:r>
          </w:p>
        </w:tc>
      </w:tr>
      <w:tr w:rsidR="00704C6C" w:rsidTr="00704C6C">
        <w:tc>
          <w:tcPr>
            <w:tcW w:w="2093" w:type="dxa"/>
          </w:tcPr>
          <w:p w:rsidR="00704C6C" w:rsidRPr="00704C6C" w:rsidRDefault="00704C6C" w:rsidP="0099682D">
            <w:pPr>
              <w:ind w:left="0" w:right="0"/>
            </w:pPr>
            <w:r w:rsidRPr="00704C6C">
              <w:t xml:space="preserve">t1/2λz </w:t>
            </w:r>
          </w:p>
        </w:tc>
        <w:tc>
          <w:tcPr>
            <w:tcW w:w="4536" w:type="dxa"/>
          </w:tcPr>
          <w:p w:rsidR="00704C6C" w:rsidRPr="00704C6C" w:rsidRDefault="00704C6C" w:rsidP="0099682D">
            <w:pPr>
              <w:ind w:left="34" w:right="0"/>
            </w:pPr>
            <w:r w:rsidRPr="00704C6C">
              <w:t>Terminal half-life for free drug</w:t>
            </w:r>
          </w:p>
        </w:tc>
      </w:tr>
      <w:tr w:rsidR="00704C6C" w:rsidTr="00704C6C">
        <w:tc>
          <w:tcPr>
            <w:tcW w:w="2093" w:type="dxa"/>
          </w:tcPr>
          <w:p w:rsidR="00704C6C" w:rsidRPr="00704C6C" w:rsidRDefault="00704C6C" w:rsidP="0099682D">
            <w:pPr>
              <w:ind w:left="0" w:right="0"/>
            </w:pPr>
            <w:r w:rsidRPr="00704C6C">
              <w:t xml:space="preserve">tmax </w:t>
            </w:r>
          </w:p>
        </w:tc>
        <w:tc>
          <w:tcPr>
            <w:tcW w:w="4536" w:type="dxa"/>
          </w:tcPr>
          <w:p w:rsidR="00704C6C" w:rsidRPr="00704C6C" w:rsidRDefault="00704C6C" w:rsidP="0099682D">
            <w:pPr>
              <w:ind w:left="34" w:right="0"/>
            </w:pPr>
            <w:r w:rsidRPr="00704C6C">
              <w:t>Time to reach maximum concentration (end of infusion)</w:t>
            </w:r>
          </w:p>
        </w:tc>
      </w:tr>
      <w:tr w:rsidR="00704C6C" w:rsidTr="00704C6C">
        <w:tc>
          <w:tcPr>
            <w:tcW w:w="2093" w:type="dxa"/>
          </w:tcPr>
          <w:p w:rsidR="00704C6C" w:rsidRPr="00704C6C" w:rsidRDefault="00704C6C" w:rsidP="0099682D">
            <w:pPr>
              <w:ind w:left="0" w:right="0"/>
            </w:pPr>
            <w:r w:rsidRPr="00704C6C">
              <w:t xml:space="preserve">TP </w:t>
            </w:r>
          </w:p>
        </w:tc>
        <w:tc>
          <w:tcPr>
            <w:tcW w:w="4536" w:type="dxa"/>
          </w:tcPr>
          <w:p w:rsidR="00704C6C" w:rsidRPr="00704C6C" w:rsidRDefault="00704C6C" w:rsidP="0099682D">
            <w:pPr>
              <w:ind w:left="34" w:right="0"/>
            </w:pPr>
            <w:r w:rsidRPr="00704C6C">
              <w:t>Total protein</w:t>
            </w:r>
          </w:p>
        </w:tc>
      </w:tr>
      <w:tr w:rsidR="00704C6C" w:rsidTr="00704C6C">
        <w:tc>
          <w:tcPr>
            <w:tcW w:w="2093" w:type="dxa"/>
          </w:tcPr>
          <w:p w:rsidR="00704C6C" w:rsidRPr="00704C6C" w:rsidRDefault="00704C6C" w:rsidP="0099682D">
            <w:pPr>
              <w:ind w:left="0" w:right="0"/>
            </w:pPr>
            <w:proofErr w:type="spellStart"/>
            <w:r w:rsidRPr="00704C6C">
              <w:t>TPn</w:t>
            </w:r>
            <w:proofErr w:type="spellEnd"/>
          </w:p>
        </w:tc>
        <w:tc>
          <w:tcPr>
            <w:tcW w:w="4536" w:type="dxa"/>
          </w:tcPr>
          <w:p w:rsidR="00704C6C" w:rsidRPr="00704C6C" w:rsidRDefault="00704C6C" w:rsidP="0099682D">
            <w:pPr>
              <w:ind w:left="34" w:right="0"/>
            </w:pPr>
            <w:r w:rsidRPr="00704C6C">
              <w:t>Normalised total protein</w:t>
            </w:r>
          </w:p>
        </w:tc>
      </w:tr>
      <w:tr w:rsidR="00704C6C" w:rsidTr="00704C6C">
        <w:tc>
          <w:tcPr>
            <w:tcW w:w="2093" w:type="dxa"/>
          </w:tcPr>
          <w:p w:rsidR="00704C6C" w:rsidRPr="00704C6C" w:rsidRDefault="00704C6C" w:rsidP="0099682D">
            <w:pPr>
              <w:ind w:left="0" w:right="0"/>
            </w:pPr>
            <w:r w:rsidRPr="00704C6C">
              <w:t xml:space="preserve">VEGF </w:t>
            </w:r>
          </w:p>
        </w:tc>
        <w:tc>
          <w:tcPr>
            <w:tcW w:w="4536" w:type="dxa"/>
          </w:tcPr>
          <w:p w:rsidR="00704C6C" w:rsidRPr="00704C6C" w:rsidRDefault="00704C6C" w:rsidP="0099682D">
            <w:pPr>
              <w:ind w:left="34" w:right="0"/>
            </w:pPr>
            <w:r w:rsidRPr="00704C6C">
              <w:t>Vascular Endothelial Growth Factor</w:t>
            </w:r>
          </w:p>
        </w:tc>
      </w:tr>
      <w:tr w:rsidR="00704C6C" w:rsidTr="00704C6C">
        <w:tc>
          <w:tcPr>
            <w:tcW w:w="2093" w:type="dxa"/>
          </w:tcPr>
          <w:p w:rsidR="00704C6C" w:rsidRPr="00704C6C" w:rsidRDefault="00704C6C" w:rsidP="0099682D">
            <w:pPr>
              <w:ind w:left="0" w:right="0"/>
            </w:pPr>
            <w:r w:rsidRPr="00704C6C">
              <w:t xml:space="preserve">V1 </w:t>
            </w:r>
          </w:p>
        </w:tc>
        <w:tc>
          <w:tcPr>
            <w:tcW w:w="4536" w:type="dxa"/>
          </w:tcPr>
          <w:p w:rsidR="00704C6C" w:rsidRPr="00704C6C" w:rsidRDefault="00704C6C" w:rsidP="0099682D">
            <w:pPr>
              <w:ind w:left="34" w:right="0"/>
            </w:pPr>
            <w:r w:rsidRPr="00704C6C">
              <w:t>Distribution volume for central compartment of free drug</w:t>
            </w:r>
          </w:p>
        </w:tc>
      </w:tr>
      <w:tr w:rsidR="00704C6C" w:rsidTr="00704C6C">
        <w:tc>
          <w:tcPr>
            <w:tcW w:w="2093" w:type="dxa"/>
          </w:tcPr>
          <w:p w:rsidR="00704C6C" w:rsidRPr="00704C6C" w:rsidRDefault="00704C6C" w:rsidP="0099682D">
            <w:pPr>
              <w:ind w:left="0" w:right="0"/>
            </w:pPr>
            <w:r w:rsidRPr="00704C6C">
              <w:t xml:space="preserve">V2 </w:t>
            </w:r>
          </w:p>
        </w:tc>
        <w:tc>
          <w:tcPr>
            <w:tcW w:w="4536" w:type="dxa"/>
          </w:tcPr>
          <w:p w:rsidR="00704C6C" w:rsidRPr="00704C6C" w:rsidRDefault="00704C6C" w:rsidP="0099682D">
            <w:pPr>
              <w:ind w:left="34" w:right="0"/>
            </w:pPr>
            <w:r w:rsidRPr="00704C6C">
              <w:t>Distribution volume for peripheral compartment of free drug</w:t>
            </w:r>
          </w:p>
        </w:tc>
      </w:tr>
      <w:tr w:rsidR="00704C6C" w:rsidTr="00704C6C">
        <w:tc>
          <w:tcPr>
            <w:tcW w:w="2093" w:type="dxa"/>
          </w:tcPr>
          <w:p w:rsidR="00704C6C" w:rsidRPr="00704C6C" w:rsidRDefault="00704C6C" w:rsidP="0099682D">
            <w:pPr>
              <w:ind w:left="0" w:right="0"/>
            </w:pPr>
            <w:r w:rsidRPr="00704C6C">
              <w:t xml:space="preserve">V3 </w:t>
            </w:r>
          </w:p>
        </w:tc>
        <w:tc>
          <w:tcPr>
            <w:tcW w:w="4536" w:type="dxa"/>
          </w:tcPr>
          <w:p w:rsidR="00704C6C" w:rsidRPr="00704C6C" w:rsidRDefault="00704C6C" w:rsidP="0099682D">
            <w:pPr>
              <w:ind w:left="34" w:right="0"/>
            </w:pPr>
            <w:r w:rsidRPr="00704C6C">
              <w:t>Distribution volume of bound drug (</w:t>
            </w:r>
            <w:proofErr w:type="spellStart"/>
            <w:r w:rsidRPr="00704C6C">
              <w:t>Vb</w:t>
            </w:r>
            <w:proofErr w:type="spellEnd"/>
            <w:r w:rsidRPr="00704C6C">
              <w:t>)</w:t>
            </w:r>
          </w:p>
        </w:tc>
      </w:tr>
      <w:tr w:rsidR="00704C6C" w:rsidTr="00704C6C">
        <w:tc>
          <w:tcPr>
            <w:tcW w:w="2093" w:type="dxa"/>
          </w:tcPr>
          <w:p w:rsidR="00704C6C" w:rsidRPr="00704C6C" w:rsidRDefault="00704C6C" w:rsidP="0099682D">
            <w:pPr>
              <w:ind w:left="0" w:right="0"/>
              <w:rPr>
                <w:lang w:val="en-US"/>
              </w:rPr>
            </w:pPr>
            <w:proofErr w:type="spellStart"/>
            <w:r w:rsidRPr="00704C6C">
              <w:rPr>
                <w:lang w:val="en-US"/>
              </w:rPr>
              <w:t>Vb</w:t>
            </w:r>
            <w:proofErr w:type="spellEnd"/>
          </w:p>
        </w:tc>
        <w:tc>
          <w:tcPr>
            <w:tcW w:w="4536" w:type="dxa"/>
          </w:tcPr>
          <w:p w:rsidR="00704C6C" w:rsidRPr="00704C6C" w:rsidRDefault="00704C6C" w:rsidP="0099682D">
            <w:pPr>
              <w:ind w:left="34" w:right="0"/>
            </w:pPr>
            <w:r w:rsidRPr="00704C6C">
              <w:rPr>
                <w:lang w:val="en-US"/>
              </w:rPr>
              <w:t>Volume of distribution of bound drug</w:t>
            </w:r>
          </w:p>
        </w:tc>
      </w:tr>
      <w:tr w:rsidR="00704C6C" w:rsidTr="00704C6C">
        <w:tc>
          <w:tcPr>
            <w:tcW w:w="2093" w:type="dxa"/>
          </w:tcPr>
          <w:p w:rsidR="00704C6C" w:rsidRPr="00704C6C" w:rsidRDefault="00704C6C" w:rsidP="0099682D">
            <w:pPr>
              <w:ind w:left="0" w:right="0"/>
            </w:pPr>
            <w:r w:rsidRPr="00704C6C">
              <w:t xml:space="preserve">Vmax </w:t>
            </w:r>
          </w:p>
        </w:tc>
        <w:tc>
          <w:tcPr>
            <w:tcW w:w="4536" w:type="dxa"/>
          </w:tcPr>
          <w:p w:rsidR="00704C6C" w:rsidRPr="00704C6C" w:rsidRDefault="00704C6C" w:rsidP="0099682D">
            <w:pPr>
              <w:ind w:left="34" w:right="0"/>
            </w:pPr>
            <w:r w:rsidRPr="00704C6C">
              <w:t>Maximum binding capacity</w:t>
            </w:r>
          </w:p>
        </w:tc>
      </w:tr>
      <w:tr w:rsidR="00704C6C" w:rsidTr="00704C6C">
        <w:tc>
          <w:tcPr>
            <w:tcW w:w="2093" w:type="dxa"/>
          </w:tcPr>
          <w:p w:rsidR="00704C6C" w:rsidRPr="00704C6C" w:rsidRDefault="00704C6C" w:rsidP="0099682D">
            <w:pPr>
              <w:ind w:left="0" w:right="0"/>
            </w:pPr>
            <w:proofErr w:type="spellStart"/>
            <w:r w:rsidRPr="00704C6C">
              <w:t>Vp</w:t>
            </w:r>
            <w:proofErr w:type="spellEnd"/>
          </w:p>
        </w:tc>
        <w:tc>
          <w:tcPr>
            <w:tcW w:w="4536" w:type="dxa"/>
          </w:tcPr>
          <w:p w:rsidR="00704C6C" w:rsidRPr="00704C6C" w:rsidRDefault="00704C6C" w:rsidP="0099682D">
            <w:pPr>
              <w:ind w:left="34" w:right="0"/>
            </w:pPr>
            <w:r w:rsidRPr="00704C6C">
              <w:t xml:space="preserve">Central volume of distribution of free drug (L), </w:t>
            </w:r>
          </w:p>
        </w:tc>
      </w:tr>
      <w:tr w:rsidR="00704C6C" w:rsidTr="00704C6C">
        <w:tc>
          <w:tcPr>
            <w:tcW w:w="2093" w:type="dxa"/>
          </w:tcPr>
          <w:p w:rsidR="00704C6C" w:rsidRPr="00704C6C" w:rsidRDefault="00704C6C" w:rsidP="0099682D">
            <w:pPr>
              <w:ind w:left="0" w:right="0"/>
            </w:pPr>
            <w:proofErr w:type="spellStart"/>
            <w:r w:rsidRPr="00704C6C">
              <w:t>Vt</w:t>
            </w:r>
            <w:proofErr w:type="spellEnd"/>
          </w:p>
        </w:tc>
        <w:tc>
          <w:tcPr>
            <w:tcW w:w="4536" w:type="dxa"/>
          </w:tcPr>
          <w:p w:rsidR="00704C6C" w:rsidRPr="00704C6C" w:rsidRDefault="00704C6C" w:rsidP="0099682D">
            <w:pPr>
              <w:ind w:left="34" w:right="0"/>
            </w:pPr>
            <w:r w:rsidRPr="00704C6C">
              <w:t>Peripheral volume of distribution of free drug</w:t>
            </w:r>
          </w:p>
        </w:tc>
      </w:tr>
      <w:tr w:rsidR="00704C6C" w:rsidTr="00704C6C">
        <w:tc>
          <w:tcPr>
            <w:tcW w:w="2093" w:type="dxa"/>
          </w:tcPr>
          <w:p w:rsidR="00704C6C" w:rsidRPr="00704C6C" w:rsidRDefault="00704C6C" w:rsidP="0099682D">
            <w:pPr>
              <w:ind w:left="0" w:right="0"/>
            </w:pPr>
            <w:r w:rsidRPr="00704C6C">
              <w:t xml:space="preserve">Vs </w:t>
            </w:r>
          </w:p>
        </w:tc>
        <w:tc>
          <w:tcPr>
            <w:tcW w:w="4536" w:type="dxa"/>
          </w:tcPr>
          <w:p w:rsidR="00704C6C" w:rsidRPr="00704C6C" w:rsidRDefault="00704C6C" w:rsidP="0099682D">
            <w:pPr>
              <w:ind w:left="34" w:right="0"/>
            </w:pPr>
            <w:r w:rsidRPr="00704C6C">
              <w:t>Versus</w:t>
            </w:r>
          </w:p>
        </w:tc>
      </w:tr>
      <w:tr w:rsidR="00704C6C" w:rsidTr="00704C6C">
        <w:tc>
          <w:tcPr>
            <w:tcW w:w="2093" w:type="dxa"/>
          </w:tcPr>
          <w:p w:rsidR="00704C6C" w:rsidRPr="00704C6C" w:rsidRDefault="00704C6C" w:rsidP="0099682D">
            <w:pPr>
              <w:ind w:left="0" w:right="0"/>
            </w:pPr>
            <w:r w:rsidRPr="00704C6C">
              <w:t xml:space="preserve">VSS </w:t>
            </w:r>
          </w:p>
        </w:tc>
        <w:tc>
          <w:tcPr>
            <w:tcW w:w="4536" w:type="dxa"/>
          </w:tcPr>
          <w:p w:rsidR="00704C6C" w:rsidRPr="00704C6C" w:rsidRDefault="00704C6C" w:rsidP="0099682D">
            <w:pPr>
              <w:ind w:left="34" w:right="0"/>
            </w:pPr>
            <w:r w:rsidRPr="00704C6C">
              <w:t>Steady state volume of distribution</w:t>
            </w:r>
          </w:p>
        </w:tc>
      </w:tr>
      <w:tr w:rsidR="00704C6C" w:rsidTr="00704C6C">
        <w:tc>
          <w:tcPr>
            <w:tcW w:w="2093" w:type="dxa"/>
          </w:tcPr>
          <w:p w:rsidR="00704C6C" w:rsidRPr="00704C6C" w:rsidRDefault="00704C6C" w:rsidP="0099682D">
            <w:pPr>
              <w:ind w:left="0" w:right="0"/>
            </w:pPr>
            <w:r w:rsidRPr="00704C6C">
              <w:t>WAM</w:t>
            </w:r>
          </w:p>
        </w:tc>
        <w:tc>
          <w:tcPr>
            <w:tcW w:w="4536" w:type="dxa"/>
          </w:tcPr>
          <w:p w:rsidR="00704C6C" w:rsidRPr="00704C6C" w:rsidRDefault="00704C6C" w:rsidP="0099682D">
            <w:pPr>
              <w:ind w:left="34" w:right="0"/>
            </w:pPr>
            <w:r w:rsidRPr="00704C6C">
              <w:t>Wald’s approximation method</w:t>
            </w:r>
          </w:p>
        </w:tc>
      </w:tr>
      <w:tr w:rsidR="00704C6C" w:rsidTr="00704C6C">
        <w:tc>
          <w:tcPr>
            <w:tcW w:w="2093" w:type="dxa"/>
          </w:tcPr>
          <w:p w:rsidR="00704C6C" w:rsidRPr="00704C6C" w:rsidRDefault="00704C6C" w:rsidP="0099682D">
            <w:pPr>
              <w:ind w:left="0" w:right="0"/>
            </w:pPr>
            <w:r w:rsidRPr="00704C6C">
              <w:t>WRES</w:t>
            </w:r>
          </w:p>
        </w:tc>
        <w:tc>
          <w:tcPr>
            <w:tcW w:w="4536" w:type="dxa"/>
          </w:tcPr>
          <w:p w:rsidR="00704C6C" w:rsidRPr="00704C6C" w:rsidRDefault="00704C6C" w:rsidP="0099682D">
            <w:pPr>
              <w:ind w:left="34" w:right="0"/>
            </w:pPr>
            <w:r w:rsidRPr="00704C6C">
              <w:t>Weighted residuals</w:t>
            </w:r>
          </w:p>
        </w:tc>
      </w:tr>
      <w:tr w:rsidR="00704C6C" w:rsidTr="00704C6C">
        <w:tc>
          <w:tcPr>
            <w:tcW w:w="2093" w:type="dxa"/>
          </w:tcPr>
          <w:p w:rsidR="00704C6C" w:rsidRPr="00704C6C" w:rsidRDefault="00704C6C" w:rsidP="0099682D">
            <w:pPr>
              <w:ind w:left="0" w:right="0"/>
            </w:pPr>
            <w:r w:rsidRPr="00704C6C">
              <w:t xml:space="preserve">WT </w:t>
            </w:r>
          </w:p>
        </w:tc>
        <w:tc>
          <w:tcPr>
            <w:tcW w:w="4536" w:type="dxa"/>
          </w:tcPr>
          <w:p w:rsidR="00704C6C" w:rsidRPr="00704C6C" w:rsidRDefault="00704C6C" w:rsidP="0099682D">
            <w:pPr>
              <w:ind w:left="34" w:right="0"/>
            </w:pPr>
            <w:r w:rsidRPr="00704C6C">
              <w:t>Weight</w:t>
            </w:r>
          </w:p>
        </w:tc>
      </w:tr>
      <w:tr w:rsidR="00704C6C" w:rsidTr="00704C6C">
        <w:tc>
          <w:tcPr>
            <w:tcW w:w="2093" w:type="dxa"/>
          </w:tcPr>
          <w:p w:rsidR="00704C6C" w:rsidRPr="00704C6C" w:rsidRDefault="00704C6C" w:rsidP="0099682D">
            <w:pPr>
              <w:ind w:left="0" w:right="0"/>
              <w:rPr>
                <w:lang w:val="en-US"/>
              </w:rPr>
            </w:pPr>
            <w:r w:rsidRPr="00704C6C">
              <w:rPr>
                <w:lang w:val="en-US"/>
              </w:rPr>
              <w:t xml:space="preserve">ε </w:t>
            </w:r>
          </w:p>
        </w:tc>
        <w:tc>
          <w:tcPr>
            <w:tcW w:w="4536" w:type="dxa"/>
          </w:tcPr>
          <w:p w:rsidR="00704C6C" w:rsidRPr="00704C6C" w:rsidRDefault="00704C6C" w:rsidP="0099682D">
            <w:pPr>
              <w:ind w:left="34" w:right="0"/>
              <w:rPr>
                <w:lang w:val="en-US"/>
              </w:rPr>
            </w:pPr>
            <w:r w:rsidRPr="00704C6C">
              <w:rPr>
                <w:lang w:val="en-US"/>
              </w:rPr>
              <w:t>Residual random effect</w:t>
            </w:r>
          </w:p>
        </w:tc>
      </w:tr>
      <w:tr w:rsidR="00704C6C" w:rsidTr="00704C6C">
        <w:tc>
          <w:tcPr>
            <w:tcW w:w="2093" w:type="dxa"/>
          </w:tcPr>
          <w:p w:rsidR="00704C6C" w:rsidRPr="00704C6C" w:rsidRDefault="00704C6C" w:rsidP="0099682D">
            <w:pPr>
              <w:ind w:left="0" w:right="0"/>
              <w:rPr>
                <w:lang w:val="en-US"/>
              </w:rPr>
            </w:pPr>
            <w:r w:rsidRPr="00704C6C">
              <w:rPr>
                <w:lang w:val="en-US"/>
              </w:rPr>
              <w:t xml:space="preserve">η </w:t>
            </w:r>
          </w:p>
        </w:tc>
        <w:tc>
          <w:tcPr>
            <w:tcW w:w="4536" w:type="dxa"/>
          </w:tcPr>
          <w:p w:rsidR="00704C6C" w:rsidRPr="00704C6C" w:rsidRDefault="00704C6C" w:rsidP="0099682D">
            <w:pPr>
              <w:ind w:left="34" w:right="0"/>
              <w:rPr>
                <w:lang w:val="en-US"/>
              </w:rPr>
            </w:pPr>
            <w:r w:rsidRPr="00704C6C">
              <w:rPr>
                <w:lang w:val="en-US"/>
              </w:rPr>
              <w:t>Inter-individual random effect</w:t>
            </w:r>
          </w:p>
        </w:tc>
      </w:tr>
      <w:tr w:rsidR="00704C6C" w:rsidTr="00704C6C">
        <w:tc>
          <w:tcPr>
            <w:tcW w:w="2093" w:type="dxa"/>
          </w:tcPr>
          <w:p w:rsidR="00704C6C" w:rsidRPr="00704C6C" w:rsidRDefault="00704C6C" w:rsidP="0099682D">
            <w:pPr>
              <w:ind w:left="0" w:right="0"/>
              <w:rPr>
                <w:lang w:val="en-US"/>
              </w:rPr>
            </w:pPr>
            <w:r w:rsidRPr="00704C6C">
              <w:rPr>
                <w:lang w:val="en-US"/>
              </w:rPr>
              <w:t xml:space="preserve">θ </w:t>
            </w:r>
          </w:p>
        </w:tc>
        <w:tc>
          <w:tcPr>
            <w:tcW w:w="4536" w:type="dxa"/>
          </w:tcPr>
          <w:p w:rsidR="00704C6C" w:rsidRPr="00704C6C" w:rsidRDefault="00704C6C" w:rsidP="0099682D">
            <w:pPr>
              <w:ind w:left="34" w:right="0"/>
              <w:rPr>
                <w:lang w:val="en-US"/>
              </w:rPr>
            </w:pPr>
            <w:r w:rsidRPr="00704C6C">
              <w:rPr>
                <w:lang w:val="en-US"/>
              </w:rPr>
              <w:t>Population mean value of the parameter</w:t>
            </w:r>
          </w:p>
        </w:tc>
      </w:tr>
      <w:tr w:rsidR="00704C6C" w:rsidTr="00704C6C">
        <w:tc>
          <w:tcPr>
            <w:tcW w:w="2093" w:type="dxa"/>
          </w:tcPr>
          <w:p w:rsidR="00704C6C" w:rsidRPr="00704C6C" w:rsidRDefault="00704C6C" w:rsidP="0099682D">
            <w:pPr>
              <w:ind w:left="0" w:right="0"/>
              <w:rPr>
                <w:lang w:val="en-US"/>
              </w:rPr>
            </w:pPr>
            <w:r w:rsidRPr="00704C6C">
              <w:rPr>
                <w:lang w:val="en-US"/>
              </w:rPr>
              <w:t xml:space="preserve">κ </w:t>
            </w:r>
          </w:p>
        </w:tc>
        <w:tc>
          <w:tcPr>
            <w:tcW w:w="4536" w:type="dxa"/>
          </w:tcPr>
          <w:p w:rsidR="00704C6C" w:rsidRPr="00704C6C" w:rsidRDefault="00704C6C" w:rsidP="0099682D">
            <w:pPr>
              <w:ind w:left="34" w:right="0"/>
              <w:rPr>
                <w:lang w:val="en-US"/>
              </w:rPr>
            </w:pPr>
            <w:r w:rsidRPr="00704C6C">
              <w:rPr>
                <w:lang w:val="en-US"/>
              </w:rPr>
              <w:t>Inter-occasion random effect</w:t>
            </w:r>
          </w:p>
        </w:tc>
      </w:tr>
      <w:tr w:rsidR="00704C6C" w:rsidTr="00704C6C">
        <w:tc>
          <w:tcPr>
            <w:tcW w:w="2093" w:type="dxa"/>
          </w:tcPr>
          <w:p w:rsidR="00704C6C" w:rsidRPr="00704C6C" w:rsidRDefault="00704C6C" w:rsidP="0099682D">
            <w:pPr>
              <w:ind w:left="0" w:right="0"/>
              <w:rPr>
                <w:lang w:val="en-US"/>
              </w:rPr>
            </w:pPr>
            <w:r w:rsidRPr="00704C6C">
              <w:rPr>
                <w:lang w:val="en-US"/>
              </w:rPr>
              <w:t>σ</w:t>
            </w:r>
            <w:r w:rsidRPr="00704C6C">
              <w:rPr>
                <w:vertAlign w:val="superscript"/>
                <w:lang w:val="en-US"/>
              </w:rPr>
              <w:t>2</w:t>
            </w:r>
            <w:r w:rsidRPr="00704C6C">
              <w:rPr>
                <w:lang w:val="en-US"/>
              </w:rPr>
              <w:t xml:space="preserve"> </w:t>
            </w:r>
          </w:p>
        </w:tc>
        <w:tc>
          <w:tcPr>
            <w:tcW w:w="4536" w:type="dxa"/>
          </w:tcPr>
          <w:p w:rsidR="00704C6C" w:rsidRPr="00704C6C" w:rsidRDefault="00704C6C" w:rsidP="0099682D">
            <w:pPr>
              <w:ind w:left="34" w:right="0"/>
              <w:rPr>
                <w:lang w:val="en-US"/>
              </w:rPr>
            </w:pPr>
            <w:r w:rsidRPr="00704C6C">
              <w:rPr>
                <w:lang w:val="en-US"/>
              </w:rPr>
              <w:t>Variance of ε</w:t>
            </w:r>
          </w:p>
        </w:tc>
      </w:tr>
      <w:tr w:rsidR="00704C6C" w:rsidTr="00704C6C">
        <w:tc>
          <w:tcPr>
            <w:tcW w:w="2093" w:type="dxa"/>
          </w:tcPr>
          <w:p w:rsidR="00704C6C" w:rsidRPr="00704C6C" w:rsidRDefault="00704C6C" w:rsidP="0099682D">
            <w:pPr>
              <w:ind w:left="0" w:right="0"/>
              <w:rPr>
                <w:lang w:val="en-US"/>
              </w:rPr>
            </w:pPr>
            <w:r w:rsidRPr="00704C6C">
              <w:rPr>
                <w:lang w:val="en-US"/>
              </w:rPr>
              <w:t>φ</w:t>
            </w:r>
            <w:r w:rsidRPr="00704C6C">
              <w:rPr>
                <w:vertAlign w:val="superscript"/>
                <w:lang w:val="en-US"/>
              </w:rPr>
              <w:t>2</w:t>
            </w:r>
            <w:r w:rsidRPr="00704C6C">
              <w:rPr>
                <w:lang w:val="en-US"/>
              </w:rPr>
              <w:t xml:space="preserve"> </w:t>
            </w:r>
          </w:p>
        </w:tc>
        <w:tc>
          <w:tcPr>
            <w:tcW w:w="4536" w:type="dxa"/>
          </w:tcPr>
          <w:p w:rsidR="00704C6C" w:rsidRPr="00704C6C" w:rsidRDefault="00704C6C" w:rsidP="0099682D">
            <w:pPr>
              <w:ind w:left="34" w:right="0"/>
              <w:rPr>
                <w:lang w:val="en-US"/>
              </w:rPr>
            </w:pPr>
            <w:r w:rsidRPr="00704C6C">
              <w:rPr>
                <w:lang w:val="en-US"/>
              </w:rPr>
              <w:t>Variance of κ</w:t>
            </w:r>
          </w:p>
        </w:tc>
      </w:tr>
    </w:tbl>
    <w:p w:rsidR="00704C6C" w:rsidRDefault="00704C6C">
      <w:pPr>
        <w:spacing w:before="0" w:after="200" w:line="0" w:lineRule="auto"/>
      </w:pPr>
      <w:r>
        <w:br w:type="page"/>
      </w:r>
    </w:p>
    <w:p w:rsidR="008E7846" w:rsidRDefault="00F53C07" w:rsidP="00AD0A60">
      <w:pPr>
        <w:pStyle w:val="Heading2"/>
      </w:pPr>
      <w:bookmarkStart w:id="4" w:name="_Toc371428578"/>
      <w:r>
        <w:t>I.</w:t>
      </w:r>
      <w:r w:rsidR="008E7846">
        <w:t xml:space="preserve"> Introduction to product submission</w:t>
      </w:r>
      <w:bookmarkEnd w:id="4"/>
      <w:bookmarkEnd w:id="2"/>
      <w:bookmarkEnd w:id="0"/>
    </w:p>
    <w:p w:rsidR="008E7846" w:rsidRDefault="008E7846" w:rsidP="00AD0A60">
      <w:pPr>
        <w:pStyle w:val="Heading3"/>
        <w:rPr>
          <w:lang w:eastAsia="en-AU"/>
        </w:rPr>
      </w:pPr>
      <w:bookmarkStart w:id="5" w:name="_Toc247691502"/>
      <w:bookmarkStart w:id="6" w:name="_Toc314842483"/>
      <w:bookmarkStart w:id="7" w:name="_Toc371428579"/>
      <w:r>
        <w:rPr>
          <w:lang w:eastAsia="en-AU"/>
        </w:rPr>
        <w:t>Submission details</w:t>
      </w:r>
      <w:bookmarkEnd w:id="5"/>
      <w:bookmarkEnd w:id="6"/>
      <w:bookmarkEnd w:id="7"/>
    </w:p>
    <w:tbl>
      <w:tblPr>
        <w:tblW w:w="9993" w:type="dxa"/>
        <w:tblInd w:w="108" w:type="dxa"/>
        <w:tblLook w:val="01E0"/>
      </w:tblPr>
      <w:tblGrid>
        <w:gridCol w:w="3021"/>
        <w:gridCol w:w="38"/>
        <w:gridCol w:w="6516"/>
        <w:gridCol w:w="418"/>
      </w:tblGrid>
      <w:tr w:rsidR="008E7846" w:rsidRPr="003D1E62" w:rsidTr="002801F2">
        <w:trPr>
          <w:trHeight w:hRule="exact" w:val="574"/>
        </w:trPr>
        <w:tc>
          <w:tcPr>
            <w:tcW w:w="3059" w:type="dxa"/>
            <w:gridSpan w:val="2"/>
          </w:tcPr>
          <w:p w:rsidR="008E7846" w:rsidRPr="00AD0A60" w:rsidRDefault="008E7846" w:rsidP="00AD0A60">
            <w:pPr>
              <w:rPr>
                <w:i/>
              </w:rPr>
            </w:pPr>
            <w:r w:rsidRPr="00AD0A60">
              <w:rPr>
                <w:i/>
              </w:rPr>
              <w:t>Type of Submission</w:t>
            </w:r>
          </w:p>
        </w:tc>
        <w:tc>
          <w:tcPr>
            <w:tcW w:w="6934" w:type="dxa"/>
            <w:gridSpan w:val="2"/>
          </w:tcPr>
          <w:p w:rsidR="008E7846" w:rsidRPr="003D1E62" w:rsidRDefault="00AF24E7" w:rsidP="00AD0A60">
            <w:r>
              <w:t>Major variation</w:t>
            </w:r>
            <w:r w:rsidR="00A10B25">
              <w:t xml:space="preserve"> </w:t>
            </w:r>
            <w:r>
              <w:t>(</w:t>
            </w:r>
            <w:r w:rsidR="00BC1BE2">
              <w:t>C</w:t>
            </w:r>
            <w:r w:rsidRPr="00AF24E7">
              <w:t>hange in paediatric dosage regimen</w:t>
            </w:r>
            <w:r>
              <w:t xml:space="preserve"> and PI updates)</w:t>
            </w:r>
          </w:p>
        </w:tc>
      </w:tr>
      <w:tr w:rsidR="008E7846" w:rsidRPr="003D1E62" w:rsidTr="002801F2">
        <w:trPr>
          <w:trHeight w:hRule="exact" w:val="574"/>
        </w:trPr>
        <w:tc>
          <w:tcPr>
            <w:tcW w:w="3059" w:type="dxa"/>
            <w:gridSpan w:val="2"/>
          </w:tcPr>
          <w:p w:rsidR="008E7846" w:rsidRPr="00AD0A60" w:rsidRDefault="008E7846" w:rsidP="00AD0A60">
            <w:pPr>
              <w:rPr>
                <w:i/>
              </w:rPr>
            </w:pPr>
            <w:r w:rsidRPr="00AD0A60">
              <w:rPr>
                <w:i/>
              </w:rPr>
              <w:t>Decision:</w:t>
            </w:r>
          </w:p>
        </w:tc>
        <w:tc>
          <w:tcPr>
            <w:tcW w:w="6934" w:type="dxa"/>
            <w:gridSpan w:val="2"/>
          </w:tcPr>
          <w:p w:rsidR="008E7846" w:rsidRPr="003D1E62" w:rsidRDefault="008E7846" w:rsidP="00AD0A60">
            <w:r w:rsidRPr="003D1E62">
              <w:t>Approved</w:t>
            </w:r>
          </w:p>
        </w:tc>
      </w:tr>
      <w:tr w:rsidR="008E7846" w:rsidRPr="003D1E62" w:rsidTr="002801F2">
        <w:trPr>
          <w:trHeight w:hRule="exact" w:val="574"/>
        </w:trPr>
        <w:tc>
          <w:tcPr>
            <w:tcW w:w="3059" w:type="dxa"/>
            <w:gridSpan w:val="2"/>
          </w:tcPr>
          <w:p w:rsidR="008E7846" w:rsidRPr="00AD0A60" w:rsidRDefault="008E7846" w:rsidP="00AD0A60">
            <w:pPr>
              <w:rPr>
                <w:i/>
              </w:rPr>
            </w:pPr>
            <w:r w:rsidRPr="00AD0A60">
              <w:rPr>
                <w:i/>
              </w:rPr>
              <w:t>Date of Decision:</w:t>
            </w:r>
          </w:p>
        </w:tc>
        <w:tc>
          <w:tcPr>
            <w:tcW w:w="6934" w:type="dxa"/>
            <w:gridSpan w:val="2"/>
          </w:tcPr>
          <w:p w:rsidR="008E7846" w:rsidRPr="003D1E62" w:rsidRDefault="00630D5D" w:rsidP="00AD0A60">
            <w:r>
              <w:t>17 July 2013</w:t>
            </w:r>
          </w:p>
        </w:tc>
      </w:tr>
      <w:tr w:rsidR="008E7846" w:rsidRPr="00487162" w:rsidTr="002801F2">
        <w:trPr>
          <w:gridAfter w:val="1"/>
          <w:wAfter w:w="418" w:type="dxa"/>
          <w:trHeight w:val="515"/>
        </w:trPr>
        <w:tc>
          <w:tcPr>
            <w:tcW w:w="3021" w:type="dxa"/>
          </w:tcPr>
          <w:p w:rsidR="008E7846" w:rsidRPr="00AD0A60" w:rsidRDefault="008E7846" w:rsidP="00AD0A60">
            <w:pPr>
              <w:rPr>
                <w:i/>
              </w:rPr>
            </w:pPr>
            <w:r w:rsidRPr="00AD0A60">
              <w:rPr>
                <w:i/>
              </w:rPr>
              <w:t xml:space="preserve">Active ingredient(s): </w:t>
            </w:r>
          </w:p>
        </w:tc>
        <w:tc>
          <w:tcPr>
            <w:tcW w:w="6554" w:type="dxa"/>
            <w:gridSpan w:val="2"/>
          </w:tcPr>
          <w:p w:rsidR="008E7846" w:rsidRPr="00487162" w:rsidRDefault="00331C57" w:rsidP="00AD0A60">
            <w:r w:rsidRPr="00331C57">
              <w:t>Atazanavir</w:t>
            </w:r>
            <w:r w:rsidR="00A10B25">
              <w:t xml:space="preserve"> </w:t>
            </w:r>
          </w:p>
        </w:tc>
      </w:tr>
      <w:tr w:rsidR="008E7846" w:rsidRPr="00487162" w:rsidTr="002801F2">
        <w:trPr>
          <w:gridAfter w:val="1"/>
          <w:wAfter w:w="418" w:type="dxa"/>
          <w:trHeight w:val="499"/>
        </w:trPr>
        <w:tc>
          <w:tcPr>
            <w:tcW w:w="3021" w:type="dxa"/>
          </w:tcPr>
          <w:p w:rsidR="008E7846" w:rsidRPr="00AD0A60" w:rsidRDefault="008E7846" w:rsidP="00AD0A60">
            <w:pPr>
              <w:rPr>
                <w:i/>
              </w:rPr>
            </w:pPr>
            <w:r w:rsidRPr="00AD0A60">
              <w:rPr>
                <w:i/>
              </w:rPr>
              <w:t xml:space="preserve">Product Name(s): </w:t>
            </w:r>
          </w:p>
        </w:tc>
        <w:tc>
          <w:tcPr>
            <w:tcW w:w="6554" w:type="dxa"/>
            <w:gridSpan w:val="2"/>
          </w:tcPr>
          <w:p w:rsidR="008E7846" w:rsidRPr="00487162" w:rsidRDefault="00331C57" w:rsidP="00AD0A60">
            <w:r w:rsidRPr="00331C57">
              <w:t>Reyataz</w:t>
            </w:r>
            <w:r w:rsidRPr="00487162">
              <w:t xml:space="preserve"> </w:t>
            </w:r>
          </w:p>
        </w:tc>
      </w:tr>
      <w:tr w:rsidR="008E7846" w:rsidRPr="00487162" w:rsidTr="002801F2">
        <w:trPr>
          <w:gridAfter w:val="1"/>
          <w:wAfter w:w="418" w:type="dxa"/>
          <w:trHeight w:val="878"/>
        </w:trPr>
        <w:tc>
          <w:tcPr>
            <w:tcW w:w="3021" w:type="dxa"/>
          </w:tcPr>
          <w:p w:rsidR="008E7846" w:rsidRPr="00AD0A60" w:rsidRDefault="008E7846" w:rsidP="00AD0A60">
            <w:pPr>
              <w:rPr>
                <w:i/>
              </w:rPr>
            </w:pPr>
            <w:r w:rsidRPr="00AD0A60">
              <w:rPr>
                <w:i/>
              </w:rPr>
              <w:t>Sponsor’s Name and Address:</w:t>
            </w:r>
          </w:p>
        </w:tc>
        <w:tc>
          <w:tcPr>
            <w:tcW w:w="6554" w:type="dxa"/>
            <w:gridSpan w:val="2"/>
          </w:tcPr>
          <w:p w:rsidR="00AB4EA8" w:rsidRPr="00AB4EA8" w:rsidRDefault="00AB4EA8" w:rsidP="00AD0A60">
            <w:r w:rsidRPr="00AB4EA8">
              <w:t>Bristol-Myers Squibb Australian Pty Ltd</w:t>
            </w:r>
          </w:p>
          <w:p w:rsidR="00331C57" w:rsidRPr="00487162" w:rsidRDefault="00AB4EA8" w:rsidP="00AD0A60">
            <w:r w:rsidRPr="00AB4EA8">
              <w:t>PO Box 1080, Mt Waverley VIC 3149</w:t>
            </w:r>
          </w:p>
        </w:tc>
      </w:tr>
      <w:tr w:rsidR="008E7846" w:rsidRPr="00487162" w:rsidTr="002801F2">
        <w:trPr>
          <w:gridAfter w:val="1"/>
          <w:wAfter w:w="418" w:type="dxa"/>
          <w:trHeight w:val="499"/>
        </w:trPr>
        <w:tc>
          <w:tcPr>
            <w:tcW w:w="3021" w:type="dxa"/>
          </w:tcPr>
          <w:p w:rsidR="008E7846" w:rsidRPr="00AD0A60" w:rsidRDefault="008E7846" w:rsidP="00AD0A60">
            <w:pPr>
              <w:rPr>
                <w:i/>
              </w:rPr>
            </w:pPr>
            <w:r w:rsidRPr="00AD0A60">
              <w:rPr>
                <w:i/>
              </w:rPr>
              <w:t xml:space="preserve">Dose form(s): </w:t>
            </w:r>
          </w:p>
        </w:tc>
        <w:tc>
          <w:tcPr>
            <w:tcW w:w="6554" w:type="dxa"/>
            <w:gridSpan w:val="2"/>
          </w:tcPr>
          <w:p w:rsidR="008E7846" w:rsidRPr="00487162" w:rsidRDefault="00AF24E7" w:rsidP="00AD0A60">
            <w:r>
              <w:t>Capsules</w:t>
            </w:r>
          </w:p>
        </w:tc>
      </w:tr>
      <w:tr w:rsidR="008E7846" w:rsidRPr="00487162" w:rsidTr="002801F2">
        <w:trPr>
          <w:gridAfter w:val="1"/>
          <w:wAfter w:w="418" w:type="dxa"/>
          <w:trHeight w:val="499"/>
        </w:trPr>
        <w:tc>
          <w:tcPr>
            <w:tcW w:w="3021" w:type="dxa"/>
          </w:tcPr>
          <w:p w:rsidR="008E7846" w:rsidRPr="00AD0A60" w:rsidRDefault="008E7846" w:rsidP="00AD0A60">
            <w:pPr>
              <w:rPr>
                <w:i/>
              </w:rPr>
            </w:pPr>
            <w:r w:rsidRPr="00AD0A60">
              <w:rPr>
                <w:i/>
              </w:rPr>
              <w:t xml:space="preserve">Strength(s): </w:t>
            </w:r>
          </w:p>
        </w:tc>
        <w:tc>
          <w:tcPr>
            <w:tcW w:w="6554" w:type="dxa"/>
            <w:gridSpan w:val="2"/>
          </w:tcPr>
          <w:p w:rsidR="008E7846" w:rsidRPr="00487162" w:rsidRDefault="00AF24E7" w:rsidP="00AD0A60">
            <w:r>
              <w:t>100, 150, 200 and 300 mg</w:t>
            </w:r>
          </w:p>
        </w:tc>
      </w:tr>
      <w:tr w:rsidR="008E7846" w:rsidRPr="00487162" w:rsidTr="002801F2">
        <w:trPr>
          <w:gridAfter w:val="1"/>
          <w:wAfter w:w="418" w:type="dxa"/>
          <w:trHeight w:val="499"/>
        </w:trPr>
        <w:tc>
          <w:tcPr>
            <w:tcW w:w="3021" w:type="dxa"/>
          </w:tcPr>
          <w:p w:rsidR="008E7846" w:rsidRPr="00AD0A60" w:rsidRDefault="008E7846" w:rsidP="00AD0A60">
            <w:pPr>
              <w:rPr>
                <w:i/>
              </w:rPr>
            </w:pPr>
            <w:r w:rsidRPr="00AD0A60">
              <w:rPr>
                <w:i/>
              </w:rPr>
              <w:t>Container(s):</w:t>
            </w:r>
          </w:p>
        </w:tc>
        <w:tc>
          <w:tcPr>
            <w:tcW w:w="6554" w:type="dxa"/>
            <w:gridSpan w:val="2"/>
          </w:tcPr>
          <w:p w:rsidR="008E7846" w:rsidRPr="00487162" w:rsidRDefault="00630D5D" w:rsidP="00AD0A60">
            <w:r>
              <w:t>Bottle</w:t>
            </w:r>
          </w:p>
        </w:tc>
      </w:tr>
      <w:tr w:rsidR="008E7846" w:rsidRPr="00487162" w:rsidTr="002801F2">
        <w:trPr>
          <w:gridAfter w:val="1"/>
          <w:wAfter w:w="418" w:type="dxa"/>
          <w:trHeight w:val="515"/>
        </w:trPr>
        <w:tc>
          <w:tcPr>
            <w:tcW w:w="3021" w:type="dxa"/>
          </w:tcPr>
          <w:p w:rsidR="008E7846" w:rsidRPr="00AD0A60" w:rsidRDefault="008E7846" w:rsidP="00AD0A60">
            <w:pPr>
              <w:rPr>
                <w:i/>
              </w:rPr>
            </w:pPr>
            <w:r w:rsidRPr="00AD0A60">
              <w:rPr>
                <w:i/>
              </w:rPr>
              <w:t>Pack size(s):</w:t>
            </w:r>
          </w:p>
        </w:tc>
        <w:tc>
          <w:tcPr>
            <w:tcW w:w="6554" w:type="dxa"/>
            <w:gridSpan w:val="2"/>
          </w:tcPr>
          <w:p w:rsidR="008E7846" w:rsidRPr="00487162" w:rsidRDefault="00630D5D" w:rsidP="00AD0A60">
            <w:r>
              <w:t>60’s (100, 150, 200 mg) and 30’s (300 mg)</w:t>
            </w:r>
          </w:p>
        </w:tc>
      </w:tr>
      <w:tr w:rsidR="008E7846" w:rsidRPr="00487162" w:rsidTr="002801F2">
        <w:trPr>
          <w:gridAfter w:val="1"/>
          <w:wAfter w:w="418" w:type="dxa"/>
          <w:trHeight w:val="1407"/>
        </w:trPr>
        <w:tc>
          <w:tcPr>
            <w:tcW w:w="3021" w:type="dxa"/>
          </w:tcPr>
          <w:p w:rsidR="008E7846" w:rsidRPr="00AD0A60" w:rsidRDefault="008E7846" w:rsidP="00AD0A60">
            <w:pPr>
              <w:rPr>
                <w:i/>
              </w:rPr>
            </w:pPr>
            <w:r w:rsidRPr="00AD0A60">
              <w:rPr>
                <w:i/>
              </w:rPr>
              <w:t>Approved Therapeutic use:</w:t>
            </w:r>
          </w:p>
        </w:tc>
        <w:tc>
          <w:tcPr>
            <w:tcW w:w="6554" w:type="dxa"/>
            <w:gridSpan w:val="2"/>
          </w:tcPr>
          <w:p w:rsidR="00630D5D" w:rsidRPr="00630D5D" w:rsidRDefault="00630D5D" w:rsidP="00AD0A60">
            <w:r w:rsidRPr="00630D5D">
              <w:t xml:space="preserve">Reyataz is indicated for the treatment of HIV 1 infection, in combination with other antiretroviral agents. </w:t>
            </w:r>
          </w:p>
          <w:p w:rsidR="008E7846" w:rsidRPr="00630D5D" w:rsidRDefault="00630D5D" w:rsidP="00AD0A60">
            <w:r w:rsidRPr="00630D5D">
              <w:t xml:space="preserve">This indication is based on analyses of plasma HIV-1 RNA levels and CD4 cell counts from controlled studies (see Clinical Trials). </w:t>
            </w:r>
          </w:p>
        </w:tc>
      </w:tr>
      <w:tr w:rsidR="008E7846" w:rsidRPr="00487162" w:rsidTr="002801F2">
        <w:trPr>
          <w:gridAfter w:val="1"/>
          <w:wAfter w:w="418" w:type="dxa"/>
          <w:trHeight w:val="499"/>
        </w:trPr>
        <w:tc>
          <w:tcPr>
            <w:tcW w:w="3021" w:type="dxa"/>
          </w:tcPr>
          <w:p w:rsidR="008E7846" w:rsidRPr="00AD0A60" w:rsidRDefault="008E7846" w:rsidP="00AD0A60">
            <w:pPr>
              <w:rPr>
                <w:i/>
              </w:rPr>
            </w:pPr>
            <w:r w:rsidRPr="00AD0A60">
              <w:rPr>
                <w:i/>
              </w:rPr>
              <w:t>Route(s) of administration:</w:t>
            </w:r>
          </w:p>
        </w:tc>
        <w:tc>
          <w:tcPr>
            <w:tcW w:w="6554" w:type="dxa"/>
            <w:gridSpan w:val="2"/>
          </w:tcPr>
          <w:p w:rsidR="008E7846" w:rsidRPr="00487162" w:rsidRDefault="00E44723" w:rsidP="00AD0A60">
            <w:r>
              <w:t>Oral (PO)</w:t>
            </w:r>
          </w:p>
        </w:tc>
      </w:tr>
      <w:tr w:rsidR="008E7846" w:rsidRPr="00487162" w:rsidTr="002801F2">
        <w:trPr>
          <w:gridAfter w:val="1"/>
          <w:wAfter w:w="418" w:type="dxa"/>
          <w:trHeight w:val="499"/>
        </w:trPr>
        <w:tc>
          <w:tcPr>
            <w:tcW w:w="3021" w:type="dxa"/>
          </w:tcPr>
          <w:p w:rsidR="008E7846" w:rsidRPr="00AD0A60" w:rsidRDefault="008E7846" w:rsidP="00AD0A60">
            <w:pPr>
              <w:rPr>
                <w:i/>
              </w:rPr>
            </w:pPr>
            <w:r w:rsidRPr="00AD0A60">
              <w:rPr>
                <w:i/>
              </w:rPr>
              <w:t>Dosage:</w:t>
            </w:r>
          </w:p>
        </w:tc>
        <w:tc>
          <w:tcPr>
            <w:tcW w:w="6554" w:type="dxa"/>
            <w:gridSpan w:val="2"/>
          </w:tcPr>
          <w:p w:rsidR="008E7846" w:rsidRPr="00487162" w:rsidRDefault="00630D5D" w:rsidP="00AD0A60">
            <w:r>
              <w:t>See Product Information (PI) Attachment 1.</w:t>
            </w:r>
          </w:p>
        </w:tc>
      </w:tr>
      <w:tr w:rsidR="008E7846" w:rsidRPr="00487162" w:rsidTr="002801F2">
        <w:trPr>
          <w:gridAfter w:val="1"/>
          <w:wAfter w:w="418" w:type="dxa"/>
          <w:trHeight w:val="499"/>
        </w:trPr>
        <w:tc>
          <w:tcPr>
            <w:tcW w:w="3021" w:type="dxa"/>
          </w:tcPr>
          <w:p w:rsidR="008E7846" w:rsidRPr="00AD0A60" w:rsidRDefault="008E7846" w:rsidP="00AD0A60">
            <w:pPr>
              <w:rPr>
                <w:i/>
              </w:rPr>
            </w:pPr>
            <w:r w:rsidRPr="00AD0A60">
              <w:rPr>
                <w:i/>
              </w:rPr>
              <w:t>ARTG Number (s)</w:t>
            </w:r>
          </w:p>
        </w:tc>
        <w:tc>
          <w:tcPr>
            <w:tcW w:w="6554" w:type="dxa"/>
            <w:gridSpan w:val="2"/>
          </w:tcPr>
          <w:p w:rsidR="008E7846" w:rsidRPr="00487162" w:rsidRDefault="00E44723" w:rsidP="00AD0A60">
            <w:r>
              <w:t>99054, 99055, 99056 and 134967</w:t>
            </w:r>
          </w:p>
        </w:tc>
      </w:tr>
    </w:tbl>
    <w:p w:rsidR="008E7846" w:rsidRDefault="008E7846" w:rsidP="00471159">
      <w:pPr>
        <w:pStyle w:val="Heading3"/>
      </w:pPr>
      <w:bookmarkStart w:id="8" w:name="_Toc247691503"/>
      <w:bookmarkStart w:id="9" w:name="_Toc314842484"/>
      <w:bookmarkStart w:id="10" w:name="_Toc371428580"/>
      <w:r>
        <w:t>Product background</w:t>
      </w:r>
      <w:bookmarkEnd w:id="8"/>
      <w:bookmarkEnd w:id="9"/>
      <w:bookmarkEnd w:id="10"/>
    </w:p>
    <w:p w:rsidR="001F7946" w:rsidRPr="00BC1BE2" w:rsidRDefault="00704C6C" w:rsidP="00471159">
      <w:bookmarkStart w:id="11" w:name="_Toc314842485"/>
      <w:bookmarkStart w:id="12" w:name="_Toc247691504"/>
      <w:r w:rsidRPr="00331C57">
        <w:t>Atazanavir</w:t>
      </w:r>
      <w:r>
        <w:t xml:space="preserve"> (</w:t>
      </w:r>
      <w:r w:rsidR="001F7946" w:rsidRPr="00BC1BE2">
        <w:t>ATV</w:t>
      </w:r>
      <w:r>
        <w:t>)</w:t>
      </w:r>
      <w:r w:rsidR="001F7946" w:rsidRPr="00BC1BE2">
        <w:t xml:space="preserve"> is an azapeptide </w:t>
      </w:r>
      <w:r w:rsidRPr="00704C6C">
        <w:t xml:space="preserve">Human Immunodeficiency Virus </w:t>
      </w:r>
      <w:r>
        <w:t>1 (</w:t>
      </w:r>
      <w:r w:rsidR="001F7946" w:rsidRPr="00BC1BE2">
        <w:t>HIV-1</w:t>
      </w:r>
      <w:r>
        <w:t>)</w:t>
      </w:r>
      <w:r w:rsidR="001F7946" w:rsidRPr="00BC1BE2">
        <w:t xml:space="preserve"> protease inhibitor that selectively inhibits the virus-specific processing of viral gag-</w:t>
      </w:r>
      <w:proofErr w:type="spellStart"/>
      <w:r w:rsidR="001F7946" w:rsidRPr="00BC1BE2">
        <w:t>pol</w:t>
      </w:r>
      <w:proofErr w:type="spellEnd"/>
      <w:r w:rsidR="001F7946" w:rsidRPr="00BC1BE2">
        <w:t xml:space="preserve"> proteins in HIV-1 infected cells, thus preventing formation of mature virions and infection of other cells.</w:t>
      </w:r>
      <w:r w:rsidR="00A10B25">
        <w:t xml:space="preserve"> </w:t>
      </w:r>
      <w:r w:rsidR="001F7946" w:rsidRPr="00BC1BE2">
        <w:t>It has been approved in Australia for use in combination with other antiretroviral agents for the treatment of HIV infection since early 2004.</w:t>
      </w:r>
      <w:r w:rsidR="00A10B25">
        <w:t xml:space="preserve"> </w:t>
      </w:r>
      <w:r w:rsidR="001F7946" w:rsidRPr="00BC1BE2">
        <w:t xml:space="preserve">In mid 2009 dosage recommendations for paediatric patients aged 8 to &lt;18 years were added to the </w:t>
      </w:r>
      <w:r w:rsidR="001F7946">
        <w:t>product information (</w:t>
      </w:r>
      <w:r w:rsidR="001F7946" w:rsidRPr="00BC1BE2">
        <w:t>PI</w:t>
      </w:r>
      <w:r w:rsidR="001F7946">
        <w:t>)</w:t>
      </w:r>
      <w:r w:rsidR="001F7946" w:rsidRPr="00BC1BE2">
        <w:t>.</w:t>
      </w:r>
    </w:p>
    <w:p w:rsidR="00E44723" w:rsidRDefault="00E44723" w:rsidP="00471159">
      <w:r>
        <w:t xml:space="preserve">This AusPAR describes the application by </w:t>
      </w:r>
      <w:r w:rsidR="006537AB" w:rsidRPr="006537AB">
        <w:t xml:space="preserve">Bristol-Myers Squibb Australia Pty Ltd to </w:t>
      </w:r>
    </w:p>
    <w:p w:rsidR="00E44723" w:rsidRPr="00471159" w:rsidRDefault="006537AB" w:rsidP="00471159">
      <w:pPr>
        <w:pStyle w:val="ListBullet"/>
      </w:pPr>
      <w:r w:rsidRPr="00471159">
        <w:t xml:space="preserve">vary the dosing recommendations for the use of </w:t>
      </w:r>
      <w:proofErr w:type="spellStart"/>
      <w:r w:rsidRPr="00471159">
        <w:t>Reyataz</w:t>
      </w:r>
      <w:proofErr w:type="spellEnd"/>
      <w:r w:rsidRPr="00471159">
        <w:t xml:space="preserve"> (</w:t>
      </w:r>
      <w:proofErr w:type="spellStart"/>
      <w:r w:rsidRPr="00471159">
        <w:t>atazanavir</w:t>
      </w:r>
      <w:proofErr w:type="spellEnd"/>
      <w:r w:rsidRPr="00471159">
        <w:t xml:space="preserve">) in HIV-infected paediatric patients, </w:t>
      </w:r>
    </w:p>
    <w:p w:rsidR="00E44723" w:rsidRPr="00471159" w:rsidRDefault="006537AB" w:rsidP="00471159">
      <w:pPr>
        <w:pStyle w:val="ListBullet"/>
      </w:pPr>
      <w:r w:rsidRPr="00471159">
        <w:t>lower the age li</w:t>
      </w:r>
      <w:r w:rsidR="00E44723" w:rsidRPr="00471159">
        <w:t xml:space="preserve">mit from 8 years to 6 years, </w:t>
      </w:r>
    </w:p>
    <w:p w:rsidR="00E44723" w:rsidRPr="00471159" w:rsidRDefault="006537AB" w:rsidP="00471159">
      <w:pPr>
        <w:pStyle w:val="ListBullet"/>
      </w:pPr>
      <w:r w:rsidRPr="00471159">
        <w:t xml:space="preserve">lower weight restriction from 20 kg to 15 kg and </w:t>
      </w:r>
    </w:p>
    <w:p w:rsidR="00E44723" w:rsidRPr="00471159" w:rsidRDefault="006537AB" w:rsidP="00471159">
      <w:pPr>
        <w:pStyle w:val="ListBullet"/>
      </w:pPr>
      <w:r w:rsidRPr="00471159">
        <w:t>revise dosage recommendations for children weighing between 20 and 40 kg.</w:t>
      </w:r>
      <w:r w:rsidR="00E44723" w:rsidRPr="00471159">
        <w:rPr>
          <w:rStyle w:val="FootnoteReference"/>
          <w:vertAlign w:val="baseline"/>
        </w:rPr>
        <w:footnoteReference w:id="1"/>
      </w:r>
    </w:p>
    <w:p w:rsidR="00BC1BE2" w:rsidRDefault="00BC1BE2" w:rsidP="00471159">
      <w:r w:rsidRPr="00BC1BE2">
        <w:t xml:space="preserve">The sponsor wishes to simplify the paediatric dosage recommendations because the current body weight dosing bands are less than ideal and limited to weights </w:t>
      </w:r>
      <w:r w:rsidR="001F7946">
        <w:t>≥</w:t>
      </w:r>
      <w:r w:rsidRPr="00BC1BE2">
        <w:t>20kg.</w:t>
      </w:r>
      <w:r w:rsidR="00A10B25">
        <w:t xml:space="preserve"> </w:t>
      </w:r>
      <w:r w:rsidRPr="00BC1BE2">
        <w:t>Furthermore, a 25</w:t>
      </w:r>
      <w:r w:rsidR="00A10B25">
        <w:t>0 mg</w:t>
      </w:r>
      <w:r w:rsidRPr="00BC1BE2">
        <w:t xml:space="preserve"> dose (which is currently recommended for patients with body weights </w:t>
      </w:r>
      <w:r w:rsidR="001F7946">
        <w:t xml:space="preserve">from </w:t>
      </w:r>
      <w:r w:rsidRPr="00BC1BE2">
        <w:t>32</w:t>
      </w:r>
      <w:r w:rsidR="001F7946">
        <w:t xml:space="preserve"> to</w:t>
      </w:r>
      <w:r w:rsidRPr="00BC1BE2">
        <w:t xml:space="preserve"> &lt;39kg) requires the administration of two different strength capsules, which adds pill load and potentially increases the likelihood of dosage errors and non-compliance.</w:t>
      </w:r>
      <w:r w:rsidR="00A10B25">
        <w:t xml:space="preserve"> </w:t>
      </w:r>
      <w:r w:rsidRPr="00BC1BE2">
        <w:t>A simplified regimen, with removal of a dose change at 32</w:t>
      </w:r>
      <w:r w:rsidR="001F7946">
        <w:t xml:space="preserve"> </w:t>
      </w:r>
      <w:r w:rsidRPr="00BC1BE2">
        <w:t>kg is considered easier to manage in clinical practice.</w:t>
      </w:r>
      <w:r w:rsidR="00A10B25">
        <w:t xml:space="preserve"> </w:t>
      </w:r>
      <w:r w:rsidRPr="00BC1BE2">
        <w:t>The proposed dosage changes have been approved in the EU, the USA, Canada and Switzerland</w:t>
      </w:r>
      <w:r w:rsidR="001F7946">
        <w:t xml:space="preserve"> (see below)</w:t>
      </w:r>
      <w:r w:rsidRPr="00BC1BE2">
        <w:t>.</w:t>
      </w:r>
    </w:p>
    <w:p w:rsidR="001F7946" w:rsidRDefault="001F7946" w:rsidP="00471159">
      <w:r w:rsidRPr="006537AB">
        <w:t xml:space="preserve">In addition, revision of the PI to include 96 week data </w:t>
      </w:r>
      <w:r>
        <w:t>from paediatric Study AI424020 wa</w:t>
      </w:r>
      <w:r w:rsidRPr="006537AB">
        <w:t xml:space="preserve">s proposed. </w:t>
      </w:r>
      <w:r>
        <w:t>The revised dosage recommendations are based on population pharmacokinetic modelling and simulations analysis of data from adult and paediatric studies.</w:t>
      </w:r>
      <w:r w:rsidR="00A10B25">
        <w:t xml:space="preserve"> </w:t>
      </w:r>
    </w:p>
    <w:p w:rsidR="001F7946" w:rsidRDefault="001F7946" w:rsidP="00471159">
      <w:r>
        <w:t>There was no proposal to amend the currently in Australia approved indication:</w:t>
      </w:r>
    </w:p>
    <w:p w:rsidR="001F7946" w:rsidRPr="00471159" w:rsidRDefault="001F7946" w:rsidP="00471159">
      <w:pPr>
        <w:ind w:left="720"/>
        <w:rPr>
          <w:i/>
        </w:rPr>
      </w:pPr>
      <w:r w:rsidRPr="00471159">
        <w:rPr>
          <w:i/>
        </w:rPr>
        <w:t>Reyataz is indicated for the treatment of HIV 1 infection, in combination with other antiretroviral agents.</w:t>
      </w:r>
    </w:p>
    <w:p w:rsidR="001F7946" w:rsidRPr="00471159" w:rsidRDefault="001F7946" w:rsidP="00471159">
      <w:pPr>
        <w:ind w:left="720"/>
        <w:rPr>
          <w:i/>
        </w:rPr>
      </w:pPr>
      <w:r w:rsidRPr="00471159">
        <w:rPr>
          <w:i/>
        </w:rPr>
        <w:t>This indication is based on analyses of plasma HIV-1 RNA levels and CD4 cell counts from controlled studies (see Clinical Trials).</w:t>
      </w:r>
    </w:p>
    <w:p w:rsidR="008E7846" w:rsidRPr="003F31A2" w:rsidRDefault="00386150" w:rsidP="00471159">
      <w:pPr>
        <w:pStyle w:val="Heading3"/>
      </w:pPr>
      <w:bookmarkStart w:id="13" w:name="_Toc371428581"/>
      <w:r>
        <w:t>Regulatory s</w:t>
      </w:r>
      <w:r w:rsidR="008E7846">
        <w:t>tatus</w:t>
      </w:r>
      <w:bookmarkEnd w:id="11"/>
      <w:bookmarkEnd w:id="12"/>
      <w:bookmarkEnd w:id="13"/>
    </w:p>
    <w:p w:rsidR="00E44723" w:rsidRDefault="008E7846" w:rsidP="00471159">
      <w:r>
        <w:t>The product received initial ARTG Registration on</w:t>
      </w:r>
      <w:r w:rsidR="00E44723">
        <w:t xml:space="preserve"> 8 January 2004.</w:t>
      </w:r>
      <w:bookmarkStart w:id="14" w:name="_Toc247691505"/>
      <w:bookmarkStart w:id="15" w:name="_Toc314842486"/>
    </w:p>
    <w:p w:rsidR="00E44723" w:rsidRDefault="00E44723" w:rsidP="00471159">
      <w:r>
        <w:t>The following table summarises the international regulatory history of this product.</w:t>
      </w:r>
    </w:p>
    <w:p w:rsidR="006537AB" w:rsidRDefault="00E44723" w:rsidP="00E06D22">
      <w:pPr>
        <w:pStyle w:val="TableTitle"/>
      </w:pPr>
      <w:r>
        <w:t>T</w:t>
      </w:r>
      <w:r w:rsidR="006537AB">
        <w:t>able 1.</w:t>
      </w:r>
      <w:r w:rsidR="00A10B25">
        <w:t xml:space="preserve"> </w:t>
      </w:r>
      <w:r w:rsidR="00B7021E">
        <w:t>International</w:t>
      </w:r>
      <w:r w:rsidR="006537AB">
        <w:t xml:space="preserve"> approval status</w:t>
      </w:r>
      <w:r w:rsidR="00B7021E">
        <w:t xml:space="preserve"> of</w:t>
      </w:r>
      <w:r w:rsidR="006537AB">
        <w:t xml:space="preserve"> Reyataz (atazanavir)</w:t>
      </w:r>
      <w:r w:rsidR="00B7021E">
        <w:t>. P</w:t>
      </w:r>
      <w:r w:rsidR="006537AB">
        <w:t>aediatric dosing amendment</w:t>
      </w:r>
    </w:p>
    <w:tbl>
      <w:tblPr>
        <w:tblStyle w:val="TableTGAblue"/>
        <w:tblW w:w="8505" w:type="dxa"/>
        <w:tblInd w:w="108" w:type="dxa"/>
        <w:tblLayout w:type="fixed"/>
        <w:tblLook w:val="04A0"/>
      </w:tblPr>
      <w:tblGrid>
        <w:gridCol w:w="1701"/>
        <w:gridCol w:w="1560"/>
        <w:gridCol w:w="5244"/>
      </w:tblGrid>
      <w:tr w:rsidR="006537AB" w:rsidRPr="00E06D22" w:rsidTr="00E06D22">
        <w:trPr>
          <w:cnfStyle w:val="100000000000"/>
          <w:tblHeader/>
        </w:trPr>
        <w:tc>
          <w:tcPr>
            <w:tcW w:w="1701" w:type="dxa"/>
          </w:tcPr>
          <w:p w:rsidR="006537AB" w:rsidRPr="00E06D22" w:rsidRDefault="006537AB" w:rsidP="00E06D22">
            <w:pPr>
              <w:ind w:left="34" w:right="33"/>
            </w:pPr>
            <w:r w:rsidRPr="00E06D22">
              <w:t>Country/</w:t>
            </w:r>
            <w:r w:rsidR="00E06D22">
              <w:t xml:space="preserve"> </w:t>
            </w:r>
            <w:r w:rsidRPr="00E06D22">
              <w:t>Region</w:t>
            </w:r>
          </w:p>
        </w:tc>
        <w:tc>
          <w:tcPr>
            <w:tcW w:w="1560" w:type="dxa"/>
          </w:tcPr>
          <w:p w:rsidR="006537AB" w:rsidRPr="00E06D22" w:rsidRDefault="006537AB" w:rsidP="00E06D22">
            <w:pPr>
              <w:ind w:left="0" w:right="34"/>
              <w:rPr>
                <w:b w:val="0"/>
              </w:rPr>
            </w:pPr>
            <w:r w:rsidRPr="00E06D22">
              <w:t>Approval Date</w:t>
            </w:r>
          </w:p>
        </w:tc>
        <w:tc>
          <w:tcPr>
            <w:tcW w:w="5244" w:type="dxa"/>
          </w:tcPr>
          <w:p w:rsidR="006537AB" w:rsidRPr="00E06D22" w:rsidRDefault="006537AB" w:rsidP="00E06D22">
            <w:pPr>
              <w:ind w:left="33" w:right="0"/>
              <w:rPr>
                <w:b w:val="0"/>
              </w:rPr>
            </w:pPr>
            <w:r w:rsidRPr="00E06D22">
              <w:t>Details</w:t>
            </w:r>
            <w:r w:rsidRPr="00E06D22">
              <w:rPr>
                <w:b w:val="0"/>
              </w:rPr>
              <w:t xml:space="preserve"> </w:t>
            </w:r>
            <w:r w:rsidRPr="00E06D22">
              <w:t>Indication</w:t>
            </w:r>
          </w:p>
        </w:tc>
      </w:tr>
      <w:tr w:rsidR="006537AB" w:rsidRPr="00E06D22" w:rsidTr="00704C6C">
        <w:tc>
          <w:tcPr>
            <w:tcW w:w="1701" w:type="dxa"/>
          </w:tcPr>
          <w:p w:rsidR="006537AB" w:rsidRPr="00E06D22" w:rsidRDefault="006537AB" w:rsidP="00E06D22">
            <w:pPr>
              <w:ind w:left="34" w:right="33"/>
            </w:pPr>
            <w:r w:rsidRPr="00E06D22">
              <w:t>European Union Centralised Procedure</w:t>
            </w:r>
          </w:p>
        </w:tc>
        <w:tc>
          <w:tcPr>
            <w:tcW w:w="1560" w:type="dxa"/>
          </w:tcPr>
          <w:p w:rsidR="006537AB" w:rsidRPr="00E06D22" w:rsidRDefault="006537AB" w:rsidP="00E06D22">
            <w:pPr>
              <w:ind w:left="0" w:right="34"/>
            </w:pPr>
            <w:r w:rsidRPr="00E06D22">
              <w:t>5</w:t>
            </w:r>
            <w:r w:rsidR="00AF24E7" w:rsidRPr="00E06D22">
              <w:t xml:space="preserve"> </w:t>
            </w:r>
            <w:r w:rsidRPr="00E06D22">
              <w:t>July 2010</w:t>
            </w:r>
          </w:p>
        </w:tc>
        <w:tc>
          <w:tcPr>
            <w:tcW w:w="5244" w:type="dxa"/>
          </w:tcPr>
          <w:p w:rsidR="006537AB" w:rsidRPr="00E06D22" w:rsidRDefault="006537AB" w:rsidP="00E06D22">
            <w:pPr>
              <w:ind w:left="33" w:right="0"/>
            </w:pPr>
            <w:r w:rsidRPr="00E06D22">
              <w:t>Reyataz capsules, co-administered with low dose ritonavir, are indicated for the treatment of hiv-1 infected adults and paediatric patients 6 years of age and older in combination with other antiretroviral medicinal products.</w:t>
            </w:r>
          </w:p>
        </w:tc>
      </w:tr>
      <w:tr w:rsidR="006537AB" w:rsidRPr="00E06D22" w:rsidTr="00704C6C">
        <w:tc>
          <w:tcPr>
            <w:tcW w:w="1701" w:type="dxa"/>
          </w:tcPr>
          <w:p w:rsidR="006537AB" w:rsidRPr="00E06D22" w:rsidRDefault="006537AB" w:rsidP="00E06D22">
            <w:pPr>
              <w:ind w:left="34" w:right="33"/>
            </w:pPr>
            <w:r w:rsidRPr="00E06D22">
              <w:t>USA</w:t>
            </w:r>
          </w:p>
        </w:tc>
        <w:tc>
          <w:tcPr>
            <w:tcW w:w="1560" w:type="dxa"/>
          </w:tcPr>
          <w:p w:rsidR="006537AB" w:rsidRPr="00E06D22" w:rsidRDefault="006537AB" w:rsidP="00E06D22">
            <w:pPr>
              <w:ind w:left="0" w:right="34"/>
            </w:pPr>
            <w:r w:rsidRPr="00E06D22">
              <w:t>17 October 2011</w:t>
            </w:r>
          </w:p>
        </w:tc>
        <w:tc>
          <w:tcPr>
            <w:tcW w:w="5244" w:type="dxa"/>
          </w:tcPr>
          <w:p w:rsidR="006537AB" w:rsidRPr="00E06D22" w:rsidRDefault="006537AB" w:rsidP="00E06D22">
            <w:pPr>
              <w:ind w:left="33" w:right="0"/>
            </w:pPr>
            <w:r w:rsidRPr="00E06D22">
              <w:t>Reyataz</w:t>
            </w:r>
            <w:r w:rsidRPr="00E06D22">
              <w:rPr>
                <w:vertAlign w:val="superscript"/>
              </w:rPr>
              <w:t xml:space="preserve"> </w:t>
            </w:r>
            <w:r w:rsidRPr="00E06D22">
              <w:t>(atazanavir sulfate) is indicated in combination with other antiretroviral agents for the treatment of hiv-1 infection.</w:t>
            </w:r>
          </w:p>
        </w:tc>
      </w:tr>
      <w:tr w:rsidR="006537AB" w:rsidRPr="00E06D22" w:rsidTr="00704C6C">
        <w:tc>
          <w:tcPr>
            <w:tcW w:w="1701" w:type="dxa"/>
          </w:tcPr>
          <w:p w:rsidR="006537AB" w:rsidRPr="00E06D22" w:rsidRDefault="006537AB" w:rsidP="00E06D22">
            <w:pPr>
              <w:ind w:left="34" w:right="33"/>
            </w:pPr>
            <w:r w:rsidRPr="00E06D22">
              <w:t>Canada</w:t>
            </w:r>
          </w:p>
        </w:tc>
        <w:tc>
          <w:tcPr>
            <w:tcW w:w="1560" w:type="dxa"/>
          </w:tcPr>
          <w:p w:rsidR="006537AB" w:rsidRPr="00E06D22" w:rsidRDefault="006537AB" w:rsidP="00E06D22">
            <w:pPr>
              <w:ind w:left="0" w:right="34"/>
            </w:pPr>
            <w:r w:rsidRPr="00E06D22">
              <w:t>17 January 2013</w:t>
            </w:r>
          </w:p>
        </w:tc>
        <w:tc>
          <w:tcPr>
            <w:tcW w:w="5244" w:type="dxa"/>
          </w:tcPr>
          <w:p w:rsidR="006537AB" w:rsidRPr="00E06D22" w:rsidRDefault="006537AB" w:rsidP="00E06D22">
            <w:pPr>
              <w:ind w:left="33" w:right="0"/>
            </w:pPr>
            <w:r w:rsidRPr="00E06D22">
              <w:t>Reyataz (atazanavir sulfate) is indicated in combination with other antiretroviral agents for the treatment of hiv-1 infection.</w:t>
            </w:r>
          </w:p>
        </w:tc>
      </w:tr>
      <w:tr w:rsidR="006537AB" w:rsidRPr="00E06D22" w:rsidTr="00704C6C">
        <w:tc>
          <w:tcPr>
            <w:tcW w:w="1701" w:type="dxa"/>
          </w:tcPr>
          <w:p w:rsidR="006537AB" w:rsidRPr="00E06D22" w:rsidRDefault="006537AB" w:rsidP="00E06D22">
            <w:pPr>
              <w:ind w:left="34" w:right="33"/>
            </w:pPr>
            <w:r w:rsidRPr="00E06D22">
              <w:t>Switzerland</w:t>
            </w:r>
          </w:p>
        </w:tc>
        <w:tc>
          <w:tcPr>
            <w:tcW w:w="1560" w:type="dxa"/>
          </w:tcPr>
          <w:p w:rsidR="006537AB" w:rsidRPr="00E06D22" w:rsidRDefault="006537AB" w:rsidP="00E06D22">
            <w:pPr>
              <w:ind w:left="0" w:right="34"/>
            </w:pPr>
            <w:r w:rsidRPr="00E06D22">
              <w:t>3 February 2012</w:t>
            </w:r>
          </w:p>
        </w:tc>
        <w:tc>
          <w:tcPr>
            <w:tcW w:w="5244" w:type="dxa"/>
          </w:tcPr>
          <w:p w:rsidR="006537AB" w:rsidRPr="00E06D22" w:rsidRDefault="006537AB" w:rsidP="00E06D22">
            <w:pPr>
              <w:ind w:left="33" w:right="0"/>
            </w:pPr>
            <w:r w:rsidRPr="00E06D22">
              <w:t xml:space="preserve">Reyataz is indicated in combination with other antiretroviral substances for the treatment of hiv-1 infected antiretroviral treatment-naive and treatment-experienced adults and </w:t>
            </w:r>
            <w:proofErr w:type="spellStart"/>
            <w:r w:rsidRPr="00E06D22">
              <w:t>pediatric</w:t>
            </w:r>
            <w:proofErr w:type="spellEnd"/>
            <w:r w:rsidRPr="00E06D22">
              <w:t xml:space="preserve"> patients 6 years of age and older.</w:t>
            </w:r>
          </w:p>
        </w:tc>
      </w:tr>
    </w:tbl>
    <w:p w:rsidR="008E7846" w:rsidRDefault="008E7846" w:rsidP="00E06D22">
      <w:pPr>
        <w:pStyle w:val="Heading3"/>
      </w:pPr>
      <w:bookmarkStart w:id="16" w:name="_Toc371428582"/>
      <w:r>
        <w:t>Product Information</w:t>
      </w:r>
      <w:bookmarkEnd w:id="14"/>
      <w:bookmarkEnd w:id="15"/>
      <w:bookmarkEnd w:id="16"/>
    </w:p>
    <w:p w:rsidR="008E7846" w:rsidRDefault="008E7846" w:rsidP="00E06D22">
      <w:r>
        <w:t>The approved Product Information (PI) current at the time this AusPAR was prepared can be found as Attachment 1.</w:t>
      </w:r>
      <w:bookmarkStart w:id="17" w:name="_Toc247691506"/>
      <w:bookmarkStart w:id="18" w:name="_Toc314842487"/>
    </w:p>
    <w:p w:rsidR="008E7846" w:rsidRPr="003602A9" w:rsidRDefault="008E7846" w:rsidP="00E06D22">
      <w:pPr>
        <w:pStyle w:val="Heading2"/>
      </w:pPr>
      <w:bookmarkStart w:id="19" w:name="_Toc371428583"/>
      <w:r>
        <w:t>II. Quality</w:t>
      </w:r>
      <w:bookmarkEnd w:id="1"/>
      <w:r>
        <w:t xml:space="preserve"> findings</w:t>
      </w:r>
      <w:bookmarkEnd w:id="17"/>
      <w:bookmarkEnd w:id="18"/>
      <w:bookmarkEnd w:id="19"/>
    </w:p>
    <w:p w:rsidR="008E7846" w:rsidRDefault="008E7846" w:rsidP="00E06D22">
      <w:r>
        <w:t>There was no requirement for a quality evaluation in a submission of this type.</w:t>
      </w:r>
    </w:p>
    <w:p w:rsidR="008E7846" w:rsidRDefault="008E7846" w:rsidP="00E06D22">
      <w:pPr>
        <w:pStyle w:val="Heading2"/>
      </w:pPr>
      <w:bookmarkStart w:id="20" w:name="_Toc196046439"/>
      <w:bookmarkStart w:id="21" w:name="_Toc247691510"/>
      <w:bookmarkStart w:id="22" w:name="_Toc314842494"/>
      <w:bookmarkStart w:id="23" w:name="_Toc371428584"/>
      <w:r>
        <w:t>III. Nonclinical</w:t>
      </w:r>
      <w:bookmarkEnd w:id="20"/>
      <w:r>
        <w:t xml:space="preserve"> findings</w:t>
      </w:r>
      <w:bookmarkEnd w:id="21"/>
      <w:bookmarkEnd w:id="22"/>
      <w:bookmarkEnd w:id="23"/>
    </w:p>
    <w:p w:rsidR="008E7846" w:rsidRDefault="008E7846" w:rsidP="00E06D22">
      <w:r>
        <w:t>There was no requirement for a nonclinical evaluation in a submission of this type.</w:t>
      </w:r>
    </w:p>
    <w:p w:rsidR="008E7846" w:rsidRPr="00254787" w:rsidRDefault="008E7846" w:rsidP="00E06D22">
      <w:pPr>
        <w:pStyle w:val="Heading2"/>
      </w:pPr>
      <w:bookmarkStart w:id="24" w:name="_Toc196046462"/>
      <w:bookmarkStart w:id="25" w:name="_Toc247691516"/>
      <w:bookmarkStart w:id="26" w:name="_Toc314842500"/>
      <w:bookmarkStart w:id="27" w:name="_Toc371428585"/>
      <w:bookmarkStart w:id="28" w:name="_Toc163441353"/>
      <w:bookmarkStart w:id="29" w:name="_Toc163441348"/>
      <w:r>
        <w:t xml:space="preserve">IV. </w:t>
      </w:r>
      <w:r w:rsidRPr="00254787">
        <w:t>Clinical</w:t>
      </w:r>
      <w:bookmarkEnd w:id="24"/>
      <w:r>
        <w:t xml:space="preserve"> </w:t>
      </w:r>
      <w:r w:rsidR="003A7F6C">
        <w:t>f</w:t>
      </w:r>
      <w:r>
        <w:t>indings</w:t>
      </w:r>
      <w:bookmarkEnd w:id="25"/>
      <w:bookmarkEnd w:id="26"/>
      <w:bookmarkEnd w:id="27"/>
    </w:p>
    <w:p w:rsidR="00C80137" w:rsidRPr="00D011E7" w:rsidRDefault="00C80137" w:rsidP="00E06D22">
      <w:bookmarkStart w:id="30" w:name="_Toc196046463"/>
      <w:r w:rsidRPr="00331C57">
        <w:t xml:space="preserve">A summary of the clinical findings is presented in this section. Further details of these clinical findings can </w:t>
      </w:r>
      <w:r w:rsidRPr="00D011E7">
        <w:t>be found in Attachment</w:t>
      </w:r>
      <w:r w:rsidR="00D011E7" w:rsidRPr="00D011E7">
        <w:t>s</w:t>
      </w:r>
      <w:r w:rsidRPr="00D011E7">
        <w:t xml:space="preserve"> 2</w:t>
      </w:r>
      <w:r w:rsidR="00D011E7" w:rsidRPr="00D011E7">
        <w:t xml:space="preserve"> and 3</w:t>
      </w:r>
      <w:r w:rsidRPr="00D011E7">
        <w:t>.</w:t>
      </w:r>
    </w:p>
    <w:p w:rsidR="00BC1BE2" w:rsidRPr="00331C57" w:rsidRDefault="00BC1BE2" w:rsidP="00E06D22">
      <w:r w:rsidRPr="00D011E7">
        <w:t>There were 2 separate evaluations of the sponsor’s population pharm</w:t>
      </w:r>
      <w:r>
        <w:t>acokinetics (</w:t>
      </w:r>
      <w:r w:rsidRPr="00BC1BE2">
        <w:t>POPPK</w:t>
      </w:r>
      <w:r>
        <w:t>)</w:t>
      </w:r>
      <w:r w:rsidRPr="00BC1BE2">
        <w:t xml:space="preserve"> modelling and simulation analyses.</w:t>
      </w:r>
      <w:r w:rsidR="00A10B25">
        <w:t xml:space="preserve"> </w:t>
      </w:r>
      <w:r w:rsidRPr="00BC1BE2">
        <w:t>One e</w:t>
      </w:r>
      <w:r w:rsidR="00704C6C">
        <w:t xml:space="preserve">valuation was undertaken by an </w:t>
      </w:r>
      <w:r w:rsidRPr="00BC1BE2">
        <w:t>expert on POPPKs who</w:t>
      </w:r>
      <w:r w:rsidRPr="00BC1BE2">
        <w:rPr>
          <w:lang w:val="en-US"/>
        </w:rPr>
        <w:t xml:space="preserve"> was asked to compare the sponsor’s POPPK study report with requirements of the </w:t>
      </w:r>
      <w:r w:rsidRPr="00BC1BE2">
        <w:t>TGA</w:t>
      </w:r>
      <w:r>
        <w:t xml:space="preserve"> </w:t>
      </w:r>
      <w:r w:rsidRPr="00BC1BE2">
        <w:t xml:space="preserve">adopted EU </w:t>
      </w:r>
      <w:r w:rsidRPr="00BC1BE2">
        <w:rPr>
          <w:i/>
        </w:rPr>
        <w:t>Guideline on Reporting the Results of Population Pharmacokinetic Analyses CHMP/EWP/185990/06</w:t>
      </w:r>
      <w:r w:rsidRPr="00BC1BE2">
        <w:rPr>
          <w:lang w:val="en-US"/>
        </w:rPr>
        <w:t>.</w:t>
      </w:r>
      <w:r>
        <w:rPr>
          <w:rStyle w:val="FootnoteReference"/>
          <w:lang w:val="en-US"/>
        </w:rPr>
        <w:footnoteReference w:id="2"/>
      </w:r>
      <w:r w:rsidRPr="00BC1BE2">
        <w:rPr>
          <w:lang w:val="en-US"/>
        </w:rPr>
        <w:t xml:space="preserve"> </w:t>
      </w:r>
      <w:r w:rsidRPr="00BC1BE2">
        <w:t>A second eva</w:t>
      </w:r>
      <w:r w:rsidR="00704C6C">
        <w:t xml:space="preserve">luation was undertaken by another </w:t>
      </w:r>
      <w:r w:rsidRPr="00BC1BE2">
        <w:t xml:space="preserve">clinical evaluator who also evaluated the updated efficacy, safety and PK data from </w:t>
      </w:r>
      <w:r>
        <w:t>S</w:t>
      </w:r>
      <w:r w:rsidRPr="00BC1BE2">
        <w:t xml:space="preserve">tudy </w:t>
      </w:r>
      <w:r>
        <w:t>AI424020</w:t>
      </w:r>
      <w:r w:rsidRPr="00BC1BE2">
        <w:t>.</w:t>
      </w:r>
    </w:p>
    <w:p w:rsidR="008E7846" w:rsidRDefault="008E7846" w:rsidP="00E06D22">
      <w:pPr>
        <w:pStyle w:val="Heading3"/>
      </w:pPr>
      <w:bookmarkStart w:id="31" w:name="_Toc247691517"/>
      <w:bookmarkStart w:id="32" w:name="_Toc314842501"/>
      <w:bookmarkStart w:id="33" w:name="_Toc371428586"/>
      <w:r w:rsidRPr="00254787">
        <w:t>Introduction</w:t>
      </w:r>
      <w:bookmarkEnd w:id="30"/>
      <w:bookmarkEnd w:id="31"/>
      <w:bookmarkEnd w:id="32"/>
      <w:bookmarkEnd w:id="33"/>
    </w:p>
    <w:p w:rsidR="00331C57" w:rsidRDefault="00331C57" w:rsidP="00E06D22">
      <w:bookmarkStart w:id="34" w:name="_Toc196046464"/>
      <w:bookmarkStart w:id="35" w:name="_Toc247691518"/>
      <w:bookmarkStart w:id="36" w:name="_Toc314842502"/>
      <w:r w:rsidRPr="00331C57">
        <w:t xml:space="preserve">Table </w:t>
      </w:r>
      <w:r w:rsidR="006537AB">
        <w:t>2</w:t>
      </w:r>
      <w:r w:rsidRPr="00331C57">
        <w:t xml:space="preserve"> below summarises the scope of the sponsor’s clinical submission.</w:t>
      </w:r>
    </w:p>
    <w:p w:rsidR="00331C57" w:rsidRDefault="00331C57" w:rsidP="00E06D22">
      <w:r w:rsidRPr="00331C57">
        <w:t>Study AI424020 is an ongoing paediatric multicenter, open-label, uncontrolled study to determine the safety, pharmacokinetics, and optimal dose of atazanavir powder and capsules, with or without ritonavir. HIV-infected patients aged between 19 days and 21 years were assigned to treatment groups stratified by age, atazanavir formulation and co-administration of ritonavir. The study was conducted in the US and South Africa and commenced in November 2000.</w:t>
      </w:r>
      <w:r w:rsidR="00A10B25">
        <w:t xml:space="preserve"> </w:t>
      </w:r>
    </w:p>
    <w:p w:rsidR="00331C57" w:rsidRPr="00331C57" w:rsidRDefault="00331C57" w:rsidP="00E06D22">
      <w:r>
        <w:t>Assurance was given that paediatric Study AI424020 study was conducted in accordance with the ethical principles originating in the Declaration of Helsinki and according to Good Clinical Practice as defined by the International Conference on Harmonization, and in accordance with the ethical principles underlying European Union Directive 2001/20/EC and the US Code of Federal Regulations, Title 21, Part 50 (21CFR50), while adhering to the laws and regulatory requirements of all participating countries. The protocol, amendments, and the informed consent forms were approved by the relevant Institutional Review Board/Institutional Ethics Committees prior to initiation of study at the site.</w:t>
      </w:r>
    </w:p>
    <w:p w:rsidR="00331C57" w:rsidRPr="00331C57" w:rsidRDefault="00331C57" w:rsidP="00331C57">
      <w:r w:rsidRPr="00331C57">
        <w:t>The current submission focused on results for those patients from 6 to 18 years treated with the capsule formulation of atazanavir with or without ritonavir (the ATV Capsule Cohort). Treatment naive and treatment experienced patients were included. Participants had protocol mandated qualifying plasma HIV RNA of ≥ 5000 c/mL. Of the 150 patients, 52% were female and 64% were Black/Mixed and 23% were White.</w:t>
      </w:r>
      <w:r w:rsidR="00A10B25">
        <w:t xml:space="preserve"> </w:t>
      </w:r>
    </w:p>
    <w:p w:rsidR="00331C57" w:rsidRPr="00331C57" w:rsidRDefault="00331C57" w:rsidP="00E06D22">
      <w:r w:rsidRPr="00331C57">
        <w:t xml:space="preserve">A subset of seven participant in the weight categories relevant to the proposed change to the dosage and administration section of the PI, was examined, that is, children in the range 15 to &lt;20 kg treated with ATV/RTV ≥150/ 100 mg, and in the range 20 to 25 kg treated with ATV/RTV ≥200/100 mg for at least 24 weeks (Capsule Recommended Dose Cohort). All seven of these participants were treatment naive, black South African children. </w:t>
      </w:r>
    </w:p>
    <w:p w:rsidR="00331C57" w:rsidRPr="00B1123B" w:rsidRDefault="00331C57" w:rsidP="00331C57"/>
    <w:p w:rsidR="00331C57" w:rsidRDefault="00331C57" w:rsidP="00331C57">
      <w:pPr>
        <w:sectPr w:rsidR="00331C57" w:rsidSect="00B452CE">
          <w:headerReference w:type="even" r:id="rId13"/>
          <w:headerReference w:type="default" r:id="rId14"/>
          <w:footerReference w:type="default" r:id="rId15"/>
          <w:headerReference w:type="first" r:id="rId16"/>
          <w:footerReference w:type="first" r:id="rId17"/>
          <w:pgSz w:w="11906" w:h="16838" w:code="9"/>
          <w:pgMar w:top="834" w:right="1701" w:bottom="1191" w:left="1701" w:header="907" w:footer="216" w:gutter="0"/>
          <w:cols w:space="708"/>
          <w:docGrid w:linePitch="360"/>
        </w:sectPr>
      </w:pPr>
    </w:p>
    <w:p w:rsidR="00173534" w:rsidRDefault="00331C57" w:rsidP="00173534">
      <w:pPr>
        <w:pStyle w:val="TableTitle"/>
        <w:rPr>
          <w:noProof/>
          <w:lang w:eastAsia="en-AU"/>
        </w:rPr>
      </w:pPr>
      <w:r w:rsidRPr="00957F5E">
        <w:rPr>
          <w:lang w:eastAsia="ja-JP"/>
        </w:rPr>
        <w:t xml:space="preserve">Table </w:t>
      </w:r>
      <w:r w:rsidR="006537AB">
        <w:rPr>
          <w:lang w:eastAsia="ja-JP"/>
        </w:rPr>
        <w:t>2</w:t>
      </w:r>
      <w:r w:rsidRPr="00957F5E">
        <w:rPr>
          <w:lang w:eastAsia="ja-JP"/>
        </w:rPr>
        <w:t>. Tabular listing of clinical studies submitted.</w:t>
      </w:r>
    </w:p>
    <w:p w:rsidR="00331C57" w:rsidRPr="00B36828" w:rsidRDefault="00331C57" w:rsidP="00173534">
      <w:pPr>
        <w:rPr>
          <w:highlight w:val="yellow"/>
          <w:lang w:eastAsia="ja-JP"/>
        </w:rPr>
      </w:pPr>
      <w:r>
        <w:rPr>
          <w:noProof/>
          <w:lang w:eastAsia="en-AU"/>
        </w:rPr>
        <w:drawing>
          <wp:inline distT="0" distB="0" distL="0" distR="0">
            <wp:extent cx="6477000" cy="2398096"/>
            <wp:effectExtent l="19050" t="0" r="0" b="0"/>
            <wp:docPr id="2" name="Picture 61" descr="Table 2. Tabular listing of clinical studies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cstate="print"/>
                    <a:srcRect l="2047" t="26571" r="2677" b="9429"/>
                    <a:stretch>
                      <a:fillRect/>
                    </a:stretch>
                  </pic:blipFill>
                  <pic:spPr bwMode="auto">
                    <a:xfrm>
                      <a:off x="0" y="0"/>
                      <a:ext cx="6477000" cy="2398096"/>
                    </a:xfrm>
                    <a:prstGeom prst="rect">
                      <a:avLst/>
                    </a:prstGeom>
                    <a:noFill/>
                    <a:ln w="9525">
                      <a:noFill/>
                      <a:miter lim="800000"/>
                      <a:headEnd/>
                      <a:tailEnd/>
                    </a:ln>
                  </pic:spPr>
                </pic:pic>
              </a:graphicData>
            </a:graphic>
          </wp:inline>
        </w:drawing>
      </w:r>
      <w:r>
        <w:rPr>
          <w:noProof/>
          <w:lang w:eastAsia="en-AU"/>
        </w:rPr>
        <w:drawing>
          <wp:inline distT="0" distB="0" distL="0" distR="0">
            <wp:extent cx="6610350" cy="2831520"/>
            <wp:effectExtent l="19050" t="0" r="0" b="0"/>
            <wp:docPr id="115" name="Picture 60" descr="Table 2. Tabular listing of clinical studies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cstate="print">
                      <a:duotone>
                        <a:prstClr val="black"/>
                        <a:schemeClr val="bg1">
                          <a:tint val="45000"/>
                          <a:satMod val="400000"/>
                        </a:schemeClr>
                      </a:duotone>
                    </a:blip>
                    <a:srcRect t="6799" b="16147"/>
                    <a:stretch>
                      <a:fillRect/>
                    </a:stretch>
                  </pic:blipFill>
                  <pic:spPr bwMode="auto">
                    <a:xfrm>
                      <a:off x="0" y="0"/>
                      <a:ext cx="6616610" cy="2834202"/>
                    </a:xfrm>
                    <a:prstGeom prst="rect">
                      <a:avLst/>
                    </a:prstGeom>
                    <a:noFill/>
                    <a:ln w="9525">
                      <a:noFill/>
                      <a:miter lim="800000"/>
                      <a:headEnd/>
                      <a:tailEnd/>
                    </a:ln>
                  </pic:spPr>
                </pic:pic>
              </a:graphicData>
            </a:graphic>
          </wp:inline>
        </w:drawing>
      </w:r>
    </w:p>
    <w:p w:rsidR="00331C57" w:rsidRDefault="00331C57">
      <w:pPr>
        <w:spacing w:before="0" w:after="200" w:line="0" w:lineRule="auto"/>
        <w:rPr>
          <w:rFonts w:ascii="Arial" w:eastAsia="Times New Roman" w:hAnsi="Arial"/>
          <w:b/>
          <w:bCs/>
          <w:szCs w:val="21"/>
        </w:rPr>
      </w:pPr>
      <w:r>
        <w:br w:type="page"/>
      </w:r>
    </w:p>
    <w:p w:rsidR="00331C57" w:rsidRDefault="00331C57" w:rsidP="008E7846">
      <w:pPr>
        <w:pStyle w:val="Heading3"/>
        <w:sectPr w:rsidR="00331C57" w:rsidSect="00173534">
          <w:footerReference w:type="default" r:id="rId20"/>
          <w:pgSz w:w="16838" w:h="11906" w:orient="landscape" w:code="9"/>
          <w:pgMar w:top="1560" w:right="834" w:bottom="1276" w:left="1191" w:header="907" w:footer="216" w:gutter="0"/>
          <w:cols w:space="708"/>
          <w:docGrid w:linePitch="360"/>
        </w:sectPr>
      </w:pPr>
    </w:p>
    <w:p w:rsidR="00325A21" w:rsidRDefault="00331C57" w:rsidP="00852FEC">
      <w:pPr>
        <w:pStyle w:val="Heading3"/>
      </w:pPr>
      <w:bookmarkStart w:id="37" w:name="_Toc371428587"/>
      <w:r>
        <w:t>P</w:t>
      </w:r>
      <w:r w:rsidR="008E7846" w:rsidRPr="00254787">
        <w:t>harmacokinetics</w:t>
      </w:r>
      <w:bookmarkEnd w:id="28"/>
      <w:bookmarkEnd w:id="34"/>
      <w:bookmarkEnd w:id="35"/>
      <w:bookmarkEnd w:id="36"/>
      <w:bookmarkEnd w:id="37"/>
    </w:p>
    <w:p w:rsidR="00325A21" w:rsidRDefault="00325A21" w:rsidP="00852FEC">
      <w:pPr>
        <w:pStyle w:val="Heading4"/>
      </w:pPr>
      <w:r>
        <w:t xml:space="preserve">Clinical </w:t>
      </w:r>
      <w:r w:rsidR="00852FEC">
        <w:t>e</w:t>
      </w:r>
      <w:r>
        <w:t>valuator</w:t>
      </w:r>
    </w:p>
    <w:p w:rsidR="006537AB" w:rsidRDefault="006537AB" w:rsidP="00852FEC">
      <w:pPr>
        <w:pStyle w:val="Heading5"/>
      </w:pPr>
      <w:bookmarkStart w:id="38" w:name="_Toc367276232"/>
      <w:bookmarkStart w:id="39" w:name="_Toc196046481"/>
      <w:bookmarkStart w:id="40" w:name="_Toc247691520"/>
      <w:bookmarkStart w:id="41" w:name="_Toc314842503"/>
      <w:r>
        <w:t>Population pharmacokinetic modelling</w:t>
      </w:r>
      <w:bookmarkEnd w:id="38"/>
    </w:p>
    <w:p w:rsidR="006537AB" w:rsidRDefault="006537AB" w:rsidP="00852FEC">
      <w:r>
        <w:t xml:space="preserve">The revised dosage recommendations are based on population pharmacokinetic modelling and simulations analysis of data from three adult studies and one paediatric Study AI424020. The paediatric study included data from 176 patients. </w:t>
      </w:r>
    </w:p>
    <w:p w:rsidR="006537AB" w:rsidRDefault="006537AB" w:rsidP="00852FEC">
      <w:r>
        <w:t>Adult data included full 24 hour pharmacokinetic steady-state results from 13 patients receiving 400 mg once daily ATV plus lamivudine and stavudine (Study AI424008), 27 patients receiving ATV 400 mg (15) or ATV/RTV 300/100 mg (12) in combination with lamivudine and stavudine (Study AI424089) and 11 patients treated with ATV/RTV 300/100 mg and two nucleoside reverse transcriptase inhibitors (Study AI4241374).</w:t>
      </w:r>
      <w:r w:rsidRPr="00A0178C">
        <w:t xml:space="preserve"> </w:t>
      </w:r>
      <w:r>
        <w:t>The overall dataset included 277 participants with usable pharmacokinetic data.</w:t>
      </w:r>
    </w:p>
    <w:p w:rsidR="006537AB" w:rsidRDefault="006537AB" w:rsidP="00852FEC">
      <w:r>
        <w:t>A nonlinear mixed-effects compartmental model was developed to characterise the pharmacokinetics of ATV and investigate the covariate effects on ATV steady state C24, C</w:t>
      </w:r>
      <w:r w:rsidRPr="00037C8D">
        <w:rPr>
          <w:vertAlign w:val="subscript"/>
        </w:rPr>
        <w:t>max</w:t>
      </w:r>
      <w:r>
        <w:t xml:space="preserve"> and AUC. The intrinsic covariates: body weight, age, sex, race and antiretroviral treatment naive or experience, plus the extrinsic covariates, formulation, RTV co-medication and study region were investigated. A bridging strategy was employed to determine weight-based dosing recommendations on the assumption that efficacy can be extrapolated from adults to paediatric patients using the pharmacokinetic data alone.</w:t>
      </w:r>
      <w:r w:rsidR="00A10B25">
        <w:t xml:space="preserve"> </w:t>
      </w:r>
    </w:p>
    <w:p w:rsidR="006537AB" w:rsidRDefault="006537AB" w:rsidP="00852FEC">
      <w:r>
        <w:t>The model included 620 observations from adult studies and 3,319 observations from the paediatric study. Overall, 13.2% of available observations were excluded including 11.7% of the paediatric observations. The applicant considered that the exclusions would not bias the results. No observations were flagged as outliers.</w:t>
      </w:r>
    </w:p>
    <w:p w:rsidR="006537AB" w:rsidRDefault="006537AB" w:rsidP="00852FEC">
      <w:r>
        <w:t>In the final model, the following covariate effects were considered clinically relevant: body weight of V/F and CL/F, RTV co-medication on CL/F and F</w:t>
      </w:r>
      <w:r w:rsidRPr="00037C8D">
        <w:rPr>
          <w:vertAlign w:val="subscript"/>
        </w:rPr>
        <w:t>rel</w:t>
      </w:r>
      <w:r>
        <w:t xml:space="preserve"> and formulation on F</w:t>
      </w:r>
      <w:r w:rsidRPr="00037C8D">
        <w:rPr>
          <w:vertAlign w:val="subscript"/>
        </w:rPr>
        <w:t>rel</w:t>
      </w:r>
      <w:r>
        <w:t>. Region, sex and treatment experience were not considered to have clinically significant effects.</w:t>
      </w:r>
    </w:p>
    <w:p w:rsidR="006537AB" w:rsidRDefault="006537AB" w:rsidP="00852FEC">
      <w:r>
        <w:t>Age effect was an important determinant for k</w:t>
      </w:r>
      <w:r w:rsidRPr="007374CB">
        <w:rPr>
          <w:sz w:val="18"/>
          <w:szCs w:val="18"/>
        </w:rPr>
        <w:t>a</w:t>
      </w:r>
      <w:r>
        <w:t xml:space="preserve"> with increasing k</w:t>
      </w:r>
      <w:r w:rsidRPr="007374CB">
        <w:rPr>
          <w:sz w:val="18"/>
          <w:szCs w:val="18"/>
        </w:rPr>
        <w:t>a</w:t>
      </w:r>
      <w:r>
        <w:t xml:space="preserve"> in younger patients resulting in a higher C</w:t>
      </w:r>
      <w:r w:rsidRPr="00037C8D">
        <w:rPr>
          <w:vertAlign w:val="subscript"/>
        </w:rPr>
        <w:t>max</w:t>
      </w:r>
      <w:r>
        <w:t xml:space="preserve"> with decreasing age. C</w:t>
      </w:r>
      <w:r w:rsidRPr="00037C8D">
        <w:rPr>
          <w:vertAlign w:val="subscript"/>
        </w:rPr>
        <w:t>max</w:t>
      </w:r>
      <w:r>
        <w:t xml:space="preserve"> appeared to sharply increase for patients less than 10 years of age. The relationship between baseline age and body weight was found to be linear in the weight range relevant to this submission. </w:t>
      </w:r>
    </w:p>
    <w:p w:rsidR="006537AB" w:rsidRDefault="006537AB" w:rsidP="00852FEC">
      <w:r>
        <w:t>Discrepancy in agreement between observed and predicted values was noted for the group aged 2 – 13 years for C</w:t>
      </w:r>
      <w:r w:rsidRPr="00037C8D">
        <w:rPr>
          <w:vertAlign w:val="subscript"/>
        </w:rPr>
        <w:t>max</w:t>
      </w:r>
      <w:r>
        <w:t xml:space="preserve"> and AUC at Week 56. Discrepancy in agreement for the group aged 13–18 years for C</w:t>
      </w:r>
      <w:r w:rsidRPr="00037C8D">
        <w:rPr>
          <w:vertAlign w:val="subscript"/>
        </w:rPr>
        <w:t>max</w:t>
      </w:r>
      <w:r>
        <w:t xml:space="preserve"> at Week 1 and C</w:t>
      </w:r>
      <w:r w:rsidRPr="00037C8D">
        <w:rPr>
          <w:vertAlign w:val="subscript"/>
        </w:rPr>
        <w:t>min</w:t>
      </w:r>
      <w:r>
        <w:t xml:space="preserve"> at Week 56 was also noted. While these age groupings are in keeping with those suggested in the TGA adopted European Union Note for Guidance on Clinical Investigation of Medicinal Products in the Paediatric Population</w:t>
      </w:r>
      <w:r>
        <w:rPr>
          <w:rStyle w:val="FootnoteReference"/>
        </w:rPr>
        <w:footnoteReference w:id="3"/>
      </w:r>
      <w:r>
        <w:t xml:space="preserve">, it seems possible that the age range 2–13 year encompasses a time at which ATV and RTV metabolic handling transitions from immature to mature and it is unclear just when that may happen. </w:t>
      </w:r>
    </w:p>
    <w:p w:rsidR="006537AB" w:rsidRDefault="006537AB" w:rsidP="00852FEC">
      <w:r>
        <w:t>Bioequivalence in terms of C24 with conventional limits 80% to 125% was not possible. Exposures were considered similar if, for more than 75% of children, the geometric mean (GM) C24 was greater than 75% of geometric mean of adult C24 (500 ng/mL) and if, contingent on meeting the C24 criteria, the GM C</w:t>
      </w:r>
      <w:r w:rsidRPr="00037C8D">
        <w:rPr>
          <w:vertAlign w:val="subscript"/>
        </w:rPr>
        <w:t>max</w:t>
      </w:r>
      <w:r>
        <w:t xml:space="preserve"> was &lt; 150% of adult C</w:t>
      </w:r>
      <w:r w:rsidRPr="00037C8D">
        <w:rPr>
          <w:vertAlign w:val="subscript"/>
        </w:rPr>
        <w:t xml:space="preserve">max </w:t>
      </w:r>
      <w:r>
        <w:t xml:space="preserve">and paediatric AUC was within 80%–125% of adult AUC for &gt; 75% of paediatric patients. The dosing scenarios meeting these adult similarity criteria are those proposed for the PI; however it is noted that the previously approved dose of 250 mg fitted the scenario well for children between 30 to 40 kg. </w:t>
      </w:r>
    </w:p>
    <w:p w:rsidR="006537AB" w:rsidRDefault="006537AB" w:rsidP="00852FEC">
      <w:r>
        <w:t>The applicant stated that based on the model predictions, at ATV doses with geometric mean C24 levels &gt; 500 ng/mL (75% adult geometric mean C24), &gt; 90% of patients taking the proposed doses are predicted to be able to achieve C24 &gt; 130 ng/mL. This concentration is higher than the lower bound of C24 seen in both the lowest exposure quartile in Study AI424138, where 87% of participants achieved HIV RNA &lt; 50 c/mL; and the second exposure quartile in Study AI424089, where 91% of patients achieved a HIV RNA &lt; 400 c/mL and 75% achieved HIV RNA &lt; 50 c/mL</w:t>
      </w:r>
    </w:p>
    <w:p w:rsidR="006537AB" w:rsidRDefault="006537AB" w:rsidP="00852FEC">
      <w:r>
        <w:t xml:space="preserve">Evaluation of ritonavir dose in the population pharmacokinetic report was summary. The final model included RTV as a simple dichotomous effect, not taking into account the actual dose. An apparent trend between ATV clearance versus RTV dose was shown, although it was not possible to tell whether the trend was fully explained by correlation between RTV dose and body weight as dosage had been based on body surface area. </w:t>
      </w:r>
    </w:p>
    <w:p w:rsidR="006537AB" w:rsidRDefault="006537AB" w:rsidP="00852FEC">
      <w:r>
        <w:t>The population pharmacokinetic report included clearly stated objectives, hypothesis and assumptions and the steps taken, the sequence of models tested including validation. However, population pharmacokinetic is by nature, post-hoc and exploratory, and the results are predictions or forecasts. If for some reason, the sample population results are biased, predictions may be unreliable, and in view of the small numbers of patients included in sampling, (inadvertent) bias cannot necessarily be excluded. In addition, as accepted bioequivalence levels were not possible, the applicant unilaterally revised criteria.</w:t>
      </w:r>
      <w:r w:rsidR="00852FEC">
        <w:t xml:space="preserve"> </w:t>
      </w:r>
    </w:p>
    <w:p w:rsidR="006537AB" w:rsidRPr="00883B7A" w:rsidRDefault="006537AB" w:rsidP="00852FEC">
      <w:r>
        <w:t>The reliability of the analysis results was checked by examination of predicted versus observed results and there have been discrepancies as illustrat</w:t>
      </w:r>
      <w:r w:rsidRPr="00883B7A">
        <w:t xml:space="preserve">ed in </w:t>
      </w:r>
      <w:r w:rsidR="00883B7A" w:rsidRPr="00883B7A">
        <w:t>Figures 11-13 and Figure 15</w:t>
      </w:r>
      <w:r w:rsidR="00B7021E" w:rsidRPr="00883B7A">
        <w:t xml:space="preserve"> (see Attachment 2)</w:t>
      </w:r>
      <w:r w:rsidRPr="00883B7A">
        <w:t xml:space="preserve">. </w:t>
      </w:r>
    </w:p>
    <w:p w:rsidR="006537AB" w:rsidRDefault="006537AB" w:rsidP="00852FEC">
      <w:r w:rsidRPr="00883B7A">
        <w:t>The importance of including covariate effects in influencing ATV expos</w:t>
      </w:r>
      <w:r>
        <w:t>ure and informing the weight-based dose recommendations is agreed.</w:t>
      </w:r>
      <w:r w:rsidRPr="00C01154">
        <w:t xml:space="preserve"> </w:t>
      </w:r>
      <w:r>
        <w:t>It was determined that while age impacted clearance and distribution, weight impacted absorption. The age at which k</w:t>
      </w:r>
      <w:r w:rsidRPr="00DC3703">
        <w:rPr>
          <w:sz w:val="18"/>
          <w:szCs w:val="18"/>
        </w:rPr>
        <w:t>a</w:t>
      </w:r>
      <w:r>
        <w:t xml:space="preserve"> transitions from being a clinically relevant covariate has not been discussed but is felt to be important in view of the proposal to include children 6 to 8 years in the </w:t>
      </w:r>
      <w:r w:rsidRPr="00037C8D">
        <w:rPr>
          <w:i/>
        </w:rPr>
        <w:t>Dosage and Administration</w:t>
      </w:r>
      <w:r>
        <w:t xml:space="preserve"> section of the PI. While age and weight correlated linearly in the sample population between 15 and 60 kg, it was noted that age 6 to 8 correlated best with weight 20 to 25 kg and weight 15 kg appeared to correlate with age 5 years in that specific population. </w:t>
      </w:r>
    </w:p>
    <w:p w:rsidR="006537AB" w:rsidRDefault="006537AB" w:rsidP="00852FEC">
      <w:r>
        <w:t>In the situation where a C</w:t>
      </w:r>
      <w:r w:rsidRPr="00037C8D">
        <w:rPr>
          <w:vertAlign w:val="subscript"/>
        </w:rPr>
        <w:t>min</w:t>
      </w:r>
      <w:r>
        <w:t xml:space="preserve"> is relatively low, while a C</w:t>
      </w:r>
      <w:r w:rsidRPr="00037C8D">
        <w:rPr>
          <w:vertAlign w:val="subscript"/>
        </w:rPr>
        <w:t>max</w:t>
      </w:r>
      <w:r>
        <w:t xml:space="preserve"> is relatively high, the proposition that administration of a lower dose, more often may be beneficial bears contemplation. The belief that once daily administration improves compliance; however this is not necessarily true as reported in a systematic review showing no significant difference between once and twice daily dosing.</w:t>
      </w:r>
      <w:r>
        <w:rPr>
          <w:rStyle w:val="FootnoteReference"/>
        </w:rPr>
        <w:footnoteReference w:id="4"/>
      </w:r>
      <w:r>
        <w:t xml:space="preserve"> As atazanavir has established dose related adverse effects, and the result of under dosing, particularly, with respect to C</w:t>
      </w:r>
      <w:r w:rsidRPr="0084534F">
        <w:rPr>
          <w:vertAlign w:val="subscript"/>
        </w:rPr>
        <w:t>min</w:t>
      </w:r>
      <w:r>
        <w:t>, may result in lack of efficacy, it is suggested that twice daily dosing would lead to better clinical outcomes for young children and that complicated post-hoc manipulation of data, to provide rational dosing, does not necessarily result in the safest and most efficacious dosage recommendations. It appears that the problems inherent with the current dose recommendations are due to current formulation strengths.</w:t>
      </w:r>
    </w:p>
    <w:p w:rsidR="006537AB" w:rsidRDefault="006537AB" w:rsidP="00852FEC">
      <w:r>
        <w:t xml:space="preserve">Variability in pharmacodynamics or pharmacokinetics is considered a threat to successful drug treatment and variability is decidedly a feature of the reported pharmacokinetic results. The limited number of children contributing to observed data is considered to impede dosage verification. </w:t>
      </w:r>
    </w:p>
    <w:p w:rsidR="006537AB" w:rsidRDefault="006537AB" w:rsidP="00852FEC">
      <w:r>
        <w:t xml:space="preserve">The applicant has not comprehensively addressed the specific age range 6 to &lt; 8 years, the ages not currently represented in the </w:t>
      </w:r>
      <w:r w:rsidRPr="0084534F">
        <w:rPr>
          <w:i/>
        </w:rPr>
        <w:t>Dosage and Administration</w:t>
      </w:r>
      <w:r>
        <w:t xml:space="preserve"> section of the PI. Concern was raised previously about the apparently unpredictable clearance/kg by age demonstrated in children less than 8 years of age. The evaluator at that time concluded that the dosage recommendation based on body weight for these young children is unlikely to result in a predictable plasma level, a matter considered potentially hazardous in view of both the non-linear kinetics and the possibility of ineffective C</w:t>
      </w:r>
      <w:r w:rsidRPr="0084534F">
        <w:rPr>
          <w:vertAlign w:val="subscript"/>
        </w:rPr>
        <w:t>min</w:t>
      </w:r>
      <w:r>
        <w:t xml:space="preserve"> values due to the high peak to trough ratios. The information included in the submission does not appear to support a differing opinion. </w:t>
      </w:r>
    </w:p>
    <w:p w:rsidR="006537AB" w:rsidRDefault="006537AB" w:rsidP="00852FEC">
      <w:r>
        <w:t xml:space="preserve">With respect to ritonavir, </w:t>
      </w:r>
      <w:r w:rsidRPr="00360840">
        <w:t>t</w:t>
      </w:r>
      <w:r>
        <w:t>he chosen dose based on the clinical judgment mentioned in the application appears to be pragmatic in that 100 mg is the smallest dose available in capsule form and the capsule formulation is considered more palatable.</w:t>
      </w:r>
      <w:r w:rsidR="00A10B25">
        <w:t xml:space="preserve"> </w:t>
      </w:r>
    </w:p>
    <w:p w:rsidR="006537AB" w:rsidRDefault="006537AB" w:rsidP="00852FEC">
      <w:pPr>
        <w:pStyle w:val="Heading5"/>
      </w:pPr>
      <w:bookmarkStart w:id="42" w:name="_Toc367276233"/>
      <w:r>
        <w:t xml:space="preserve">Study AI424020 </w:t>
      </w:r>
      <w:r w:rsidR="00852FEC">
        <w:t>p</w:t>
      </w:r>
      <w:r>
        <w:t>harmacokinetics</w:t>
      </w:r>
      <w:bookmarkEnd w:id="42"/>
    </w:p>
    <w:p w:rsidR="006537AB" w:rsidRDefault="006537AB" w:rsidP="00852FEC">
      <w:r>
        <w:t xml:space="preserve">The pharmacokinetic component of Study AI424020 presented in the clinical study report included individual intensive pharmacokinetic data for the 7 participants who received the proposed, revised dose or higher. Two patients provided one set of results, four patients provided 2 sets and one patient provided 3 sets of intensive pharmacokinetic sampling results. </w:t>
      </w:r>
    </w:p>
    <w:p w:rsidR="006537AB" w:rsidRDefault="006537AB" w:rsidP="00852FEC">
      <w:r>
        <w:t>Five patients weighing 15–25 kg on the proposed weight based regime provided data. No individual data was presented for the proposed lower dose for the weight range 25 kg to &lt; 39 kg. Three patients aged between 6.5 to 7.1 years, weighing between 16.1 and 17.5 kg provided 4 sets of results while on the proposed dose of for children between 15 and 20 kg of ATV/RTV 150/100. One participant aged 6.7 years, weighing 18 kg was treated with ATV/RTV 250/100 after dose adjustment. The C</w:t>
      </w:r>
      <w:r w:rsidRPr="0084534F">
        <w:rPr>
          <w:vertAlign w:val="subscript"/>
        </w:rPr>
        <w:t>min</w:t>
      </w:r>
      <w:r>
        <w:t xml:space="preserve"> results for these children ranged between 141</w:t>
      </w:r>
      <w:r w:rsidR="00704C6C">
        <w:t xml:space="preserve"> </w:t>
      </w:r>
      <w:r>
        <w:t xml:space="preserve">ng/mL and 800 ng/mL. </w:t>
      </w:r>
    </w:p>
    <w:p w:rsidR="006537AB" w:rsidRDefault="006537AB" w:rsidP="00852FEC">
      <w:r>
        <w:t>In the 20 to &lt; 25 kg weight range, two patients aged 8.9 and 9.8 years, weighing between 21.3 kg and 24.7 kg provided three sets of data while taking the proposed dose of ATV/RTV 200/100 mg, three patients between 6.9 and 7.8 years, weighing between 22 kg and 24 kg treated with previously approved dose of ATV/RTV 250/100 mg provided four sets of data and one patient aged 7.1 years weighing 22.5 kg provided one set of data while on ATV/RTV 400/100 mg with resultant C</w:t>
      </w:r>
      <w:r w:rsidRPr="0084534F">
        <w:rPr>
          <w:vertAlign w:val="subscript"/>
        </w:rPr>
        <w:t>min</w:t>
      </w:r>
      <w:r>
        <w:t xml:space="preserve"> 658 ng/mL; this patient had previously contributed data while on ATV/RTV 250/100 mg at which time the C</w:t>
      </w:r>
      <w:r w:rsidRPr="0084534F">
        <w:rPr>
          <w:vertAlign w:val="subscript"/>
        </w:rPr>
        <w:t>min</w:t>
      </w:r>
      <w:r>
        <w:t xml:space="preserve"> was 255 ng/mL. </w:t>
      </w:r>
    </w:p>
    <w:p w:rsidR="006537AB" w:rsidRDefault="006537AB" w:rsidP="00852FEC">
      <w:r>
        <w:t>The results presented for ritonavir in the group of seven patients demonstrated a tendency to achieve lower C</w:t>
      </w:r>
      <w:r w:rsidRPr="0084534F">
        <w:rPr>
          <w:vertAlign w:val="subscript"/>
        </w:rPr>
        <w:t>min</w:t>
      </w:r>
      <w:r>
        <w:t>, higher C</w:t>
      </w:r>
      <w:r w:rsidRPr="0084534F">
        <w:rPr>
          <w:vertAlign w:val="subscript"/>
        </w:rPr>
        <w:t>max</w:t>
      </w:r>
      <w:r>
        <w:t xml:space="preserve"> and AUC results with C</w:t>
      </w:r>
      <w:r w:rsidRPr="0084534F">
        <w:rPr>
          <w:vertAlign w:val="subscript"/>
        </w:rPr>
        <w:t>min</w:t>
      </w:r>
      <w:r>
        <w:t xml:space="preserve"> than seen in adults. Although the results were presented for weight they suggest the possibility that aged based metabolic processes similar to atazanavir may be in play. </w:t>
      </w:r>
    </w:p>
    <w:p w:rsidR="006537AB" w:rsidRDefault="006537AB" w:rsidP="00852FEC">
      <w:r>
        <w:t xml:space="preserve">The evaluator considers that the PI should inform readers that failure of treatment may be due to insufficient dosage, not necessarily due to non-compliance, and that the high degree of PK variability has been demonstrated in clinical studies. </w:t>
      </w:r>
    </w:p>
    <w:p w:rsidR="00325A21" w:rsidRDefault="00325A21" w:rsidP="00852FEC">
      <w:pPr>
        <w:pStyle w:val="Heading4"/>
      </w:pPr>
      <w:bookmarkStart w:id="43" w:name="_Toc330714170"/>
      <w:bookmarkStart w:id="44" w:name="_Toc336357862"/>
      <w:r>
        <w:t>POPPK</w:t>
      </w:r>
      <w:r w:rsidR="00852FEC">
        <w:t xml:space="preserve"> e</w:t>
      </w:r>
      <w:r w:rsidRPr="00325A21">
        <w:t>valuator</w:t>
      </w:r>
    </w:p>
    <w:p w:rsidR="00325A21" w:rsidRPr="00325A21" w:rsidRDefault="00325A21" w:rsidP="00852FEC">
      <w:pPr>
        <w:pStyle w:val="Heading5"/>
      </w:pPr>
      <w:r>
        <w:t>O</w:t>
      </w:r>
      <w:r w:rsidRPr="00325A21">
        <w:t>verall conclusions on the population pharmacokinetic</w:t>
      </w:r>
      <w:bookmarkEnd w:id="43"/>
      <w:r w:rsidRPr="00325A21">
        <w:t xml:space="preserve"> analysis</w:t>
      </w:r>
      <w:bookmarkEnd w:id="44"/>
    </w:p>
    <w:p w:rsidR="00325A21" w:rsidRPr="00325A21" w:rsidRDefault="00325A21" w:rsidP="00852FEC">
      <w:r w:rsidRPr="00325A21">
        <w:t>The modelling process was conducted and reported in accordance with the Guideline on Reporting the Results of population Pharmacokinetic Analyses CHMP/EWP/185990/06.</w:t>
      </w:r>
      <w:r w:rsidR="00852FEC">
        <w:t xml:space="preserve"> </w:t>
      </w:r>
    </w:p>
    <w:p w:rsidR="00325A21" w:rsidRPr="00325A21" w:rsidRDefault="00325A21" w:rsidP="00852FEC">
      <w:r w:rsidRPr="00325A21">
        <w:t xml:space="preserve">The base structural model was consistent with the known pharmacokinetic characteristics of </w:t>
      </w:r>
      <w:proofErr w:type="spellStart"/>
      <w:r w:rsidRPr="00325A21">
        <w:t>atazanavir</w:t>
      </w:r>
      <w:proofErr w:type="spellEnd"/>
      <w:r w:rsidRPr="00325A21">
        <w:t>.</w:t>
      </w:r>
      <w:r w:rsidR="00852FEC">
        <w:t xml:space="preserve"> </w:t>
      </w:r>
      <w:r w:rsidRPr="00325A21">
        <w:t>The error model was appropriate to the data and consistent with the expected distribution of the pharmacokinetic parameters.</w:t>
      </w:r>
      <w:r w:rsidR="00852FEC">
        <w:t xml:space="preserve"> </w:t>
      </w:r>
      <w:r w:rsidRPr="00325A21">
        <w:t>The goodness of fit plots were supportive of the base model.</w:t>
      </w:r>
    </w:p>
    <w:p w:rsidR="00325A21" w:rsidRPr="00325A21" w:rsidRDefault="00325A21" w:rsidP="00852FEC">
      <w:r w:rsidRPr="00325A21">
        <w:t>The covariate model was developed using all the available covariate data.</w:t>
      </w:r>
      <w:r w:rsidR="00852FEC">
        <w:t xml:space="preserve"> </w:t>
      </w:r>
      <w:r w:rsidRPr="00325A21">
        <w:t>The covariate model building process was rigorous.</w:t>
      </w:r>
      <w:r w:rsidR="00852FEC">
        <w:t xml:space="preserve"> </w:t>
      </w:r>
      <w:r w:rsidRPr="00325A21">
        <w:t>The final model was supported by the goodness of fit plots and the PPC.</w:t>
      </w:r>
      <w:r w:rsidR="00852FEC">
        <w:t xml:space="preserve"> </w:t>
      </w:r>
      <w:r w:rsidRPr="00325A21">
        <w:t>The covariates that remained in the final model were consistent with the known pharmacokinetic characteristics of atazanavir.</w:t>
      </w:r>
    </w:p>
    <w:p w:rsidR="00325A21" w:rsidRPr="00325A21" w:rsidRDefault="00325A21" w:rsidP="00852FEC">
      <w:r w:rsidRPr="00325A21">
        <w:t>The simulations were performed using the model developed in the population pharmacokinetic analysis.</w:t>
      </w:r>
      <w:r w:rsidR="00852FEC">
        <w:t xml:space="preserve"> </w:t>
      </w:r>
      <w:r w:rsidRPr="00325A21">
        <w:t>The age groups and doses studied were appropriate.</w:t>
      </w:r>
      <w:r w:rsidR="00852FEC">
        <w:t xml:space="preserve"> </w:t>
      </w:r>
      <w:r w:rsidRPr="00325A21">
        <w:t>The acceptance criteria for the dosing regimen were rigorous.</w:t>
      </w:r>
    </w:p>
    <w:p w:rsidR="00325A21" w:rsidRPr="00325A21" w:rsidRDefault="00325A21" w:rsidP="00852FEC">
      <w:r w:rsidRPr="00325A21">
        <w:t>The modelling and simulation process supports the proposed new dosing regimen.</w:t>
      </w:r>
      <w:r w:rsidR="00852FEC">
        <w:t xml:space="preserve"> </w:t>
      </w:r>
      <w:r w:rsidRPr="00325A21">
        <w:t>The current dosing regimen also passed the acceptance criteria, but the new dosing regimen performed slightly better and can also be applied to a lower body weight and age grouping.</w:t>
      </w:r>
    </w:p>
    <w:p w:rsidR="00325A21" w:rsidRPr="00325A21" w:rsidRDefault="00325A21" w:rsidP="00852FEC">
      <w:r w:rsidRPr="00325A21">
        <w:t>Although the population pharmacokinetic study is acceptable and supportive of the application, the Sponsor could have extended the population pharmacokinetic model to a population PKPD model.</w:t>
      </w:r>
      <w:r w:rsidR="00852FEC">
        <w:t xml:space="preserve"> </w:t>
      </w:r>
      <w:r w:rsidRPr="00325A21">
        <w:t xml:space="preserve">Suitable </w:t>
      </w:r>
      <w:proofErr w:type="spellStart"/>
      <w:r w:rsidRPr="00325A21">
        <w:t>pharmacodynamic</w:t>
      </w:r>
      <w:proofErr w:type="spellEnd"/>
      <w:r w:rsidRPr="00325A21">
        <w:t xml:space="preserve"> endpoints were obtained in the paediatric study (e.g. HIV RNA and CD4 cell counts).</w:t>
      </w:r>
      <w:r w:rsidR="00852FEC">
        <w:t xml:space="preserve"> </w:t>
      </w:r>
      <w:r w:rsidRPr="00325A21">
        <w:t>A population PKPD study would have provided further support for a rational dosing regimen.</w:t>
      </w:r>
    </w:p>
    <w:p w:rsidR="008E7846" w:rsidRDefault="008E7846" w:rsidP="00852FEC">
      <w:pPr>
        <w:pStyle w:val="Heading3"/>
      </w:pPr>
      <w:bookmarkStart w:id="45" w:name="_Toc371428588"/>
      <w:r w:rsidRPr="00254787">
        <w:t>Pharmacodynamics</w:t>
      </w:r>
      <w:bookmarkEnd w:id="29"/>
      <w:bookmarkEnd w:id="39"/>
      <w:bookmarkEnd w:id="40"/>
      <w:bookmarkEnd w:id="41"/>
      <w:bookmarkEnd w:id="45"/>
    </w:p>
    <w:p w:rsidR="008E7846" w:rsidRPr="00630FB7" w:rsidRDefault="006537AB" w:rsidP="00852FEC">
      <w:r>
        <w:t>No new data submitted.</w:t>
      </w:r>
    </w:p>
    <w:p w:rsidR="008E7846" w:rsidRPr="00254787" w:rsidRDefault="008E7846" w:rsidP="00852FEC">
      <w:pPr>
        <w:pStyle w:val="Heading3"/>
      </w:pPr>
      <w:bookmarkStart w:id="46" w:name="_Toc163441372"/>
      <w:bookmarkStart w:id="47" w:name="_Toc196046485"/>
      <w:bookmarkStart w:id="48" w:name="_Toc247691521"/>
      <w:bookmarkStart w:id="49" w:name="_Toc314842504"/>
      <w:bookmarkStart w:id="50" w:name="_Toc371428589"/>
      <w:r w:rsidRPr="00254787">
        <w:t>Efficacy</w:t>
      </w:r>
      <w:bookmarkEnd w:id="46"/>
      <w:bookmarkEnd w:id="47"/>
      <w:bookmarkEnd w:id="48"/>
      <w:bookmarkEnd w:id="49"/>
      <w:bookmarkEnd w:id="50"/>
    </w:p>
    <w:p w:rsidR="006537AB" w:rsidRPr="006537AB" w:rsidRDefault="006537AB" w:rsidP="00852FEC">
      <w:bookmarkStart w:id="51" w:name="_Toc163441378"/>
      <w:bookmarkStart w:id="52" w:name="_Toc196046495"/>
      <w:bookmarkStart w:id="53" w:name="_Toc247691522"/>
      <w:bookmarkStart w:id="54" w:name="_Toc314842505"/>
      <w:r w:rsidRPr="006537AB">
        <w:t xml:space="preserve">The number discontinuing prior to or at Week 96 was 44/105 (42%), the most common reasons being protocol non-compliance, completion of treatment or toxicity. </w:t>
      </w:r>
    </w:p>
    <w:p w:rsidR="006537AB" w:rsidRPr="006537AB" w:rsidRDefault="006537AB" w:rsidP="00852FEC">
      <w:r w:rsidRPr="006537AB">
        <w:t xml:space="preserve">In accordance with results of adult studies, virologic response at Week 96 was greater in the treatment-naive patients than the treatment-experienced patients. For patients treated with ATV with or without RTV, the overall proportions of antiretroviral naive and experienced participants with HIV RNA &lt; 400 copies/mL at Week 96 were 21/43 (49%) and 21/62 (34%), respectively. The overall proportions with HIV RNA &lt; 50 copies/mL at Week 96 were 20/43 (47%) and 15/62 (24%), respectively. </w:t>
      </w:r>
    </w:p>
    <w:p w:rsidR="006537AB" w:rsidRPr="006537AB" w:rsidRDefault="006537AB" w:rsidP="00852FEC">
      <w:r w:rsidRPr="006537AB">
        <w:t xml:space="preserve">A similar pattern but better results were seen for virologic response-observed cases as would be expected with the smaller denominators. Proportions with HIV RNA &lt; 400 copies/mL at Week 96 were 78% (21/27) and 66% (21/32), respectively. The overall proportions with HIV RNA &lt; 50 copies/mL at Week 96 were 74% (20/27) and 47% (15/32), respectively. The response for treatment experience patients of 24% at Week 48 was lower than that reported in adults while the response of 32 % at Week 96 was roughly the same, acknowledging that numbers in the paediatric study were small and study designs were different. </w:t>
      </w:r>
    </w:p>
    <w:p w:rsidR="006537AB" w:rsidRPr="006537AB" w:rsidRDefault="006537AB" w:rsidP="00852FEC">
      <w:r w:rsidRPr="006537AB">
        <w:t>The median increases from baseline in absolute CD4 count at 96 weeks of therapy were 335 cells/mm</w:t>
      </w:r>
      <w:r w:rsidRPr="006537AB">
        <w:rPr>
          <w:vertAlign w:val="superscript"/>
        </w:rPr>
        <w:t>3</w:t>
      </w:r>
      <w:r w:rsidRPr="006537AB">
        <w:t xml:space="preserve"> in </w:t>
      </w:r>
      <w:r w:rsidR="00D6106C">
        <w:t xml:space="preserve">the </w:t>
      </w:r>
      <w:r w:rsidRPr="006537AB">
        <w:t>treatment naive pa</w:t>
      </w:r>
      <w:r w:rsidR="00883B7A">
        <w:t>tients</w:t>
      </w:r>
      <w:r w:rsidRPr="006537AB">
        <w:t xml:space="preserve"> and 220 cells/mm</w:t>
      </w:r>
      <w:r w:rsidRPr="006537AB">
        <w:rPr>
          <w:vertAlign w:val="superscript"/>
        </w:rPr>
        <w:t>3</w:t>
      </w:r>
      <w:r w:rsidRPr="006537AB">
        <w:t xml:space="preserve"> in the treatment experienced patients.</w:t>
      </w:r>
    </w:p>
    <w:p w:rsidR="008E7846" w:rsidRPr="002E238E" w:rsidRDefault="008E7846" w:rsidP="00852FEC">
      <w:pPr>
        <w:pStyle w:val="Heading3"/>
      </w:pPr>
      <w:bookmarkStart w:id="55" w:name="_Toc371428590"/>
      <w:r w:rsidRPr="002E238E">
        <w:t>Safety</w:t>
      </w:r>
      <w:bookmarkEnd w:id="51"/>
      <w:bookmarkEnd w:id="52"/>
      <w:bookmarkEnd w:id="53"/>
      <w:bookmarkEnd w:id="54"/>
      <w:bookmarkEnd w:id="55"/>
    </w:p>
    <w:p w:rsidR="006537AB" w:rsidRPr="006537AB" w:rsidRDefault="006537AB" w:rsidP="00852FEC">
      <w:bookmarkStart w:id="56" w:name="_Toc255919423"/>
      <w:bookmarkStart w:id="57" w:name="_Toc241374329"/>
      <w:bookmarkStart w:id="58" w:name="_Toc270320087"/>
      <w:bookmarkStart w:id="59" w:name="_Toc314842506"/>
      <w:bookmarkStart w:id="60" w:name="_Toc163441387"/>
      <w:r w:rsidRPr="006537AB">
        <w:t>Adverse events were reported by all participants. The most common related to raised unconjugated bilirubin/jaundice, cough, rash and pyrexia. Two patients died before Week 48; neither death was attributed to study drug. Serious adverse events were reported by 65% of participants, the majority of which were related to hyperbilirubinaemia. The highest reported unconjugated SBR was 9.9 mg/dL (169 µmol/L). Cardiac disorders were reported as SAEs by 8% of participants. Discontinuation due to adverse event was reported for 17% of participants, the most common reasons being unconjugated hyperbilirubinaemia, cardiac related events and rash. The six participants discontinuing due to cardiac related event were all treated with high dose unboosted ATV. AIDS related events were reported by 17 (16%) of patients, the most common being oral candidiasis.</w:t>
      </w:r>
    </w:p>
    <w:p w:rsidR="006537AB" w:rsidRPr="006537AB" w:rsidRDefault="006537AB" w:rsidP="00852FEC">
      <w:r w:rsidRPr="006537AB">
        <w:t>ECG abnormalities were reported for the majority of participants. The most common being first degree AV blocks and other ST/T morphological abnormalities. The only patient noted to have QTcB prolongation &gt; 480 ms had a prolonged QTcB interval at screening which was a protocol deviation.</w:t>
      </w:r>
    </w:p>
    <w:p w:rsidR="006537AB" w:rsidRPr="006537AB" w:rsidRDefault="006537AB" w:rsidP="00852FEC">
      <w:r w:rsidRPr="006537AB">
        <w:t>The pattern of adverse events appears similar to that of the adult treated population although frequency of hyperbilirubinemia and ECG changes appears greater. High ritonavir C</w:t>
      </w:r>
      <w:r w:rsidRPr="006537AB">
        <w:rPr>
          <w:vertAlign w:val="subscript"/>
        </w:rPr>
        <w:t>max</w:t>
      </w:r>
      <w:r w:rsidRPr="006537AB">
        <w:t xml:space="preserve"> and AUC in comparison to adults treated with 100 mg ritonavir may theoretically increase the incidence of ECG PR interval prolongations. The external validity with respect to cardiac safety may have been limited by the extensive list of protocol mandated exclusions relating to pre existing cardiac disorders. </w:t>
      </w:r>
    </w:p>
    <w:p w:rsidR="006537AB" w:rsidRPr="006537AB" w:rsidRDefault="006537AB" w:rsidP="00852FEC">
      <w:r w:rsidRPr="006537AB">
        <w:t>The highest reported unconjugated SBR was 9.9 mg/dL, (NR 0.1 – 1.1 mg/dL). Unconjugated SBR is neurotoxic. Human immunodeficiency virus type 1 (HIV) invades the CNS early after primary infection and disruption of blood brain barrier integrity has been reported.</w:t>
      </w:r>
      <w:r w:rsidRPr="006537AB">
        <w:rPr>
          <w:vertAlign w:val="superscript"/>
        </w:rPr>
        <w:footnoteReference w:id="5"/>
      </w:r>
      <w:r w:rsidRPr="006537AB">
        <w:t xml:space="preserve"> The level of bilirubin, duration of exposure, respiratory acidosis, and metabolic acidosis, infection, drug displacement of bilirubin from binding to albumin for example, with sulphonamides, down regulation of P-glycoprotein which can result from drug use, hyperosmolality, hypoxia, ethnic and genetic variability may all act to increase the likelihood of bilirubin toxicity.</w:t>
      </w:r>
      <w:r w:rsidRPr="006537AB">
        <w:rPr>
          <w:vertAlign w:val="superscript"/>
        </w:rPr>
        <w:footnoteReference w:id="6"/>
      </w:r>
      <w:r w:rsidRPr="006537AB">
        <w:t xml:space="preserve"> Each of these factors may act singly or together in a child with HIV infection. Despite the fact that many factors that might enhance neurotoxicity of unconjugated bilirubin may be relevant at times for a child with HIV, the levels reported in this study are well below those documented to cause kernicterus in full term newborns. </w:t>
      </w:r>
    </w:p>
    <w:p w:rsidR="008E7846" w:rsidRDefault="008E7846" w:rsidP="00852FEC">
      <w:pPr>
        <w:pStyle w:val="Heading3"/>
      </w:pPr>
      <w:bookmarkStart w:id="61" w:name="_Toc371428591"/>
      <w:r>
        <w:t>List of questions</w:t>
      </w:r>
      <w:bookmarkEnd w:id="56"/>
      <w:bookmarkEnd w:id="57"/>
      <w:bookmarkEnd w:id="58"/>
      <w:bookmarkEnd w:id="59"/>
      <w:bookmarkEnd w:id="61"/>
    </w:p>
    <w:p w:rsidR="00B7021E" w:rsidRPr="00B7021E" w:rsidRDefault="00B7021E" w:rsidP="00852FEC">
      <w:r>
        <w:t xml:space="preserve">The majority of figures and tables referred to in these questions are those discussed and included in the </w:t>
      </w:r>
      <w:r w:rsidR="00D011E7" w:rsidRPr="00D011E7">
        <w:rPr>
          <w:i/>
        </w:rPr>
        <w:t xml:space="preserve">Extract from the </w:t>
      </w:r>
      <w:r w:rsidRPr="00D011E7">
        <w:rPr>
          <w:i/>
        </w:rPr>
        <w:t>CER</w:t>
      </w:r>
      <w:r w:rsidR="00D011E7">
        <w:t>,</w:t>
      </w:r>
      <w:r>
        <w:t xml:space="preserve"> Attachment 2.</w:t>
      </w:r>
    </w:p>
    <w:p w:rsidR="00704C6C" w:rsidRDefault="006537AB" w:rsidP="00852FEC">
      <w:pPr>
        <w:pStyle w:val="Heading4"/>
      </w:pPr>
      <w:bookmarkStart w:id="62" w:name="_Toc247691523"/>
      <w:bookmarkStart w:id="63" w:name="_Toc314842507"/>
      <w:bookmarkStart w:id="64" w:name="_Toc184440295"/>
      <w:bookmarkStart w:id="65" w:name="_Toc184444673"/>
      <w:bookmarkStart w:id="66" w:name="_Toc196046503"/>
      <w:bookmarkEnd w:id="60"/>
      <w:r>
        <w:t>Population pharmacokinetics</w:t>
      </w:r>
    </w:p>
    <w:p w:rsidR="006537AB" w:rsidRDefault="00704C6C" w:rsidP="00852FEC">
      <w:pPr>
        <w:pStyle w:val="Heading5"/>
      </w:pPr>
      <w:r>
        <w:t xml:space="preserve">Clinical </w:t>
      </w:r>
      <w:r w:rsidR="00852FEC">
        <w:t>e</w:t>
      </w:r>
      <w:r>
        <w:t>valuator</w:t>
      </w:r>
    </w:p>
    <w:p w:rsidR="006537AB" w:rsidRPr="00852FEC" w:rsidRDefault="006537AB" w:rsidP="00852FEC">
      <w:pPr>
        <w:pStyle w:val="Numberbullet0"/>
        <w:rPr>
          <w:i/>
        </w:rPr>
      </w:pPr>
      <w:r w:rsidRPr="00852FEC">
        <w:rPr>
          <w:i/>
        </w:rPr>
        <w:t>It was requested that the applicant supply figures illustrating information for age ranges 6 to &lt;8 years, 8 to &lt; 13 years and 13 to 18 years. It is also requested that the applicant supplies the numerical values for the medians, 5</w:t>
      </w:r>
      <w:r w:rsidRPr="00852FEC">
        <w:rPr>
          <w:i/>
          <w:vertAlign w:val="superscript"/>
        </w:rPr>
        <w:t>th</w:t>
      </w:r>
      <w:r w:rsidRPr="00852FEC">
        <w:rPr>
          <w:i/>
        </w:rPr>
        <w:t xml:space="preserve"> and 95</w:t>
      </w:r>
      <w:r w:rsidRPr="00852FEC">
        <w:rPr>
          <w:i/>
          <w:vertAlign w:val="superscript"/>
        </w:rPr>
        <w:t>th</w:t>
      </w:r>
      <w:r w:rsidRPr="00852FEC">
        <w:rPr>
          <w:i/>
        </w:rPr>
        <w:t xml:space="preserve"> percentile ranges for these figures. </w:t>
      </w:r>
    </w:p>
    <w:p w:rsidR="006537AB" w:rsidRDefault="006537AB" w:rsidP="00852FEC">
      <w:r w:rsidRPr="009B6D30">
        <w:rPr>
          <w:rStyle w:val="Heading5Char"/>
          <w:rFonts w:eastAsia="Cambria"/>
        </w:rPr>
        <w:t xml:space="preserve">Applicant response: </w:t>
      </w:r>
      <w:r>
        <w:t>The tables, medians and percentile ranges have not been provided for the additional requested subsets by age. At Week 1, there were only 2 individuals who were &lt;6 years of age with observed ATV C24, C</w:t>
      </w:r>
      <w:r w:rsidRPr="009B6D30">
        <w:rPr>
          <w:vertAlign w:val="subscript"/>
        </w:rPr>
        <w:t xml:space="preserve">max </w:t>
      </w:r>
      <w:r>
        <w:t>and AUC; a majority of the subjects in Group 7 (2 to &lt; 3 years of age) were between the ages of 6 and 13 years. Sub-setting into smaller age groups results in a limited number of observations for subjects 6 to &lt; 8 years of age, which may not allow for meaningful PPC assessment. For children 6 to &lt; 8 years of age, ≤ 6 individuals had observed ATV C24, C</w:t>
      </w:r>
      <w:r w:rsidRPr="009B6D30">
        <w:rPr>
          <w:vertAlign w:val="subscript"/>
        </w:rPr>
        <w:t>max</w:t>
      </w:r>
      <w:r>
        <w:t>, or AUC at Week 1, while the number of observations for subjects 8 to 13 years of age was considerably larger (N = 18 to 20 at Week 1), resulting in an unbalanced comparison of these two age group subsets.</w:t>
      </w:r>
    </w:p>
    <w:p w:rsidR="006537AB" w:rsidRDefault="006537AB" w:rsidP="00852FEC">
      <w:r>
        <w:t xml:space="preserve">As requested, </w:t>
      </w:r>
      <w:r w:rsidR="0013210E">
        <w:t xml:space="preserve">Tables 3-8 </w:t>
      </w:r>
      <w:r>
        <w:t>provide the observed and predicted medians, as well as and 5</w:t>
      </w:r>
      <w:r w:rsidRPr="009B6D30">
        <w:rPr>
          <w:vertAlign w:val="superscript"/>
        </w:rPr>
        <w:t>th</w:t>
      </w:r>
      <w:r>
        <w:t xml:space="preserve"> and 95</w:t>
      </w:r>
      <w:r w:rsidRPr="009B6D30">
        <w:rPr>
          <w:vertAlign w:val="superscript"/>
        </w:rPr>
        <w:t>th</w:t>
      </w:r>
      <w:r>
        <w:t xml:space="preserve"> percentile ranges for Group 7 (2 to &lt; 13 years), Group 8 (13-18 years).</w:t>
      </w:r>
    </w:p>
    <w:p w:rsidR="006537AB" w:rsidRDefault="006537AB" w:rsidP="00852FEC">
      <w:pPr>
        <w:pStyle w:val="TableTitle"/>
      </w:pPr>
      <w:bookmarkStart w:id="67" w:name="_Ref342379014"/>
      <w:bookmarkStart w:id="68" w:name="_Ref342379041"/>
      <w:r>
        <w:t xml:space="preserve">Table </w:t>
      </w:r>
      <w:bookmarkEnd w:id="67"/>
      <w:r w:rsidR="0013210E">
        <w:t>3</w:t>
      </w:r>
      <w:r>
        <w:t>. Observed and Predictive Distribution of the Geometric Mean C24 (ng/mL) in Paediatric (Week 1) and Adult Patients</w:t>
      </w:r>
      <w:bookmarkEnd w:id="68"/>
    </w:p>
    <w:p w:rsidR="006537AB" w:rsidRDefault="006537AB" w:rsidP="00852FEC">
      <w:r>
        <w:rPr>
          <w:noProof/>
          <w:lang w:eastAsia="en-AU"/>
        </w:rPr>
        <w:drawing>
          <wp:inline distT="0" distB="0" distL="0" distR="0">
            <wp:extent cx="5925185" cy="998220"/>
            <wp:effectExtent l="19050" t="0" r="0" b="0"/>
            <wp:docPr id="117" name="Picture 78" descr="Table 3. Observed and Predictive Distribution of the Geometric Mean C24 (ng/mL) in Paediatric (Week 1) and Adult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 cstate="print"/>
                    <a:srcRect/>
                    <a:stretch>
                      <a:fillRect/>
                    </a:stretch>
                  </pic:blipFill>
                  <pic:spPr bwMode="auto">
                    <a:xfrm>
                      <a:off x="0" y="0"/>
                      <a:ext cx="5925185" cy="998220"/>
                    </a:xfrm>
                    <a:prstGeom prst="rect">
                      <a:avLst/>
                    </a:prstGeom>
                    <a:noFill/>
                    <a:ln w="9525">
                      <a:noFill/>
                      <a:miter lim="800000"/>
                      <a:headEnd/>
                      <a:tailEnd/>
                    </a:ln>
                  </pic:spPr>
                </pic:pic>
              </a:graphicData>
            </a:graphic>
          </wp:inline>
        </w:drawing>
      </w:r>
    </w:p>
    <w:p w:rsidR="006537AB" w:rsidRDefault="006537AB" w:rsidP="00852FEC">
      <w:pPr>
        <w:pStyle w:val="TableTitle"/>
      </w:pPr>
      <w:bookmarkStart w:id="69" w:name="_Ref342990093"/>
      <w:r>
        <w:t xml:space="preserve">Table </w:t>
      </w:r>
      <w:bookmarkEnd w:id="69"/>
      <w:r w:rsidR="0013210E">
        <w:t>4</w:t>
      </w:r>
      <w:r>
        <w:t>. Observed and Predictive Distribution of the Geometric Mean C24 (ng/mL) in Paediatric (Week 56) and Adult Patients</w:t>
      </w:r>
    </w:p>
    <w:p w:rsidR="006537AB" w:rsidRDefault="006537AB" w:rsidP="00852FEC">
      <w:r>
        <w:rPr>
          <w:noProof/>
          <w:lang w:eastAsia="en-AU"/>
        </w:rPr>
        <w:drawing>
          <wp:inline distT="0" distB="0" distL="0" distR="0">
            <wp:extent cx="5915660" cy="951865"/>
            <wp:effectExtent l="19050" t="0" r="8890" b="0"/>
            <wp:docPr id="118" name="Picture 79" descr="Table 4. Observed and Predictive Distribution of the Geometric Mean C24 (ng/mL) in Paediatric (Week 56) and Adult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cstate="print"/>
                    <a:srcRect/>
                    <a:stretch>
                      <a:fillRect/>
                    </a:stretch>
                  </pic:blipFill>
                  <pic:spPr bwMode="auto">
                    <a:xfrm>
                      <a:off x="0" y="0"/>
                      <a:ext cx="5915660" cy="951865"/>
                    </a:xfrm>
                    <a:prstGeom prst="rect">
                      <a:avLst/>
                    </a:prstGeom>
                    <a:noFill/>
                    <a:ln w="9525">
                      <a:noFill/>
                      <a:miter lim="800000"/>
                      <a:headEnd/>
                      <a:tailEnd/>
                    </a:ln>
                  </pic:spPr>
                </pic:pic>
              </a:graphicData>
            </a:graphic>
          </wp:inline>
        </w:drawing>
      </w:r>
    </w:p>
    <w:p w:rsidR="006537AB" w:rsidRDefault="006537AB" w:rsidP="00852FEC">
      <w:pPr>
        <w:pStyle w:val="TableTitle"/>
      </w:pPr>
      <w:bookmarkStart w:id="70" w:name="_Ref342990379"/>
      <w:r>
        <w:t xml:space="preserve">Table </w:t>
      </w:r>
      <w:bookmarkEnd w:id="70"/>
      <w:r w:rsidR="0013210E">
        <w:t>5</w:t>
      </w:r>
      <w:r>
        <w:t>. Observed and Predictive Distribution of the Geometric Mean Cmax (ng/mL) in Paediatric (Week 1) and Adult Patients</w:t>
      </w:r>
    </w:p>
    <w:p w:rsidR="006537AB" w:rsidRDefault="006537AB" w:rsidP="00852FEC">
      <w:r>
        <w:rPr>
          <w:noProof/>
          <w:lang w:eastAsia="en-AU"/>
        </w:rPr>
        <w:drawing>
          <wp:inline distT="0" distB="0" distL="0" distR="0">
            <wp:extent cx="5915660" cy="914400"/>
            <wp:effectExtent l="19050" t="0" r="8890" b="0"/>
            <wp:docPr id="119" name="Picture 80" descr="Table 5. Observed and Predictive Distribution of the Geometric Mean Cmax (ng/mL) in Paediatric (Week 1) and Adult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3" cstate="print"/>
                    <a:srcRect/>
                    <a:stretch>
                      <a:fillRect/>
                    </a:stretch>
                  </pic:blipFill>
                  <pic:spPr bwMode="auto">
                    <a:xfrm>
                      <a:off x="0" y="0"/>
                      <a:ext cx="5915660" cy="914400"/>
                    </a:xfrm>
                    <a:prstGeom prst="rect">
                      <a:avLst/>
                    </a:prstGeom>
                    <a:noFill/>
                    <a:ln w="9525">
                      <a:noFill/>
                      <a:miter lim="800000"/>
                      <a:headEnd/>
                      <a:tailEnd/>
                    </a:ln>
                  </pic:spPr>
                </pic:pic>
              </a:graphicData>
            </a:graphic>
          </wp:inline>
        </w:drawing>
      </w:r>
    </w:p>
    <w:p w:rsidR="006537AB" w:rsidRDefault="006537AB" w:rsidP="00852FEC">
      <w:pPr>
        <w:pStyle w:val="TableTitle"/>
      </w:pPr>
      <w:bookmarkStart w:id="71" w:name="_Ref342384579"/>
      <w:bookmarkStart w:id="72" w:name="_Ref342384591"/>
      <w:r>
        <w:t xml:space="preserve">Table </w:t>
      </w:r>
      <w:bookmarkEnd w:id="71"/>
      <w:r w:rsidR="0013210E">
        <w:t>6</w:t>
      </w:r>
      <w:r>
        <w:t>. Observed and Predictive Distribution of the Geometric Mean Cmax (ng/mL) in Paediatric (Week 56) and Adult Patients</w:t>
      </w:r>
      <w:bookmarkEnd w:id="72"/>
    </w:p>
    <w:p w:rsidR="006537AB" w:rsidRDefault="006537AB" w:rsidP="00852FEC">
      <w:r>
        <w:rPr>
          <w:noProof/>
          <w:lang w:eastAsia="en-AU"/>
        </w:rPr>
        <w:drawing>
          <wp:inline distT="0" distB="0" distL="0" distR="0">
            <wp:extent cx="5925185" cy="942340"/>
            <wp:effectExtent l="19050" t="0" r="0" b="0"/>
            <wp:docPr id="120" name="Picture 81" descr="Table 6. Observed and Predictive Distribution of the Geometric Mean Cmax (ng/mL) in Paediatric (Week 56) and Adult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 cstate="print"/>
                    <a:srcRect/>
                    <a:stretch>
                      <a:fillRect/>
                    </a:stretch>
                  </pic:blipFill>
                  <pic:spPr bwMode="auto">
                    <a:xfrm>
                      <a:off x="0" y="0"/>
                      <a:ext cx="5925185" cy="942340"/>
                    </a:xfrm>
                    <a:prstGeom prst="rect">
                      <a:avLst/>
                    </a:prstGeom>
                    <a:noFill/>
                    <a:ln w="9525">
                      <a:noFill/>
                      <a:miter lim="800000"/>
                      <a:headEnd/>
                      <a:tailEnd/>
                    </a:ln>
                  </pic:spPr>
                </pic:pic>
              </a:graphicData>
            </a:graphic>
          </wp:inline>
        </w:drawing>
      </w:r>
    </w:p>
    <w:p w:rsidR="006537AB" w:rsidRDefault="006537AB" w:rsidP="00EC7544">
      <w:pPr>
        <w:pStyle w:val="TableTitle"/>
      </w:pPr>
      <w:bookmarkStart w:id="73" w:name="_Ref343078476"/>
      <w:r>
        <w:t xml:space="preserve">Table </w:t>
      </w:r>
      <w:bookmarkEnd w:id="73"/>
      <w:r w:rsidR="0013210E">
        <w:t>7</w:t>
      </w:r>
      <w:r>
        <w:t>. Observed and Predictive Distribution of the Geometric Mean AUC (ng.hr/mL) in Paediatric (Week 1) and Adult Patients</w:t>
      </w:r>
    </w:p>
    <w:p w:rsidR="006537AB" w:rsidRDefault="006537AB" w:rsidP="00EC7544">
      <w:r>
        <w:rPr>
          <w:noProof/>
          <w:lang w:eastAsia="en-AU"/>
        </w:rPr>
        <w:drawing>
          <wp:inline distT="0" distB="0" distL="0" distR="0">
            <wp:extent cx="5925185" cy="904875"/>
            <wp:effectExtent l="19050" t="0" r="0" b="0"/>
            <wp:docPr id="121" name="Picture 82" descr="Table 7. Observed and Predictive Distribution of the Geometric Mean AUC (ng.hr/mL) in Paediatric (Week 1) and Adult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 cstate="print"/>
                    <a:srcRect/>
                    <a:stretch>
                      <a:fillRect/>
                    </a:stretch>
                  </pic:blipFill>
                  <pic:spPr bwMode="auto">
                    <a:xfrm>
                      <a:off x="0" y="0"/>
                      <a:ext cx="5925185" cy="904875"/>
                    </a:xfrm>
                    <a:prstGeom prst="rect">
                      <a:avLst/>
                    </a:prstGeom>
                    <a:noFill/>
                    <a:ln w="9525">
                      <a:noFill/>
                      <a:miter lim="800000"/>
                      <a:headEnd/>
                      <a:tailEnd/>
                    </a:ln>
                  </pic:spPr>
                </pic:pic>
              </a:graphicData>
            </a:graphic>
          </wp:inline>
        </w:drawing>
      </w:r>
    </w:p>
    <w:p w:rsidR="006537AB" w:rsidRDefault="006537AB" w:rsidP="00EC7544">
      <w:pPr>
        <w:pStyle w:val="TableTitle"/>
      </w:pPr>
      <w:bookmarkStart w:id="74" w:name="_Ref342379032"/>
      <w:bookmarkStart w:id="75" w:name="_Ref342379044"/>
      <w:r>
        <w:t xml:space="preserve">Table </w:t>
      </w:r>
      <w:bookmarkEnd w:id="74"/>
      <w:r w:rsidR="0013210E">
        <w:t>8</w:t>
      </w:r>
      <w:r>
        <w:t>. Observed and Predictive Distribution of the Geometric Mean AUC (ng.hr/mL) in Paediatric (Week 56) and Adult Patients</w:t>
      </w:r>
      <w:bookmarkEnd w:id="75"/>
    </w:p>
    <w:p w:rsidR="006537AB" w:rsidRDefault="006537AB" w:rsidP="00EC7544">
      <w:r>
        <w:rPr>
          <w:noProof/>
          <w:lang w:eastAsia="en-AU"/>
        </w:rPr>
        <w:drawing>
          <wp:inline distT="0" distB="0" distL="0" distR="0">
            <wp:extent cx="5925185" cy="1147445"/>
            <wp:effectExtent l="19050" t="0" r="0" b="0"/>
            <wp:docPr id="122" name="Picture 83" descr="Table 8. Observed and Predictive Distribution of the Geometric Mean AUC (ng.hr/mL) in Paediatric (Week 56) and Adult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 cstate="print"/>
                    <a:srcRect/>
                    <a:stretch>
                      <a:fillRect/>
                    </a:stretch>
                  </pic:blipFill>
                  <pic:spPr bwMode="auto">
                    <a:xfrm>
                      <a:off x="0" y="0"/>
                      <a:ext cx="5925185" cy="1147445"/>
                    </a:xfrm>
                    <a:prstGeom prst="rect">
                      <a:avLst/>
                    </a:prstGeom>
                    <a:noFill/>
                    <a:ln w="9525">
                      <a:noFill/>
                      <a:miter lim="800000"/>
                      <a:headEnd/>
                      <a:tailEnd/>
                    </a:ln>
                  </pic:spPr>
                </pic:pic>
              </a:graphicData>
            </a:graphic>
          </wp:inline>
        </w:drawing>
      </w:r>
    </w:p>
    <w:p w:rsidR="006537AB" w:rsidRDefault="006537AB" w:rsidP="00EC7544">
      <w:r w:rsidRPr="009B6D30">
        <w:rPr>
          <w:rStyle w:val="Heading5Char"/>
          <w:rFonts w:eastAsia="Cambria"/>
        </w:rPr>
        <w:t>Evaluator comment:</w:t>
      </w:r>
      <w:r>
        <w:t xml:space="preserve"> The tables compa</w:t>
      </w:r>
      <w:bookmarkStart w:id="76" w:name="Marker"/>
      <w:bookmarkEnd w:id="76"/>
      <w:r>
        <w:t>re Week 1 and Week 56 results for children with Day 29 results for adults. The paediatric age range depicted does not correspond to age ranges included in the PI. Children less than six years of age were treated with a different formulation than the older children.</w:t>
      </w:r>
    </w:p>
    <w:p w:rsidR="006537AB" w:rsidRDefault="006537AB" w:rsidP="00EC7544">
      <w:r>
        <w:t>T</w:t>
      </w:r>
      <w:r w:rsidRPr="009252B5">
        <w:t xml:space="preserve">here were some discrepancies between observed and predicted median results. </w:t>
      </w:r>
      <w:r>
        <w:t>The observed C</w:t>
      </w:r>
      <w:r w:rsidRPr="009B6D30">
        <w:rPr>
          <w:vertAlign w:val="subscript"/>
        </w:rPr>
        <w:t>min</w:t>
      </w:r>
      <w:r>
        <w:t xml:space="preserve"> of 351.83 ng/mL at Week 56 for patients aged 13 to 18 years was just on the predicted 5</w:t>
      </w:r>
      <w:r w:rsidRPr="006B04F2">
        <w:rPr>
          <w:vertAlign w:val="superscript"/>
        </w:rPr>
        <w:t>th</w:t>
      </w:r>
      <w:r>
        <w:t xml:space="preserve"> percentile and was well below 500 ng/mL. The observed C</w:t>
      </w:r>
      <w:r w:rsidRPr="009B6D30">
        <w:rPr>
          <w:vertAlign w:val="subscript"/>
        </w:rPr>
        <w:t>max</w:t>
      </w:r>
      <w:r>
        <w:t xml:space="preserve"> at Week 1 for those aged 13 to 18 years was close to the predicted 5</w:t>
      </w:r>
      <w:r>
        <w:rPr>
          <w:vertAlign w:val="superscript"/>
        </w:rPr>
        <w:t>th</w:t>
      </w:r>
      <w:r>
        <w:t xml:space="preserve"> percentile. The observed C</w:t>
      </w:r>
      <w:r w:rsidRPr="009B6D30">
        <w:rPr>
          <w:vertAlign w:val="subscript"/>
        </w:rPr>
        <w:t>max</w:t>
      </w:r>
      <w:r>
        <w:t xml:space="preserve"> at Week 56 for those aged 2 to 13 years was below the predicted 5</w:t>
      </w:r>
      <w:r>
        <w:rPr>
          <w:vertAlign w:val="superscript"/>
        </w:rPr>
        <w:t>th</w:t>
      </w:r>
      <w:r>
        <w:t xml:space="preserve"> percentile. The observed AUC at Week 56 for those age 2 to 13 years was below the predicted 5</w:t>
      </w:r>
      <w:r w:rsidRPr="00E53CA3">
        <w:rPr>
          <w:vertAlign w:val="superscript"/>
        </w:rPr>
        <w:t>th</w:t>
      </w:r>
      <w:r>
        <w:t xml:space="preserve"> percentile.</w:t>
      </w:r>
    </w:p>
    <w:p w:rsidR="006537AB" w:rsidRPr="00EC7544" w:rsidRDefault="006537AB" w:rsidP="00EC7544">
      <w:r w:rsidRPr="009252B5">
        <w:t>It is uncertain why participants dropped out of the PK component of the study. The large numbers of drop-outs may have biased results. As the numbers participating w</w:t>
      </w:r>
      <w:r>
        <w:t>as</w:t>
      </w:r>
      <w:r w:rsidRPr="009252B5">
        <w:t xml:space="preserve"> small, particularly so for the Week 56 results for the age group 13 to 18, it is hard to ge</w:t>
      </w:r>
      <w:r>
        <w:t>neralise about</w:t>
      </w:r>
      <w:r w:rsidRPr="009252B5">
        <w:t xml:space="preserve"> the relevance of post-hoc exploratory analysis to the real population for any individual being treated, and therein lie</w:t>
      </w:r>
      <w:r w:rsidR="0013210E">
        <w:t>s</w:t>
      </w:r>
      <w:r w:rsidRPr="009252B5">
        <w:t xml:space="preserve"> a problem with external validity</w:t>
      </w:r>
      <w:r w:rsidRPr="00EC7544">
        <w:t xml:space="preserve">. </w:t>
      </w:r>
    </w:p>
    <w:p w:rsidR="006537AB" w:rsidRPr="00EC7544" w:rsidRDefault="006537AB" w:rsidP="00E0107D">
      <w:pPr>
        <w:pStyle w:val="Numberbullet0"/>
        <w:numPr>
          <w:ilvl w:val="0"/>
          <w:numId w:val="5"/>
        </w:numPr>
        <w:rPr>
          <w:i/>
        </w:rPr>
      </w:pPr>
      <w:r w:rsidRPr="00EC7544">
        <w:rPr>
          <w:i/>
        </w:rPr>
        <w:t>Regarding</w:t>
      </w:r>
      <w:r w:rsidR="00883B7A" w:rsidRPr="00EC7544">
        <w:rPr>
          <w:i/>
        </w:rPr>
        <w:t xml:space="preserve"> Figure 17</w:t>
      </w:r>
      <w:r w:rsidRPr="00EC7544">
        <w:rPr>
          <w:i/>
        </w:rPr>
        <w:t>, it was requested that the y-axis intervals are increased to spread the data and that there are regular interval markings included on both the x- and y-axes. It is requested that the added markings on the x-axis specifically include 15 kg and 20 kg. The applicant is requested to comment on the possibility that correlation of age and weight may not be so reliable in the study population in the weight range 15 to 20 kg, and that this may potentially be problematic when using the 15 – 20 kg range in formulating dosage recommendations for the age group 6 to 8 years.</w:t>
      </w:r>
    </w:p>
    <w:p w:rsidR="006537AB" w:rsidRDefault="006537AB" w:rsidP="00EC7544">
      <w:r w:rsidRPr="009B6D30">
        <w:rPr>
          <w:rStyle w:val="Heading5Char"/>
          <w:rFonts w:eastAsia="Cambria"/>
        </w:rPr>
        <w:t>Applicant’s response:</w:t>
      </w:r>
      <w:r>
        <w:t xml:space="preserve"> the observed relationship between age and body weight for patients weighing 15 to &lt; 20 kg fits well with the linear regression. </w:t>
      </w:r>
    </w:p>
    <w:p w:rsidR="006537AB" w:rsidRDefault="006537AB" w:rsidP="00EC7544">
      <w:pPr>
        <w:pStyle w:val="FigureTitle"/>
      </w:pPr>
      <w:r>
        <w:t xml:space="preserve">Figure </w:t>
      </w:r>
      <w:r w:rsidR="0013210E">
        <w:t>1</w:t>
      </w:r>
      <w:r>
        <w:t>. Relationship between Baseline Age and Body Weight for Pediatric Patients in Study AI424020</w:t>
      </w:r>
      <w:r>
        <w:rPr>
          <w:noProof/>
          <w:lang w:eastAsia="en-AU"/>
        </w:rPr>
        <w:drawing>
          <wp:inline distT="0" distB="0" distL="0" distR="0">
            <wp:extent cx="4772025" cy="2533650"/>
            <wp:effectExtent l="19050" t="0" r="9525" b="0"/>
            <wp:docPr id="123" name="Picture 84" descr="Figure 1. Relationship between Baseline Age and Body Weight for Pediatric Patients in Study AI42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7" cstate="print"/>
                    <a:srcRect b="2920"/>
                    <a:stretch>
                      <a:fillRect/>
                    </a:stretch>
                  </pic:blipFill>
                  <pic:spPr bwMode="auto">
                    <a:xfrm>
                      <a:off x="0" y="0"/>
                      <a:ext cx="4772025" cy="2533650"/>
                    </a:xfrm>
                    <a:prstGeom prst="rect">
                      <a:avLst/>
                    </a:prstGeom>
                    <a:noFill/>
                    <a:ln w="9525">
                      <a:noFill/>
                      <a:miter lim="800000"/>
                      <a:headEnd/>
                      <a:tailEnd/>
                    </a:ln>
                  </pic:spPr>
                </pic:pic>
              </a:graphicData>
            </a:graphic>
          </wp:inline>
        </w:drawing>
      </w:r>
    </w:p>
    <w:p w:rsidR="006537AB" w:rsidRDefault="006537AB" w:rsidP="00EC7544">
      <w:r w:rsidRPr="009B6D30">
        <w:rPr>
          <w:rStyle w:val="Heading5Char"/>
          <w:rFonts w:eastAsia="Cambria"/>
        </w:rPr>
        <w:t xml:space="preserve">Evaluator comment: </w:t>
      </w:r>
      <w:r>
        <w:t xml:space="preserve">The applicant’s conclusion is agreed. The linear relationship appears to hold from about 15–60 kg, the weight range applicable to the application but is less obvious below 15 kg and above 60 kg and the slope may have been different if the results had not been included. </w:t>
      </w:r>
    </w:p>
    <w:p w:rsidR="006537AB" w:rsidRPr="00EC7544" w:rsidRDefault="006537AB" w:rsidP="00E0107D">
      <w:pPr>
        <w:pStyle w:val="Numberbullet0"/>
        <w:numPr>
          <w:ilvl w:val="0"/>
          <w:numId w:val="6"/>
        </w:numPr>
        <w:rPr>
          <w:i/>
        </w:rPr>
      </w:pPr>
      <w:r w:rsidRPr="00EC7544">
        <w:rPr>
          <w:i/>
        </w:rPr>
        <w:t>The previous evaluator considered that the clearance by age and weight below the age of 8 became too unpredictable to warrant approval of dosage instructions for children of that age as illustrated in</w:t>
      </w:r>
      <w:r w:rsidR="00883B7A" w:rsidRPr="00EC7544">
        <w:rPr>
          <w:i/>
        </w:rPr>
        <w:t xml:space="preserve"> Figure 2 below</w:t>
      </w:r>
      <w:r w:rsidRPr="00EC7544">
        <w:rPr>
          <w:i/>
        </w:rPr>
        <w:t xml:space="preserve">. Can the applicant state with certainty the time point at which age becomes less of a determinant of PK results? </w:t>
      </w:r>
    </w:p>
    <w:p w:rsidR="006537AB" w:rsidRDefault="006537AB" w:rsidP="00EC7544">
      <w:pPr>
        <w:pStyle w:val="FigureTitle"/>
      </w:pPr>
      <w:bookmarkStart w:id="77" w:name="_Ref331770641"/>
      <w:bookmarkStart w:id="78" w:name="_Ref331770644"/>
      <w:r>
        <w:t xml:space="preserve">Figure </w:t>
      </w:r>
      <w:r w:rsidR="0013210E">
        <w:t>2</w:t>
      </w:r>
      <w:bookmarkEnd w:id="77"/>
      <w:r>
        <w:t>. Oral clearance per kilogram</w:t>
      </w:r>
      <w:r w:rsidR="00AA403D">
        <w:t xml:space="preserve"> versus </w:t>
      </w:r>
      <w:r>
        <w:t>Age for ATV capsule with RTV</w:t>
      </w:r>
      <w:bookmarkEnd w:id="78"/>
    </w:p>
    <w:p w:rsidR="006537AB" w:rsidRDefault="006537AB" w:rsidP="00EC7544">
      <w:pPr>
        <w:rPr>
          <w:noProof/>
        </w:rPr>
      </w:pPr>
      <w:r>
        <w:rPr>
          <w:noProof/>
          <w:lang w:eastAsia="en-AU"/>
        </w:rPr>
        <w:drawing>
          <wp:inline distT="0" distB="0" distL="0" distR="0">
            <wp:extent cx="4506595" cy="2538095"/>
            <wp:effectExtent l="19050" t="0" r="8255" b="0"/>
            <wp:docPr id="124" name="Picture 85" descr="Figure 2. Oral clearance per kilogram vs. Age for ATV capsule with 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cstate="print"/>
                    <a:srcRect/>
                    <a:stretch>
                      <a:fillRect/>
                    </a:stretch>
                  </pic:blipFill>
                  <pic:spPr bwMode="auto">
                    <a:xfrm>
                      <a:off x="0" y="0"/>
                      <a:ext cx="4506595" cy="2538095"/>
                    </a:xfrm>
                    <a:prstGeom prst="rect">
                      <a:avLst/>
                    </a:prstGeom>
                    <a:noFill/>
                    <a:ln w="9525">
                      <a:noFill/>
                      <a:miter lim="800000"/>
                      <a:headEnd/>
                      <a:tailEnd/>
                    </a:ln>
                  </pic:spPr>
                </pic:pic>
              </a:graphicData>
            </a:graphic>
          </wp:inline>
        </w:drawing>
      </w:r>
    </w:p>
    <w:p w:rsidR="006537AB" w:rsidRDefault="006537AB" w:rsidP="00EC7544">
      <w:r>
        <w:rPr>
          <w:b/>
          <w:i/>
        </w:rPr>
        <w:t>Applicant’s response</w:t>
      </w:r>
      <w:r>
        <w:t>: There was no response.</w:t>
      </w:r>
    </w:p>
    <w:p w:rsidR="006537AB" w:rsidRDefault="006537AB" w:rsidP="00EC7544">
      <w:r w:rsidRPr="00485B8B">
        <w:rPr>
          <w:b/>
          <w:i/>
        </w:rPr>
        <w:t>Evaluator comment</w:t>
      </w:r>
      <w:r>
        <w:rPr>
          <w:i/>
        </w:rPr>
        <w:t>:</w:t>
      </w:r>
      <w:r>
        <w:t xml:space="preserve"> The response was not satisfactory. Subsequent numbering in the sponsor’s responses versus the TGA question document reflects the absence of the applicant’s mention of this question.</w:t>
      </w:r>
      <w:r w:rsidR="00FE1311">
        <w:rPr>
          <w:rStyle w:val="FootnoteReference"/>
        </w:rPr>
        <w:footnoteReference w:id="7"/>
      </w:r>
      <w:r>
        <w:t xml:space="preserve"> </w:t>
      </w:r>
    </w:p>
    <w:p w:rsidR="006537AB" w:rsidRPr="00EC7544" w:rsidRDefault="00883B7A" w:rsidP="00E0107D">
      <w:pPr>
        <w:pStyle w:val="Numberbullet0"/>
        <w:numPr>
          <w:ilvl w:val="0"/>
          <w:numId w:val="7"/>
        </w:numPr>
        <w:rPr>
          <w:i/>
        </w:rPr>
      </w:pPr>
      <w:r w:rsidRPr="00EC7544">
        <w:rPr>
          <w:i/>
        </w:rPr>
        <w:t xml:space="preserve">Figures 18-20. </w:t>
      </w:r>
      <w:r w:rsidR="006537AB" w:rsidRPr="00EC7544">
        <w:rPr>
          <w:i/>
        </w:rPr>
        <w:t>Please give actual values for the medians, interquartile range and 5</w:t>
      </w:r>
      <w:r w:rsidR="006537AB" w:rsidRPr="00EC7544">
        <w:rPr>
          <w:i/>
          <w:vertAlign w:val="superscript"/>
        </w:rPr>
        <w:t>th</w:t>
      </w:r>
      <w:r w:rsidR="006537AB" w:rsidRPr="00EC7544">
        <w:rPr>
          <w:i/>
        </w:rPr>
        <w:t xml:space="preserve"> and 95% percentiles and for adults, the 10</w:t>
      </w:r>
      <w:r w:rsidR="006537AB" w:rsidRPr="00EC7544">
        <w:rPr>
          <w:i/>
          <w:vertAlign w:val="superscript"/>
        </w:rPr>
        <w:t>th</w:t>
      </w:r>
      <w:r w:rsidR="006537AB" w:rsidRPr="00EC7544">
        <w:rPr>
          <w:i/>
        </w:rPr>
        <w:t>, 50</w:t>
      </w:r>
      <w:r w:rsidR="006537AB" w:rsidRPr="00EC7544">
        <w:rPr>
          <w:i/>
          <w:vertAlign w:val="superscript"/>
        </w:rPr>
        <w:t>th</w:t>
      </w:r>
      <w:r w:rsidR="006537AB" w:rsidRPr="00EC7544">
        <w:rPr>
          <w:i/>
        </w:rPr>
        <w:t xml:space="preserve"> and 90</w:t>
      </w:r>
      <w:r w:rsidR="006537AB" w:rsidRPr="00EC7544">
        <w:rPr>
          <w:i/>
          <w:vertAlign w:val="superscript"/>
        </w:rPr>
        <w:t>th</w:t>
      </w:r>
      <w:r w:rsidR="006537AB" w:rsidRPr="00EC7544">
        <w:rPr>
          <w:i/>
        </w:rPr>
        <w:t xml:space="preserve"> percentiles and indicate whether the adult parameters are based on observations or simulation. </w:t>
      </w:r>
    </w:p>
    <w:p w:rsidR="006537AB" w:rsidRDefault="006537AB" w:rsidP="00EC7544">
      <w:r w:rsidRPr="009B6D30">
        <w:rPr>
          <w:rStyle w:val="Heading5Char"/>
          <w:rFonts w:eastAsia="Cambria"/>
        </w:rPr>
        <w:t xml:space="preserve">Applicant response: </w:t>
      </w:r>
      <w:r>
        <w:t>Simulation results ATV C24, C</w:t>
      </w:r>
      <w:r w:rsidRPr="009B6D30">
        <w:rPr>
          <w:vertAlign w:val="subscript"/>
        </w:rPr>
        <w:t>max</w:t>
      </w:r>
      <w:r>
        <w:t>, and AUCs are provided in</w:t>
      </w:r>
      <w:r w:rsidR="00883B7A">
        <w:t xml:space="preserve"> Table 9</w:t>
      </w:r>
      <w:r>
        <w:t>-</w:t>
      </w:r>
      <w:r w:rsidR="0013210E">
        <w:t>11</w:t>
      </w:r>
      <w:r>
        <w:t xml:space="preserve">. These tables correspond to </w:t>
      </w:r>
      <w:r w:rsidR="00883B7A">
        <w:t>Figures 18-20</w:t>
      </w:r>
      <w:r>
        <w:t>, respectively</w:t>
      </w:r>
      <w:r w:rsidR="0013210E">
        <w:t xml:space="preserve"> (in </w:t>
      </w:r>
      <w:r w:rsidR="00B7021E">
        <w:t>Attachment 2)</w:t>
      </w:r>
      <w:r>
        <w:t>.</w:t>
      </w:r>
      <w:r w:rsidR="00A10B25">
        <w:t xml:space="preserve"> </w:t>
      </w:r>
      <w:r>
        <w:t xml:space="preserve">Adult exposures described below are simulated as well; however, a posterior predictive check that was performed using the final PPK model demonstrated that predicted adult exposures treated with ATV/RTV agreed very well with observed ATV exposures. </w:t>
      </w:r>
    </w:p>
    <w:p w:rsidR="006537AB" w:rsidRDefault="006537AB" w:rsidP="00EC7544">
      <w:pPr>
        <w:pStyle w:val="TableTitle"/>
      </w:pPr>
      <w:r>
        <w:t xml:space="preserve">Table </w:t>
      </w:r>
      <w:r w:rsidR="0013210E">
        <w:t>9</w:t>
      </w:r>
      <w:r>
        <w:t>. Simulation Results for ATV C24 (ng/mL) at the Proposed Capsule Doses for Pediatric Patients Receiving ATV/RTV</w:t>
      </w:r>
    </w:p>
    <w:p w:rsidR="006537AB" w:rsidRDefault="006537AB" w:rsidP="00EC7544">
      <w:r>
        <w:rPr>
          <w:noProof/>
          <w:lang w:eastAsia="en-AU"/>
        </w:rPr>
        <w:drawing>
          <wp:inline distT="0" distB="0" distL="0" distR="0">
            <wp:extent cx="5925185" cy="1315720"/>
            <wp:effectExtent l="19050" t="0" r="0" b="0"/>
            <wp:docPr id="125" name="Picture 86" descr="Table 9. Simulation Results for ATV C24 (ng/mL) at the Proposed Capsule Doses for Pediatric Patients Receiving ATV/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cstate="print"/>
                    <a:srcRect/>
                    <a:stretch>
                      <a:fillRect/>
                    </a:stretch>
                  </pic:blipFill>
                  <pic:spPr bwMode="auto">
                    <a:xfrm>
                      <a:off x="0" y="0"/>
                      <a:ext cx="5925185" cy="1315720"/>
                    </a:xfrm>
                    <a:prstGeom prst="rect">
                      <a:avLst/>
                    </a:prstGeom>
                    <a:noFill/>
                    <a:ln w="9525">
                      <a:noFill/>
                      <a:miter lim="800000"/>
                      <a:headEnd/>
                      <a:tailEnd/>
                    </a:ln>
                  </pic:spPr>
                </pic:pic>
              </a:graphicData>
            </a:graphic>
          </wp:inline>
        </w:drawing>
      </w:r>
    </w:p>
    <w:p w:rsidR="006537AB" w:rsidRDefault="006537AB" w:rsidP="00EC7544">
      <w:pPr>
        <w:pStyle w:val="TableTitle"/>
      </w:pPr>
      <w:r>
        <w:t xml:space="preserve">Table </w:t>
      </w:r>
      <w:r w:rsidR="0013210E">
        <w:t>10</w:t>
      </w:r>
      <w:r>
        <w:t>. Simulation Results for ATV C</w:t>
      </w:r>
      <w:r w:rsidRPr="009B6D30">
        <w:rPr>
          <w:vertAlign w:val="subscript"/>
        </w:rPr>
        <w:t>max</w:t>
      </w:r>
      <w:r>
        <w:t xml:space="preserve"> (ng/mL) at the Proposed Capsule Doses for Paediatric Patients Receiving ATV/RTV</w:t>
      </w:r>
    </w:p>
    <w:p w:rsidR="006537AB" w:rsidRDefault="006537AB" w:rsidP="00EC7544">
      <w:r>
        <w:rPr>
          <w:noProof/>
          <w:lang w:eastAsia="en-AU"/>
        </w:rPr>
        <w:drawing>
          <wp:inline distT="0" distB="0" distL="0" distR="0">
            <wp:extent cx="5925185" cy="1735455"/>
            <wp:effectExtent l="19050" t="0" r="0" b="0"/>
            <wp:docPr id="126" name="Picture 87" descr="Table 10. Simulation Results for ATV Cmax (ng/mL) at the Proposed Capsule Doses for Paediatric Patients Receiving ATV/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0" cstate="print"/>
                    <a:srcRect/>
                    <a:stretch>
                      <a:fillRect/>
                    </a:stretch>
                  </pic:blipFill>
                  <pic:spPr bwMode="auto">
                    <a:xfrm>
                      <a:off x="0" y="0"/>
                      <a:ext cx="5925185" cy="1735455"/>
                    </a:xfrm>
                    <a:prstGeom prst="rect">
                      <a:avLst/>
                    </a:prstGeom>
                    <a:noFill/>
                    <a:ln w="9525">
                      <a:noFill/>
                      <a:miter lim="800000"/>
                      <a:headEnd/>
                      <a:tailEnd/>
                    </a:ln>
                  </pic:spPr>
                </pic:pic>
              </a:graphicData>
            </a:graphic>
          </wp:inline>
        </w:drawing>
      </w:r>
    </w:p>
    <w:p w:rsidR="006537AB" w:rsidRDefault="006537AB" w:rsidP="00EC7544">
      <w:pPr>
        <w:pStyle w:val="TableTitle"/>
      </w:pPr>
      <w:r>
        <w:t xml:space="preserve">Table </w:t>
      </w:r>
      <w:r w:rsidR="0013210E">
        <w:t>11</w:t>
      </w:r>
      <w:r>
        <w:t>. Simulation Results for ATV AUCs (ng/mL.h) at the Proposed Capsule Doses for Paediatric Patients Receiving ATV/RTV</w:t>
      </w:r>
    </w:p>
    <w:p w:rsidR="006537AB" w:rsidRDefault="006537AB" w:rsidP="00EC7544">
      <w:r>
        <w:rPr>
          <w:noProof/>
          <w:lang w:eastAsia="en-AU"/>
        </w:rPr>
        <w:drawing>
          <wp:inline distT="0" distB="0" distL="0" distR="0">
            <wp:extent cx="5915660" cy="1922145"/>
            <wp:effectExtent l="19050" t="0" r="8890" b="0"/>
            <wp:docPr id="127" name="Picture 88" descr="Table 11. Simulation Results for ATV AUCs (ng/mL.h) at the Proposed Capsule Doses for Paediatric Patients Receiving ATV/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1" cstate="print"/>
                    <a:srcRect/>
                    <a:stretch>
                      <a:fillRect/>
                    </a:stretch>
                  </pic:blipFill>
                  <pic:spPr bwMode="auto">
                    <a:xfrm>
                      <a:off x="0" y="0"/>
                      <a:ext cx="5915660" cy="1922145"/>
                    </a:xfrm>
                    <a:prstGeom prst="rect">
                      <a:avLst/>
                    </a:prstGeom>
                    <a:noFill/>
                    <a:ln w="9525">
                      <a:noFill/>
                      <a:miter lim="800000"/>
                      <a:headEnd/>
                      <a:tailEnd/>
                    </a:ln>
                  </pic:spPr>
                </pic:pic>
              </a:graphicData>
            </a:graphic>
          </wp:inline>
        </w:drawing>
      </w:r>
    </w:p>
    <w:p w:rsidR="006537AB" w:rsidRPr="00146F81" w:rsidRDefault="006537AB" w:rsidP="00B417C9">
      <w:r w:rsidRPr="00EC7544">
        <w:rPr>
          <w:b/>
        </w:rPr>
        <w:t>Evaluator comment:</w:t>
      </w:r>
      <w:r>
        <w:t xml:space="preserve"> In the sponsor’s submission it is stated that the “</w:t>
      </w:r>
      <w:r w:rsidRPr="00B417C9">
        <w:rPr>
          <w:i/>
        </w:rPr>
        <w:t>refined weight band separation allows patients in both weight bands to achieve ATV geometric mean C24 levels &gt; 500 ng/mL, and thus can be recommended for both treatment-naive and -experienced paediatric patients.</w:t>
      </w:r>
      <w:r>
        <w:t>” For children less than 15 kg to &lt; 20, the 10</w:t>
      </w:r>
      <w:r>
        <w:rPr>
          <w:vertAlign w:val="superscript"/>
        </w:rPr>
        <w:t>th</w:t>
      </w:r>
      <w:r>
        <w:t xml:space="preserve"> percentile is less than the minimum suggested target trough concentration of 150 ng/mL according to the Guidelines for the Use of Antiretroviral Agents in Pediatric HIV Infection</w:t>
      </w:r>
      <w:r>
        <w:rPr>
          <w:rStyle w:val="FootnoteReference"/>
        </w:rPr>
        <w:footnoteReference w:id="8"/>
      </w:r>
      <w:r>
        <w:t>. For children 20 to &lt; 40 kg, the 10</w:t>
      </w:r>
      <w:r>
        <w:rPr>
          <w:vertAlign w:val="superscript"/>
        </w:rPr>
        <w:t>th</w:t>
      </w:r>
      <w:r>
        <w:t xml:space="preserve"> percentile is just on this value. As C</w:t>
      </w:r>
      <w:r w:rsidRPr="00802F69">
        <w:rPr>
          <w:vertAlign w:val="subscript"/>
        </w:rPr>
        <w:t>min</w:t>
      </w:r>
      <w:r>
        <w:t xml:space="preserve"> is considered and important efficacy parameter, these predicted values are considered to be a potential problem for some children even in the absence of non-compliance. The simulated C</w:t>
      </w:r>
      <w:r w:rsidRPr="00802F69">
        <w:rPr>
          <w:vertAlign w:val="subscript"/>
        </w:rPr>
        <w:t>max</w:t>
      </w:r>
      <w:r>
        <w:t xml:space="preserve"> values for the paediatric patients are higher than for the adults with potential for toxicity at highest perce</w:t>
      </w:r>
      <w:r w:rsidRPr="00146F81">
        <w:t>ntiles.</w:t>
      </w:r>
    </w:p>
    <w:p w:rsidR="006537AB" w:rsidRPr="00EC7544" w:rsidRDefault="00883B7A" w:rsidP="00E0107D">
      <w:pPr>
        <w:pStyle w:val="Numberbullet0"/>
        <w:numPr>
          <w:ilvl w:val="0"/>
          <w:numId w:val="8"/>
        </w:numPr>
        <w:rPr>
          <w:i/>
        </w:rPr>
      </w:pPr>
      <w:r w:rsidRPr="00EC7544">
        <w:rPr>
          <w:i/>
        </w:rPr>
        <w:t xml:space="preserve">Figure 21 </w:t>
      </w:r>
      <w:r w:rsidR="006537AB" w:rsidRPr="00EC7544">
        <w:rPr>
          <w:i/>
        </w:rPr>
        <w:t xml:space="preserve">is hard to see and prints poorly. The sponsor is requested to supply the figure in a form in which a printed, black and white version is clear and in which there are bigger intervals on the y-axis which only needs to include values to about 150%. </w:t>
      </w:r>
    </w:p>
    <w:p w:rsidR="006537AB" w:rsidRPr="00802F69" w:rsidRDefault="006537AB" w:rsidP="00EC7544">
      <w:r w:rsidRPr="00146F81">
        <w:rPr>
          <w:rStyle w:val="Heading5Char"/>
          <w:rFonts w:eastAsia="Cambria"/>
        </w:rPr>
        <w:t>Evaluator comment:</w:t>
      </w:r>
      <w:r w:rsidRPr="00146F81">
        <w:rPr>
          <w:rFonts w:ascii="TimesNewRomanPSMT" w:hAnsi="TimesNewRomanPSMT"/>
          <w:i/>
        </w:rPr>
        <w:t xml:space="preserve"> </w:t>
      </w:r>
      <w:r w:rsidRPr="00146F81">
        <w:t>T</w:t>
      </w:r>
      <w:r w:rsidRPr="00802F69">
        <w:t xml:space="preserve">he </w:t>
      </w:r>
      <w:r w:rsidR="00B7021E">
        <w:t xml:space="preserve">revised </w:t>
      </w:r>
      <w:r w:rsidRPr="00802F69">
        <w:t xml:space="preserve">figure provided </w:t>
      </w:r>
      <w:r w:rsidR="00B932B9">
        <w:t xml:space="preserve">by the sponsor in </w:t>
      </w:r>
      <w:r w:rsidR="00B7021E">
        <w:t xml:space="preserve">their </w:t>
      </w:r>
      <w:r w:rsidR="00B932B9">
        <w:t xml:space="preserve">response </w:t>
      </w:r>
      <w:r w:rsidRPr="00802F69">
        <w:t>has been included in the CER</w:t>
      </w:r>
      <w:r>
        <w:t xml:space="preserve"> </w:t>
      </w:r>
      <w:r w:rsidR="00B932B9">
        <w:t>(</w:t>
      </w:r>
      <w:r w:rsidR="00883B7A">
        <w:t>Figure 21</w:t>
      </w:r>
      <w:r w:rsidR="00D011E7">
        <w:t xml:space="preserve"> Attachment 2</w:t>
      </w:r>
      <w:r w:rsidR="00B932B9">
        <w:t>)</w:t>
      </w:r>
      <w:r w:rsidRPr="00802F69">
        <w:t xml:space="preserve">. </w:t>
      </w:r>
    </w:p>
    <w:p w:rsidR="006537AB" w:rsidRPr="00EC7544" w:rsidRDefault="00883B7A" w:rsidP="00E0107D">
      <w:pPr>
        <w:pStyle w:val="Numberbullet0"/>
        <w:numPr>
          <w:ilvl w:val="0"/>
          <w:numId w:val="9"/>
        </w:numPr>
        <w:rPr>
          <w:i/>
        </w:rPr>
      </w:pPr>
      <w:r w:rsidRPr="00EC7544">
        <w:rPr>
          <w:i/>
        </w:rPr>
        <w:t>Figures 23 and 24.</w:t>
      </w:r>
      <w:r w:rsidR="006537AB" w:rsidRPr="00EC7544">
        <w:rPr>
          <w:i/>
        </w:rPr>
        <w:t xml:space="preserve"> It is requested that similar figures are provided with the RTV dose of 100 mg included to the y-axis. An explanation is requested as to why are there so few values for what appears to be in proximity to the 100 mg dose. Can the applicant state with certainty that the results for 100 mg are not biased by lack of data at the proposed dose of 100 mg?</w:t>
      </w:r>
    </w:p>
    <w:p w:rsidR="006537AB" w:rsidRDefault="006537AB" w:rsidP="00EC7544">
      <w:bookmarkStart w:id="79" w:name="_Toc334449896"/>
      <w:r w:rsidRPr="00802F69">
        <w:rPr>
          <w:rStyle w:val="Heading5Char"/>
          <w:rFonts w:eastAsia="Cambria"/>
        </w:rPr>
        <w:t>Applicant’s response:</w:t>
      </w:r>
      <w:r>
        <w:t xml:space="preserve"> There are few values at RTV dose of 100 mg in the figures, because a majority of these subjects had a body surface area (BSA) &lt; 1, resulting in a RTV dose &lt; 100 mg. The revised figures showing the 100 mg dose are included in </w:t>
      </w:r>
      <w:r w:rsidR="00883B7A">
        <w:t>Figures 3</w:t>
      </w:r>
      <w:r>
        <w:t>-</w:t>
      </w:r>
      <w:r w:rsidR="00B7021E">
        <w:t>5 below</w:t>
      </w:r>
      <w:r>
        <w:t xml:space="preserve">. </w:t>
      </w:r>
    </w:p>
    <w:p w:rsidR="006537AB" w:rsidRDefault="006537AB" w:rsidP="00EC7544">
      <w:r>
        <w:t>There were no apparent trends observed for the ATV C0 and F</w:t>
      </w:r>
      <w:r w:rsidRPr="00802F69">
        <w:rPr>
          <w:vertAlign w:val="subscript"/>
        </w:rPr>
        <w:t>rel</w:t>
      </w:r>
      <w:r>
        <w:t xml:space="preserve"> parameters with regard to RTV dose. However, there does appear to be a trend between RTV dose and ATV CL/F. Upon further investigation of this relationship, the final CL/F sub-model was expanded to include RTV dose effect. The results suggest that RTV dose explains little of the RTV co medication effect after adjusting for the other covariate effects, such as body weight and dichotomous RTV co medication effect (that is, presence or absence of RTV). Taken together, the dose of RTV does not impact exposure to ATV.</w:t>
      </w:r>
    </w:p>
    <w:p w:rsidR="006537AB" w:rsidRDefault="006537AB" w:rsidP="00EC7544">
      <w:pPr>
        <w:pStyle w:val="FigureTitle"/>
      </w:pPr>
      <w:bookmarkStart w:id="80" w:name="_Ref342384708"/>
      <w:bookmarkStart w:id="81" w:name="_Ref342384717"/>
      <w:r>
        <w:t>Figure</w:t>
      </w:r>
      <w:bookmarkEnd w:id="80"/>
      <w:r w:rsidR="00883B7A">
        <w:t xml:space="preserve"> 3</w:t>
      </w:r>
      <w:r>
        <w:t>. Individual Predictions of ATV C0 versus RTV Dose in Pediatric Patients Receiving ATV/RTV</w:t>
      </w:r>
      <w:bookmarkEnd w:id="81"/>
    </w:p>
    <w:p w:rsidR="006537AB" w:rsidRDefault="006537AB" w:rsidP="00EC7544">
      <w:r>
        <w:rPr>
          <w:noProof/>
          <w:lang w:eastAsia="en-AU"/>
        </w:rPr>
        <w:drawing>
          <wp:inline distT="0" distB="0" distL="0" distR="0">
            <wp:extent cx="4478655" cy="2659380"/>
            <wp:effectExtent l="19050" t="0" r="0" b="0"/>
            <wp:docPr id="128" name="Picture 89" descr="Figure 3. Individual Predictions of ATV C0 versus RTV Dose in Pediatric Patients Receiving ATV/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2" cstate="print"/>
                    <a:srcRect t="1721" b="2583"/>
                    <a:stretch>
                      <a:fillRect/>
                    </a:stretch>
                  </pic:blipFill>
                  <pic:spPr bwMode="auto">
                    <a:xfrm>
                      <a:off x="0" y="0"/>
                      <a:ext cx="4478655" cy="2659380"/>
                    </a:xfrm>
                    <a:prstGeom prst="rect">
                      <a:avLst/>
                    </a:prstGeom>
                    <a:noFill/>
                    <a:ln w="9525">
                      <a:noFill/>
                      <a:miter lim="800000"/>
                      <a:headEnd/>
                      <a:tailEnd/>
                    </a:ln>
                  </pic:spPr>
                </pic:pic>
              </a:graphicData>
            </a:graphic>
          </wp:inline>
        </w:drawing>
      </w:r>
    </w:p>
    <w:p w:rsidR="006537AB" w:rsidRDefault="006537AB" w:rsidP="00EC7544">
      <w:pPr>
        <w:pStyle w:val="FigureTitle"/>
      </w:pPr>
      <w:r>
        <w:t xml:space="preserve">Figure </w:t>
      </w:r>
      <w:r w:rsidR="00B7021E">
        <w:t>4.</w:t>
      </w:r>
      <w:r>
        <w:t xml:space="preserve"> Individual Predictions of ATV Frel versus RTV Dose in Pediatric Patients Receiving ATV/RTV </w:t>
      </w:r>
    </w:p>
    <w:p w:rsidR="000239F5" w:rsidRDefault="006537AB" w:rsidP="00EC7544">
      <w:r>
        <w:rPr>
          <w:noProof/>
          <w:lang w:eastAsia="en-AU"/>
        </w:rPr>
        <w:drawing>
          <wp:inline distT="0" distB="0" distL="0" distR="0">
            <wp:extent cx="4488180" cy="2631440"/>
            <wp:effectExtent l="19050" t="0" r="7620" b="0"/>
            <wp:docPr id="129" name="Picture 90" descr="Figure 4. Individual Predictions of ATV Frel versus RTV Dose in Pediatric Patients Receiving ATV/RT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3" cstate="print"/>
                    <a:srcRect t="3337" b="4172"/>
                    <a:stretch>
                      <a:fillRect/>
                    </a:stretch>
                  </pic:blipFill>
                  <pic:spPr bwMode="auto">
                    <a:xfrm>
                      <a:off x="0" y="0"/>
                      <a:ext cx="4488180" cy="2631440"/>
                    </a:xfrm>
                    <a:prstGeom prst="rect">
                      <a:avLst/>
                    </a:prstGeom>
                    <a:noFill/>
                    <a:ln w="9525">
                      <a:noFill/>
                      <a:miter lim="800000"/>
                      <a:headEnd/>
                      <a:tailEnd/>
                    </a:ln>
                  </pic:spPr>
                </pic:pic>
              </a:graphicData>
            </a:graphic>
          </wp:inline>
        </w:drawing>
      </w:r>
    </w:p>
    <w:p w:rsidR="000239F5" w:rsidRDefault="000239F5">
      <w:pPr>
        <w:spacing w:before="0" w:after="200" w:line="0" w:lineRule="auto"/>
      </w:pPr>
      <w:r>
        <w:br w:type="page"/>
      </w:r>
    </w:p>
    <w:p w:rsidR="006537AB" w:rsidRDefault="006537AB" w:rsidP="00EC7544">
      <w:pPr>
        <w:pStyle w:val="FigureTitle"/>
      </w:pPr>
      <w:bookmarkStart w:id="82" w:name="_Ref342384711"/>
      <w:bookmarkStart w:id="83" w:name="_Ref342384720"/>
      <w:r>
        <w:t xml:space="preserve">Figure </w:t>
      </w:r>
      <w:bookmarkEnd w:id="82"/>
      <w:r w:rsidR="00B7021E">
        <w:t>5</w:t>
      </w:r>
      <w:r>
        <w:t>. Individual Predictions of ATV CL/F versus RTV Dose in Pediatric Patients Receiving ATV/RTV</w:t>
      </w:r>
      <w:bookmarkEnd w:id="83"/>
    </w:p>
    <w:p w:rsidR="006537AB" w:rsidRDefault="006537AB" w:rsidP="00EC7544">
      <w:r>
        <w:rPr>
          <w:noProof/>
          <w:lang w:eastAsia="en-AU"/>
        </w:rPr>
        <w:drawing>
          <wp:inline distT="0" distB="0" distL="0" distR="0">
            <wp:extent cx="4232910" cy="2638425"/>
            <wp:effectExtent l="19050" t="0" r="0" b="0"/>
            <wp:docPr id="130" name="Picture 91" descr="Figure 5. Individual Predictions of ATV CL/F versus RTV Dose in Pediatric Patients Receiving ATV/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4" cstate="print"/>
                    <a:srcRect l="3684" t="2583" b="1721"/>
                    <a:stretch>
                      <a:fillRect/>
                    </a:stretch>
                  </pic:blipFill>
                  <pic:spPr bwMode="auto">
                    <a:xfrm>
                      <a:off x="0" y="0"/>
                      <a:ext cx="4232910" cy="2638425"/>
                    </a:xfrm>
                    <a:prstGeom prst="rect">
                      <a:avLst/>
                    </a:prstGeom>
                    <a:noFill/>
                    <a:ln w="9525">
                      <a:noFill/>
                      <a:miter lim="800000"/>
                      <a:headEnd/>
                      <a:tailEnd/>
                    </a:ln>
                  </pic:spPr>
                </pic:pic>
              </a:graphicData>
            </a:graphic>
          </wp:inline>
        </w:drawing>
      </w:r>
    </w:p>
    <w:p w:rsidR="006537AB" w:rsidRDefault="006537AB" w:rsidP="00EC7544">
      <w:r w:rsidRPr="00802F69">
        <w:rPr>
          <w:rStyle w:val="Heading5Char"/>
          <w:rFonts w:eastAsia="Cambria"/>
        </w:rPr>
        <w:t>Evaluator comment:</w:t>
      </w:r>
      <w:r>
        <w:t xml:space="preserve"> The argument is accepted as being relevant to the data analysed. The data for 100 mg is very limited. The majority of results are for doses less than 80 mg. The data analysed are not particularly relevant to the proposed dosage which will be a uniform 100 mg for children weighing as little as 15 kg. It cannot be considered certain that if patients had actually been treated with RTV 100 mg, the dichotomous effect would have been the same.</w:t>
      </w:r>
      <w:r w:rsidR="00883B7A">
        <w:t xml:space="preserve"> Figures 31-33</w:t>
      </w:r>
      <w:r>
        <w:t xml:space="preserve"> inform the reader that the doses of RTV were 100 mg. This appears not be to so.</w:t>
      </w:r>
    </w:p>
    <w:p w:rsidR="006537AB" w:rsidRDefault="006537AB" w:rsidP="00EC7544">
      <w:pPr>
        <w:pStyle w:val="Heading4"/>
      </w:pPr>
      <w:r>
        <w:t xml:space="preserve">Pharmacokinetics </w:t>
      </w:r>
      <w:r w:rsidR="00EC7544">
        <w:t>s</w:t>
      </w:r>
      <w:r>
        <w:t>tudy AI424020</w:t>
      </w:r>
      <w:bookmarkEnd w:id="79"/>
    </w:p>
    <w:p w:rsidR="006537AB" w:rsidRPr="003C61B6" w:rsidRDefault="003C61B6" w:rsidP="003C61B6">
      <w:pPr>
        <w:tabs>
          <w:tab w:val="left" w:pos="426"/>
        </w:tabs>
        <w:ind w:left="426"/>
        <w:rPr>
          <w:i/>
        </w:rPr>
      </w:pPr>
      <w:r w:rsidRPr="003C61B6">
        <w:rPr>
          <w:i/>
        </w:rPr>
        <w:t>7.</w:t>
      </w:r>
      <w:r w:rsidRPr="003C61B6">
        <w:rPr>
          <w:i/>
        </w:rPr>
        <w:tab/>
      </w:r>
      <w:r w:rsidR="006537AB" w:rsidRPr="003C61B6">
        <w:rPr>
          <w:i/>
        </w:rPr>
        <w:t xml:space="preserve">Please provide </w:t>
      </w:r>
      <w:proofErr w:type="spellStart"/>
      <w:r w:rsidR="006537AB" w:rsidRPr="003C61B6">
        <w:rPr>
          <w:i/>
        </w:rPr>
        <w:t>C</w:t>
      </w:r>
      <w:r w:rsidR="006537AB" w:rsidRPr="003C61B6">
        <w:rPr>
          <w:i/>
          <w:vertAlign w:val="subscript"/>
        </w:rPr>
        <w:t>max</w:t>
      </w:r>
      <w:proofErr w:type="spellEnd"/>
      <w:r w:rsidR="006537AB" w:rsidRPr="003C61B6">
        <w:rPr>
          <w:i/>
        </w:rPr>
        <w:t xml:space="preserve">, </w:t>
      </w:r>
      <w:proofErr w:type="spellStart"/>
      <w:r w:rsidR="006537AB" w:rsidRPr="003C61B6">
        <w:rPr>
          <w:i/>
        </w:rPr>
        <w:t>C</w:t>
      </w:r>
      <w:r w:rsidR="006537AB" w:rsidRPr="003C61B6">
        <w:rPr>
          <w:i/>
          <w:vertAlign w:val="subscript"/>
        </w:rPr>
        <w:t>min</w:t>
      </w:r>
      <w:proofErr w:type="spellEnd"/>
      <w:r w:rsidR="006537AB" w:rsidRPr="003C61B6">
        <w:rPr>
          <w:i/>
          <w:vertAlign w:val="subscript"/>
        </w:rPr>
        <w:t xml:space="preserve"> </w:t>
      </w:r>
      <w:r w:rsidR="006537AB" w:rsidRPr="003C61B6">
        <w:rPr>
          <w:i/>
        </w:rPr>
        <w:t xml:space="preserve">and AUC data for patients weighing 32-40 kg administered the proposed ATV/RTV dose of 200/100 mg, including figures similar to </w:t>
      </w:r>
      <w:r w:rsidR="00883B7A" w:rsidRPr="003C61B6">
        <w:rPr>
          <w:i/>
        </w:rPr>
        <w:t>Figures 27 and 28</w:t>
      </w:r>
      <w:r w:rsidR="006537AB" w:rsidRPr="003C61B6">
        <w:rPr>
          <w:i/>
        </w:rPr>
        <w:t>.</w:t>
      </w:r>
    </w:p>
    <w:p w:rsidR="006537AB" w:rsidRDefault="006537AB" w:rsidP="003C61B6">
      <w:r w:rsidRPr="00802F69">
        <w:rPr>
          <w:rStyle w:val="Heading5Char"/>
          <w:rFonts w:eastAsia="Cambria"/>
        </w:rPr>
        <w:t xml:space="preserve">Applicant’s response: </w:t>
      </w:r>
      <w:r>
        <w:t>ATV PK parameters (C</w:t>
      </w:r>
      <w:r w:rsidRPr="00802F69">
        <w:rPr>
          <w:vertAlign w:val="subscript"/>
        </w:rPr>
        <w:t>max</w:t>
      </w:r>
      <w:r>
        <w:t>, AUC, and C24) for patients weighing ≥ 32 to &lt;40 kg that received ATV/RTV of 200/100 mg or higher are provided in</w:t>
      </w:r>
      <w:r w:rsidR="00D011E7">
        <w:t xml:space="preserve"> Table 12</w:t>
      </w:r>
      <w:r>
        <w:t>. A comparison of ATV C24 from subjects who received ATV/RTV 200/100 mg or higher for at least 24 weeks relative to the projected C24 is provided in</w:t>
      </w:r>
      <w:r w:rsidR="00883B7A">
        <w:t xml:space="preserve"> Figure 6</w:t>
      </w:r>
      <w:r>
        <w:t xml:space="preserve">. </w:t>
      </w:r>
      <w:r w:rsidR="00883B7A">
        <w:t>Figure 7</w:t>
      </w:r>
      <w:r>
        <w:t xml:space="preserve"> depicts a scatter plot of ATV C</w:t>
      </w:r>
      <w:r w:rsidRPr="00802F69">
        <w:rPr>
          <w:vertAlign w:val="subscript"/>
        </w:rPr>
        <w:t>max</w:t>
      </w:r>
      <w:r>
        <w:t xml:space="preserve"> in subjects with body weights 32 kg to &lt; 40 kg treated with ATV/RTV 200/100 or higher for at least 24 weeks.</w:t>
      </w:r>
    </w:p>
    <w:p w:rsidR="006537AB" w:rsidRDefault="006537AB" w:rsidP="003C61B6">
      <w:pPr>
        <w:pStyle w:val="TableTitle"/>
      </w:pPr>
      <w:bookmarkStart w:id="84" w:name="_Ref342459675"/>
      <w:bookmarkStart w:id="85" w:name="_Ref342459678"/>
      <w:r>
        <w:t xml:space="preserve">Table </w:t>
      </w:r>
      <w:bookmarkEnd w:id="84"/>
      <w:r w:rsidR="00B7021E">
        <w:t>12</w:t>
      </w:r>
      <w:r>
        <w:t>. Atazanavir PK Parameters for Subjects 32 to &lt; 40 kg that Received ATV/RTV 200/100 mg or Higher</w:t>
      </w:r>
      <w:bookmarkEnd w:id="85"/>
    </w:p>
    <w:p w:rsidR="006537AB" w:rsidRDefault="006537AB" w:rsidP="003C61B6">
      <w:r>
        <w:rPr>
          <w:noProof/>
          <w:lang w:eastAsia="en-AU"/>
        </w:rPr>
        <w:drawing>
          <wp:inline distT="0" distB="0" distL="0" distR="0">
            <wp:extent cx="4562475" cy="3172460"/>
            <wp:effectExtent l="19050" t="0" r="9525" b="0"/>
            <wp:docPr id="131" name="Picture 92" descr="Table 12. Atazanavir PK Parameters for Subjects 32 to &lt; 40 kg that Received ATV/RTV 200/100 mg or Hig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5" cstate="print"/>
                    <a:srcRect/>
                    <a:stretch>
                      <a:fillRect/>
                    </a:stretch>
                  </pic:blipFill>
                  <pic:spPr bwMode="auto">
                    <a:xfrm>
                      <a:off x="0" y="0"/>
                      <a:ext cx="4562475" cy="3172460"/>
                    </a:xfrm>
                    <a:prstGeom prst="rect">
                      <a:avLst/>
                    </a:prstGeom>
                    <a:noFill/>
                    <a:ln w="9525">
                      <a:noFill/>
                      <a:miter lim="800000"/>
                      <a:headEnd/>
                      <a:tailEnd/>
                    </a:ln>
                  </pic:spPr>
                </pic:pic>
              </a:graphicData>
            </a:graphic>
          </wp:inline>
        </w:drawing>
      </w:r>
    </w:p>
    <w:p w:rsidR="006537AB" w:rsidRDefault="006537AB" w:rsidP="003C61B6">
      <w:pPr>
        <w:pStyle w:val="FigureTitle"/>
      </w:pPr>
      <w:bookmarkStart w:id="86" w:name="_Ref342461831"/>
      <w:bookmarkStart w:id="87" w:name="_Ref342461834"/>
      <w:r>
        <w:t xml:space="preserve">Figure </w:t>
      </w:r>
      <w:bookmarkEnd w:id="86"/>
      <w:r w:rsidR="00B7021E">
        <w:t>6.</w:t>
      </w:r>
      <w:r>
        <w:t xml:space="preserve"> ATV C24 from Subjects on ATV/RTV ≥200/100 mg for ≥t 24 Weeks Relative to the Projected C24</w:t>
      </w:r>
      <w:bookmarkEnd w:id="87"/>
    </w:p>
    <w:p w:rsidR="000239F5" w:rsidRDefault="006537AB" w:rsidP="003C61B6">
      <w:pPr>
        <w:rPr>
          <w:sz w:val="16"/>
          <w:szCs w:val="16"/>
        </w:rPr>
      </w:pPr>
      <w:r>
        <w:rPr>
          <w:noProof/>
          <w:lang w:eastAsia="en-AU"/>
        </w:rPr>
        <w:drawing>
          <wp:inline distT="0" distB="0" distL="0" distR="0">
            <wp:extent cx="3723005" cy="2453640"/>
            <wp:effectExtent l="19050" t="0" r="0" b="0"/>
            <wp:docPr id="132" name="Picture 93" descr="Figure 6. ATV C24 from Subjects on ATV/RTV ≥200/100 mg for ≥t 24 Weeks Relative to the Projected 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6" cstate="print"/>
                    <a:srcRect t="3006" b="5260"/>
                    <a:stretch>
                      <a:fillRect/>
                    </a:stretch>
                  </pic:blipFill>
                  <pic:spPr bwMode="auto">
                    <a:xfrm>
                      <a:off x="0" y="0"/>
                      <a:ext cx="3723005" cy="2453640"/>
                    </a:xfrm>
                    <a:prstGeom prst="rect">
                      <a:avLst/>
                    </a:prstGeom>
                    <a:noFill/>
                    <a:ln w="9525">
                      <a:noFill/>
                      <a:miter lim="800000"/>
                      <a:headEnd/>
                      <a:tailEnd/>
                    </a:ln>
                  </pic:spPr>
                </pic:pic>
              </a:graphicData>
            </a:graphic>
          </wp:inline>
        </w:drawing>
      </w:r>
    </w:p>
    <w:p w:rsidR="000239F5" w:rsidRDefault="000239F5">
      <w:pPr>
        <w:spacing w:before="0" w:after="200" w:line="0" w:lineRule="auto"/>
        <w:rPr>
          <w:sz w:val="16"/>
          <w:szCs w:val="16"/>
        </w:rPr>
      </w:pPr>
      <w:r>
        <w:rPr>
          <w:sz w:val="16"/>
          <w:szCs w:val="16"/>
        </w:rPr>
        <w:br w:type="page"/>
      </w:r>
    </w:p>
    <w:p w:rsidR="006537AB" w:rsidRDefault="006537AB" w:rsidP="003C61B6">
      <w:pPr>
        <w:pStyle w:val="FigureTitle"/>
      </w:pPr>
      <w:bookmarkStart w:id="88" w:name="_Ref342462695"/>
      <w:bookmarkStart w:id="89" w:name="_Ref342462698"/>
      <w:r>
        <w:t xml:space="preserve">Figure </w:t>
      </w:r>
      <w:r w:rsidR="00B7021E">
        <w:t>7</w:t>
      </w:r>
      <w:bookmarkEnd w:id="88"/>
      <w:r>
        <w:t>. ATV C</w:t>
      </w:r>
      <w:r w:rsidRPr="00802F69">
        <w:rPr>
          <w:vertAlign w:val="subscript"/>
        </w:rPr>
        <w:t>max</w:t>
      </w:r>
      <w:r>
        <w:t xml:space="preserve"> for participants 32 kg to &lt;40 kg Treated with ATV/RTV 200/100 for at Least 24 Weeks</w:t>
      </w:r>
      <w:bookmarkEnd w:id="89"/>
    </w:p>
    <w:p w:rsidR="006537AB" w:rsidRDefault="006537AB" w:rsidP="003C61B6">
      <w:r>
        <w:rPr>
          <w:noProof/>
          <w:lang w:eastAsia="en-AU"/>
        </w:rPr>
        <w:drawing>
          <wp:inline distT="0" distB="0" distL="0" distR="0">
            <wp:extent cx="4264025" cy="2659380"/>
            <wp:effectExtent l="19050" t="0" r="3175" b="0"/>
            <wp:docPr id="133" name="Picture 94" descr="Figure 7. ATV Cmax for participants 32 kg to &lt;40 kg Treated with ATV/RTV 200/100 for at Least 24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7" cstate="print"/>
                    <a:srcRect t="2185" b="728"/>
                    <a:stretch>
                      <a:fillRect/>
                    </a:stretch>
                  </pic:blipFill>
                  <pic:spPr bwMode="auto">
                    <a:xfrm>
                      <a:off x="0" y="0"/>
                      <a:ext cx="4264025" cy="2659380"/>
                    </a:xfrm>
                    <a:prstGeom prst="rect">
                      <a:avLst/>
                    </a:prstGeom>
                    <a:noFill/>
                    <a:ln w="9525">
                      <a:noFill/>
                      <a:miter lim="800000"/>
                      <a:headEnd/>
                      <a:tailEnd/>
                    </a:ln>
                  </pic:spPr>
                </pic:pic>
              </a:graphicData>
            </a:graphic>
          </wp:inline>
        </w:drawing>
      </w:r>
    </w:p>
    <w:p w:rsidR="006537AB" w:rsidRDefault="006537AB" w:rsidP="003C61B6">
      <w:r w:rsidRPr="00802F69">
        <w:rPr>
          <w:rStyle w:val="Heading5Char"/>
          <w:rFonts w:eastAsia="Cambria"/>
        </w:rPr>
        <w:t>Evaluator comment:</w:t>
      </w:r>
      <w:r w:rsidRPr="001E6AAF">
        <w:rPr>
          <w:b/>
        </w:rPr>
        <w:t xml:space="preserve"> </w:t>
      </w:r>
      <w:r>
        <w:t xml:space="preserve">The results for the proposed dose were requested, that is, 200 mg and not greater than 200 </w:t>
      </w:r>
      <w:r w:rsidRPr="00883B7A">
        <w:t xml:space="preserve">mg. From </w:t>
      </w:r>
      <w:r w:rsidR="00D011E7">
        <w:t>Table 24</w:t>
      </w:r>
      <w:r w:rsidRPr="00883B7A">
        <w:t xml:space="preserve"> it is evident that only 2 of the 11 participants appeared to have PK levels on dose 200 mg that were a</w:t>
      </w:r>
      <w:r w:rsidRPr="00B7021E">
        <w:t>cceptable to the investigators. The other participants needed higher doses while remaining in the sa</w:t>
      </w:r>
      <w:r>
        <w:t xml:space="preserve">me weight category. Looking at </w:t>
      </w:r>
      <w:r w:rsidR="00883B7A">
        <w:t xml:space="preserve">Figure 6 </w:t>
      </w:r>
      <w:r>
        <w:t>and</w:t>
      </w:r>
      <w:r w:rsidR="00883B7A">
        <w:t xml:space="preserve"> Figure 7</w:t>
      </w:r>
      <w:r>
        <w:t xml:space="preserve">, the results appear lower than for adults and these results are preponderantly for participants on doses higher than the proposed dose. However, PK results for children weighing 25 to &lt; 32 kg may be higher than those depicted for the range 32 to 40 kg. The results support the proposition that children between 32 and 40 kg may require ATV doses higher than 200 mg. </w:t>
      </w:r>
    </w:p>
    <w:p w:rsidR="00325A21" w:rsidRPr="00325A21" w:rsidRDefault="00325A21" w:rsidP="003C61B6">
      <w:pPr>
        <w:pStyle w:val="Heading5"/>
        <w:rPr>
          <w:rFonts w:ascii="Arial" w:hAnsi="Arial"/>
        </w:rPr>
      </w:pPr>
      <w:bookmarkStart w:id="90" w:name="_Toc330714175"/>
      <w:bookmarkStart w:id="91" w:name="_Toc336357867"/>
      <w:bookmarkStart w:id="92" w:name="_Toc367276227"/>
      <w:r>
        <w:t xml:space="preserve">POPPK evaluator </w:t>
      </w:r>
      <w:r w:rsidR="003C61B6">
        <w:t>q</w:t>
      </w:r>
      <w:r w:rsidRPr="00325A21">
        <w:t>uestion</w:t>
      </w:r>
      <w:bookmarkEnd w:id="90"/>
      <w:bookmarkEnd w:id="91"/>
    </w:p>
    <w:p w:rsidR="00325A21" w:rsidRPr="00325A21" w:rsidRDefault="00325A21" w:rsidP="003C61B6">
      <w:r w:rsidRPr="00325A21">
        <w:t>Has the Sponsor performed a population PKPD study using the data from the analysis evaluated in the present report and pharmacodynamic endpoints such as HIV RNA and CD4 cell counts?</w:t>
      </w:r>
    </w:p>
    <w:p w:rsidR="006537AB" w:rsidRDefault="006537AB" w:rsidP="003C61B6">
      <w:pPr>
        <w:pStyle w:val="Heading3"/>
      </w:pPr>
      <w:bookmarkStart w:id="93" w:name="_Toc371428592"/>
      <w:r>
        <w:t>Pharmacodynamics</w:t>
      </w:r>
      <w:bookmarkEnd w:id="92"/>
      <w:bookmarkEnd w:id="93"/>
    </w:p>
    <w:p w:rsidR="006537AB" w:rsidRPr="00586F98" w:rsidRDefault="006537AB" w:rsidP="003C61B6">
      <w:pPr>
        <w:rPr>
          <w:lang w:eastAsia="ja-JP"/>
        </w:rPr>
      </w:pPr>
      <w:r>
        <w:rPr>
          <w:lang w:eastAsia="ja-JP"/>
        </w:rPr>
        <w:t>No questions listed.</w:t>
      </w:r>
    </w:p>
    <w:p w:rsidR="00704C6C" w:rsidRDefault="006537AB" w:rsidP="003C61B6">
      <w:pPr>
        <w:pStyle w:val="Heading4"/>
      </w:pPr>
      <w:bookmarkStart w:id="94" w:name="_Toc367276228"/>
      <w:r>
        <w:t>Efficacy</w:t>
      </w:r>
      <w:bookmarkEnd w:id="94"/>
      <w:r w:rsidR="00325A21">
        <w:t xml:space="preserve"> </w:t>
      </w:r>
    </w:p>
    <w:p w:rsidR="006537AB" w:rsidRDefault="00325A21" w:rsidP="003C61B6">
      <w:pPr>
        <w:pStyle w:val="Heading5"/>
      </w:pPr>
      <w:r>
        <w:t xml:space="preserve">Clinical </w:t>
      </w:r>
      <w:r w:rsidR="003C61B6">
        <w:t>e</w:t>
      </w:r>
      <w:r>
        <w:t>valuator</w:t>
      </w:r>
    </w:p>
    <w:p w:rsidR="006537AB" w:rsidRDefault="006537AB" w:rsidP="003C61B6">
      <w:pPr>
        <w:pStyle w:val="Heading6"/>
      </w:pPr>
      <w:r>
        <w:t>Study AI424020</w:t>
      </w:r>
    </w:p>
    <w:p w:rsidR="006537AB" w:rsidRPr="003C61B6" w:rsidRDefault="006537AB" w:rsidP="00E0107D">
      <w:pPr>
        <w:pStyle w:val="Numberbullet0"/>
        <w:numPr>
          <w:ilvl w:val="0"/>
          <w:numId w:val="10"/>
        </w:numPr>
        <w:rPr>
          <w:i/>
        </w:rPr>
      </w:pPr>
      <w:r w:rsidRPr="003C61B6">
        <w:rPr>
          <w:i/>
        </w:rPr>
        <w:t xml:space="preserve">What is the definition of “completion of treatment” as used in </w:t>
      </w:r>
      <w:r w:rsidR="00883B7A" w:rsidRPr="003C61B6">
        <w:rPr>
          <w:i/>
        </w:rPr>
        <w:t>Table 7</w:t>
      </w:r>
      <w:r w:rsidRPr="003C61B6">
        <w:rPr>
          <w:i/>
        </w:rPr>
        <w:t>? Was there a protocol defined time at which treatment was considered complete?</w:t>
      </w:r>
    </w:p>
    <w:p w:rsidR="006537AB" w:rsidRDefault="006537AB" w:rsidP="003C61B6">
      <w:r w:rsidRPr="00802F69">
        <w:rPr>
          <w:rStyle w:val="Heading5Char"/>
          <w:rFonts w:eastAsia="Cambria"/>
        </w:rPr>
        <w:t>Applicant’s response:</w:t>
      </w:r>
      <w:r>
        <w:t xml:space="preserve"> The table referenced is a disposition table that was based upon the reason for discontinuation reported by the study investigator on the case report form (CRF). The protocol specifies that the treatment duration is intended to be up to 96 weeks after the last subject is enrolled. However, since the reporting of ‘completed treatment’ was determined by the study investigator, it is possible that a study investigator may have chosen ‘completed treatment,’ as long as the individual subject reached 96 weeks.</w:t>
      </w:r>
    </w:p>
    <w:p w:rsidR="006537AB" w:rsidRDefault="006537AB" w:rsidP="003C61B6">
      <w:r>
        <w:t>In the US, per protocol version 6, Section 6.41, once the last accrued subject reached 96 weeks of treatment in Step I, all subjects successfully remaining on study were considered to have completed treatment, if they were taking the ATV capsule, and then came off study. If they were taking ATV powder, which is not yet available off study, then they continued on study and did not complete treatment. Additionally, and as allowed per protocol, eligible subjects in the US who switched from powder to capsule formulation after reaching at least 96 weeks of treatment were also considered as completed treatment and came off study.</w:t>
      </w:r>
    </w:p>
    <w:p w:rsidR="006537AB" w:rsidRDefault="006537AB" w:rsidP="003C61B6">
      <w:r>
        <w:t>Subjects in South Africa did not complete treatment per protocol and continued on study, since ATV was not yet available outside of study treatment in South Africa.</w:t>
      </w:r>
    </w:p>
    <w:p w:rsidR="006537AB" w:rsidRPr="00325A21" w:rsidRDefault="006537AB" w:rsidP="003C61B6">
      <w:r w:rsidRPr="00802F69">
        <w:rPr>
          <w:rStyle w:val="Heading5Char"/>
          <w:rFonts w:eastAsia="Cambria"/>
        </w:rPr>
        <w:t xml:space="preserve">Evaluator comment: </w:t>
      </w:r>
      <w:r w:rsidRPr="00325A21">
        <w:t>Response accepted.</w:t>
      </w:r>
    </w:p>
    <w:p w:rsidR="006537AB" w:rsidRPr="003C61B6" w:rsidRDefault="006537AB" w:rsidP="00E0107D">
      <w:pPr>
        <w:pStyle w:val="Numberbullet0"/>
        <w:numPr>
          <w:ilvl w:val="0"/>
          <w:numId w:val="11"/>
        </w:numPr>
        <w:rPr>
          <w:i/>
        </w:rPr>
      </w:pPr>
      <w:r w:rsidRPr="003C61B6">
        <w:rPr>
          <w:i/>
        </w:rPr>
        <w:t xml:space="preserve">With respect to </w:t>
      </w:r>
      <w:r w:rsidR="00883B7A" w:rsidRPr="003C61B6">
        <w:rPr>
          <w:i/>
        </w:rPr>
        <w:t>Table 12</w:t>
      </w:r>
      <w:r w:rsidRPr="003C61B6">
        <w:rPr>
          <w:i/>
        </w:rPr>
        <w:t>: Why was the VR greater at Week 96 than at Week 48 for ATV/RTV treated ARV-experienced patients? Was this likely to have been because of change of background therapy with resultant possibility of confounding?</w:t>
      </w:r>
    </w:p>
    <w:p w:rsidR="006537AB" w:rsidRDefault="006537AB" w:rsidP="003C61B6">
      <w:r w:rsidRPr="00802F69">
        <w:rPr>
          <w:rStyle w:val="Heading5Char"/>
          <w:rFonts w:eastAsia="Cambria"/>
        </w:rPr>
        <w:t xml:space="preserve">Applicant response: </w:t>
      </w:r>
      <w:r>
        <w:t>Any changes in NRTI use would not have likely contributed to any differences in efficacy. Protocol Section 5.1.2 states: “</w:t>
      </w:r>
      <w:r w:rsidRPr="003C61B6">
        <w:rPr>
          <w:i/>
        </w:rPr>
        <w:t>Subjects will remain on the chosen NRTIs for the duration of the study, with the exception of NRTI-related toxicity. If a subject is experiencing toxicity believed to be related to one of the NRTIs, but not the study drug, and has completed at least 52 weeks on study, and is virologically suppressed, the site may contact the team about substituting an alternative NRTI.</w:t>
      </w:r>
      <w:r>
        <w:t>”</w:t>
      </w:r>
    </w:p>
    <w:p w:rsidR="006537AB" w:rsidRDefault="006537AB" w:rsidP="003C61B6">
      <w:r>
        <w:t>The protocol specified that subjects who met the criteria for treatment failure could have remained in the study if the protocol chairperson, investigator, and subject (or parent/legal guardian) agreed that it was in the subject’s best interest to remain on his/her current treatment. This approach allowed patients experiencing viral rebounds due to adherence issues to stay on study while the investigator worked on improving the patient adherence issue.</w:t>
      </w:r>
    </w:p>
    <w:p w:rsidR="006537AB" w:rsidRDefault="006537AB" w:rsidP="003C61B6">
      <w:r>
        <w:t>According to the US Department of Health and Human Services 2011 guidelines, inadequate adherence is the most common cause of antiretroviral treatment (ART) failure. Not all instances of treatment failure require an immediate change in therapy; careful assessment, especially of adherence, is required to evaluate the aetiology of the treatment failure and determine an appropriate management strategy. If poor adherence was the cause of treatment failure and circumstances leading to poor adherence have not been adequately addressed, changing the ARV regimen may not be advisable.</w:t>
      </w:r>
    </w:p>
    <w:p w:rsidR="006537AB" w:rsidRDefault="006537AB" w:rsidP="003C61B6">
      <w:r>
        <w:t>Many subjects in this study had considerable prior treatment experience and compromised NRTI activity leading to slower decay in HIV RNA and increased potential for viral blips, as seen at Week 48. All subjects who were not suppressed at Week 48 but showed viral suppression at Week 96 had been virologically suppressed before Week 48 and subsequently experienced a virologic blip or rebound around Week 48 followed by re-suppression:</w:t>
      </w:r>
    </w:p>
    <w:p w:rsidR="006537AB" w:rsidRDefault="006537AB" w:rsidP="003C61B6">
      <w:r>
        <w:t xml:space="preserve">For ATV/RTV treated ARV-experienced subjects regarding: </w:t>
      </w:r>
    </w:p>
    <w:p w:rsidR="006537AB" w:rsidRDefault="006537AB" w:rsidP="003C61B6">
      <w:pPr>
        <w:pStyle w:val="Heading7"/>
      </w:pPr>
      <w:r w:rsidRPr="00270E88">
        <w:t>VL &lt; 400 c/mL</w:t>
      </w:r>
      <w:r>
        <w:t>:</w:t>
      </w:r>
    </w:p>
    <w:p w:rsidR="006537AB" w:rsidRPr="003C61B6" w:rsidRDefault="006537AB" w:rsidP="003C61B6">
      <w:pPr>
        <w:pStyle w:val="ListBullet"/>
      </w:pPr>
      <w:r w:rsidRPr="003C61B6">
        <w:t>Eight had HIV RNA &lt; 400 c/</w:t>
      </w:r>
      <w:proofErr w:type="spellStart"/>
      <w:r w:rsidRPr="003C61B6">
        <w:t>mL</w:t>
      </w:r>
      <w:proofErr w:type="spellEnd"/>
      <w:r w:rsidRPr="003C61B6">
        <w:t xml:space="preserve"> at Week 48; all of them had HIV RNA &lt; 400 c/</w:t>
      </w:r>
      <w:proofErr w:type="spellStart"/>
      <w:r w:rsidRPr="003C61B6">
        <w:t>mL</w:t>
      </w:r>
      <w:proofErr w:type="spellEnd"/>
      <w:r w:rsidRPr="003C61B6">
        <w:t xml:space="preserve"> at Week 96.</w:t>
      </w:r>
    </w:p>
    <w:p w:rsidR="006537AB" w:rsidRPr="003C61B6" w:rsidRDefault="006537AB" w:rsidP="003C61B6">
      <w:pPr>
        <w:pStyle w:val="ListBullet"/>
      </w:pPr>
      <w:r w:rsidRPr="003C61B6">
        <w:t>In addition, 2 more subjects had HIV RNA &gt; 400 c/</w:t>
      </w:r>
      <w:proofErr w:type="spellStart"/>
      <w:r w:rsidRPr="003C61B6">
        <w:t>mL</w:t>
      </w:r>
      <w:proofErr w:type="spellEnd"/>
      <w:r w:rsidRPr="003C61B6">
        <w:t xml:space="preserve"> at Week 48 but suppressed to &lt; 400 c/</w:t>
      </w:r>
      <w:proofErr w:type="spellStart"/>
      <w:r w:rsidRPr="003C61B6">
        <w:t>mL</w:t>
      </w:r>
      <w:proofErr w:type="spellEnd"/>
      <w:r w:rsidRPr="003C61B6">
        <w:t xml:space="preserve"> at Week 96.</w:t>
      </w:r>
    </w:p>
    <w:p w:rsidR="006537AB" w:rsidRPr="003C61B6" w:rsidRDefault="006537AB" w:rsidP="003C61B6">
      <w:pPr>
        <w:pStyle w:val="ListBullet"/>
      </w:pPr>
      <w:r w:rsidRPr="003C61B6">
        <w:t>One was suppressed &lt; 50 c/</w:t>
      </w:r>
      <w:proofErr w:type="spellStart"/>
      <w:r w:rsidRPr="003C61B6">
        <w:t>mL</w:t>
      </w:r>
      <w:proofErr w:type="spellEnd"/>
      <w:r w:rsidRPr="003C61B6">
        <w:t xml:space="preserve"> at Day 294 and had a blip (1,446 c/</w:t>
      </w:r>
      <w:proofErr w:type="spellStart"/>
      <w:r w:rsidRPr="003C61B6">
        <w:t>mL</w:t>
      </w:r>
      <w:proofErr w:type="spellEnd"/>
      <w:r w:rsidRPr="003C61B6">
        <w:t>) at Week 48, followed by VL &lt; 50 c/</w:t>
      </w:r>
      <w:proofErr w:type="spellStart"/>
      <w:r w:rsidRPr="003C61B6">
        <w:t>mL</w:t>
      </w:r>
      <w:proofErr w:type="spellEnd"/>
      <w:r w:rsidRPr="003C61B6">
        <w:t xml:space="preserve"> at the next visit.</w:t>
      </w:r>
    </w:p>
    <w:p w:rsidR="006537AB" w:rsidRPr="003C61B6" w:rsidRDefault="006537AB" w:rsidP="003C61B6">
      <w:pPr>
        <w:pStyle w:val="ListBullet"/>
      </w:pPr>
      <w:r w:rsidRPr="003C61B6">
        <w:t>One was suppressed &lt; 50 c/</w:t>
      </w:r>
      <w:proofErr w:type="spellStart"/>
      <w:r w:rsidRPr="003C61B6">
        <w:t>mL</w:t>
      </w:r>
      <w:proofErr w:type="spellEnd"/>
      <w:r w:rsidRPr="003C61B6">
        <w:t xml:space="preserve"> at Day 111 and experienced a rebound at Day 295 (203 c/</w:t>
      </w:r>
      <w:proofErr w:type="spellStart"/>
      <w:r w:rsidRPr="003C61B6">
        <w:t>mL</w:t>
      </w:r>
      <w:proofErr w:type="spellEnd"/>
      <w:r w:rsidRPr="003C61B6">
        <w:t>); the subject re-suppressed to &lt; 400 c/</w:t>
      </w:r>
      <w:proofErr w:type="spellStart"/>
      <w:r w:rsidRPr="003C61B6">
        <w:t>mL</w:t>
      </w:r>
      <w:proofErr w:type="spellEnd"/>
      <w:r w:rsidRPr="003C61B6">
        <w:t xml:space="preserve"> at Day 449 (85 c/</w:t>
      </w:r>
      <w:proofErr w:type="spellStart"/>
      <w:r w:rsidRPr="003C61B6">
        <w:t>mL</w:t>
      </w:r>
      <w:proofErr w:type="spellEnd"/>
      <w:r w:rsidRPr="003C61B6">
        <w:t>) and to &lt; 50 c/</w:t>
      </w:r>
      <w:proofErr w:type="spellStart"/>
      <w:r w:rsidRPr="003C61B6">
        <w:t>mL</w:t>
      </w:r>
      <w:proofErr w:type="spellEnd"/>
      <w:r w:rsidRPr="003C61B6">
        <w:t xml:space="preserve"> at Day 505.</w:t>
      </w:r>
    </w:p>
    <w:p w:rsidR="006537AB" w:rsidRPr="003C61B6" w:rsidRDefault="006537AB" w:rsidP="003C61B6">
      <w:pPr>
        <w:pStyle w:val="ListBullet"/>
      </w:pPr>
      <w:r w:rsidRPr="003C61B6">
        <w:t>None of the 10 subjects had background therapy changes.</w:t>
      </w:r>
    </w:p>
    <w:p w:rsidR="006537AB" w:rsidRDefault="006537AB" w:rsidP="003C61B6">
      <w:pPr>
        <w:pStyle w:val="Heading7"/>
      </w:pPr>
      <w:r w:rsidRPr="00270E88">
        <w:t>&lt; 50 c/</w:t>
      </w:r>
      <w:proofErr w:type="spellStart"/>
      <w:r w:rsidRPr="00270E88">
        <w:t>mL</w:t>
      </w:r>
      <w:proofErr w:type="spellEnd"/>
      <w:r>
        <w:t>:</w:t>
      </w:r>
    </w:p>
    <w:p w:rsidR="006537AB" w:rsidRPr="003C61B6" w:rsidRDefault="006537AB" w:rsidP="003C61B6">
      <w:pPr>
        <w:pStyle w:val="ListBullet"/>
      </w:pPr>
      <w:r w:rsidRPr="003C61B6">
        <w:t>Six subjects had HIV RNA &lt; 50 c/</w:t>
      </w:r>
      <w:proofErr w:type="spellStart"/>
      <w:r w:rsidRPr="003C61B6">
        <w:t>mL</w:t>
      </w:r>
      <w:proofErr w:type="spellEnd"/>
      <w:r w:rsidRPr="003C61B6">
        <w:t xml:space="preserve"> at Week 48, 5 of them were also &lt; 50 c/</w:t>
      </w:r>
      <w:proofErr w:type="spellStart"/>
      <w:r w:rsidRPr="003C61B6">
        <w:t>mL</w:t>
      </w:r>
      <w:proofErr w:type="spellEnd"/>
      <w:r w:rsidRPr="003C61B6">
        <w:t xml:space="preserve"> at Week 96 was no longer &lt; 50 c/</w:t>
      </w:r>
      <w:proofErr w:type="spellStart"/>
      <w:r w:rsidRPr="003C61B6">
        <w:t>mL</w:t>
      </w:r>
      <w:proofErr w:type="spellEnd"/>
      <w:r w:rsidRPr="003C61B6">
        <w:t xml:space="preserve"> at Week 96.</w:t>
      </w:r>
    </w:p>
    <w:p w:rsidR="006537AB" w:rsidRPr="003C61B6" w:rsidRDefault="006537AB" w:rsidP="003C61B6">
      <w:pPr>
        <w:pStyle w:val="ListBullet"/>
      </w:pPr>
      <w:r w:rsidRPr="003C61B6">
        <w:t>In addition, 3 subjects who were not &lt; 50 c/</w:t>
      </w:r>
      <w:proofErr w:type="spellStart"/>
      <w:r w:rsidRPr="003C61B6">
        <w:t>mL</w:t>
      </w:r>
      <w:proofErr w:type="spellEnd"/>
      <w:r w:rsidRPr="003C61B6">
        <w:t xml:space="preserve"> at Week 48 became &lt; 50 c/</w:t>
      </w:r>
      <w:proofErr w:type="spellStart"/>
      <w:r w:rsidRPr="003C61B6">
        <w:t>mL</w:t>
      </w:r>
      <w:proofErr w:type="spellEnd"/>
      <w:r w:rsidRPr="003C61B6">
        <w:t xml:space="preserve"> at Week 96, which results in 8 subjects who suppressed to &lt; 50 c/</w:t>
      </w:r>
      <w:proofErr w:type="spellStart"/>
      <w:r w:rsidRPr="003C61B6">
        <w:t>mL</w:t>
      </w:r>
      <w:proofErr w:type="spellEnd"/>
      <w:r w:rsidRPr="003C61B6">
        <w:t xml:space="preserve"> at Week 96.</w:t>
      </w:r>
    </w:p>
    <w:p w:rsidR="006537AB" w:rsidRPr="003C61B6" w:rsidRDefault="006537AB" w:rsidP="003C61B6">
      <w:pPr>
        <w:pStyle w:val="ListBullet2"/>
      </w:pPr>
      <w:r w:rsidRPr="003C61B6">
        <w:t>One was suppressed &lt; 50 c/</w:t>
      </w:r>
      <w:proofErr w:type="spellStart"/>
      <w:r w:rsidRPr="003C61B6">
        <w:t>mL</w:t>
      </w:r>
      <w:proofErr w:type="spellEnd"/>
      <w:r w:rsidRPr="003C61B6">
        <w:t xml:space="preserve"> at Day 57 and experienced blips to 1,801 c/</w:t>
      </w:r>
      <w:proofErr w:type="spellStart"/>
      <w:r w:rsidRPr="003C61B6">
        <w:t>mL</w:t>
      </w:r>
      <w:proofErr w:type="spellEnd"/>
      <w:r w:rsidRPr="003C61B6">
        <w:t xml:space="preserve"> at Day 301 and 134 c/</w:t>
      </w:r>
      <w:proofErr w:type="spellStart"/>
      <w:r w:rsidRPr="003C61B6">
        <w:t>mL</w:t>
      </w:r>
      <w:proofErr w:type="spellEnd"/>
      <w:r w:rsidRPr="003C61B6">
        <w:t xml:space="preserve"> at Week 48; he re-suppressed to &lt; 50 c/</w:t>
      </w:r>
      <w:proofErr w:type="spellStart"/>
      <w:r w:rsidRPr="003C61B6">
        <w:t>mL</w:t>
      </w:r>
      <w:proofErr w:type="spellEnd"/>
      <w:r w:rsidRPr="003C61B6">
        <w:t xml:space="preserve"> at the next visit.</w:t>
      </w:r>
    </w:p>
    <w:p w:rsidR="006537AB" w:rsidRPr="003C61B6" w:rsidRDefault="006537AB" w:rsidP="003C61B6">
      <w:pPr>
        <w:pStyle w:val="ListBullet2"/>
      </w:pPr>
      <w:r w:rsidRPr="003C61B6">
        <w:t>One was suppressed &lt; 50 c/</w:t>
      </w:r>
      <w:proofErr w:type="spellStart"/>
      <w:r w:rsidRPr="003C61B6">
        <w:t>mL</w:t>
      </w:r>
      <w:proofErr w:type="spellEnd"/>
      <w:r w:rsidRPr="003C61B6">
        <w:t xml:space="preserve"> at Day 113 and experienced a rebound at Day 225 (132 c/</w:t>
      </w:r>
      <w:proofErr w:type="spellStart"/>
      <w:r w:rsidRPr="003C61B6">
        <w:t>mL</w:t>
      </w:r>
      <w:proofErr w:type="spellEnd"/>
      <w:r w:rsidRPr="003C61B6">
        <w:t>). His viral load at Week 48 was 327 c/</w:t>
      </w:r>
      <w:proofErr w:type="spellStart"/>
      <w:r w:rsidRPr="003C61B6">
        <w:t>mL.</w:t>
      </w:r>
      <w:proofErr w:type="spellEnd"/>
      <w:r w:rsidRPr="003C61B6">
        <w:t xml:space="preserve"> He re-suppressed to &lt; 50 c/</w:t>
      </w:r>
      <w:proofErr w:type="spellStart"/>
      <w:r w:rsidRPr="003C61B6">
        <w:t>mL</w:t>
      </w:r>
      <w:proofErr w:type="spellEnd"/>
      <w:r w:rsidRPr="003C61B6">
        <w:t xml:space="preserve"> at Day 503.</w:t>
      </w:r>
    </w:p>
    <w:p w:rsidR="006537AB" w:rsidRPr="003C61B6" w:rsidRDefault="006537AB" w:rsidP="003C61B6">
      <w:pPr>
        <w:pStyle w:val="ListBullet2"/>
      </w:pPr>
      <w:r w:rsidRPr="003C61B6">
        <w:t>One participant was suppressed &lt; 50 c/</w:t>
      </w:r>
      <w:proofErr w:type="spellStart"/>
      <w:r w:rsidRPr="003C61B6">
        <w:t>mL</w:t>
      </w:r>
      <w:proofErr w:type="spellEnd"/>
      <w:r w:rsidRPr="003C61B6">
        <w:t xml:space="preserve"> at Day 111 and experienced a rebound at Day 295 (203 c/</w:t>
      </w:r>
      <w:proofErr w:type="spellStart"/>
      <w:r w:rsidRPr="003C61B6">
        <w:t>mL</w:t>
      </w:r>
      <w:proofErr w:type="spellEnd"/>
      <w:r w:rsidRPr="003C61B6">
        <w:t>); the subject re-suppressed to &lt; 400 c/</w:t>
      </w:r>
      <w:proofErr w:type="spellStart"/>
      <w:r w:rsidRPr="003C61B6">
        <w:t>mL</w:t>
      </w:r>
      <w:proofErr w:type="spellEnd"/>
      <w:r w:rsidRPr="003C61B6">
        <w:t xml:space="preserve"> at Day 449 (85 c/</w:t>
      </w:r>
      <w:proofErr w:type="spellStart"/>
      <w:r w:rsidRPr="003C61B6">
        <w:t>mL</w:t>
      </w:r>
      <w:proofErr w:type="spellEnd"/>
      <w:r w:rsidRPr="003C61B6">
        <w:t>) and to &lt; 50 c/</w:t>
      </w:r>
      <w:proofErr w:type="spellStart"/>
      <w:r w:rsidRPr="003C61B6">
        <w:t>mL</w:t>
      </w:r>
      <w:proofErr w:type="spellEnd"/>
      <w:r w:rsidRPr="003C61B6">
        <w:t xml:space="preserve"> at Day 505.</w:t>
      </w:r>
    </w:p>
    <w:p w:rsidR="006537AB" w:rsidRPr="003C61B6" w:rsidRDefault="006537AB" w:rsidP="003C61B6">
      <w:pPr>
        <w:pStyle w:val="ListBullet"/>
      </w:pPr>
      <w:r w:rsidRPr="003C61B6">
        <w:t>None of the subjects had background therapy change.</w:t>
      </w:r>
    </w:p>
    <w:p w:rsidR="006537AB" w:rsidRDefault="006537AB" w:rsidP="003C61B6">
      <w:r w:rsidRPr="00270E88">
        <w:rPr>
          <w:rStyle w:val="Heading5Char"/>
          <w:rFonts w:eastAsia="Cambria"/>
        </w:rPr>
        <w:t xml:space="preserve">Evaluator comment: </w:t>
      </w:r>
      <w:r w:rsidRPr="00325A21">
        <w:t>Response accepted</w:t>
      </w:r>
      <w:r>
        <w:t>.</w:t>
      </w:r>
    </w:p>
    <w:p w:rsidR="006537AB" w:rsidRPr="0065047C" w:rsidRDefault="006537AB" w:rsidP="00E0107D">
      <w:pPr>
        <w:pStyle w:val="Numberbullet0"/>
        <w:numPr>
          <w:ilvl w:val="0"/>
          <w:numId w:val="12"/>
        </w:numPr>
        <w:rPr>
          <w:i/>
        </w:rPr>
      </w:pPr>
      <w:r w:rsidRPr="0065047C">
        <w:rPr>
          <w:i/>
        </w:rPr>
        <w:t>To what extent did the lack of accurate recording of concomitant therapy affect the assessment of confounding?</w:t>
      </w:r>
    </w:p>
    <w:p w:rsidR="006537AB" w:rsidRDefault="006537AB" w:rsidP="0065047C">
      <w:r w:rsidRPr="00270E88">
        <w:rPr>
          <w:rStyle w:val="Heading5Char"/>
          <w:rFonts w:eastAsia="Cambria"/>
        </w:rPr>
        <w:t xml:space="preserve">Applicant response: </w:t>
      </w:r>
      <w:r>
        <w:t>The statement in the CSR regarding concomitant therapy was only meant to explain that, in some cases, ARV medications that were part of the backbone therapy or were used as prior therapy (that is, not taken on study) were recorded in the concomitant therapy section erroneously. It was determined that these were errors but they could not be corrected in time for the database lock for the CSR. However, it was confirmed with the PACTG (IMPAACT) at the time, that the ARVs reported as concomitant medications should have been deleted from that part of the CRF. All other concomitant medications were required to be, and to the best of the sponsor’s knowledge were, recorded in the CRF, and are included in the CSR. An analysis of an individual subject’s efficacy results versus concomitant medications was not performed, and is not typically performed. However, the majority of concomitant medications reported to be taken most often during the study were medications that were allowed by protocol and those that do not have an interaction with ARVs (such as antibiotics) such that efficacy would be impacted. Therefore, the efficacy assessment is not considered to have been confounded in any way by the concomitant therapies.</w:t>
      </w:r>
    </w:p>
    <w:p w:rsidR="006537AB" w:rsidRDefault="006537AB" w:rsidP="0065047C">
      <w:r w:rsidRPr="00270E88">
        <w:rPr>
          <w:rStyle w:val="Heading5Char"/>
          <w:rFonts w:eastAsia="Cambria"/>
        </w:rPr>
        <w:t>Evaluator comment:</w:t>
      </w:r>
      <w:r>
        <w:t xml:space="preserve"> Response accepted</w:t>
      </w:r>
    </w:p>
    <w:p w:rsidR="006537AB" w:rsidRPr="0065047C" w:rsidRDefault="006537AB" w:rsidP="00E0107D">
      <w:pPr>
        <w:pStyle w:val="Numberbullet0"/>
        <w:numPr>
          <w:ilvl w:val="0"/>
          <w:numId w:val="13"/>
        </w:numPr>
        <w:rPr>
          <w:i/>
        </w:rPr>
      </w:pPr>
      <w:r w:rsidRPr="0065047C">
        <w:rPr>
          <w:i/>
        </w:rPr>
        <w:t>To what extent were efficacy results dependent on dose modification following intensive and random PK assessments over the course of 96 weeks of treatment? Does the applicant consider that PK results leading to alteration in dosage may have maximised efficacy in the study population? Would external validity be limited if therapeutic drug monitoring is not undertaken in the non-study population, particularly in view of the documented large CV% results?</w:t>
      </w:r>
    </w:p>
    <w:p w:rsidR="006537AB" w:rsidRDefault="006537AB" w:rsidP="0065047C">
      <w:r w:rsidRPr="00270E88">
        <w:rPr>
          <w:rStyle w:val="Heading5Char"/>
          <w:rFonts w:eastAsia="Cambria"/>
        </w:rPr>
        <w:t>Applicant response</w:t>
      </w:r>
      <w:r>
        <w:rPr>
          <w:b/>
          <w:i/>
        </w:rPr>
        <w:t>:</w:t>
      </w:r>
      <w:r>
        <w:t xml:space="preserve"> Study AI424020 was a PK dose-finding and safety study. The sample size was not calculated statistically for an efficacy endpoint, so the efficacy results are descriptive only. The efficacy results were not at all dependent on dose modification. Instead, efficacy is correlated with exposure. The dose was individually adjusted for each subject until the subject achieved ATV exposures within the range of targeted exposures with the overall goal of maintaining the target exposure. An individual dose would not subsequently be adjusted randomly throughout the trial or due to PK variability but instead would only be modified again if, for example, a subject’s increase in BSA was enough to warrant a modification. The overall goal of the study was to find the optimal dose for use in the broader population so that individual dose adjustments would not be necessary.</w:t>
      </w:r>
    </w:p>
    <w:p w:rsidR="006537AB" w:rsidRDefault="006537AB" w:rsidP="0065047C">
      <w:r>
        <w:t>This study was started prior to the knowledge that ATV required RTV ‘boosting’ when used in treatment-experienced patients. The original PK targets (for Groups 1 through 4) were based on observed PK data of unboosted ATV in adults, which are lower than those achieved with ATV boosted with RTV. The study was modified before the completion of enrolment of Groups 1-4 and before the inclusion of the boosted Groups 5-8 to raise the PK targets to those more comparable to ATV/RTV in adults.</w:t>
      </w:r>
    </w:p>
    <w:p w:rsidR="006537AB" w:rsidRDefault="006537AB" w:rsidP="0065047C">
      <w:r>
        <w:t>Therefore, the efficacy data are not considered to be maximised by the individual dose modifications either due to missing the PK target or due to a change in BSA. Again, in the study, once a subject achieved the target PK, the dose was maintained until a BSA change so that the target PK exposures were sustained.</w:t>
      </w:r>
    </w:p>
    <w:p w:rsidR="006537AB" w:rsidRDefault="006537AB" w:rsidP="0065047C">
      <w:r>
        <w:t>It is also important to note that the study actually included the use of unboosted ATV in treatment experienced subjects and enrolled a more treatment experienced patient population than patients who would be currently indicated for ATV/RTV treatment. For example, treatment experienced patients may have virologically failed multiple protease inhibitor regimens prior to entering the study. In current practice, boosted Reyataz is commonly used in treatment naive patients and those with less treatment experience than in the past. Thus, exposures are usually adequate with little or no need for individual drug level monitoring.</w:t>
      </w:r>
    </w:p>
    <w:p w:rsidR="006537AB" w:rsidRDefault="006537AB" w:rsidP="0065047C">
      <w:r>
        <w:t>The use of therapeutic drug monitoring (TDM) in the broader population is not feasible, and is unnecessary, particularly in this patient population, for the reasons already described. The dose-finding study, along with very robust modelling and simulation analyses, provide recommended doses by weight bands to ensure that the exposures expected would be those in the range that have already demonstrated efficacy in adults.</w:t>
      </w:r>
      <w:r w:rsidR="00A10B25">
        <w:t xml:space="preserve"> </w:t>
      </w:r>
    </w:p>
    <w:p w:rsidR="006537AB" w:rsidRDefault="006537AB" w:rsidP="0065047C">
      <w:r w:rsidRPr="00270E88">
        <w:rPr>
          <w:rStyle w:val="Heading5Char"/>
          <w:rFonts w:eastAsia="Cambria"/>
        </w:rPr>
        <w:t>Evaluator comment:</w:t>
      </w:r>
      <w:r>
        <w:t xml:space="preserve"> It is understood that efficacy is related to exposure. Exposure is related to dose and the dose in the dose finding study was tailored to result in exposure in the range expected to be therapeutic based on adult studies. It is not accepted that the efficacy data are not unequivocally maximised by the individual dose modification. </w:t>
      </w:r>
    </w:p>
    <w:p w:rsidR="006537AB" w:rsidRDefault="006537AB" w:rsidP="0065047C">
      <w:r>
        <w:t>TDM is feasible for the paediatric patients in Australia. The ultimate purpose of registration of a drug product is of treatment of individuals avoiding under dosing and excessive dosing. Mean PK results and the results of exploratory analysis such as modelling based on sparse data, may not apply to an individual, especially in the presence of large PK coefficients of variation. The data presented for evaluation is considered to confirm that it is not possible to find the optimal uniform dose for use in the broader population.</w:t>
      </w:r>
    </w:p>
    <w:p w:rsidR="006537AB" w:rsidRDefault="006537AB" w:rsidP="0065047C">
      <w:r>
        <w:t xml:space="preserve">While it may not be necessary to have the advice to undertake TDM included in the PI; such advice is included in ARV Guidelines which reference Guidelines for Use of Antiretroviral Agents in Pediatric HIV infection and it is recommended that the reader of the PI is referred to the ARV guidelines in both the </w:t>
      </w:r>
      <w:r w:rsidRPr="00270E88">
        <w:rPr>
          <w:i/>
        </w:rPr>
        <w:t>Precautions</w:t>
      </w:r>
      <w:r>
        <w:t xml:space="preserve"> section and the </w:t>
      </w:r>
      <w:r w:rsidRPr="00270E88">
        <w:rPr>
          <w:i/>
        </w:rPr>
        <w:t xml:space="preserve">Dosage and Administration </w:t>
      </w:r>
      <w:r>
        <w:t>section.</w:t>
      </w:r>
      <w:r w:rsidR="00A10B25">
        <w:t xml:space="preserve"> </w:t>
      </w:r>
    </w:p>
    <w:p w:rsidR="00704C6C" w:rsidRDefault="006537AB" w:rsidP="0065047C">
      <w:pPr>
        <w:pStyle w:val="Heading4"/>
      </w:pPr>
      <w:r>
        <w:t>Safety</w:t>
      </w:r>
    </w:p>
    <w:p w:rsidR="006537AB" w:rsidRDefault="00325A21" w:rsidP="0065047C">
      <w:pPr>
        <w:pStyle w:val="Heading5"/>
      </w:pPr>
      <w:r>
        <w:t xml:space="preserve">Clinical </w:t>
      </w:r>
      <w:r w:rsidR="0065047C">
        <w:t>e</w:t>
      </w:r>
      <w:r>
        <w:t>valuator</w:t>
      </w:r>
    </w:p>
    <w:p w:rsidR="006537AB" w:rsidRPr="0065047C" w:rsidRDefault="006537AB" w:rsidP="00E0107D">
      <w:pPr>
        <w:pStyle w:val="Numberbullet0"/>
        <w:numPr>
          <w:ilvl w:val="0"/>
          <w:numId w:val="14"/>
        </w:numPr>
        <w:rPr>
          <w:i/>
        </w:rPr>
      </w:pPr>
      <w:r w:rsidRPr="0065047C">
        <w:rPr>
          <w:i/>
        </w:rPr>
        <w:t>In the Safety Narratives for Deaths, SAEs and AEs Leading to Study Discontinuation, why were the following events considered “life threatening”?</w:t>
      </w:r>
    </w:p>
    <w:p w:rsidR="006537AB" w:rsidRPr="00270E88" w:rsidRDefault="006537AB" w:rsidP="0065047C">
      <w:pPr>
        <w:pStyle w:val="ListBullet2"/>
      </w:pPr>
      <w:r w:rsidRPr="00270E88">
        <w:t xml:space="preserve">410179 unconjugated SBR maximum SBR 6.6 mg/dL </w:t>
      </w:r>
    </w:p>
    <w:p w:rsidR="006537AB" w:rsidRPr="00270E88" w:rsidRDefault="006537AB" w:rsidP="0065047C">
      <w:pPr>
        <w:pStyle w:val="ListBullet2"/>
      </w:pPr>
      <w:r w:rsidRPr="00270E88">
        <w:t>450366 unconjugated SBR maximum SBR 8.7 mg/dL</w:t>
      </w:r>
    </w:p>
    <w:p w:rsidR="006537AB" w:rsidRPr="00270E88" w:rsidRDefault="006537AB" w:rsidP="0065047C">
      <w:pPr>
        <w:pStyle w:val="ListBullet2"/>
      </w:pPr>
      <w:r w:rsidRPr="00270E88">
        <w:t xml:space="preserve">450377 unconjugated SBR maximum SBR 7.6 mg/dL </w:t>
      </w:r>
    </w:p>
    <w:p w:rsidR="006537AB" w:rsidRPr="00270E88" w:rsidRDefault="006537AB" w:rsidP="0065047C">
      <w:pPr>
        <w:pStyle w:val="ListBullet2"/>
      </w:pPr>
      <w:r w:rsidRPr="00270E88">
        <w:t xml:space="preserve">502836 unconjugated SBR maximum SBR 8.3 mg/dL </w:t>
      </w:r>
    </w:p>
    <w:p w:rsidR="006537AB" w:rsidRDefault="006537AB" w:rsidP="0065047C">
      <w:r w:rsidRPr="00270E88">
        <w:rPr>
          <w:rStyle w:val="Heading5Char"/>
          <w:rFonts w:eastAsia="Cambria"/>
        </w:rPr>
        <w:t>Applicant response:</w:t>
      </w:r>
      <w:r>
        <w:rPr>
          <w:b/>
          <w:i/>
        </w:rPr>
        <w:t xml:space="preserve"> </w:t>
      </w:r>
      <w:r>
        <w:t>The intensity of these events was either reported based on the grade of the laboratory abnormality or at the discretion of the investigator. All 4 of these subjects with indirect hyperbilirubinemia reported by the investigator as either ‘very severe/life-threatening’ or ‘life-threatening’ were either dose adjusted and/or had medications interrupted. None of these subjects were hospitalised, discontinued due to the event, nor had any sequelae from the indirect hyperbilirubinemia.</w:t>
      </w:r>
    </w:p>
    <w:p w:rsidR="006537AB" w:rsidRPr="00325A21" w:rsidRDefault="006537AB" w:rsidP="0065047C">
      <w:r w:rsidRPr="00270E88">
        <w:rPr>
          <w:rStyle w:val="Heading5Char"/>
          <w:rFonts w:eastAsia="Cambria"/>
        </w:rPr>
        <w:t>Evaluator comment:</w:t>
      </w:r>
      <w:r>
        <w:t xml:space="preserve"> </w:t>
      </w:r>
      <w:r w:rsidRPr="00325A21">
        <w:t>Response accepted.</w:t>
      </w:r>
    </w:p>
    <w:p w:rsidR="008E7846" w:rsidRPr="006E137C" w:rsidRDefault="008E7846" w:rsidP="0065047C">
      <w:pPr>
        <w:pStyle w:val="Heading3"/>
      </w:pPr>
      <w:bookmarkStart w:id="95" w:name="_Toc371428593"/>
      <w:r>
        <w:t>Clinical summary and conclusions</w:t>
      </w:r>
      <w:bookmarkEnd w:id="62"/>
      <w:bookmarkEnd w:id="63"/>
      <w:r w:rsidR="00325A21">
        <w:t xml:space="preserve"> </w:t>
      </w:r>
      <w:r w:rsidR="00704C6C">
        <w:t>(</w:t>
      </w:r>
      <w:r w:rsidR="0065047C">
        <w:t>c</w:t>
      </w:r>
      <w:r w:rsidR="00325A21">
        <w:t xml:space="preserve">linical </w:t>
      </w:r>
      <w:r w:rsidR="0065047C">
        <w:t>e</w:t>
      </w:r>
      <w:r w:rsidR="00325A21">
        <w:t>valuator)</w:t>
      </w:r>
      <w:bookmarkEnd w:id="95"/>
    </w:p>
    <w:p w:rsidR="006537AB" w:rsidRDefault="006537AB" w:rsidP="0065047C">
      <w:pPr>
        <w:pStyle w:val="Heading4"/>
      </w:pPr>
      <w:bookmarkStart w:id="96" w:name="_Toc367276234"/>
      <w:bookmarkStart w:id="97" w:name="_Toc247691524"/>
      <w:bookmarkStart w:id="98" w:name="_Toc314842508"/>
      <w:bookmarkStart w:id="99" w:name="_Toc196046504"/>
      <w:bookmarkStart w:id="100" w:name="_Toc163441390"/>
      <w:bookmarkEnd w:id="64"/>
      <w:bookmarkEnd w:id="65"/>
      <w:bookmarkEnd w:id="66"/>
      <w:r>
        <w:t>Benefit-risk assessment</w:t>
      </w:r>
      <w:bookmarkEnd w:id="96"/>
    </w:p>
    <w:p w:rsidR="006537AB" w:rsidRDefault="006537AB" w:rsidP="0065047C">
      <w:pPr>
        <w:pStyle w:val="Heading5"/>
      </w:pPr>
      <w:bookmarkStart w:id="101" w:name="_Toc236802595"/>
      <w:bookmarkStart w:id="102" w:name="_Toc241374333"/>
      <w:bookmarkStart w:id="103" w:name="_Toc367276235"/>
      <w:r>
        <w:t>Benefits</w:t>
      </w:r>
      <w:bookmarkEnd w:id="101"/>
      <w:bookmarkEnd w:id="102"/>
      <w:bookmarkEnd w:id="103"/>
    </w:p>
    <w:p w:rsidR="006537AB" w:rsidRDefault="006537AB" w:rsidP="0065047C">
      <w:r>
        <w:t xml:space="preserve">Before the advent of antiretroviral treatment, HIV infection was almost invariably fatal and disease progression causes marked suffering. The need for registration of suitable antiretroviral agents for use in children is without doubt. </w:t>
      </w:r>
    </w:p>
    <w:p w:rsidR="006537AB" w:rsidRDefault="006537AB" w:rsidP="0065047C">
      <w:r>
        <w:t>Atazanavir has been studied in adults and efficacy has been shown to be related to pharmacokinetic parameters, in particular, C</w:t>
      </w:r>
      <w:r w:rsidRPr="0084534F">
        <w:rPr>
          <w:vertAlign w:val="subscript"/>
        </w:rPr>
        <w:t>min</w:t>
      </w:r>
      <w:r>
        <w:t>. It is accepted that, in the presence of pharmacokinetic parameters in the accepted adult ranges efficacy would most likely be similar in children and adults.</w:t>
      </w:r>
    </w:p>
    <w:p w:rsidR="006537AB" w:rsidRDefault="006537AB" w:rsidP="0065047C">
      <w:r>
        <w:t xml:space="preserve">Atazanavir has pharmacokinetic profile in adults consistent with once daily dosage which may theoretically improve compliance. </w:t>
      </w:r>
    </w:p>
    <w:p w:rsidR="006537AB" w:rsidRDefault="006537AB" w:rsidP="0065047C">
      <w:r>
        <w:t>The simplified dosage regimen removing a dose change at 32 kg is considered to be easier to manage in clinical practice.</w:t>
      </w:r>
    </w:p>
    <w:p w:rsidR="006537AB" w:rsidRDefault="006537AB" w:rsidP="0065047C">
      <w:r>
        <w:t xml:space="preserve">Removal of the requirement to use two different tablet strengths for the 250 mg dose may make administration errors less likely. However, no administration errors relating were reported in the Periodic Safety Update Report (PSUR) for the period 20 June 2011 to 19 June 2012. </w:t>
      </w:r>
    </w:p>
    <w:p w:rsidR="006537AB" w:rsidRDefault="006537AB" w:rsidP="0065047C">
      <w:r>
        <w:t xml:space="preserve">Atazanavir has a well studied safety profile in adults. </w:t>
      </w:r>
    </w:p>
    <w:p w:rsidR="006537AB" w:rsidRDefault="006537AB" w:rsidP="0065047C">
      <w:pPr>
        <w:pStyle w:val="Heading5"/>
      </w:pPr>
      <w:bookmarkStart w:id="104" w:name="_Toc236802596"/>
      <w:bookmarkStart w:id="105" w:name="_Toc241374334"/>
      <w:bookmarkStart w:id="106" w:name="_Toc367276236"/>
      <w:r>
        <w:t>Risks</w:t>
      </w:r>
      <w:bookmarkEnd w:id="104"/>
      <w:bookmarkEnd w:id="105"/>
      <w:bookmarkEnd w:id="106"/>
    </w:p>
    <w:p w:rsidR="006537AB" w:rsidRDefault="006537AB" w:rsidP="0065047C">
      <w:r>
        <w:t>Atazanavir exhibits non-linear kinetics and considerable pharmacokinetic variability. Age and weight have been shown to be clinically relevant covariates; younger children tend to have lower C</w:t>
      </w:r>
      <w:r w:rsidRPr="0084534F">
        <w:rPr>
          <w:vertAlign w:val="subscript"/>
        </w:rPr>
        <w:t>min</w:t>
      </w:r>
      <w:r>
        <w:t xml:space="preserve"> and higher C</w:t>
      </w:r>
      <w:r w:rsidRPr="0084534F">
        <w:rPr>
          <w:vertAlign w:val="subscript"/>
        </w:rPr>
        <w:t>max</w:t>
      </w:r>
      <w:r>
        <w:t xml:space="preserve"> and AUCs than older children and adults. It is not clear to the evaluator just when the metabolic process becomes less sensitive to age. The numbers studied between 6 and 8 years are very limited, however, the data presented appear to suggest that maturity occurs later than the proposed 6 years. </w:t>
      </w:r>
    </w:p>
    <w:p w:rsidR="006537AB" w:rsidRDefault="006537AB" w:rsidP="0065047C">
      <w:r>
        <w:t>As C</w:t>
      </w:r>
      <w:r w:rsidRPr="0084534F">
        <w:rPr>
          <w:vertAlign w:val="subscript"/>
        </w:rPr>
        <w:t>min</w:t>
      </w:r>
      <w:r>
        <w:t xml:space="preserve"> results tend to be lower in young children than adults, for any individual child it is not possible to guarantee adequate blood levels on the proposed doses as demonstrated by observed values for the seven patients included in the submitted CSR. Along with the risk of sub therapeutic dosing, there is a theoretical increased risk of development of viral resistance early in the child’s life if sufficient levels are not maintained. In addition, because there was no data provided for children between 32 and 40 kg on the proposed lower dose there was no confirmation that the predictions were reliable and it is considered that under dosing is a distinct possibility in that weight range.</w:t>
      </w:r>
      <w:r w:rsidR="00852FEC">
        <w:t xml:space="preserve"> </w:t>
      </w:r>
    </w:p>
    <w:p w:rsidR="006537AB" w:rsidRDefault="006537AB" w:rsidP="0065047C">
      <w:r>
        <w:t>As C</w:t>
      </w:r>
      <w:r w:rsidRPr="0084534F">
        <w:rPr>
          <w:vertAlign w:val="subscript"/>
        </w:rPr>
        <w:t>max</w:t>
      </w:r>
      <w:r>
        <w:t xml:space="preserve"> and AUC values tend to be higher in young children than in adults, and as adverse events such as hyperbilirubinemia and cardiac effects on PR interval are linked to higher pharmacokinetic values, young children are at potentially at greater risk. The study protocol specifically excluded children with pre existing ECG abnormalities affecting external validity of cardiac safety. </w:t>
      </w:r>
    </w:p>
    <w:p w:rsidR="006537AB" w:rsidRDefault="006537AB" w:rsidP="0065047C">
      <w:r>
        <w:t>Ritonavir levels in young children appear to follow similar patterns to ATV, with a tendency to lower C</w:t>
      </w:r>
      <w:r w:rsidRPr="0084534F">
        <w:rPr>
          <w:vertAlign w:val="subscript"/>
        </w:rPr>
        <w:t>min</w:t>
      </w:r>
      <w:r>
        <w:t xml:space="preserve"> and much higher C</w:t>
      </w:r>
      <w:r w:rsidRPr="0084534F">
        <w:rPr>
          <w:vertAlign w:val="subscript"/>
        </w:rPr>
        <w:t>max</w:t>
      </w:r>
      <w:r>
        <w:t xml:space="preserve"> and AUC than for adults. RTV also has potential effect on ECG PR interval and combined with ATV the effect theoretically may be compounded. </w:t>
      </w:r>
    </w:p>
    <w:p w:rsidR="006537AB" w:rsidRDefault="006537AB" w:rsidP="0065047C">
      <w:pPr>
        <w:pStyle w:val="Heading5"/>
      </w:pPr>
      <w:bookmarkStart w:id="107" w:name="_Toc236802597"/>
      <w:bookmarkStart w:id="108" w:name="_Toc241374335"/>
      <w:bookmarkStart w:id="109" w:name="_Toc367276237"/>
      <w:r>
        <w:t>Balance</w:t>
      </w:r>
      <w:bookmarkEnd w:id="107"/>
      <w:bookmarkEnd w:id="108"/>
      <w:bookmarkEnd w:id="109"/>
    </w:p>
    <w:p w:rsidR="006537AB" w:rsidRDefault="006537AB" w:rsidP="0065047C">
      <w:r>
        <w:t>The risk/benefit balance for atazanavir overall was considered to remain on the side of benefit providing therapeutic levels of the drug are assured.</w:t>
      </w:r>
    </w:p>
    <w:p w:rsidR="006537AB" w:rsidRDefault="006537AB" w:rsidP="0065047C">
      <w:pPr>
        <w:pStyle w:val="Heading4"/>
      </w:pPr>
      <w:bookmarkStart w:id="110" w:name="_Toc241374336"/>
      <w:bookmarkStart w:id="111" w:name="_Toc345401462"/>
      <w:bookmarkStart w:id="112" w:name="_Toc367276238"/>
      <w:r>
        <w:t>Conclusions</w:t>
      </w:r>
      <w:bookmarkEnd w:id="110"/>
      <w:bookmarkEnd w:id="111"/>
      <w:bookmarkEnd w:id="112"/>
    </w:p>
    <w:p w:rsidR="006537AB" w:rsidRDefault="006537AB" w:rsidP="0065047C">
      <w:r>
        <w:t xml:space="preserve">While the results of population pharmacokinetic evaluation are in keeping with generally adequate blood levels in the proposed weight categories, the results from actual patients have not proved conclusively supportive. The metabolic handling of atazanavir in the age range 6–8 years has not been sufficiently argued to allow revision of the previous opinion regarding this age group. The revised lower dose in the weight range 32–39 kg range has also not been supported with results from actual patients, and for this group, roughly corresponding to age 8 to 14 years, under dosing is seen as a possibility, particularly for the older patients. </w:t>
      </w:r>
    </w:p>
    <w:p w:rsidR="006537AB" w:rsidRDefault="006537AB" w:rsidP="0065047C">
      <w:r>
        <w:t xml:space="preserve">The proposed increase in ritonavir dose for patients from 15 to 25 kg has also not been persuasively argued. For a child weighing 15 kg, on a mg/kg basis, the proposed dose approaches the therapeutic dose of 600 mg for an adult weighing 70 kg. </w:t>
      </w:r>
    </w:p>
    <w:p w:rsidR="006537AB" w:rsidRDefault="006537AB" w:rsidP="0065047C">
      <w:r>
        <w:t xml:space="preserve">The revised doses cannot be recommended unless it is made clear in the </w:t>
      </w:r>
      <w:r w:rsidRPr="0084534F">
        <w:rPr>
          <w:i/>
        </w:rPr>
        <w:t>Precautions</w:t>
      </w:r>
      <w:r>
        <w:t xml:space="preserve"> and </w:t>
      </w:r>
      <w:r w:rsidRPr="0084534F">
        <w:rPr>
          <w:i/>
        </w:rPr>
        <w:t>Dosage and Administration</w:t>
      </w:r>
      <w:r>
        <w:t xml:space="preserve"> sections of the PI that young children have wide variability in metabolic handling of both atazanavir and ritonavir, and that they are at particular risk of lower C</w:t>
      </w:r>
      <w:r w:rsidRPr="0084534F">
        <w:rPr>
          <w:vertAlign w:val="subscript"/>
        </w:rPr>
        <w:t>min</w:t>
      </w:r>
      <w:r>
        <w:t xml:space="preserve"> and higher C</w:t>
      </w:r>
      <w:r w:rsidRPr="0084534F">
        <w:rPr>
          <w:vertAlign w:val="subscript"/>
        </w:rPr>
        <w:t>max</w:t>
      </w:r>
      <w:r>
        <w:t xml:space="preserve">. To this effect it is recommended that at the minimum, the advice is included in the PI to refer to </w:t>
      </w:r>
      <w:r w:rsidRPr="00890532">
        <w:t xml:space="preserve">Australian Commentary to the </w:t>
      </w:r>
      <w:hyperlink r:id="rId38" w:tgtFrame="_blank" w:history="1">
        <w:r w:rsidRPr="00890532">
          <w:t>USA Guidelines for the use of Antiretroviral Agents in HIV-1 Infected Adults and Adolescents</w:t>
        </w:r>
      </w:hyperlink>
      <w:r>
        <w:t xml:space="preserve"> which in turn, links to Guidelines for the Use of Antiretroviral Agents in Pediatric HIV Infection. The most appropriate advice, however, is considered to be to instigate treatment with the aid of therapeutic dose monitoring and to repeat TDM at each dose change. This is highly recommended as HIV infection is potentially life threatening, and because young children will have to manage this disease life-long. Thus, it is essential to maximise compliance by limiting side effects and maximise efficacy and reduce resistance by ensuring adequate exposure. </w:t>
      </w:r>
    </w:p>
    <w:p w:rsidR="006537AB" w:rsidRDefault="006537AB" w:rsidP="0065047C">
      <w:pPr>
        <w:pStyle w:val="Heading3"/>
      </w:pPr>
      <w:bookmarkStart w:id="113" w:name="_Toc367276239"/>
      <w:bookmarkStart w:id="114" w:name="_Toc371428594"/>
      <w:r>
        <w:t>Recommendation regarding authorisation</w:t>
      </w:r>
      <w:bookmarkEnd w:id="113"/>
      <w:r w:rsidR="00325A21">
        <w:t xml:space="preserve"> (</w:t>
      </w:r>
      <w:r w:rsidR="0065047C">
        <w:t>c</w:t>
      </w:r>
      <w:r w:rsidR="00325A21">
        <w:t xml:space="preserve">linical </w:t>
      </w:r>
      <w:r w:rsidR="0065047C">
        <w:t>e</w:t>
      </w:r>
      <w:r w:rsidR="00325A21">
        <w:t>valu</w:t>
      </w:r>
      <w:r w:rsidR="00704C6C">
        <w:t>a</w:t>
      </w:r>
      <w:r w:rsidR="00325A21">
        <w:t>tor)</w:t>
      </w:r>
      <w:bookmarkEnd w:id="114"/>
    </w:p>
    <w:p w:rsidR="006537AB" w:rsidRDefault="006537AB" w:rsidP="0065047C">
      <w:r>
        <w:t xml:space="preserve">The proposed changes are recommended with qualifications regarding the results included in the draft PI. </w:t>
      </w:r>
    </w:p>
    <w:p w:rsidR="008E7846" w:rsidRPr="00E41208" w:rsidRDefault="008E7846" w:rsidP="0065047C">
      <w:pPr>
        <w:pStyle w:val="Heading2"/>
      </w:pPr>
      <w:bookmarkStart w:id="115" w:name="_Toc371428595"/>
      <w:r w:rsidRPr="00E41208">
        <w:t xml:space="preserve">V. Pharmacovigilance </w:t>
      </w:r>
      <w:r>
        <w:t>f</w:t>
      </w:r>
      <w:r w:rsidRPr="00E41208">
        <w:t>indings</w:t>
      </w:r>
      <w:bookmarkEnd w:id="97"/>
      <w:bookmarkEnd w:id="98"/>
      <w:bookmarkEnd w:id="115"/>
    </w:p>
    <w:p w:rsidR="008E7846" w:rsidRDefault="00386150" w:rsidP="0065047C">
      <w:pPr>
        <w:pStyle w:val="Heading3"/>
        <w:rPr>
          <w:lang w:eastAsia="en-AU"/>
        </w:rPr>
      </w:pPr>
      <w:bookmarkStart w:id="116" w:name="_Toc247691526"/>
      <w:bookmarkStart w:id="117" w:name="_Toc314842509"/>
      <w:bookmarkStart w:id="118" w:name="_Toc371428596"/>
      <w:r>
        <w:rPr>
          <w:lang w:eastAsia="en-AU"/>
        </w:rPr>
        <w:t>Risk m</w:t>
      </w:r>
      <w:r w:rsidR="008E7846">
        <w:rPr>
          <w:lang w:eastAsia="en-AU"/>
        </w:rPr>
        <w:t xml:space="preserve">anagement </w:t>
      </w:r>
      <w:r>
        <w:rPr>
          <w:lang w:eastAsia="en-AU"/>
        </w:rPr>
        <w:t>p</w:t>
      </w:r>
      <w:r w:rsidR="008E7846">
        <w:rPr>
          <w:lang w:eastAsia="en-AU"/>
        </w:rPr>
        <w:t>lan</w:t>
      </w:r>
      <w:bookmarkEnd w:id="116"/>
      <w:bookmarkEnd w:id="117"/>
      <w:bookmarkEnd w:id="118"/>
    </w:p>
    <w:p w:rsidR="008E7846" w:rsidRDefault="008E7846" w:rsidP="0065047C">
      <w:pPr>
        <w:rPr>
          <w:lang w:eastAsia="en-AU"/>
        </w:rPr>
      </w:pPr>
      <w:r>
        <w:rPr>
          <w:lang w:eastAsia="en-AU"/>
        </w:rPr>
        <w:t>The sponsor submitted a Risk Management Plan which was reviewed by the TGA’s Office of Product Review (OPR).</w:t>
      </w:r>
    </w:p>
    <w:p w:rsidR="008E7846" w:rsidRDefault="003A7F6C" w:rsidP="0065047C">
      <w:pPr>
        <w:pStyle w:val="Heading4"/>
        <w:rPr>
          <w:lang w:eastAsia="en-AU"/>
        </w:rPr>
      </w:pPr>
      <w:r>
        <w:rPr>
          <w:lang w:eastAsia="en-AU"/>
        </w:rPr>
        <w:t>Safety s</w:t>
      </w:r>
      <w:r w:rsidR="008E7846">
        <w:rPr>
          <w:lang w:eastAsia="en-AU"/>
        </w:rPr>
        <w:t>pecification</w:t>
      </w:r>
    </w:p>
    <w:p w:rsidR="00B7021E" w:rsidRDefault="008E7846" w:rsidP="0065047C">
      <w:pPr>
        <w:rPr>
          <w:lang w:eastAsia="en-AU"/>
        </w:rPr>
      </w:pPr>
      <w:r>
        <w:rPr>
          <w:lang w:eastAsia="en-AU"/>
        </w:rPr>
        <w:t xml:space="preserve">The sponsor provided a summary of Ongoing </w:t>
      </w:r>
      <w:r w:rsidR="00B7021E">
        <w:rPr>
          <w:lang w:eastAsia="en-AU"/>
        </w:rPr>
        <w:t xml:space="preserve">Safety </w:t>
      </w:r>
      <w:r>
        <w:rPr>
          <w:lang w:eastAsia="en-AU"/>
        </w:rPr>
        <w:t xml:space="preserve">Concerns which are shown at Table </w:t>
      </w:r>
      <w:r w:rsidR="00B7021E">
        <w:rPr>
          <w:lang w:eastAsia="en-AU"/>
        </w:rPr>
        <w:t>13.</w:t>
      </w:r>
    </w:p>
    <w:p w:rsidR="008E7846" w:rsidRDefault="00B7021E" w:rsidP="0065047C">
      <w:pPr>
        <w:pStyle w:val="TableTitle"/>
        <w:rPr>
          <w:lang w:eastAsia="en-AU"/>
        </w:rPr>
      </w:pPr>
      <w:r>
        <w:rPr>
          <w:lang w:eastAsia="en-AU"/>
        </w:rPr>
        <w:t>Table 13. Summary of Ongoing Safety Concerns</w:t>
      </w:r>
      <w:r w:rsidR="008E7846">
        <w:rPr>
          <w:lang w:eastAsia="en-AU"/>
        </w:rPr>
        <w:t>.</w:t>
      </w:r>
    </w:p>
    <w:tbl>
      <w:tblPr>
        <w:tblStyle w:val="TableTGAblue"/>
        <w:tblW w:w="0" w:type="auto"/>
        <w:tblLook w:val="04A0"/>
      </w:tblPr>
      <w:tblGrid>
        <w:gridCol w:w="2977"/>
        <w:gridCol w:w="5635"/>
      </w:tblGrid>
      <w:tr w:rsidR="002801F2" w:rsidTr="0065047C">
        <w:trPr>
          <w:cnfStyle w:val="100000000000"/>
          <w:tblHeader/>
        </w:trPr>
        <w:tc>
          <w:tcPr>
            <w:tcW w:w="8612" w:type="dxa"/>
            <w:gridSpan w:val="2"/>
          </w:tcPr>
          <w:p w:rsidR="002801F2" w:rsidRPr="00B932B9" w:rsidRDefault="002801F2" w:rsidP="0065047C">
            <w:r w:rsidRPr="00B932B9">
              <w:t>Summary of Ongoing Safety Concerns</w:t>
            </w:r>
          </w:p>
        </w:tc>
      </w:tr>
      <w:tr w:rsidR="002801F2" w:rsidTr="0065047C">
        <w:tc>
          <w:tcPr>
            <w:tcW w:w="2977" w:type="dxa"/>
          </w:tcPr>
          <w:p w:rsidR="002801F2" w:rsidRPr="00B932B9" w:rsidRDefault="002801F2" w:rsidP="0065047C">
            <w:r w:rsidRPr="00B932B9">
              <w:rPr>
                <w:rFonts w:eastAsia="Times New Roman" w:cs="Calibri"/>
              </w:rPr>
              <w:t>Important identified risks</w:t>
            </w:r>
          </w:p>
        </w:tc>
        <w:tc>
          <w:tcPr>
            <w:tcW w:w="5635" w:type="dxa"/>
          </w:tcPr>
          <w:p w:rsidR="002801F2" w:rsidRPr="00B932B9" w:rsidRDefault="002801F2" w:rsidP="0065047C">
            <w:r w:rsidRPr="00B932B9">
              <w:t>Cardiac conduction abnormalities for both adults and children (PR interval prolongation)</w:t>
            </w:r>
          </w:p>
          <w:p w:rsidR="002801F2" w:rsidRPr="00B932B9" w:rsidRDefault="002801F2" w:rsidP="0065047C">
            <w:r w:rsidRPr="00B932B9">
              <w:t>Nephrolithiasis</w:t>
            </w:r>
          </w:p>
          <w:p w:rsidR="002801F2" w:rsidRPr="00B932B9" w:rsidRDefault="002801F2" w:rsidP="0065047C">
            <w:r w:rsidRPr="00B932B9">
              <w:t>Hyperbilirubinemia</w:t>
            </w:r>
          </w:p>
        </w:tc>
      </w:tr>
      <w:tr w:rsidR="002801F2" w:rsidTr="0065047C">
        <w:tc>
          <w:tcPr>
            <w:tcW w:w="2977" w:type="dxa"/>
          </w:tcPr>
          <w:p w:rsidR="002801F2" w:rsidRPr="00B932B9" w:rsidRDefault="002801F2" w:rsidP="0065047C">
            <w:r w:rsidRPr="00B932B9">
              <w:rPr>
                <w:rFonts w:eastAsia="Times New Roman" w:cs="Calibri"/>
              </w:rPr>
              <w:t>Important potential risks</w:t>
            </w:r>
          </w:p>
        </w:tc>
        <w:tc>
          <w:tcPr>
            <w:tcW w:w="5635" w:type="dxa"/>
          </w:tcPr>
          <w:p w:rsidR="002801F2" w:rsidRPr="00B932B9" w:rsidRDefault="002801F2" w:rsidP="0065047C">
            <w:r w:rsidRPr="00B932B9">
              <w:t>QT prolongation</w:t>
            </w:r>
          </w:p>
          <w:p w:rsidR="002801F2" w:rsidRPr="00B932B9" w:rsidRDefault="002801F2" w:rsidP="0065047C">
            <w:r w:rsidRPr="00B932B9">
              <w:t xml:space="preserve">Kernicterus </w:t>
            </w:r>
          </w:p>
          <w:p w:rsidR="002801F2" w:rsidRPr="00B932B9" w:rsidRDefault="002801F2" w:rsidP="0065047C">
            <w:r w:rsidRPr="00B932B9">
              <w:t>Severe skin reactions</w:t>
            </w:r>
          </w:p>
        </w:tc>
      </w:tr>
      <w:tr w:rsidR="002801F2" w:rsidTr="0065047C">
        <w:tc>
          <w:tcPr>
            <w:tcW w:w="2977" w:type="dxa"/>
          </w:tcPr>
          <w:p w:rsidR="002801F2" w:rsidRPr="00B932B9" w:rsidRDefault="002801F2" w:rsidP="0065047C">
            <w:r w:rsidRPr="00B932B9">
              <w:rPr>
                <w:rFonts w:eastAsia="Times New Roman" w:cs="Calibri"/>
              </w:rPr>
              <w:t>Important missing information</w:t>
            </w:r>
          </w:p>
        </w:tc>
        <w:tc>
          <w:tcPr>
            <w:tcW w:w="5635" w:type="dxa"/>
          </w:tcPr>
          <w:p w:rsidR="002801F2" w:rsidRPr="00B932B9" w:rsidRDefault="002801F2" w:rsidP="0065047C">
            <w:r w:rsidRPr="00B932B9">
              <w:t>Pregnancy and lactation</w:t>
            </w:r>
          </w:p>
          <w:p w:rsidR="002801F2" w:rsidRPr="00B932B9" w:rsidRDefault="002801F2" w:rsidP="0065047C">
            <w:r w:rsidRPr="00B932B9">
              <w:t>Renal impairment</w:t>
            </w:r>
          </w:p>
          <w:p w:rsidR="002801F2" w:rsidRPr="00B932B9" w:rsidRDefault="002801F2" w:rsidP="0065047C">
            <w:r w:rsidRPr="00B932B9">
              <w:t>Hepatic impairment</w:t>
            </w:r>
          </w:p>
          <w:p w:rsidR="002801F2" w:rsidRPr="00B932B9" w:rsidRDefault="002801F2" w:rsidP="0065047C">
            <w:r w:rsidRPr="00B932B9">
              <w:t>Limited safety data in p</w:t>
            </w:r>
            <w:r w:rsidR="00883B7A">
              <w:t>a</w:t>
            </w:r>
            <w:r w:rsidRPr="00B932B9">
              <w:t>ediatric patients 6-18 years</w:t>
            </w:r>
          </w:p>
          <w:p w:rsidR="002801F2" w:rsidRPr="00B932B9" w:rsidRDefault="002801F2" w:rsidP="0065047C">
            <w:r w:rsidRPr="00B932B9">
              <w:t>Paediatric patients &lt; 6 years old (&lt;15kg)</w:t>
            </w:r>
          </w:p>
        </w:tc>
      </w:tr>
    </w:tbl>
    <w:p w:rsidR="002D292E" w:rsidRDefault="002D292E" w:rsidP="0065047C">
      <w:pPr>
        <w:pStyle w:val="Heading5"/>
        <w:rPr>
          <w:lang w:val="en-CA" w:eastAsia="en-AU"/>
        </w:rPr>
      </w:pPr>
      <w:r>
        <w:rPr>
          <w:lang w:val="en-CA" w:eastAsia="en-AU"/>
        </w:rPr>
        <w:t xml:space="preserve">OPR </w:t>
      </w:r>
      <w:r w:rsidR="0065047C">
        <w:rPr>
          <w:lang w:val="en-CA" w:eastAsia="en-AU"/>
        </w:rPr>
        <w:t>e</w:t>
      </w:r>
      <w:r>
        <w:rPr>
          <w:lang w:val="en-CA" w:eastAsia="en-AU"/>
        </w:rPr>
        <w:t>valuator comment</w:t>
      </w:r>
    </w:p>
    <w:p w:rsidR="002D292E" w:rsidRPr="002D292E" w:rsidRDefault="002D292E" w:rsidP="0065047C">
      <w:pPr>
        <w:rPr>
          <w:lang w:val="en-CA" w:eastAsia="en-AU"/>
        </w:rPr>
      </w:pPr>
      <w:r w:rsidRPr="002D292E">
        <w:rPr>
          <w:lang w:val="en-CA" w:eastAsia="en-AU"/>
        </w:rPr>
        <w:t xml:space="preserve">In version 4 of the RMP the sponsor added ‘severe skin reactions’ as an </w:t>
      </w:r>
      <w:r>
        <w:rPr>
          <w:lang w:val="en-CA" w:eastAsia="en-AU"/>
        </w:rPr>
        <w:t>I</w:t>
      </w:r>
      <w:r w:rsidRPr="002D292E">
        <w:rPr>
          <w:lang w:val="en-CA" w:eastAsia="en-AU"/>
        </w:rPr>
        <w:t>mportant potential risk.</w:t>
      </w:r>
      <w:r w:rsidR="00A10B25">
        <w:rPr>
          <w:lang w:val="en-CA" w:eastAsia="en-AU"/>
        </w:rPr>
        <w:t xml:space="preserve"> </w:t>
      </w:r>
      <w:r w:rsidRPr="002D292E">
        <w:rPr>
          <w:lang w:val="en-CA" w:eastAsia="en-AU"/>
        </w:rPr>
        <w:t>Otherwise the specified safety concerns are consistent with those previously accepted by the E</w:t>
      </w:r>
      <w:r>
        <w:rPr>
          <w:lang w:val="en-CA" w:eastAsia="en-AU"/>
        </w:rPr>
        <w:t>uropean Medicines Agency (E</w:t>
      </w:r>
      <w:r w:rsidRPr="002D292E">
        <w:rPr>
          <w:lang w:val="en-CA" w:eastAsia="en-AU"/>
        </w:rPr>
        <w:t>MA</w:t>
      </w:r>
      <w:r>
        <w:rPr>
          <w:lang w:val="en-CA" w:eastAsia="en-AU"/>
        </w:rPr>
        <w:t>)</w:t>
      </w:r>
      <w:r w:rsidRPr="002D292E">
        <w:rPr>
          <w:lang w:val="en-CA" w:eastAsia="en-AU"/>
        </w:rPr>
        <w:t xml:space="preserve"> (RMP version 2.2).</w:t>
      </w:r>
    </w:p>
    <w:p w:rsidR="002D292E" w:rsidRPr="002D292E" w:rsidRDefault="002D292E" w:rsidP="0065047C">
      <w:pPr>
        <w:rPr>
          <w:lang w:val="en-CA" w:eastAsia="en-AU"/>
        </w:rPr>
      </w:pPr>
      <w:r w:rsidRPr="002D292E">
        <w:rPr>
          <w:lang w:val="en-CA" w:eastAsia="en-AU"/>
        </w:rPr>
        <w:t>Notwithstanding the evaluation of the clinical aspects of the Safety Specification, the summary of Ongoing Safety Concerns</w:t>
      </w:r>
      <w:r>
        <w:rPr>
          <w:lang w:val="en-CA" w:eastAsia="en-AU"/>
        </w:rPr>
        <w:t xml:space="preserve"> wa</w:t>
      </w:r>
      <w:r w:rsidRPr="002D292E">
        <w:rPr>
          <w:lang w:val="en-CA" w:eastAsia="en-AU"/>
        </w:rPr>
        <w:t xml:space="preserve">s </w:t>
      </w:r>
      <w:r>
        <w:rPr>
          <w:lang w:val="en-CA" w:eastAsia="en-AU"/>
        </w:rPr>
        <w:t xml:space="preserve">considered </w:t>
      </w:r>
      <w:r w:rsidRPr="002D292E">
        <w:rPr>
          <w:lang w:val="en-CA" w:eastAsia="en-AU"/>
        </w:rPr>
        <w:t>acceptable.</w:t>
      </w:r>
    </w:p>
    <w:p w:rsidR="008E7846" w:rsidRDefault="008E7846" w:rsidP="0065047C">
      <w:pPr>
        <w:pStyle w:val="Heading4"/>
        <w:rPr>
          <w:lang w:eastAsia="en-AU"/>
        </w:rPr>
      </w:pPr>
      <w:r>
        <w:rPr>
          <w:lang w:eastAsia="en-AU"/>
        </w:rPr>
        <w:t xml:space="preserve">Pharmacovigilance </w:t>
      </w:r>
      <w:r w:rsidR="003A7F6C">
        <w:rPr>
          <w:lang w:eastAsia="en-AU"/>
        </w:rPr>
        <w:t>p</w:t>
      </w:r>
      <w:r>
        <w:rPr>
          <w:lang w:eastAsia="en-AU"/>
        </w:rPr>
        <w:t>lan</w:t>
      </w:r>
    </w:p>
    <w:p w:rsidR="002D292E" w:rsidRPr="002D292E" w:rsidRDefault="002D292E" w:rsidP="0065047C">
      <w:pPr>
        <w:rPr>
          <w:lang w:val="en-CA" w:eastAsia="en-AU"/>
        </w:rPr>
      </w:pPr>
      <w:r>
        <w:rPr>
          <w:lang w:val="en-CA" w:eastAsia="en-AU"/>
        </w:rPr>
        <w:t>R</w:t>
      </w:r>
      <w:r w:rsidRPr="002D292E">
        <w:rPr>
          <w:lang w:val="en-CA" w:eastAsia="en-AU"/>
        </w:rPr>
        <w:t>outine pharmacovigilance is proposed by the sponsor to monitor the important identified risks, important potential risks and missing information associated with atazanavir.</w:t>
      </w:r>
      <w:r w:rsidR="00A10B25">
        <w:rPr>
          <w:lang w:val="en-CA" w:eastAsia="en-AU"/>
        </w:rPr>
        <w:t xml:space="preserve"> </w:t>
      </w:r>
      <w:r w:rsidRPr="002D292E">
        <w:rPr>
          <w:lang w:val="en-CA" w:eastAsia="en-AU"/>
        </w:rPr>
        <w:t xml:space="preserve">The pharmacovigilance plan is consistent with the activities described in the EU-RMP previously approved by the European Medicines Agency (EMA) for a similar submission and this </w:t>
      </w:r>
      <w:r>
        <w:rPr>
          <w:lang w:val="en-CA" w:eastAsia="en-AU"/>
        </w:rPr>
        <w:t>was considered to be</w:t>
      </w:r>
      <w:r w:rsidRPr="002D292E">
        <w:rPr>
          <w:lang w:val="en-CA" w:eastAsia="en-AU"/>
        </w:rPr>
        <w:t xml:space="preserve"> acceptable</w:t>
      </w:r>
      <w:r w:rsidRPr="002D292E">
        <w:rPr>
          <w:vertAlign w:val="superscript"/>
          <w:lang w:val="en-CA" w:eastAsia="en-AU"/>
        </w:rPr>
        <w:footnoteReference w:id="9"/>
      </w:r>
      <w:r w:rsidRPr="002D292E">
        <w:rPr>
          <w:lang w:val="en-CA" w:eastAsia="en-AU"/>
        </w:rPr>
        <w:t>.</w:t>
      </w:r>
    </w:p>
    <w:p w:rsidR="002D292E" w:rsidRPr="002D292E" w:rsidRDefault="002D292E" w:rsidP="00E0107D">
      <w:pPr>
        <w:rPr>
          <w:lang w:val="en-CA" w:eastAsia="en-AU"/>
        </w:rPr>
      </w:pPr>
      <w:r>
        <w:rPr>
          <w:lang w:val="en-CA" w:eastAsia="en-AU"/>
        </w:rPr>
        <w:t>The r</w:t>
      </w:r>
      <w:r w:rsidRPr="002D292E">
        <w:rPr>
          <w:lang w:val="en-CA" w:eastAsia="en-AU"/>
        </w:rPr>
        <w:t xml:space="preserve">outine </w:t>
      </w:r>
      <w:proofErr w:type="spellStart"/>
      <w:r w:rsidRPr="002D292E">
        <w:rPr>
          <w:lang w:val="en-CA" w:eastAsia="en-AU"/>
        </w:rPr>
        <w:t>pharmacovigilance</w:t>
      </w:r>
      <w:proofErr w:type="spellEnd"/>
      <w:r w:rsidRPr="002D292E">
        <w:rPr>
          <w:lang w:val="en-CA" w:eastAsia="en-AU"/>
        </w:rPr>
        <w:t xml:space="preserve"> activities described are consistent with </w:t>
      </w:r>
      <w:r w:rsidRPr="00E0107D">
        <w:rPr>
          <w:i/>
          <w:lang w:val="en-CA" w:eastAsia="en-AU"/>
        </w:rPr>
        <w:t>3.1.2 Routine pharmacovigilance practices, Note for Guidance on Planning Pharmacovigilance Activities</w:t>
      </w:r>
      <w:r w:rsidRPr="00E0107D">
        <w:rPr>
          <w:bCs/>
          <w:i/>
          <w:lang w:val="en-CA" w:eastAsia="en-AU"/>
        </w:rPr>
        <w:t xml:space="preserve"> </w:t>
      </w:r>
      <w:r w:rsidRPr="00E0107D">
        <w:rPr>
          <w:i/>
          <w:lang w:val="en-CA" w:eastAsia="en-AU"/>
        </w:rPr>
        <w:t>(CPMP/ICH/5716/03)</w:t>
      </w:r>
      <w:r w:rsidRPr="002D292E">
        <w:rPr>
          <w:lang w:val="en-CA" w:eastAsia="en-AU"/>
        </w:rPr>
        <w:t xml:space="preserve"> </w:t>
      </w:r>
      <w:r>
        <w:rPr>
          <w:lang w:val="en-CA" w:eastAsia="en-AU"/>
        </w:rPr>
        <w:t>and this was considered</w:t>
      </w:r>
      <w:r w:rsidRPr="002D292E">
        <w:rPr>
          <w:lang w:val="en-CA" w:eastAsia="en-AU"/>
        </w:rPr>
        <w:t xml:space="preserve"> acceptable.</w:t>
      </w:r>
    </w:p>
    <w:p w:rsidR="002D292E" w:rsidRPr="002D292E" w:rsidRDefault="002D292E" w:rsidP="00E0107D">
      <w:pPr>
        <w:rPr>
          <w:lang w:val="en-CA" w:eastAsia="en-AU"/>
        </w:rPr>
      </w:pPr>
      <w:r w:rsidRPr="002D292E">
        <w:rPr>
          <w:i/>
          <w:lang w:val="en-CA" w:eastAsia="en-AU"/>
        </w:rPr>
        <w:t>Table 45 Action Plan for Safety Concerns</w:t>
      </w:r>
      <w:r w:rsidRPr="002D292E">
        <w:rPr>
          <w:lang w:val="en-CA" w:eastAsia="en-AU"/>
        </w:rPr>
        <w:t xml:space="preserve"> (EU-RMP p116) and </w:t>
      </w:r>
      <w:r w:rsidRPr="002D292E">
        <w:rPr>
          <w:i/>
          <w:lang w:val="en-CA" w:eastAsia="en-AU"/>
        </w:rPr>
        <w:t xml:space="preserve">Table 1 Action Plan for Safety Concerns </w:t>
      </w:r>
      <w:r w:rsidRPr="002D292E">
        <w:rPr>
          <w:lang w:val="en-CA" w:eastAsia="en-AU"/>
        </w:rPr>
        <w:t>(ASA p2)</w:t>
      </w:r>
      <w:r>
        <w:rPr>
          <w:lang w:val="en-CA" w:eastAsia="en-AU"/>
        </w:rPr>
        <w:t xml:space="preserve"> </w:t>
      </w:r>
      <w:r w:rsidRPr="002D292E">
        <w:rPr>
          <w:lang w:val="en-CA" w:eastAsia="en-AU"/>
        </w:rPr>
        <w:t>includes “The Antiretroviral Pregnancy Registry” as additional pharmacovigilance for Important missing information</w:t>
      </w:r>
      <w:r w:rsidR="00A10B25">
        <w:rPr>
          <w:lang w:val="en-CA" w:eastAsia="en-AU"/>
        </w:rPr>
        <w:t xml:space="preserve"> </w:t>
      </w:r>
      <w:r w:rsidRPr="002D292E">
        <w:rPr>
          <w:lang w:val="en-CA" w:eastAsia="en-AU"/>
        </w:rPr>
        <w:t>‘Pregnancy and lactation’</w:t>
      </w:r>
      <w:r w:rsidR="00A10B25">
        <w:rPr>
          <w:lang w:val="en-CA" w:eastAsia="en-AU"/>
        </w:rPr>
        <w:t xml:space="preserve"> </w:t>
      </w:r>
      <w:r w:rsidRPr="002D292E">
        <w:rPr>
          <w:lang w:val="en-CA" w:eastAsia="en-AU"/>
        </w:rPr>
        <w:t>and “The collaborative epidemiologic D:A:D study” as additional pharmacovigilance for</w:t>
      </w:r>
      <w:r w:rsidR="00A10B25">
        <w:rPr>
          <w:lang w:val="en-CA" w:eastAsia="en-AU"/>
        </w:rPr>
        <w:t xml:space="preserve"> </w:t>
      </w:r>
      <w:r>
        <w:rPr>
          <w:lang w:val="en-CA" w:eastAsia="en-AU"/>
        </w:rPr>
        <w:t>I</w:t>
      </w:r>
      <w:r w:rsidRPr="002D292E">
        <w:rPr>
          <w:lang w:val="en-CA" w:eastAsia="en-AU"/>
        </w:rPr>
        <w:t>mportant missing information ‘hepatic impairment’.</w:t>
      </w:r>
      <w:r w:rsidR="00A10B25">
        <w:rPr>
          <w:lang w:val="en-CA" w:eastAsia="en-AU"/>
        </w:rPr>
        <w:t xml:space="preserve"> </w:t>
      </w:r>
      <w:r w:rsidRPr="002D292E">
        <w:rPr>
          <w:lang w:val="en-CA" w:eastAsia="en-AU"/>
        </w:rPr>
        <w:t>It appears that both of these activities are ongoing but nevertheless further information about these activities (including projected milestones and reporting dates) should be provided in an update to the pharmacovigilance plan section of the RMP.</w:t>
      </w:r>
      <w:r w:rsidR="00A10B25">
        <w:rPr>
          <w:lang w:val="en-CA" w:eastAsia="en-AU"/>
        </w:rPr>
        <w:t xml:space="preserve"> </w:t>
      </w:r>
      <w:r w:rsidRPr="002D292E">
        <w:rPr>
          <w:lang w:val="en-CA" w:eastAsia="en-AU"/>
        </w:rPr>
        <w:t>Interim data for these studies should</w:t>
      </w:r>
      <w:r w:rsidR="00A10B25">
        <w:rPr>
          <w:lang w:val="en-CA" w:eastAsia="en-AU"/>
        </w:rPr>
        <w:t xml:space="preserve"> </w:t>
      </w:r>
      <w:r w:rsidRPr="002D292E">
        <w:rPr>
          <w:lang w:val="en-CA" w:eastAsia="en-AU"/>
        </w:rPr>
        <w:t>also be provided to the TGA if available.</w:t>
      </w:r>
    </w:p>
    <w:p w:rsidR="002D292E" w:rsidRPr="002D292E" w:rsidRDefault="002D292E" w:rsidP="00E0107D">
      <w:pPr>
        <w:rPr>
          <w:lang w:val="en-CA" w:eastAsia="en-AU"/>
        </w:rPr>
      </w:pPr>
      <w:r w:rsidRPr="002D292E">
        <w:rPr>
          <w:i/>
          <w:lang w:val="en-CA" w:eastAsia="en-AU"/>
        </w:rPr>
        <w:t>Table 10 Epidemiologic Study Exposure</w:t>
      </w:r>
      <w:r w:rsidRPr="002D292E">
        <w:rPr>
          <w:lang w:val="en-CA" w:eastAsia="en-AU"/>
        </w:rPr>
        <w:t xml:space="preserve"> (EU-RMP p32) lists </w:t>
      </w:r>
      <w:r w:rsidR="00A10B25">
        <w:rPr>
          <w:lang w:val="en-CA" w:eastAsia="en-AU"/>
        </w:rPr>
        <w:t>Study AI4</w:t>
      </w:r>
      <w:r w:rsidRPr="002D292E">
        <w:rPr>
          <w:lang w:val="en-CA" w:eastAsia="en-AU"/>
        </w:rPr>
        <w:t xml:space="preserve">24450, a prospective cohort study of children exposed to atazanavir. It appears that this study is a sponsor’s post-approval commitment to the </w:t>
      </w:r>
      <w:r w:rsidR="00442F45">
        <w:rPr>
          <w:lang w:val="en-CA" w:eastAsia="en-AU"/>
        </w:rPr>
        <w:t>EMA</w:t>
      </w:r>
      <w:r w:rsidRPr="002D292E">
        <w:rPr>
          <w:lang w:val="en-CA" w:eastAsia="en-AU"/>
        </w:rPr>
        <w:t xml:space="preserve"> however it is not included in the pharmacovigilance plan.</w:t>
      </w:r>
      <w:r w:rsidR="00A10B25">
        <w:rPr>
          <w:lang w:val="en-CA" w:eastAsia="en-AU"/>
        </w:rPr>
        <w:t xml:space="preserve"> </w:t>
      </w:r>
      <w:r w:rsidRPr="002D292E">
        <w:rPr>
          <w:lang w:val="en-CA" w:eastAsia="en-AU"/>
        </w:rPr>
        <w:t>The sponsor should provide more information about this study</w:t>
      </w:r>
      <w:r>
        <w:rPr>
          <w:lang w:val="en-CA" w:eastAsia="en-AU"/>
        </w:rPr>
        <w:t xml:space="preserve"> </w:t>
      </w:r>
      <w:r w:rsidRPr="002D292E">
        <w:rPr>
          <w:lang w:val="en-CA" w:eastAsia="en-AU"/>
        </w:rPr>
        <w:t>including how it applies to the pharmacovigilance plan. Interim data should be provided if available.</w:t>
      </w:r>
      <w:r w:rsidR="00A10B25">
        <w:rPr>
          <w:lang w:val="en-CA" w:eastAsia="en-AU"/>
        </w:rPr>
        <w:t xml:space="preserve"> </w:t>
      </w:r>
      <w:r w:rsidRPr="002D292E">
        <w:rPr>
          <w:lang w:val="en-CA" w:eastAsia="en-AU"/>
        </w:rPr>
        <w:t>For completeness, details of this study should also be included in an update to the pharmacovigilance plan section of the</w:t>
      </w:r>
      <w:r w:rsidR="00442F45">
        <w:rPr>
          <w:lang w:val="en-CA" w:eastAsia="en-AU"/>
        </w:rPr>
        <w:t xml:space="preserve"> </w:t>
      </w:r>
      <w:r w:rsidRPr="002D292E">
        <w:rPr>
          <w:lang w:val="en-CA" w:eastAsia="en-AU"/>
        </w:rPr>
        <w:t>RMP.</w:t>
      </w:r>
    </w:p>
    <w:p w:rsidR="008E7846" w:rsidRDefault="008E7846" w:rsidP="00E0107D">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442F45" w:rsidRPr="00442F45" w:rsidRDefault="00442F45" w:rsidP="00E0107D">
      <w:pPr>
        <w:rPr>
          <w:lang w:val="en-CA" w:eastAsia="en-AU"/>
        </w:rPr>
      </w:pPr>
      <w:bookmarkStart w:id="119" w:name="_Toc247691527"/>
      <w:r w:rsidRPr="00442F45">
        <w:rPr>
          <w:lang w:val="en-CA" w:eastAsia="en-AU"/>
        </w:rPr>
        <w:t>Routine risk minimisation (</w:t>
      </w:r>
      <w:r>
        <w:rPr>
          <w:lang w:val="en-CA" w:eastAsia="en-AU"/>
        </w:rPr>
        <w:t>that is,</w:t>
      </w:r>
      <w:r w:rsidRPr="00442F45">
        <w:rPr>
          <w:lang w:val="en-CA" w:eastAsia="en-AU"/>
        </w:rPr>
        <w:t xml:space="preserve"> product </w:t>
      </w:r>
      <w:r>
        <w:rPr>
          <w:lang w:val="en-CA" w:eastAsia="en-AU"/>
        </w:rPr>
        <w:t>labelling) wa</w:t>
      </w:r>
      <w:r w:rsidRPr="00442F45">
        <w:rPr>
          <w:lang w:val="en-CA" w:eastAsia="en-AU"/>
        </w:rPr>
        <w:t>s proposed by the sponsor to mitigate all of the safety concerns associated with atazanavir.</w:t>
      </w:r>
      <w:r w:rsidR="00A10B25">
        <w:rPr>
          <w:lang w:val="en-CA" w:eastAsia="en-AU"/>
        </w:rPr>
        <w:t xml:space="preserve"> </w:t>
      </w:r>
      <w:r w:rsidRPr="00442F45">
        <w:rPr>
          <w:lang w:val="en-CA" w:eastAsia="en-AU"/>
        </w:rPr>
        <w:t xml:space="preserve">This is consistent with the activities described in the EU-RMP previously approved by the </w:t>
      </w:r>
      <w:r>
        <w:rPr>
          <w:lang w:val="en-CA" w:eastAsia="en-AU"/>
        </w:rPr>
        <w:t>European medicines Agency (</w:t>
      </w:r>
      <w:r w:rsidRPr="00442F45">
        <w:rPr>
          <w:lang w:val="en-CA" w:eastAsia="en-AU"/>
        </w:rPr>
        <w:t>EMA</w:t>
      </w:r>
      <w:r>
        <w:rPr>
          <w:lang w:val="en-CA" w:eastAsia="en-AU"/>
        </w:rPr>
        <w:t>)</w:t>
      </w:r>
      <w:r w:rsidRPr="00442F45">
        <w:rPr>
          <w:lang w:val="en-CA" w:eastAsia="en-AU"/>
        </w:rPr>
        <w:t xml:space="preserve"> for a similar submission and</w:t>
      </w:r>
      <w:r>
        <w:rPr>
          <w:lang w:val="en-CA" w:eastAsia="en-AU"/>
        </w:rPr>
        <w:t xml:space="preserve"> wa</w:t>
      </w:r>
      <w:r w:rsidRPr="00442F45">
        <w:rPr>
          <w:lang w:val="en-CA" w:eastAsia="en-AU"/>
        </w:rPr>
        <w:t xml:space="preserve">s </w:t>
      </w:r>
      <w:r>
        <w:rPr>
          <w:lang w:val="en-CA" w:eastAsia="en-AU"/>
        </w:rPr>
        <w:t xml:space="preserve">considered to be </w:t>
      </w:r>
      <w:r w:rsidRPr="00442F45">
        <w:rPr>
          <w:lang w:val="en-CA" w:eastAsia="en-AU"/>
        </w:rPr>
        <w:t>acceptable</w:t>
      </w:r>
      <w:r w:rsidRPr="00442F45">
        <w:rPr>
          <w:vertAlign w:val="superscript"/>
          <w:lang w:val="en-CA" w:eastAsia="en-AU"/>
        </w:rPr>
        <w:t>1</w:t>
      </w:r>
      <w:r w:rsidRPr="00442F45">
        <w:rPr>
          <w:lang w:val="en-CA" w:eastAsia="en-AU"/>
        </w:rPr>
        <w:t>.</w:t>
      </w:r>
    </w:p>
    <w:p w:rsidR="00442F45" w:rsidRPr="00442F45" w:rsidRDefault="00442F45" w:rsidP="00E0107D">
      <w:pPr>
        <w:rPr>
          <w:lang w:val="en-CA" w:eastAsia="en-AU"/>
        </w:rPr>
      </w:pPr>
      <w:r w:rsidRPr="00442F45">
        <w:rPr>
          <w:lang w:val="en-CA" w:eastAsia="en-AU"/>
        </w:rPr>
        <w:t>In regard to the proposed routine ri</w:t>
      </w:r>
      <w:r>
        <w:rPr>
          <w:lang w:val="en-CA" w:eastAsia="en-AU"/>
        </w:rPr>
        <w:t>sk minimisation activities, it wa</w:t>
      </w:r>
      <w:r w:rsidRPr="00442F45">
        <w:rPr>
          <w:lang w:val="en-CA" w:eastAsia="en-AU"/>
        </w:rPr>
        <w:t>s recommended to the Delegate that the draft PI document is revised as follows:</w:t>
      </w:r>
    </w:p>
    <w:p w:rsidR="00442F45" w:rsidRPr="00442F45" w:rsidRDefault="00442F45" w:rsidP="00E0107D">
      <w:pPr>
        <w:rPr>
          <w:lang w:eastAsia="en-AU"/>
        </w:rPr>
      </w:pPr>
      <w:r w:rsidRPr="00442F45">
        <w:rPr>
          <w:lang w:val="en-CA" w:eastAsia="en-AU"/>
        </w:rPr>
        <w:t>The approved EU S</w:t>
      </w:r>
      <w:r>
        <w:rPr>
          <w:lang w:val="en-CA" w:eastAsia="en-AU"/>
        </w:rPr>
        <w:t>ummary of Product Characteristics (S</w:t>
      </w:r>
      <w:r w:rsidRPr="00442F45">
        <w:rPr>
          <w:lang w:val="en-CA" w:eastAsia="en-AU"/>
        </w:rPr>
        <w:t>mPC</w:t>
      </w:r>
      <w:r>
        <w:rPr>
          <w:lang w:val="en-CA" w:eastAsia="en-AU"/>
        </w:rPr>
        <w:t>)</w:t>
      </w:r>
      <w:r w:rsidRPr="00442F45">
        <w:rPr>
          <w:lang w:val="en-CA" w:eastAsia="en-AU"/>
        </w:rPr>
        <w:t xml:space="preserve"> contains the following statement regarding ‘QT prolongation’ in </w:t>
      </w:r>
      <w:r w:rsidRPr="00E0107D">
        <w:rPr>
          <w:i/>
          <w:lang w:val="en-CA" w:eastAsia="en-AU"/>
        </w:rPr>
        <w:t>Section 4.4 Special Warnings and Precautions for Use:</w:t>
      </w:r>
      <w:r w:rsidR="00A10B25" w:rsidRPr="00E0107D">
        <w:rPr>
          <w:i/>
          <w:lang w:val="en-CA" w:eastAsia="en-AU"/>
        </w:rPr>
        <w:t xml:space="preserve"> </w:t>
      </w:r>
      <w:r w:rsidRPr="00E0107D">
        <w:rPr>
          <w:i/>
          <w:lang w:val="en-CA" w:eastAsia="en-AU"/>
        </w:rPr>
        <w:t>“</w:t>
      </w:r>
      <w:r w:rsidRPr="00E0107D">
        <w:rPr>
          <w:i/>
          <w:lang w:eastAsia="en-AU"/>
        </w:rPr>
        <w:t>Particular caution should be used when prescribing REYATAZ in association with medicinal products which have the potential to increase the QT interval and/or in patients with pre-existing risk factors (bradycardia, long congenital QT, electrolyte imbalances (see sections 4.8 and 5.3)”</w:t>
      </w:r>
      <w:r w:rsidRPr="00442F45">
        <w:rPr>
          <w:lang w:eastAsia="en-AU"/>
        </w:rPr>
        <w:t>.</w:t>
      </w:r>
      <w:r w:rsidR="00A10B25">
        <w:rPr>
          <w:lang w:val="en-CA" w:eastAsia="en-AU"/>
        </w:rPr>
        <w:t xml:space="preserve"> </w:t>
      </w:r>
      <w:r>
        <w:rPr>
          <w:lang w:eastAsia="en-AU"/>
        </w:rPr>
        <w:t>It wa</w:t>
      </w:r>
      <w:r w:rsidRPr="00442F45">
        <w:rPr>
          <w:lang w:eastAsia="en-AU"/>
        </w:rPr>
        <w:t>s recommended that the sponsor should include a similar precaution in the Australian PI or provide a compelling justification for its exclusion. Inclusion of such a precaution would be considered part of routine risk minimisation for the Important potential risk ‘QT prolongation’.</w:t>
      </w:r>
    </w:p>
    <w:p w:rsidR="00442F45" w:rsidRPr="00442F45" w:rsidRDefault="00442F45" w:rsidP="00E0107D">
      <w:pPr>
        <w:rPr>
          <w:lang w:val="en-CA" w:eastAsia="en-AU"/>
        </w:rPr>
      </w:pPr>
      <w:r w:rsidRPr="00442F45">
        <w:rPr>
          <w:lang w:eastAsia="en-AU"/>
        </w:rPr>
        <w:t xml:space="preserve">The approved EU </w:t>
      </w:r>
      <w:proofErr w:type="spellStart"/>
      <w:r w:rsidRPr="00442F45">
        <w:rPr>
          <w:lang w:eastAsia="en-AU"/>
        </w:rPr>
        <w:t>SmPC</w:t>
      </w:r>
      <w:proofErr w:type="spellEnd"/>
      <w:r w:rsidRPr="00442F45">
        <w:rPr>
          <w:lang w:eastAsia="en-AU"/>
        </w:rPr>
        <w:t xml:space="preserve"> precaution regarding the Important potential risk ‘severe skin reactions’ includes the following additional statement:</w:t>
      </w:r>
      <w:r w:rsidR="00A10B25">
        <w:rPr>
          <w:lang w:eastAsia="en-AU"/>
        </w:rPr>
        <w:t xml:space="preserve"> </w:t>
      </w:r>
      <w:r w:rsidRPr="00442F45">
        <w:rPr>
          <w:lang w:eastAsia="en-AU"/>
        </w:rPr>
        <w:t>“</w:t>
      </w:r>
      <w:r w:rsidRPr="00442F45">
        <w:rPr>
          <w:i/>
          <w:lang w:eastAsia="en-AU"/>
        </w:rPr>
        <w:t>Patients should be advised of the signs and symptoms and monitored closely for skin reactions</w:t>
      </w:r>
      <w:r w:rsidRPr="00442F45">
        <w:rPr>
          <w:lang w:eastAsia="en-AU"/>
        </w:rPr>
        <w:t>”.</w:t>
      </w:r>
      <w:r w:rsidR="00A10B25">
        <w:rPr>
          <w:lang w:eastAsia="en-AU"/>
        </w:rPr>
        <w:t xml:space="preserve"> </w:t>
      </w:r>
      <w:r>
        <w:rPr>
          <w:lang w:eastAsia="en-AU"/>
        </w:rPr>
        <w:t>It wa</w:t>
      </w:r>
      <w:r w:rsidRPr="00442F45">
        <w:rPr>
          <w:lang w:eastAsia="en-AU"/>
        </w:rPr>
        <w:t xml:space="preserve">s the evaluator’s view that a similar statement should be included in the corresponding </w:t>
      </w:r>
      <w:r w:rsidRPr="00442F45">
        <w:rPr>
          <w:i/>
          <w:lang w:eastAsia="en-AU"/>
        </w:rPr>
        <w:t>Precaution</w:t>
      </w:r>
      <w:r w:rsidRPr="00442F45">
        <w:rPr>
          <w:lang w:eastAsia="en-AU"/>
        </w:rPr>
        <w:t xml:space="preserve"> in the Australian PI to strengthen the warning about the possibility of severe skin reactions.</w:t>
      </w:r>
    </w:p>
    <w:p w:rsidR="00442F45" w:rsidRPr="00442F45" w:rsidRDefault="00442F45" w:rsidP="00E0107D">
      <w:pPr>
        <w:rPr>
          <w:lang w:val="en-CA" w:eastAsia="en-AU"/>
        </w:rPr>
      </w:pPr>
      <w:r w:rsidRPr="00442F45">
        <w:rPr>
          <w:lang w:val="en-CA" w:eastAsia="en-AU"/>
        </w:rPr>
        <w:t>In regard to the proposed ri</w:t>
      </w:r>
      <w:r>
        <w:rPr>
          <w:lang w:val="en-CA" w:eastAsia="en-AU"/>
        </w:rPr>
        <w:t>sk minimisation activities, it wa</w:t>
      </w:r>
      <w:r w:rsidRPr="00442F45">
        <w:rPr>
          <w:lang w:val="en-CA" w:eastAsia="en-AU"/>
        </w:rPr>
        <w:t>s recommended to the Delegate that the draft Consumer</w:t>
      </w:r>
      <w:r>
        <w:rPr>
          <w:lang w:val="en-CA" w:eastAsia="en-AU"/>
        </w:rPr>
        <w:t xml:space="preserve"> </w:t>
      </w:r>
      <w:r w:rsidRPr="00442F45">
        <w:rPr>
          <w:lang w:val="en-CA" w:eastAsia="en-AU"/>
        </w:rPr>
        <w:t>Medicine Information document be revised to appropriately reflect the changes made to the PI as a result of the above recommendations.</w:t>
      </w:r>
    </w:p>
    <w:p w:rsidR="002801F2" w:rsidRPr="00442F45" w:rsidRDefault="00442F45" w:rsidP="00E0107D">
      <w:pPr>
        <w:rPr>
          <w:u w:val="single"/>
          <w:lang w:eastAsia="en-AU"/>
        </w:rPr>
      </w:pPr>
      <w:r w:rsidRPr="00442F45">
        <w:rPr>
          <w:lang w:eastAsia="en-AU"/>
        </w:rPr>
        <w:t>T</w:t>
      </w:r>
      <w:r w:rsidR="002801F2" w:rsidRPr="00442F45">
        <w:rPr>
          <w:lang w:eastAsia="en-AU"/>
        </w:rPr>
        <w:t>he sponsor’s response to the TGA</w:t>
      </w:r>
      <w:r w:rsidRPr="00442F45">
        <w:rPr>
          <w:lang w:eastAsia="en-AU"/>
        </w:rPr>
        <w:t>’s consolidated r</w:t>
      </w:r>
      <w:r w:rsidR="002801F2" w:rsidRPr="00442F45">
        <w:rPr>
          <w:lang w:eastAsia="en-AU"/>
        </w:rPr>
        <w:t xml:space="preserve">equest </w:t>
      </w:r>
      <w:r w:rsidRPr="00442F45">
        <w:rPr>
          <w:lang w:eastAsia="en-AU"/>
        </w:rPr>
        <w:t>for further information</w:t>
      </w:r>
      <w:r w:rsidR="002801F2" w:rsidRPr="00442F45">
        <w:rPr>
          <w:lang w:eastAsia="en-AU"/>
        </w:rPr>
        <w:t xml:space="preserve"> adequately addressed all of the issues identified in the RMP evaluation report</w:t>
      </w:r>
      <w:r w:rsidRPr="00442F45">
        <w:rPr>
          <w:lang w:eastAsia="en-AU"/>
        </w:rPr>
        <w:t xml:space="preserve"> (see above)</w:t>
      </w:r>
      <w:r w:rsidR="002801F2" w:rsidRPr="00442F45">
        <w:rPr>
          <w:lang w:eastAsia="en-AU"/>
        </w:rPr>
        <w:t>.</w:t>
      </w:r>
    </w:p>
    <w:p w:rsidR="008E7846" w:rsidRDefault="008E7846" w:rsidP="00E0107D">
      <w:pPr>
        <w:pStyle w:val="Heading4"/>
        <w:rPr>
          <w:lang w:eastAsia="en-AU"/>
        </w:rPr>
      </w:pPr>
      <w:r>
        <w:rPr>
          <w:lang w:eastAsia="en-AU"/>
        </w:rPr>
        <w:t xml:space="preserve">Summary of </w:t>
      </w:r>
      <w:r w:rsidR="003A7F6C">
        <w:rPr>
          <w:lang w:eastAsia="en-AU"/>
        </w:rPr>
        <w:t>r</w:t>
      </w:r>
      <w:r>
        <w:rPr>
          <w:lang w:eastAsia="en-AU"/>
        </w:rPr>
        <w:t>ecommendations</w:t>
      </w:r>
    </w:p>
    <w:p w:rsidR="002801F2" w:rsidRPr="002801F2" w:rsidRDefault="002801F2" w:rsidP="00E0107D">
      <w:pPr>
        <w:rPr>
          <w:lang w:eastAsia="en-AU"/>
        </w:rPr>
      </w:pPr>
      <w:r w:rsidRPr="002801F2">
        <w:rPr>
          <w:lang w:eastAsia="en-AU"/>
        </w:rPr>
        <w:t xml:space="preserve">There </w:t>
      </w:r>
      <w:r w:rsidR="00442F45">
        <w:rPr>
          <w:lang w:eastAsia="en-AU"/>
        </w:rPr>
        <w:t>were</w:t>
      </w:r>
      <w:r w:rsidRPr="002801F2">
        <w:rPr>
          <w:lang w:eastAsia="en-AU"/>
        </w:rPr>
        <w:t xml:space="preserve"> no outstanding issues in relation to the RMP for this submission.</w:t>
      </w:r>
    </w:p>
    <w:p w:rsidR="002801F2" w:rsidRPr="002801F2" w:rsidRDefault="002801F2" w:rsidP="00E0107D">
      <w:pPr>
        <w:rPr>
          <w:lang w:eastAsia="en-AU"/>
        </w:rPr>
      </w:pPr>
      <w:r w:rsidRPr="002801F2">
        <w:rPr>
          <w:lang w:eastAsia="en-AU"/>
        </w:rPr>
        <w:t>ACSOM advice was not sought for this submission.</w:t>
      </w:r>
    </w:p>
    <w:p w:rsidR="002801F2" w:rsidRPr="002801F2" w:rsidRDefault="002801F2" w:rsidP="00E0107D">
      <w:pPr>
        <w:pStyle w:val="Heading5"/>
        <w:rPr>
          <w:lang w:eastAsia="en-AU"/>
        </w:rPr>
      </w:pPr>
      <w:r w:rsidRPr="002801F2">
        <w:rPr>
          <w:lang w:eastAsia="en-AU"/>
        </w:rPr>
        <w:t xml:space="preserve">Key changes to the updated RMP </w:t>
      </w:r>
    </w:p>
    <w:p w:rsidR="002801F2" w:rsidRDefault="002801F2" w:rsidP="00E0107D">
      <w:pPr>
        <w:rPr>
          <w:lang w:eastAsia="en-AU"/>
        </w:rPr>
      </w:pPr>
      <w:r w:rsidRPr="002801F2">
        <w:rPr>
          <w:lang w:eastAsia="en-AU"/>
        </w:rPr>
        <w:t>In their response to the TGA</w:t>
      </w:r>
      <w:r w:rsidR="00442F45">
        <w:rPr>
          <w:lang w:eastAsia="en-AU"/>
        </w:rPr>
        <w:t>’s consolidated</w:t>
      </w:r>
      <w:r w:rsidRPr="002801F2">
        <w:rPr>
          <w:lang w:eastAsia="en-AU"/>
        </w:rPr>
        <w:t xml:space="preserve"> </w:t>
      </w:r>
      <w:r w:rsidR="00442F45">
        <w:rPr>
          <w:lang w:eastAsia="en-AU"/>
        </w:rPr>
        <w:t>r</w:t>
      </w:r>
      <w:r w:rsidRPr="002801F2">
        <w:rPr>
          <w:lang w:eastAsia="en-AU"/>
        </w:rPr>
        <w:t xml:space="preserve">equests </w:t>
      </w:r>
      <w:r w:rsidR="00442F45">
        <w:rPr>
          <w:lang w:eastAsia="en-AU"/>
        </w:rPr>
        <w:t xml:space="preserve">for further information </w:t>
      </w:r>
      <w:r w:rsidRPr="002801F2">
        <w:rPr>
          <w:lang w:eastAsia="en-AU"/>
        </w:rPr>
        <w:t xml:space="preserve">the sponsor provided an updated RMP (version 5, dated 6 July 2012). Key changes from the version evaluated </w:t>
      </w:r>
      <w:r w:rsidR="00442F45">
        <w:rPr>
          <w:lang w:eastAsia="en-AU"/>
        </w:rPr>
        <w:t xml:space="preserve">above </w:t>
      </w:r>
      <w:r w:rsidR="00B7021E">
        <w:rPr>
          <w:lang w:eastAsia="en-AU"/>
        </w:rPr>
        <w:t>are summarised below (Table 14).</w:t>
      </w:r>
    </w:p>
    <w:p w:rsidR="00B7021E" w:rsidRDefault="00B7021E" w:rsidP="00E0107D">
      <w:pPr>
        <w:pStyle w:val="TableTitle"/>
        <w:rPr>
          <w:lang w:eastAsia="en-AU"/>
        </w:rPr>
      </w:pPr>
      <w:r>
        <w:rPr>
          <w:lang w:eastAsia="en-AU"/>
        </w:rPr>
        <w:t>Table 14. Key RMP changes</w:t>
      </w:r>
    </w:p>
    <w:tbl>
      <w:tblPr>
        <w:tblStyle w:val="TableTGAblue"/>
        <w:tblW w:w="0" w:type="auto"/>
        <w:tblInd w:w="534" w:type="dxa"/>
        <w:tblLook w:val="04A0"/>
      </w:tblPr>
      <w:tblGrid>
        <w:gridCol w:w="2409"/>
        <w:gridCol w:w="5387"/>
      </w:tblGrid>
      <w:tr w:rsidR="00442F45" w:rsidTr="00E0107D">
        <w:trPr>
          <w:cnfStyle w:val="100000000000"/>
          <w:tblHeader/>
        </w:trPr>
        <w:tc>
          <w:tcPr>
            <w:tcW w:w="2409" w:type="dxa"/>
          </w:tcPr>
          <w:p w:rsidR="00442F45" w:rsidRPr="00B932B9" w:rsidRDefault="00442F45" w:rsidP="00E0107D">
            <w:r w:rsidRPr="00B932B9">
              <w:t>Section</w:t>
            </w:r>
          </w:p>
        </w:tc>
        <w:tc>
          <w:tcPr>
            <w:tcW w:w="5387" w:type="dxa"/>
          </w:tcPr>
          <w:p w:rsidR="00442F45" w:rsidRPr="00B932B9" w:rsidRDefault="00442F45" w:rsidP="00E0107D">
            <w:r w:rsidRPr="00B932B9">
              <w:t>Change</w:t>
            </w:r>
          </w:p>
        </w:tc>
      </w:tr>
      <w:tr w:rsidR="00442F45" w:rsidTr="00704C6C">
        <w:tc>
          <w:tcPr>
            <w:tcW w:w="2409" w:type="dxa"/>
          </w:tcPr>
          <w:p w:rsidR="00442F45" w:rsidRPr="00B932B9" w:rsidRDefault="00442F45" w:rsidP="00E0107D">
            <w:r w:rsidRPr="00B932B9">
              <w:t>Safety specification</w:t>
            </w:r>
          </w:p>
        </w:tc>
        <w:tc>
          <w:tcPr>
            <w:tcW w:w="5387" w:type="dxa"/>
          </w:tcPr>
          <w:p w:rsidR="00442F45" w:rsidRPr="00B932B9" w:rsidRDefault="00442F45" w:rsidP="00E0107D">
            <w:r w:rsidRPr="00B932B9">
              <w:t>Updated pregnancy and post-marketing exposure data</w:t>
            </w:r>
          </w:p>
          <w:p w:rsidR="00442F45" w:rsidRPr="00B932B9" w:rsidRDefault="00442F45" w:rsidP="00E0107D">
            <w:r w:rsidRPr="00B932B9">
              <w:t xml:space="preserve">Additional drug-drug interactions with </w:t>
            </w:r>
            <w:proofErr w:type="spellStart"/>
            <w:r w:rsidRPr="00B932B9">
              <w:t>famotidine</w:t>
            </w:r>
            <w:proofErr w:type="spellEnd"/>
            <w:r w:rsidRPr="00B932B9">
              <w:t xml:space="preserve">, </w:t>
            </w:r>
            <w:proofErr w:type="spellStart"/>
            <w:r w:rsidRPr="00B932B9">
              <w:t>voriconazole</w:t>
            </w:r>
            <w:proofErr w:type="spellEnd"/>
            <w:r w:rsidRPr="00B932B9">
              <w:t xml:space="preserve">, </w:t>
            </w:r>
            <w:proofErr w:type="spellStart"/>
            <w:r w:rsidRPr="00B932B9">
              <w:t>boceprevir</w:t>
            </w:r>
            <w:proofErr w:type="spellEnd"/>
            <w:r w:rsidRPr="00B932B9">
              <w:t xml:space="preserve"> and statins.</w:t>
            </w:r>
          </w:p>
          <w:p w:rsidR="00442F45" w:rsidRPr="00B932B9" w:rsidRDefault="00442F45" w:rsidP="00E0107D">
            <w:r w:rsidRPr="00B932B9">
              <w:t xml:space="preserve">Renal impairment has been added as a separate subsection under relevant co-morbidities </w:t>
            </w:r>
          </w:p>
        </w:tc>
      </w:tr>
      <w:tr w:rsidR="00442F45" w:rsidTr="00704C6C">
        <w:tc>
          <w:tcPr>
            <w:tcW w:w="2409" w:type="dxa"/>
          </w:tcPr>
          <w:p w:rsidR="00442F45" w:rsidRPr="00B932B9" w:rsidRDefault="00442F45" w:rsidP="00E0107D">
            <w:r w:rsidRPr="00B932B9">
              <w:t>Pharmacovigilance activities</w:t>
            </w:r>
          </w:p>
        </w:tc>
        <w:tc>
          <w:tcPr>
            <w:tcW w:w="5387" w:type="dxa"/>
          </w:tcPr>
          <w:p w:rsidR="00442F45" w:rsidRPr="00B932B9" w:rsidRDefault="00442F45" w:rsidP="00E0107D">
            <w:r w:rsidRPr="00B932B9">
              <w:t>Nil significant</w:t>
            </w:r>
          </w:p>
        </w:tc>
      </w:tr>
      <w:tr w:rsidR="00442F45" w:rsidTr="00704C6C">
        <w:tc>
          <w:tcPr>
            <w:tcW w:w="2409" w:type="dxa"/>
          </w:tcPr>
          <w:p w:rsidR="00442F45" w:rsidRPr="00B932B9" w:rsidRDefault="00442F45" w:rsidP="00E0107D">
            <w:r w:rsidRPr="00B932B9">
              <w:t>Risk minimisation activities</w:t>
            </w:r>
          </w:p>
        </w:tc>
        <w:tc>
          <w:tcPr>
            <w:tcW w:w="5387" w:type="dxa"/>
          </w:tcPr>
          <w:p w:rsidR="00442F45" w:rsidRPr="00B932B9" w:rsidRDefault="00442F45" w:rsidP="00E0107D">
            <w:r w:rsidRPr="00B932B9">
              <w:t>Nil significant</w:t>
            </w:r>
          </w:p>
        </w:tc>
      </w:tr>
    </w:tbl>
    <w:p w:rsidR="002801F2" w:rsidRPr="002801F2" w:rsidRDefault="002801F2" w:rsidP="00E0107D">
      <w:pPr>
        <w:rPr>
          <w:lang w:eastAsia="en-AU"/>
        </w:rPr>
      </w:pPr>
      <w:r w:rsidRPr="002801F2">
        <w:rPr>
          <w:lang w:eastAsia="en-AU"/>
        </w:rPr>
        <w:t>The evaluator ha</w:t>
      </w:r>
      <w:r w:rsidR="00442F45">
        <w:rPr>
          <w:lang w:eastAsia="en-AU"/>
        </w:rPr>
        <w:t>d</w:t>
      </w:r>
      <w:r w:rsidRPr="002801F2">
        <w:rPr>
          <w:lang w:eastAsia="en-AU"/>
        </w:rPr>
        <w:t xml:space="preserve"> no objection to the above changes and recommend</w:t>
      </w:r>
      <w:r w:rsidR="00442F45">
        <w:rPr>
          <w:lang w:eastAsia="en-AU"/>
        </w:rPr>
        <w:t>ed</w:t>
      </w:r>
      <w:r w:rsidRPr="002801F2">
        <w:rPr>
          <w:lang w:eastAsia="en-AU"/>
        </w:rPr>
        <w:t xml:space="preserve"> to the Delegate that the updated version</w:t>
      </w:r>
      <w:r w:rsidR="00442F45">
        <w:rPr>
          <w:lang w:eastAsia="en-AU"/>
        </w:rPr>
        <w:t xml:space="preserve"> wa</w:t>
      </w:r>
      <w:r w:rsidRPr="002801F2">
        <w:rPr>
          <w:lang w:eastAsia="en-AU"/>
        </w:rPr>
        <w:t>s implemented (see below).</w:t>
      </w:r>
    </w:p>
    <w:p w:rsidR="002801F2" w:rsidRPr="00D4255B" w:rsidRDefault="002801F2" w:rsidP="00D4255B">
      <w:pPr>
        <w:pStyle w:val="Heading5"/>
      </w:pPr>
      <w:r w:rsidRPr="002801F2">
        <w:rPr>
          <w:lang w:eastAsia="en-AU"/>
        </w:rPr>
        <w:t>Suggested wording</w:t>
      </w:r>
      <w:r w:rsidR="00D4255B">
        <w:rPr>
          <w:lang w:eastAsia="en-AU"/>
        </w:rPr>
        <w:t xml:space="preserve"> for conditions of registration</w:t>
      </w:r>
    </w:p>
    <w:p w:rsidR="002801F2" w:rsidRPr="002801F2" w:rsidRDefault="002801F2" w:rsidP="00D4255B">
      <w:pPr>
        <w:pStyle w:val="ListBullet"/>
        <w:rPr>
          <w:lang w:eastAsia="en-AU"/>
        </w:rPr>
      </w:pPr>
      <w:r w:rsidRPr="002801F2">
        <w:rPr>
          <w:lang w:eastAsia="en-AU"/>
        </w:rPr>
        <w:t>Implement RMP (version 5, dated 6 July 2012) with Australian Specific Annex (version 2, dated 20 November 2012) and any future updates as a condition of registration.</w:t>
      </w:r>
    </w:p>
    <w:p w:rsidR="00442F45" w:rsidRPr="00630D5D" w:rsidRDefault="00442F45" w:rsidP="00D4255B">
      <w:pPr>
        <w:pStyle w:val="ListBullet"/>
      </w:pPr>
      <w:bookmarkStart w:id="120" w:name="_Toc314842510"/>
      <w:r w:rsidRPr="00630D5D">
        <w:t>The Reyataz containing atazanavir Risk Management Plan (RMP), version 5, dated 6 July 2012 with Australian Specific Annex (version 2, dated 20 November 2012), included with submission PM-2012-01034-3-2, and any subsequent revisions, as agreed with the TGA will be implemented in Australia.</w:t>
      </w:r>
    </w:p>
    <w:p w:rsidR="00442F45" w:rsidRPr="00630D5D" w:rsidRDefault="00442F45" w:rsidP="00D4255B">
      <w:pPr>
        <w:pStyle w:val="ListBullet"/>
        <w:numPr>
          <w:ilvl w:val="0"/>
          <w:numId w:val="0"/>
        </w:numPr>
        <w:ind w:left="360"/>
      </w:pPr>
      <w:r w:rsidRPr="00630D5D">
        <w:t>An obligatory component of Risk Management Plans is Routine Pharmacovigilance.</w:t>
      </w:r>
      <w:r w:rsidR="00A10B25">
        <w:t xml:space="preserve"> </w:t>
      </w:r>
      <w:r w:rsidRPr="00630D5D">
        <w:t>Routine Pharmacovigilance includes the submission of Periodic Safety Update Reports (PSURs).</w:t>
      </w:r>
      <w:r w:rsidR="00852FEC">
        <w:t xml:space="preserve"> </w:t>
      </w:r>
      <w:r w:rsidRPr="00630D5D">
        <w:t>Reports are to be provided annually until the period covered by such reports is not less than three years from the date of this approval letter. No fewer than three annual reports are required.</w:t>
      </w:r>
      <w:r w:rsidR="00A10B25">
        <w:t xml:space="preserve"> </w:t>
      </w:r>
      <w:r w:rsidRPr="00630D5D">
        <w:t>The reports are to at least meet the requirements for Periodic Safety Update Reports (PSURs) as described in the European Medicines Agency’s Guideline on Good Pharmacovigilance Practices (GVP) Module VII-Periodic Safety Update Report, Part VII.B. "</w:t>
      </w:r>
      <w:r w:rsidRPr="00B932B9">
        <w:rPr>
          <w:i/>
        </w:rPr>
        <w:t>Structures and processes</w:t>
      </w:r>
      <w:r w:rsidRPr="00630D5D">
        <w:t>". Note that submission of a PSUR does not constitute an application to vary the registration. Each report must have been prepared within ninety calendar days of the data lock point for that report.</w:t>
      </w:r>
    </w:p>
    <w:p w:rsidR="00442F45" w:rsidRPr="00630D5D" w:rsidRDefault="00442F45" w:rsidP="00D4255B">
      <w:pPr>
        <w:pStyle w:val="ListBullet"/>
        <w:numPr>
          <w:ilvl w:val="0"/>
          <w:numId w:val="0"/>
        </w:numPr>
        <w:ind w:left="360"/>
      </w:pPr>
      <w:r w:rsidRPr="00630D5D">
        <w:t>Unless agreed separately between the supplier who is the recipient of the approval and the TGA, the first report must be submitted to TGA no later than 15 calendar months after the date of this approval letter.</w:t>
      </w:r>
      <w:r w:rsidR="00A10B25">
        <w:t xml:space="preserve"> </w:t>
      </w:r>
      <w:r w:rsidRPr="00630D5D">
        <w:t>The subsequent reports must be submitted no less frequently than annually from the date of the first submitted report until the period covered by such reports is not less than three years from th</w:t>
      </w:r>
      <w:r w:rsidR="00D4255B">
        <w:t>e date of this approval letter.</w:t>
      </w:r>
    </w:p>
    <w:p w:rsidR="00442F45" w:rsidRPr="00630D5D" w:rsidRDefault="00442F45" w:rsidP="00D4255B">
      <w:pPr>
        <w:pStyle w:val="ListBullet"/>
        <w:numPr>
          <w:ilvl w:val="0"/>
          <w:numId w:val="0"/>
        </w:numPr>
        <w:ind w:left="360"/>
      </w:pPr>
      <w:r w:rsidRPr="00630D5D">
        <w:t>The annual submission may be made up of two Periodic Safety Update Reports each covering six months.</w:t>
      </w:r>
      <w:r w:rsidR="00A10B25">
        <w:t xml:space="preserve"> </w:t>
      </w:r>
      <w:r w:rsidRPr="00630D5D">
        <w:t>If the sponsor wishes, the six monthly reports may be submitted separately as they become available.</w:t>
      </w:r>
      <w:r w:rsidR="00A10B25">
        <w:t xml:space="preserve"> </w:t>
      </w:r>
    </w:p>
    <w:p w:rsidR="008E7846" w:rsidRPr="00792A32" w:rsidRDefault="008E7846" w:rsidP="00D4255B">
      <w:pPr>
        <w:pStyle w:val="Heading2"/>
      </w:pPr>
      <w:bookmarkStart w:id="121" w:name="_Toc371428597"/>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99"/>
      <w:bookmarkEnd w:id="119"/>
      <w:bookmarkEnd w:id="120"/>
      <w:bookmarkEnd w:id="121"/>
    </w:p>
    <w:p w:rsidR="008E7846" w:rsidRDefault="008E7846" w:rsidP="00D4255B">
      <w:bookmarkStart w:id="122" w:name="_Toc247691528"/>
      <w:r>
        <w:t xml:space="preserve">The submission was summarised in the following </w:t>
      </w:r>
      <w:r w:rsidRPr="00EF5C48">
        <w:t xml:space="preserve">Delegate’s </w:t>
      </w:r>
      <w:r>
        <w:t>overview</w:t>
      </w:r>
      <w:r w:rsidRPr="00EF5C48">
        <w:t xml:space="preserve"> and recommendation</w:t>
      </w:r>
      <w:r>
        <w:t>s:</w:t>
      </w:r>
    </w:p>
    <w:p w:rsidR="00704C6C" w:rsidRDefault="00704C6C" w:rsidP="00D4255B">
      <w:pPr>
        <w:pStyle w:val="Heading3"/>
      </w:pPr>
      <w:bookmarkStart w:id="123" w:name="_Toc371428598"/>
      <w:r>
        <w:t>Introduction</w:t>
      </w:r>
      <w:bookmarkEnd w:id="123"/>
    </w:p>
    <w:p w:rsidR="00E44723" w:rsidRDefault="00E44723" w:rsidP="00D4255B">
      <w:r w:rsidRPr="00E44723">
        <w:t>The submission comprised POPPK modelling and simulation analyses of data from 4 clinical studies (AI424008, AI424089, AI424137 and AI424020) to support the proposed dosage changes, as well as updated paediatric safety data and efficacy data (through 96 weeks) from Study AI424020.</w:t>
      </w:r>
      <w:r w:rsidR="00A10B25">
        <w:t xml:space="preserve"> </w:t>
      </w:r>
      <w:r w:rsidRPr="00E44723">
        <w:t>The company study report for AI424020 included in the current submission focused on data from subjects aged 6 to &lt; 18 years treated with ATV capsules, with or without RTV (ATV Capsule Cohort; n=105) and a subgroup of subjects in this cohort treated with the newly proposed ATV/RTV capsule doses</w:t>
      </w:r>
      <w:r w:rsidRPr="00E44723">
        <w:rPr>
          <w:b/>
          <w:i/>
        </w:rPr>
        <w:t xml:space="preserve"> </w:t>
      </w:r>
      <w:r w:rsidRPr="00E44723">
        <w:t>(ATV/RTV Capsule Recommended Dose Cohort; n=7).</w:t>
      </w:r>
    </w:p>
    <w:p w:rsidR="00704C6C" w:rsidRPr="00704C6C" w:rsidRDefault="00704C6C" w:rsidP="00D4255B">
      <w:r w:rsidRPr="00704C6C">
        <w:t>The approved ATV/RTV dosage regimen in paediatric patients was based on the results of Study AI424020, an ongoing multicentre, open-label study undertaken to determine the safety, PKs and optimal dose of ATV powder and capsules, administered with or without RTV, in treatment naive or treatment experienced HIV-infected patients aged 91 days to 21 years. A dosage of ATV 205 mg/m</w:t>
      </w:r>
      <w:r w:rsidRPr="00704C6C">
        <w:rPr>
          <w:vertAlign w:val="superscript"/>
        </w:rPr>
        <w:t>2</w:t>
      </w:r>
      <w:r w:rsidRPr="00704C6C">
        <w:t xml:space="preserve"> + RTV 100 mg/m</w:t>
      </w:r>
      <w:r w:rsidRPr="00704C6C">
        <w:rPr>
          <w:vertAlign w:val="superscript"/>
        </w:rPr>
        <w:t>2</w:t>
      </w:r>
      <w:r w:rsidRPr="00704C6C">
        <w:t xml:space="preserve"> up to a maximum dose of 100 mg RTV produced area under the concentration-time curves (AUC) and 24 hour trough concentration (C</w:t>
      </w:r>
      <w:r w:rsidRPr="00704C6C">
        <w:rPr>
          <w:vertAlign w:val="subscript"/>
        </w:rPr>
        <w:t>24</w:t>
      </w:r>
      <w:r w:rsidRPr="00704C6C">
        <w:t xml:space="preserve">) values comparable that observed for adults receiving once daily ATV 300 mg + RTV 100 mg. From this, efficacy and safety comparable to that seen in adults could be reasonably extrapolated, supported by non-comparative efficacy and safety data to 24 weeks that showed virologic and immunologic efficacy with ATV/RTV in treatment-naive and treatment-experienced patents and no new safety signals (consistent with the TGA-adopted EU </w:t>
      </w:r>
      <w:r w:rsidRPr="00704C6C">
        <w:rPr>
          <w:bCs/>
          <w:i/>
        </w:rPr>
        <w:t xml:space="preserve">Guideline on the Clinical Development of Medicinal Products for the Treatment of HIV Infection </w:t>
      </w:r>
      <w:r w:rsidRPr="00704C6C">
        <w:rPr>
          <w:i/>
        </w:rPr>
        <w:t>EMEA/CPMP/EWP/633/02</w:t>
      </w:r>
      <w:r w:rsidRPr="00704C6C">
        <w:t>).</w:t>
      </w:r>
    </w:p>
    <w:p w:rsidR="00704C6C" w:rsidRPr="00704C6C" w:rsidRDefault="00704C6C" w:rsidP="00D4255B">
      <w:r w:rsidRPr="00704C6C">
        <w:t>The sponsor wishes to simplify the paediatric dosage recommendations because the current body weight dosing bands are less than ideal and limited to weights ≥20kg. Furthermore, a 250 mg dose (which is currently recommended for patients with body weights from 32 to &lt;39kg) requires the administration of two different strength capsules, which adds pill load and potentially increases the likelihood of dosage errors and non-compliance. A simplified regimen, with removal of a dose change at 32 kg is considered easier to manage in clinical practice. The proposed dosage changes have been approved in the EU, the USA, Canada and Switzerland (see below).</w:t>
      </w:r>
    </w:p>
    <w:p w:rsidR="008E7846" w:rsidRDefault="008E7846" w:rsidP="00D4255B">
      <w:pPr>
        <w:pStyle w:val="Heading3"/>
      </w:pPr>
      <w:bookmarkStart w:id="124" w:name="_Toc314842511"/>
      <w:bookmarkStart w:id="125" w:name="_Toc371428599"/>
      <w:r>
        <w:t>Quality</w:t>
      </w:r>
      <w:bookmarkEnd w:id="122"/>
      <w:bookmarkEnd w:id="124"/>
      <w:bookmarkEnd w:id="125"/>
    </w:p>
    <w:p w:rsidR="00E45619" w:rsidRDefault="008E7846" w:rsidP="00D4255B">
      <w:r>
        <w:t>There was no requirement for a quality evaluation in a submission of this type.</w:t>
      </w:r>
    </w:p>
    <w:p w:rsidR="008E7846" w:rsidRDefault="008E7846" w:rsidP="00D4255B">
      <w:pPr>
        <w:pStyle w:val="Heading3"/>
      </w:pPr>
      <w:bookmarkStart w:id="126" w:name="_Toc314842512"/>
      <w:bookmarkStart w:id="127" w:name="_Toc371428600"/>
      <w:r>
        <w:t>Nonclinical</w:t>
      </w:r>
      <w:bookmarkEnd w:id="126"/>
      <w:bookmarkEnd w:id="127"/>
    </w:p>
    <w:p w:rsidR="00E44723" w:rsidRDefault="008E7846" w:rsidP="00D4255B">
      <w:r>
        <w:t>There was no requirement for a nonclinical evaluation in a submission of this type.</w:t>
      </w:r>
      <w:bookmarkStart w:id="128" w:name="_Toc247691530"/>
      <w:bookmarkStart w:id="129" w:name="_Toc314842513"/>
    </w:p>
    <w:p w:rsidR="008E7846" w:rsidRDefault="008E7846" w:rsidP="00D4255B">
      <w:pPr>
        <w:pStyle w:val="Heading3"/>
      </w:pPr>
      <w:bookmarkStart w:id="130" w:name="_Toc371428601"/>
      <w:r>
        <w:t>Clinical</w:t>
      </w:r>
      <w:bookmarkEnd w:id="128"/>
      <w:bookmarkEnd w:id="129"/>
      <w:bookmarkEnd w:id="130"/>
    </w:p>
    <w:p w:rsidR="00BC1BE2" w:rsidRPr="00BC1BE2" w:rsidRDefault="00BC1BE2" w:rsidP="00D4255B">
      <w:pPr>
        <w:pStyle w:val="Heading4"/>
      </w:pPr>
      <w:bookmarkStart w:id="131" w:name="_Toc314842514"/>
      <w:r w:rsidRPr="00BC1BE2">
        <w:t xml:space="preserve">Population </w:t>
      </w:r>
      <w:r w:rsidR="00D4255B">
        <w:t>p</w:t>
      </w:r>
      <w:r w:rsidR="00A10B25">
        <w:t>harmacokinetic (POPK</w:t>
      </w:r>
      <w:r w:rsidRPr="00BC1BE2">
        <w:t>K</w:t>
      </w:r>
      <w:r w:rsidR="00A10B25">
        <w:t>)</w:t>
      </w:r>
      <w:r w:rsidR="00D4255B">
        <w:t xml:space="preserve"> analyses</w:t>
      </w:r>
    </w:p>
    <w:p w:rsidR="00BC1BE2" w:rsidRPr="00BC1BE2" w:rsidRDefault="00BC1BE2" w:rsidP="00D4255B">
      <w:r w:rsidRPr="00BC1BE2">
        <w:t>There have been 2 separate evaluations of the sponsor’s POPPK modelling and simulation analyses.</w:t>
      </w:r>
      <w:r w:rsidR="00A10B25">
        <w:t xml:space="preserve"> </w:t>
      </w:r>
      <w:r w:rsidRPr="00BC1BE2">
        <w:t>One evaluation was undertaken by a</w:t>
      </w:r>
      <w:r w:rsidR="00A10B25">
        <w:t>n</w:t>
      </w:r>
      <w:r w:rsidRPr="00BC1BE2">
        <w:t xml:space="preserve"> expert on POPPKs who</w:t>
      </w:r>
      <w:r w:rsidRPr="00BC1BE2">
        <w:rPr>
          <w:lang w:val="en-US"/>
        </w:rPr>
        <w:t xml:space="preserve"> was asked to compare the sponsor’s POPPK study report with requirements of the </w:t>
      </w:r>
      <w:r w:rsidRPr="00BC1BE2">
        <w:t>TGA</w:t>
      </w:r>
      <w:r w:rsidR="00A10B25">
        <w:t xml:space="preserve"> </w:t>
      </w:r>
      <w:r w:rsidRPr="00BC1BE2">
        <w:t xml:space="preserve">adopted EU </w:t>
      </w:r>
      <w:r w:rsidRPr="00BC1BE2">
        <w:rPr>
          <w:i/>
        </w:rPr>
        <w:t>Guideline on Reporting the Results of Population Pharmacokinetic Analyses CHMP/EWP/185990/06</w:t>
      </w:r>
      <w:r w:rsidRPr="00BC1BE2">
        <w:rPr>
          <w:lang w:val="en-US"/>
        </w:rPr>
        <w:t xml:space="preserve">. </w:t>
      </w:r>
      <w:r w:rsidRPr="00BC1BE2">
        <w:t>A second evaluation was undertaken by a</w:t>
      </w:r>
      <w:r w:rsidR="00A10B25">
        <w:t>nother</w:t>
      </w:r>
      <w:r w:rsidRPr="00BC1BE2">
        <w:t xml:space="preserve"> clinical evaluator who also evaluated the updated efficacy</w:t>
      </w:r>
      <w:r w:rsidR="00A10B25">
        <w:t>, safety and PK data from S</w:t>
      </w:r>
      <w:r w:rsidRPr="00BC1BE2">
        <w:t>tudy AI424020.</w:t>
      </w:r>
      <w:r w:rsidR="00A10B25">
        <w:t xml:space="preserve"> </w:t>
      </w:r>
      <w:r w:rsidRPr="00BC1BE2">
        <w:t>Both the POPPK evaluator and the clinical evaluator concluded that the POPPK modelling supported the proposed changes to the paediatric dosage regimen.</w:t>
      </w:r>
      <w:r w:rsidR="00A10B25">
        <w:t xml:space="preserve"> </w:t>
      </w:r>
      <w:r w:rsidRPr="00BC1BE2">
        <w:t>However, the clinical evaluator expressed a number of reservations about limitations of the data.</w:t>
      </w:r>
    </w:p>
    <w:p w:rsidR="00BC1BE2" w:rsidRPr="00BC1BE2" w:rsidRDefault="00BC1BE2" w:rsidP="00D4255B">
      <w:r w:rsidRPr="0013210E">
        <w:t xml:space="preserve">The submission was also referred to the </w:t>
      </w:r>
      <w:r w:rsidR="00A10B25" w:rsidRPr="0013210E">
        <w:t>Pharmaceutical Sub Committee (</w:t>
      </w:r>
      <w:r w:rsidRPr="0013210E">
        <w:t>PSC</w:t>
      </w:r>
      <w:r w:rsidR="00A10B25" w:rsidRPr="0013210E">
        <w:t>) of th</w:t>
      </w:r>
      <w:r w:rsidR="00B932B9" w:rsidRPr="0013210E">
        <w:t>e</w:t>
      </w:r>
      <w:r w:rsidR="00A10B25" w:rsidRPr="0013210E">
        <w:t xml:space="preserve"> Advisory Committee on Prescription Medicines (ACPM)</w:t>
      </w:r>
      <w:r w:rsidRPr="0013210E">
        <w:t xml:space="preserve"> on 25 March 2013 </w:t>
      </w:r>
      <w:r w:rsidR="00704C6C" w:rsidRPr="0013210E">
        <w:t>D</w:t>
      </w:r>
      <w:r w:rsidRPr="0013210E">
        <w:t>uring the course of the PSC’s deliberations, members of the committee with expertise in POPPK modelling noted some very unusual practices had been used in the analysis.</w:t>
      </w:r>
      <w:r w:rsidR="00A10B25" w:rsidRPr="0013210E">
        <w:t xml:space="preserve"> </w:t>
      </w:r>
      <w:r w:rsidRPr="0013210E">
        <w:t xml:space="preserve">These issues had not been highlighted in either of the evaluation reports and the PSC was concerned there was </w:t>
      </w:r>
      <w:r w:rsidRPr="0013210E">
        <w:rPr>
          <w:bCs/>
        </w:rPr>
        <w:t>considerable uncertainty</w:t>
      </w:r>
      <w:r w:rsidRPr="0013210E">
        <w:t xml:space="preserve"> as to the impact of different factors on the main pharmacokinetic endpoints of interest.</w:t>
      </w:r>
      <w:r w:rsidR="00A10B25" w:rsidRPr="0013210E">
        <w:t xml:space="preserve"> </w:t>
      </w:r>
      <w:r w:rsidRPr="0013210E">
        <w:t>The PSC’s concerns and the sponsor’s response are summarised in a separate section below.</w:t>
      </w:r>
    </w:p>
    <w:p w:rsidR="00BC1BE2" w:rsidRPr="00BC1BE2" w:rsidRDefault="00BC1BE2" w:rsidP="00D4255B">
      <w:pPr>
        <w:pStyle w:val="Heading5"/>
      </w:pPr>
      <w:r w:rsidRPr="00BC1BE2">
        <w:t>The POPPK analysis</w:t>
      </w:r>
    </w:p>
    <w:p w:rsidR="00A10B25" w:rsidRDefault="00BC1BE2" w:rsidP="0008036F">
      <w:pPr>
        <w:rPr>
          <w:lang w:val="en-US"/>
        </w:rPr>
      </w:pPr>
      <w:r w:rsidRPr="00BC1BE2">
        <w:rPr>
          <w:lang w:val="en-US"/>
        </w:rPr>
        <w:t>The pharmacometric analysis was performed using FOCE in NONMEM Version V, installed using NMQual (Version 6.2.0) and g77 (Version 3.4.5) Fortran compiler.</w:t>
      </w:r>
      <w:r w:rsidR="00A10B25">
        <w:rPr>
          <w:lang w:val="en-US"/>
        </w:rPr>
        <w:t xml:space="preserve"> </w:t>
      </w:r>
      <w:r w:rsidRPr="00BC1BE2">
        <w:rPr>
          <w:lang w:val="en-US"/>
        </w:rPr>
        <w:t>The model-based simulation to support pediatric dosage recommendation was implemented in the SAS software (Version 9).</w:t>
      </w:r>
    </w:p>
    <w:p w:rsidR="00BC1BE2" w:rsidRPr="00BC1BE2" w:rsidRDefault="00BC1BE2" w:rsidP="0008036F">
      <w:r w:rsidRPr="00BC1BE2">
        <w:t>The data used in the pharmacometric analysis were extracted from four studies as follows:</w:t>
      </w:r>
    </w:p>
    <w:p w:rsidR="00BC1BE2" w:rsidRPr="0008036F" w:rsidRDefault="00BC1BE2" w:rsidP="0008036F">
      <w:pPr>
        <w:pStyle w:val="ListBullet"/>
      </w:pPr>
      <w:r w:rsidRPr="0008036F">
        <w:t>120 ATV levels at steady state (Day 29) obtained from 13 adults treated with ATV 40</w:t>
      </w:r>
      <w:r w:rsidR="00A10B25" w:rsidRPr="0008036F">
        <w:t>0 mg</w:t>
      </w:r>
      <w:r w:rsidRPr="0008036F">
        <w:t xml:space="preserve"> once daily plus </w:t>
      </w:r>
      <w:proofErr w:type="spellStart"/>
      <w:r w:rsidRPr="0008036F">
        <w:t>lamivudine</w:t>
      </w:r>
      <w:proofErr w:type="spellEnd"/>
      <w:r w:rsidRPr="0008036F">
        <w:t xml:space="preserve"> and </w:t>
      </w:r>
      <w:proofErr w:type="spellStart"/>
      <w:r w:rsidRPr="0008036F">
        <w:t>stavudine</w:t>
      </w:r>
      <w:proofErr w:type="spellEnd"/>
      <w:r w:rsidRPr="0008036F">
        <w:t xml:space="preserve"> in </w:t>
      </w:r>
      <w:r w:rsidR="00A10B25" w:rsidRPr="0008036F">
        <w:t>Study AI424008</w:t>
      </w:r>
      <w:r w:rsidRPr="0008036F">
        <w:t>;</w:t>
      </w:r>
    </w:p>
    <w:p w:rsidR="00BC1BE2" w:rsidRPr="0008036F" w:rsidRDefault="00BC1BE2" w:rsidP="0008036F">
      <w:pPr>
        <w:pStyle w:val="ListBullet"/>
      </w:pPr>
      <w:r w:rsidRPr="0008036F">
        <w:t>346 ATV levels at steady state (Day 29) obtained from 27 adults treated with either ATV 40</w:t>
      </w:r>
      <w:r w:rsidR="00A10B25" w:rsidRPr="0008036F">
        <w:t>0 mg</w:t>
      </w:r>
      <w:r w:rsidRPr="0008036F">
        <w:t xml:space="preserve"> once daily (n=15) or ATV 30</w:t>
      </w:r>
      <w:r w:rsidR="00A10B25" w:rsidRPr="0008036F">
        <w:t>0 mg</w:t>
      </w:r>
      <w:r w:rsidRPr="0008036F">
        <w:t xml:space="preserve"> + RTV 10</w:t>
      </w:r>
      <w:r w:rsidR="00A10B25" w:rsidRPr="0008036F">
        <w:t>0 mg</w:t>
      </w:r>
      <w:r w:rsidRPr="0008036F">
        <w:t xml:space="preserve"> once daily (n=12) in combination with </w:t>
      </w:r>
      <w:proofErr w:type="spellStart"/>
      <w:r w:rsidRPr="0008036F">
        <w:t>lamivudine</w:t>
      </w:r>
      <w:proofErr w:type="spellEnd"/>
      <w:r w:rsidRPr="0008036F">
        <w:t xml:space="preserve"> and </w:t>
      </w:r>
      <w:proofErr w:type="spellStart"/>
      <w:r w:rsidRPr="0008036F">
        <w:t>stavudine</w:t>
      </w:r>
      <w:proofErr w:type="spellEnd"/>
      <w:r w:rsidRPr="0008036F">
        <w:t xml:space="preserve"> in </w:t>
      </w:r>
      <w:r w:rsidR="00A10B25" w:rsidRPr="0008036F">
        <w:t>Study AI4</w:t>
      </w:r>
      <w:r w:rsidRPr="0008036F">
        <w:t>24089;</w:t>
      </w:r>
    </w:p>
    <w:p w:rsidR="00BC1BE2" w:rsidRPr="0008036F" w:rsidRDefault="00BC1BE2" w:rsidP="0008036F">
      <w:pPr>
        <w:pStyle w:val="ListBullet"/>
      </w:pPr>
      <w:r w:rsidRPr="0008036F">
        <w:t>154 ATV levels at steady state (Day 10) obtained from 11 adults treated with ATV 30</w:t>
      </w:r>
      <w:r w:rsidR="00A10B25" w:rsidRPr="0008036F">
        <w:t>0 mg</w:t>
      </w:r>
      <w:r w:rsidRPr="0008036F">
        <w:t xml:space="preserve"> in combination with RTV 10</w:t>
      </w:r>
      <w:r w:rsidR="00A10B25" w:rsidRPr="0008036F">
        <w:t>0 mg</w:t>
      </w:r>
      <w:r w:rsidRPr="0008036F">
        <w:t xml:space="preserve"> once daily and two non-nucleoside reverse transcriptase inhibitors in Study AI424137; and</w:t>
      </w:r>
    </w:p>
    <w:p w:rsidR="00BC1BE2" w:rsidRPr="0008036F" w:rsidRDefault="00BC1BE2" w:rsidP="0008036F">
      <w:pPr>
        <w:pStyle w:val="ListBullet"/>
      </w:pPr>
      <w:r w:rsidRPr="0008036F">
        <w:t xml:space="preserve">3757 ATZ levels at steady state (week 1 and week 56; and 2 weeks after dose adjustments) obtained from 176 children in </w:t>
      </w:r>
      <w:r w:rsidR="00A10B25" w:rsidRPr="0008036F">
        <w:t>Study AI4</w:t>
      </w:r>
      <w:r w:rsidRPr="0008036F">
        <w:t>24020.</w:t>
      </w:r>
    </w:p>
    <w:p w:rsidR="00BC1BE2" w:rsidRPr="00BC1BE2" w:rsidRDefault="00BC1BE2" w:rsidP="0008036F">
      <w:r w:rsidRPr="00BC1BE2">
        <w:t>In the final model, co-medication with RTV decreased ATV clearance by 60% and increased ATV bioavailability by 150%.</w:t>
      </w:r>
      <w:r w:rsidR="00A10B25">
        <w:t xml:space="preserve"> </w:t>
      </w:r>
      <w:r w:rsidRPr="00BC1BE2">
        <w:t>Gender, African region and formulation had less marked effects on these parameters (Note: some children received a powder formulation).</w:t>
      </w:r>
      <w:r w:rsidR="00A10B25">
        <w:t xml:space="preserve"> </w:t>
      </w:r>
      <w:r w:rsidRPr="00BC1BE2">
        <w:t>Body weight had major effects on clearance and volume of distribution, and age had a major effect on k</w:t>
      </w:r>
      <w:r w:rsidRPr="00BC1BE2">
        <w:rPr>
          <w:vertAlign w:val="subscript"/>
        </w:rPr>
        <w:t>a</w:t>
      </w:r>
      <w:r w:rsidRPr="00BC1BE2">
        <w:t>.</w:t>
      </w:r>
    </w:p>
    <w:p w:rsidR="00BC1BE2" w:rsidRPr="00BC1BE2" w:rsidRDefault="00BC1BE2" w:rsidP="0008036F">
      <w:r w:rsidRPr="00BC1BE2">
        <w:t>Scenarios were constructed for children in the weight range 15 kg to 70 kg using 10,000 hypothetical individuals in each simulation.</w:t>
      </w:r>
      <w:r w:rsidR="00A10B25">
        <w:t xml:space="preserve"> </w:t>
      </w:r>
      <w:r w:rsidRPr="00BC1BE2">
        <w:t>Paediatric ATV exposure following ATV + RTV co-administration was considered similar to that in adults i</w:t>
      </w:r>
      <w:r w:rsidR="00A10B25">
        <w:t>f each of the following was met</w:t>
      </w:r>
      <w:r w:rsidRPr="00BC1BE2">
        <w:t>:</w:t>
      </w:r>
    </w:p>
    <w:p w:rsidR="00BC1BE2" w:rsidRPr="00BC1BE2" w:rsidRDefault="00BC1BE2" w:rsidP="0008036F">
      <w:pPr>
        <w:pStyle w:val="ListBullet"/>
      </w:pPr>
      <w:r w:rsidRPr="00BC1BE2">
        <w:t>geometric mean C</w:t>
      </w:r>
      <w:r w:rsidRPr="00BC1BE2">
        <w:rPr>
          <w:vertAlign w:val="subscript"/>
        </w:rPr>
        <w:t>24</w:t>
      </w:r>
      <w:r w:rsidRPr="00BC1BE2">
        <w:t xml:space="preserve"> was &gt; 75% of the adult geometric mean C</w:t>
      </w:r>
      <w:r w:rsidRPr="00BC1BE2">
        <w:rPr>
          <w:vertAlign w:val="subscript"/>
        </w:rPr>
        <w:t>24</w:t>
      </w:r>
      <w:r w:rsidRPr="00BC1BE2">
        <w:t xml:space="preserve"> and the percentage of simulated subjects with C</w:t>
      </w:r>
      <w:r w:rsidRPr="00BC1BE2">
        <w:rPr>
          <w:vertAlign w:val="subscript"/>
        </w:rPr>
        <w:t>24</w:t>
      </w:r>
      <w:r w:rsidRPr="00BC1BE2">
        <w:t xml:space="preserve"> within the 10</w:t>
      </w:r>
      <w:r w:rsidRPr="00BC1BE2">
        <w:rPr>
          <w:vertAlign w:val="superscript"/>
        </w:rPr>
        <w:t>th</w:t>
      </w:r>
      <w:r w:rsidRPr="00BC1BE2">
        <w:t xml:space="preserve"> and 90</w:t>
      </w:r>
      <w:r w:rsidRPr="00BC1BE2">
        <w:rPr>
          <w:vertAlign w:val="superscript"/>
        </w:rPr>
        <w:t>th</w:t>
      </w:r>
      <w:r w:rsidRPr="00BC1BE2">
        <w:t xml:space="preserve"> percentiles of the adult C</w:t>
      </w:r>
      <w:r w:rsidRPr="00BC1BE2">
        <w:rPr>
          <w:vertAlign w:val="subscript"/>
        </w:rPr>
        <w:t>24</w:t>
      </w:r>
      <w:r w:rsidRPr="00BC1BE2">
        <w:t xml:space="preserve"> was &gt;75%;</w:t>
      </w:r>
    </w:p>
    <w:p w:rsidR="00BC1BE2" w:rsidRPr="00BC1BE2" w:rsidRDefault="00BC1BE2" w:rsidP="0008036F">
      <w:pPr>
        <w:pStyle w:val="ListBullet"/>
      </w:pPr>
      <w:r w:rsidRPr="00BC1BE2">
        <w:t>geometric mean C</w:t>
      </w:r>
      <w:r w:rsidRPr="00BC1BE2">
        <w:rPr>
          <w:vertAlign w:val="subscript"/>
        </w:rPr>
        <w:t>max</w:t>
      </w:r>
      <w:r w:rsidRPr="00BC1BE2">
        <w:t xml:space="preserve"> was &lt;150% of the adult geometric mean C</w:t>
      </w:r>
      <w:r w:rsidRPr="00BC1BE2">
        <w:rPr>
          <w:vertAlign w:val="subscript"/>
        </w:rPr>
        <w:t>max</w:t>
      </w:r>
      <w:r w:rsidRPr="00BC1BE2">
        <w:t xml:space="preserve"> and the percentage of simulated subjects with C</w:t>
      </w:r>
      <w:r w:rsidRPr="00BC1BE2">
        <w:rPr>
          <w:vertAlign w:val="subscript"/>
        </w:rPr>
        <w:t>max</w:t>
      </w:r>
      <w:r w:rsidRPr="00BC1BE2">
        <w:t xml:space="preserve"> within the 10</w:t>
      </w:r>
      <w:r w:rsidRPr="00BC1BE2">
        <w:rPr>
          <w:vertAlign w:val="superscript"/>
        </w:rPr>
        <w:t>th</w:t>
      </w:r>
      <w:r w:rsidRPr="00BC1BE2">
        <w:t xml:space="preserve"> and 90</w:t>
      </w:r>
      <w:r w:rsidRPr="00BC1BE2">
        <w:rPr>
          <w:vertAlign w:val="superscript"/>
        </w:rPr>
        <w:t>th</w:t>
      </w:r>
      <w:r w:rsidRPr="00BC1BE2">
        <w:t xml:space="preserve"> percentiles of the adult C</w:t>
      </w:r>
      <w:r w:rsidRPr="00BC1BE2">
        <w:rPr>
          <w:vertAlign w:val="subscript"/>
        </w:rPr>
        <w:t xml:space="preserve">max </w:t>
      </w:r>
      <w:r w:rsidRPr="00BC1BE2">
        <w:t>was &gt;75%;</w:t>
      </w:r>
    </w:p>
    <w:p w:rsidR="00BC1BE2" w:rsidRPr="00BC1BE2" w:rsidRDefault="00BC1BE2" w:rsidP="0008036F">
      <w:pPr>
        <w:pStyle w:val="ListBullet"/>
      </w:pPr>
      <w:r w:rsidRPr="00BC1BE2">
        <w:t>the geometric mean AUC was within 80% to 125% of the adult geometric mean AUC and the percentage of simulated subjects with C</w:t>
      </w:r>
      <w:r w:rsidRPr="00BC1BE2">
        <w:rPr>
          <w:vertAlign w:val="subscript"/>
        </w:rPr>
        <w:t>max</w:t>
      </w:r>
      <w:r w:rsidRPr="00BC1BE2">
        <w:t xml:space="preserve"> within the 10</w:t>
      </w:r>
      <w:r w:rsidRPr="00BC1BE2">
        <w:rPr>
          <w:vertAlign w:val="superscript"/>
        </w:rPr>
        <w:t>th</w:t>
      </w:r>
      <w:r w:rsidRPr="00BC1BE2">
        <w:t xml:space="preserve"> and 90</w:t>
      </w:r>
      <w:r w:rsidRPr="00BC1BE2">
        <w:rPr>
          <w:vertAlign w:val="superscript"/>
        </w:rPr>
        <w:t>th</w:t>
      </w:r>
      <w:r w:rsidRPr="00BC1BE2">
        <w:t xml:space="preserve"> percentiles of the adult AUC was &gt;75%.</w:t>
      </w:r>
    </w:p>
    <w:p w:rsidR="00BC1BE2" w:rsidRPr="00BC1BE2" w:rsidRDefault="00BC1BE2" w:rsidP="0008036F">
      <w:pPr>
        <w:pStyle w:val="Heading5"/>
      </w:pPr>
      <w:r w:rsidRPr="00BC1BE2">
        <w:t>Evaluation findings</w:t>
      </w:r>
    </w:p>
    <w:p w:rsidR="00BC1BE2" w:rsidRPr="00BC1BE2" w:rsidRDefault="00BC1BE2" w:rsidP="0008036F">
      <w:r w:rsidRPr="00BC1BE2">
        <w:t>The population pharmacokinetics evaluator concluded that the POPPK study was acceptable and supportive of the application.</w:t>
      </w:r>
      <w:r w:rsidR="00A10B25">
        <w:t xml:space="preserve"> </w:t>
      </w:r>
      <w:r w:rsidRPr="00BC1BE2">
        <w:t>In particular</w:t>
      </w:r>
      <w:r w:rsidR="00A10B25">
        <w:t>, the</w:t>
      </w:r>
      <w:r w:rsidRPr="00BC1BE2">
        <w:t>:</w:t>
      </w:r>
    </w:p>
    <w:p w:rsidR="00BC1BE2" w:rsidRPr="0008036F" w:rsidRDefault="00BC1BE2" w:rsidP="0008036F">
      <w:pPr>
        <w:pStyle w:val="ListBullet"/>
      </w:pPr>
      <w:r w:rsidRPr="0008036F">
        <w:t xml:space="preserve">modelling process was conducted and reported in accordance with the EU guideline; </w:t>
      </w:r>
    </w:p>
    <w:p w:rsidR="00BC1BE2" w:rsidRPr="0008036F" w:rsidRDefault="00BC1BE2" w:rsidP="0008036F">
      <w:pPr>
        <w:pStyle w:val="ListBullet"/>
      </w:pPr>
      <w:r w:rsidRPr="0008036F">
        <w:t>age groups and doses studied were appropriate;</w:t>
      </w:r>
    </w:p>
    <w:p w:rsidR="00BC1BE2" w:rsidRPr="0008036F" w:rsidRDefault="00BC1BE2" w:rsidP="0008036F">
      <w:pPr>
        <w:pStyle w:val="ListBullet"/>
      </w:pPr>
      <w:r w:rsidRPr="0008036F">
        <w:t>base structural model was consistent with the known PK characteristics of ATV;</w:t>
      </w:r>
    </w:p>
    <w:p w:rsidR="00BC1BE2" w:rsidRPr="0008036F" w:rsidRDefault="00BC1BE2" w:rsidP="0008036F">
      <w:pPr>
        <w:pStyle w:val="ListBullet"/>
      </w:pPr>
      <w:r w:rsidRPr="0008036F">
        <w:t>covariate model building process was rigorous and the covariates that remained in the final model were consistent with the known PK characteristics of ATV;</w:t>
      </w:r>
    </w:p>
    <w:p w:rsidR="00BC1BE2" w:rsidRPr="0008036F" w:rsidRDefault="00BC1BE2" w:rsidP="0008036F">
      <w:pPr>
        <w:pStyle w:val="ListBullet"/>
      </w:pPr>
      <w:r w:rsidRPr="0008036F">
        <w:t>final model was supported by goodness of fit plots and posterior predictive checks; and</w:t>
      </w:r>
    </w:p>
    <w:p w:rsidR="00BC1BE2" w:rsidRPr="0008036F" w:rsidRDefault="001D511E" w:rsidP="0008036F">
      <w:pPr>
        <w:pStyle w:val="ListBullet"/>
      </w:pPr>
      <w:r w:rsidRPr="0008036F">
        <w:t xml:space="preserve">the </w:t>
      </w:r>
      <w:r w:rsidR="00BC1BE2" w:rsidRPr="0008036F">
        <w:t>acceptance criteria for the dosing regimen were rigorous.</w:t>
      </w:r>
    </w:p>
    <w:p w:rsidR="00BC1BE2" w:rsidRPr="00BC1BE2" w:rsidRDefault="00BC1BE2" w:rsidP="0008036F">
      <w:r w:rsidRPr="00BC1BE2">
        <w:t xml:space="preserve">The </w:t>
      </w:r>
      <w:r w:rsidR="00A10B25">
        <w:t>POPPK</w:t>
      </w:r>
      <w:r w:rsidRPr="00BC1BE2">
        <w:t xml:space="preserve"> evaluator noted the current dosing regimen also passed the acceptance criteria but the new dosing regimen performed slightly better and could also be applied to a lower body weight and age grouping.</w:t>
      </w:r>
      <w:r w:rsidR="00A10B25">
        <w:t xml:space="preserve"> </w:t>
      </w:r>
      <w:r w:rsidRPr="00BC1BE2">
        <w:t>The evaluator questioned whether a population PD/PK study had been performed using the HIV RNA and CD4 counts from the paediatric study (AI424020) to provide further support for the proposed dosing regimen.</w:t>
      </w:r>
      <w:r w:rsidR="00A10B25">
        <w:t xml:space="preserve"> </w:t>
      </w:r>
      <w:r w:rsidRPr="00BC1BE2">
        <w:t>The sponsor subsequently advised that such an analysis had not been performed.</w:t>
      </w:r>
    </w:p>
    <w:p w:rsidR="00BC1BE2" w:rsidRPr="00BC1BE2" w:rsidRDefault="00BC1BE2" w:rsidP="0008036F">
      <w:r w:rsidRPr="00BC1BE2">
        <w:t>The clinical evaluator’s key points of note with respect to the POPPK model were:</w:t>
      </w:r>
    </w:p>
    <w:p w:rsidR="00BC1BE2" w:rsidRPr="00BC1BE2" w:rsidRDefault="00BC1BE2" w:rsidP="0008036F">
      <w:pPr>
        <w:pStyle w:val="ListBullet"/>
      </w:pPr>
      <w:r w:rsidRPr="00BC1BE2">
        <w:t>marked inter-individual variation in the ATV concentration-time data used for the modelling;</w:t>
      </w:r>
    </w:p>
    <w:p w:rsidR="00BC1BE2" w:rsidRPr="00BC1BE2" w:rsidRDefault="00BC1BE2" w:rsidP="0008036F">
      <w:pPr>
        <w:pStyle w:val="ListBullet"/>
      </w:pPr>
      <w:r w:rsidRPr="00BC1BE2">
        <w:t>the final model included RTV as a simple dichotomous effect, not taking into account the actual dose. An apparent trend between ATV clearance and RTV dose was shown, although it was not possible to tell whether the trend was fully explained by correlation between RTV dose and body weight, as dosage had been based on body surface area. (The sponsor noted that the RTV dose administered in the paediatric study did not appear to explain additional variation in ATV exposure beyond a simple dichotomous effect);</w:t>
      </w:r>
    </w:p>
    <w:p w:rsidR="00BC1BE2" w:rsidRPr="00BC1BE2" w:rsidRDefault="00BC1BE2" w:rsidP="0008036F">
      <w:pPr>
        <w:pStyle w:val="ListBullet"/>
      </w:pPr>
      <w:r w:rsidRPr="00BC1BE2">
        <w:t>the final model predicted that younger children and infants have an increased apparent rate of ATV absorption resulting in a higher C</w:t>
      </w:r>
      <w:r w:rsidRPr="00BC1BE2">
        <w:rPr>
          <w:vertAlign w:val="subscript"/>
        </w:rPr>
        <w:t>max</w:t>
      </w:r>
      <w:r w:rsidRPr="00BC1BE2">
        <w:t xml:space="preserve"> compared to adolescents and adults, especially with co-administration of RTV, with C</w:t>
      </w:r>
      <w:r w:rsidRPr="00BC1BE2">
        <w:rPr>
          <w:vertAlign w:val="subscript"/>
        </w:rPr>
        <w:t>max</w:t>
      </w:r>
      <w:r w:rsidRPr="00BC1BE2">
        <w:t xml:space="preserve"> sharply increasing for paediatric patients &lt; 10 years of age. The model also predicted increases in apparent volume of distribution and apparent clearance with increasing body weight; and</w:t>
      </w:r>
    </w:p>
    <w:p w:rsidR="00BC1BE2" w:rsidRPr="00BC1BE2" w:rsidRDefault="00BC1BE2" w:rsidP="00A10B25">
      <w:pPr>
        <w:pStyle w:val="ListBullet"/>
      </w:pPr>
      <w:r w:rsidRPr="00BC1BE2">
        <w:t>discrepancies between observed and model-predicted C</w:t>
      </w:r>
      <w:r w:rsidRPr="00BC1BE2">
        <w:rPr>
          <w:vertAlign w:val="subscript"/>
        </w:rPr>
        <w:t>max</w:t>
      </w:r>
      <w:r w:rsidRPr="00BC1BE2">
        <w:t xml:space="preserve"> and AUC values for the group aged 2 – 13 years for at Week 56 and for C</w:t>
      </w:r>
      <w:r w:rsidRPr="00BC1BE2">
        <w:rPr>
          <w:vertAlign w:val="subscript"/>
        </w:rPr>
        <w:t>max</w:t>
      </w:r>
      <w:r w:rsidRPr="00BC1BE2">
        <w:t xml:space="preserve"> at Week 1 and C</w:t>
      </w:r>
      <w:r w:rsidRPr="00BC1BE2">
        <w:rPr>
          <w:vertAlign w:val="subscript"/>
        </w:rPr>
        <w:t>min</w:t>
      </w:r>
      <w:r w:rsidRPr="00BC1BE2">
        <w:t xml:space="preserve"> at Week 56 for the group aged 13 – 18 years.</w:t>
      </w:r>
      <w:r w:rsidR="00A10B25">
        <w:t xml:space="preserve"> </w:t>
      </w:r>
      <w:r w:rsidRPr="00BC1BE2">
        <w:t xml:space="preserve">It was noted by the evaluator that while the analysis groups were in keeping with those suggested in the European Union </w:t>
      </w:r>
      <w:r w:rsidRPr="00BC1BE2">
        <w:rPr>
          <w:i/>
        </w:rPr>
        <w:t>Note for Guidance on Clinical Investigation of Medicinal Products in the Paediatric Population (CPMP/ICH/2711-99)</w:t>
      </w:r>
      <w:r w:rsidRPr="00BC1BE2">
        <w:t xml:space="preserve">, it was possible that the age range 2–13 year encompasses a time at which ATV and RTV metabolic handling transitions from immature to mature and it was unclear just when that may occur. </w:t>
      </w:r>
    </w:p>
    <w:p w:rsidR="00BC1BE2" w:rsidRPr="00BC1BE2" w:rsidRDefault="00BC1BE2" w:rsidP="0008036F">
      <w:r w:rsidRPr="00BC1BE2">
        <w:t>The clinical evaluator noted that the deviation of the simulated paediatric ATV C</w:t>
      </w:r>
      <w:r w:rsidRPr="00BC1BE2">
        <w:rPr>
          <w:vertAlign w:val="subscript"/>
        </w:rPr>
        <w:t>min</w:t>
      </w:r>
      <w:r w:rsidRPr="00BC1BE2">
        <w:t xml:space="preserve"> values from the adult values tended to be greatest at the lower percentiles of the C</w:t>
      </w:r>
      <w:r w:rsidRPr="00BC1BE2">
        <w:rPr>
          <w:vertAlign w:val="subscript"/>
        </w:rPr>
        <w:t>min</w:t>
      </w:r>
      <w:r w:rsidRPr="00BC1BE2">
        <w:t xml:space="preserve"> distributions; the simulated C</w:t>
      </w:r>
      <w:r w:rsidRPr="00BC1BE2">
        <w:rPr>
          <w:vertAlign w:val="subscript"/>
        </w:rPr>
        <w:t>max</w:t>
      </w:r>
      <w:r w:rsidRPr="00BC1BE2">
        <w:t xml:space="preserve"> distributions were generally greater than the corresponding observed adult distributions; and the simulated AUC values tended to be lower than the observed adult values at the lower percentiles of the distribution, and higher than the observed adult values at the higher percentiles.</w:t>
      </w:r>
      <w:r w:rsidR="00A10B25">
        <w:t xml:space="preserve"> </w:t>
      </w:r>
      <w:r w:rsidRPr="00BC1BE2">
        <w:t>These findings were considered to underline the need for therapeutic drug monitoring to ensure optimal ATV levels and exposure are achieved on an individual patient basis.</w:t>
      </w:r>
    </w:p>
    <w:p w:rsidR="00BC1BE2" w:rsidRPr="00BC1BE2" w:rsidRDefault="00BC1BE2" w:rsidP="00E44723">
      <w:r w:rsidRPr="00BC1BE2">
        <w:t xml:space="preserve">The clinical evaluator noted the RTV dose recommendations were chosen on the basis of the clinical judgment consistent with the ATV/RTV dose ratios used in </w:t>
      </w:r>
      <w:r w:rsidR="00A10B25">
        <w:t>Study AI4</w:t>
      </w:r>
      <w:r w:rsidRPr="00BC1BE2">
        <w:t>24020 and accepted this as a pragmatic approach in that 10</w:t>
      </w:r>
      <w:r w:rsidR="00A10B25">
        <w:t>0 mg</w:t>
      </w:r>
      <w:r w:rsidRPr="00BC1BE2">
        <w:t xml:space="preserve"> is the smallest dose available in capsule form and the capsule formulation is considered more palatable.</w:t>
      </w:r>
      <w:r w:rsidR="00A10B25">
        <w:t xml:space="preserve"> </w:t>
      </w:r>
    </w:p>
    <w:p w:rsidR="00BC1BE2" w:rsidRPr="00BC1BE2" w:rsidRDefault="00BC1BE2" w:rsidP="0008036F">
      <w:r w:rsidRPr="00BC1BE2">
        <w:t>Overall, the clinical evaluator concluded the results from the POPPK study were consistent with adequate blood levels of ATV in the proposed weight bands but noted that results from actual patients were not conclusively supportive.</w:t>
      </w:r>
      <w:r w:rsidR="00A10B25">
        <w:t xml:space="preserve"> </w:t>
      </w:r>
      <w:r w:rsidRPr="00BC1BE2">
        <w:t>This is discussed further under ‘</w:t>
      </w:r>
      <w:r w:rsidRPr="00A10B25">
        <w:rPr>
          <w:i/>
        </w:rPr>
        <w:t>Clinical Evaluation - Pharmacokinetics</w:t>
      </w:r>
      <w:r w:rsidRPr="00BC1BE2">
        <w:t>’, below.</w:t>
      </w:r>
    </w:p>
    <w:p w:rsidR="00BC1BE2" w:rsidRPr="00BC1BE2" w:rsidRDefault="00BC1BE2" w:rsidP="0008036F">
      <w:pPr>
        <w:pStyle w:val="Heading5"/>
      </w:pPr>
      <w:r w:rsidRPr="00BC1BE2">
        <w:t>PSC review of the POPPK modelling</w:t>
      </w:r>
    </w:p>
    <w:p w:rsidR="00BC1BE2" w:rsidRPr="00BC1BE2" w:rsidRDefault="00BC1BE2" w:rsidP="0008036F">
      <w:r w:rsidRPr="00BC1BE2">
        <w:t>The PSC was particularly concerned that the base pharmacokinetic model used in the POPPK analysis was developed using k and volume of distribution (V) rather than clearance (CL) and V.</w:t>
      </w:r>
      <w:r w:rsidR="00A10B25">
        <w:t xml:space="preserve"> </w:t>
      </w:r>
      <w:r w:rsidRPr="00BC1BE2">
        <w:t>This was considered to be most unusual because in order to investigate the impact of covariates on major pharmacokinetic pathways the modelling approach needed to parameterise the pharmacokinetic model in terms of CL and V, where k</w:t>
      </w:r>
      <w:r w:rsidRPr="00BC1BE2">
        <w:rPr>
          <w:bCs/>
        </w:rPr>
        <w:t xml:space="preserve"> is a secondary parameter determined by CL and V</w:t>
      </w:r>
      <w:r w:rsidRPr="00BC1BE2">
        <w:t>.</w:t>
      </w:r>
      <w:r w:rsidR="00A10B25">
        <w:t xml:space="preserve"> </w:t>
      </w:r>
      <w:r w:rsidRPr="00BC1BE2">
        <w:t>However, in the modelling submitted to the TGA, CL was referred to as a secondary parameter.</w:t>
      </w:r>
      <w:r w:rsidR="00A10B25">
        <w:t xml:space="preserve"> </w:t>
      </w:r>
      <w:r w:rsidRPr="00BC1BE2">
        <w:t xml:space="preserve">As the base pharmacokinetic model had population parameter variability (PPV) on k, </w:t>
      </w:r>
      <w:r w:rsidRPr="00BC1BE2">
        <w:rPr>
          <w:bCs/>
        </w:rPr>
        <w:t>this random effect was confounded by the random effects in CL and V</w:t>
      </w:r>
      <w:r w:rsidRPr="00BC1BE2">
        <w:t>.</w:t>
      </w:r>
      <w:r w:rsidR="00A10B25">
        <w:t xml:space="preserve"> </w:t>
      </w:r>
      <w:r w:rsidRPr="00BC1BE2">
        <w:rPr>
          <w:bCs/>
        </w:rPr>
        <w:t>The process for developing the final (</w:t>
      </w:r>
      <w:r w:rsidR="00AA403D">
        <w:rPr>
          <w:bCs/>
        </w:rPr>
        <w:t>that is,</w:t>
      </w:r>
      <w:r w:rsidRPr="00BC1BE2">
        <w:rPr>
          <w:bCs/>
        </w:rPr>
        <w:t xml:space="preserve"> covariate) model</w:t>
      </w:r>
      <w:r w:rsidRPr="00BC1BE2">
        <w:t xml:space="preserve"> then </w:t>
      </w:r>
      <w:r w:rsidRPr="00BC1BE2">
        <w:rPr>
          <w:bCs/>
        </w:rPr>
        <w:t>re-parameterised the relationship</w:t>
      </w:r>
      <w:r w:rsidRPr="00BC1BE2">
        <w:t xml:space="preserve"> so that CL was a primary parameter determining k.</w:t>
      </w:r>
      <w:r w:rsidR="00A10B25">
        <w:t xml:space="preserve"> </w:t>
      </w:r>
      <w:r w:rsidRPr="00BC1BE2">
        <w:t xml:space="preserve">However, the model (much like the base model) </w:t>
      </w:r>
      <w:r w:rsidRPr="00BC1BE2">
        <w:rPr>
          <w:bCs/>
        </w:rPr>
        <w:t xml:space="preserve">still included PPV on k, whereas </w:t>
      </w:r>
      <w:r w:rsidRPr="00BC1BE2">
        <w:t>the PPV should have been on CL and V.</w:t>
      </w:r>
      <w:r w:rsidR="00A10B25">
        <w:t xml:space="preserve"> </w:t>
      </w:r>
      <w:r w:rsidRPr="00BC1BE2">
        <w:rPr>
          <w:bCs/>
        </w:rPr>
        <w:t>The PSC considered that k should never have been employed in this way in the modelling, especially in the covariate model</w:t>
      </w:r>
      <w:r w:rsidRPr="00BC1BE2">
        <w:t>.</w:t>
      </w:r>
    </w:p>
    <w:p w:rsidR="00BC1BE2" w:rsidRPr="00BC1BE2" w:rsidRDefault="00BC1BE2" w:rsidP="0008036F">
      <w:r w:rsidRPr="00BC1BE2">
        <w:t xml:space="preserve">The PSC members felt that the unusual parameterisation could have resulted in the disparity of the "actual" results in the seven patients highlighted by the clinical evaluator: the PPV may be poorly described, resulting in poor predictive performance and giving rise to </w:t>
      </w:r>
      <w:r w:rsidRPr="00BC1BE2">
        <w:rPr>
          <w:bCs/>
        </w:rPr>
        <w:t>considerable uncertainty</w:t>
      </w:r>
      <w:r w:rsidRPr="00BC1BE2">
        <w:t xml:space="preserve"> as to the impact of different factors on the main pharmacokinetic endpoints of interest.</w:t>
      </w:r>
    </w:p>
    <w:p w:rsidR="00BC1BE2" w:rsidRPr="00BC1BE2" w:rsidRDefault="00BC1BE2" w:rsidP="0008036F">
      <w:pPr>
        <w:rPr>
          <w:lang w:val="en-US"/>
        </w:rPr>
      </w:pPr>
      <w:r w:rsidRPr="00BC1BE2">
        <w:t>Further to this, it was noted that the</w:t>
      </w:r>
      <w:r w:rsidRPr="00BC1BE2">
        <w:rPr>
          <w:lang w:val="en-US"/>
        </w:rPr>
        <w:t xml:space="preserve"> well established field of </w:t>
      </w:r>
      <w:proofErr w:type="spellStart"/>
      <w:r w:rsidRPr="00BC1BE2">
        <w:rPr>
          <w:lang w:val="en-US"/>
        </w:rPr>
        <w:t>allometry</w:t>
      </w:r>
      <w:proofErr w:type="spellEnd"/>
      <w:r w:rsidRPr="00BC1BE2">
        <w:rPr>
          <w:lang w:val="en-US"/>
        </w:rPr>
        <w:t xml:space="preserve"> includes published models of the maturation of hepatic function/clearance via specific enzymes, and renal function.</w:t>
      </w:r>
      <w:r w:rsidR="00A10B25">
        <w:rPr>
          <w:lang w:val="en-US"/>
        </w:rPr>
        <w:t xml:space="preserve"> </w:t>
      </w:r>
      <w:r w:rsidRPr="00BC1BE2">
        <w:rPr>
          <w:lang w:val="en-US"/>
        </w:rPr>
        <w:t>These changes are most marked in the ages groups studied.</w:t>
      </w:r>
      <w:r w:rsidR="00A10B25">
        <w:rPr>
          <w:lang w:val="en-US"/>
        </w:rPr>
        <w:t xml:space="preserve"> </w:t>
      </w:r>
      <w:r w:rsidRPr="00BC1BE2">
        <w:rPr>
          <w:lang w:val="en-US"/>
        </w:rPr>
        <w:t>Consequently it questioned why published information was not used to allow scaling in this case and, alternatively, whether the present model would scale to predict results in adults that are in good agreement with actual results.</w:t>
      </w:r>
    </w:p>
    <w:p w:rsidR="00BC1BE2" w:rsidRPr="00BC1BE2" w:rsidRDefault="00BC1BE2" w:rsidP="0008036F">
      <w:r w:rsidRPr="00BC1BE2">
        <w:t xml:space="preserve">In response to these concerns the </w:t>
      </w:r>
      <w:r w:rsidR="00AA403D">
        <w:t>sponsor</w:t>
      </w:r>
      <w:r w:rsidRPr="00BC1BE2">
        <w:t xml:space="preserve"> acknowledged that population estimates and random effects in the (CL,V)</w:t>
      </w:r>
      <w:r w:rsidR="00AA403D">
        <w:t xml:space="preserve"> </w:t>
      </w:r>
      <w:r w:rsidRPr="00BC1BE2">
        <w:t>parameterisation is preferred from the standpoint of pharmacologic interpretation.</w:t>
      </w:r>
      <w:r w:rsidR="00A10B25">
        <w:t xml:space="preserve"> </w:t>
      </w:r>
      <w:r w:rsidRPr="00BC1BE2">
        <w:t>The</w:t>
      </w:r>
      <w:r w:rsidR="00AA403D">
        <w:t xml:space="preserve"> sponsor</w:t>
      </w:r>
      <w:r w:rsidRPr="00BC1BE2">
        <w:t xml:space="preserve"> explained that the (</w:t>
      </w:r>
      <w:proofErr w:type="spellStart"/>
      <w:r w:rsidRPr="00BC1BE2">
        <w:t>k,V</w:t>
      </w:r>
      <w:proofErr w:type="spellEnd"/>
      <w:r w:rsidRPr="00BC1BE2">
        <w:t>)</w:t>
      </w:r>
      <w:r w:rsidR="00B932B9">
        <w:t xml:space="preserve"> </w:t>
      </w:r>
      <w:r w:rsidRPr="00BC1BE2">
        <w:t>parameterisation was adopted during base model development because estimation of the model in the (CL,V) parameterisation was found to be “ill-conditioned” and therefore was unable to ensure stable estimation of ATV levels.</w:t>
      </w:r>
      <w:r w:rsidR="00A10B25">
        <w:t xml:space="preserve"> </w:t>
      </w:r>
      <w:r w:rsidRPr="00BC1BE2">
        <w:t>Model stability was one of criteria used for base model selection in order to enable robust estimation of covariate effects.</w:t>
      </w:r>
    </w:p>
    <w:p w:rsidR="00BC1BE2" w:rsidRPr="00BC1BE2" w:rsidRDefault="00BC1BE2" w:rsidP="0008036F">
      <w:r w:rsidRPr="00BC1BE2">
        <w:t>The sponsor has run additional models to show the (k, V)-parameterisation is mathematically equivalent to the (CL, V)-parameterisation of the model as follows:</w:t>
      </w:r>
    </w:p>
    <w:p w:rsidR="00BC1BE2" w:rsidRPr="00BC1BE2" w:rsidRDefault="00BC1BE2" w:rsidP="0008036F">
      <w:pPr>
        <w:pStyle w:val="ListBullet"/>
      </w:pPr>
      <w:r w:rsidRPr="00BC1BE2">
        <w:t>goodness-of-fit obtained with the (CL,V) parameterisation of the base model is equivalent to that obtained by the (</w:t>
      </w:r>
      <w:proofErr w:type="spellStart"/>
      <w:r w:rsidRPr="00BC1BE2">
        <w:t>k,V</w:t>
      </w:r>
      <w:proofErr w:type="spellEnd"/>
      <w:r w:rsidRPr="00BC1BE2">
        <w:t>)-parameterisation of the model;</w:t>
      </w:r>
    </w:p>
    <w:p w:rsidR="00BC1BE2" w:rsidRPr="00BC1BE2" w:rsidRDefault="00BC1BE2" w:rsidP="0008036F">
      <w:pPr>
        <w:pStyle w:val="ListBullet"/>
      </w:pPr>
      <w:r w:rsidRPr="00BC1BE2">
        <w:t>base model parameter values determined with (</w:t>
      </w:r>
      <w:proofErr w:type="spellStart"/>
      <w:r w:rsidRPr="00BC1BE2">
        <w:t>k,V</w:t>
      </w:r>
      <w:proofErr w:type="spellEnd"/>
      <w:r w:rsidRPr="00BC1BE2">
        <w:t>)-parameterisation are equivalent to the corresponding parameter values obtained by (CL,V) parameterisation; and</w:t>
      </w:r>
    </w:p>
    <w:p w:rsidR="00BC1BE2" w:rsidRPr="00BC1BE2" w:rsidRDefault="00BC1BE2" w:rsidP="0008036F">
      <w:pPr>
        <w:pStyle w:val="ListBullet"/>
      </w:pPr>
      <w:r w:rsidRPr="00BC1BE2">
        <w:t>final model predictions obtained with the (</w:t>
      </w:r>
      <w:proofErr w:type="spellStart"/>
      <w:r w:rsidRPr="00BC1BE2">
        <w:t>k,V</w:t>
      </w:r>
      <w:proofErr w:type="spellEnd"/>
      <w:r w:rsidRPr="00BC1BE2">
        <w:t xml:space="preserve">)-parameterisation are equivalent to those obtained by the (CL,V)-parameterised model. </w:t>
      </w:r>
    </w:p>
    <w:p w:rsidR="00BC1BE2" w:rsidRDefault="00BC1BE2" w:rsidP="0008036F">
      <w:r w:rsidRPr="00BC1BE2">
        <w:t>Indeed key parameter estimates from the re-fitted final model using (CL,V)</w:t>
      </w:r>
      <w:r w:rsidR="00AA403D">
        <w:t xml:space="preserve"> </w:t>
      </w:r>
      <w:r w:rsidRPr="00BC1BE2">
        <w:t>parameterisation are very similar to those from the original model using (</w:t>
      </w:r>
      <w:proofErr w:type="spellStart"/>
      <w:r w:rsidRPr="00BC1BE2">
        <w:t>k,V</w:t>
      </w:r>
      <w:proofErr w:type="spellEnd"/>
      <w:r w:rsidRPr="00BC1BE2">
        <w:t>)</w:t>
      </w:r>
      <w:r w:rsidR="00AA403D">
        <w:t xml:space="preserve"> </w:t>
      </w:r>
      <w:r w:rsidRPr="00BC1BE2">
        <w:t>parameterisation (back-transformed to obtain the estimate for CL),</w:t>
      </w:r>
      <w:r w:rsidR="00AA403D">
        <w:t>for example</w:t>
      </w:r>
      <w:r w:rsidRPr="00BC1BE2">
        <w:t>, CL/F [34 v</w:t>
      </w:r>
      <w:r w:rsidR="00AA403D">
        <w:t>ersu</w:t>
      </w:r>
      <w:r w:rsidRPr="00BC1BE2">
        <w:t>s 34.6 L/hr, (CL,V) v</w:t>
      </w:r>
      <w:r w:rsidR="00AA403D">
        <w:t>ersu</w:t>
      </w:r>
      <w:r w:rsidRPr="00BC1BE2">
        <w:t>s (</w:t>
      </w:r>
      <w:proofErr w:type="spellStart"/>
      <w:r w:rsidRPr="00BC1BE2">
        <w:t>k,V</w:t>
      </w:r>
      <w:proofErr w:type="spellEnd"/>
      <w:r w:rsidRPr="00BC1BE2">
        <w:t>)-parameterisation], V/F (263</w:t>
      </w:r>
      <w:r w:rsidR="00AA403D">
        <w:t xml:space="preserve"> versus </w:t>
      </w:r>
      <w:r w:rsidRPr="00BC1BE2">
        <w:t>266 L) and Ka (2.05</w:t>
      </w:r>
      <w:r w:rsidR="00AA403D">
        <w:t xml:space="preserve"> versus </w:t>
      </w:r>
      <w:r w:rsidRPr="00BC1BE2">
        <w:t xml:space="preserve">2.04 1/hr). Also, plots of the predicted ATV concentrations at </w:t>
      </w:r>
      <w:r w:rsidR="00AA403D">
        <w:t>W</w:t>
      </w:r>
      <w:r w:rsidRPr="00BC1BE2">
        <w:t xml:space="preserve">eeks 1 and 56 with the (CL, V)-parameterised </w:t>
      </w:r>
      <w:r w:rsidRPr="00867125">
        <w:t>model were virtually identical to the (k, V)-parameterised model.</w:t>
      </w:r>
      <w:r w:rsidR="00A10B25" w:rsidRPr="00867125">
        <w:t xml:space="preserve"> </w:t>
      </w:r>
      <w:r w:rsidRPr="00867125">
        <w:t xml:space="preserve">The </w:t>
      </w:r>
      <w:r w:rsidR="00AA403D" w:rsidRPr="00867125">
        <w:t>W</w:t>
      </w:r>
      <w:r w:rsidRPr="00867125">
        <w:t xml:space="preserve">eek 1 plots are shown in Figures </w:t>
      </w:r>
      <w:r w:rsidR="00B7021E" w:rsidRPr="00867125">
        <w:t>8 and 9</w:t>
      </w:r>
      <w:r w:rsidRPr="00867125">
        <w:t xml:space="preserve"> below.</w:t>
      </w:r>
      <w:r w:rsidRPr="00BC1BE2">
        <w:t xml:space="preserve"> </w:t>
      </w:r>
    </w:p>
    <w:p w:rsidR="00AA403D" w:rsidRPr="00BC1BE2" w:rsidRDefault="00AA403D" w:rsidP="0008036F">
      <w:pPr>
        <w:pStyle w:val="FigureTitle"/>
      </w:pPr>
      <w:r>
        <w:t xml:space="preserve">Figure </w:t>
      </w:r>
      <w:r w:rsidR="00B7021E">
        <w:t>8</w:t>
      </w:r>
      <w:r>
        <w:t>. Observed and Final (CL, V) parameterised Model Predicted ATV Concentration-Time profiles at Week 1</w:t>
      </w:r>
    </w:p>
    <w:p w:rsidR="0099682D" w:rsidRDefault="00BC1BE2" w:rsidP="00BF10C6">
      <w:r w:rsidRPr="00BC1BE2">
        <w:rPr>
          <w:noProof/>
          <w:lang w:eastAsia="en-AU"/>
        </w:rPr>
        <w:drawing>
          <wp:inline distT="0" distB="0" distL="0" distR="0">
            <wp:extent cx="5172911" cy="4019550"/>
            <wp:effectExtent l="19050" t="0" r="8689" b="0"/>
            <wp:docPr id="3" name="Picture 1" descr="Figure 8. Observed and Final (CL, V) parameterised Model Predicted ATV Concentration-Time profiles at We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t="7890"/>
                    <a:stretch>
                      <a:fillRect/>
                    </a:stretch>
                  </pic:blipFill>
                  <pic:spPr bwMode="auto">
                    <a:xfrm>
                      <a:off x="0" y="0"/>
                      <a:ext cx="5172911" cy="4019550"/>
                    </a:xfrm>
                    <a:prstGeom prst="rect">
                      <a:avLst/>
                    </a:prstGeom>
                    <a:noFill/>
                    <a:ln w="9525">
                      <a:noFill/>
                      <a:miter lim="800000"/>
                      <a:headEnd/>
                      <a:tailEnd/>
                    </a:ln>
                  </pic:spPr>
                </pic:pic>
              </a:graphicData>
            </a:graphic>
          </wp:inline>
        </w:drawing>
      </w:r>
    </w:p>
    <w:p w:rsidR="0099682D" w:rsidRDefault="0099682D">
      <w:pPr>
        <w:spacing w:before="0" w:after="200" w:line="0" w:lineRule="auto"/>
      </w:pPr>
      <w:r>
        <w:br w:type="page"/>
      </w:r>
    </w:p>
    <w:p w:rsidR="00BC1BE2" w:rsidRPr="00BC1BE2" w:rsidRDefault="00AA403D" w:rsidP="00BF10C6">
      <w:pPr>
        <w:pStyle w:val="FigureTitle"/>
      </w:pPr>
      <w:r>
        <w:t xml:space="preserve">Figure </w:t>
      </w:r>
      <w:r w:rsidR="00B7021E">
        <w:t>9</w:t>
      </w:r>
      <w:r>
        <w:t>. Observed and Final (K, V) parameterised Model Predicted ATV Concentration-Time profiles at Week 1</w:t>
      </w:r>
    </w:p>
    <w:p w:rsidR="00BC1BE2" w:rsidRPr="00BC1BE2" w:rsidRDefault="00BC1BE2" w:rsidP="00BF10C6">
      <w:r w:rsidRPr="00BC1BE2">
        <w:rPr>
          <w:noProof/>
          <w:lang w:eastAsia="en-AU"/>
        </w:rPr>
        <w:drawing>
          <wp:inline distT="0" distB="0" distL="0" distR="0">
            <wp:extent cx="5225070" cy="3886200"/>
            <wp:effectExtent l="19050" t="0" r="0" b="0"/>
            <wp:docPr id="4" name="Picture 2" descr="Figure 9. Observed and Final (K, V) parameterised Model Predicted ATV Concentration-Time profiles at We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t="8776"/>
                    <a:stretch>
                      <a:fillRect/>
                    </a:stretch>
                  </pic:blipFill>
                  <pic:spPr bwMode="auto">
                    <a:xfrm>
                      <a:off x="0" y="0"/>
                      <a:ext cx="5225070" cy="3886200"/>
                    </a:xfrm>
                    <a:prstGeom prst="rect">
                      <a:avLst/>
                    </a:prstGeom>
                    <a:noFill/>
                    <a:ln w="9525">
                      <a:noFill/>
                      <a:miter lim="800000"/>
                      <a:headEnd/>
                      <a:tailEnd/>
                    </a:ln>
                  </pic:spPr>
                </pic:pic>
              </a:graphicData>
            </a:graphic>
          </wp:inline>
        </w:drawing>
      </w:r>
    </w:p>
    <w:p w:rsidR="00BC1BE2" w:rsidRPr="00BC1BE2" w:rsidRDefault="00BC1BE2" w:rsidP="00E44723">
      <w:r w:rsidRPr="00BC1BE2">
        <w:t>The sponsor also explained that published data were not used for scaling of body weight by age on the basis that the data may not be representative of the paediatric HIV-infected population where there are long lasting effects of HIV on growth and development throughout infancy and childhood.</w:t>
      </w:r>
      <w:r w:rsidR="00A10B25">
        <w:t xml:space="preserve"> </w:t>
      </w:r>
      <w:r w:rsidRPr="00BC1BE2">
        <w:t>Of note, differences in growth patterns, in particular weight-for-age, between HIV-infected and uninfected patients become apparent by 3 to 4 months of age, persist and perhaps increase with time, into and beyond adolescent ages.</w:t>
      </w:r>
      <w:r w:rsidR="00A10B25">
        <w:t xml:space="preserve"> </w:t>
      </w:r>
      <w:r w:rsidRPr="00BC1BE2">
        <w:t>Moreover, information on how maturation of key physiological functions related to drug disposition such as hepatic function and renal function differs between the two populations is currently lacking.</w:t>
      </w:r>
      <w:r w:rsidR="00A10B25">
        <w:t xml:space="preserve"> </w:t>
      </w:r>
      <w:r w:rsidRPr="00BC1BE2">
        <w:t>The available data were therefore considered to be appropriate and adequate for establishing the relationship between age and ATV exposure over the age range studied.</w:t>
      </w:r>
      <w:r w:rsidR="00A10B25">
        <w:t xml:space="preserve"> </w:t>
      </w:r>
      <w:r w:rsidRPr="00BC1BE2">
        <w:t>This seems reasonable.</w:t>
      </w:r>
    </w:p>
    <w:p w:rsidR="00BC1BE2" w:rsidRPr="00BC1BE2" w:rsidRDefault="00BC1BE2" w:rsidP="00BF10C6">
      <w:r w:rsidRPr="00BC1BE2">
        <w:t>Overall, th</w:t>
      </w:r>
      <w:r w:rsidR="00AA403D">
        <w:t>e</w:t>
      </w:r>
      <w:r w:rsidRPr="00BC1BE2">
        <w:t xml:space="preserve"> Delegate consider</w:t>
      </w:r>
      <w:r w:rsidR="00AA403D">
        <w:t>ed</w:t>
      </w:r>
      <w:r w:rsidRPr="00BC1BE2">
        <w:t xml:space="preserve"> the </w:t>
      </w:r>
      <w:r w:rsidR="00AA403D">
        <w:t>sponsor’s</w:t>
      </w:r>
      <w:r w:rsidRPr="00BC1BE2">
        <w:t xml:space="preserve"> response </w:t>
      </w:r>
      <w:r w:rsidR="00AA403D">
        <w:t>to be</w:t>
      </w:r>
      <w:r w:rsidRPr="00BC1BE2">
        <w:t xml:space="preserve"> acceptable and the POPPK modelling data can be used in support of the proposed changes to the dosage regimen.</w:t>
      </w:r>
    </w:p>
    <w:p w:rsidR="00BC1BE2" w:rsidRPr="00BC1BE2" w:rsidRDefault="00BC1BE2" w:rsidP="00BF10C6">
      <w:pPr>
        <w:pStyle w:val="Heading5"/>
      </w:pPr>
      <w:bookmarkStart w:id="132" w:name="OLE_LINK1"/>
      <w:bookmarkStart w:id="133" w:name="OLE_LINK2"/>
      <w:r w:rsidRPr="00BC1BE2">
        <w:t xml:space="preserve">Clinical </w:t>
      </w:r>
      <w:r w:rsidR="00BF10C6">
        <w:t>e</w:t>
      </w:r>
      <w:r w:rsidRPr="00BC1BE2">
        <w:t>valuation</w:t>
      </w:r>
      <w:r w:rsidR="00AA403D">
        <w:t xml:space="preserve"> </w:t>
      </w:r>
      <w:bookmarkEnd w:id="132"/>
      <w:bookmarkEnd w:id="133"/>
      <w:r w:rsidR="00BF10C6">
        <w:t>p</w:t>
      </w:r>
      <w:r w:rsidRPr="00BC1BE2">
        <w:t xml:space="preserve">harmacokinetics </w:t>
      </w:r>
    </w:p>
    <w:p w:rsidR="00BC1BE2" w:rsidRPr="00BC1BE2" w:rsidRDefault="00BC1BE2" w:rsidP="00BF10C6">
      <w:r w:rsidRPr="00BC1BE2">
        <w:t xml:space="preserve">PK data were presented for a limited number of participants in the Capsule Recommended Dose Cohort from </w:t>
      </w:r>
      <w:r w:rsidR="00A10B25">
        <w:t>Study AI4</w:t>
      </w:r>
      <w:r w:rsidRPr="00BC1BE2">
        <w:t>24020 as follows:</w:t>
      </w:r>
    </w:p>
    <w:p w:rsidR="00BC1BE2" w:rsidRPr="00BF10C6" w:rsidRDefault="00BC1BE2" w:rsidP="00BF10C6">
      <w:pPr>
        <w:pStyle w:val="ListBullet"/>
      </w:pPr>
      <w:r w:rsidRPr="00BF10C6">
        <w:t xml:space="preserve">children weighing 15 kg to &lt; 20 kg treated with ATV at a nominal dose of 150 mg once daily or higher (capsule formulation) boosted with RTV 100 mg once daily for </w:t>
      </w:r>
      <w:r w:rsidR="00AA403D" w:rsidRPr="00BF10C6">
        <w:t>≥</w:t>
      </w:r>
      <w:r w:rsidRPr="00BF10C6">
        <w:t xml:space="preserve"> 24 weeks (n=3); and</w:t>
      </w:r>
    </w:p>
    <w:p w:rsidR="00BC1BE2" w:rsidRPr="00BF10C6" w:rsidRDefault="00BC1BE2" w:rsidP="00BF10C6">
      <w:pPr>
        <w:pStyle w:val="ListBullet"/>
      </w:pPr>
      <w:r w:rsidRPr="00BF10C6">
        <w:t xml:space="preserve">children weighing 20 kg to &lt; 25 kg treated with ATV at a nominal dose of 200 mg once daily or higher (capsule formulation) boosted with RTV 100 mg once daily for </w:t>
      </w:r>
      <w:r w:rsidR="00AA403D" w:rsidRPr="00BF10C6">
        <w:t>≥</w:t>
      </w:r>
      <w:r w:rsidRPr="00BF10C6">
        <w:t xml:space="preserve"> 24 weeks (n=5).</w:t>
      </w:r>
      <w:r w:rsidR="00A10B25" w:rsidRPr="00BF10C6">
        <w:t xml:space="preserve"> </w:t>
      </w:r>
    </w:p>
    <w:p w:rsidR="00BC1BE2" w:rsidRPr="00BC1BE2" w:rsidRDefault="00BC1BE2" w:rsidP="00BF10C6">
      <w:r w:rsidRPr="00BC1BE2">
        <w:t xml:space="preserve">In this study dose the ATV dose was individually adjusted for each subject until the subject achieved ATV exposure within the target range. An individual dose would not subsequently be adjusted randomly throughout the trial or due to PK variability, unless there was an increase in body weight of </w:t>
      </w:r>
      <w:r w:rsidR="00AA403D">
        <w:t>≥</w:t>
      </w:r>
      <w:r w:rsidRPr="00BC1BE2">
        <w:t>25%. (Note: 1 patient moved from the lower to higher weight group during the study and therefore contributed data to both groups).</w:t>
      </w:r>
    </w:p>
    <w:p w:rsidR="00BC1BE2" w:rsidRPr="00BC1BE2" w:rsidRDefault="00BC1BE2" w:rsidP="00BF10C6">
      <w:r w:rsidRPr="00BC1BE2">
        <w:t>Full 24</w:t>
      </w:r>
      <w:r w:rsidR="00AA403D">
        <w:t xml:space="preserve"> </w:t>
      </w:r>
      <w:r w:rsidRPr="00BC1BE2">
        <w:t>hour pharmacokinetic profiles were determined at the end of Week 1 and Week 56 as well as two weeks following any dose adjustment based on the pre specified ATV exposure criteria.</w:t>
      </w:r>
      <w:r w:rsidR="00A10B25">
        <w:t xml:space="preserve"> </w:t>
      </w:r>
      <w:r w:rsidRPr="00BC1BE2">
        <w:t>Plasma samples were assayed for ATV and RTV levels using liquid chromatography-mass spectrometry.</w:t>
      </w:r>
    </w:p>
    <w:p w:rsidR="00BC1BE2" w:rsidRPr="00BC1BE2" w:rsidRDefault="00BC1BE2" w:rsidP="00BF10C6">
      <w:r w:rsidRPr="00BC1BE2">
        <w:t>ATV and RTV PK parameters and in</w:t>
      </w:r>
      <w:r w:rsidR="00AA403D">
        <w:t xml:space="preserve">dividual results are discussed in the </w:t>
      </w:r>
      <w:r w:rsidRPr="00BC1BE2">
        <w:t>CER</w:t>
      </w:r>
      <w:r w:rsidR="00D011E7">
        <w:t xml:space="preserve"> (Attachment 2)</w:t>
      </w:r>
      <w:r w:rsidRPr="00BC1BE2">
        <w:t>. Of note:</w:t>
      </w:r>
    </w:p>
    <w:p w:rsidR="00BC1BE2" w:rsidRPr="00BC1BE2" w:rsidRDefault="00AA403D" w:rsidP="00BF10C6">
      <w:pPr>
        <w:pStyle w:val="ListBullet"/>
      </w:pPr>
      <w:r>
        <w:t>I</w:t>
      </w:r>
      <w:r w:rsidR="00BC1BE2" w:rsidRPr="00BC1BE2">
        <w:t>n the 15 to &lt;20kg body weight range, two patients received the proposed ATV/RTV dosage of 150/10</w:t>
      </w:r>
      <w:r w:rsidR="00A10B25">
        <w:t>0 mg</w:t>
      </w:r>
      <w:r w:rsidR="00BC1BE2" w:rsidRPr="00BC1BE2">
        <w:t>, whilst the third patient required a dose increase to 250/10</w:t>
      </w:r>
      <w:r w:rsidR="00A10B25">
        <w:t>0 mg</w:t>
      </w:r>
      <w:r w:rsidR="00BC1BE2" w:rsidRPr="00BC1BE2">
        <w:t>.</w:t>
      </w:r>
      <w:r w:rsidR="00A10B25">
        <w:t xml:space="preserve"> </w:t>
      </w:r>
      <w:r w:rsidR="00BC1BE2" w:rsidRPr="00BC1BE2">
        <w:t>In these patients, the ATV C</w:t>
      </w:r>
      <w:r w:rsidR="00BC1BE2" w:rsidRPr="00BC1BE2">
        <w:rPr>
          <w:vertAlign w:val="subscript"/>
        </w:rPr>
        <w:t>max</w:t>
      </w:r>
      <w:r w:rsidR="00BC1BE2" w:rsidRPr="00BC1BE2">
        <w:t xml:space="preserve"> ranged from 1854 to 7682</w:t>
      </w:r>
      <w:r>
        <w:t xml:space="preserve"> </w:t>
      </w:r>
      <w:r w:rsidR="00BC1BE2" w:rsidRPr="00BC1BE2">
        <w:t>ng/mL, the ATV AUCτ ranged from 12598 to 63794 ng.hr/mL, and C</w:t>
      </w:r>
      <w:r w:rsidR="00BC1BE2" w:rsidRPr="00BC1BE2">
        <w:rPr>
          <w:vertAlign w:val="subscript"/>
        </w:rPr>
        <w:t>min</w:t>
      </w:r>
      <w:r w:rsidR="00BC1BE2" w:rsidRPr="00BC1BE2">
        <w:t xml:space="preserve"> ranged from 123 to 800 ng/mL.</w:t>
      </w:r>
      <w:r w:rsidR="00A10B25">
        <w:t xml:space="preserve"> </w:t>
      </w:r>
      <w:r w:rsidR="00BC1BE2" w:rsidRPr="00BC1BE2">
        <w:t>In comparison, the ranges for PK parameters in adult HIV-infected patients treated with ATV/RTV 300/100 mg once daily were C</w:t>
      </w:r>
      <w:r w:rsidR="00BC1BE2" w:rsidRPr="00BC1BE2">
        <w:rPr>
          <w:vertAlign w:val="subscript"/>
        </w:rPr>
        <w:t>max</w:t>
      </w:r>
      <w:r w:rsidR="00BC1BE2" w:rsidRPr="00BC1BE2">
        <w:t xml:space="preserve"> 1694</w:t>
      </w:r>
      <w:r>
        <w:t>–</w:t>
      </w:r>
      <w:r w:rsidR="00BC1BE2" w:rsidRPr="00BC1BE2">
        <w:t>9950</w:t>
      </w:r>
      <w:r>
        <w:t xml:space="preserve"> </w:t>
      </w:r>
      <w:r w:rsidR="00BC1BE2" w:rsidRPr="00BC1BE2">
        <w:t>ng/mL, AUCτ 23,152</w:t>
      </w:r>
      <w:r>
        <w:noBreakHyphen/>
      </w:r>
      <w:r w:rsidR="00BC1BE2" w:rsidRPr="00BC1BE2">
        <w:t>141,825 ng.h/mL, C</w:t>
      </w:r>
      <w:r w:rsidR="00BC1BE2" w:rsidRPr="00BC1BE2">
        <w:rPr>
          <w:vertAlign w:val="subscript"/>
        </w:rPr>
        <w:t>min</w:t>
      </w:r>
      <w:r w:rsidR="00BC1BE2" w:rsidRPr="00BC1BE2">
        <w:t xml:space="preserve"> 158-3,081 ng/mL for treatment-experienced patients; and C</w:t>
      </w:r>
      <w:r w:rsidR="00BC1BE2" w:rsidRPr="00BC1BE2">
        <w:rPr>
          <w:vertAlign w:val="subscript"/>
        </w:rPr>
        <w:t>max</w:t>
      </w:r>
      <w:r w:rsidR="00BC1BE2" w:rsidRPr="00BC1BE2">
        <w:t xml:space="preserve"> 2,426-6,792 ng/mL, AUCτ 26,113-83,210 ng.h/mL and C</w:t>
      </w:r>
      <w:r w:rsidR="00BC1BE2" w:rsidRPr="00BC1BE2">
        <w:rPr>
          <w:vertAlign w:val="subscript"/>
        </w:rPr>
        <w:t>min</w:t>
      </w:r>
      <w:r w:rsidR="00BC1BE2" w:rsidRPr="00BC1BE2">
        <w:t xml:space="preserve"> 184-2,064 ng/mL for treatment</w:t>
      </w:r>
      <w:r>
        <w:t xml:space="preserve"> </w:t>
      </w:r>
      <w:r w:rsidR="00BC1BE2" w:rsidRPr="00BC1BE2">
        <w:t>naive adults.</w:t>
      </w:r>
      <w:r w:rsidR="00A10B25">
        <w:t xml:space="preserve"> </w:t>
      </w:r>
      <w:r w:rsidR="00BC1BE2" w:rsidRPr="00BC1BE2">
        <w:t xml:space="preserve">If one excludes the Wk56 results for </w:t>
      </w:r>
      <w:r>
        <w:t xml:space="preserve">one </w:t>
      </w:r>
      <w:r w:rsidR="00BC1BE2" w:rsidRPr="00BC1BE2">
        <w:t>patient</w:t>
      </w:r>
      <w:r w:rsidR="00852FEC">
        <w:t xml:space="preserve"> </w:t>
      </w:r>
      <w:r w:rsidR="00BC1BE2" w:rsidRPr="00BC1BE2">
        <w:t>because of non-compliance, the PK parameters were generally consistent with the range of values obtained in adult patients.</w:t>
      </w:r>
    </w:p>
    <w:p w:rsidR="00BC1BE2" w:rsidRPr="00BC1BE2" w:rsidRDefault="00BC1BE2" w:rsidP="00BF10C6">
      <w:pPr>
        <w:pStyle w:val="ListBullet"/>
      </w:pPr>
      <w:r w:rsidRPr="00BC1BE2">
        <w:t>In the 20 to &lt;25kg group, 2 of 5 patients received the proposed ATV/RTV dosage of 200/10</w:t>
      </w:r>
      <w:r w:rsidR="00A10B25">
        <w:t>0 mg</w:t>
      </w:r>
      <w:r w:rsidRPr="00BC1BE2">
        <w:t>, 2 patients received a ATV/RTV dose of 250/10</w:t>
      </w:r>
      <w:r w:rsidR="00A10B25">
        <w:t>0 mg</w:t>
      </w:r>
      <w:r w:rsidRPr="00BC1BE2">
        <w:t xml:space="preserve"> and the remaining patient also received a dose of 250/10</w:t>
      </w:r>
      <w:r w:rsidR="00A10B25">
        <w:t>0 mg</w:t>
      </w:r>
      <w:r w:rsidRPr="00BC1BE2">
        <w:t xml:space="preserve"> which was subsequently increased to 400/10</w:t>
      </w:r>
      <w:r w:rsidR="00A10B25">
        <w:t>0 mg</w:t>
      </w:r>
      <w:r w:rsidRPr="00BC1BE2">
        <w:t>.</w:t>
      </w:r>
      <w:r w:rsidR="00A10B25">
        <w:t xml:space="preserve"> </w:t>
      </w:r>
      <w:r w:rsidRPr="00BC1BE2">
        <w:t>Once again, the range of PK parameter values observed in this cohort were generally within the range of values observed in adults receiving an ATV/RTV regimen of 300/10</w:t>
      </w:r>
      <w:r w:rsidR="00A10B25">
        <w:t>0 mg</w:t>
      </w:r>
      <w:r w:rsidRPr="00BC1BE2">
        <w:t xml:space="preserve"> once daily.</w:t>
      </w:r>
    </w:p>
    <w:p w:rsidR="00BC1BE2" w:rsidRPr="00BC1BE2" w:rsidRDefault="00BC1BE2" w:rsidP="00BF10C6">
      <w:r w:rsidRPr="00BC1BE2">
        <w:t>The evaluator commented that the proposed doses for the 15 to &lt;20kg and 20 to &lt;25kg groups resulted in actual ATV C</w:t>
      </w:r>
      <w:r w:rsidRPr="00BC1BE2">
        <w:rPr>
          <w:vertAlign w:val="subscript"/>
        </w:rPr>
        <w:t>min</w:t>
      </w:r>
      <w:r w:rsidRPr="00BC1BE2">
        <w:t xml:space="preserve"> results that were relatively low in comparison to adult results.</w:t>
      </w:r>
      <w:r w:rsidR="00A10B25">
        <w:t xml:space="preserve"> </w:t>
      </w:r>
      <w:r w:rsidRPr="00BC1BE2">
        <w:t xml:space="preserve">A more accurate description of the results, shown in </w:t>
      </w:r>
      <w:r w:rsidR="00AA403D">
        <w:t xml:space="preserve">the </w:t>
      </w:r>
      <w:r w:rsidRPr="00BC1BE2">
        <w:t>CER</w:t>
      </w:r>
      <w:r w:rsidR="00D011E7">
        <w:t xml:space="preserve"> (Attachment 2)</w:t>
      </w:r>
      <w:r w:rsidRPr="00BC1BE2">
        <w:t>, would be that the C</w:t>
      </w:r>
      <w:r w:rsidRPr="00BC1BE2">
        <w:rPr>
          <w:vertAlign w:val="subscript"/>
        </w:rPr>
        <w:t>min</w:t>
      </w:r>
      <w:r w:rsidRPr="00BC1BE2">
        <w:t xml:space="preserve"> values achieved in those groups were at the lower end of the range of values observed in adults.</w:t>
      </w:r>
      <w:r w:rsidR="00A10B25">
        <w:t xml:space="preserve"> </w:t>
      </w:r>
      <w:r w:rsidRPr="00BC1BE2">
        <w:t>Of note, one patient in the 15 to &lt; 20 kg group required ATV/RTV 250/100 mg while one participant in the 20 to &lt; 25 kg group required ATV/RTV 400/100 mg to register pharmacokinetic values comparable to those of the other participants in the weight bands.</w:t>
      </w:r>
      <w:r w:rsidR="00A10B25">
        <w:t xml:space="preserve"> </w:t>
      </w:r>
      <w:r w:rsidRPr="00BC1BE2">
        <w:t>One participant in the weight band 15 to &lt; 20 kg recorded a C</w:t>
      </w:r>
      <w:r w:rsidRPr="00BC1BE2">
        <w:rPr>
          <w:vertAlign w:val="subscript"/>
        </w:rPr>
        <w:t>min</w:t>
      </w:r>
      <w:r w:rsidRPr="00BC1BE2">
        <w:t xml:space="preserve"> below the Australasian Society for HIV Medicine (ASHM) recommended trough concentration of 150</w:t>
      </w:r>
      <w:r w:rsidR="00AA403D">
        <w:t xml:space="preserve"> </w:t>
      </w:r>
      <w:r w:rsidRPr="00BC1BE2">
        <w:t>ng/mL.</w:t>
      </w:r>
      <w:r w:rsidR="00A10B25">
        <w:t xml:space="preserve"> </w:t>
      </w:r>
      <w:r w:rsidRPr="00BC1BE2">
        <w:t>With regard to RTV administered at doses of 10</w:t>
      </w:r>
      <w:r w:rsidR="00A10B25">
        <w:t>0 mg</w:t>
      </w:r>
      <w:r w:rsidRPr="00BC1BE2">
        <w:t xml:space="preserve"> once daily, children weighing 15 to &lt;20kg and 20 to &lt;25kg tended to have higher C</w:t>
      </w:r>
      <w:r w:rsidRPr="00BC1BE2">
        <w:rPr>
          <w:vertAlign w:val="subscript"/>
        </w:rPr>
        <w:t>max</w:t>
      </w:r>
      <w:r w:rsidRPr="00BC1BE2">
        <w:t xml:space="preserve"> and AUC values than adults.</w:t>
      </w:r>
    </w:p>
    <w:p w:rsidR="00BC1BE2" w:rsidRPr="00BC1BE2" w:rsidRDefault="00BC1BE2" w:rsidP="00BF10C6">
      <w:r w:rsidRPr="00BC1BE2">
        <w:t>There were no actual data for the proposed lower ATV dosing in the 32 to 39kg weight band.</w:t>
      </w:r>
    </w:p>
    <w:p w:rsidR="00BC1BE2" w:rsidRPr="00BC1BE2" w:rsidRDefault="00BC1BE2" w:rsidP="00BF10C6">
      <w:pPr>
        <w:pStyle w:val="Heading4"/>
      </w:pPr>
      <w:r w:rsidRPr="00BC1BE2">
        <w:t>Efficacy</w:t>
      </w:r>
    </w:p>
    <w:p w:rsidR="00BC1BE2" w:rsidRPr="00BC1BE2" w:rsidRDefault="00BC1BE2" w:rsidP="00BF10C6">
      <w:bookmarkStart w:id="134" w:name="OLE_LINK3"/>
      <w:bookmarkStart w:id="135" w:name="OLE_LINK4"/>
      <w:r w:rsidRPr="00BC1BE2">
        <w:t>Efficacy endpoints for Study AI424020 were the percentage of participants who achieved virologic response (VR) or virologic response-observed cases (VR-OC) with HIV RNA &lt; 50 or &lt; 400 c/mL at Week 96, as well as CD4 counts and changes from baseline through Week 96.</w:t>
      </w:r>
      <w:r w:rsidR="00A10B25">
        <w:t xml:space="preserve"> </w:t>
      </w:r>
      <w:r w:rsidRPr="00BC1BE2">
        <w:t>For the VR-OC analysis, the denominator was based on participants with available viral load measurements.</w:t>
      </w:r>
      <w:r w:rsidR="00A10B25">
        <w:t xml:space="preserve"> </w:t>
      </w:r>
      <w:r w:rsidRPr="00BC1BE2">
        <w:t>These endpoints were evaluated for the ATV Capsule Cohort only and presented by treat</w:t>
      </w:r>
      <w:r w:rsidR="00AA403D">
        <w:t>ment regimen and ARV-experience</w:t>
      </w:r>
      <w:r w:rsidRPr="00BC1BE2">
        <w:t>.</w:t>
      </w:r>
      <w:r w:rsidR="00A10B25">
        <w:t xml:space="preserve"> </w:t>
      </w:r>
      <w:r w:rsidRPr="00BC1BE2">
        <w:t>No tests of statistical significance were performed because was a dose-finding and safety study and sample size not based on an efficacy endpoint.</w:t>
      </w:r>
      <w:r w:rsidR="00A10B25">
        <w:t xml:space="preserve"> </w:t>
      </w:r>
      <w:r w:rsidRPr="00BC1BE2">
        <w:t>Key findings were:</w:t>
      </w:r>
    </w:p>
    <w:p w:rsidR="00BC1BE2" w:rsidRPr="00BC1BE2" w:rsidRDefault="00BC1BE2" w:rsidP="00BF10C6">
      <w:pPr>
        <w:pStyle w:val="ListBullet"/>
      </w:pPr>
      <w:r w:rsidRPr="00BC1BE2">
        <w:t>in the ATV Capsule Cohort, the virologic response rates at 48 and 96 w</w:t>
      </w:r>
      <w:r w:rsidR="00AA403D">
        <w:t xml:space="preserve">eeks were greater for treatment </w:t>
      </w:r>
      <w:r w:rsidRPr="00BC1BE2">
        <w:t>na</w:t>
      </w:r>
      <w:r w:rsidR="00AA403D">
        <w:t xml:space="preserve">ive participants than treatment </w:t>
      </w:r>
      <w:r w:rsidRPr="00BC1BE2">
        <w:t xml:space="preserve">experienced participants; </w:t>
      </w:r>
    </w:p>
    <w:p w:rsidR="00BC1BE2" w:rsidRPr="00BF10C6" w:rsidRDefault="00BC1BE2" w:rsidP="00BF10C6">
      <w:pPr>
        <w:pStyle w:val="ListBullet"/>
      </w:pPr>
      <w:r w:rsidRPr="00BF10C6">
        <w:t xml:space="preserve">the percentage of participants who achieved VR or VR-OC was greater in the ATV/RTV group than in the ATV alone group irrespective of whether the participants were antiretroviral-naive or experienced; </w:t>
      </w:r>
    </w:p>
    <w:p w:rsidR="00BC1BE2" w:rsidRPr="00BF10C6" w:rsidRDefault="00BC1BE2" w:rsidP="00BF10C6">
      <w:pPr>
        <w:pStyle w:val="ListBullet"/>
      </w:pPr>
      <w:r w:rsidRPr="00BF10C6">
        <w:t>in the ATV Capsule Cohort, subjects in both the ATV and ATV/RTV groups experienced CD4 cell count increases on study therapy irrespective of whether the subjects were ARV</w:t>
      </w:r>
      <w:r w:rsidR="00AA403D" w:rsidRPr="00BF10C6">
        <w:t xml:space="preserve"> </w:t>
      </w:r>
      <w:r w:rsidRPr="00BF10C6">
        <w:t>naive or</w:t>
      </w:r>
      <w:r w:rsidR="00852FEC" w:rsidRPr="00BF10C6">
        <w:t xml:space="preserve"> </w:t>
      </w:r>
      <w:r w:rsidRPr="00BF10C6">
        <w:t>experienced, with a higher median increase amongst treatment</w:t>
      </w:r>
      <w:r w:rsidR="00851F16" w:rsidRPr="00BF10C6">
        <w:t xml:space="preserve"> </w:t>
      </w:r>
      <w:r w:rsidRPr="00BF10C6">
        <w:t>naive patients; and</w:t>
      </w:r>
    </w:p>
    <w:p w:rsidR="00BC1BE2" w:rsidRPr="00BF10C6" w:rsidRDefault="00BC1BE2" w:rsidP="00BF10C6">
      <w:pPr>
        <w:pStyle w:val="ListBullet"/>
      </w:pPr>
      <w:r w:rsidRPr="00BF10C6">
        <w:t>the 24% response (</w:t>
      </w:r>
      <w:r w:rsidR="00851F16" w:rsidRPr="00BF10C6">
        <w:t>that is,</w:t>
      </w:r>
      <w:r w:rsidRPr="00BF10C6">
        <w:t xml:space="preserve"> HIV RNA &lt; 50 copies/</w:t>
      </w:r>
      <w:proofErr w:type="spellStart"/>
      <w:r w:rsidRPr="00BF10C6">
        <w:t>mL</w:t>
      </w:r>
      <w:proofErr w:type="spellEnd"/>
      <w:r w:rsidRPr="00BF10C6">
        <w:t>) for treatment experienced patients at Week 48 was lower than that reported in adults while the response of 32 % at Week 96 was roughly the same, albeit that numbers in the paediatric study were small and study designs different.</w:t>
      </w:r>
    </w:p>
    <w:p w:rsidR="00BC1BE2" w:rsidRPr="00BC1BE2" w:rsidRDefault="00BC1BE2" w:rsidP="00BF10C6">
      <w:r w:rsidRPr="00BC1BE2">
        <w:t>No analyses were presented for the ATV Recommended Dose Cohort because it comprised too few patients (n=7) to conduct any meaningful analysis and because the cohort was biased, since in order to be included in the cohort, the subject had to have reached 24 weeks or longer in the study.</w:t>
      </w:r>
      <w:r w:rsidR="00A10B25">
        <w:t xml:space="preserve"> </w:t>
      </w:r>
      <w:r w:rsidRPr="00BC1BE2">
        <w:t>Furthermore all 7 patients were treatment</w:t>
      </w:r>
      <w:r w:rsidR="00851F16">
        <w:t xml:space="preserve"> </w:t>
      </w:r>
      <w:r w:rsidRPr="00BC1BE2">
        <w:t>naïve at study start and all received ATV/RTV on study.</w:t>
      </w:r>
      <w:r w:rsidR="00A10B25">
        <w:t xml:space="preserve"> </w:t>
      </w:r>
      <w:r w:rsidRPr="00BC1BE2">
        <w:t>In contrast, the majority of treated subjects in the ATV Capsule Cohort (59%) had received ARV therapy prior to study. This constituted a heavily pre-treated paediatric population and included subjects with prior protease inhibitor experience. These factors limited the usefulness of any comparison with the ATV Capsule Cohort in terms of efficacy.</w:t>
      </w:r>
    </w:p>
    <w:bookmarkEnd w:id="134"/>
    <w:bookmarkEnd w:id="135"/>
    <w:p w:rsidR="00BC1BE2" w:rsidRPr="00BC1BE2" w:rsidRDefault="00BC1BE2" w:rsidP="00BF10C6">
      <w:pPr>
        <w:pStyle w:val="Heading4"/>
      </w:pPr>
      <w:r w:rsidRPr="00BC1BE2">
        <w:t>Safety</w:t>
      </w:r>
    </w:p>
    <w:p w:rsidR="00BC1BE2" w:rsidRPr="00BC1BE2" w:rsidRDefault="00BC1BE2" w:rsidP="00BF10C6">
      <w:r w:rsidRPr="00BC1BE2">
        <w:t>Safety endpoints for Study AI424020 included the frequencies of adverse events (AEs), serious adverse events (SAEs), deaths, discontinuations related to AEs, AIDS-related events, ECGs and laboratory abnormalities.</w:t>
      </w:r>
      <w:r w:rsidR="00A10B25">
        <w:t xml:space="preserve"> </w:t>
      </w:r>
      <w:r w:rsidRPr="00BC1BE2">
        <w:t>Key findings were:</w:t>
      </w:r>
    </w:p>
    <w:p w:rsidR="00BC1BE2" w:rsidRPr="00BF10C6" w:rsidRDefault="00BC1BE2" w:rsidP="00BF10C6">
      <w:pPr>
        <w:pStyle w:val="ListBullet"/>
      </w:pPr>
      <w:r w:rsidRPr="00BF10C6">
        <w:t>all patients in both the ATV Capsule and ATV/RTV Capsule Recommended Dose Cohorts reported adverse events.</w:t>
      </w:r>
      <w:r w:rsidR="00A10B25" w:rsidRPr="00BF10C6">
        <w:t xml:space="preserve"> </w:t>
      </w:r>
      <w:r w:rsidRPr="00BF10C6">
        <w:t xml:space="preserve">The most common of these were related to laboratory abnormalities (blood </w:t>
      </w:r>
      <w:proofErr w:type="spellStart"/>
      <w:r w:rsidRPr="00BF10C6">
        <w:t>bilirubin</w:t>
      </w:r>
      <w:proofErr w:type="spellEnd"/>
      <w:r w:rsidRPr="00BF10C6">
        <w:t xml:space="preserve"> increased, blood </w:t>
      </w:r>
      <w:proofErr w:type="spellStart"/>
      <w:r w:rsidRPr="00BF10C6">
        <w:t>bilirubin</w:t>
      </w:r>
      <w:proofErr w:type="spellEnd"/>
      <w:r w:rsidRPr="00BF10C6">
        <w:t xml:space="preserve"> </w:t>
      </w:r>
      <w:proofErr w:type="spellStart"/>
      <w:r w:rsidRPr="00BF10C6">
        <w:t>unconjugated</w:t>
      </w:r>
      <w:proofErr w:type="spellEnd"/>
      <w:r w:rsidRPr="00BF10C6">
        <w:t xml:space="preserve"> increased, AST and ALT increased, </w:t>
      </w:r>
      <w:proofErr w:type="spellStart"/>
      <w:r w:rsidRPr="00BF10C6">
        <w:t>bilirubin</w:t>
      </w:r>
      <w:proofErr w:type="spellEnd"/>
      <w:r w:rsidRPr="00BF10C6">
        <w:t xml:space="preserve"> </w:t>
      </w:r>
      <w:proofErr w:type="spellStart"/>
      <w:r w:rsidRPr="00BF10C6">
        <w:t>unconjugated</w:t>
      </w:r>
      <w:proofErr w:type="spellEnd"/>
      <w:r w:rsidRPr="00BF10C6">
        <w:t xml:space="preserve"> increased, blood glucose decreased and blood sodium decreased);</w:t>
      </w:r>
      <w:r w:rsidR="00A10B25" w:rsidRPr="00BF10C6">
        <w:t xml:space="preserve"> </w:t>
      </w:r>
    </w:p>
    <w:p w:rsidR="00BC1BE2" w:rsidRPr="00BF10C6" w:rsidRDefault="00BC1BE2" w:rsidP="00BF10C6">
      <w:pPr>
        <w:pStyle w:val="ListBullet"/>
      </w:pPr>
      <w:r w:rsidRPr="00BF10C6">
        <w:t>the reported AEs and laboratory abnormalities were consistent between the 2 cohorts;</w:t>
      </w:r>
    </w:p>
    <w:p w:rsidR="00BC1BE2" w:rsidRPr="00BF10C6" w:rsidRDefault="00BC1BE2" w:rsidP="00BF10C6">
      <w:pPr>
        <w:pStyle w:val="ListBullet"/>
      </w:pPr>
      <w:proofErr w:type="spellStart"/>
      <w:r w:rsidRPr="00BF10C6">
        <w:t>hyperbilirubinemia</w:t>
      </w:r>
      <w:proofErr w:type="spellEnd"/>
      <w:r w:rsidRPr="00BF10C6">
        <w:t xml:space="preserve"> was the most frequently reported clinical SAE, AE, Grade 2-4 AE and clinical laboratory abnormality in both the ATV Capsule Cohort and the ATV/RTV Capsule Recommended Dose Cohort;</w:t>
      </w:r>
    </w:p>
    <w:p w:rsidR="00BC1BE2" w:rsidRPr="00BF10C6" w:rsidRDefault="00BC1BE2" w:rsidP="00BF10C6">
      <w:pPr>
        <w:pStyle w:val="ListBullet"/>
      </w:pPr>
      <w:r w:rsidRPr="00BF10C6">
        <w:t>2 deaths occurred at less than 48 weeks, both treated with ATV alone. They occurred after discontinuation of study therapy and both were considered unrelated to study drug;</w:t>
      </w:r>
    </w:p>
    <w:p w:rsidR="00BC1BE2" w:rsidRPr="00BF10C6" w:rsidRDefault="00BC1BE2" w:rsidP="00BF10C6">
      <w:pPr>
        <w:pStyle w:val="ListBullet"/>
      </w:pPr>
      <w:r w:rsidRPr="00BF10C6">
        <w:t>cardiac disorders were reported as SAEs by 8% of participants.</w:t>
      </w:r>
      <w:r w:rsidR="00A10B25" w:rsidRPr="00BF10C6">
        <w:t xml:space="preserve"> </w:t>
      </w:r>
      <w:r w:rsidRPr="00BF10C6">
        <w:t>A total of 5 subjects in the ATV Capsule Cohort experienced Grade 2-4 Cardiac Disorders</w:t>
      </w:r>
      <w:r w:rsidR="00851F16" w:rsidRPr="00BF10C6">
        <w:t>;</w:t>
      </w:r>
      <w:r w:rsidRPr="00BF10C6">
        <w:t xml:space="preserve"> 2 subjects had first degree AV block and 1 subject each had second degree AV block, </w:t>
      </w:r>
      <w:proofErr w:type="spellStart"/>
      <w:r w:rsidRPr="00BF10C6">
        <w:t>bradycardia</w:t>
      </w:r>
      <w:proofErr w:type="spellEnd"/>
      <w:r w:rsidRPr="00BF10C6">
        <w:t xml:space="preserve">, congestive cardiac failure, and </w:t>
      </w:r>
      <w:proofErr w:type="spellStart"/>
      <w:r w:rsidRPr="00BF10C6">
        <w:t>cardiomyopathy</w:t>
      </w:r>
      <w:proofErr w:type="spellEnd"/>
      <w:r w:rsidRPr="00BF10C6">
        <w:t>. None of the 7 subjects in the ATV/RTV Capsule Recommended Dose Cohort had Grade 2-4 cardiac disorders reported as AEs; and</w:t>
      </w:r>
    </w:p>
    <w:p w:rsidR="00BC1BE2" w:rsidRPr="00BF10C6" w:rsidRDefault="00BC1BE2" w:rsidP="00BF10C6">
      <w:pPr>
        <w:pStyle w:val="ListBullet"/>
      </w:pPr>
      <w:r w:rsidRPr="00BF10C6">
        <w:t xml:space="preserve">ECG abnormalities were reported for the majority of participants, most commonly first degree AV blocks and ST/T morphological abnormalities. The only patient noted to have </w:t>
      </w:r>
      <w:proofErr w:type="spellStart"/>
      <w:r w:rsidRPr="00BF10C6">
        <w:t>QTcB</w:t>
      </w:r>
      <w:proofErr w:type="spellEnd"/>
      <w:r w:rsidRPr="00BF10C6">
        <w:t xml:space="preserve"> prolongation &gt; 480 ms had a prolonged </w:t>
      </w:r>
      <w:proofErr w:type="spellStart"/>
      <w:r w:rsidRPr="00BF10C6">
        <w:t>QTcB</w:t>
      </w:r>
      <w:proofErr w:type="spellEnd"/>
      <w:r w:rsidRPr="00BF10C6">
        <w:t xml:space="preserve"> interval at screening which was a protocol deviation.</w:t>
      </w:r>
    </w:p>
    <w:p w:rsidR="00BC1BE2" w:rsidRPr="00BC1BE2" w:rsidRDefault="00BC1BE2" w:rsidP="00BF10C6">
      <w:r w:rsidRPr="00BC1BE2">
        <w:t>Overall, the clinical evaluator concluded the pattern of adverse events appeared similar to that observed in adult patients although the frequency of hyperbilirubinemia was higher.</w:t>
      </w:r>
      <w:r w:rsidR="00A10B25">
        <w:t xml:space="preserve"> </w:t>
      </w:r>
      <w:r w:rsidRPr="00BC1BE2">
        <w:t>ECG changes also appeared more frequently in children.</w:t>
      </w:r>
      <w:r w:rsidR="00A10B25">
        <w:t xml:space="preserve"> </w:t>
      </w:r>
      <w:r w:rsidRPr="00BC1BE2">
        <w:t>Of concern was the observation that the high ritonavir C</w:t>
      </w:r>
      <w:r w:rsidRPr="00BC1BE2">
        <w:rPr>
          <w:vertAlign w:val="subscript"/>
        </w:rPr>
        <w:t>max</w:t>
      </w:r>
      <w:r w:rsidRPr="00BC1BE2">
        <w:t xml:space="preserve"> and AUC observed in children compared to adults may theoretically increase the incidence of ECG PR interval prolongations.</w:t>
      </w:r>
      <w:r w:rsidR="00A10B25">
        <w:t xml:space="preserve"> </w:t>
      </w:r>
      <w:r w:rsidRPr="00BC1BE2">
        <w:t>The evaluator noted the external validity with respect to cardiac safety may have been limited by the extensive list of protocol mandated exclusions relating to pre-existing cardiac disorders.</w:t>
      </w:r>
      <w:r w:rsidR="00A10B25">
        <w:t xml:space="preserve"> </w:t>
      </w:r>
      <w:r w:rsidRPr="00BC1BE2">
        <w:t>However, such exclusions were appropriate given the current precautions in relation to the use of ATV in patients with pre-existing conduction system disease.</w:t>
      </w:r>
      <w:r w:rsidR="00A10B25">
        <w:t xml:space="preserve"> </w:t>
      </w:r>
      <w:r w:rsidRPr="00BC1BE2">
        <w:t>The sponsor has agreed to include an additional precautionary statement about the cardiac effects of ATV in the PI in response to comments made by the RMP evaluator.</w:t>
      </w:r>
      <w:r w:rsidR="00A10B25">
        <w:t xml:space="preserve"> </w:t>
      </w:r>
      <w:r w:rsidRPr="00BC1BE2">
        <w:t xml:space="preserve">Such changes will refer to co-prescription of medications that have potential to increase the QT interval and patients with pre-existing factors for QT prolongation (including electrolyte imbalances). </w:t>
      </w:r>
    </w:p>
    <w:p w:rsidR="008E7846" w:rsidRDefault="00386150" w:rsidP="00BF10C6">
      <w:pPr>
        <w:pStyle w:val="Heading3"/>
        <w:rPr>
          <w:lang w:eastAsia="en-AU"/>
        </w:rPr>
      </w:pPr>
      <w:bookmarkStart w:id="136" w:name="_Toc371428602"/>
      <w:r>
        <w:rPr>
          <w:lang w:eastAsia="en-AU"/>
        </w:rPr>
        <w:t>Risk m</w:t>
      </w:r>
      <w:r w:rsidR="008E7846">
        <w:rPr>
          <w:lang w:eastAsia="en-AU"/>
        </w:rPr>
        <w:t xml:space="preserve">anagement </w:t>
      </w:r>
      <w:r>
        <w:rPr>
          <w:lang w:eastAsia="en-AU"/>
        </w:rPr>
        <w:t>p</w:t>
      </w:r>
      <w:r w:rsidR="008E7846">
        <w:rPr>
          <w:lang w:eastAsia="en-AU"/>
        </w:rPr>
        <w:t>lan</w:t>
      </w:r>
      <w:bookmarkEnd w:id="131"/>
      <w:bookmarkEnd w:id="136"/>
    </w:p>
    <w:p w:rsidR="00E44723" w:rsidRPr="00E44723" w:rsidRDefault="00E44723" w:rsidP="00BF10C6">
      <w:bookmarkStart w:id="137" w:name="_Toc247691531"/>
      <w:bookmarkStart w:id="138" w:name="_Toc314842515"/>
      <w:bookmarkStart w:id="139" w:name="_Toc196046505"/>
      <w:bookmarkStart w:id="140" w:name="_Toc196046949"/>
      <w:r w:rsidRPr="00E44723">
        <w:t>The TGA’s Office of Product Review required that an RMP also be included in the current submission because the sponsor had proposed to lower the age range for recommended dosing which would expose a younger paediatric population to the drug.</w:t>
      </w:r>
      <w:r w:rsidR="00A10B25">
        <w:t xml:space="preserve"> </w:t>
      </w:r>
      <w:r w:rsidRPr="00E44723">
        <w:t>There are no outstanding issues in relation to the RMP for this submission and, consequently, this is not discussed further.</w:t>
      </w:r>
    </w:p>
    <w:p w:rsidR="008E7846" w:rsidRDefault="00AA0ED0" w:rsidP="00BF10C6">
      <w:pPr>
        <w:pStyle w:val="Heading3"/>
      </w:pPr>
      <w:bookmarkStart w:id="141" w:name="_Toc371428603"/>
      <w:r>
        <w:t>Risk-benefit a</w:t>
      </w:r>
      <w:r w:rsidR="008E7846">
        <w:t>nalysis</w:t>
      </w:r>
      <w:bookmarkEnd w:id="137"/>
      <w:bookmarkEnd w:id="138"/>
      <w:bookmarkEnd w:id="141"/>
    </w:p>
    <w:p w:rsidR="008E7846" w:rsidRDefault="008E7846" w:rsidP="008E7846">
      <w:pPr>
        <w:pStyle w:val="Heading4"/>
      </w:pPr>
      <w:r>
        <w:t xml:space="preserve">Delegate </w:t>
      </w:r>
      <w:r w:rsidR="00ED3CAD">
        <w:t>c</w:t>
      </w:r>
      <w:r>
        <w:t>onsiderations</w:t>
      </w:r>
    </w:p>
    <w:p w:rsidR="00BC1BE2" w:rsidRPr="00BC1BE2" w:rsidRDefault="00BC1BE2" w:rsidP="00BF10C6">
      <w:r w:rsidRPr="00BC1BE2">
        <w:t>Based on the further information provided by the sponsor, it can be accepted that the (k,</w:t>
      </w:r>
      <w:r w:rsidR="00851F16">
        <w:t> V</w:t>
      </w:r>
      <w:r w:rsidRPr="00BC1BE2">
        <w:t>) and (CL, V)</w:t>
      </w:r>
      <w:r w:rsidR="00851F16">
        <w:t xml:space="preserve"> </w:t>
      </w:r>
      <w:r w:rsidRPr="00BC1BE2">
        <w:t xml:space="preserve">parameterisations of the POPPK model are mathematically equivalent, yielding virtually identical predicted ATV concentration-time plots at </w:t>
      </w:r>
      <w:r w:rsidR="00851F16">
        <w:t>W</w:t>
      </w:r>
      <w:r w:rsidRPr="00BC1BE2">
        <w:t>eeks 1 and 56 in paediatric patients.</w:t>
      </w:r>
      <w:r w:rsidR="00A10B25">
        <w:t xml:space="preserve"> </w:t>
      </w:r>
      <w:r w:rsidRPr="00BC1BE2">
        <w:t>From this, it can be accepted that the apparent disparity between the observed and model-predicted concentration-time data cannot be attributed to the parameterisation of the model and consequently the POPPK modelling data can be used in support of the proposed changes to the dosage regimen.</w:t>
      </w:r>
    </w:p>
    <w:p w:rsidR="00BC1BE2" w:rsidRPr="00BC1BE2" w:rsidRDefault="00BC1BE2" w:rsidP="00BF10C6">
      <w:r w:rsidRPr="00BC1BE2">
        <w:t>It also means is that the disparity between the observed and model-predicted concentration-time data is probably due to the very small numbers of patients that comprise some of the age groups.</w:t>
      </w:r>
      <w:r w:rsidR="00A10B25">
        <w:t xml:space="preserve"> </w:t>
      </w:r>
      <w:r w:rsidRPr="00BC1BE2">
        <w:t>This was a particular concern of the clinical evaluator who was also concerned that:</w:t>
      </w:r>
    </w:p>
    <w:p w:rsidR="00BC1BE2" w:rsidRPr="00BC1BE2" w:rsidRDefault="00BC1BE2" w:rsidP="00BF10C6">
      <w:pPr>
        <w:pStyle w:val="ListBullet"/>
      </w:pPr>
      <w:r w:rsidRPr="00BC1BE2">
        <w:t xml:space="preserve">half the patients with actual data required increases above the proposed doses in order to achieve the target ATV exposures; and </w:t>
      </w:r>
    </w:p>
    <w:p w:rsidR="00BC1BE2" w:rsidRPr="00BC1BE2" w:rsidRDefault="00BC1BE2" w:rsidP="00BF10C6">
      <w:pPr>
        <w:pStyle w:val="ListBullet"/>
      </w:pPr>
      <w:r w:rsidRPr="00BC1BE2">
        <w:t xml:space="preserve">the sponsor has not comprehensively addressed the specific age range 6 </w:t>
      </w:r>
      <w:r w:rsidR="00851F16">
        <w:t>to</w:t>
      </w:r>
      <w:r w:rsidRPr="00BC1BE2">
        <w:t xml:space="preserve"> &lt; 8 years, the ages not currently represented in the </w:t>
      </w:r>
      <w:r w:rsidRPr="00BC1BE2">
        <w:rPr>
          <w:i/>
        </w:rPr>
        <w:t>Dosage and Administration</w:t>
      </w:r>
      <w:r w:rsidRPr="00BC1BE2">
        <w:t xml:space="preserve"> section of the PI.</w:t>
      </w:r>
      <w:r w:rsidR="00A10B25">
        <w:t xml:space="preserve"> </w:t>
      </w:r>
      <w:r w:rsidRPr="00BC1BE2">
        <w:t>It was noted that in the submission that gave rise to the current approved ATV/RTV dosage regimen in paediatric patients, concern was raised about the apparently unpredictable clearance/kg by age demonstrated in children less than 8 years of age.</w:t>
      </w:r>
      <w:r w:rsidR="00A10B25">
        <w:t xml:space="preserve"> </w:t>
      </w:r>
      <w:r w:rsidRPr="00BC1BE2">
        <w:t>The evaluator at that time concluded that the dosage recommendation based on body weight for these young children is unlikely to result in a predictable plasma level, a matter considered potentially hazardous in view of both the non-linear kinetics and the possibility of ineffective C</w:t>
      </w:r>
      <w:r w:rsidRPr="00BC1BE2">
        <w:rPr>
          <w:vertAlign w:val="subscript"/>
        </w:rPr>
        <w:t>min</w:t>
      </w:r>
      <w:r w:rsidRPr="00BC1BE2">
        <w:t xml:space="preserve"> values due to the high peak to trough ratios.</w:t>
      </w:r>
    </w:p>
    <w:p w:rsidR="00BC1BE2" w:rsidRPr="00BC1BE2" w:rsidRDefault="00BC1BE2" w:rsidP="00BF10C6">
      <w:r w:rsidRPr="00BC1BE2">
        <w:t xml:space="preserve">Accordingly, it was recommended that the </w:t>
      </w:r>
      <w:r w:rsidRPr="00BC1BE2">
        <w:rPr>
          <w:i/>
        </w:rPr>
        <w:t>Precautions</w:t>
      </w:r>
      <w:r w:rsidRPr="00BC1BE2">
        <w:t xml:space="preserve"> and </w:t>
      </w:r>
      <w:r w:rsidRPr="00BC1BE2">
        <w:rPr>
          <w:i/>
        </w:rPr>
        <w:t>Dosage and administration</w:t>
      </w:r>
      <w:r w:rsidRPr="00BC1BE2">
        <w:t xml:space="preserve"> sections of the PI should contain statements to the effect that young children have wide variability in metabolic handling of both atazanavir and ritonavir which places them at particular risk of lower ATV C</w:t>
      </w:r>
      <w:r w:rsidRPr="00BC1BE2">
        <w:rPr>
          <w:vertAlign w:val="subscript"/>
        </w:rPr>
        <w:t>min</w:t>
      </w:r>
      <w:r w:rsidRPr="00BC1BE2">
        <w:t xml:space="preserve"> and higher ATV C</w:t>
      </w:r>
      <w:r w:rsidRPr="00BC1BE2">
        <w:rPr>
          <w:vertAlign w:val="subscript"/>
        </w:rPr>
        <w:t>max</w:t>
      </w:r>
      <w:r w:rsidRPr="00BC1BE2">
        <w:t>.</w:t>
      </w:r>
      <w:r w:rsidR="00A10B25">
        <w:t xml:space="preserve"> </w:t>
      </w:r>
      <w:r w:rsidRPr="00BC1BE2">
        <w:t xml:space="preserve">The clinical evaluator also recommended that therapeutic drug monitoring (TDM) should be instigated at the commencement of treatment and repeated with each dose change or, at least as a minimum, there should be a reference to the ASHM’s Australian Commentary to the </w:t>
      </w:r>
      <w:hyperlink r:id="rId41" w:tgtFrame="_blank" w:history="1">
        <w:r w:rsidRPr="00BC1BE2">
          <w:rPr>
            <w:rStyle w:val="Hyperlink"/>
            <w:i/>
          </w:rPr>
          <w:t>USA Guidelines for the use of Antiretroviral Agents in HIV-1 Infected Adults and Adolescents</w:t>
        </w:r>
      </w:hyperlink>
      <w:r w:rsidRPr="00BC1BE2">
        <w:rPr>
          <w:vertAlign w:val="superscript"/>
        </w:rPr>
        <w:footnoteReference w:id="10"/>
      </w:r>
      <w:r w:rsidRPr="00BC1BE2">
        <w:t>.</w:t>
      </w:r>
      <w:r w:rsidR="00A10B25">
        <w:t xml:space="preserve"> </w:t>
      </w:r>
    </w:p>
    <w:p w:rsidR="00BC1BE2" w:rsidRPr="00BC1BE2" w:rsidRDefault="00BC1BE2" w:rsidP="00BF10C6">
      <w:pPr>
        <w:rPr>
          <w:lang w:val="en-US"/>
        </w:rPr>
      </w:pPr>
      <w:r w:rsidRPr="00BC1BE2">
        <w:t>It was felt that TDM may be particularly important for treatment-experienced patients for whom the relationship between C</w:t>
      </w:r>
      <w:r w:rsidRPr="00BC1BE2">
        <w:rPr>
          <w:vertAlign w:val="subscript"/>
        </w:rPr>
        <w:t>min</w:t>
      </w:r>
      <w:r w:rsidRPr="00BC1BE2">
        <w:t xml:space="preserve"> and efficacy may be more critical.</w:t>
      </w:r>
      <w:r w:rsidR="00A10B25">
        <w:t xml:space="preserve"> </w:t>
      </w:r>
      <w:r w:rsidRPr="00BC1BE2">
        <w:t>Situations in which TDM is most useful include (among others) where there is marked pharmacokinetic variability; presence of a relationship between drug concentration and therapeutic effect; and existence of a defined (target) concentration.</w:t>
      </w:r>
      <w:r w:rsidR="00A10B25">
        <w:t xml:space="preserve"> </w:t>
      </w:r>
      <w:r w:rsidRPr="00BC1BE2">
        <w:t>These criteria are satisfied with respect to the use of ATZ in HIV in that the inter-</w:t>
      </w:r>
      <w:r w:rsidRPr="00BC1BE2">
        <w:rPr>
          <w:lang w:val="en-US"/>
        </w:rPr>
        <w:t>patient variability in ATV exposure among patients taking the same dose is high and protease inhibitors have the strongest relationship between drug concentrations and anti-HIV effects and, in some cases, toxicities.</w:t>
      </w:r>
    </w:p>
    <w:p w:rsidR="00BC1BE2" w:rsidRPr="00BC1BE2" w:rsidRDefault="00BC1BE2" w:rsidP="00BF10C6">
      <w:pPr>
        <w:rPr>
          <w:lang w:val="en-US"/>
        </w:rPr>
      </w:pPr>
      <w:r w:rsidRPr="00BC1BE2">
        <w:rPr>
          <w:lang w:val="en-US"/>
        </w:rPr>
        <w:t>However, there is also the consideration as to whether ATV therapy could be more simply guided by regular monitoring of clinical status by checking treatment compliance, efficacy (by way of HIV viral load and CD4 counts), and symptoms and signs of toxicity (</w:t>
      </w:r>
      <w:r w:rsidR="00851F16">
        <w:rPr>
          <w:lang w:val="en-US"/>
        </w:rPr>
        <w:t xml:space="preserve">that is, </w:t>
      </w:r>
      <w:r w:rsidRPr="00BC1BE2">
        <w:rPr>
          <w:lang w:val="en-US"/>
        </w:rPr>
        <w:t>monitoring of laboratory parameters such as haematology, serum electrolytes and creatinine and LFTs).</w:t>
      </w:r>
      <w:r w:rsidR="00A10B25">
        <w:rPr>
          <w:lang w:val="en-US"/>
        </w:rPr>
        <w:t xml:space="preserve"> </w:t>
      </w:r>
      <w:r w:rsidRPr="00BC1BE2">
        <w:rPr>
          <w:lang w:val="en-US"/>
        </w:rPr>
        <w:t>The practicality of TDM may also be limited somewhat by issues such as the coordination (and appropriateness) of sample collection times for determination of true C</w:t>
      </w:r>
      <w:r w:rsidRPr="00BC1BE2">
        <w:rPr>
          <w:vertAlign w:val="subscript"/>
          <w:lang w:val="en-US"/>
        </w:rPr>
        <w:t>min</w:t>
      </w:r>
      <w:r w:rsidRPr="00BC1BE2">
        <w:rPr>
          <w:lang w:val="en-US"/>
        </w:rPr>
        <w:t xml:space="preserve"> or AUC; time taken for laboratory processing; limited availability of certified laboratories providing TDM services (according to </w:t>
      </w:r>
      <w:r w:rsidR="00851F16">
        <w:rPr>
          <w:lang w:val="en-US"/>
        </w:rPr>
        <w:t>the Australasian Society for HIV medicine (</w:t>
      </w:r>
      <w:r w:rsidRPr="00BC1BE2">
        <w:rPr>
          <w:lang w:val="en-US"/>
        </w:rPr>
        <w:t>ASHM</w:t>
      </w:r>
      <w:r w:rsidR="00851F16">
        <w:rPr>
          <w:lang w:val="en-US"/>
        </w:rPr>
        <w:t>)</w:t>
      </w:r>
      <w:r w:rsidRPr="00BC1BE2">
        <w:rPr>
          <w:lang w:val="en-US"/>
        </w:rPr>
        <w:t xml:space="preserve"> there are only two laboratories in Australia and only one of these undertakes TDM for ATV); and the potential for high intra-patient variability from single drug concentration measurements, with no guarantee that single trough measurements within the target range will ensure consistent adequacy of drug exposure or therapeutic success.</w:t>
      </w:r>
      <w:r w:rsidR="00A10B25">
        <w:rPr>
          <w:lang w:val="en-US"/>
        </w:rPr>
        <w:t xml:space="preserve"> </w:t>
      </w:r>
      <w:r w:rsidRPr="00BC1BE2">
        <w:t xml:space="preserve">Indeed, </w:t>
      </w:r>
      <w:r w:rsidRPr="00BC1BE2">
        <w:rPr>
          <w:lang w:val="en-US"/>
        </w:rPr>
        <w:t>TDM is not recommended for routine use of antiretroviral agents in adults in current HIV treatment guidelines but may be considered potentially useful for special patients such as children, particularly where there is treatment failure</w:t>
      </w:r>
      <w:r w:rsidRPr="00BC1BE2">
        <w:rPr>
          <w:vertAlign w:val="superscript"/>
          <w:lang w:val="en-US"/>
        </w:rPr>
        <w:footnoteReference w:id="11"/>
      </w:r>
      <w:r w:rsidRPr="00BC1BE2">
        <w:rPr>
          <w:lang w:val="en-US"/>
        </w:rPr>
        <w:t>.</w:t>
      </w:r>
      <w:r w:rsidR="00A10B25">
        <w:rPr>
          <w:lang w:val="en-US"/>
        </w:rPr>
        <w:t xml:space="preserve"> </w:t>
      </w:r>
      <w:r w:rsidRPr="00BC1BE2">
        <w:rPr>
          <w:lang w:val="en-US"/>
        </w:rPr>
        <w:t xml:space="preserve">These issues ought to be well known to HIV specialists and the decision to include TDM in their management of a patient would be on an individual patient basis, taking into account the particular clinical status of the patient as well as family and logistical factors. </w:t>
      </w:r>
    </w:p>
    <w:p w:rsidR="00BC1BE2" w:rsidRPr="00BC1BE2" w:rsidRDefault="00BC1BE2" w:rsidP="00BF10C6">
      <w:r w:rsidRPr="00BC1BE2">
        <w:t>Another issue is how paediatric PK data should be presented within the PI.</w:t>
      </w:r>
      <w:r w:rsidR="00A10B25">
        <w:t xml:space="preserve"> </w:t>
      </w:r>
      <w:r w:rsidRPr="00BC1BE2">
        <w:t xml:space="preserve">The sponsor proposes to replace the table comprising actual steady state PK parameters in paediatric patients with predictions based on the POPPK modelling (see page 4, annotated PI </w:t>
      </w:r>
      <w:r w:rsidRPr="00BC1BE2">
        <w:rPr>
          <w:i/>
        </w:rPr>
        <w:t>Reyataz V9 29 November 2012</w:t>
      </w:r>
      <w:r w:rsidRPr="00BC1BE2">
        <w:t>).</w:t>
      </w:r>
      <w:r w:rsidR="00A10B25">
        <w:t xml:space="preserve"> </w:t>
      </w:r>
      <w:r w:rsidRPr="00BC1BE2">
        <w:t>The POPPK evaluator (who is also a clinician) gave tacit approval for such a change.</w:t>
      </w:r>
      <w:r w:rsidR="00A10B25">
        <w:t xml:space="preserve"> </w:t>
      </w:r>
      <w:r w:rsidRPr="00BC1BE2">
        <w:t xml:space="preserve">In contrast, the </w:t>
      </w:r>
      <w:r w:rsidR="00851F16">
        <w:t>other</w:t>
      </w:r>
      <w:r w:rsidRPr="00BC1BE2">
        <w:t xml:space="preserve"> clinical evaluator did not support the change as the observed data were not considered to fully conform to the predictions.</w:t>
      </w:r>
      <w:r w:rsidRPr="00BC1BE2">
        <w:rPr>
          <w:lang w:val="en-US"/>
        </w:rPr>
        <w:t xml:space="preserve"> </w:t>
      </w:r>
    </w:p>
    <w:p w:rsidR="00BC1BE2" w:rsidRPr="00BC1BE2" w:rsidRDefault="00BC1BE2" w:rsidP="00BF10C6">
      <w:pPr>
        <w:pStyle w:val="Heading4"/>
        <w:rPr>
          <w:lang w:val="en-US"/>
        </w:rPr>
      </w:pPr>
      <w:r w:rsidRPr="00BC1BE2">
        <w:rPr>
          <w:lang w:val="en-US"/>
        </w:rPr>
        <w:t>Delegate’s proposed action</w:t>
      </w:r>
    </w:p>
    <w:p w:rsidR="00BC1BE2" w:rsidRPr="00BC1BE2" w:rsidRDefault="00BC1BE2" w:rsidP="00BF10C6">
      <w:r w:rsidRPr="00BC1BE2">
        <w:t xml:space="preserve">Based on the information </w:t>
      </w:r>
      <w:r w:rsidR="00851F16">
        <w:t>the Delegate had</w:t>
      </w:r>
      <w:r w:rsidRPr="00BC1BE2">
        <w:t xml:space="preserve"> assessed to date, </w:t>
      </w:r>
      <w:r w:rsidR="00851F16">
        <w:t>the Delegate</w:t>
      </w:r>
      <w:r w:rsidRPr="00BC1BE2">
        <w:t xml:space="preserve"> consider</w:t>
      </w:r>
      <w:r w:rsidR="00851F16">
        <w:t>ed</w:t>
      </w:r>
      <w:r w:rsidRPr="00BC1BE2">
        <w:t xml:space="preserve"> the risk/benefit for the change of dosage regimen for atazanavir in paediatric patients to be favourable.</w:t>
      </w:r>
      <w:r w:rsidR="00A10B25">
        <w:t xml:space="preserve"> </w:t>
      </w:r>
      <w:r w:rsidR="00851F16">
        <w:t>The Delegate was</w:t>
      </w:r>
      <w:r w:rsidRPr="00BC1BE2">
        <w:t xml:space="preserve"> satisfied that the POPPK model was able to reasonably characterise the ATV PK profile in paediatric patients and thus supports the proposed changes to the dosage regimen.</w:t>
      </w:r>
      <w:r w:rsidR="00A10B25">
        <w:t xml:space="preserve"> </w:t>
      </w:r>
      <w:r w:rsidRPr="00BC1BE2">
        <w:t>The proposed changes offer a simpler dosage regimen that would be easier to manage in clinical practice and able to accommodate both ATV/RTV in treatment-naive and treatment-experienced patents.</w:t>
      </w:r>
      <w:r w:rsidR="00A10B25">
        <w:t xml:space="preserve"> </w:t>
      </w:r>
    </w:p>
    <w:p w:rsidR="00BC1BE2" w:rsidRPr="00BC1BE2" w:rsidRDefault="00BC1BE2" w:rsidP="00BF10C6">
      <w:r w:rsidRPr="00BC1BE2">
        <w:t xml:space="preserve">In reaching this conclusion it is acknowledged that there is disparity between the observed and model-predicted concentration-time data, which is probably due to the very small numbers of patients that comprise some of the age groups combined with </w:t>
      </w:r>
      <w:r w:rsidRPr="00BC1BE2">
        <w:rPr>
          <w:lang w:val="en-US"/>
        </w:rPr>
        <w:t>high inter-individual variability in the PKs of ATV</w:t>
      </w:r>
      <w:r w:rsidRPr="00BC1BE2">
        <w:t>.</w:t>
      </w:r>
      <w:r w:rsidR="00A10B25">
        <w:t xml:space="preserve"> </w:t>
      </w:r>
      <w:r w:rsidRPr="00BC1BE2">
        <w:t>Thus</w:t>
      </w:r>
      <w:r w:rsidRPr="00BC1BE2">
        <w:rPr>
          <w:lang w:val="en-US"/>
        </w:rPr>
        <w:t>, the inclusion of a precautionary statement regarding the high inter-individual variability in the PKs of ATV, particularly in younger children as proposed by the clinica</w:t>
      </w:r>
      <w:r w:rsidR="00B932B9">
        <w:rPr>
          <w:lang w:val="en-US"/>
        </w:rPr>
        <w:t>l evaluator wa</w:t>
      </w:r>
      <w:r w:rsidRPr="00BC1BE2">
        <w:rPr>
          <w:lang w:val="en-US"/>
        </w:rPr>
        <w:t>s supported by this Delegate.</w:t>
      </w:r>
      <w:r w:rsidR="00A10B25">
        <w:rPr>
          <w:lang w:val="en-US"/>
        </w:rPr>
        <w:t xml:space="preserve"> </w:t>
      </w:r>
      <w:r w:rsidRPr="00BC1BE2">
        <w:rPr>
          <w:lang w:val="en-US"/>
        </w:rPr>
        <w:t xml:space="preserve">If additional advice is required beyond this a simple statement that treatment and monitoring of treatment should be </w:t>
      </w:r>
      <w:r w:rsidRPr="00BC1BE2">
        <w:t>in accordanc</w:t>
      </w:r>
      <w:r w:rsidR="00B932B9">
        <w:t>e with current ASHM guidelines wa</w:t>
      </w:r>
      <w:r w:rsidRPr="00BC1BE2">
        <w:t>s favoured.</w:t>
      </w:r>
      <w:r w:rsidR="00852FEC">
        <w:t xml:space="preserve"> </w:t>
      </w:r>
    </w:p>
    <w:p w:rsidR="00BC1BE2" w:rsidRPr="00BC1BE2" w:rsidRDefault="00BC1BE2" w:rsidP="00BF10C6">
      <w:pPr>
        <w:pStyle w:val="Heading5"/>
      </w:pPr>
      <w:r w:rsidRPr="00BC1BE2">
        <w:t>Request for ACPM advice</w:t>
      </w:r>
    </w:p>
    <w:p w:rsidR="00BC1BE2" w:rsidRPr="00BF10C6" w:rsidRDefault="00BC1BE2" w:rsidP="00BF10C6">
      <w:pPr>
        <w:pStyle w:val="ListBullet"/>
      </w:pPr>
      <w:r w:rsidRPr="00BF10C6">
        <w:t>The views of the ACPM are requested on whether the proposed changes to the paediatric dosage regimen are supported by the POPPK modelling.</w:t>
      </w:r>
    </w:p>
    <w:p w:rsidR="00BC1BE2" w:rsidRPr="00BF10C6" w:rsidRDefault="00B932B9" w:rsidP="00BF10C6">
      <w:pPr>
        <w:pStyle w:val="ListBullet"/>
      </w:pPr>
      <w:r w:rsidRPr="00BF10C6">
        <w:t>The ACPM’s advice wa</w:t>
      </w:r>
      <w:r w:rsidR="00BC1BE2" w:rsidRPr="00BF10C6">
        <w:t>s requested on how the paediatric PK data should be presented in the PI.</w:t>
      </w:r>
    </w:p>
    <w:p w:rsidR="00BC1BE2" w:rsidRPr="00BF10C6" w:rsidRDefault="00B932B9" w:rsidP="00BF10C6">
      <w:pPr>
        <w:pStyle w:val="ListBullet"/>
      </w:pPr>
      <w:r w:rsidRPr="00BF10C6">
        <w:t>Should</w:t>
      </w:r>
      <w:r w:rsidR="00BC1BE2" w:rsidRPr="00BF10C6">
        <w:t xml:space="preserve"> the PI contain statements to the effect that young children have wide variability in metabolic handling of both </w:t>
      </w:r>
      <w:proofErr w:type="spellStart"/>
      <w:r w:rsidR="00BC1BE2" w:rsidRPr="00BF10C6">
        <w:t>atazanavir</w:t>
      </w:r>
      <w:proofErr w:type="spellEnd"/>
      <w:r w:rsidR="00BC1BE2" w:rsidRPr="00BF10C6">
        <w:t xml:space="preserve"> and </w:t>
      </w:r>
      <w:proofErr w:type="spellStart"/>
      <w:r w:rsidR="00BC1BE2" w:rsidRPr="00BF10C6">
        <w:t>ritonavir</w:t>
      </w:r>
      <w:proofErr w:type="spellEnd"/>
      <w:r w:rsidR="00BC1BE2" w:rsidRPr="00BF10C6">
        <w:t xml:space="preserve"> which places them at particular risk of lower ATV </w:t>
      </w:r>
      <w:proofErr w:type="spellStart"/>
      <w:r w:rsidR="00BC1BE2" w:rsidRPr="00BF10C6">
        <w:t>Cmin</w:t>
      </w:r>
      <w:proofErr w:type="spellEnd"/>
      <w:r w:rsidR="00BC1BE2" w:rsidRPr="00BF10C6">
        <w:t xml:space="preserve"> and higher ATV </w:t>
      </w:r>
      <w:proofErr w:type="spellStart"/>
      <w:r w:rsidR="00BC1BE2" w:rsidRPr="00BF10C6">
        <w:t>Cmax</w:t>
      </w:r>
      <w:proofErr w:type="spellEnd"/>
      <w:r w:rsidR="00BC1BE2" w:rsidRPr="00BF10C6">
        <w:t>? In answering this question, it would be appreciated if the ACPM could also discuss the role of TDM in the management of patients with HIV and whether the PI should include advice about TDM.</w:t>
      </w:r>
      <w:r w:rsidR="00A10B25" w:rsidRPr="00BF10C6">
        <w:t xml:space="preserve"> </w:t>
      </w:r>
      <w:r w:rsidR="00BC1BE2" w:rsidRPr="00BF10C6">
        <w:t>Should there be a reference to the ASHM guidelines?</w:t>
      </w:r>
    </w:p>
    <w:p w:rsidR="00BC1BE2" w:rsidRPr="00BC1BE2" w:rsidRDefault="00B932B9" w:rsidP="00BF10C6">
      <w:r>
        <w:t>The committee wa</w:t>
      </w:r>
      <w:r w:rsidR="00BC1BE2" w:rsidRPr="00BC1BE2">
        <w:t>s also requested to provide advice on any other issues that it thinks may be relevant to a decision on whether or not to approve this application.</w:t>
      </w:r>
    </w:p>
    <w:p w:rsidR="008E7846" w:rsidRDefault="008E7846" w:rsidP="00BF10C6">
      <w:pPr>
        <w:pStyle w:val="Heading4"/>
      </w:pPr>
      <w:r>
        <w:t xml:space="preserve">Response from </w:t>
      </w:r>
      <w:r w:rsidR="00BF10C6">
        <w:t>s</w:t>
      </w:r>
      <w:r>
        <w:t>ponsor</w:t>
      </w:r>
    </w:p>
    <w:p w:rsidR="00AF24E7" w:rsidRPr="00CD043D" w:rsidRDefault="00AF24E7" w:rsidP="00BF10C6">
      <w:r w:rsidRPr="00CD043D">
        <w:t>Bristol-Myers Squibb Australia Pty Ltd acknowledge the recommendation of the Delegates’ proposed action to approve the application to amend the paediatric dosing recommendation proposed by the sponsor.</w:t>
      </w:r>
      <w:r>
        <w:t xml:space="preserve"> </w:t>
      </w:r>
    </w:p>
    <w:p w:rsidR="00AF24E7" w:rsidRDefault="00AF24E7" w:rsidP="00BF10C6">
      <w:r>
        <w:t>The sponsor made the following amendment to the proposed prescribing information in response to the Delegates request for advice from the ACPM:</w:t>
      </w:r>
    </w:p>
    <w:p w:rsidR="00AF24E7" w:rsidRDefault="00AF24E7" w:rsidP="00BF10C6">
      <w:pPr>
        <w:pStyle w:val="ListBullet"/>
      </w:pPr>
      <w:r>
        <w:t>Addition of a precaution under ‘Use in Children’ in the proposed prescribing information which reads: “</w:t>
      </w:r>
      <w:r w:rsidRPr="00BF10C6">
        <w:rPr>
          <w:i/>
        </w:rPr>
        <w:t>Due to potential for inter-patient variability in atazanavir exposures, close monitoring of clinical status for efficacy (HIV RNA viral load and CD4 counts) and signs and symptoms of toxicity is recommended</w:t>
      </w:r>
      <w:r>
        <w:t>”.</w:t>
      </w:r>
    </w:p>
    <w:p w:rsidR="00AF24E7" w:rsidRPr="008059CD" w:rsidRDefault="00AF24E7" w:rsidP="00BF10C6">
      <w:pPr>
        <w:pStyle w:val="ListBullet"/>
      </w:pPr>
      <w:r w:rsidRPr="008059CD">
        <w:t>A footnote to Table 2 which reads: ‘</w:t>
      </w:r>
      <w:r w:rsidRPr="00BF10C6">
        <w:rPr>
          <w:i/>
        </w:rPr>
        <w:t>Atazanavir exposures were predicted based on observed data in 167 paediatric patients and 60 adult patients treated with atazanavir with or without ritonavir. See PRECAUTIONS regarding inter-patient variability in atazanavir exposure parameters</w:t>
      </w:r>
      <w:r w:rsidRPr="008059CD">
        <w:t>’.</w:t>
      </w:r>
    </w:p>
    <w:p w:rsidR="00AF24E7" w:rsidRDefault="00AF24E7" w:rsidP="00BF10C6">
      <w:r>
        <w:t>The sponsor acknowledge</w:t>
      </w:r>
      <w:r w:rsidR="001F7946">
        <w:t>d</w:t>
      </w:r>
      <w:r>
        <w:t xml:space="preserve"> the Delegates request for advice of 7</w:t>
      </w:r>
      <w:r>
        <w:rPr>
          <w:sz w:val="14"/>
          <w:szCs w:val="14"/>
        </w:rPr>
        <w:t xml:space="preserve"> </w:t>
      </w:r>
      <w:r>
        <w:t xml:space="preserve">May 2013 and the recommendation to approve the sponsor’s proposed amendments to the Reyataz (atazanavir) Prescribing Information. </w:t>
      </w:r>
    </w:p>
    <w:p w:rsidR="00AF24E7" w:rsidRDefault="00AF24E7" w:rsidP="00BF10C6">
      <w:r>
        <w:t>The sponsor also acknowledge</w:t>
      </w:r>
      <w:r w:rsidR="001F7946">
        <w:t>d</w:t>
      </w:r>
      <w:r>
        <w:t xml:space="preserve"> the Delegates comment that the recommendation to approve the change in the atazanavir dosage regimen for paediatric patients has been assessed to be of a favourable risk/benefit. </w:t>
      </w:r>
    </w:p>
    <w:p w:rsidR="00AF24E7" w:rsidRDefault="00AF24E7" w:rsidP="00BF10C6">
      <w:r>
        <w:t>The sponsor agree</w:t>
      </w:r>
      <w:r w:rsidR="001F7946">
        <w:t>d</w:t>
      </w:r>
      <w:r>
        <w:t xml:space="preserve"> with the Delegate that the proposed amendments offer a simple dosage regimen that would be easier to manage in clinical practice and accommodate both ATV/RTV treatment-naïve and treatment experienced paediatric patients. </w:t>
      </w:r>
    </w:p>
    <w:p w:rsidR="00AF24E7" w:rsidRDefault="00AF24E7" w:rsidP="00BF10C6">
      <w:r>
        <w:t xml:space="preserve">In support of these changes the sponsor provided POPPK modelling as part of this submission. The totality of data submitted with the initial application and the subsequent response by the sponsor addressing the PSC comments supports the Delegates view that the POPPK model is acceptable in supporting a simpler atazanavir dosage regimen in managing paediatric patients with HIV. </w:t>
      </w:r>
    </w:p>
    <w:p w:rsidR="00AF24E7" w:rsidRDefault="00AF24E7" w:rsidP="00BF10C6">
      <w:r>
        <w:t xml:space="preserve">The sponsor’s response to the PSC comments demonstrated that the (k, V) – and (CL, V)-parameterisation of the POPPK model were mathematically equivalent, yielding virtually identical predicted ATV concentration-time plots at </w:t>
      </w:r>
      <w:r w:rsidR="001F7946">
        <w:t>W</w:t>
      </w:r>
      <w:r>
        <w:t xml:space="preserve">eek 1 and 56 in paediatric patients thereby supporting the POPPK model as acceptable in support the proposed changes and allaying any concerns raised by the PSC. </w:t>
      </w:r>
    </w:p>
    <w:p w:rsidR="00AF24E7" w:rsidRDefault="00AF24E7" w:rsidP="00BF10C6">
      <w:r>
        <w:t>While there is an apparent disparity between observed and predicted concentrations, it is likely due to the small number of subjects that comprised some of the age groups assessed. Based on the robustness of the model and the good correlation between observed and predicted concentrations in the cohorts with larger numbers, it is expected that the recommended doses will result in exposures that are efficacious for most patients. Nonetheless, careful clinical management is an extremely important component of treatment success. The sponsor share</w:t>
      </w:r>
      <w:r w:rsidR="001F7946">
        <w:t>s</w:t>
      </w:r>
      <w:r>
        <w:t xml:space="preserve"> the Delegates view that the practicality of TDM in the clinical setting is limited for many reasons and that the appropriateness of TDM in this setting is best managed on an individual basis rather than as a broad ranging recommendation captured in the prescribing information. The sponsor also welcome</w:t>
      </w:r>
      <w:r w:rsidR="001F7946">
        <w:t>d</w:t>
      </w:r>
      <w:r>
        <w:t xml:space="preserve"> the ACPMs comments on this. </w:t>
      </w:r>
    </w:p>
    <w:p w:rsidR="00AF24E7" w:rsidRDefault="00AF24E7" w:rsidP="00BF10C6">
      <w:r>
        <w:t>As an alternative approach to TDM, the sponsor also agree</w:t>
      </w:r>
      <w:r w:rsidR="001F7946">
        <w:t>d</w:t>
      </w:r>
      <w:r>
        <w:t xml:space="preserve"> with the Delegate that regular monitoring of clinical status by checking efficacy (by way of HIV viral load and CD4 counts) and symptoms and signs of toxicity (</w:t>
      </w:r>
      <w:r w:rsidR="001F7946">
        <w:t>that is,</w:t>
      </w:r>
      <w:r>
        <w:t xml:space="preserve"> monitoring laboratory parameters such as haematology, serum electrolytes, creatinine and </w:t>
      </w:r>
      <w:r w:rsidR="001F7946">
        <w:t>liver function tests (</w:t>
      </w:r>
      <w:r>
        <w:t>LFTs</w:t>
      </w:r>
      <w:r w:rsidR="001F7946">
        <w:t>)</w:t>
      </w:r>
      <w:r>
        <w:t>) is appropriate and accepted the Delegate’s advice to include a precautionary statement within the prescribing information to this effect.</w:t>
      </w:r>
    </w:p>
    <w:p w:rsidR="00AF24E7" w:rsidRDefault="00AF24E7" w:rsidP="00BF10C6">
      <w:r>
        <w:t>The sponsor propose</w:t>
      </w:r>
      <w:r w:rsidR="001F7946">
        <w:t>d</w:t>
      </w:r>
      <w:r>
        <w:t xml:space="preserve"> to add the following precautionary statement to the “Use in Children” section of the PI:</w:t>
      </w:r>
    </w:p>
    <w:p w:rsidR="00AF24E7" w:rsidRPr="00BF10C6" w:rsidRDefault="00AF24E7" w:rsidP="00BF10C6">
      <w:pPr>
        <w:ind w:left="720"/>
        <w:rPr>
          <w:i/>
        </w:rPr>
      </w:pPr>
      <w:r w:rsidRPr="00BF10C6">
        <w:rPr>
          <w:i/>
        </w:rPr>
        <w:t>“Due to potential for inter-patient variability in atazanavir exposures, close monitoring of clinical status for efficacy (HIV RNA viral load and CD4 counts) and signs and symptoms of toxicity is recommended.”</w:t>
      </w:r>
    </w:p>
    <w:p w:rsidR="00AF24E7" w:rsidRDefault="00AF24E7" w:rsidP="00BF10C6">
      <w:r>
        <w:t>Based on available pharmacokineti</w:t>
      </w:r>
      <w:r w:rsidR="001F7946">
        <w:t>c data from paediatric S</w:t>
      </w:r>
      <w:r>
        <w:t xml:space="preserve">tudy AI424020, a population pharmacokinetic model was developed. The model dataset also included pooled plasma concentration data from 3 adult patient studies. The model investigated the effects of clinically relevant covariates, including body weight, age, gender, race, antiretroviral history, formulation, RTV co-medication, and region. Using the final population pharmacokinetic model, simulations were conducted to determine doses of atazanavir boosted with ritonavir that provided atazanavir exposures that were similar to those observed in HIV-infected adults. Doses of 150 mg, 200 mg, and 300 mg atazanavir, boosted with 100 mg ritonavir in paediatric patients weighing 15 kg to &lt; 20 kg, 20 kg to &lt; 40 kg, and </w:t>
      </w:r>
      <w:r w:rsidR="001F7946">
        <w:t>≥</w:t>
      </w:r>
      <w:r>
        <w:t xml:space="preserve"> 40 kg, respectively, are predicted to provide exposures to atazanavir comparable to adults treated with the currently recommended dose of 300 mg given with 100 mg ritonavir that has been demonstrated to be safe and efficacious.</w:t>
      </w:r>
    </w:p>
    <w:p w:rsidR="00AF24E7" w:rsidRDefault="00AF24E7" w:rsidP="00BF10C6">
      <w:r>
        <w:t xml:space="preserve">It is noted that the disparity between the observed concentrations and model-predicted concentrations may be due to the small number of subjects (1-3 subjects) in some of the age groups assessed. However, the doses described above are predicted to provide exposures to atazanavir, when boosted with ritonavir, that are efficacious. As </w:t>
      </w:r>
      <w:r w:rsidR="001F7946">
        <w:t>stated above, the sponsor agreed</w:t>
      </w:r>
      <w:r>
        <w:t xml:space="preserve"> with the Delegate that careful clinical monitoring of efficacy (HIV viral load and CD4 cell count) is appropriate and represents the best approach to ensure response to treatment is adequate.</w:t>
      </w:r>
    </w:p>
    <w:p w:rsidR="00AF24E7" w:rsidRDefault="00AF24E7" w:rsidP="00BF10C6">
      <w:r>
        <w:t>The sponsor proposes to add the following footnote to Table 2 of the PI:</w:t>
      </w:r>
    </w:p>
    <w:p w:rsidR="00AF24E7" w:rsidRPr="00BF10C6" w:rsidRDefault="00AF24E7" w:rsidP="00BF10C6">
      <w:pPr>
        <w:ind w:left="720"/>
        <w:rPr>
          <w:i/>
        </w:rPr>
      </w:pPr>
      <w:r w:rsidRPr="00BF10C6">
        <w:rPr>
          <w:i/>
        </w:rPr>
        <w:t xml:space="preserve">“Atazanavir exposures were predicted based on observed data in 167 paediatric patients and 60 adult patients treated with atazanavir with or without ritonavir. See </w:t>
      </w:r>
      <w:r w:rsidR="0013210E" w:rsidRPr="00BF10C6">
        <w:rPr>
          <w:i/>
        </w:rPr>
        <w:t xml:space="preserve">Precautions </w:t>
      </w:r>
      <w:r w:rsidRPr="00BF10C6">
        <w:rPr>
          <w:i/>
        </w:rPr>
        <w:t>regarding inter-patient variability in atazanavir exposure parameters.”</w:t>
      </w:r>
    </w:p>
    <w:p w:rsidR="00AF24E7" w:rsidRDefault="00AF24E7" w:rsidP="00BF10C6">
      <w:r>
        <w:t>In conclusion the sponsor acknowledge</w:t>
      </w:r>
      <w:r w:rsidR="001F7946">
        <w:t>d</w:t>
      </w:r>
      <w:r>
        <w:t xml:space="preserve"> that the current body weight dosing bands are less than ideal and limited to weights </w:t>
      </w:r>
      <w:r w:rsidR="001F7946">
        <w:t xml:space="preserve">≤ </w:t>
      </w:r>
      <w:r>
        <w:t>20kg. The current 250</w:t>
      </w:r>
      <w:r w:rsidR="001F7946">
        <w:t xml:space="preserve"> </w:t>
      </w:r>
      <w:r>
        <w:t xml:space="preserve">mg dose (currently recommended for patients with body weight 32 </w:t>
      </w:r>
      <w:r w:rsidR="001F7946">
        <w:t>to</w:t>
      </w:r>
      <w:r>
        <w:t xml:space="preserve"> &lt;39</w:t>
      </w:r>
      <w:r w:rsidR="001F7946">
        <w:t xml:space="preserve"> </w:t>
      </w:r>
      <w:r>
        <w:t>kg) requires the administration of two different strength capsules, which adds pill load and potentially increases the likelihood of dosage error and non-compliance. Data submitted with this application support the proposed amendments to simplify the dosage regimen, mitigate inherent compliance and pill burden factors in the current paediatric dosage regimen and improve management of paediatric patients with HIV for whom atazanavir is appropriate.</w:t>
      </w:r>
    </w:p>
    <w:p w:rsidR="008E7846" w:rsidRDefault="008E7846" w:rsidP="00BF10C6">
      <w:pPr>
        <w:pStyle w:val="Heading4"/>
      </w:pPr>
      <w:r>
        <w:t xml:space="preserve">Advisory </w:t>
      </w:r>
      <w:r w:rsidR="00BF10C6">
        <w:t>c</w:t>
      </w:r>
      <w:r>
        <w:t xml:space="preserve">ommittee </w:t>
      </w:r>
      <w:r w:rsidR="00BF10C6">
        <w:t>c</w:t>
      </w:r>
      <w:r>
        <w:t>onsiderations</w:t>
      </w:r>
    </w:p>
    <w:p w:rsidR="001F7946" w:rsidRPr="001F7946" w:rsidRDefault="001F7946" w:rsidP="00BF10C6">
      <w:pPr>
        <w:rPr>
          <w:b/>
          <w:lang w:val="en-GB"/>
        </w:rPr>
      </w:pPr>
      <w:bookmarkStart w:id="142" w:name="_Toc247691532"/>
      <w:bookmarkStart w:id="143" w:name="_Toc314842516"/>
      <w:bookmarkEnd w:id="100"/>
      <w:bookmarkEnd w:id="139"/>
      <w:bookmarkEnd w:id="140"/>
      <w:r w:rsidRPr="001F7946">
        <w:rPr>
          <w:lang w:val="en-GB"/>
        </w:rPr>
        <w:t>The ACPM, taking into account the submitted evidence of efficacy and safety, agreed with the delegate and considered the proposed change to the paediatric dosage regimen for Reyataz (containing atazanavir sulfate) to have an overall positive benefit–risk profile for the current indications</w:t>
      </w:r>
      <w:r w:rsidRPr="001F7946">
        <w:rPr>
          <w:b/>
          <w:lang w:val="en-GB"/>
        </w:rPr>
        <w:t>.</w:t>
      </w:r>
    </w:p>
    <w:p w:rsidR="001F7946" w:rsidRPr="001F7946" w:rsidRDefault="001F7946" w:rsidP="00BF10C6">
      <w:pPr>
        <w:pStyle w:val="Heading5"/>
        <w:rPr>
          <w:rFonts w:eastAsia="MS Mincho"/>
          <w:lang w:val="en-GB"/>
        </w:rPr>
      </w:pPr>
      <w:r w:rsidRPr="001F7946">
        <w:rPr>
          <w:rFonts w:eastAsia="MS Mincho"/>
          <w:lang w:val="en-GB"/>
        </w:rPr>
        <w:t>Proposed conditions of registration</w:t>
      </w:r>
    </w:p>
    <w:p w:rsidR="001F7946" w:rsidRPr="001F7946" w:rsidRDefault="001F7946" w:rsidP="00BF10C6">
      <w:pPr>
        <w:rPr>
          <w:lang w:val="en-GB"/>
        </w:rPr>
      </w:pPr>
      <w:r w:rsidRPr="001F7946">
        <w:rPr>
          <w:lang w:val="en-GB"/>
        </w:rPr>
        <w:t>T</w:t>
      </w:r>
      <w:r>
        <w:rPr>
          <w:lang w:val="en-GB"/>
        </w:rPr>
        <w:t>he ACPM agreed with the D</w:t>
      </w:r>
      <w:r w:rsidRPr="001F7946">
        <w:rPr>
          <w:lang w:val="en-GB"/>
        </w:rPr>
        <w:t>elegate on the proposed conditions of registration.</w:t>
      </w:r>
      <w:r w:rsidR="00A10B25">
        <w:rPr>
          <w:lang w:val="en-GB"/>
        </w:rPr>
        <w:t xml:space="preserve"> </w:t>
      </w:r>
    </w:p>
    <w:p w:rsidR="001F7946" w:rsidRPr="001F7946" w:rsidRDefault="001F7946" w:rsidP="00BF10C6">
      <w:pPr>
        <w:pStyle w:val="Heading5"/>
        <w:rPr>
          <w:rFonts w:eastAsia="MS Mincho"/>
          <w:lang w:val="en-GB"/>
        </w:rPr>
      </w:pPr>
      <w:r w:rsidRPr="001F7946">
        <w:rPr>
          <w:rFonts w:eastAsia="MS Mincho"/>
          <w:lang w:val="en-GB"/>
        </w:rPr>
        <w:t xml:space="preserve">Proposed PI/CMI amendments </w:t>
      </w:r>
    </w:p>
    <w:p w:rsidR="001F7946" w:rsidRPr="001F7946" w:rsidRDefault="001F7946" w:rsidP="00BF10C6">
      <w:pPr>
        <w:rPr>
          <w:lang w:val="en-GB"/>
        </w:rPr>
      </w:pPr>
      <w:r w:rsidRPr="001F7946">
        <w:rPr>
          <w:lang w:val="en-GB"/>
        </w:rPr>
        <w:t xml:space="preserve">The ACPM agreed with the </w:t>
      </w:r>
      <w:r>
        <w:rPr>
          <w:lang w:val="en-GB"/>
        </w:rPr>
        <w:t>D</w:t>
      </w:r>
      <w:r w:rsidRPr="001F7946">
        <w:rPr>
          <w:lang w:val="en-GB"/>
        </w:rPr>
        <w:t xml:space="preserve">elegate to the proposed amendments to the Product Information (PI) and Consumer Medicine Information (CMI) and specifically advised on the inclusion of the following: </w:t>
      </w:r>
    </w:p>
    <w:p w:rsidR="001F7946" w:rsidRPr="001F7946" w:rsidRDefault="001F7946" w:rsidP="000239F5">
      <w:pPr>
        <w:pStyle w:val="ListBullet"/>
        <w:rPr>
          <w:lang w:val="en-GB"/>
        </w:rPr>
      </w:pPr>
      <w:r w:rsidRPr="001F7946">
        <w:rPr>
          <w:lang w:val="en-GB"/>
        </w:rPr>
        <w:t xml:space="preserve">The PK parameters detailed in the PI should be those experimentally determined rather than those derived from the population PK modelling. </w:t>
      </w:r>
    </w:p>
    <w:p w:rsidR="001F7946" w:rsidRPr="001F7946" w:rsidRDefault="001F7946" w:rsidP="000239F5">
      <w:pPr>
        <w:pStyle w:val="ListBullet"/>
        <w:rPr>
          <w:lang w:val="en-GB"/>
        </w:rPr>
      </w:pPr>
      <w:r w:rsidRPr="001F7946">
        <w:rPr>
          <w:lang w:val="en-GB"/>
        </w:rPr>
        <w:t xml:space="preserve">The inclusion of either </w:t>
      </w:r>
      <w:r>
        <w:rPr>
          <w:lang w:val="en-GB"/>
        </w:rPr>
        <w:t>Figure 3s or T</w:t>
      </w:r>
      <w:r w:rsidRPr="001F7946">
        <w:rPr>
          <w:lang w:val="en-GB"/>
        </w:rPr>
        <w:t>able 28 in addition to a statement such as ‘half the patients required increase in dose after TDM’.</w:t>
      </w:r>
    </w:p>
    <w:p w:rsidR="001F7946" w:rsidRPr="001F7946" w:rsidRDefault="001F7946" w:rsidP="000239F5">
      <w:pPr>
        <w:pStyle w:val="ListBullet"/>
        <w:rPr>
          <w:lang w:val="en-GB"/>
        </w:rPr>
      </w:pPr>
      <w:r w:rsidRPr="001F7946">
        <w:rPr>
          <w:lang w:val="en-GB"/>
        </w:rPr>
        <w:t xml:space="preserve">Reference in the </w:t>
      </w:r>
      <w:r w:rsidRPr="001F7946">
        <w:rPr>
          <w:i/>
          <w:lang w:val="en-GB"/>
        </w:rPr>
        <w:t xml:space="preserve">Precautions </w:t>
      </w:r>
      <w:r w:rsidRPr="001F7946">
        <w:rPr>
          <w:lang w:val="en-GB"/>
        </w:rPr>
        <w:t xml:space="preserve">section of the PI and relevant sections of the CMI to accurately reflect </w:t>
      </w:r>
      <w:r w:rsidRPr="001F7946">
        <w:rPr>
          <w:iCs/>
          <w:lang w:val="en-GB"/>
        </w:rPr>
        <w:t xml:space="preserve">the high inter-individual variability in the PKs of ATV, particularly in younger children. </w:t>
      </w:r>
    </w:p>
    <w:p w:rsidR="001F7946" w:rsidRPr="001F7946" w:rsidRDefault="001F7946" w:rsidP="000239F5">
      <w:pPr>
        <w:pStyle w:val="ListBullet"/>
        <w:rPr>
          <w:lang w:val="en-GB"/>
        </w:rPr>
      </w:pPr>
      <w:r w:rsidRPr="001F7946">
        <w:rPr>
          <w:lang w:val="en-GB"/>
        </w:rPr>
        <w:t xml:space="preserve">A statement in the </w:t>
      </w:r>
      <w:r w:rsidRPr="001F7946">
        <w:rPr>
          <w:i/>
          <w:lang w:val="en-GB"/>
        </w:rPr>
        <w:t xml:space="preserve">Precautions </w:t>
      </w:r>
      <w:r w:rsidRPr="001F7946">
        <w:rPr>
          <w:lang w:val="en-GB"/>
        </w:rPr>
        <w:t>section of the PI and relevant sections of the CMI to more accurately reflect the cardiac effects of ATV on children</w:t>
      </w:r>
    </w:p>
    <w:p w:rsidR="001F7946" w:rsidRPr="001F7946" w:rsidRDefault="001F7946" w:rsidP="000239F5">
      <w:pPr>
        <w:pStyle w:val="ListBullet"/>
        <w:rPr>
          <w:lang w:val="en-GB"/>
        </w:rPr>
      </w:pPr>
      <w:r w:rsidRPr="001F7946">
        <w:t xml:space="preserve">A discussion in the </w:t>
      </w:r>
      <w:r w:rsidRPr="001F7946">
        <w:rPr>
          <w:i/>
        </w:rPr>
        <w:t>Clinical Trials</w:t>
      </w:r>
      <w:r w:rsidRPr="001F7946">
        <w:t xml:space="preserve"> section of the PI of therapeutic dose monitoring (practical difficulties versus study use and variability) in the study description.</w:t>
      </w:r>
    </w:p>
    <w:p w:rsidR="001F7946" w:rsidRPr="001F7946" w:rsidRDefault="001F7946" w:rsidP="000239F5">
      <w:pPr>
        <w:pStyle w:val="ListBullet"/>
        <w:rPr>
          <w:lang w:val="en-GB"/>
        </w:rPr>
      </w:pPr>
      <w:r w:rsidRPr="001F7946">
        <w:rPr>
          <w:lang w:val="en-GB"/>
        </w:rPr>
        <w:t xml:space="preserve">A statement in the </w:t>
      </w:r>
      <w:r w:rsidRPr="001F7946">
        <w:rPr>
          <w:i/>
          <w:lang w:val="en-GB"/>
        </w:rPr>
        <w:t xml:space="preserve">Dosage and Administration </w:t>
      </w:r>
      <w:r w:rsidRPr="001F7946">
        <w:rPr>
          <w:lang w:val="en-GB"/>
        </w:rPr>
        <w:t>section of the PI and relevant sections of the CMI on the advisability of therapeutic dose monitoring when available.</w:t>
      </w:r>
    </w:p>
    <w:p w:rsidR="001F7946" w:rsidRPr="001F7946" w:rsidRDefault="001F7946" w:rsidP="000239F5">
      <w:pPr>
        <w:pStyle w:val="ListBullet"/>
      </w:pPr>
      <w:r w:rsidRPr="001F7946">
        <w:t xml:space="preserve">A statement in the </w:t>
      </w:r>
      <w:r w:rsidRPr="001F7946">
        <w:rPr>
          <w:i/>
        </w:rPr>
        <w:t>Clinical Trials</w:t>
      </w:r>
      <w:r w:rsidRPr="001F7946">
        <w:t xml:space="preserve"> section of the PI that the PK data presented are based on a concomitant RTV dose of 100 mg/m</w:t>
      </w:r>
      <w:r w:rsidRPr="001F7946">
        <w:rPr>
          <w:vertAlign w:val="superscript"/>
        </w:rPr>
        <w:t>2</w:t>
      </w:r>
      <w:r w:rsidRPr="001F7946">
        <w:t xml:space="preserve"> while proposed doses are fixed at 100 mg. </w:t>
      </w:r>
    </w:p>
    <w:p w:rsidR="008E7846" w:rsidRPr="002E238E" w:rsidRDefault="008E7846" w:rsidP="001F7946">
      <w:pPr>
        <w:pStyle w:val="Heading4"/>
      </w:pPr>
      <w:r>
        <w:t>Outcome</w:t>
      </w:r>
      <w:bookmarkEnd w:id="142"/>
      <w:bookmarkEnd w:id="143"/>
    </w:p>
    <w:p w:rsidR="008E7846" w:rsidRDefault="008E7846" w:rsidP="000239F5">
      <w:r>
        <w:t xml:space="preserve">Based on a review of quality, safety and efficacy, TGA approved the registration of </w:t>
      </w:r>
      <w:r w:rsidR="00630D5D">
        <w:t>Reyataz (atazanavir 100, 150 and 200 mg as well as 300 (as sulfate) mg capsules)</w:t>
      </w:r>
      <w:r>
        <w:t xml:space="preserve"> for </w:t>
      </w:r>
      <w:r w:rsidR="00630D5D">
        <w:t>oral</w:t>
      </w:r>
      <w:r>
        <w:t xml:space="preserve"> administration, indicated for:</w:t>
      </w:r>
    </w:p>
    <w:p w:rsidR="00630D5D" w:rsidRPr="000239F5" w:rsidRDefault="00630D5D" w:rsidP="000239F5">
      <w:pPr>
        <w:ind w:left="720"/>
        <w:rPr>
          <w:i/>
        </w:rPr>
      </w:pPr>
      <w:r w:rsidRPr="000239F5">
        <w:rPr>
          <w:i/>
        </w:rPr>
        <w:t xml:space="preserve">Reyataz is indicated for the treatment of HIV 1 infection, in combination with other antiretroviral agents. </w:t>
      </w:r>
    </w:p>
    <w:p w:rsidR="00630D5D" w:rsidRPr="000239F5" w:rsidRDefault="00630D5D" w:rsidP="000239F5">
      <w:pPr>
        <w:ind w:left="720"/>
        <w:rPr>
          <w:i/>
        </w:rPr>
      </w:pPr>
      <w:r w:rsidRPr="000239F5">
        <w:rPr>
          <w:i/>
        </w:rPr>
        <w:t xml:space="preserve">This indication is based on analyses of plasma HIV-1 RNA levels and CD4 cell counts from controlled studies (see Clinical Trials). </w:t>
      </w:r>
    </w:p>
    <w:p w:rsidR="00630D5D" w:rsidRPr="00630D5D" w:rsidRDefault="00630D5D" w:rsidP="000239F5">
      <w:pPr>
        <w:pStyle w:val="Heading5"/>
      </w:pPr>
      <w:r w:rsidRPr="00630D5D">
        <w:t xml:space="preserve">Specific </w:t>
      </w:r>
      <w:r w:rsidR="000239F5">
        <w:t>c</w:t>
      </w:r>
      <w:r w:rsidRPr="00630D5D">
        <w:t xml:space="preserve">onditions </w:t>
      </w:r>
      <w:r w:rsidR="000239F5">
        <w:t>a</w:t>
      </w:r>
      <w:r w:rsidRPr="00630D5D">
        <w:t xml:space="preserve">pplying </w:t>
      </w:r>
      <w:r w:rsidR="000239F5">
        <w:t>t</w:t>
      </w:r>
      <w:r w:rsidRPr="00630D5D">
        <w:t xml:space="preserve">o </w:t>
      </w:r>
      <w:r w:rsidR="000239F5">
        <w:t>t</w:t>
      </w:r>
      <w:r w:rsidRPr="00630D5D">
        <w:t xml:space="preserve">hese </w:t>
      </w:r>
      <w:r w:rsidR="000239F5">
        <w:t>t</w:t>
      </w:r>
      <w:r w:rsidRPr="00630D5D">
        <w:t xml:space="preserve">herapeutic </w:t>
      </w:r>
      <w:r w:rsidR="000239F5">
        <w:t>g</w:t>
      </w:r>
      <w:r w:rsidRPr="00630D5D">
        <w:t>oods</w:t>
      </w:r>
    </w:p>
    <w:p w:rsidR="00630D5D" w:rsidRPr="00630D5D" w:rsidRDefault="00630D5D" w:rsidP="000239F5">
      <w:pPr>
        <w:pStyle w:val="ListBullet"/>
      </w:pPr>
      <w:r w:rsidRPr="00630D5D">
        <w:t>The Reyataz containing atazanavir Risk Management Plan (RMP), version 5, dated 6 July 2012 with Australian Specific Annex (version 2, dated 20 November 2012), included with submission PM-2012-01034-3-2, and any subsequent revisions, as agreed with the TGA will be implemented in Australia.</w:t>
      </w:r>
    </w:p>
    <w:p w:rsidR="00630D5D" w:rsidRPr="00630D5D" w:rsidRDefault="00630D5D" w:rsidP="000239F5">
      <w:pPr>
        <w:pStyle w:val="ListBullet"/>
        <w:numPr>
          <w:ilvl w:val="0"/>
          <w:numId w:val="0"/>
        </w:numPr>
        <w:ind w:left="360"/>
      </w:pPr>
      <w:r w:rsidRPr="00630D5D">
        <w:t>An obligatory component of Risk Management Plans is Routine Pharmacovigilance.</w:t>
      </w:r>
      <w:r w:rsidR="00A10B25">
        <w:t xml:space="preserve"> </w:t>
      </w:r>
      <w:r w:rsidRPr="00630D5D">
        <w:t>Routine Pharmacovigilance includes the submission of Periodic Safety Update Reports (PSURs).</w:t>
      </w:r>
      <w:r w:rsidR="00852FEC">
        <w:t xml:space="preserve"> </w:t>
      </w:r>
      <w:r w:rsidRPr="00630D5D">
        <w:t>Reports are to be provided annually until the period covered by such reports is not less than three years from the date of this approval letter. No fewer than three annual reports are required.</w:t>
      </w:r>
      <w:r w:rsidR="00A10B25">
        <w:t xml:space="preserve"> </w:t>
      </w:r>
      <w:r w:rsidRPr="00630D5D">
        <w:t>The reports are to at least meet the requirements for Periodic Safety Update Reports (PSURs) as described in the European Medicines Agency’s Guideline on Good Pharmacovigilance Practices (GVP) Module VII-Periodic Safety Update Report, Part VII.B. "</w:t>
      </w:r>
      <w:r w:rsidRPr="00867125">
        <w:rPr>
          <w:i/>
        </w:rPr>
        <w:t>Structures and processes</w:t>
      </w:r>
      <w:r w:rsidRPr="00630D5D">
        <w:t>". Note that submission of a PSUR does not constitute an application to vary the registration. Each report must have been prepared within ninety calendar days of the data lock point for that report.</w:t>
      </w:r>
    </w:p>
    <w:p w:rsidR="00630D5D" w:rsidRPr="00630D5D" w:rsidRDefault="00630D5D" w:rsidP="000239F5">
      <w:pPr>
        <w:pStyle w:val="ListBullet"/>
        <w:numPr>
          <w:ilvl w:val="0"/>
          <w:numId w:val="0"/>
        </w:numPr>
        <w:ind w:left="360"/>
      </w:pPr>
      <w:r w:rsidRPr="00630D5D">
        <w:t>Unless agreed separately between the supplier who is the recipient of the approval and the TGA, the first report must be submitted to TGA no later than 15 calendar months after the date of this approval letter.</w:t>
      </w:r>
      <w:r w:rsidR="00A10B25">
        <w:t xml:space="preserve"> </w:t>
      </w:r>
      <w:r w:rsidRPr="00630D5D">
        <w:t xml:space="preserve">The subsequent reports must be submitted no less frequently than annually from the date of the first submitted report until the period covered by such reports is not less than three years from the date of this approval letter. </w:t>
      </w:r>
    </w:p>
    <w:p w:rsidR="00630D5D" w:rsidRPr="00630D5D" w:rsidRDefault="00630D5D" w:rsidP="000239F5">
      <w:pPr>
        <w:pStyle w:val="ListBullet"/>
        <w:numPr>
          <w:ilvl w:val="0"/>
          <w:numId w:val="0"/>
        </w:numPr>
        <w:ind w:left="360"/>
      </w:pPr>
      <w:r w:rsidRPr="00630D5D">
        <w:t>The annual submission may be made up of two Periodic Safety Update Reports each covering six months.</w:t>
      </w:r>
      <w:r w:rsidR="00A10B25">
        <w:t xml:space="preserve"> </w:t>
      </w:r>
      <w:r w:rsidRPr="00630D5D">
        <w:t>If the sponsor wishes, the six monthly reports may be submitted separately as they become available.</w:t>
      </w:r>
      <w:r w:rsidR="00A10B25">
        <w:t xml:space="preserve"> </w:t>
      </w:r>
    </w:p>
    <w:p w:rsidR="008E7846" w:rsidRDefault="008E7846" w:rsidP="000239F5">
      <w:pPr>
        <w:pStyle w:val="Heading2"/>
      </w:pPr>
      <w:bookmarkStart w:id="144" w:name="_Toc247691533"/>
      <w:bookmarkStart w:id="145" w:name="_Toc314842517"/>
      <w:bookmarkStart w:id="146" w:name="_Toc371428604"/>
      <w:r>
        <w:t>Attachment 1.</w:t>
      </w:r>
      <w:r>
        <w:tab/>
        <w:t xml:space="preserve">Product </w:t>
      </w:r>
      <w:r w:rsidR="00AA0ED0">
        <w:t>I</w:t>
      </w:r>
      <w:r>
        <w:t>nformation</w:t>
      </w:r>
      <w:bookmarkEnd w:id="144"/>
      <w:bookmarkEnd w:id="145"/>
      <w:bookmarkEnd w:id="146"/>
    </w:p>
    <w:p w:rsidR="00C80137" w:rsidRDefault="00C80137" w:rsidP="000239F5">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42" w:history="1">
        <w:r w:rsidR="00722B57" w:rsidRPr="00625A6E">
          <w:rPr>
            <w:rStyle w:val="Hyperlink"/>
          </w:rPr>
          <w:t>http://www.tga.gov.au/hp/information-medicines-pi.htm</w:t>
        </w:r>
      </w:hyperlink>
      <w:hyperlink w:history="1"/>
      <w:r w:rsidR="008F6943">
        <w:rPr>
          <w:color w:val="000000"/>
          <w:lang w:eastAsia="en-AU"/>
        </w:rPr>
        <w:t>&gt;.</w:t>
      </w:r>
    </w:p>
    <w:p w:rsidR="00AF24E7" w:rsidRDefault="00C80137" w:rsidP="000239F5">
      <w:pPr>
        <w:pStyle w:val="Heading2"/>
        <w:rPr>
          <w:lang w:eastAsia="ja-JP"/>
        </w:rPr>
      </w:pPr>
      <w:bookmarkStart w:id="147" w:name="_Toc371428605"/>
      <w:r>
        <w:rPr>
          <w:lang w:eastAsia="en-AU"/>
        </w:rPr>
        <w:t>Attachment 2. Extract from the Clinical Evaluation Report</w:t>
      </w:r>
      <w:bookmarkEnd w:id="147"/>
    </w:p>
    <w:p w:rsidR="00291957" w:rsidRDefault="00291957" w:rsidP="00291957">
      <w:pPr>
        <w:rPr>
          <w:lang w:eastAsia="ja-JP"/>
        </w:rPr>
      </w:pPr>
    </w:p>
    <w:p w:rsidR="00C80137" w:rsidRPr="001D043B" w:rsidRDefault="00C80137" w:rsidP="003A7F6C">
      <w:pPr>
        <w:pStyle w:val="TableTitle"/>
        <w:sectPr w:rsidR="00C80137" w:rsidRPr="001D043B" w:rsidSect="00331C57">
          <w:footerReference w:type="default" r:id="rId43"/>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44"/>
      <w:headerReference w:type="default" r:id="rId45"/>
      <w:footerReference w:type="default" r:id="rId46"/>
      <w:headerReference w:type="first" r:id="rId47"/>
      <w:footerReference w:type="first" r:id="rId48"/>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39F5" w:rsidRDefault="000239F5" w:rsidP="00C40A36">
      <w:pPr>
        <w:spacing w:after="0"/>
      </w:pPr>
      <w:r>
        <w:separator/>
      </w:r>
    </w:p>
  </w:endnote>
  <w:endnote w:type="continuationSeparator" w:id="0">
    <w:p w:rsidR="000239F5" w:rsidRDefault="000239F5"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NewRomanPSMT">
    <w:altName w:val="MS Mincho"/>
    <w:panose1 w:val="00000000000000000000"/>
    <w:charset w:val="00"/>
    <w:family w:val="roman"/>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0239F5" w:rsidRPr="00487162" w:rsidTr="0053625B">
      <w:trPr>
        <w:trHeight w:val="269"/>
      </w:trPr>
      <w:tc>
        <w:tcPr>
          <w:tcW w:w="7938" w:type="dxa"/>
          <w:tcMar>
            <w:top w:w="142" w:type="dxa"/>
            <w:bottom w:w="0" w:type="dxa"/>
          </w:tcMar>
        </w:tcPr>
        <w:p w:rsidR="000239F5" w:rsidRPr="00AD0A60" w:rsidRDefault="000239F5" w:rsidP="002C6786">
          <w:pPr>
            <w:pStyle w:val="Footer"/>
            <w:rPr>
              <w:szCs w:val="17"/>
            </w:rPr>
          </w:pPr>
          <w:r w:rsidRPr="00AD0A60">
            <w:rPr>
              <w:szCs w:val="17"/>
            </w:rPr>
            <w:t>AusPAR Reyataz Atazanavir Bristol-Myers Squibb Australian Pty. Ltd.</w:t>
          </w:r>
          <w:r>
            <w:rPr>
              <w:szCs w:val="17"/>
            </w:rPr>
            <w:br/>
          </w:r>
          <w:r w:rsidRPr="00AD0A60">
            <w:rPr>
              <w:szCs w:val="17"/>
            </w:rPr>
            <w:t>PM-2012-01034-3-2  Final 21 October 2013</w:t>
          </w:r>
        </w:p>
      </w:tc>
      <w:tc>
        <w:tcPr>
          <w:tcW w:w="923" w:type="dxa"/>
          <w:tcMar>
            <w:top w:w="142" w:type="dxa"/>
            <w:bottom w:w="0" w:type="dxa"/>
          </w:tcMar>
        </w:tcPr>
        <w:p w:rsidR="000239F5" w:rsidRPr="00487162" w:rsidRDefault="000239F5" w:rsidP="00D855D4">
          <w:pPr>
            <w:pStyle w:val="Footer"/>
            <w:jc w:val="right"/>
          </w:pPr>
          <w:r w:rsidRPr="00487162">
            <w:t xml:space="preserve">Page </w:t>
          </w:r>
          <w:r>
            <w:t>2</w:t>
          </w:r>
          <w:r w:rsidRPr="00487162">
            <w:t xml:space="preserve"> of </w:t>
          </w:r>
          <w:fldSimple w:instr=" NUMPAGES  \* Arabic ">
            <w:r w:rsidR="00B417C9">
              <w:rPr>
                <w:noProof/>
              </w:rPr>
              <w:t>48</w:t>
            </w:r>
          </w:fldSimple>
        </w:p>
      </w:tc>
    </w:tr>
  </w:tbl>
  <w:p w:rsidR="000239F5" w:rsidRDefault="000239F5"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89" w:type="dxa"/>
      <w:tblBorders>
        <w:top w:val="single" w:sz="4" w:space="0" w:color="auto"/>
      </w:tblBorders>
      <w:tblLayout w:type="fixed"/>
      <w:tblCellMar>
        <w:top w:w="170" w:type="dxa"/>
        <w:left w:w="0" w:type="dxa"/>
        <w:bottom w:w="170" w:type="dxa"/>
        <w:right w:w="0" w:type="dxa"/>
      </w:tblCellMar>
      <w:tblLook w:val="04A0"/>
    </w:tblPr>
    <w:tblGrid>
      <w:gridCol w:w="5103"/>
      <w:gridCol w:w="3686"/>
    </w:tblGrid>
    <w:tr w:rsidR="000239F5" w:rsidRPr="00487162" w:rsidTr="00AB2D0E">
      <w:trPr>
        <w:trHeight w:val="269"/>
      </w:trPr>
      <w:tc>
        <w:tcPr>
          <w:tcW w:w="5103" w:type="dxa"/>
          <w:tcMar>
            <w:top w:w="142" w:type="dxa"/>
            <w:bottom w:w="0" w:type="dxa"/>
          </w:tcMar>
        </w:tcPr>
        <w:p w:rsidR="000239F5" w:rsidRPr="00487162" w:rsidRDefault="000239F5" w:rsidP="002C6786">
          <w:pPr>
            <w:pStyle w:val="Footer"/>
          </w:pPr>
          <w:r w:rsidRPr="00E47B53">
            <w:t>AusPAR Reyataz Atazanavir Bristol-Myers Squibb Australian Pty. Ltd.</w:t>
          </w:r>
          <w:r>
            <w:br/>
          </w:r>
          <w:r w:rsidRPr="00E47B53">
            <w:t xml:space="preserve">PM-2012-01034-3-2  </w:t>
          </w:r>
          <w:r>
            <w:t>Final 21 October 2013</w:t>
          </w:r>
        </w:p>
      </w:tc>
      <w:tc>
        <w:tcPr>
          <w:tcW w:w="3686" w:type="dxa"/>
          <w:tcMar>
            <w:top w:w="142" w:type="dxa"/>
            <w:bottom w:w="0" w:type="dxa"/>
          </w:tcMar>
        </w:tcPr>
        <w:p w:rsidR="000239F5" w:rsidRPr="00487162" w:rsidRDefault="000239F5" w:rsidP="00E45619">
          <w:pPr>
            <w:pStyle w:val="Footer"/>
            <w:jc w:val="right"/>
          </w:pPr>
          <w:r w:rsidRPr="00487162">
            <w:t xml:space="preserve">Page </w:t>
          </w:r>
          <w:fldSimple w:instr="PAGE">
            <w:r w:rsidR="00B417C9">
              <w:rPr>
                <w:noProof/>
              </w:rPr>
              <w:t>11</w:t>
            </w:r>
          </w:fldSimple>
          <w:r w:rsidRPr="00487162">
            <w:t xml:space="preserve"> of </w:t>
          </w:r>
          <w:fldSimple w:instr=" NUMPAGES  \* Arabic ">
            <w:r w:rsidR="00B417C9">
              <w:rPr>
                <w:noProof/>
              </w:rPr>
              <w:t>48</w:t>
            </w:r>
          </w:fldSimple>
        </w:p>
      </w:tc>
    </w:tr>
  </w:tbl>
  <w:p w:rsidR="000239F5" w:rsidRDefault="000239F5"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0239F5" w:rsidRPr="00487162" w:rsidTr="00E45619">
      <w:trPr>
        <w:trHeight w:val="269"/>
      </w:trPr>
      <w:tc>
        <w:tcPr>
          <w:tcW w:w="4519" w:type="dxa"/>
          <w:tcBorders>
            <w:top w:val="single" w:sz="4" w:space="0" w:color="auto"/>
          </w:tcBorders>
          <w:tcMar>
            <w:top w:w="142" w:type="dxa"/>
            <w:bottom w:w="0" w:type="dxa"/>
          </w:tcMar>
        </w:tcPr>
        <w:p w:rsidR="000239F5" w:rsidRPr="00487162" w:rsidRDefault="000239F5" w:rsidP="00FE1DEE">
          <w:pPr>
            <w:pStyle w:val="Footer"/>
          </w:pPr>
          <w:r w:rsidRPr="00487162">
            <w:t>Document title, Part #, Section # - Section title</w:t>
          </w:r>
        </w:p>
        <w:p w:rsidR="000239F5" w:rsidRPr="00487162" w:rsidRDefault="000239F5" w:rsidP="00FE1DEE">
          <w:pPr>
            <w:pStyle w:val="Footer"/>
          </w:pPr>
          <w:r w:rsidRPr="00487162">
            <w:t>V1.0 October 2010</w:t>
          </w:r>
        </w:p>
      </w:tc>
      <w:tc>
        <w:tcPr>
          <w:tcW w:w="4342" w:type="dxa"/>
          <w:tcBorders>
            <w:top w:val="single" w:sz="4" w:space="0" w:color="auto"/>
          </w:tcBorders>
          <w:tcMar>
            <w:top w:w="142" w:type="dxa"/>
            <w:bottom w:w="0" w:type="dxa"/>
          </w:tcMar>
        </w:tcPr>
        <w:p w:rsidR="000239F5" w:rsidRPr="00487162" w:rsidRDefault="000239F5"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5</w:t>
            </w:r>
          </w:fldSimple>
        </w:p>
      </w:tc>
    </w:tr>
  </w:tbl>
  <w:p w:rsidR="000239F5" w:rsidRDefault="000239F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742" w:type="dxa"/>
      <w:tblBorders>
        <w:top w:val="single" w:sz="4" w:space="0" w:color="auto"/>
      </w:tblBorders>
      <w:tblLayout w:type="fixed"/>
      <w:tblCellMar>
        <w:top w:w="170" w:type="dxa"/>
        <w:left w:w="0" w:type="dxa"/>
        <w:bottom w:w="170" w:type="dxa"/>
        <w:right w:w="0" w:type="dxa"/>
      </w:tblCellMar>
      <w:tblLook w:val="04A0"/>
    </w:tblPr>
    <w:tblGrid>
      <w:gridCol w:w="5103"/>
      <w:gridCol w:w="9639"/>
    </w:tblGrid>
    <w:tr w:rsidR="000239F5" w:rsidRPr="00487162" w:rsidTr="00852FEC">
      <w:trPr>
        <w:trHeight w:val="269"/>
      </w:trPr>
      <w:tc>
        <w:tcPr>
          <w:tcW w:w="5103" w:type="dxa"/>
          <w:tcMar>
            <w:top w:w="142" w:type="dxa"/>
            <w:bottom w:w="0" w:type="dxa"/>
          </w:tcMar>
        </w:tcPr>
        <w:p w:rsidR="000239F5" w:rsidRPr="00487162" w:rsidRDefault="000239F5" w:rsidP="002C6786">
          <w:pPr>
            <w:pStyle w:val="Footer"/>
          </w:pPr>
          <w:proofErr w:type="spellStart"/>
          <w:r w:rsidRPr="00E47B53">
            <w:t>AusPAR</w:t>
          </w:r>
          <w:proofErr w:type="spellEnd"/>
          <w:r w:rsidRPr="00E47B53">
            <w:t xml:space="preserve"> </w:t>
          </w:r>
          <w:proofErr w:type="spellStart"/>
          <w:r w:rsidRPr="00E47B53">
            <w:t>Reyataz</w:t>
          </w:r>
          <w:proofErr w:type="spellEnd"/>
          <w:r w:rsidRPr="00E47B53">
            <w:t xml:space="preserve"> </w:t>
          </w:r>
          <w:proofErr w:type="spellStart"/>
          <w:r w:rsidRPr="00E47B53">
            <w:t>Atazanavir</w:t>
          </w:r>
          <w:proofErr w:type="spellEnd"/>
          <w:r w:rsidRPr="00E47B53">
            <w:t xml:space="preserve"> Bristol-Myers Squibb Australian Pty. Ltd.</w:t>
          </w:r>
          <w:r>
            <w:br/>
          </w:r>
          <w:r w:rsidRPr="00E47B53">
            <w:t xml:space="preserve">PM-2012-01034-3-2  </w:t>
          </w:r>
          <w:r>
            <w:t>Final 21 October 2013</w:t>
          </w:r>
        </w:p>
      </w:tc>
      <w:tc>
        <w:tcPr>
          <w:tcW w:w="9639" w:type="dxa"/>
          <w:tcMar>
            <w:top w:w="142" w:type="dxa"/>
            <w:bottom w:w="0" w:type="dxa"/>
          </w:tcMar>
        </w:tcPr>
        <w:p w:rsidR="000239F5" w:rsidRPr="00487162" w:rsidRDefault="000239F5" w:rsidP="00E45619">
          <w:pPr>
            <w:pStyle w:val="Footer"/>
            <w:jc w:val="right"/>
          </w:pPr>
          <w:r w:rsidRPr="00487162">
            <w:t xml:space="preserve">Page </w:t>
          </w:r>
          <w:fldSimple w:instr="PAGE">
            <w:r w:rsidR="00B417C9">
              <w:rPr>
                <w:noProof/>
              </w:rPr>
              <w:t>12</w:t>
            </w:r>
          </w:fldSimple>
          <w:r w:rsidRPr="00487162">
            <w:t xml:space="preserve"> of </w:t>
          </w:r>
          <w:fldSimple w:instr=" NUMPAGES  \* Arabic ">
            <w:r w:rsidR="00B417C9">
              <w:rPr>
                <w:noProof/>
              </w:rPr>
              <w:t>48</w:t>
            </w:r>
          </w:fldSimple>
        </w:p>
      </w:tc>
    </w:tr>
  </w:tbl>
  <w:p w:rsidR="000239F5" w:rsidRDefault="000239F5" w:rsidP="00E2613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5103"/>
      <w:gridCol w:w="3758"/>
    </w:tblGrid>
    <w:tr w:rsidR="000239F5" w:rsidRPr="00487162" w:rsidTr="00AD0A60">
      <w:trPr>
        <w:trHeight w:val="269"/>
      </w:trPr>
      <w:tc>
        <w:tcPr>
          <w:tcW w:w="5103" w:type="dxa"/>
          <w:tcMar>
            <w:top w:w="142" w:type="dxa"/>
            <w:bottom w:w="0" w:type="dxa"/>
          </w:tcMar>
        </w:tcPr>
        <w:p w:rsidR="000239F5" w:rsidRPr="00487162" w:rsidRDefault="000239F5" w:rsidP="002C6786">
          <w:pPr>
            <w:pStyle w:val="Footer"/>
          </w:pPr>
          <w:proofErr w:type="spellStart"/>
          <w:r w:rsidRPr="00E47B53">
            <w:t>AusPAR</w:t>
          </w:r>
          <w:proofErr w:type="spellEnd"/>
          <w:r w:rsidRPr="00E47B53">
            <w:t xml:space="preserve"> </w:t>
          </w:r>
          <w:proofErr w:type="spellStart"/>
          <w:r w:rsidRPr="00E47B53">
            <w:t>Reyataz</w:t>
          </w:r>
          <w:proofErr w:type="spellEnd"/>
          <w:r w:rsidRPr="00E47B53">
            <w:t xml:space="preserve"> </w:t>
          </w:r>
          <w:proofErr w:type="spellStart"/>
          <w:r w:rsidRPr="00E47B53">
            <w:t>Atazanavir</w:t>
          </w:r>
          <w:proofErr w:type="spellEnd"/>
          <w:r w:rsidRPr="00E47B53">
            <w:t xml:space="preserve"> Bristol-Myers Squibb Australian Pty. Ltd.</w:t>
          </w:r>
          <w:r>
            <w:br/>
          </w:r>
          <w:r w:rsidRPr="00E47B53">
            <w:t xml:space="preserve">PM-2012-01034-3-2  </w:t>
          </w:r>
          <w:r>
            <w:t>Final 21 October 2013</w:t>
          </w:r>
        </w:p>
      </w:tc>
      <w:tc>
        <w:tcPr>
          <w:tcW w:w="3758" w:type="dxa"/>
          <w:tcMar>
            <w:top w:w="142" w:type="dxa"/>
            <w:bottom w:w="0" w:type="dxa"/>
          </w:tcMar>
        </w:tcPr>
        <w:p w:rsidR="000239F5" w:rsidRPr="00487162" w:rsidRDefault="000239F5" w:rsidP="00E45619">
          <w:pPr>
            <w:pStyle w:val="Footer"/>
            <w:jc w:val="right"/>
          </w:pPr>
          <w:r w:rsidRPr="00487162">
            <w:t xml:space="preserve">Page </w:t>
          </w:r>
          <w:fldSimple w:instr="PAGE">
            <w:r w:rsidR="00B417C9">
              <w:rPr>
                <w:noProof/>
              </w:rPr>
              <w:t>47</w:t>
            </w:r>
          </w:fldSimple>
          <w:r w:rsidRPr="00487162">
            <w:t xml:space="preserve"> of </w:t>
          </w:r>
          <w:fldSimple w:instr=" NUMPAGES  \* Arabic ">
            <w:r w:rsidR="00B417C9">
              <w:rPr>
                <w:noProof/>
              </w:rPr>
              <w:t>48</w:t>
            </w:r>
          </w:fldSimple>
        </w:p>
      </w:tc>
    </w:tr>
  </w:tbl>
  <w:p w:rsidR="000239F5" w:rsidRDefault="000239F5" w:rsidP="00E2613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0239F5" w:rsidRPr="00487162" w:rsidTr="00E45619">
              <w:trPr>
                <w:trHeight w:hRule="exact" w:val="704"/>
              </w:trPr>
              <w:tc>
                <w:tcPr>
                  <w:tcW w:w="9175" w:type="dxa"/>
                </w:tcPr>
                <w:p w:rsidR="000239F5" w:rsidRPr="00487162" w:rsidRDefault="000239F5" w:rsidP="008E7846">
                  <w:pPr>
                    <w:pStyle w:val="TGASignoff"/>
                  </w:pPr>
                  <w:r w:rsidRPr="00487162">
                    <w:t>Therapeutic Goods Administration</w:t>
                  </w:r>
                </w:p>
              </w:tc>
            </w:tr>
            <w:tr w:rsidR="000239F5" w:rsidRPr="00487162" w:rsidTr="00E45619">
              <w:trPr>
                <w:trHeight w:val="1221"/>
              </w:trPr>
              <w:tc>
                <w:tcPr>
                  <w:tcW w:w="9175" w:type="dxa"/>
                  <w:tcMar>
                    <w:top w:w="28" w:type="dxa"/>
                  </w:tcMar>
                </w:tcPr>
                <w:p w:rsidR="000239F5" w:rsidRPr="00487162" w:rsidRDefault="000239F5" w:rsidP="00E45619">
                  <w:pPr>
                    <w:pStyle w:val="Address"/>
                  </w:pPr>
                  <w:r w:rsidRPr="00487162">
                    <w:t>PO Box 100 Woden ACT 2606 Australia</w:t>
                  </w:r>
                </w:p>
                <w:p w:rsidR="000239F5" w:rsidRPr="00487162" w:rsidRDefault="000239F5" w:rsidP="00E45619">
                  <w:pPr>
                    <w:pStyle w:val="Address"/>
                  </w:pPr>
                  <w:r w:rsidRPr="00487162">
                    <w:t xml:space="preserve">Email: </w:t>
                  </w:r>
                  <w:hyperlink r:id="rId1" w:history="1">
                    <w:r w:rsidRPr="004C239D">
                      <w:rPr>
                        <w:rStyle w:val="Hyperlink"/>
                      </w:rPr>
                      <w:t>info@tga.gov.au</w:t>
                    </w:r>
                  </w:hyperlink>
                  <w:r w:rsidRPr="00487162">
                    <w:t xml:space="preserve">  Phone: 1800 020 653  Fax: 02 6232 8605</w:t>
                  </w:r>
                </w:p>
                <w:p w:rsidR="000239F5" w:rsidRPr="004C239D" w:rsidRDefault="0000112E" w:rsidP="004C239D">
                  <w:pPr>
                    <w:pStyle w:val="Address"/>
                    <w:spacing w:line="260" w:lineRule="atLeast"/>
                    <w:rPr>
                      <w:b/>
                      <w:color w:val="0000FF"/>
                      <w:u w:val="single"/>
                    </w:rPr>
                  </w:pPr>
                  <w:hyperlink r:id="rId2" w:history="1">
                    <w:r w:rsidR="000239F5" w:rsidRPr="00607888">
                      <w:rPr>
                        <w:rStyle w:val="Hyperlink"/>
                        <w:b/>
                      </w:rPr>
                      <w:t>http://www.tga.gov.au</w:t>
                    </w:r>
                  </w:hyperlink>
                </w:p>
              </w:tc>
            </w:tr>
          </w:tbl>
          <w:p w:rsidR="000239F5" w:rsidRDefault="0000112E" w:rsidP="008E7846">
            <w:pPr>
              <w:pStyle w:val="Notes"/>
            </w:pP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0239F5" w:rsidTr="0010601F">
      <w:trPr>
        <w:trHeight w:val="108"/>
      </w:trPr>
      <w:tc>
        <w:tcPr>
          <w:tcW w:w="8875" w:type="dxa"/>
          <w:gridSpan w:val="2"/>
          <w:tcBorders>
            <w:bottom w:val="single" w:sz="4" w:space="0" w:color="auto"/>
          </w:tcBorders>
          <w:tcMar>
            <w:right w:w="284" w:type="dxa"/>
          </w:tcMar>
        </w:tcPr>
        <w:p w:rsidR="000239F5" w:rsidRDefault="000239F5" w:rsidP="006E08B3">
          <w:pPr>
            <w:pStyle w:val="Heading3"/>
          </w:pPr>
          <w:r>
            <w:t>Copyright</w:t>
          </w:r>
        </w:p>
        <w:p w:rsidR="000239F5" w:rsidRDefault="000239F5" w:rsidP="006E08B3">
          <w:r>
            <w:rPr>
              <w:rFonts w:cs="Arial"/>
            </w:rPr>
            <w:t>©</w:t>
          </w:r>
          <w:r>
            <w:t xml:space="preserve"> Commonwealth of Australia [add year]</w:t>
          </w:r>
        </w:p>
        <w:p w:rsidR="000239F5" w:rsidRDefault="000239F5" w:rsidP="006E08B3"/>
        <w:p w:rsidR="000239F5" w:rsidRDefault="000239F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0239F5" w:rsidRDefault="000239F5" w:rsidP="006E08B3"/>
        <w:p w:rsidR="000239F5" w:rsidRDefault="000239F5" w:rsidP="006E08B3">
          <w:pPr>
            <w:pStyle w:val="Heading3"/>
          </w:pPr>
          <w:r>
            <w:t>Confidentiality</w:t>
          </w:r>
        </w:p>
        <w:p w:rsidR="000239F5" w:rsidRDefault="000239F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0239F5" w:rsidRDefault="000239F5" w:rsidP="006E08B3"/>
        <w:p w:rsidR="000239F5" w:rsidRDefault="000239F5" w:rsidP="006E08B3">
          <w:r>
            <w:t>For submission made by individuals, all personal details, other than your name, will be removed from your submission before it is published on the TGA’s Internet site.</w:t>
          </w:r>
        </w:p>
        <w:p w:rsidR="000239F5" w:rsidRDefault="000239F5" w:rsidP="006E08B3"/>
        <w:p w:rsidR="000239F5" w:rsidRDefault="000239F5" w:rsidP="006E08B3">
          <w:r>
            <w:t>In addition, a list of parties making submissions will be published. If you do not wish to be identified with your submission you must specifically request this in the space provided ib the submission coversheet.</w:t>
          </w:r>
        </w:p>
      </w:tc>
    </w:tr>
    <w:tr w:rsidR="000239F5" w:rsidTr="0010601F">
      <w:trPr>
        <w:trHeight w:val="417"/>
      </w:trPr>
      <w:tc>
        <w:tcPr>
          <w:tcW w:w="4519" w:type="dxa"/>
          <w:tcBorders>
            <w:top w:val="single" w:sz="4" w:space="0" w:color="auto"/>
          </w:tcBorders>
          <w:tcMar>
            <w:top w:w="142" w:type="dxa"/>
            <w:bottom w:w="0" w:type="dxa"/>
          </w:tcMar>
        </w:tcPr>
        <w:p w:rsidR="000239F5" w:rsidRDefault="000239F5" w:rsidP="006E08B3">
          <w:r>
            <w:t>Document title, Part #, Section # - Section title</w:t>
          </w:r>
        </w:p>
        <w:p w:rsidR="000239F5" w:rsidRDefault="000239F5" w:rsidP="006E08B3">
          <w:r>
            <w:t>V1.0 October 2010</w:t>
          </w:r>
        </w:p>
      </w:tc>
      <w:tc>
        <w:tcPr>
          <w:tcW w:w="4356" w:type="dxa"/>
          <w:tcBorders>
            <w:top w:val="single" w:sz="4" w:space="0" w:color="auto"/>
          </w:tcBorders>
          <w:tcMar>
            <w:top w:w="142" w:type="dxa"/>
            <w:bottom w:w="0" w:type="dxa"/>
          </w:tcMar>
        </w:tcPr>
        <w:p w:rsidR="000239F5" w:rsidRDefault="000239F5" w:rsidP="006E08B3">
          <w:pPr>
            <w:jc w:val="right"/>
          </w:pPr>
          <w:r>
            <w:t xml:space="preserve">Page </w:t>
          </w:r>
          <w:fldSimple w:instr=" PAGE   \* MERGEFORMAT ">
            <w:r>
              <w:rPr>
                <w:noProof/>
              </w:rPr>
              <w:t>1</w:t>
            </w:r>
          </w:fldSimple>
          <w:r>
            <w:t xml:space="preserve"> of </w:t>
          </w:r>
          <w:fldSimple w:instr=" NUMPAGES  \* Arabic ">
            <w:r>
              <w:rPr>
                <w:noProof/>
              </w:rPr>
              <w:t>5</w:t>
            </w:r>
          </w:fldSimple>
          <w:r>
            <w:t xml:space="preserve">  </w:t>
          </w:r>
        </w:p>
      </w:tc>
    </w:tr>
  </w:tbl>
  <w:p w:rsidR="000239F5" w:rsidRDefault="000239F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39F5" w:rsidRDefault="000239F5" w:rsidP="00C40A36">
      <w:pPr>
        <w:spacing w:after="0"/>
      </w:pPr>
      <w:r>
        <w:separator/>
      </w:r>
    </w:p>
  </w:footnote>
  <w:footnote w:type="continuationSeparator" w:id="0">
    <w:p w:rsidR="000239F5" w:rsidRDefault="000239F5" w:rsidP="00C40A36">
      <w:pPr>
        <w:spacing w:after="0"/>
      </w:pPr>
      <w:r>
        <w:continuationSeparator/>
      </w:r>
    </w:p>
  </w:footnote>
  <w:footnote w:id="1">
    <w:p w:rsidR="000239F5" w:rsidRPr="00E06D22" w:rsidRDefault="000239F5" w:rsidP="002801F2">
      <w:pPr>
        <w:pStyle w:val="FootnoteText"/>
        <w:keepNext/>
        <w:ind w:left="142"/>
        <w:rPr>
          <w:rFonts w:ascii="Cambria" w:hAnsi="Cambria"/>
          <w:sz w:val="16"/>
          <w:szCs w:val="16"/>
        </w:rPr>
      </w:pPr>
      <w:r w:rsidRPr="00E06D22">
        <w:rPr>
          <w:rStyle w:val="FootnoteReference"/>
          <w:rFonts w:ascii="Cambria" w:hAnsi="Cambria"/>
          <w:sz w:val="16"/>
          <w:szCs w:val="16"/>
        </w:rPr>
        <w:footnoteRef/>
      </w:r>
      <w:r w:rsidRPr="00E06D22">
        <w:rPr>
          <w:rFonts w:ascii="Cambria" w:hAnsi="Cambria"/>
          <w:sz w:val="16"/>
          <w:szCs w:val="16"/>
        </w:rPr>
        <w:t xml:space="preserve"> The proposed changes specify dosing for body weight ranges 15 to &lt;20 kg; 20 to &lt;40 kg; and ≥40 kg, with corresponding atazanavir/ritonavir (ATV/RTV) regimens of 150/100 mg; 200/100 mg; and 300/100 mg, respectively.  This is intended to replace the current dosage bands 20 to &lt;25 kg; 25 to &lt;32 kg; 32 to &lt;39 kg; and ≥39 kg and their corresponding ATV/RTV doses of 150/80 mg; 200/100 mg; 250/100 mg; and 300/100 mg. This results in a 50 mg lower than currently approved dose of ATV  for patients weighing 32 to &lt;39 kg and a higher than currently approved dosing for a portion of patients in 2 of the weight bands as follows:</w:t>
      </w:r>
    </w:p>
    <w:p w:rsidR="000239F5" w:rsidRPr="00E06D22" w:rsidRDefault="000239F5" w:rsidP="002801F2">
      <w:pPr>
        <w:pStyle w:val="ListBullet"/>
        <w:tabs>
          <w:tab w:val="left" w:pos="284"/>
        </w:tabs>
        <w:spacing w:line="240" w:lineRule="auto"/>
        <w:ind w:firstLine="0"/>
        <w:rPr>
          <w:kern w:val="16"/>
          <w:sz w:val="16"/>
          <w:szCs w:val="16"/>
        </w:rPr>
      </w:pPr>
      <w:r w:rsidRPr="00E06D22">
        <w:rPr>
          <w:kern w:val="16"/>
          <w:sz w:val="16"/>
          <w:szCs w:val="16"/>
        </w:rPr>
        <w:t>for patients 15 to &lt; 20 kg, an additional 20 mg of RTV is recommended; and</w:t>
      </w:r>
    </w:p>
    <w:p w:rsidR="000239F5" w:rsidRPr="00E06D22" w:rsidRDefault="000239F5" w:rsidP="002801F2">
      <w:pPr>
        <w:pStyle w:val="ListBullet"/>
        <w:tabs>
          <w:tab w:val="left" w:pos="709"/>
        </w:tabs>
        <w:spacing w:line="240" w:lineRule="auto"/>
        <w:ind w:left="709" w:hanging="349"/>
        <w:rPr>
          <w:sz w:val="16"/>
          <w:szCs w:val="16"/>
        </w:rPr>
      </w:pPr>
      <w:r w:rsidRPr="00E06D22">
        <w:rPr>
          <w:kern w:val="16"/>
          <w:sz w:val="16"/>
          <w:szCs w:val="16"/>
        </w:rPr>
        <w:t>for patients 20 to &lt; 25 kg, an additional 50 mg of ATV and an additional 20 mg of RTV is recommended.</w:t>
      </w:r>
    </w:p>
  </w:footnote>
  <w:footnote w:id="2">
    <w:p w:rsidR="000239F5" w:rsidRPr="00E06D22" w:rsidRDefault="000239F5">
      <w:pPr>
        <w:pStyle w:val="FootnoteText"/>
        <w:rPr>
          <w:rFonts w:ascii="Cambria" w:hAnsi="Cambria"/>
          <w:sz w:val="16"/>
          <w:szCs w:val="16"/>
        </w:rPr>
      </w:pPr>
      <w:r w:rsidRPr="00E06D22">
        <w:rPr>
          <w:rStyle w:val="FootnoteReference"/>
          <w:rFonts w:ascii="Cambria" w:hAnsi="Cambria"/>
          <w:sz w:val="16"/>
          <w:szCs w:val="16"/>
        </w:rPr>
        <w:footnoteRef/>
      </w:r>
      <w:r w:rsidRPr="00E06D22">
        <w:rPr>
          <w:rFonts w:ascii="Cambria" w:hAnsi="Cambria"/>
          <w:sz w:val="16"/>
          <w:szCs w:val="16"/>
        </w:rPr>
        <w:t xml:space="preserve"> </w:t>
      </w:r>
      <w:r>
        <w:rPr>
          <w:rFonts w:ascii="Cambria" w:hAnsi="Cambria"/>
          <w:sz w:val="16"/>
          <w:szCs w:val="16"/>
        </w:rPr>
        <w:t>&lt;</w:t>
      </w:r>
      <w:hyperlink r:id="rId1" w:history="1">
        <w:r w:rsidRPr="00E06D22">
          <w:rPr>
            <w:rStyle w:val="Hyperlink"/>
            <w:rFonts w:ascii="Cambria" w:hAnsi="Cambria"/>
            <w:sz w:val="16"/>
            <w:szCs w:val="16"/>
          </w:rPr>
          <w:t>http://www.tga.gov.au/pdf/euguide/ewp18599006en.pdf</w:t>
        </w:r>
      </w:hyperlink>
      <w:r>
        <w:rPr>
          <w:rFonts w:ascii="Cambria" w:hAnsi="Cambria"/>
          <w:sz w:val="16"/>
          <w:szCs w:val="16"/>
        </w:rPr>
        <w:t>&gt;</w:t>
      </w:r>
    </w:p>
  </w:footnote>
  <w:footnote w:id="3">
    <w:p w:rsidR="000239F5" w:rsidRPr="00852FEC" w:rsidRDefault="000239F5" w:rsidP="006537AB">
      <w:pPr>
        <w:pStyle w:val="FootnoteText"/>
        <w:rPr>
          <w:rFonts w:ascii="Cambria" w:hAnsi="Cambria"/>
          <w:sz w:val="16"/>
          <w:szCs w:val="16"/>
        </w:rPr>
      </w:pPr>
      <w:r w:rsidRPr="00852FEC">
        <w:rPr>
          <w:rStyle w:val="FootnoteReference"/>
          <w:rFonts w:ascii="Cambria" w:hAnsi="Cambria"/>
          <w:sz w:val="16"/>
          <w:szCs w:val="16"/>
        </w:rPr>
        <w:footnoteRef/>
      </w:r>
      <w:r w:rsidRPr="00852FEC">
        <w:rPr>
          <w:rFonts w:ascii="Cambria" w:hAnsi="Cambria"/>
          <w:sz w:val="16"/>
          <w:szCs w:val="16"/>
        </w:rPr>
        <w:t xml:space="preserve"> CPMP/ICH/2711-99: </w:t>
      </w:r>
      <w:r>
        <w:rPr>
          <w:rFonts w:ascii="Cambria" w:hAnsi="Cambria"/>
          <w:sz w:val="16"/>
          <w:szCs w:val="16"/>
        </w:rPr>
        <w:t>&lt;</w:t>
      </w:r>
      <w:hyperlink r:id="rId2" w:history="1">
        <w:r w:rsidRPr="00852FEC">
          <w:rPr>
            <w:rStyle w:val="Hyperlink"/>
            <w:rFonts w:ascii="Cambria" w:hAnsi="Cambria"/>
            <w:sz w:val="16"/>
            <w:szCs w:val="16"/>
          </w:rPr>
          <w:t>http://www.tga.gov.au/pdf/euguide/ich271199en.pdf</w:t>
        </w:r>
      </w:hyperlink>
      <w:r>
        <w:rPr>
          <w:rFonts w:ascii="Cambria" w:hAnsi="Cambria"/>
          <w:sz w:val="16"/>
          <w:szCs w:val="16"/>
        </w:rPr>
        <w:t>&gt;</w:t>
      </w:r>
    </w:p>
  </w:footnote>
  <w:footnote w:id="4">
    <w:p w:rsidR="000239F5" w:rsidRPr="00852FEC" w:rsidRDefault="000239F5" w:rsidP="000239F5">
      <w:pPr>
        <w:pStyle w:val="Heading1"/>
        <w:spacing w:line="240" w:lineRule="auto"/>
        <w:rPr>
          <w:rFonts w:ascii="Cambria" w:hAnsi="Cambria"/>
          <w:b w:val="0"/>
          <w:sz w:val="16"/>
          <w:szCs w:val="16"/>
        </w:rPr>
      </w:pPr>
      <w:r w:rsidRPr="00852FEC">
        <w:rPr>
          <w:rStyle w:val="FootnoteReference"/>
          <w:rFonts w:ascii="Cambria" w:hAnsi="Cambria"/>
          <w:b w:val="0"/>
          <w:sz w:val="16"/>
          <w:szCs w:val="16"/>
        </w:rPr>
        <w:footnoteRef/>
      </w:r>
      <w:r w:rsidRPr="00852FEC">
        <w:rPr>
          <w:rFonts w:ascii="Cambria" w:hAnsi="Cambria"/>
          <w:b w:val="0"/>
          <w:sz w:val="16"/>
          <w:szCs w:val="16"/>
        </w:rPr>
        <w:t xml:space="preserve"> </w:t>
      </w:r>
      <w:hyperlink r:id="rId3" w:history="1">
        <w:r w:rsidRPr="00852FEC">
          <w:rPr>
            <w:rStyle w:val="Hyperlink"/>
            <w:rFonts w:ascii="Cambria" w:hAnsi="Cambria"/>
            <w:b w:val="0"/>
            <w:color w:val="auto"/>
            <w:sz w:val="16"/>
            <w:szCs w:val="16"/>
            <w:u w:val="none"/>
          </w:rPr>
          <w:t>Claxton AJ</w:t>
        </w:r>
      </w:hyperlink>
      <w:r w:rsidRPr="00852FEC">
        <w:rPr>
          <w:rFonts w:ascii="Cambria" w:hAnsi="Cambria"/>
          <w:b w:val="0"/>
          <w:sz w:val="16"/>
          <w:szCs w:val="16"/>
        </w:rPr>
        <w:t xml:space="preserve">, </w:t>
      </w:r>
      <w:hyperlink r:id="rId4" w:history="1">
        <w:r w:rsidRPr="00852FEC">
          <w:rPr>
            <w:rStyle w:val="Hyperlink"/>
            <w:rFonts w:ascii="Cambria" w:hAnsi="Cambria"/>
            <w:b w:val="0"/>
            <w:color w:val="auto"/>
            <w:sz w:val="16"/>
            <w:szCs w:val="16"/>
            <w:u w:val="none"/>
          </w:rPr>
          <w:t>Cramer J</w:t>
        </w:r>
      </w:hyperlink>
      <w:r w:rsidRPr="00852FEC">
        <w:rPr>
          <w:rFonts w:ascii="Cambria" w:hAnsi="Cambria"/>
          <w:b w:val="0"/>
          <w:sz w:val="16"/>
          <w:szCs w:val="16"/>
        </w:rPr>
        <w:t xml:space="preserve">, </w:t>
      </w:r>
      <w:hyperlink r:id="rId5" w:history="1">
        <w:r w:rsidRPr="00852FEC">
          <w:rPr>
            <w:rStyle w:val="Hyperlink"/>
            <w:rFonts w:ascii="Cambria" w:hAnsi="Cambria"/>
            <w:b w:val="0"/>
            <w:color w:val="auto"/>
            <w:sz w:val="16"/>
            <w:szCs w:val="16"/>
            <w:u w:val="none"/>
          </w:rPr>
          <w:t>Pierce C</w:t>
        </w:r>
      </w:hyperlink>
      <w:r w:rsidRPr="00852FEC">
        <w:rPr>
          <w:rFonts w:ascii="Cambria" w:hAnsi="Cambria"/>
          <w:b w:val="0"/>
          <w:sz w:val="16"/>
          <w:szCs w:val="16"/>
        </w:rPr>
        <w:t xml:space="preserve">. A systematic review of the associations between dose regimens and medication compliance. </w:t>
      </w:r>
      <w:hyperlink r:id="rId6" w:tooltip="Clinical therapeutics." w:history="1">
        <w:r w:rsidRPr="00852FEC">
          <w:rPr>
            <w:rStyle w:val="Hyperlink"/>
            <w:rFonts w:ascii="Cambria" w:hAnsi="Cambria"/>
            <w:b w:val="0"/>
            <w:color w:val="auto"/>
            <w:sz w:val="16"/>
            <w:szCs w:val="16"/>
            <w:u w:val="none"/>
          </w:rPr>
          <w:t>Clin Ther.</w:t>
        </w:r>
      </w:hyperlink>
      <w:r w:rsidRPr="00852FEC">
        <w:rPr>
          <w:rFonts w:ascii="Cambria" w:hAnsi="Cambria"/>
          <w:b w:val="0"/>
          <w:sz w:val="16"/>
          <w:szCs w:val="16"/>
        </w:rPr>
        <w:t xml:space="preserve"> 2001 Aug;23(8):1296-310</w:t>
      </w:r>
    </w:p>
  </w:footnote>
  <w:footnote w:id="5">
    <w:p w:rsidR="000239F5" w:rsidRPr="00852FEC" w:rsidRDefault="000239F5" w:rsidP="000239F5">
      <w:pPr>
        <w:pStyle w:val="FootnoteText"/>
        <w:rPr>
          <w:rFonts w:ascii="Cambria" w:hAnsi="Cambria"/>
          <w:sz w:val="16"/>
          <w:szCs w:val="16"/>
        </w:rPr>
      </w:pPr>
      <w:r w:rsidRPr="00852FEC">
        <w:rPr>
          <w:rStyle w:val="FootnoteReference"/>
          <w:rFonts w:ascii="Cambria" w:hAnsi="Cambria"/>
          <w:sz w:val="16"/>
          <w:szCs w:val="16"/>
        </w:rPr>
        <w:footnoteRef/>
      </w:r>
      <w:r w:rsidRPr="00852FEC">
        <w:rPr>
          <w:rFonts w:ascii="Cambria" w:hAnsi="Cambria"/>
          <w:sz w:val="16"/>
          <w:szCs w:val="16"/>
        </w:rPr>
        <w:t xml:space="preserve"> Eugenin EA, Clements JE, Zink MC and Berman JW. Human immunodeficiency virus infection of human astrocytes disrupts blood-brain barrier integrity by a gap Junction-dependent mechanism. The Journal of Neuroscience, June 29, 2011; 31(26): 9456 - 9465</w:t>
      </w:r>
    </w:p>
  </w:footnote>
  <w:footnote w:id="6">
    <w:p w:rsidR="000239F5" w:rsidRPr="00037C8D" w:rsidRDefault="000239F5" w:rsidP="000239F5">
      <w:pPr>
        <w:pStyle w:val="FootnoteText"/>
        <w:rPr>
          <w:rFonts w:ascii="Cambria" w:hAnsi="Cambria"/>
          <w:sz w:val="18"/>
          <w:szCs w:val="18"/>
        </w:rPr>
      </w:pPr>
      <w:r w:rsidRPr="00852FEC">
        <w:rPr>
          <w:rStyle w:val="FootnoteReference"/>
          <w:rFonts w:ascii="Cambria" w:hAnsi="Cambria"/>
          <w:sz w:val="16"/>
          <w:szCs w:val="16"/>
        </w:rPr>
        <w:footnoteRef/>
      </w:r>
      <w:r w:rsidRPr="00852FEC">
        <w:rPr>
          <w:rFonts w:ascii="Cambria" w:hAnsi="Cambria"/>
          <w:sz w:val="16"/>
          <w:szCs w:val="16"/>
        </w:rPr>
        <w:t xml:space="preserve"> Hansen TWR. Mechanisms of bilirubin toxicity; clinical implications. Clin Perinatol 29 (2002) 765 - 778</w:t>
      </w:r>
    </w:p>
  </w:footnote>
  <w:footnote w:id="7">
    <w:p w:rsidR="000239F5" w:rsidRPr="00EC7544" w:rsidRDefault="000239F5" w:rsidP="000239F5">
      <w:pPr>
        <w:pStyle w:val="FootnoteText"/>
        <w:rPr>
          <w:rFonts w:ascii="Cambria" w:hAnsi="Cambria"/>
          <w:sz w:val="16"/>
          <w:szCs w:val="16"/>
        </w:rPr>
      </w:pPr>
      <w:r w:rsidRPr="00EC7544">
        <w:rPr>
          <w:rStyle w:val="FootnoteReference"/>
          <w:rFonts w:ascii="Cambria" w:hAnsi="Cambria"/>
          <w:sz w:val="16"/>
          <w:szCs w:val="16"/>
        </w:rPr>
        <w:footnoteRef/>
      </w:r>
      <w:r w:rsidRPr="00EC7544">
        <w:rPr>
          <w:rFonts w:ascii="Cambria" w:hAnsi="Cambria"/>
          <w:sz w:val="16"/>
          <w:szCs w:val="16"/>
        </w:rPr>
        <w:t xml:space="preserve">Sponsor comment: ”A response to this question was provided in the sponsor’s response to the TGA’s </w:t>
      </w:r>
      <w:r w:rsidRPr="00EC7544">
        <w:rPr>
          <w:rFonts w:ascii="Cambria" w:hAnsi="Cambria"/>
          <w:i/>
          <w:sz w:val="16"/>
          <w:szCs w:val="16"/>
        </w:rPr>
        <w:t>Question 2 Population Pharmacokinetics</w:t>
      </w:r>
      <w:r w:rsidRPr="00EC7544">
        <w:rPr>
          <w:rFonts w:ascii="Cambria" w:hAnsi="Cambria"/>
          <w:sz w:val="16"/>
          <w:szCs w:val="16"/>
        </w:rPr>
        <w:t>.”</w:t>
      </w:r>
    </w:p>
  </w:footnote>
  <w:footnote w:id="8">
    <w:p w:rsidR="000239F5" w:rsidRPr="00EC7544" w:rsidRDefault="000239F5" w:rsidP="006537AB">
      <w:pPr>
        <w:pStyle w:val="FootnoteText"/>
        <w:rPr>
          <w:rFonts w:ascii="Cambria" w:hAnsi="Cambria"/>
          <w:sz w:val="16"/>
          <w:szCs w:val="16"/>
        </w:rPr>
      </w:pPr>
      <w:r w:rsidRPr="00EC7544">
        <w:rPr>
          <w:rStyle w:val="FootnoteReference"/>
          <w:rFonts w:ascii="Cambria" w:hAnsi="Cambria"/>
          <w:sz w:val="16"/>
          <w:szCs w:val="16"/>
        </w:rPr>
        <w:footnoteRef/>
      </w:r>
      <w:r w:rsidRPr="00EC7544">
        <w:rPr>
          <w:rFonts w:ascii="Cambria" w:hAnsi="Cambria"/>
          <w:sz w:val="16"/>
          <w:szCs w:val="16"/>
        </w:rPr>
        <w:t xml:space="preserve"> &lt;</w:t>
      </w:r>
      <w:hyperlink r:id="rId7" w:history="1">
        <w:r w:rsidRPr="00EC7544">
          <w:rPr>
            <w:rStyle w:val="Hyperlink"/>
            <w:rFonts w:ascii="Cambria" w:hAnsi="Cambria"/>
            <w:sz w:val="16"/>
            <w:szCs w:val="16"/>
          </w:rPr>
          <w:t>http://aidsinfo.nih.gov/guidelines/html/2/pediatric-treatment-guidelines/108/role-of-therapeutic-drug-monitoring-in-management-of-treatment-failure</w:t>
        </w:r>
      </w:hyperlink>
      <w:r w:rsidRPr="00EC7544">
        <w:rPr>
          <w:rFonts w:ascii="Cambria" w:hAnsi="Cambria"/>
          <w:sz w:val="16"/>
          <w:szCs w:val="16"/>
        </w:rPr>
        <w:t>&gt;</w:t>
      </w:r>
    </w:p>
  </w:footnote>
  <w:footnote w:id="9">
    <w:p w:rsidR="000239F5" w:rsidRPr="00E0107D" w:rsidRDefault="000239F5" w:rsidP="000239F5">
      <w:pPr>
        <w:spacing w:after="0" w:line="240" w:lineRule="auto"/>
        <w:rPr>
          <w:rFonts w:cs="Calibri"/>
          <w:sz w:val="16"/>
          <w:szCs w:val="16"/>
        </w:rPr>
      </w:pPr>
      <w:r w:rsidRPr="0065047C">
        <w:rPr>
          <w:rStyle w:val="FootnoteReference"/>
          <w:sz w:val="16"/>
          <w:szCs w:val="16"/>
        </w:rPr>
        <w:footnoteRef/>
      </w:r>
      <w:r w:rsidRPr="0065047C">
        <w:rPr>
          <w:sz w:val="16"/>
          <w:szCs w:val="16"/>
        </w:rPr>
        <w:t xml:space="preserve"> </w:t>
      </w:r>
      <w:r w:rsidRPr="0065047C">
        <w:rPr>
          <w:rFonts w:cs="Calibri"/>
          <w:sz w:val="16"/>
          <w:szCs w:val="16"/>
        </w:rPr>
        <w:t>CHMP variation assessmen</w:t>
      </w:r>
      <w:r>
        <w:rPr>
          <w:rFonts w:cs="Calibri"/>
          <w:sz w:val="16"/>
          <w:szCs w:val="16"/>
        </w:rPr>
        <w:t>t report (dated 22 April 2010). &lt;</w:t>
      </w:r>
      <w:hyperlink r:id="rId8" w:history="1">
        <w:r w:rsidRPr="00E0107D">
          <w:rPr>
            <w:rStyle w:val="Hyperlink"/>
            <w:rFonts w:cs="Calibri"/>
            <w:sz w:val="16"/>
            <w:szCs w:val="16"/>
          </w:rPr>
          <w:t>http://www.ema.europa.eu/docs/en_GB/document_library/EPAR_-_Assessment_Report_-_Variation/human/000494/WC500094745.pdf</w:t>
        </w:r>
      </w:hyperlink>
      <w:r>
        <w:rPr>
          <w:rFonts w:cs="Calibri"/>
          <w:sz w:val="16"/>
          <w:szCs w:val="16"/>
        </w:rPr>
        <w:t>&gt;</w:t>
      </w:r>
    </w:p>
  </w:footnote>
  <w:footnote w:id="10">
    <w:p w:rsidR="000239F5" w:rsidRPr="00BF10C6" w:rsidRDefault="000239F5" w:rsidP="0099682D">
      <w:pPr>
        <w:spacing w:line="240" w:lineRule="auto"/>
        <w:rPr>
          <w:rFonts w:ascii="Arial" w:hAnsi="Arial" w:cs="Arial"/>
          <w:sz w:val="16"/>
          <w:szCs w:val="16"/>
        </w:rPr>
      </w:pPr>
      <w:r w:rsidRPr="00BF10C6">
        <w:rPr>
          <w:rStyle w:val="FootnoteReference"/>
          <w:sz w:val="16"/>
          <w:szCs w:val="16"/>
        </w:rPr>
        <w:footnoteRef/>
      </w:r>
      <w:r w:rsidRPr="00BF10C6">
        <w:rPr>
          <w:sz w:val="16"/>
          <w:szCs w:val="16"/>
        </w:rPr>
        <w:t xml:space="preserve"> </w:t>
      </w:r>
      <w:r w:rsidRPr="00BF10C6">
        <w:rPr>
          <w:rFonts w:cs="Arial"/>
          <w:sz w:val="16"/>
          <w:szCs w:val="16"/>
        </w:rPr>
        <w:t>At its February 2005 meeting the Australian Health Minister's Advisory Committee on HIV and STI endorsed the USA Department of Health and Human Services (DHHS) Guidelines for the Use of Antiretroviral Agents in HIV-1 Infected Adults and Adolescents and requested that the Australian Antiretroviral Guidelines Panel develop and regularly update commentary relevant to the Australian setting.</w:t>
      </w:r>
      <w:r w:rsidRPr="00BF10C6">
        <w:rPr>
          <w:rFonts w:ascii="Arial" w:hAnsi="Arial" w:cs="Arial"/>
          <w:sz w:val="16"/>
          <w:szCs w:val="16"/>
        </w:rPr>
        <w:t xml:space="preserve"> </w:t>
      </w:r>
    </w:p>
  </w:footnote>
  <w:footnote w:id="11">
    <w:p w:rsidR="000239F5" w:rsidRPr="00B932B9" w:rsidRDefault="000239F5" w:rsidP="0099682D">
      <w:pPr>
        <w:pStyle w:val="FootnoteText"/>
        <w:tabs>
          <w:tab w:val="left" w:pos="142"/>
        </w:tabs>
        <w:rPr>
          <w:rFonts w:ascii="Cambria" w:hAnsi="Cambria"/>
          <w:sz w:val="18"/>
          <w:szCs w:val="18"/>
        </w:rPr>
      </w:pPr>
      <w:r w:rsidRPr="00BF10C6">
        <w:rPr>
          <w:rStyle w:val="FootnoteReference"/>
          <w:rFonts w:ascii="Cambria" w:hAnsi="Cambria"/>
          <w:sz w:val="16"/>
          <w:szCs w:val="16"/>
        </w:rPr>
        <w:footnoteRef/>
      </w:r>
      <w:r w:rsidRPr="00BF10C6">
        <w:rPr>
          <w:rFonts w:ascii="Cambria" w:hAnsi="Cambria"/>
          <w:sz w:val="16"/>
          <w:szCs w:val="16"/>
        </w:rPr>
        <w:t xml:space="preserve"> </w:t>
      </w:r>
      <w:proofErr w:type="spellStart"/>
      <w:r w:rsidRPr="00BF10C6">
        <w:rPr>
          <w:rFonts w:ascii="Cambria" w:hAnsi="Cambria"/>
          <w:sz w:val="16"/>
          <w:szCs w:val="16"/>
        </w:rPr>
        <w:t>Kredo</w:t>
      </w:r>
      <w:proofErr w:type="spellEnd"/>
      <w:r w:rsidRPr="00BF10C6">
        <w:rPr>
          <w:rFonts w:ascii="Cambria" w:hAnsi="Cambria"/>
          <w:sz w:val="16"/>
          <w:szCs w:val="16"/>
        </w:rPr>
        <w:t xml:space="preserve"> T, Van </w:t>
      </w:r>
      <w:proofErr w:type="spellStart"/>
      <w:r w:rsidRPr="00BF10C6">
        <w:rPr>
          <w:rFonts w:ascii="Cambria" w:hAnsi="Cambria"/>
          <w:sz w:val="16"/>
          <w:szCs w:val="16"/>
        </w:rPr>
        <w:t>der</w:t>
      </w:r>
      <w:proofErr w:type="spellEnd"/>
      <w:r w:rsidRPr="00BF10C6">
        <w:rPr>
          <w:rFonts w:ascii="Cambria" w:hAnsi="Cambria"/>
          <w:sz w:val="16"/>
          <w:szCs w:val="16"/>
        </w:rPr>
        <w:t xml:space="preserve"> Walt JS, Siegfried, N and Cohen K.  Therapeutic drug monitoring of </w:t>
      </w:r>
      <w:proofErr w:type="spellStart"/>
      <w:r w:rsidRPr="00BF10C6">
        <w:rPr>
          <w:rFonts w:ascii="Cambria" w:hAnsi="Cambria"/>
          <w:sz w:val="16"/>
          <w:szCs w:val="16"/>
        </w:rPr>
        <w:t>antiretrovirals</w:t>
      </w:r>
      <w:proofErr w:type="spellEnd"/>
      <w:r w:rsidRPr="00BF10C6">
        <w:rPr>
          <w:rFonts w:ascii="Cambria" w:hAnsi="Cambria"/>
          <w:sz w:val="16"/>
          <w:szCs w:val="16"/>
        </w:rPr>
        <w:t xml:space="preserve"> for people with HIV. </w:t>
      </w:r>
      <w:r w:rsidRPr="00BF10C6">
        <w:rPr>
          <w:rFonts w:ascii="Cambria" w:hAnsi="Cambria"/>
          <w:i/>
          <w:sz w:val="16"/>
          <w:szCs w:val="16"/>
        </w:rPr>
        <w:t xml:space="preserve">Cochrane Database </w:t>
      </w:r>
      <w:proofErr w:type="spellStart"/>
      <w:r w:rsidRPr="00BF10C6">
        <w:rPr>
          <w:rFonts w:ascii="Cambria" w:hAnsi="Cambria"/>
          <w:i/>
          <w:sz w:val="16"/>
          <w:szCs w:val="16"/>
        </w:rPr>
        <w:t>Syst</w:t>
      </w:r>
      <w:proofErr w:type="spellEnd"/>
      <w:r w:rsidRPr="00BF10C6">
        <w:rPr>
          <w:rFonts w:ascii="Cambria" w:hAnsi="Cambria"/>
          <w:i/>
          <w:sz w:val="16"/>
          <w:szCs w:val="16"/>
        </w:rPr>
        <w:t xml:space="preserve"> Rev</w:t>
      </w:r>
      <w:r w:rsidRPr="00BF10C6">
        <w:rPr>
          <w:rFonts w:ascii="Cambria" w:hAnsi="Cambria"/>
          <w:sz w:val="16"/>
          <w:szCs w:val="16"/>
        </w:rPr>
        <w:t>. (3):CD007268, 2009.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9F5" w:rsidRDefault="000239F5"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9F5" w:rsidRDefault="000239F5">
    <w:pPr>
      <w:rPr>
        <w:noProof/>
        <w:lang w:eastAsia="en-AU"/>
      </w:rPr>
    </w:pPr>
    <w:r w:rsidRPr="00146F81">
      <w:rPr>
        <w:noProof/>
        <w:lang w:eastAsia="en-AU"/>
      </w:rPr>
      <w:drawing>
        <wp:anchor distT="0" distB="0" distL="114300" distR="114300" simplePos="0" relativeHeight="251659264" behindDoc="1" locked="0" layoutInCell="1" allowOverlap="1">
          <wp:simplePos x="0" y="0"/>
          <wp:positionH relativeFrom="column">
            <wp:posOffset>-1089660</wp:posOffset>
          </wp:positionH>
          <wp:positionV relativeFrom="paragraph">
            <wp:posOffset>-585470</wp:posOffset>
          </wp:positionV>
          <wp:extent cx="7572375" cy="10706100"/>
          <wp:effectExtent l="19050" t="0" r="0" b="0"/>
          <wp:wrapNone/>
          <wp:docPr id="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0239F5" w:rsidRDefault="00B417C9"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pt;height:601.2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9F5" w:rsidRDefault="000239F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9F5" w:rsidRDefault="000239F5">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9F5" w:rsidRDefault="000239F5">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9F5" w:rsidRDefault="000239F5">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9F5" w:rsidRDefault="000239F5"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9F5" w:rsidRDefault="000239F5" w:rsidP="006E08B3">
    <w:r>
      <w:t>Therapeutic Goods Administration</w:t>
    </w:r>
  </w:p>
  <w:p w:rsidR="000239F5" w:rsidRDefault="000239F5"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num w:numId="1">
    <w:abstractNumId w:val="1"/>
  </w:num>
  <w:num w:numId="2">
    <w:abstractNumId w:val="0"/>
  </w:num>
  <w:num w:numId="3">
    <w:abstractNumId w:val="1"/>
  </w:num>
  <w:num w:numId="4">
    <w:abstractNumId w:val="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isplayBackgroundShape/>
  <w:proofState w:spelling="clean"/>
  <w:attachedTemplate r:id="rId1"/>
  <w:stylePaneFormatFilter w:val="1008"/>
  <w:stylePaneSortMethod w:val="0000"/>
  <w:defaultTabStop w:val="720"/>
  <w:drawingGridHorizontalSpacing w:val="110"/>
  <w:displayHorizontalDrawingGridEvery w:val="2"/>
  <w:characterSpacingControl w:val="doNotCompress"/>
  <w:hdrShapeDefaults>
    <o:shapedefaults v:ext="edit" spidmax="60418">
      <o:colormenu v:ext="edit" fillcolor="none [3206]"/>
    </o:shapedefaults>
  </w:hdrShapeDefaults>
  <w:footnotePr>
    <w:footnote w:id="-1"/>
    <w:footnote w:id="0"/>
  </w:footnotePr>
  <w:endnotePr>
    <w:endnote w:id="-1"/>
    <w:endnote w:id="0"/>
  </w:endnotePr>
  <w:compat/>
  <w:rsids>
    <w:rsidRoot w:val="006537AB"/>
    <w:rsid w:val="0000112E"/>
    <w:rsid w:val="00002031"/>
    <w:rsid w:val="00004734"/>
    <w:rsid w:val="00006B22"/>
    <w:rsid w:val="0001276A"/>
    <w:rsid w:val="000239F5"/>
    <w:rsid w:val="000246AE"/>
    <w:rsid w:val="00025C67"/>
    <w:rsid w:val="0005392A"/>
    <w:rsid w:val="0005559E"/>
    <w:rsid w:val="00060827"/>
    <w:rsid w:val="00077775"/>
    <w:rsid w:val="0008036F"/>
    <w:rsid w:val="00090471"/>
    <w:rsid w:val="00096AA7"/>
    <w:rsid w:val="000A3AED"/>
    <w:rsid w:val="000B3532"/>
    <w:rsid w:val="000B3A75"/>
    <w:rsid w:val="000C690F"/>
    <w:rsid w:val="000D1295"/>
    <w:rsid w:val="000D391B"/>
    <w:rsid w:val="000D3D6D"/>
    <w:rsid w:val="000D4FC7"/>
    <w:rsid w:val="000F4869"/>
    <w:rsid w:val="000F5B42"/>
    <w:rsid w:val="000F6E6F"/>
    <w:rsid w:val="0010601F"/>
    <w:rsid w:val="0010788A"/>
    <w:rsid w:val="00107A31"/>
    <w:rsid w:val="00110EA5"/>
    <w:rsid w:val="00112F56"/>
    <w:rsid w:val="00125318"/>
    <w:rsid w:val="001305A2"/>
    <w:rsid w:val="0013210E"/>
    <w:rsid w:val="00133238"/>
    <w:rsid w:val="0014197B"/>
    <w:rsid w:val="001447CD"/>
    <w:rsid w:val="00146F81"/>
    <w:rsid w:val="001516B1"/>
    <w:rsid w:val="00154EBB"/>
    <w:rsid w:val="00156316"/>
    <w:rsid w:val="00162D14"/>
    <w:rsid w:val="00165389"/>
    <w:rsid w:val="00173534"/>
    <w:rsid w:val="0017693F"/>
    <w:rsid w:val="0018110E"/>
    <w:rsid w:val="00181684"/>
    <w:rsid w:val="001843C6"/>
    <w:rsid w:val="001850E0"/>
    <w:rsid w:val="001A2158"/>
    <w:rsid w:val="001A525F"/>
    <w:rsid w:val="001B09F9"/>
    <w:rsid w:val="001B6448"/>
    <w:rsid w:val="001D511E"/>
    <w:rsid w:val="001E07CF"/>
    <w:rsid w:val="001E59F1"/>
    <w:rsid w:val="001F49EB"/>
    <w:rsid w:val="001F6CBA"/>
    <w:rsid w:val="001F7946"/>
    <w:rsid w:val="00201D4E"/>
    <w:rsid w:val="002076C9"/>
    <w:rsid w:val="00220B8A"/>
    <w:rsid w:val="002257F3"/>
    <w:rsid w:val="00233456"/>
    <w:rsid w:val="002339A5"/>
    <w:rsid w:val="00257848"/>
    <w:rsid w:val="0027084A"/>
    <w:rsid w:val="002801F2"/>
    <w:rsid w:val="00286434"/>
    <w:rsid w:val="00286C59"/>
    <w:rsid w:val="00291957"/>
    <w:rsid w:val="002942D1"/>
    <w:rsid w:val="0029501A"/>
    <w:rsid w:val="002B1638"/>
    <w:rsid w:val="002C6786"/>
    <w:rsid w:val="002D292E"/>
    <w:rsid w:val="002E4C9A"/>
    <w:rsid w:val="002F11F8"/>
    <w:rsid w:val="002F3F56"/>
    <w:rsid w:val="002F44B5"/>
    <w:rsid w:val="00311AC0"/>
    <w:rsid w:val="0032583B"/>
    <w:rsid w:val="00325A21"/>
    <w:rsid w:val="00327883"/>
    <w:rsid w:val="00331C57"/>
    <w:rsid w:val="00335504"/>
    <w:rsid w:val="003521E8"/>
    <w:rsid w:val="003728F3"/>
    <w:rsid w:val="0037496E"/>
    <w:rsid w:val="00386150"/>
    <w:rsid w:val="003874CE"/>
    <w:rsid w:val="00390900"/>
    <w:rsid w:val="003A0B12"/>
    <w:rsid w:val="003A7F6C"/>
    <w:rsid w:val="003B4D60"/>
    <w:rsid w:val="003B7E39"/>
    <w:rsid w:val="003C58DC"/>
    <w:rsid w:val="003C61B6"/>
    <w:rsid w:val="003D1E62"/>
    <w:rsid w:val="003E2486"/>
    <w:rsid w:val="003E3208"/>
    <w:rsid w:val="003F0B04"/>
    <w:rsid w:val="0040134E"/>
    <w:rsid w:val="00440A2D"/>
    <w:rsid w:val="00442F45"/>
    <w:rsid w:val="004564A7"/>
    <w:rsid w:val="004617BF"/>
    <w:rsid w:val="00463658"/>
    <w:rsid w:val="00471159"/>
    <w:rsid w:val="004722CC"/>
    <w:rsid w:val="004775EA"/>
    <w:rsid w:val="004936E4"/>
    <w:rsid w:val="00494E60"/>
    <w:rsid w:val="00497487"/>
    <w:rsid w:val="004B7B76"/>
    <w:rsid w:val="004C239D"/>
    <w:rsid w:val="004C2DCA"/>
    <w:rsid w:val="004F0F38"/>
    <w:rsid w:val="00501921"/>
    <w:rsid w:val="00530354"/>
    <w:rsid w:val="0053625B"/>
    <w:rsid w:val="00540B3C"/>
    <w:rsid w:val="005434C6"/>
    <w:rsid w:val="00543B39"/>
    <w:rsid w:val="00550096"/>
    <w:rsid w:val="00557FF9"/>
    <w:rsid w:val="00576378"/>
    <w:rsid w:val="00577130"/>
    <w:rsid w:val="00577945"/>
    <w:rsid w:val="00577E38"/>
    <w:rsid w:val="00585322"/>
    <w:rsid w:val="005857C6"/>
    <w:rsid w:val="00592F6E"/>
    <w:rsid w:val="00593AD1"/>
    <w:rsid w:val="005A68B6"/>
    <w:rsid w:val="005C2065"/>
    <w:rsid w:val="005C5570"/>
    <w:rsid w:val="005C79A4"/>
    <w:rsid w:val="005D5442"/>
    <w:rsid w:val="005F5CA1"/>
    <w:rsid w:val="00603F32"/>
    <w:rsid w:val="00625A6E"/>
    <w:rsid w:val="00630D5D"/>
    <w:rsid w:val="00632398"/>
    <w:rsid w:val="00640FC3"/>
    <w:rsid w:val="00642020"/>
    <w:rsid w:val="0065047C"/>
    <w:rsid w:val="0065337B"/>
    <w:rsid w:val="006537AB"/>
    <w:rsid w:val="0065419D"/>
    <w:rsid w:val="006604D8"/>
    <w:rsid w:val="00664A5B"/>
    <w:rsid w:val="006763D2"/>
    <w:rsid w:val="00680C08"/>
    <w:rsid w:val="006931B1"/>
    <w:rsid w:val="006A15C0"/>
    <w:rsid w:val="006C3E2A"/>
    <w:rsid w:val="006C5160"/>
    <w:rsid w:val="006C642F"/>
    <w:rsid w:val="006D03E5"/>
    <w:rsid w:val="006D5D3E"/>
    <w:rsid w:val="006E08B3"/>
    <w:rsid w:val="006F17AC"/>
    <w:rsid w:val="006F572E"/>
    <w:rsid w:val="0070455D"/>
    <w:rsid w:val="007046D6"/>
    <w:rsid w:val="00704C6C"/>
    <w:rsid w:val="00705DB0"/>
    <w:rsid w:val="00722B57"/>
    <w:rsid w:val="0074253D"/>
    <w:rsid w:val="0074429B"/>
    <w:rsid w:val="007615BC"/>
    <w:rsid w:val="00762F05"/>
    <w:rsid w:val="007652FF"/>
    <w:rsid w:val="00770EF1"/>
    <w:rsid w:val="00773EF7"/>
    <w:rsid w:val="00774E1D"/>
    <w:rsid w:val="0077675A"/>
    <w:rsid w:val="00780355"/>
    <w:rsid w:val="00785721"/>
    <w:rsid w:val="00793A59"/>
    <w:rsid w:val="007B6E9F"/>
    <w:rsid w:val="007C1216"/>
    <w:rsid w:val="007C1AF7"/>
    <w:rsid w:val="00805D27"/>
    <w:rsid w:val="00816090"/>
    <w:rsid w:val="00821776"/>
    <w:rsid w:val="008321F5"/>
    <w:rsid w:val="00832369"/>
    <w:rsid w:val="00834660"/>
    <w:rsid w:val="00836BC2"/>
    <w:rsid w:val="00851F16"/>
    <w:rsid w:val="00852FEC"/>
    <w:rsid w:val="0085641B"/>
    <w:rsid w:val="00857136"/>
    <w:rsid w:val="00867125"/>
    <w:rsid w:val="00883B7A"/>
    <w:rsid w:val="00885B11"/>
    <w:rsid w:val="00886D15"/>
    <w:rsid w:val="00887DD8"/>
    <w:rsid w:val="00896018"/>
    <w:rsid w:val="008960DD"/>
    <w:rsid w:val="0089635C"/>
    <w:rsid w:val="008A2B9D"/>
    <w:rsid w:val="008A5E0B"/>
    <w:rsid w:val="008A6D59"/>
    <w:rsid w:val="008B4B03"/>
    <w:rsid w:val="008B596F"/>
    <w:rsid w:val="008C159F"/>
    <w:rsid w:val="008C1623"/>
    <w:rsid w:val="008C1850"/>
    <w:rsid w:val="008C51A9"/>
    <w:rsid w:val="008E7846"/>
    <w:rsid w:val="008F1CCC"/>
    <w:rsid w:val="008F2967"/>
    <w:rsid w:val="008F6943"/>
    <w:rsid w:val="00902A21"/>
    <w:rsid w:val="00920330"/>
    <w:rsid w:val="009219D7"/>
    <w:rsid w:val="00922D53"/>
    <w:rsid w:val="00923B70"/>
    <w:rsid w:val="00924482"/>
    <w:rsid w:val="00930237"/>
    <w:rsid w:val="009435D0"/>
    <w:rsid w:val="009460A6"/>
    <w:rsid w:val="00946EA5"/>
    <w:rsid w:val="00963C08"/>
    <w:rsid w:val="0098585A"/>
    <w:rsid w:val="0099682D"/>
    <w:rsid w:val="009A4CED"/>
    <w:rsid w:val="009A690D"/>
    <w:rsid w:val="009B1D12"/>
    <w:rsid w:val="009B416B"/>
    <w:rsid w:val="009C4BD5"/>
    <w:rsid w:val="009D7B77"/>
    <w:rsid w:val="009E0BB0"/>
    <w:rsid w:val="009E2F17"/>
    <w:rsid w:val="009E3FBB"/>
    <w:rsid w:val="00A102E4"/>
    <w:rsid w:val="00A10B25"/>
    <w:rsid w:val="00A12C42"/>
    <w:rsid w:val="00A14DF7"/>
    <w:rsid w:val="00A3246D"/>
    <w:rsid w:val="00A36FA7"/>
    <w:rsid w:val="00A475B7"/>
    <w:rsid w:val="00A47AF7"/>
    <w:rsid w:val="00A47C3E"/>
    <w:rsid w:val="00A50226"/>
    <w:rsid w:val="00A6002A"/>
    <w:rsid w:val="00A60BAD"/>
    <w:rsid w:val="00A84E36"/>
    <w:rsid w:val="00A874E9"/>
    <w:rsid w:val="00A964D1"/>
    <w:rsid w:val="00AA0ED0"/>
    <w:rsid w:val="00AA403D"/>
    <w:rsid w:val="00AB2D0E"/>
    <w:rsid w:val="00AB4EA8"/>
    <w:rsid w:val="00AC2B40"/>
    <w:rsid w:val="00AC2BB2"/>
    <w:rsid w:val="00AC2C3C"/>
    <w:rsid w:val="00AC512D"/>
    <w:rsid w:val="00AD0083"/>
    <w:rsid w:val="00AD0A60"/>
    <w:rsid w:val="00AE65EB"/>
    <w:rsid w:val="00AE67A7"/>
    <w:rsid w:val="00AF1D94"/>
    <w:rsid w:val="00AF24E7"/>
    <w:rsid w:val="00AF60C5"/>
    <w:rsid w:val="00B009C6"/>
    <w:rsid w:val="00B01548"/>
    <w:rsid w:val="00B21D29"/>
    <w:rsid w:val="00B25034"/>
    <w:rsid w:val="00B33588"/>
    <w:rsid w:val="00B33863"/>
    <w:rsid w:val="00B37D17"/>
    <w:rsid w:val="00B4175E"/>
    <w:rsid w:val="00B417C9"/>
    <w:rsid w:val="00B452CE"/>
    <w:rsid w:val="00B54C25"/>
    <w:rsid w:val="00B7021E"/>
    <w:rsid w:val="00B76B91"/>
    <w:rsid w:val="00B77EB1"/>
    <w:rsid w:val="00B811C6"/>
    <w:rsid w:val="00B855B0"/>
    <w:rsid w:val="00B92E08"/>
    <w:rsid w:val="00B932B9"/>
    <w:rsid w:val="00BC1BE2"/>
    <w:rsid w:val="00BC622A"/>
    <w:rsid w:val="00BE0A78"/>
    <w:rsid w:val="00BE79F0"/>
    <w:rsid w:val="00BF046D"/>
    <w:rsid w:val="00BF10C6"/>
    <w:rsid w:val="00BF1190"/>
    <w:rsid w:val="00BF5D04"/>
    <w:rsid w:val="00C1164D"/>
    <w:rsid w:val="00C16861"/>
    <w:rsid w:val="00C34B97"/>
    <w:rsid w:val="00C404A6"/>
    <w:rsid w:val="00C40A36"/>
    <w:rsid w:val="00C44419"/>
    <w:rsid w:val="00C45E7B"/>
    <w:rsid w:val="00C471B1"/>
    <w:rsid w:val="00C6316B"/>
    <w:rsid w:val="00C634A9"/>
    <w:rsid w:val="00C64586"/>
    <w:rsid w:val="00C70D53"/>
    <w:rsid w:val="00C73D0B"/>
    <w:rsid w:val="00C772FF"/>
    <w:rsid w:val="00C80137"/>
    <w:rsid w:val="00C801AF"/>
    <w:rsid w:val="00C80256"/>
    <w:rsid w:val="00CB6BC0"/>
    <w:rsid w:val="00CC1B7C"/>
    <w:rsid w:val="00CC727F"/>
    <w:rsid w:val="00CF15C3"/>
    <w:rsid w:val="00CF2B6F"/>
    <w:rsid w:val="00CF58B6"/>
    <w:rsid w:val="00D011E7"/>
    <w:rsid w:val="00D017ED"/>
    <w:rsid w:val="00D040D3"/>
    <w:rsid w:val="00D04C65"/>
    <w:rsid w:val="00D224FE"/>
    <w:rsid w:val="00D4255B"/>
    <w:rsid w:val="00D6106C"/>
    <w:rsid w:val="00D6493E"/>
    <w:rsid w:val="00D6584A"/>
    <w:rsid w:val="00D7301E"/>
    <w:rsid w:val="00D83AE1"/>
    <w:rsid w:val="00D855D4"/>
    <w:rsid w:val="00D93466"/>
    <w:rsid w:val="00DA1124"/>
    <w:rsid w:val="00DB75B7"/>
    <w:rsid w:val="00DC6E02"/>
    <w:rsid w:val="00DE02AE"/>
    <w:rsid w:val="00DF1D7F"/>
    <w:rsid w:val="00DF4BE4"/>
    <w:rsid w:val="00E0107D"/>
    <w:rsid w:val="00E02FB4"/>
    <w:rsid w:val="00E06D22"/>
    <w:rsid w:val="00E20571"/>
    <w:rsid w:val="00E235F7"/>
    <w:rsid w:val="00E23659"/>
    <w:rsid w:val="00E239D4"/>
    <w:rsid w:val="00E26130"/>
    <w:rsid w:val="00E40B22"/>
    <w:rsid w:val="00E44723"/>
    <w:rsid w:val="00E45619"/>
    <w:rsid w:val="00E4588F"/>
    <w:rsid w:val="00E46DA3"/>
    <w:rsid w:val="00E47B53"/>
    <w:rsid w:val="00E51BB1"/>
    <w:rsid w:val="00E624A5"/>
    <w:rsid w:val="00E7344E"/>
    <w:rsid w:val="00E80A48"/>
    <w:rsid w:val="00E94F98"/>
    <w:rsid w:val="00EB0798"/>
    <w:rsid w:val="00EB40AD"/>
    <w:rsid w:val="00EB586E"/>
    <w:rsid w:val="00EB5FC8"/>
    <w:rsid w:val="00EC3F61"/>
    <w:rsid w:val="00EC58C8"/>
    <w:rsid w:val="00EC7544"/>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67C3D"/>
    <w:rsid w:val="00F80E40"/>
    <w:rsid w:val="00F848D9"/>
    <w:rsid w:val="00FA5B82"/>
    <w:rsid w:val="00FA639E"/>
    <w:rsid w:val="00FC25E4"/>
    <w:rsid w:val="00FC4EF7"/>
    <w:rsid w:val="00FE1311"/>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0418">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417C9"/>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rsid w:val="006537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FootnoteTextChar">
    <w:name w:val="Footnote Text Char"/>
    <w:basedOn w:val="DefaultParagraphFont"/>
    <w:link w:val="FootnoteText"/>
    <w:uiPriority w:val="99"/>
    <w:semiHidden/>
    <w:rsid w:val="006537AB"/>
    <w:rPr>
      <w:rFonts w:ascii="Times New Roman" w:eastAsia="Times New Roman" w:hAnsi="Times New Roman" w:cs="Times New Roman"/>
      <w:kern w:val="16"/>
      <w:sz w:val="20"/>
      <w:szCs w:val="20"/>
      <w:lang w:eastAsia="en-AU"/>
    </w:rPr>
  </w:style>
  <w:style w:type="character" w:styleId="FootnoteReference">
    <w:name w:val="footnote reference"/>
    <w:basedOn w:val="DefaultParagraphFont"/>
    <w:rsid w:val="006537AB"/>
    <w:rPr>
      <w:vertAlign w:val="superscript"/>
    </w:rPr>
  </w:style>
  <w:style w:type="paragraph" w:styleId="ListParagraph">
    <w:name w:val="List Paragraph"/>
    <w:basedOn w:val="Normal"/>
    <w:uiPriority w:val="34"/>
    <w:qFormat/>
    <w:rsid w:val="006537AB"/>
    <w:pPr>
      <w:ind w:left="720"/>
      <w:contextualSpacing/>
    </w:pPr>
  </w:style>
  <w:style w:type="paragraph" w:customStyle="1" w:styleId="BMSBodyText">
    <w:name w:val="BMS Body Text"/>
    <w:rsid w:val="00AF24E7"/>
    <w:pPr>
      <w:spacing w:before="120" w:after="120" w:line="300" w:lineRule="auto"/>
      <w:jc w:val="both"/>
    </w:pPr>
    <w:rPr>
      <w:rFonts w:ascii="Times New Roman" w:eastAsia="Times New Roman" w:hAnsi="Times New Roman" w:cs="Times New Roman"/>
      <w:color w:val="000000"/>
      <w:sz w:val="24"/>
      <w:szCs w:val="20"/>
      <w:lang w:val="en-US"/>
    </w:rPr>
  </w:style>
  <w:style w:type="paragraph" w:customStyle="1" w:styleId="Default">
    <w:name w:val="Default"/>
    <w:rsid w:val="00AF24E7"/>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semiHidden/>
    <w:unhideWhenUsed/>
    <w:rsid w:val="00FE1311"/>
    <w:pPr>
      <w:spacing w:line="240" w:lineRule="auto"/>
    </w:pPr>
    <w:rPr>
      <w:rFonts w:eastAsia="Times New Roman"/>
      <w:sz w:val="20"/>
      <w:szCs w:val="20"/>
      <w:lang w:eastAsia="en-AU"/>
    </w:rPr>
  </w:style>
  <w:style w:type="character" w:customStyle="1" w:styleId="CommentTextChar">
    <w:name w:val="Comment Text Char"/>
    <w:basedOn w:val="DefaultParagraphFont"/>
    <w:link w:val="CommentText"/>
    <w:uiPriority w:val="99"/>
    <w:semiHidden/>
    <w:rsid w:val="00FE1311"/>
    <w:rPr>
      <w:rFonts w:ascii="Cambria" w:eastAsia="Times New Roman" w:hAnsi="Cambria" w:cs="Times New Roman"/>
      <w:sz w:val="20"/>
      <w:szCs w:val="20"/>
      <w:lang w:eastAsia="en-AU"/>
    </w:rPr>
  </w:style>
</w:styles>
</file>

<file path=word/webSettings.xml><?xml version="1.0" encoding="utf-8"?>
<w:webSettings xmlns:r="http://schemas.openxmlformats.org/officeDocument/2006/relationships" xmlns:w="http://schemas.openxmlformats.org/wordprocessingml/2006/main">
  <w:divs>
    <w:div w:id="416176591">
      <w:bodyDiv w:val="1"/>
      <w:marLeft w:val="0"/>
      <w:marRight w:val="0"/>
      <w:marTop w:val="0"/>
      <w:marBottom w:val="0"/>
      <w:divBdr>
        <w:top w:val="none" w:sz="0" w:space="0" w:color="auto"/>
        <w:left w:val="none" w:sz="0" w:space="0" w:color="auto"/>
        <w:bottom w:val="none" w:sz="0" w:space="0" w:color="auto"/>
        <w:right w:val="none" w:sz="0" w:space="0" w:color="auto"/>
      </w:divBdr>
    </w:div>
    <w:div w:id="439642467">
      <w:bodyDiv w:val="1"/>
      <w:marLeft w:val="0"/>
      <w:marRight w:val="0"/>
      <w:marTop w:val="0"/>
      <w:marBottom w:val="0"/>
      <w:divBdr>
        <w:top w:val="none" w:sz="0" w:space="0" w:color="auto"/>
        <w:left w:val="none" w:sz="0" w:space="0" w:color="auto"/>
        <w:bottom w:val="none" w:sz="0" w:space="0" w:color="auto"/>
        <w:right w:val="none" w:sz="0" w:space="0" w:color="auto"/>
      </w:divBdr>
    </w:div>
    <w:div w:id="530842877">
      <w:bodyDiv w:val="1"/>
      <w:marLeft w:val="0"/>
      <w:marRight w:val="0"/>
      <w:marTop w:val="0"/>
      <w:marBottom w:val="0"/>
      <w:divBdr>
        <w:top w:val="none" w:sz="0" w:space="0" w:color="auto"/>
        <w:left w:val="none" w:sz="0" w:space="0" w:color="auto"/>
        <w:bottom w:val="none" w:sz="0" w:space="0" w:color="auto"/>
        <w:right w:val="none" w:sz="0" w:space="0" w:color="auto"/>
      </w:divBdr>
    </w:div>
    <w:div w:id="631398089">
      <w:bodyDiv w:val="1"/>
      <w:marLeft w:val="0"/>
      <w:marRight w:val="0"/>
      <w:marTop w:val="0"/>
      <w:marBottom w:val="0"/>
      <w:divBdr>
        <w:top w:val="none" w:sz="0" w:space="0" w:color="auto"/>
        <w:left w:val="none" w:sz="0" w:space="0" w:color="auto"/>
        <w:bottom w:val="none" w:sz="0" w:space="0" w:color="auto"/>
        <w:right w:val="none" w:sz="0" w:space="0" w:color="auto"/>
      </w:divBdr>
    </w:div>
    <w:div w:id="655842445">
      <w:bodyDiv w:val="1"/>
      <w:marLeft w:val="0"/>
      <w:marRight w:val="0"/>
      <w:marTop w:val="0"/>
      <w:marBottom w:val="0"/>
      <w:divBdr>
        <w:top w:val="none" w:sz="0" w:space="0" w:color="auto"/>
        <w:left w:val="none" w:sz="0" w:space="0" w:color="auto"/>
        <w:bottom w:val="none" w:sz="0" w:space="0" w:color="auto"/>
        <w:right w:val="none" w:sz="0" w:space="0" w:color="auto"/>
      </w:divBdr>
    </w:div>
    <w:div w:id="910891483">
      <w:bodyDiv w:val="1"/>
      <w:marLeft w:val="0"/>
      <w:marRight w:val="0"/>
      <w:marTop w:val="0"/>
      <w:marBottom w:val="0"/>
      <w:divBdr>
        <w:top w:val="none" w:sz="0" w:space="0" w:color="auto"/>
        <w:left w:val="none" w:sz="0" w:space="0" w:color="auto"/>
        <w:bottom w:val="none" w:sz="0" w:space="0" w:color="auto"/>
        <w:right w:val="none" w:sz="0" w:space="0" w:color="auto"/>
      </w:divBdr>
    </w:div>
    <w:div w:id="1064983088">
      <w:bodyDiv w:val="1"/>
      <w:marLeft w:val="0"/>
      <w:marRight w:val="0"/>
      <w:marTop w:val="0"/>
      <w:marBottom w:val="0"/>
      <w:divBdr>
        <w:top w:val="none" w:sz="0" w:space="0" w:color="auto"/>
        <w:left w:val="none" w:sz="0" w:space="0" w:color="auto"/>
        <w:bottom w:val="none" w:sz="0" w:space="0" w:color="auto"/>
        <w:right w:val="none" w:sz="0" w:space="0" w:color="auto"/>
      </w:divBdr>
    </w:div>
    <w:div w:id="1365448636">
      <w:bodyDiv w:val="1"/>
      <w:marLeft w:val="0"/>
      <w:marRight w:val="0"/>
      <w:marTop w:val="0"/>
      <w:marBottom w:val="0"/>
      <w:divBdr>
        <w:top w:val="none" w:sz="0" w:space="0" w:color="auto"/>
        <w:left w:val="none" w:sz="0" w:space="0" w:color="auto"/>
        <w:bottom w:val="none" w:sz="0" w:space="0" w:color="auto"/>
        <w:right w:val="none" w:sz="0" w:space="0" w:color="auto"/>
      </w:divBdr>
    </w:div>
    <w:div w:id="1573543181">
      <w:bodyDiv w:val="1"/>
      <w:marLeft w:val="0"/>
      <w:marRight w:val="0"/>
      <w:marTop w:val="0"/>
      <w:marBottom w:val="0"/>
      <w:divBdr>
        <w:top w:val="none" w:sz="0" w:space="0" w:color="auto"/>
        <w:left w:val="none" w:sz="0" w:space="0" w:color="auto"/>
        <w:bottom w:val="none" w:sz="0" w:space="0" w:color="auto"/>
        <w:right w:val="none" w:sz="0" w:space="0" w:color="auto"/>
      </w:divBdr>
    </w:div>
    <w:div w:id="1671323792">
      <w:bodyDiv w:val="1"/>
      <w:marLeft w:val="0"/>
      <w:marRight w:val="0"/>
      <w:marTop w:val="0"/>
      <w:marBottom w:val="0"/>
      <w:divBdr>
        <w:top w:val="none" w:sz="0" w:space="0" w:color="auto"/>
        <w:left w:val="none" w:sz="0" w:space="0" w:color="auto"/>
        <w:bottom w:val="none" w:sz="0" w:space="0" w:color="auto"/>
        <w:right w:val="none" w:sz="0" w:space="0" w:color="auto"/>
      </w:divBdr>
    </w:div>
    <w:div w:id="1947613952">
      <w:bodyDiv w:val="1"/>
      <w:marLeft w:val="0"/>
      <w:marRight w:val="0"/>
      <w:marTop w:val="0"/>
      <w:marBottom w:val="0"/>
      <w:divBdr>
        <w:top w:val="none" w:sz="0" w:space="0" w:color="auto"/>
        <w:left w:val="none" w:sz="0" w:space="0" w:color="auto"/>
        <w:bottom w:val="none" w:sz="0" w:space="0" w:color="auto"/>
        <w:right w:val="none" w:sz="0" w:space="0" w:color="auto"/>
      </w:divBdr>
    </w:div>
    <w:div w:id="2102749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2.emf"/><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http://www.tga.gov.au/hp/information-medicines-pi.htm" TargetMode="Externa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aidsinfo.nih.gov/Guidelines/GuidelineDetail.aspx?MenuItem=Guidelines&amp;Search=Off&amp;GuidelineID=7&amp;ClassID=1" TargetMode="External"/><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4.xml"/><Relationship Id="rId29" Type="http://schemas.openxmlformats.org/officeDocument/2006/relationships/image" Target="media/image13.png"/><Relationship Id="rId41" Type="http://schemas.openxmlformats.org/officeDocument/2006/relationships/hyperlink" Target="http://aidsinfo.nih.gov/Guidelines/GuidelineDetail.aspx?MenuItem=Guidelines&amp;Search=Off&amp;GuidelineID=7&amp;ClassID=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3.emf"/><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image" Target="media/image15.pn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5.xml"/><Relationship Id="rId48" Type="http://schemas.openxmlformats.org/officeDocument/2006/relationships/footer" Target="footer7.xml"/><Relationship Id="rId8" Type="http://schemas.openxmlformats.org/officeDocument/2006/relationships/hyperlink" Target="http://www.tga.gov.au/"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ema.europa.eu/docs/en_GB/document_library/EPAR_-_Assessment_Report_-_Variation/human/000494/WC500094745.pdf" TargetMode="External"/><Relationship Id="rId3" Type="http://schemas.openxmlformats.org/officeDocument/2006/relationships/hyperlink" Target="http://www.ncbi.nlm.nih.gov/pubmed?term=Claxton%20AJ%5BAuthor%5D&amp;cauthor=true&amp;cauthor_uid=11558866" TargetMode="External"/><Relationship Id="rId7" Type="http://schemas.openxmlformats.org/officeDocument/2006/relationships/hyperlink" Target="http://aidsinfo.nih.gov/guidelines/html/2/pediatric-treatment-guidelines/108/role-of-therapeutic-drug-monitoring-in-management-of-treatment-failure" TargetMode="External"/><Relationship Id="rId2" Type="http://schemas.openxmlformats.org/officeDocument/2006/relationships/hyperlink" Target="http://www.tga.gov.au/pdf/euguide/ich271199en.pdf" TargetMode="External"/><Relationship Id="rId1" Type="http://schemas.openxmlformats.org/officeDocument/2006/relationships/hyperlink" Target="http://www.tga.gov.au/pdf/euguide/ewp18599006en.pdf" TargetMode="External"/><Relationship Id="rId6" Type="http://schemas.openxmlformats.org/officeDocument/2006/relationships/hyperlink" Target="http://www.ncbi.nlm.nih.gov/pubmed/11558866" TargetMode="External"/><Relationship Id="rId5" Type="http://schemas.openxmlformats.org/officeDocument/2006/relationships/hyperlink" Target="http://www.ncbi.nlm.nih.gov/pubmed?term=Pierce%20C%5BAuthor%5D&amp;cauthor=true&amp;cauthor_uid=11558866" TargetMode="External"/><Relationship Id="rId4" Type="http://schemas.openxmlformats.org/officeDocument/2006/relationships/hyperlink" Target="http://www.ncbi.nlm.nih.gov/pubmed?term=Cramer%20J%5BAuthor%5D&amp;cauthor=true&amp;cauthor_uid=11558866"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336\t0MW9N79.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6C556-4EEE-4600-8099-E64FA2922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t0MW9N79.DOTX</Template>
  <TotalTime>118</TotalTime>
  <Pages>48</Pages>
  <Words>21616</Words>
  <Characters>91872</Characters>
  <Application>Microsoft Office Word</Application>
  <DocSecurity>0</DocSecurity>
  <Lines>1481</Lines>
  <Paragraphs>545</Paragraphs>
  <ScaleCrop>false</ScaleCrop>
  <HeadingPairs>
    <vt:vector size="2" baseType="variant">
      <vt:variant>
        <vt:lpstr>Title</vt:lpstr>
      </vt:variant>
      <vt:variant>
        <vt:i4>1</vt:i4>
      </vt:variant>
    </vt:vector>
  </HeadingPairs>
  <TitlesOfParts>
    <vt:vector size="1" baseType="lpstr">
      <vt:lpstr>Australian public assessment report for Atazanavir</vt:lpstr>
    </vt:vector>
  </TitlesOfParts>
  <Company>Department of Health Therapeutic Goods Administration</Company>
  <LinksUpToDate>false</LinksUpToDate>
  <CharactersWithSpaces>112943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Atazanavir</dc:title>
  <dc:subject>prescription medicine regulation</dc:subject>
  <dc:creator>Therapeutic Goods Administration</dc:creator>
  <cp:keywords>auspar, prescription, medicine, assessment, regulation, australia, atazanavir, reyataz, bristol-myers, bristol, myers, squibb</cp:keywords>
  <cp:lastModifiedBy>Searson, Lisa</cp:lastModifiedBy>
  <cp:revision>9</cp:revision>
  <cp:lastPrinted>2010-12-20T22:59:00Z</cp:lastPrinted>
  <dcterms:created xsi:type="dcterms:W3CDTF">2013-10-21T01:11:00Z</dcterms:created>
  <dcterms:modified xsi:type="dcterms:W3CDTF">2013-11-05T05:01:00Z</dcterms:modified>
  <cp:category>External publication</cp:category>
</cp:coreProperties>
</file>