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80243D4" w14:textId="77777777" w:rsidTr="00BF1190">
        <w:trPr>
          <w:trHeight w:val="1863"/>
        </w:trPr>
        <w:tc>
          <w:tcPr>
            <w:tcW w:w="3652" w:type="dxa"/>
            <w:tcBorders>
              <w:top w:val="nil"/>
              <w:left w:val="nil"/>
              <w:bottom w:val="nil"/>
              <w:right w:val="nil"/>
            </w:tcBorders>
          </w:tcPr>
          <w:p w14:paraId="7A3AACC0" w14:textId="4CD14A4D" w:rsidR="008E7846" w:rsidRPr="00096AA7" w:rsidRDefault="00692890" w:rsidP="00096AA7">
            <w:pPr>
              <w:rPr>
                <w:rFonts w:ascii="Arial" w:hAnsi="Arial" w:cs="Arial"/>
                <w:b/>
                <w:color w:val="002C47"/>
                <w:sz w:val="36"/>
                <w:szCs w:val="36"/>
              </w:rPr>
            </w:pPr>
            <w:r>
              <w:rPr>
                <w:rFonts w:ascii="Arial" w:hAnsi="Arial" w:cs="Arial"/>
                <w:b/>
                <w:color w:val="002C47"/>
                <w:sz w:val="36"/>
                <w:szCs w:val="36"/>
              </w:rPr>
              <w:t>January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837D0B8" w14:textId="77777777" w:rsidTr="0032583B">
        <w:trPr>
          <w:trHeight w:val="868"/>
        </w:trPr>
        <w:tc>
          <w:tcPr>
            <w:tcW w:w="9079" w:type="dxa"/>
          </w:tcPr>
          <w:p w14:paraId="49F0DC14" w14:textId="77777777" w:rsidR="0032583B" w:rsidRPr="00A964D1" w:rsidRDefault="0032583B" w:rsidP="005049BA">
            <w:pPr>
              <w:pStyle w:val="Title"/>
              <w:rPr>
                <w:color w:val="FFFFFF" w:themeColor="background1"/>
              </w:rPr>
            </w:pPr>
            <w:r w:rsidRPr="00A964D1">
              <w:rPr>
                <w:color w:val="FFFFFF" w:themeColor="background1"/>
              </w:rPr>
              <w:t xml:space="preserve">Australian Public Assessment Report for </w:t>
            </w:r>
            <w:r w:rsidR="005049BA">
              <w:rPr>
                <w:color w:val="FFFFFF" w:themeColor="background1"/>
              </w:rPr>
              <w:t>Avelumab</w:t>
            </w:r>
          </w:p>
        </w:tc>
      </w:tr>
      <w:tr w:rsidR="0032583B" w:rsidRPr="00B64760" w14:paraId="00EA5B21" w14:textId="77777777" w:rsidTr="0032583B">
        <w:tc>
          <w:tcPr>
            <w:tcW w:w="9079" w:type="dxa"/>
          </w:tcPr>
          <w:p w14:paraId="504EFA6F"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4E315F" w:rsidRPr="004E315F">
              <w:rPr>
                <w:color w:val="FFFFFF" w:themeColor="background1"/>
              </w:rPr>
              <w:t>Bavencio</w:t>
            </w:r>
          </w:p>
        </w:tc>
      </w:tr>
      <w:tr w:rsidR="0032583B" w:rsidRPr="00B64760" w14:paraId="326C7CF0" w14:textId="77777777" w:rsidTr="0032583B">
        <w:trPr>
          <w:trHeight w:val="486"/>
        </w:trPr>
        <w:tc>
          <w:tcPr>
            <w:tcW w:w="9079" w:type="dxa"/>
          </w:tcPr>
          <w:p w14:paraId="39B6BC8F" w14:textId="0194C1D9" w:rsidR="0032583B" w:rsidRPr="008E7846" w:rsidRDefault="0032583B" w:rsidP="0032583B">
            <w:pPr>
              <w:pStyle w:val="Subtitle"/>
              <w:rPr>
                <w:color w:val="FFFFFF" w:themeColor="background1"/>
              </w:rPr>
            </w:pPr>
            <w:r w:rsidRPr="008E7846">
              <w:rPr>
                <w:color w:val="FFFFFF" w:themeColor="background1"/>
              </w:rPr>
              <w:t xml:space="preserve">Sponsor: </w:t>
            </w:r>
            <w:r w:rsidR="004E315F">
              <w:rPr>
                <w:color w:val="FFFFFF" w:themeColor="background1"/>
              </w:rPr>
              <w:t>Merck Ser</w:t>
            </w:r>
            <w:r w:rsidR="00DB4C2B">
              <w:rPr>
                <w:color w:val="FFFFFF" w:themeColor="background1"/>
              </w:rPr>
              <w:t>o</w:t>
            </w:r>
            <w:r w:rsidR="004E315F">
              <w:rPr>
                <w:color w:val="FFFFFF" w:themeColor="background1"/>
              </w:rPr>
              <w:t>no Australia Pty Ltd</w:t>
            </w:r>
          </w:p>
        </w:tc>
      </w:tr>
    </w:tbl>
    <w:p w14:paraId="0701D0F8" w14:textId="77777777" w:rsidR="008E7846" w:rsidRPr="0085156D" w:rsidRDefault="008E7846" w:rsidP="0085156D">
      <w:r w:rsidRPr="0085156D">
        <w:br w:type="page"/>
      </w:r>
    </w:p>
    <w:p w14:paraId="6BBA5C09" w14:textId="77777777" w:rsidR="008E7846" w:rsidRPr="001F6CBA" w:rsidRDefault="008E7846" w:rsidP="008E7846">
      <w:pPr>
        <w:pStyle w:val="NonTOCHeading2"/>
      </w:pPr>
      <w:r w:rsidRPr="001F6CBA">
        <w:lastRenderedPageBreak/>
        <w:t>About the Therapeutic Goods Administration (TGA)</w:t>
      </w:r>
    </w:p>
    <w:p w14:paraId="6769A9F9"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BAA941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A002001"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1D8A48D"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F2D750F" w14:textId="5B77CE52"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 xml:space="preserve">the TGA website </w:t>
      </w:r>
      <w:r w:rsidR="00861FD9">
        <w:t>&lt;</w:t>
      </w:r>
      <w:hyperlink r:id="rId9" w:history="1">
        <w:r w:rsidR="00441C3F">
          <w:rPr>
            <w:rStyle w:val="Hyperlink"/>
          </w:rPr>
          <w:t>https://www.tga.gov.au</w:t>
        </w:r>
      </w:hyperlink>
      <w:r w:rsidR="00523BCF">
        <w:t>&gt;</w:t>
      </w:r>
      <w:r w:rsidR="00441C3F">
        <w:t>.</w:t>
      </w:r>
    </w:p>
    <w:p w14:paraId="6DF0B75C" w14:textId="77777777" w:rsidR="008E7846" w:rsidRDefault="008E7846" w:rsidP="00875A6B">
      <w:pPr>
        <w:pStyle w:val="NonTOCHeading2"/>
      </w:pPr>
      <w:r>
        <w:t>About AusPARs</w:t>
      </w:r>
    </w:p>
    <w:p w14:paraId="46B72860"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B94D0B3" w14:textId="77777777" w:rsidR="008E7846" w:rsidRDefault="008E7846" w:rsidP="008E7846">
      <w:pPr>
        <w:pStyle w:val="ListBullet"/>
        <w:numPr>
          <w:ilvl w:val="0"/>
          <w:numId w:val="3"/>
        </w:numPr>
        <w:ind w:left="357" w:hanging="357"/>
      </w:pPr>
      <w:r>
        <w:t>AusPARs are prepared and published by the TGA.</w:t>
      </w:r>
    </w:p>
    <w:p w14:paraId="17175D77"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76694A3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050EB5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B61F811" w14:textId="77777777" w:rsidR="00924482" w:rsidRPr="00DF1D7F" w:rsidRDefault="00924482" w:rsidP="00F54B65">
      <w:pPr>
        <w:pStyle w:val="LegalSubheading"/>
        <w:spacing w:before="3120"/>
      </w:pPr>
      <w:r w:rsidRPr="00DF1D7F">
        <w:t>Copyright</w:t>
      </w:r>
    </w:p>
    <w:p w14:paraId="7876A799" w14:textId="443825C1" w:rsidR="00924482" w:rsidRDefault="00924482" w:rsidP="00924482">
      <w:pPr>
        <w:pStyle w:val="LegalCopy"/>
      </w:pPr>
      <w:r w:rsidRPr="00191B3B">
        <w:rPr>
          <w:rFonts w:cs="Arial"/>
          <w:lang w:val="en-GB"/>
        </w:rPr>
        <w:t>© Comm</w:t>
      </w:r>
      <w:r>
        <w:rPr>
          <w:rFonts w:cs="Arial"/>
          <w:lang w:val="en-GB"/>
        </w:rPr>
        <w:t>onwealth of Australia 201</w:t>
      </w:r>
      <w:r w:rsidR="00B9688B">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5E1E9B">
        <w:rPr>
          <w:rFonts w:cs="Arial"/>
          <w:lang w:val="en-GB"/>
        </w:rPr>
        <w:t xml:space="preserve">&lt; </w:t>
      </w:r>
      <w:hyperlink r:id="rId10" w:history="1">
        <w:r w:rsidRPr="00191B3B">
          <w:rPr>
            <w:rStyle w:val="Hyperlink"/>
            <w:rFonts w:cs="Arial"/>
            <w:lang w:val="en-GB"/>
          </w:rPr>
          <w:t>tga.copyright@tga.gov.au</w:t>
        </w:r>
      </w:hyperlink>
      <w:proofErr w:type="gramStart"/>
      <w:r w:rsidR="005E1E9B">
        <w:rPr>
          <w:rFonts w:cs="Arial"/>
        </w:rPr>
        <w:t xml:space="preserve">&gt; </w:t>
      </w:r>
      <w:r w:rsidRPr="00191B3B">
        <w:rPr>
          <w:rFonts w:cs="Arial"/>
        </w:rPr>
        <w:t>.</w:t>
      </w:r>
      <w:proofErr w:type="gramEnd"/>
    </w:p>
    <w:p w14:paraId="7B08897F"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18FC327" w14:textId="77777777" w:rsidR="0089635C" w:rsidRPr="0089635C" w:rsidRDefault="0089635C" w:rsidP="0010788A">
          <w:pPr>
            <w:pStyle w:val="Contents"/>
          </w:pPr>
          <w:r w:rsidRPr="0010788A">
            <w:t>Content</w:t>
          </w:r>
          <w:bookmarkStart w:id="2" w:name="_GoBack"/>
          <w:bookmarkEnd w:id="2"/>
          <w:r w:rsidRPr="0010788A">
            <w:t>s</w:t>
          </w:r>
        </w:p>
        <w:p w14:paraId="36406663" w14:textId="77777777" w:rsidR="00861FD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8053041" w:history="1">
            <w:r w:rsidR="00861FD9" w:rsidRPr="001D3624">
              <w:rPr>
                <w:rStyle w:val="Hyperlink"/>
                <w:noProof/>
              </w:rPr>
              <w:t>Common abbreviations</w:t>
            </w:r>
            <w:r w:rsidR="00861FD9">
              <w:rPr>
                <w:noProof/>
                <w:webHidden/>
              </w:rPr>
              <w:tab/>
            </w:r>
            <w:r w:rsidR="00861FD9">
              <w:rPr>
                <w:noProof/>
                <w:webHidden/>
              </w:rPr>
              <w:fldChar w:fldCharType="begin"/>
            </w:r>
            <w:r w:rsidR="00861FD9">
              <w:rPr>
                <w:noProof/>
                <w:webHidden/>
              </w:rPr>
              <w:instrText xml:space="preserve"> PAGEREF _Toc8053041 \h </w:instrText>
            </w:r>
            <w:r w:rsidR="00861FD9">
              <w:rPr>
                <w:noProof/>
                <w:webHidden/>
              </w:rPr>
            </w:r>
            <w:r w:rsidR="00861FD9">
              <w:rPr>
                <w:noProof/>
                <w:webHidden/>
              </w:rPr>
              <w:fldChar w:fldCharType="separate"/>
            </w:r>
            <w:r w:rsidR="00861FD9">
              <w:rPr>
                <w:noProof/>
                <w:webHidden/>
              </w:rPr>
              <w:t>5</w:t>
            </w:r>
            <w:r w:rsidR="00861FD9">
              <w:rPr>
                <w:noProof/>
                <w:webHidden/>
              </w:rPr>
              <w:fldChar w:fldCharType="end"/>
            </w:r>
          </w:hyperlink>
        </w:p>
        <w:p w14:paraId="5FA4A7B3" w14:textId="77777777" w:rsidR="00861FD9" w:rsidRDefault="00861FD9">
          <w:pPr>
            <w:pStyle w:val="TOC2"/>
            <w:rPr>
              <w:rFonts w:asciiTheme="minorHAnsi" w:eastAsiaTheme="minorEastAsia" w:hAnsiTheme="minorHAnsi" w:cstheme="minorBidi"/>
              <w:b w:val="0"/>
              <w:noProof/>
              <w:sz w:val="22"/>
              <w:lang w:eastAsia="en-AU"/>
            </w:rPr>
          </w:pPr>
          <w:hyperlink w:anchor="_Toc8053042" w:history="1">
            <w:r w:rsidRPr="001D3624">
              <w:rPr>
                <w:rStyle w:val="Hyperlink"/>
                <w:noProof/>
              </w:rPr>
              <w:t>I. Introduction to product submission</w:t>
            </w:r>
            <w:r>
              <w:rPr>
                <w:noProof/>
                <w:webHidden/>
              </w:rPr>
              <w:tab/>
            </w:r>
            <w:r>
              <w:rPr>
                <w:noProof/>
                <w:webHidden/>
              </w:rPr>
              <w:fldChar w:fldCharType="begin"/>
            </w:r>
            <w:r>
              <w:rPr>
                <w:noProof/>
                <w:webHidden/>
              </w:rPr>
              <w:instrText xml:space="preserve"> PAGEREF _Toc8053042 \h </w:instrText>
            </w:r>
            <w:r>
              <w:rPr>
                <w:noProof/>
                <w:webHidden/>
              </w:rPr>
            </w:r>
            <w:r>
              <w:rPr>
                <w:noProof/>
                <w:webHidden/>
              </w:rPr>
              <w:fldChar w:fldCharType="separate"/>
            </w:r>
            <w:r>
              <w:rPr>
                <w:noProof/>
                <w:webHidden/>
              </w:rPr>
              <w:t>8</w:t>
            </w:r>
            <w:r>
              <w:rPr>
                <w:noProof/>
                <w:webHidden/>
              </w:rPr>
              <w:fldChar w:fldCharType="end"/>
            </w:r>
          </w:hyperlink>
        </w:p>
        <w:p w14:paraId="4AC25FA9" w14:textId="77777777" w:rsidR="00861FD9" w:rsidRDefault="00861FD9">
          <w:pPr>
            <w:pStyle w:val="TOC3"/>
            <w:rPr>
              <w:rFonts w:asciiTheme="minorHAnsi" w:eastAsiaTheme="minorEastAsia" w:hAnsiTheme="minorHAnsi" w:cstheme="minorBidi"/>
              <w:noProof/>
              <w:lang w:eastAsia="en-AU"/>
            </w:rPr>
          </w:pPr>
          <w:hyperlink w:anchor="_Toc8053043" w:history="1">
            <w:r w:rsidRPr="001D3624">
              <w:rPr>
                <w:rStyle w:val="Hyperlink"/>
                <w:noProof/>
                <w:lang w:eastAsia="en-AU"/>
              </w:rPr>
              <w:t>Submission details</w:t>
            </w:r>
            <w:r>
              <w:rPr>
                <w:noProof/>
                <w:webHidden/>
              </w:rPr>
              <w:tab/>
            </w:r>
            <w:r>
              <w:rPr>
                <w:noProof/>
                <w:webHidden/>
              </w:rPr>
              <w:fldChar w:fldCharType="begin"/>
            </w:r>
            <w:r>
              <w:rPr>
                <w:noProof/>
                <w:webHidden/>
              </w:rPr>
              <w:instrText xml:space="preserve"> PAGEREF _Toc8053043 \h </w:instrText>
            </w:r>
            <w:r>
              <w:rPr>
                <w:noProof/>
                <w:webHidden/>
              </w:rPr>
            </w:r>
            <w:r>
              <w:rPr>
                <w:noProof/>
                <w:webHidden/>
              </w:rPr>
              <w:fldChar w:fldCharType="separate"/>
            </w:r>
            <w:r>
              <w:rPr>
                <w:noProof/>
                <w:webHidden/>
              </w:rPr>
              <w:t>8</w:t>
            </w:r>
            <w:r>
              <w:rPr>
                <w:noProof/>
                <w:webHidden/>
              </w:rPr>
              <w:fldChar w:fldCharType="end"/>
            </w:r>
          </w:hyperlink>
        </w:p>
        <w:p w14:paraId="1DDCA3DF" w14:textId="77777777" w:rsidR="00861FD9" w:rsidRDefault="00861FD9">
          <w:pPr>
            <w:pStyle w:val="TOC3"/>
            <w:rPr>
              <w:rFonts w:asciiTheme="minorHAnsi" w:eastAsiaTheme="minorEastAsia" w:hAnsiTheme="minorHAnsi" w:cstheme="minorBidi"/>
              <w:noProof/>
              <w:lang w:eastAsia="en-AU"/>
            </w:rPr>
          </w:pPr>
          <w:hyperlink w:anchor="_Toc8053044" w:history="1">
            <w:r w:rsidRPr="001D3624">
              <w:rPr>
                <w:rStyle w:val="Hyperlink"/>
                <w:noProof/>
              </w:rPr>
              <w:t>Product background</w:t>
            </w:r>
            <w:r>
              <w:rPr>
                <w:noProof/>
                <w:webHidden/>
              </w:rPr>
              <w:tab/>
            </w:r>
            <w:r>
              <w:rPr>
                <w:noProof/>
                <w:webHidden/>
              </w:rPr>
              <w:fldChar w:fldCharType="begin"/>
            </w:r>
            <w:r>
              <w:rPr>
                <w:noProof/>
                <w:webHidden/>
              </w:rPr>
              <w:instrText xml:space="preserve"> PAGEREF _Toc8053044 \h </w:instrText>
            </w:r>
            <w:r>
              <w:rPr>
                <w:noProof/>
                <w:webHidden/>
              </w:rPr>
            </w:r>
            <w:r>
              <w:rPr>
                <w:noProof/>
                <w:webHidden/>
              </w:rPr>
              <w:fldChar w:fldCharType="separate"/>
            </w:r>
            <w:r>
              <w:rPr>
                <w:noProof/>
                <w:webHidden/>
              </w:rPr>
              <w:t>9</w:t>
            </w:r>
            <w:r>
              <w:rPr>
                <w:noProof/>
                <w:webHidden/>
              </w:rPr>
              <w:fldChar w:fldCharType="end"/>
            </w:r>
          </w:hyperlink>
        </w:p>
        <w:p w14:paraId="348774CF" w14:textId="77777777" w:rsidR="00861FD9" w:rsidRDefault="00861FD9">
          <w:pPr>
            <w:pStyle w:val="TOC3"/>
            <w:rPr>
              <w:rFonts w:asciiTheme="minorHAnsi" w:eastAsiaTheme="minorEastAsia" w:hAnsiTheme="minorHAnsi" w:cstheme="minorBidi"/>
              <w:noProof/>
              <w:lang w:eastAsia="en-AU"/>
            </w:rPr>
          </w:pPr>
          <w:hyperlink w:anchor="_Toc8053045" w:history="1">
            <w:r w:rsidRPr="001D3624">
              <w:rPr>
                <w:rStyle w:val="Hyperlink"/>
                <w:noProof/>
              </w:rPr>
              <w:t>Regulatory status</w:t>
            </w:r>
            <w:r>
              <w:rPr>
                <w:noProof/>
                <w:webHidden/>
              </w:rPr>
              <w:tab/>
            </w:r>
            <w:r>
              <w:rPr>
                <w:noProof/>
                <w:webHidden/>
              </w:rPr>
              <w:fldChar w:fldCharType="begin"/>
            </w:r>
            <w:r>
              <w:rPr>
                <w:noProof/>
                <w:webHidden/>
              </w:rPr>
              <w:instrText xml:space="preserve"> PAGEREF _Toc8053045 \h </w:instrText>
            </w:r>
            <w:r>
              <w:rPr>
                <w:noProof/>
                <w:webHidden/>
              </w:rPr>
            </w:r>
            <w:r>
              <w:rPr>
                <w:noProof/>
                <w:webHidden/>
              </w:rPr>
              <w:fldChar w:fldCharType="separate"/>
            </w:r>
            <w:r>
              <w:rPr>
                <w:noProof/>
                <w:webHidden/>
              </w:rPr>
              <w:t>9</w:t>
            </w:r>
            <w:r>
              <w:rPr>
                <w:noProof/>
                <w:webHidden/>
              </w:rPr>
              <w:fldChar w:fldCharType="end"/>
            </w:r>
          </w:hyperlink>
        </w:p>
        <w:p w14:paraId="4B98F806" w14:textId="77777777" w:rsidR="00861FD9" w:rsidRDefault="00861FD9">
          <w:pPr>
            <w:pStyle w:val="TOC3"/>
            <w:rPr>
              <w:rFonts w:asciiTheme="minorHAnsi" w:eastAsiaTheme="minorEastAsia" w:hAnsiTheme="minorHAnsi" w:cstheme="minorBidi"/>
              <w:noProof/>
              <w:lang w:eastAsia="en-AU"/>
            </w:rPr>
          </w:pPr>
          <w:hyperlink w:anchor="_Toc8053046" w:history="1">
            <w:r w:rsidRPr="001D3624">
              <w:rPr>
                <w:rStyle w:val="Hyperlink"/>
                <w:noProof/>
              </w:rPr>
              <w:t>Product Information</w:t>
            </w:r>
            <w:r>
              <w:rPr>
                <w:noProof/>
                <w:webHidden/>
              </w:rPr>
              <w:tab/>
            </w:r>
            <w:r>
              <w:rPr>
                <w:noProof/>
                <w:webHidden/>
              </w:rPr>
              <w:fldChar w:fldCharType="begin"/>
            </w:r>
            <w:r>
              <w:rPr>
                <w:noProof/>
                <w:webHidden/>
              </w:rPr>
              <w:instrText xml:space="preserve"> PAGEREF _Toc8053046 \h </w:instrText>
            </w:r>
            <w:r>
              <w:rPr>
                <w:noProof/>
                <w:webHidden/>
              </w:rPr>
            </w:r>
            <w:r>
              <w:rPr>
                <w:noProof/>
                <w:webHidden/>
              </w:rPr>
              <w:fldChar w:fldCharType="separate"/>
            </w:r>
            <w:r>
              <w:rPr>
                <w:noProof/>
                <w:webHidden/>
              </w:rPr>
              <w:t>10</w:t>
            </w:r>
            <w:r>
              <w:rPr>
                <w:noProof/>
                <w:webHidden/>
              </w:rPr>
              <w:fldChar w:fldCharType="end"/>
            </w:r>
          </w:hyperlink>
        </w:p>
        <w:p w14:paraId="466FDB51" w14:textId="77777777" w:rsidR="00861FD9" w:rsidRDefault="00861FD9">
          <w:pPr>
            <w:pStyle w:val="TOC2"/>
            <w:rPr>
              <w:rFonts w:asciiTheme="minorHAnsi" w:eastAsiaTheme="minorEastAsia" w:hAnsiTheme="minorHAnsi" w:cstheme="minorBidi"/>
              <w:b w:val="0"/>
              <w:noProof/>
              <w:sz w:val="22"/>
              <w:lang w:eastAsia="en-AU"/>
            </w:rPr>
          </w:pPr>
          <w:hyperlink w:anchor="_Toc8053047" w:history="1">
            <w:r w:rsidRPr="001D3624">
              <w:rPr>
                <w:rStyle w:val="Hyperlink"/>
                <w:noProof/>
              </w:rPr>
              <w:t>II. Registration time line</w:t>
            </w:r>
            <w:r>
              <w:rPr>
                <w:noProof/>
                <w:webHidden/>
              </w:rPr>
              <w:tab/>
            </w:r>
            <w:r>
              <w:rPr>
                <w:noProof/>
                <w:webHidden/>
              </w:rPr>
              <w:fldChar w:fldCharType="begin"/>
            </w:r>
            <w:r>
              <w:rPr>
                <w:noProof/>
                <w:webHidden/>
              </w:rPr>
              <w:instrText xml:space="preserve"> PAGEREF _Toc8053047 \h </w:instrText>
            </w:r>
            <w:r>
              <w:rPr>
                <w:noProof/>
                <w:webHidden/>
              </w:rPr>
            </w:r>
            <w:r>
              <w:rPr>
                <w:noProof/>
                <w:webHidden/>
              </w:rPr>
              <w:fldChar w:fldCharType="separate"/>
            </w:r>
            <w:r>
              <w:rPr>
                <w:noProof/>
                <w:webHidden/>
              </w:rPr>
              <w:t>10</w:t>
            </w:r>
            <w:r>
              <w:rPr>
                <w:noProof/>
                <w:webHidden/>
              </w:rPr>
              <w:fldChar w:fldCharType="end"/>
            </w:r>
          </w:hyperlink>
        </w:p>
        <w:p w14:paraId="4C3D83CC" w14:textId="77777777" w:rsidR="00861FD9" w:rsidRDefault="00861FD9">
          <w:pPr>
            <w:pStyle w:val="TOC2"/>
            <w:rPr>
              <w:rFonts w:asciiTheme="minorHAnsi" w:eastAsiaTheme="minorEastAsia" w:hAnsiTheme="minorHAnsi" w:cstheme="minorBidi"/>
              <w:b w:val="0"/>
              <w:noProof/>
              <w:sz w:val="22"/>
              <w:lang w:eastAsia="en-AU"/>
            </w:rPr>
          </w:pPr>
          <w:hyperlink w:anchor="_Toc8053048" w:history="1">
            <w:r w:rsidRPr="001D3624">
              <w:rPr>
                <w:rStyle w:val="Hyperlink"/>
                <w:noProof/>
              </w:rPr>
              <w:t>III. Quality findings</w:t>
            </w:r>
            <w:r>
              <w:rPr>
                <w:noProof/>
                <w:webHidden/>
              </w:rPr>
              <w:tab/>
            </w:r>
            <w:r>
              <w:rPr>
                <w:noProof/>
                <w:webHidden/>
              </w:rPr>
              <w:fldChar w:fldCharType="begin"/>
            </w:r>
            <w:r>
              <w:rPr>
                <w:noProof/>
                <w:webHidden/>
              </w:rPr>
              <w:instrText xml:space="preserve"> PAGEREF _Toc8053048 \h </w:instrText>
            </w:r>
            <w:r>
              <w:rPr>
                <w:noProof/>
                <w:webHidden/>
              </w:rPr>
            </w:r>
            <w:r>
              <w:rPr>
                <w:noProof/>
                <w:webHidden/>
              </w:rPr>
              <w:fldChar w:fldCharType="separate"/>
            </w:r>
            <w:r>
              <w:rPr>
                <w:noProof/>
                <w:webHidden/>
              </w:rPr>
              <w:t>11</w:t>
            </w:r>
            <w:r>
              <w:rPr>
                <w:noProof/>
                <w:webHidden/>
              </w:rPr>
              <w:fldChar w:fldCharType="end"/>
            </w:r>
          </w:hyperlink>
        </w:p>
        <w:p w14:paraId="6EF60CFC" w14:textId="77777777" w:rsidR="00861FD9" w:rsidRDefault="00861FD9">
          <w:pPr>
            <w:pStyle w:val="TOC3"/>
            <w:rPr>
              <w:rFonts w:asciiTheme="minorHAnsi" w:eastAsiaTheme="minorEastAsia" w:hAnsiTheme="minorHAnsi" w:cstheme="minorBidi"/>
              <w:noProof/>
              <w:lang w:eastAsia="en-AU"/>
            </w:rPr>
          </w:pPr>
          <w:hyperlink w:anchor="_Toc8053049" w:history="1">
            <w:r w:rsidRPr="001D3624">
              <w:rPr>
                <w:rStyle w:val="Hyperlink"/>
                <w:noProof/>
              </w:rPr>
              <w:t>Introduction</w:t>
            </w:r>
            <w:r>
              <w:rPr>
                <w:noProof/>
                <w:webHidden/>
              </w:rPr>
              <w:tab/>
            </w:r>
            <w:r>
              <w:rPr>
                <w:noProof/>
                <w:webHidden/>
              </w:rPr>
              <w:fldChar w:fldCharType="begin"/>
            </w:r>
            <w:r>
              <w:rPr>
                <w:noProof/>
                <w:webHidden/>
              </w:rPr>
              <w:instrText xml:space="preserve"> PAGEREF _Toc8053049 \h </w:instrText>
            </w:r>
            <w:r>
              <w:rPr>
                <w:noProof/>
                <w:webHidden/>
              </w:rPr>
            </w:r>
            <w:r>
              <w:rPr>
                <w:noProof/>
                <w:webHidden/>
              </w:rPr>
              <w:fldChar w:fldCharType="separate"/>
            </w:r>
            <w:r>
              <w:rPr>
                <w:noProof/>
                <w:webHidden/>
              </w:rPr>
              <w:t>11</w:t>
            </w:r>
            <w:r>
              <w:rPr>
                <w:noProof/>
                <w:webHidden/>
              </w:rPr>
              <w:fldChar w:fldCharType="end"/>
            </w:r>
          </w:hyperlink>
        </w:p>
        <w:p w14:paraId="705D249E" w14:textId="77777777" w:rsidR="00861FD9" w:rsidRDefault="00861FD9">
          <w:pPr>
            <w:pStyle w:val="TOC3"/>
            <w:rPr>
              <w:rFonts w:asciiTheme="minorHAnsi" w:eastAsiaTheme="minorEastAsia" w:hAnsiTheme="minorHAnsi" w:cstheme="minorBidi"/>
              <w:noProof/>
              <w:lang w:eastAsia="en-AU"/>
            </w:rPr>
          </w:pPr>
          <w:hyperlink w:anchor="_Toc8053050" w:history="1">
            <w:r w:rsidRPr="001D3624">
              <w:rPr>
                <w:rStyle w:val="Hyperlink"/>
                <w:noProof/>
              </w:rPr>
              <w:t>Drug substance (active ingredient)</w:t>
            </w:r>
            <w:r>
              <w:rPr>
                <w:noProof/>
                <w:webHidden/>
              </w:rPr>
              <w:tab/>
            </w:r>
            <w:r>
              <w:rPr>
                <w:noProof/>
                <w:webHidden/>
              </w:rPr>
              <w:fldChar w:fldCharType="begin"/>
            </w:r>
            <w:r>
              <w:rPr>
                <w:noProof/>
                <w:webHidden/>
              </w:rPr>
              <w:instrText xml:space="preserve"> PAGEREF _Toc8053050 \h </w:instrText>
            </w:r>
            <w:r>
              <w:rPr>
                <w:noProof/>
                <w:webHidden/>
              </w:rPr>
            </w:r>
            <w:r>
              <w:rPr>
                <w:noProof/>
                <w:webHidden/>
              </w:rPr>
              <w:fldChar w:fldCharType="separate"/>
            </w:r>
            <w:r>
              <w:rPr>
                <w:noProof/>
                <w:webHidden/>
              </w:rPr>
              <w:t>11</w:t>
            </w:r>
            <w:r>
              <w:rPr>
                <w:noProof/>
                <w:webHidden/>
              </w:rPr>
              <w:fldChar w:fldCharType="end"/>
            </w:r>
          </w:hyperlink>
        </w:p>
        <w:p w14:paraId="4052B204" w14:textId="77777777" w:rsidR="00861FD9" w:rsidRDefault="00861FD9">
          <w:pPr>
            <w:pStyle w:val="TOC3"/>
            <w:rPr>
              <w:rFonts w:asciiTheme="minorHAnsi" w:eastAsiaTheme="minorEastAsia" w:hAnsiTheme="minorHAnsi" w:cstheme="minorBidi"/>
              <w:noProof/>
              <w:lang w:eastAsia="en-AU"/>
            </w:rPr>
          </w:pPr>
          <w:hyperlink w:anchor="_Toc8053051" w:history="1">
            <w:r w:rsidRPr="001D3624">
              <w:rPr>
                <w:rStyle w:val="Hyperlink"/>
                <w:noProof/>
              </w:rPr>
              <w:t>Drug product</w:t>
            </w:r>
            <w:r>
              <w:rPr>
                <w:noProof/>
                <w:webHidden/>
              </w:rPr>
              <w:tab/>
            </w:r>
            <w:r>
              <w:rPr>
                <w:noProof/>
                <w:webHidden/>
              </w:rPr>
              <w:fldChar w:fldCharType="begin"/>
            </w:r>
            <w:r>
              <w:rPr>
                <w:noProof/>
                <w:webHidden/>
              </w:rPr>
              <w:instrText xml:space="preserve"> PAGEREF _Toc8053051 \h </w:instrText>
            </w:r>
            <w:r>
              <w:rPr>
                <w:noProof/>
                <w:webHidden/>
              </w:rPr>
            </w:r>
            <w:r>
              <w:rPr>
                <w:noProof/>
                <w:webHidden/>
              </w:rPr>
              <w:fldChar w:fldCharType="separate"/>
            </w:r>
            <w:r>
              <w:rPr>
                <w:noProof/>
                <w:webHidden/>
              </w:rPr>
              <w:t>13</w:t>
            </w:r>
            <w:r>
              <w:rPr>
                <w:noProof/>
                <w:webHidden/>
              </w:rPr>
              <w:fldChar w:fldCharType="end"/>
            </w:r>
          </w:hyperlink>
        </w:p>
        <w:p w14:paraId="3F841D98" w14:textId="77777777" w:rsidR="00861FD9" w:rsidRDefault="00861FD9">
          <w:pPr>
            <w:pStyle w:val="TOC3"/>
            <w:rPr>
              <w:rFonts w:asciiTheme="minorHAnsi" w:eastAsiaTheme="minorEastAsia" w:hAnsiTheme="minorHAnsi" w:cstheme="minorBidi"/>
              <w:noProof/>
              <w:lang w:eastAsia="en-AU"/>
            </w:rPr>
          </w:pPr>
          <w:hyperlink w:anchor="_Toc8053052" w:history="1">
            <w:r w:rsidRPr="001D3624">
              <w:rPr>
                <w:rStyle w:val="Hyperlink"/>
                <w:noProof/>
              </w:rPr>
              <w:t>Biopharmaceutics</w:t>
            </w:r>
            <w:r>
              <w:rPr>
                <w:noProof/>
                <w:webHidden/>
              </w:rPr>
              <w:tab/>
            </w:r>
            <w:r>
              <w:rPr>
                <w:noProof/>
                <w:webHidden/>
              </w:rPr>
              <w:fldChar w:fldCharType="begin"/>
            </w:r>
            <w:r>
              <w:rPr>
                <w:noProof/>
                <w:webHidden/>
              </w:rPr>
              <w:instrText xml:space="preserve"> PAGEREF _Toc8053052 \h </w:instrText>
            </w:r>
            <w:r>
              <w:rPr>
                <w:noProof/>
                <w:webHidden/>
              </w:rPr>
            </w:r>
            <w:r>
              <w:rPr>
                <w:noProof/>
                <w:webHidden/>
              </w:rPr>
              <w:fldChar w:fldCharType="separate"/>
            </w:r>
            <w:r>
              <w:rPr>
                <w:noProof/>
                <w:webHidden/>
              </w:rPr>
              <w:t>13</w:t>
            </w:r>
            <w:r>
              <w:rPr>
                <w:noProof/>
                <w:webHidden/>
              </w:rPr>
              <w:fldChar w:fldCharType="end"/>
            </w:r>
          </w:hyperlink>
        </w:p>
        <w:p w14:paraId="4A701766" w14:textId="77777777" w:rsidR="00861FD9" w:rsidRDefault="00861FD9">
          <w:pPr>
            <w:pStyle w:val="TOC3"/>
            <w:rPr>
              <w:rFonts w:asciiTheme="minorHAnsi" w:eastAsiaTheme="minorEastAsia" w:hAnsiTheme="minorHAnsi" w:cstheme="minorBidi"/>
              <w:noProof/>
              <w:lang w:eastAsia="en-AU"/>
            </w:rPr>
          </w:pPr>
          <w:hyperlink w:anchor="_Toc8053053" w:history="1">
            <w:r w:rsidRPr="001D3624">
              <w:rPr>
                <w:rStyle w:val="Hyperlink"/>
                <w:noProof/>
              </w:rPr>
              <w:t>Quality summary and conclusions</w:t>
            </w:r>
            <w:r>
              <w:rPr>
                <w:noProof/>
                <w:webHidden/>
              </w:rPr>
              <w:tab/>
            </w:r>
            <w:r>
              <w:rPr>
                <w:noProof/>
                <w:webHidden/>
              </w:rPr>
              <w:fldChar w:fldCharType="begin"/>
            </w:r>
            <w:r>
              <w:rPr>
                <w:noProof/>
                <w:webHidden/>
              </w:rPr>
              <w:instrText xml:space="preserve"> PAGEREF _Toc8053053 \h </w:instrText>
            </w:r>
            <w:r>
              <w:rPr>
                <w:noProof/>
                <w:webHidden/>
              </w:rPr>
            </w:r>
            <w:r>
              <w:rPr>
                <w:noProof/>
                <w:webHidden/>
              </w:rPr>
              <w:fldChar w:fldCharType="separate"/>
            </w:r>
            <w:r>
              <w:rPr>
                <w:noProof/>
                <w:webHidden/>
              </w:rPr>
              <w:t>13</w:t>
            </w:r>
            <w:r>
              <w:rPr>
                <w:noProof/>
                <w:webHidden/>
              </w:rPr>
              <w:fldChar w:fldCharType="end"/>
            </w:r>
          </w:hyperlink>
        </w:p>
        <w:p w14:paraId="493E9353" w14:textId="77777777" w:rsidR="00861FD9" w:rsidRDefault="00861FD9">
          <w:pPr>
            <w:pStyle w:val="TOC2"/>
            <w:rPr>
              <w:rFonts w:asciiTheme="minorHAnsi" w:eastAsiaTheme="minorEastAsia" w:hAnsiTheme="minorHAnsi" w:cstheme="minorBidi"/>
              <w:b w:val="0"/>
              <w:noProof/>
              <w:sz w:val="22"/>
              <w:lang w:eastAsia="en-AU"/>
            </w:rPr>
          </w:pPr>
          <w:hyperlink w:anchor="_Toc8053054" w:history="1">
            <w:r w:rsidRPr="001D3624">
              <w:rPr>
                <w:rStyle w:val="Hyperlink"/>
                <w:noProof/>
              </w:rPr>
              <w:t>IV. Nonclinical findings</w:t>
            </w:r>
            <w:r>
              <w:rPr>
                <w:noProof/>
                <w:webHidden/>
              </w:rPr>
              <w:tab/>
            </w:r>
            <w:r>
              <w:rPr>
                <w:noProof/>
                <w:webHidden/>
              </w:rPr>
              <w:fldChar w:fldCharType="begin"/>
            </w:r>
            <w:r>
              <w:rPr>
                <w:noProof/>
                <w:webHidden/>
              </w:rPr>
              <w:instrText xml:space="preserve"> PAGEREF _Toc8053054 \h </w:instrText>
            </w:r>
            <w:r>
              <w:rPr>
                <w:noProof/>
                <w:webHidden/>
              </w:rPr>
            </w:r>
            <w:r>
              <w:rPr>
                <w:noProof/>
                <w:webHidden/>
              </w:rPr>
              <w:fldChar w:fldCharType="separate"/>
            </w:r>
            <w:r>
              <w:rPr>
                <w:noProof/>
                <w:webHidden/>
              </w:rPr>
              <w:t>14</w:t>
            </w:r>
            <w:r>
              <w:rPr>
                <w:noProof/>
                <w:webHidden/>
              </w:rPr>
              <w:fldChar w:fldCharType="end"/>
            </w:r>
          </w:hyperlink>
        </w:p>
        <w:p w14:paraId="00A6A6E1" w14:textId="77777777" w:rsidR="00861FD9" w:rsidRDefault="00861FD9">
          <w:pPr>
            <w:pStyle w:val="TOC3"/>
            <w:rPr>
              <w:rFonts w:asciiTheme="minorHAnsi" w:eastAsiaTheme="minorEastAsia" w:hAnsiTheme="minorHAnsi" w:cstheme="minorBidi"/>
              <w:noProof/>
              <w:lang w:eastAsia="en-AU"/>
            </w:rPr>
          </w:pPr>
          <w:hyperlink w:anchor="_Toc8053055" w:history="1">
            <w:r w:rsidRPr="001D3624">
              <w:rPr>
                <w:rStyle w:val="Hyperlink"/>
                <w:noProof/>
              </w:rPr>
              <w:t>Introduction</w:t>
            </w:r>
            <w:r>
              <w:rPr>
                <w:noProof/>
                <w:webHidden/>
              </w:rPr>
              <w:tab/>
            </w:r>
            <w:r>
              <w:rPr>
                <w:noProof/>
                <w:webHidden/>
              </w:rPr>
              <w:fldChar w:fldCharType="begin"/>
            </w:r>
            <w:r>
              <w:rPr>
                <w:noProof/>
                <w:webHidden/>
              </w:rPr>
              <w:instrText xml:space="preserve"> PAGEREF _Toc8053055 \h </w:instrText>
            </w:r>
            <w:r>
              <w:rPr>
                <w:noProof/>
                <w:webHidden/>
              </w:rPr>
            </w:r>
            <w:r>
              <w:rPr>
                <w:noProof/>
                <w:webHidden/>
              </w:rPr>
              <w:fldChar w:fldCharType="separate"/>
            </w:r>
            <w:r>
              <w:rPr>
                <w:noProof/>
                <w:webHidden/>
              </w:rPr>
              <w:t>14</w:t>
            </w:r>
            <w:r>
              <w:rPr>
                <w:noProof/>
                <w:webHidden/>
              </w:rPr>
              <w:fldChar w:fldCharType="end"/>
            </w:r>
          </w:hyperlink>
        </w:p>
        <w:p w14:paraId="145CC368" w14:textId="77777777" w:rsidR="00861FD9" w:rsidRDefault="00861FD9">
          <w:pPr>
            <w:pStyle w:val="TOC3"/>
            <w:rPr>
              <w:rFonts w:asciiTheme="minorHAnsi" w:eastAsiaTheme="minorEastAsia" w:hAnsiTheme="minorHAnsi" w:cstheme="minorBidi"/>
              <w:noProof/>
              <w:lang w:eastAsia="en-AU"/>
            </w:rPr>
          </w:pPr>
          <w:hyperlink w:anchor="_Toc8053056" w:history="1">
            <w:r w:rsidRPr="001D3624">
              <w:rPr>
                <w:rStyle w:val="Hyperlink"/>
                <w:noProof/>
              </w:rPr>
              <w:t>Pharmacology</w:t>
            </w:r>
            <w:r>
              <w:rPr>
                <w:noProof/>
                <w:webHidden/>
              </w:rPr>
              <w:tab/>
            </w:r>
            <w:r>
              <w:rPr>
                <w:noProof/>
                <w:webHidden/>
              </w:rPr>
              <w:fldChar w:fldCharType="begin"/>
            </w:r>
            <w:r>
              <w:rPr>
                <w:noProof/>
                <w:webHidden/>
              </w:rPr>
              <w:instrText xml:space="preserve"> PAGEREF _Toc8053056 \h </w:instrText>
            </w:r>
            <w:r>
              <w:rPr>
                <w:noProof/>
                <w:webHidden/>
              </w:rPr>
            </w:r>
            <w:r>
              <w:rPr>
                <w:noProof/>
                <w:webHidden/>
              </w:rPr>
              <w:fldChar w:fldCharType="separate"/>
            </w:r>
            <w:r>
              <w:rPr>
                <w:noProof/>
                <w:webHidden/>
              </w:rPr>
              <w:t>14</w:t>
            </w:r>
            <w:r>
              <w:rPr>
                <w:noProof/>
                <w:webHidden/>
              </w:rPr>
              <w:fldChar w:fldCharType="end"/>
            </w:r>
          </w:hyperlink>
        </w:p>
        <w:p w14:paraId="45C13311" w14:textId="77777777" w:rsidR="00861FD9" w:rsidRDefault="00861FD9">
          <w:pPr>
            <w:pStyle w:val="TOC3"/>
            <w:rPr>
              <w:rFonts w:asciiTheme="minorHAnsi" w:eastAsiaTheme="minorEastAsia" w:hAnsiTheme="minorHAnsi" w:cstheme="minorBidi"/>
              <w:noProof/>
              <w:lang w:eastAsia="en-AU"/>
            </w:rPr>
          </w:pPr>
          <w:hyperlink w:anchor="_Toc8053057" w:history="1">
            <w:r w:rsidRPr="001D3624">
              <w:rPr>
                <w:rStyle w:val="Hyperlink"/>
                <w:noProof/>
              </w:rPr>
              <w:t>Pharmacokinetics</w:t>
            </w:r>
            <w:r>
              <w:rPr>
                <w:noProof/>
                <w:webHidden/>
              </w:rPr>
              <w:tab/>
            </w:r>
            <w:r>
              <w:rPr>
                <w:noProof/>
                <w:webHidden/>
              </w:rPr>
              <w:fldChar w:fldCharType="begin"/>
            </w:r>
            <w:r>
              <w:rPr>
                <w:noProof/>
                <w:webHidden/>
              </w:rPr>
              <w:instrText xml:space="preserve"> PAGEREF _Toc8053057 \h </w:instrText>
            </w:r>
            <w:r>
              <w:rPr>
                <w:noProof/>
                <w:webHidden/>
              </w:rPr>
            </w:r>
            <w:r>
              <w:rPr>
                <w:noProof/>
                <w:webHidden/>
              </w:rPr>
              <w:fldChar w:fldCharType="separate"/>
            </w:r>
            <w:r>
              <w:rPr>
                <w:noProof/>
                <w:webHidden/>
              </w:rPr>
              <w:t>16</w:t>
            </w:r>
            <w:r>
              <w:rPr>
                <w:noProof/>
                <w:webHidden/>
              </w:rPr>
              <w:fldChar w:fldCharType="end"/>
            </w:r>
          </w:hyperlink>
        </w:p>
        <w:p w14:paraId="1FD0E0B1" w14:textId="77777777" w:rsidR="00861FD9" w:rsidRDefault="00861FD9">
          <w:pPr>
            <w:pStyle w:val="TOC3"/>
            <w:rPr>
              <w:rFonts w:asciiTheme="minorHAnsi" w:eastAsiaTheme="minorEastAsia" w:hAnsiTheme="minorHAnsi" w:cstheme="minorBidi"/>
              <w:noProof/>
              <w:lang w:eastAsia="en-AU"/>
            </w:rPr>
          </w:pPr>
          <w:hyperlink w:anchor="_Toc8053058" w:history="1">
            <w:r w:rsidRPr="001D3624">
              <w:rPr>
                <w:rStyle w:val="Hyperlink"/>
                <w:noProof/>
              </w:rPr>
              <w:t>Toxicology</w:t>
            </w:r>
            <w:r>
              <w:rPr>
                <w:noProof/>
                <w:webHidden/>
              </w:rPr>
              <w:tab/>
            </w:r>
            <w:r>
              <w:rPr>
                <w:noProof/>
                <w:webHidden/>
              </w:rPr>
              <w:fldChar w:fldCharType="begin"/>
            </w:r>
            <w:r>
              <w:rPr>
                <w:noProof/>
                <w:webHidden/>
              </w:rPr>
              <w:instrText xml:space="preserve"> PAGEREF _Toc8053058 \h </w:instrText>
            </w:r>
            <w:r>
              <w:rPr>
                <w:noProof/>
                <w:webHidden/>
              </w:rPr>
            </w:r>
            <w:r>
              <w:rPr>
                <w:noProof/>
                <w:webHidden/>
              </w:rPr>
              <w:fldChar w:fldCharType="separate"/>
            </w:r>
            <w:r>
              <w:rPr>
                <w:noProof/>
                <w:webHidden/>
              </w:rPr>
              <w:t>17</w:t>
            </w:r>
            <w:r>
              <w:rPr>
                <w:noProof/>
                <w:webHidden/>
              </w:rPr>
              <w:fldChar w:fldCharType="end"/>
            </w:r>
          </w:hyperlink>
        </w:p>
        <w:p w14:paraId="2B48A970" w14:textId="77777777" w:rsidR="00861FD9" w:rsidRDefault="00861FD9">
          <w:pPr>
            <w:pStyle w:val="TOC3"/>
            <w:rPr>
              <w:rFonts w:asciiTheme="minorHAnsi" w:eastAsiaTheme="minorEastAsia" w:hAnsiTheme="minorHAnsi" w:cstheme="minorBidi"/>
              <w:noProof/>
              <w:lang w:eastAsia="en-AU"/>
            </w:rPr>
          </w:pPr>
          <w:hyperlink w:anchor="_Toc8053059" w:history="1">
            <w:r w:rsidRPr="001D3624">
              <w:rPr>
                <w:rStyle w:val="Hyperlink"/>
                <w:noProof/>
              </w:rPr>
              <w:t>Nonclinical summary and conclusions</w:t>
            </w:r>
            <w:r>
              <w:rPr>
                <w:noProof/>
                <w:webHidden/>
              </w:rPr>
              <w:tab/>
            </w:r>
            <w:r>
              <w:rPr>
                <w:noProof/>
                <w:webHidden/>
              </w:rPr>
              <w:fldChar w:fldCharType="begin"/>
            </w:r>
            <w:r>
              <w:rPr>
                <w:noProof/>
                <w:webHidden/>
              </w:rPr>
              <w:instrText xml:space="preserve"> PAGEREF _Toc8053059 \h </w:instrText>
            </w:r>
            <w:r>
              <w:rPr>
                <w:noProof/>
                <w:webHidden/>
              </w:rPr>
            </w:r>
            <w:r>
              <w:rPr>
                <w:noProof/>
                <w:webHidden/>
              </w:rPr>
              <w:fldChar w:fldCharType="separate"/>
            </w:r>
            <w:r>
              <w:rPr>
                <w:noProof/>
                <w:webHidden/>
              </w:rPr>
              <w:t>20</w:t>
            </w:r>
            <w:r>
              <w:rPr>
                <w:noProof/>
                <w:webHidden/>
              </w:rPr>
              <w:fldChar w:fldCharType="end"/>
            </w:r>
          </w:hyperlink>
        </w:p>
        <w:p w14:paraId="1D98FDF0" w14:textId="77777777" w:rsidR="00861FD9" w:rsidRDefault="00861FD9">
          <w:pPr>
            <w:pStyle w:val="TOC2"/>
            <w:rPr>
              <w:rFonts w:asciiTheme="minorHAnsi" w:eastAsiaTheme="minorEastAsia" w:hAnsiTheme="minorHAnsi" w:cstheme="minorBidi"/>
              <w:b w:val="0"/>
              <w:noProof/>
              <w:sz w:val="22"/>
              <w:lang w:eastAsia="en-AU"/>
            </w:rPr>
          </w:pPr>
          <w:hyperlink w:anchor="_Toc8053060" w:history="1">
            <w:r w:rsidRPr="001D3624">
              <w:rPr>
                <w:rStyle w:val="Hyperlink"/>
                <w:noProof/>
              </w:rPr>
              <w:t>V. Clinical findings</w:t>
            </w:r>
            <w:r>
              <w:rPr>
                <w:noProof/>
                <w:webHidden/>
              </w:rPr>
              <w:tab/>
            </w:r>
            <w:r>
              <w:rPr>
                <w:noProof/>
                <w:webHidden/>
              </w:rPr>
              <w:fldChar w:fldCharType="begin"/>
            </w:r>
            <w:r>
              <w:rPr>
                <w:noProof/>
                <w:webHidden/>
              </w:rPr>
              <w:instrText xml:space="preserve"> PAGEREF _Toc8053060 \h </w:instrText>
            </w:r>
            <w:r>
              <w:rPr>
                <w:noProof/>
                <w:webHidden/>
              </w:rPr>
            </w:r>
            <w:r>
              <w:rPr>
                <w:noProof/>
                <w:webHidden/>
              </w:rPr>
              <w:fldChar w:fldCharType="separate"/>
            </w:r>
            <w:r>
              <w:rPr>
                <w:noProof/>
                <w:webHidden/>
              </w:rPr>
              <w:t>20</w:t>
            </w:r>
            <w:r>
              <w:rPr>
                <w:noProof/>
                <w:webHidden/>
              </w:rPr>
              <w:fldChar w:fldCharType="end"/>
            </w:r>
          </w:hyperlink>
        </w:p>
        <w:p w14:paraId="1152A846" w14:textId="77777777" w:rsidR="00861FD9" w:rsidRDefault="00861FD9">
          <w:pPr>
            <w:pStyle w:val="TOC3"/>
            <w:rPr>
              <w:rFonts w:asciiTheme="minorHAnsi" w:eastAsiaTheme="minorEastAsia" w:hAnsiTheme="minorHAnsi" w:cstheme="minorBidi"/>
              <w:noProof/>
              <w:lang w:eastAsia="en-AU"/>
            </w:rPr>
          </w:pPr>
          <w:hyperlink w:anchor="_Toc8053061" w:history="1">
            <w:r w:rsidRPr="001D3624">
              <w:rPr>
                <w:rStyle w:val="Hyperlink"/>
                <w:noProof/>
              </w:rPr>
              <w:t>Introduction</w:t>
            </w:r>
            <w:r>
              <w:rPr>
                <w:noProof/>
                <w:webHidden/>
              </w:rPr>
              <w:tab/>
            </w:r>
            <w:r>
              <w:rPr>
                <w:noProof/>
                <w:webHidden/>
              </w:rPr>
              <w:fldChar w:fldCharType="begin"/>
            </w:r>
            <w:r>
              <w:rPr>
                <w:noProof/>
                <w:webHidden/>
              </w:rPr>
              <w:instrText xml:space="preserve"> PAGEREF _Toc8053061 \h </w:instrText>
            </w:r>
            <w:r>
              <w:rPr>
                <w:noProof/>
                <w:webHidden/>
              </w:rPr>
            </w:r>
            <w:r>
              <w:rPr>
                <w:noProof/>
                <w:webHidden/>
              </w:rPr>
              <w:fldChar w:fldCharType="separate"/>
            </w:r>
            <w:r>
              <w:rPr>
                <w:noProof/>
                <w:webHidden/>
              </w:rPr>
              <w:t>20</w:t>
            </w:r>
            <w:r>
              <w:rPr>
                <w:noProof/>
                <w:webHidden/>
              </w:rPr>
              <w:fldChar w:fldCharType="end"/>
            </w:r>
          </w:hyperlink>
        </w:p>
        <w:p w14:paraId="2B0E2EDE" w14:textId="77777777" w:rsidR="00861FD9" w:rsidRDefault="00861FD9">
          <w:pPr>
            <w:pStyle w:val="TOC3"/>
            <w:rPr>
              <w:rFonts w:asciiTheme="minorHAnsi" w:eastAsiaTheme="minorEastAsia" w:hAnsiTheme="minorHAnsi" w:cstheme="minorBidi"/>
              <w:noProof/>
              <w:lang w:eastAsia="en-AU"/>
            </w:rPr>
          </w:pPr>
          <w:hyperlink w:anchor="_Toc8053062" w:history="1">
            <w:r w:rsidRPr="001D3624">
              <w:rPr>
                <w:rStyle w:val="Hyperlink"/>
                <w:noProof/>
              </w:rPr>
              <w:t>Pharmacokinetics</w:t>
            </w:r>
            <w:r>
              <w:rPr>
                <w:noProof/>
                <w:webHidden/>
              </w:rPr>
              <w:tab/>
            </w:r>
            <w:r>
              <w:rPr>
                <w:noProof/>
                <w:webHidden/>
              </w:rPr>
              <w:fldChar w:fldCharType="begin"/>
            </w:r>
            <w:r>
              <w:rPr>
                <w:noProof/>
                <w:webHidden/>
              </w:rPr>
              <w:instrText xml:space="preserve"> PAGEREF _Toc8053062 \h </w:instrText>
            </w:r>
            <w:r>
              <w:rPr>
                <w:noProof/>
                <w:webHidden/>
              </w:rPr>
            </w:r>
            <w:r>
              <w:rPr>
                <w:noProof/>
                <w:webHidden/>
              </w:rPr>
              <w:fldChar w:fldCharType="separate"/>
            </w:r>
            <w:r>
              <w:rPr>
                <w:noProof/>
                <w:webHidden/>
              </w:rPr>
              <w:t>24</w:t>
            </w:r>
            <w:r>
              <w:rPr>
                <w:noProof/>
                <w:webHidden/>
              </w:rPr>
              <w:fldChar w:fldCharType="end"/>
            </w:r>
          </w:hyperlink>
        </w:p>
        <w:p w14:paraId="5A28BF48" w14:textId="77777777" w:rsidR="00861FD9" w:rsidRDefault="00861FD9">
          <w:pPr>
            <w:pStyle w:val="TOC3"/>
            <w:rPr>
              <w:rFonts w:asciiTheme="minorHAnsi" w:eastAsiaTheme="minorEastAsia" w:hAnsiTheme="minorHAnsi" w:cstheme="minorBidi"/>
              <w:noProof/>
              <w:lang w:eastAsia="en-AU"/>
            </w:rPr>
          </w:pPr>
          <w:hyperlink w:anchor="_Toc8053063" w:history="1">
            <w:r w:rsidRPr="001D3624">
              <w:rPr>
                <w:rStyle w:val="Hyperlink"/>
                <w:noProof/>
              </w:rPr>
              <w:t>Pharmacodynamics</w:t>
            </w:r>
            <w:r>
              <w:rPr>
                <w:noProof/>
                <w:webHidden/>
              </w:rPr>
              <w:tab/>
            </w:r>
            <w:r>
              <w:rPr>
                <w:noProof/>
                <w:webHidden/>
              </w:rPr>
              <w:fldChar w:fldCharType="begin"/>
            </w:r>
            <w:r>
              <w:rPr>
                <w:noProof/>
                <w:webHidden/>
              </w:rPr>
              <w:instrText xml:space="preserve"> PAGEREF _Toc8053063 \h </w:instrText>
            </w:r>
            <w:r>
              <w:rPr>
                <w:noProof/>
                <w:webHidden/>
              </w:rPr>
            </w:r>
            <w:r>
              <w:rPr>
                <w:noProof/>
                <w:webHidden/>
              </w:rPr>
              <w:fldChar w:fldCharType="separate"/>
            </w:r>
            <w:r>
              <w:rPr>
                <w:noProof/>
                <w:webHidden/>
              </w:rPr>
              <w:t>25</w:t>
            </w:r>
            <w:r>
              <w:rPr>
                <w:noProof/>
                <w:webHidden/>
              </w:rPr>
              <w:fldChar w:fldCharType="end"/>
            </w:r>
          </w:hyperlink>
        </w:p>
        <w:p w14:paraId="683F15AE" w14:textId="77777777" w:rsidR="00861FD9" w:rsidRDefault="00861FD9">
          <w:pPr>
            <w:pStyle w:val="TOC3"/>
            <w:rPr>
              <w:rFonts w:asciiTheme="minorHAnsi" w:eastAsiaTheme="minorEastAsia" w:hAnsiTheme="minorHAnsi" w:cstheme="minorBidi"/>
              <w:noProof/>
              <w:lang w:eastAsia="en-AU"/>
            </w:rPr>
          </w:pPr>
          <w:hyperlink w:anchor="_Toc8053064" w:history="1">
            <w:r w:rsidRPr="001D3624">
              <w:rPr>
                <w:rStyle w:val="Hyperlink"/>
                <w:noProof/>
              </w:rPr>
              <w:t>Dosage selection for the pivotal studies</w:t>
            </w:r>
            <w:r>
              <w:rPr>
                <w:noProof/>
                <w:webHidden/>
              </w:rPr>
              <w:tab/>
            </w:r>
            <w:r>
              <w:rPr>
                <w:noProof/>
                <w:webHidden/>
              </w:rPr>
              <w:fldChar w:fldCharType="begin"/>
            </w:r>
            <w:r>
              <w:rPr>
                <w:noProof/>
                <w:webHidden/>
              </w:rPr>
              <w:instrText xml:space="preserve"> PAGEREF _Toc8053064 \h </w:instrText>
            </w:r>
            <w:r>
              <w:rPr>
                <w:noProof/>
                <w:webHidden/>
              </w:rPr>
            </w:r>
            <w:r>
              <w:rPr>
                <w:noProof/>
                <w:webHidden/>
              </w:rPr>
              <w:fldChar w:fldCharType="separate"/>
            </w:r>
            <w:r>
              <w:rPr>
                <w:noProof/>
                <w:webHidden/>
              </w:rPr>
              <w:t>25</w:t>
            </w:r>
            <w:r>
              <w:rPr>
                <w:noProof/>
                <w:webHidden/>
              </w:rPr>
              <w:fldChar w:fldCharType="end"/>
            </w:r>
          </w:hyperlink>
        </w:p>
        <w:p w14:paraId="572F9CF6" w14:textId="77777777" w:rsidR="00861FD9" w:rsidRDefault="00861FD9">
          <w:pPr>
            <w:pStyle w:val="TOC3"/>
            <w:rPr>
              <w:rFonts w:asciiTheme="minorHAnsi" w:eastAsiaTheme="minorEastAsia" w:hAnsiTheme="minorHAnsi" w:cstheme="minorBidi"/>
              <w:noProof/>
              <w:lang w:eastAsia="en-AU"/>
            </w:rPr>
          </w:pPr>
          <w:hyperlink w:anchor="_Toc8053065" w:history="1">
            <w:r w:rsidRPr="001D3624">
              <w:rPr>
                <w:rStyle w:val="Hyperlink"/>
                <w:noProof/>
              </w:rPr>
              <w:t>Efficacy</w:t>
            </w:r>
            <w:r>
              <w:rPr>
                <w:noProof/>
                <w:webHidden/>
              </w:rPr>
              <w:tab/>
            </w:r>
            <w:r>
              <w:rPr>
                <w:noProof/>
                <w:webHidden/>
              </w:rPr>
              <w:fldChar w:fldCharType="begin"/>
            </w:r>
            <w:r>
              <w:rPr>
                <w:noProof/>
                <w:webHidden/>
              </w:rPr>
              <w:instrText xml:space="preserve"> PAGEREF _Toc8053065 \h </w:instrText>
            </w:r>
            <w:r>
              <w:rPr>
                <w:noProof/>
                <w:webHidden/>
              </w:rPr>
            </w:r>
            <w:r>
              <w:rPr>
                <w:noProof/>
                <w:webHidden/>
              </w:rPr>
              <w:fldChar w:fldCharType="separate"/>
            </w:r>
            <w:r>
              <w:rPr>
                <w:noProof/>
                <w:webHidden/>
              </w:rPr>
              <w:t>26</w:t>
            </w:r>
            <w:r>
              <w:rPr>
                <w:noProof/>
                <w:webHidden/>
              </w:rPr>
              <w:fldChar w:fldCharType="end"/>
            </w:r>
          </w:hyperlink>
        </w:p>
        <w:p w14:paraId="58A560A8" w14:textId="77777777" w:rsidR="00861FD9" w:rsidRDefault="00861FD9">
          <w:pPr>
            <w:pStyle w:val="TOC3"/>
            <w:rPr>
              <w:rFonts w:asciiTheme="minorHAnsi" w:eastAsiaTheme="minorEastAsia" w:hAnsiTheme="minorHAnsi" w:cstheme="minorBidi"/>
              <w:noProof/>
              <w:lang w:eastAsia="en-AU"/>
            </w:rPr>
          </w:pPr>
          <w:hyperlink w:anchor="_Toc8053066" w:history="1">
            <w:r w:rsidRPr="001D3624">
              <w:rPr>
                <w:rStyle w:val="Hyperlink"/>
                <w:noProof/>
              </w:rPr>
              <w:t>Safety</w:t>
            </w:r>
            <w:r>
              <w:rPr>
                <w:noProof/>
                <w:webHidden/>
              </w:rPr>
              <w:tab/>
            </w:r>
            <w:r>
              <w:rPr>
                <w:noProof/>
                <w:webHidden/>
              </w:rPr>
              <w:fldChar w:fldCharType="begin"/>
            </w:r>
            <w:r>
              <w:rPr>
                <w:noProof/>
                <w:webHidden/>
              </w:rPr>
              <w:instrText xml:space="preserve"> PAGEREF _Toc8053066 \h </w:instrText>
            </w:r>
            <w:r>
              <w:rPr>
                <w:noProof/>
                <w:webHidden/>
              </w:rPr>
            </w:r>
            <w:r>
              <w:rPr>
                <w:noProof/>
                <w:webHidden/>
              </w:rPr>
              <w:fldChar w:fldCharType="separate"/>
            </w:r>
            <w:r>
              <w:rPr>
                <w:noProof/>
                <w:webHidden/>
              </w:rPr>
              <w:t>28</w:t>
            </w:r>
            <w:r>
              <w:rPr>
                <w:noProof/>
                <w:webHidden/>
              </w:rPr>
              <w:fldChar w:fldCharType="end"/>
            </w:r>
          </w:hyperlink>
        </w:p>
        <w:p w14:paraId="5B79FE52" w14:textId="77777777" w:rsidR="00861FD9" w:rsidRDefault="00861FD9">
          <w:pPr>
            <w:pStyle w:val="TOC3"/>
            <w:rPr>
              <w:rFonts w:asciiTheme="minorHAnsi" w:eastAsiaTheme="minorEastAsia" w:hAnsiTheme="minorHAnsi" w:cstheme="minorBidi"/>
              <w:noProof/>
              <w:lang w:eastAsia="en-AU"/>
            </w:rPr>
          </w:pPr>
          <w:hyperlink w:anchor="_Toc8053067" w:history="1">
            <w:r w:rsidRPr="001D3624">
              <w:rPr>
                <w:rStyle w:val="Hyperlink"/>
                <w:noProof/>
              </w:rPr>
              <w:t>First round benefit-risk assessment</w:t>
            </w:r>
            <w:r>
              <w:rPr>
                <w:noProof/>
                <w:webHidden/>
              </w:rPr>
              <w:tab/>
            </w:r>
            <w:r>
              <w:rPr>
                <w:noProof/>
                <w:webHidden/>
              </w:rPr>
              <w:fldChar w:fldCharType="begin"/>
            </w:r>
            <w:r>
              <w:rPr>
                <w:noProof/>
                <w:webHidden/>
              </w:rPr>
              <w:instrText xml:space="preserve"> PAGEREF _Toc8053067 \h </w:instrText>
            </w:r>
            <w:r>
              <w:rPr>
                <w:noProof/>
                <w:webHidden/>
              </w:rPr>
            </w:r>
            <w:r>
              <w:rPr>
                <w:noProof/>
                <w:webHidden/>
              </w:rPr>
              <w:fldChar w:fldCharType="separate"/>
            </w:r>
            <w:r>
              <w:rPr>
                <w:noProof/>
                <w:webHidden/>
              </w:rPr>
              <w:t>37</w:t>
            </w:r>
            <w:r>
              <w:rPr>
                <w:noProof/>
                <w:webHidden/>
              </w:rPr>
              <w:fldChar w:fldCharType="end"/>
            </w:r>
          </w:hyperlink>
        </w:p>
        <w:p w14:paraId="721E8234" w14:textId="77777777" w:rsidR="00861FD9" w:rsidRDefault="00861FD9">
          <w:pPr>
            <w:pStyle w:val="TOC3"/>
            <w:rPr>
              <w:rFonts w:asciiTheme="minorHAnsi" w:eastAsiaTheme="minorEastAsia" w:hAnsiTheme="minorHAnsi" w:cstheme="minorBidi"/>
              <w:noProof/>
              <w:lang w:eastAsia="en-AU"/>
            </w:rPr>
          </w:pPr>
          <w:hyperlink w:anchor="_Toc8053068" w:history="1">
            <w:r w:rsidRPr="001D3624">
              <w:rPr>
                <w:rStyle w:val="Hyperlink"/>
                <w:noProof/>
              </w:rPr>
              <w:t>First round recommendation regarding authorisation</w:t>
            </w:r>
            <w:r>
              <w:rPr>
                <w:noProof/>
                <w:webHidden/>
              </w:rPr>
              <w:tab/>
            </w:r>
            <w:r>
              <w:rPr>
                <w:noProof/>
                <w:webHidden/>
              </w:rPr>
              <w:fldChar w:fldCharType="begin"/>
            </w:r>
            <w:r>
              <w:rPr>
                <w:noProof/>
                <w:webHidden/>
              </w:rPr>
              <w:instrText xml:space="preserve"> PAGEREF _Toc8053068 \h </w:instrText>
            </w:r>
            <w:r>
              <w:rPr>
                <w:noProof/>
                <w:webHidden/>
              </w:rPr>
            </w:r>
            <w:r>
              <w:rPr>
                <w:noProof/>
                <w:webHidden/>
              </w:rPr>
              <w:fldChar w:fldCharType="separate"/>
            </w:r>
            <w:r>
              <w:rPr>
                <w:noProof/>
                <w:webHidden/>
              </w:rPr>
              <w:t>38</w:t>
            </w:r>
            <w:r>
              <w:rPr>
                <w:noProof/>
                <w:webHidden/>
              </w:rPr>
              <w:fldChar w:fldCharType="end"/>
            </w:r>
          </w:hyperlink>
        </w:p>
        <w:p w14:paraId="1775ECBE" w14:textId="77777777" w:rsidR="00861FD9" w:rsidRDefault="00861FD9">
          <w:pPr>
            <w:pStyle w:val="TOC3"/>
            <w:rPr>
              <w:rFonts w:asciiTheme="minorHAnsi" w:eastAsiaTheme="minorEastAsia" w:hAnsiTheme="minorHAnsi" w:cstheme="minorBidi"/>
              <w:noProof/>
              <w:lang w:eastAsia="en-AU"/>
            </w:rPr>
          </w:pPr>
          <w:hyperlink w:anchor="_Toc8053069" w:history="1">
            <w:r w:rsidRPr="001D3624">
              <w:rPr>
                <w:rStyle w:val="Hyperlink"/>
                <w:noProof/>
              </w:rPr>
              <w:t>Clinical questions</w:t>
            </w:r>
            <w:r>
              <w:rPr>
                <w:noProof/>
                <w:webHidden/>
              </w:rPr>
              <w:tab/>
            </w:r>
            <w:r>
              <w:rPr>
                <w:noProof/>
                <w:webHidden/>
              </w:rPr>
              <w:fldChar w:fldCharType="begin"/>
            </w:r>
            <w:r>
              <w:rPr>
                <w:noProof/>
                <w:webHidden/>
              </w:rPr>
              <w:instrText xml:space="preserve"> PAGEREF _Toc8053069 \h </w:instrText>
            </w:r>
            <w:r>
              <w:rPr>
                <w:noProof/>
                <w:webHidden/>
              </w:rPr>
            </w:r>
            <w:r>
              <w:rPr>
                <w:noProof/>
                <w:webHidden/>
              </w:rPr>
              <w:fldChar w:fldCharType="separate"/>
            </w:r>
            <w:r>
              <w:rPr>
                <w:noProof/>
                <w:webHidden/>
              </w:rPr>
              <w:t>39</w:t>
            </w:r>
            <w:r>
              <w:rPr>
                <w:noProof/>
                <w:webHidden/>
              </w:rPr>
              <w:fldChar w:fldCharType="end"/>
            </w:r>
          </w:hyperlink>
        </w:p>
        <w:p w14:paraId="2208056C" w14:textId="77777777" w:rsidR="00861FD9" w:rsidRDefault="00861FD9">
          <w:pPr>
            <w:pStyle w:val="TOC3"/>
            <w:rPr>
              <w:rFonts w:asciiTheme="minorHAnsi" w:eastAsiaTheme="minorEastAsia" w:hAnsiTheme="minorHAnsi" w:cstheme="minorBidi"/>
              <w:noProof/>
              <w:lang w:eastAsia="en-AU"/>
            </w:rPr>
          </w:pPr>
          <w:hyperlink w:anchor="_Toc8053070" w:history="1">
            <w:r w:rsidRPr="001D3624">
              <w:rPr>
                <w:rStyle w:val="Hyperlink"/>
                <w:noProof/>
              </w:rPr>
              <w:t>Second round evaluation</w:t>
            </w:r>
            <w:r>
              <w:rPr>
                <w:noProof/>
                <w:webHidden/>
              </w:rPr>
              <w:tab/>
            </w:r>
            <w:r>
              <w:rPr>
                <w:noProof/>
                <w:webHidden/>
              </w:rPr>
              <w:fldChar w:fldCharType="begin"/>
            </w:r>
            <w:r>
              <w:rPr>
                <w:noProof/>
                <w:webHidden/>
              </w:rPr>
              <w:instrText xml:space="preserve"> PAGEREF _Toc8053070 \h </w:instrText>
            </w:r>
            <w:r>
              <w:rPr>
                <w:noProof/>
                <w:webHidden/>
              </w:rPr>
            </w:r>
            <w:r>
              <w:rPr>
                <w:noProof/>
                <w:webHidden/>
              </w:rPr>
              <w:fldChar w:fldCharType="separate"/>
            </w:r>
            <w:r>
              <w:rPr>
                <w:noProof/>
                <w:webHidden/>
              </w:rPr>
              <w:t>39</w:t>
            </w:r>
            <w:r>
              <w:rPr>
                <w:noProof/>
                <w:webHidden/>
              </w:rPr>
              <w:fldChar w:fldCharType="end"/>
            </w:r>
          </w:hyperlink>
        </w:p>
        <w:p w14:paraId="28C4D641" w14:textId="77777777" w:rsidR="00861FD9" w:rsidRDefault="00861FD9">
          <w:pPr>
            <w:pStyle w:val="TOC3"/>
            <w:rPr>
              <w:rFonts w:asciiTheme="minorHAnsi" w:eastAsiaTheme="minorEastAsia" w:hAnsiTheme="minorHAnsi" w:cstheme="minorBidi"/>
              <w:noProof/>
              <w:lang w:eastAsia="en-AU"/>
            </w:rPr>
          </w:pPr>
          <w:hyperlink w:anchor="_Toc8053071" w:history="1">
            <w:r w:rsidRPr="001D3624">
              <w:rPr>
                <w:rStyle w:val="Hyperlink"/>
                <w:noProof/>
              </w:rPr>
              <w:t>Second round benefit-risk assessment</w:t>
            </w:r>
            <w:r>
              <w:rPr>
                <w:noProof/>
                <w:webHidden/>
              </w:rPr>
              <w:tab/>
            </w:r>
            <w:r>
              <w:rPr>
                <w:noProof/>
                <w:webHidden/>
              </w:rPr>
              <w:fldChar w:fldCharType="begin"/>
            </w:r>
            <w:r>
              <w:rPr>
                <w:noProof/>
                <w:webHidden/>
              </w:rPr>
              <w:instrText xml:space="preserve"> PAGEREF _Toc8053071 \h </w:instrText>
            </w:r>
            <w:r>
              <w:rPr>
                <w:noProof/>
                <w:webHidden/>
              </w:rPr>
            </w:r>
            <w:r>
              <w:rPr>
                <w:noProof/>
                <w:webHidden/>
              </w:rPr>
              <w:fldChar w:fldCharType="separate"/>
            </w:r>
            <w:r>
              <w:rPr>
                <w:noProof/>
                <w:webHidden/>
              </w:rPr>
              <w:t>40</w:t>
            </w:r>
            <w:r>
              <w:rPr>
                <w:noProof/>
                <w:webHidden/>
              </w:rPr>
              <w:fldChar w:fldCharType="end"/>
            </w:r>
          </w:hyperlink>
        </w:p>
        <w:p w14:paraId="225C432C" w14:textId="77777777" w:rsidR="00861FD9" w:rsidRDefault="00861FD9">
          <w:pPr>
            <w:pStyle w:val="TOC2"/>
            <w:rPr>
              <w:rFonts w:asciiTheme="minorHAnsi" w:eastAsiaTheme="minorEastAsia" w:hAnsiTheme="minorHAnsi" w:cstheme="minorBidi"/>
              <w:b w:val="0"/>
              <w:noProof/>
              <w:sz w:val="22"/>
              <w:lang w:eastAsia="en-AU"/>
            </w:rPr>
          </w:pPr>
          <w:hyperlink w:anchor="_Toc8053072" w:history="1">
            <w:r w:rsidRPr="001D3624">
              <w:rPr>
                <w:rStyle w:val="Hyperlink"/>
                <w:noProof/>
              </w:rPr>
              <w:t>VI. Pharmacovigilance findings</w:t>
            </w:r>
            <w:r>
              <w:rPr>
                <w:noProof/>
                <w:webHidden/>
              </w:rPr>
              <w:tab/>
            </w:r>
            <w:r>
              <w:rPr>
                <w:noProof/>
                <w:webHidden/>
              </w:rPr>
              <w:fldChar w:fldCharType="begin"/>
            </w:r>
            <w:r>
              <w:rPr>
                <w:noProof/>
                <w:webHidden/>
              </w:rPr>
              <w:instrText xml:space="preserve"> PAGEREF _Toc8053072 \h </w:instrText>
            </w:r>
            <w:r>
              <w:rPr>
                <w:noProof/>
                <w:webHidden/>
              </w:rPr>
            </w:r>
            <w:r>
              <w:rPr>
                <w:noProof/>
                <w:webHidden/>
              </w:rPr>
              <w:fldChar w:fldCharType="separate"/>
            </w:r>
            <w:r>
              <w:rPr>
                <w:noProof/>
                <w:webHidden/>
              </w:rPr>
              <w:t>40</w:t>
            </w:r>
            <w:r>
              <w:rPr>
                <w:noProof/>
                <w:webHidden/>
              </w:rPr>
              <w:fldChar w:fldCharType="end"/>
            </w:r>
          </w:hyperlink>
        </w:p>
        <w:p w14:paraId="4889B45E" w14:textId="77777777" w:rsidR="00861FD9" w:rsidRDefault="00861FD9">
          <w:pPr>
            <w:pStyle w:val="TOC3"/>
            <w:rPr>
              <w:rFonts w:asciiTheme="minorHAnsi" w:eastAsiaTheme="minorEastAsia" w:hAnsiTheme="minorHAnsi" w:cstheme="minorBidi"/>
              <w:noProof/>
              <w:lang w:eastAsia="en-AU"/>
            </w:rPr>
          </w:pPr>
          <w:hyperlink w:anchor="_Toc8053073" w:history="1">
            <w:r w:rsidRPr="001D3624">
              <w:rPr>
                <w:rStyle w:val="Hyperlink"/>
                <w:noProof/>
              </w:rPr>
              <w:t>Risk management plan</w:t>
            </w:r>
            <w:r>
              <w:rPr>
                <w:noProof/>
                <w:webHidden/>
              </w:rPr>
              <w:tab/>
            </w:r>
            <w:r>
              <w:rPr>
                <w:noProof/>
                <w:webHidden/>
              </w:rPr>
              <w:fldChar w:fldCharType="begin"/>
            </w:r>
            <w:r>
              <w:rPr>
                <w:noProof/>
                <w:webHidden/>
              </w:rPr>
              <w:instrText xml:space="preserve"> PAGEREF _Toc8053073 \h </w:instrText>
            </w:r>
            <w:r>
              <w:rPr>
                <w:noProof/>
                <w:webHidden/>
              </w:rPr>
            </w:r>
            <w:r>
              <w:rPr>
                <w:noProof/>
                <w:webHidden/>
              </w:rPr>
              <w:fldChar w:fldCharType="separate"/>
            </w:r>
            <w:r>
              <w:rPr>
                <w:noProof/>
                <w:webHidden/>
              </w:rPr>
              <w:t>40</w:t>
            </w:r>
            <w:r>
              <w:rPr>
                <w:noProof/>
                <w:webHidden/>
              </w:rPr>
              <w:fldChar w:fldCharType="end"/>
            </w:r>
          </w:hyperlink>
        </w:p>
        <w:p w14:paraId="65D95BA1" w14:textId="77777777" w:rsidR="00861FD9" w:rsidRDefault="00861FD9">
          <w:pPr>
            <w:pStyle w:val="TOC2"/>
            <w:rPr>
              <w:rFonts w:asciiTheme="minorHAnsi" w:eastAsiaTheme="minorEastAsia" w:hAnsiTheme="minorHAnsi" w:cstheme="minorBidi"/>
              <w:b w:val="0"/>
              <w:noProof/>
              <w:sz w:val="22"/>
              <w:lang w:eastAsia="en-AU"/>
            </w:rPr>
          </w:pPr>
          <w:hyperlink w:anchor="_Toc8053074" w:history="1">
            <w:r w:rsidRPr="001D3624">
              <w:rPr>
                <w:rStyle w:val="Hyperlink"/>
                <w:noProof/>
              </w:rPr>
              <w:t>VII. Overall conclusion and risk/benefit assessment</w:t>
            </w:r>
            <w:r>
              <w:rPr>
                <w:noProof/>
                <w:webHidden/>
              </w:rPr>
              <w:tab/>
            </w:r>
            <w:r>
              <w:rPr>
                <w:noProof/>
                <w:webHidden/>
              </w:rPr>
              <w:fldChar w:fldCharType="begin"/>
            </w:r>
            <w:r>
              <w:rPr>
                <w:noProof/>
                <w:webHidden/>
              </w:rPr>
              <w:instrText xml:space="preserve"> PAGEREF _Toc8053074 \h </w:instrText>
            </w:r>
            <w:r>
              <w:rPr>
                <w:noProof/>
                <w:webHidden/>
              </w:rPr>
            </w:r>
            <w:r>
              <w:rPr>
                <w:noProof/>
                <w:webHidden/>
              </w:rPr>
              <w:fldChar w:fldCharType="separate"/>
            </w:r>
            <w:r>
              <w:rPr>
                <w:noProof/>
                <w:webHidden/>
              </w:rPr>
              <w:t>42</w:t>
            </w:r>
            <w:r>
              <w:rPr>
                <w:noProof/>
                <w:webHidden/>
              </w:rPr>
              <w:fldChar w:fldCharType="end"/>
            </w:r>
          </w:hyperlink>
        </w:p>
        <w:p w14:paraId="5E9D1564" w14:textId="77777777" w:rsidR="00861FD9" w:rsidRDefault="00861FD9">
          <w:pPr>
            <w:pStyle w:val="TOC3"/>
            <w:rPr>
              <w:rFonts w:asciiTheme="minorHAnsi" w:eastAsiaTheme="minorEastAsia" w:hAnsiTheme="minorHAnsi" w:cstheme="minorBidi"/>
              <w:noProof/>
              <w:lang w:eastAsia="en-AU"/>
            </w:rPr>
          </w:pPr>
          <w:hyperlink w:anchor="_Toc8053075" w:history="1">
            <w:r w:rsidRPr="001D3624">
              <w:rPr>
                <w:rStyle w:val="Hyperlink"/>
                <w:noProof/>
              </w:rPr>
              <w:t>Background</w:t>
            </w:r>
            <w:r>
              <w:rPr>
                <w:noProof/>
                <w:webHidden/>
              </w:rPr>
              <w:tab/>
            </w:r>
            <w:r>
              <w:rPr>
                <w:noProof/>
                <w:webHidden/>
              </w:rPr>
              <w:fldChar w:fldCharType="begin"/>
            </w:r>
            <w:r>
              <w:rPr>
                <w:noProof/>
                <w:webHidden/>
              </w:rPr>
              <w:instrText xml:space="preserve"> PAGEREF _Toc8053075 \h </w:instrText>
            </w:r>
            <w:r>
              <w:rPr>
                <w:noProof/>
                <w:webHidden/>
              </w:rPr>
            </w:r>
            <w:r>
              <w:rPr>
                <w:noProof/>
                <w:webHidden/>
              </w:rPr>
              <w:fldChar w:fldCharType="separate"/>
            </w:r>
            <w:r>
              <w:rPr>
                <w:noProof/>
                <w:webHidden/>
              </w:rPr>
              <w:t>42</w:t>
            </w:r>
            <w:r>
              <w:rPr>
                <w:noProof/>
                <w:webHidden/>
              </w:rPr>
              <w:fldChar w:fldCharType="end"/>
            </w:r>
          </w:hyperlink>
        </w:p>
        <w:p w14:paraId="4B4A785E" w14:textId="77777777" w:rsidR="00861FD9" w:rsidRDefault="00861FD9">
          <w:pPr>
            <w:pStyle w:val="TOC3"/>
            <w:rPr>
              <w:rFonts w:asciiTheme="minorHAnsi" w:eastAsiaTheme="minorEastAsia" w:hAnsiTheme="minorHAnsi" w:cstheme="minorBidi"/>
              <w:noProof/>
              <w:lang w:eastAsia="en-AU"/>
            </w:rPr>
          </w:pPr>
          <w:hyperlink w:anchor="_Toc8053076" w:history="1">
            <w:r w:rsidRPr="001D3624">
              <w:rPr>
                <w:rStyle w:val="Hyperlink"/>
                <w:noProof/>
              </w:rPr>
              <w:t>Clinical</w:t>
            </w:r>
            <w:r>
              <w:rPr>
                <w:noProof/>
                <w:webHidden/>
              </w:rPr>
              <w:tab/>
            </w:r>
            <w:r>
              <w:rPr>
                <w:noProof/>
                <w:webHidden/>
              </w:rPr>
              <w:fldChar w:fldCharType="begin"/>
            </w:r>
            <w:r>
              <w:rPr>
                <w:noProof/>
                <w:webHidden/>
              </w:rPr>
              <w:instrText xml:space="preserve"> PAGEREF _Toc8053076 \h </w:instrText>
            </w:r>
            <w:r>
              <w:rPr>
                <w:noProof/>
                <w:webHidden/>
              </w:rPr>
            </w:r>
            <w:r>
              <w:rPr>
                <w:noProof/>
                <w:webHidden/>
              </w:rPr>
              <w:fldChar w:fldCharType="separate"/>
            </w:r>
            <w:r>
              <w:rPr>
                <w:noProof/>
                <w:webHidden/>
              </w:rPr>
              <w:t>43</w:t>
            </w:r>
            <w:r>
              <w:rPr>
                <w:noProof/>
                <w:webHidden/>
              </w:rPr>
              <w:fldChar w:fldCharType="end"/>
            </w:r>
          </w:hyperlink>
        </w:p>
        <w:p w14:paraId="02F87C3A" w14:textId="77777777" w:rsidR="00861FD9" w:rsidRDefault="00861FD9">
          <w:pPr>
            <w:pStyle w:val="TOC3"/>
            <w:rPr>
              <w:rFonts w:asciiTheme="minorHAnsi" w:eastAsiaTheme="minorEastAsia" w:hAnsiTheme="minorHAnsi" w:cstheme="minorBidi"/>
              <w:noProof/>
              <w:lang w:eastAsia="en-AU"/>
            </w:rPr>
          </w:pPr>
          <w:hyperlink w:anchor="_Toc8053077" w:history="1">
            <w:r w:rsidRPr="001D3624">
              <w:rPr>
                <w:rStyle w:val="Hyperlink"/>
                <w:noProof/>
                <w:lang w:eastAsia="en-AU"/>
              </w:rPr>
              <w:t>Risk management plan</w:t>
            </w:r>
            <w:r>
              <w:rPr>
                <w:noProof/>
                <w:webHidden/>
              </w:rPr>
              <w:tab/>
            </w:r>
            <w:r>
              <w:rPr>
                <w:noProof/>
                <w:webHidden/>
              </w:rPr>
              <w:fldChar w:fldCharType="begin"/>
            </w:r>
            <w:r>
              <w:rPr>
                <w:noProof/>
                <w:webHidden/>
              </w:rPr>
              <w:instrText xml:space="preserve"> PAGEREF _Toc8053077 \h </w:instrText>
            </w:r>
            <w:r>
              <w:rPr>
                <w:noProof/>
                <w:webHidden/>
              </w:rPr>
            </w:r>
            <w:r>
              <w:rPr>
                <w:noProof/>
                <w:webHidden/>
              </w:rPr>
              <w:fldChar w:fldCharType="separate"/>
            </w:r>
            <w:r>
              <w:rPr>
                <w:noProof/>
                <w:webHidden/>
              </w:rPr>
              <w:t>47</w:t>
            </w:r>
            <w:r>
              <w:rPr>
                <w:noProof/>
                <w:webHidden/>
              </w:rPr>
              <w:fldChar w:fldCharType="end"/>
            </w:r>
          </w:hyperlink>
        </w:p>
        <w:p w14:paraId="11C27AE4" w14:textId="77777777" w:rsidR="00861FD9" w:rsidRDefault="00861FD9">
          <w:pPr>
            <w:pStyle w:val="TOC3"/>
            <w:rPr>
              <w:rFonts w:asciiTheme="minorHAnsi" w:eastAsiaTheme="minorEastAsia" w:hAnsiTheme="minorHAnsi" w:cstheme="minorBidi"/>
              <w:noProof/>
              <w:lang w:eastAsia="en-AU"/>
            </w:rPr>
          </w:pPr>
          <w:hyperlink w:anchor="_Toc8053078" w:history="1">
            <w:r w:rsidRPr="001D3624">
              <w:rPr>
                <w:rStyle w:val="Hyperlink"/>
                <w:noProof/>
              </w:rPr>
              <w:t>Risk-benefit analysis</w:t>
            </w:r>
            <w:r>
              <w:rPr>
                <w:noProof/>
                <w:webHidden/>
              </w:rPr>
              <w:tab/>
            </w:r>
            <w:r>
              <w:rPr>
                <w:noProof/>
                <w:webHidden/>
              </w:rPr>
              <w:fldChar w:fldCharType="begin"/>
            </w:r>
            <w:r>
              <w:rPr>
                <w:noProof/>
                <w:webHidden/>
              </w:rPr>
              <w:instrText xml:space="preserve"> PAGEREF _Toc8053078 \h </w:instrText>
            </w:r>
            <w:r>
              <w:rPr>
                <w:noProof/>
                <w:webHidden/>
              </w:rPr>
            </w:r>
            <w:r>
              <w:rPr>
                <w:noProof/>
                <w:webHidden/>
              </w:rPr>
              <w:fldChar w:fldCharType="separate"/>
            </w:r>
            <w:r>
              <w:rPr>
                <w:noProof/>
                <w:webHidden/>
              </w:rPr>
              <w:t>48</w:t>
            </w:r>
            <w:r>
              <w:rPr>
                <w:noProof/>
                <w:webHidden/>
              </w:rPr>
              <w:fldChar w:fldCharType="end"/>
            </w:r>
          </w:hyperlink>
        </w:p>
        <w:p w14:paraId="6CF12AAF" w14:textId="77777777" w:rsidR="00861FD9" w:rsidRDefault="00861FD9">
          <w:pPr>
            <w:pStyle w:val="TOC3"/>
            <w:rPr>
              <w:rFonts w:asciiTheme="minorHAnsi" w:eastAsiaTheme="minorEastAsia" w:hAnsiTheme="minorHAnsi" w:cstheme="minorBidi"/>
              <w:noProof/>
              <w:lang w:eastAsia="en-AU"/>
            </w:rPr>
          </w:pPr>
          <w:hyperlink w:anchor="_Toc8053079" w:history="1">
            <w:r w:rsidRPr="001D3624">
              <w:rPr>
                <w:rStyle w:val="Hyperlink"/>
                <w:noProof/>
              </w:rPr>
              <w:t>Outcome</w:t>
            </w:r>
            <w:r>
              <w:rPr>
                <w:noProof/>
                <w:webHidden/>
              </w:rPr>
              <w:tab/>
            </w:r>
            <w:r>
              <w:rPr>
                <w:noProof/>
                <w:webHidden/>
              </w:rPr>
              <w:fldChar w:fldCharType="begin"/>
            </w:r>
            <w:r>
              <w:rPr>
                <w:noProof/>
                <w:webHidden/>
              </w:rPr>
              <w:instrText xml:space="preserve"> PAGEREF _Toc8053079 \h </w:instrText>
            </w:r>
            <w:r>
              <w:rPr>
                <w:noProof/>
                <w:webHidden/>
              </w:rPr>
            </w:r>
            <w:r>
              <w:rPr>
                <w:noProof/>
                <w:webHidden/>
              </w:rPr>
              <w:fldChar w:fldCharType="separate"/>
            </w:r>
            <w:r>
              <w:rPr>
                <w:noProof/>
                <w:webHidden/>
              </w:rPr>
              <w:t>52</w:t>
            </w:r>
            <w:r>
              <w:rPr>
                <w:noProof/>
                <w:webHidden/>
              </w:rPr>
              <w:fldChar w:fldCharType="end"/>
            </w:r>
          </w:hyperlink>
        </w:p>
        <w:p w14:paraId="7AFF72B5" w14:textId="77777777" w:rsidR="00861FD9" w:rsidRDefault="00861FD9">
          <w:pPr>
            <w:pStyle w:val="TOC2"/>
            <w:rPr>
              <w:rFonts w:asciiTheme="minorHAnsi" w:eastAsiaTheme="minorEastAsia" w:hAnsiTheme="minorHAnsi" w:cstheme="minorBidi"/>
              <w:b w:val="0"/>
              <w:noProof/>
              <w:sz w:val="22"/>
              <w:lang w:eastAsia="en-AU"/>
            </w:rPr>
          </w:pPr>
          <w:hyperlink w:anchor="_Toc8053080" w:history="1">
            <w:r w:rsidRPr="001D3624">
              <w:rPr>
                <w:rStyle w:val="Hyperlink"/>
                <w:noProof/>
              </w:rPr>
              <w:t>Attachment 1. Product Information</w:t>
            </w:r>
            <w:r>
              <w:rPr>
                <w:noProof/>
                <w:webHidden/>
              </w:rPr>
              <w:tab/>
            </w:r>
            <w:r>
              <w:rPr>
                <w:noProof/>
                <w:webHidden/>
              </w:rPr>
              <w:fldChar w:fldCharType="begin"/>
            </w:r>
            <w:r>
              <w:rPr>
                <w:noProof/>
                <w:webHidden/>
              </w:rPr>
              <w:instrText xml:space="preserve"> PAGEREF _Toc8053080 \h </w:instrText>
            </w:r>
            <w:r>
              <w:rPr>
                <w:noProof/>
                <w:webHidden/>
              </w:rPr>
            </w:r>
            <w:r>
              <w:rPr>
                <w:noProof/>
                <w:webHidden/>
              </w:rPr>
              <w:fldChar w:fldCharType="separate"/>
            </w:r>
            <w:r>
              <w:rPr>
                <w:noProof/>
                <w:webHidden/>
              </w:rPr>
              <w:t>53</w:t>
            </w:r>
            <w:r>
              <w:rPr>
                <w:noProof/>
                <w:webHidden/>
              </w:rPr>
              <w:fldChar w:fldCharType="end"/>
            </w:r>
          </w:hyperlink>
        </w:p>
        <w:p w14:paraId="15BCA550" w14:textId="77777777" w:rsidR="003A7F6C" w:rsidRPr="00B811C6" w:rsidRDefault="00DB6124" w:rsidP="00B811C6">
          <w:pPr>
            <w:pStyle w:val="TOC2"/>
          </w:pPr>
          <w:r>
            <w:fldChar w:fldCharType="end"/>
          </w:r>
        </w:p>
      </w:sdtContent>
    </w:sdt>
    <w:bookmarkStart w:id="3" w:name="_Toc314842482" w:displacedByCustomXml="prev"/>
    <w:p w14:paraId="011EA66A" w14:textId="77777777" w:rsidR="00FD119B" w:rsidRDefault="00FD119B" w:rsidP="00523BCF">
      <w:r>
        <w:br w:type="page"/>
      </w:r>
    </w:p>
    <w:p w14:paraId="0FE2D467"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805304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9F05D3" w14:paraId="7424A17E" w14:textId="77777777" w:rsidTr="0086289D">
        <w:trPr>
          <w:cnfStyle w:val="100000000000" w:firstRow="1" w:lastRow="0" w:firstColumn="0" w:lastColumn="0" w:oddVBand="0" w:evenVBand="0" w:oddHBand="0" w:evenHBand="0" w:firstRowFirstColumn="0" w:firstRowLastColumn="0" w:lastRowFirstColumn="0" w:lastRowLastColumn="0"/>
        </w:trPr>
        <w:tc>
          <w:tcPr>
            <w:tcW w:w="1890" w:type="dxa"/>
          </w:tcPr>
          <w:p w14:paraId="0BFB2720" w14:textId="77777777" w:rsidR="00FD119B" w:rsidRPr="009F05D3" w:rsidRDefault="00FD119B" w:rsidP="00523BCF">
            <w:r w:rsidRPr="009F05D3">
              <w:t>Abbreviation</w:t>
            </w:r>
          </w:p>
        </w:tc>
        <w:tc>
          <w:tcPr>
            <w:tcW w:w="6830" w:type="dxa"/>
          </w:tcPr>
          <w:p w14:paraId="3D189BFA" w14:textId="77777777" w:rsidR="00FD119B" w:rsidRPr="009F05D3" w:rsidRDefault="00FD119B" w:rsidP="00523BCF">
            <w:r w:rsidRPr="009F05D3">
              <w:t>Meaning</w:t>
            </w:r>
          </w:p>
        </w:tc>
      </w:tr>
      <w:tr w:rsidR="005E1E9B" w:rsidRPr="009F05D3" w14:paraId="1595D9ED" w14:textId="77777777" w:rsidTr="0086289D">
        <w:tc>
          <w:tcPr>
            <w:tcW w:w="1890" w:type="dxa"/>
          </w:tcPr>
          <w:p w14:paraId="3C5454DC" w14:textId="77777777" w:rsidR="005E1E9B" w:rsidRPr="009F05D3" w:rsidRDefault="005E1E9B" w:rsidP="00523BCF">
            <w:r>
              <w:rPr>
                <w:szCs w:val="18"/>
              </w:rPr>
              <w:t>~</w:t>
            </w:r>
          </w:p>
        </w:tc>
        <w:tc>
          <w:tcPr>
            <w:tcW w:w="6830" w:type="dxa"/>
          </w:tcPr>
          <w:p w14:paraId="0A485FF4" w14:textId="42DD49FE" w:rsidR="005E1E9B" w:rsidRDefault="003E04E9" w:rsidP="00523BCF">
            <w:r>
              <w:t>A</w:t>
            </w:r>
            <w:r w:rsidR="005E1E9B">
              <w:t>pproximately</w:t>
            </w:r>
          </w:p>
        </w:tc>
      </w:tr>
      <w:tr w:rsidR="009F05D3" w:rsidRPr="009F05D3" w14:paraId="07363216" w14:textId="77777777" w:rsidTr="0086289D">
        <w:tc>
          <w:tcPr>
            <w:tcW w:w="1890" w:type="dxa"/>
          </w:tcPr>
          <w:p w14:paraId="30D61B1C" w14:textId="77777777" w:rsidR="009F05D3" w:rsidRPr="009F05D3" w:rsidRDefault="009F05D3" w:rsidP="00523BCF">
            <w:r w:rsidRPr="009F05D3">
              <w:t>AE</w:t>
            </w:r>
          </w:p>
        </w:tc>
        <w:tc>
          <w:tcPr>
            <w:tcW w:w="6830" w:type="dxa"/>
          </w:tcPr>
          <w:p w14:paraId="20DADBFD" w14:textId="77777777" w:rsidR="009F05D3" w:rsidRPr="009F05D3" w:rsidRDefault="009F05D3" w:rsidP="00523BCF">
            <w:r>
              <w:t>Adverse Event</w:t>
            </w:r>
          </w:p>
        </w:tc>
      </w:tr>
      <w:tr w:rsidR="00AF4511" w:rsidRPr="009F05D3" w14:paraId="012A40F3" w14:textId="77777777" w:rsidTr="0086289D">
        <w:tc>
          <w:tcPr>
            <w:tcW w:w="1890" w:type="dxa"/>
          </w:tcPr>
          <w:p w14:paraId="452C19CF" w14:textId="77777777" w:rsidR="00AF4511" w:rsidRPr="009F05D3" w:rsidRDefault="00AF4511" w:rsidP="00523BCF">
            <w:r>
              <w:t>ADCC</w:t>
            </w:r>
          </w:p>
        </w:tc>
        <w:tc>
          <w:tcPr>
            <w:tcW w:w="6830" w:type="dxa"/>
          </w:tcPr>
          <w:p w14:paraId="47E6ED4B" w14:textId="77777777" w:rsidR="00AF4511" w:rsidRDefault="00256946" w:rsidP="00523BCF">
            <w:r>
              <w:t>Antibody</w:t>
            </w:r>
            <w:r w:rsidR="00AF4511">
              <w:t xml:space="preserve"> dependent cell mediated cytotoxicity</w:t>
            </w:r>
          </w:p>
        </w:tc>
      </w:tr>
      <w:tr w:rsidR="009F05D3" w:rsidRPr="009F05D3" w14:paraId="61C5E51D" w14:textId="77777777" w:rsidTr="0086289D">
        <w:tc>
          <w:tcPr>
            <w:tcW w:w="1890" w:type="dxa"/>
          </w:tcPr>
          <w:p w14:paraId="4D0A5091" w14:textId="77777777" w:rsidR="009F05D3" w:rsidRPr="009F05D3" w:rsidRDefault="009F05D3" w:rsidP="00523BCF">
            <w:r w:rsidRPr="009F05D3">
              <w:t>AJCC</w:t>
            </w:r>
          </w:p>
        </w:tc>
        <w:tc>
          <w:tcPr>
            <w:tcW w:w="6830" w:type="dxa"/>
          </w:tcPr>
          <w:p w14:paraId="1FC19D8D" w14:textId="77777777" w:rsidR="009F05D3" w:rsidRPr="009F05D3" w:rsidRDefault="009F05D3" w:rsidP="00523BCF">
            <w:r w:rsidRPr="009F05D3">
              <w:t>American Joint Committee on Cancer</w:t>
            </w:r>
          </w:p>
        </w:tc>
      </w:tr>
      <w:tr w:rsidR="009F05D3" w:rsidRPr="009F05D3" w14:paraId="394A6C2C" w14:textId="77777777" w:rsidTr="0086289D">
        <w:tc>
          <w:tcPr>
            <w:tcW w:w="1890" w:type="dxa"/>
          </w:tcPr>
          <w:p w14:paraId="7FF380E4" w14:textId="77777777" w:rsidR="009F05D3" w:rsidRPr="009F05D3" w:rsidRDefault="009F05D3" w:rsidP="00523BCF">
            <w:r w:rsidRPr="009F05D3">
              <w:t>ALT</w:t>
            </w:r>
          </w:p>
        </w:tc>
        <w:tc>
          <w:tcPr>
            <w:tcW w:w="6830" w:type="dxa"/>
          </w:tcPr>
          <w:p w14:paraId="3BA4B898" w14:textId="77777777" w:rsidR="009F05D3" w:rsidRPr="009F05D3" w:rsidRDefault="009F05D3" w:rsidP="00523BCF">
            <w:r w:rsidRPr="009F05D3">
              <w:t>Alanine Transaminase</w:t>
            </w:r>
          </w:p>
        </w:tc>
      </w:tr>
      <w:tr w:rsidR="006C35DA" w:rsidRPr="009F05D3" w14:paraId="674C6E17" w14:textId="77777777" w:rsidTr="0086289D">
        <w:tc>
          <w:tcPr>
            <w:tcW w:w="1890" w:type="dxa"/>
          </w:tcPr>
          <w:p w14:paraId="77249C5D" w14:textId="77777777" w:rsidR="006C35DA" w:rsidRPr="009F05D3" w:rsidRDefault="006C35DA" w:rsidP="00523BCF">
            <w:r w:rsidRPr="00730C59">
              <w:rPr>
                <w:lang w:eastAsia="ja-JP"/>
              </w:rPr>
              <w:t>APCs</w:t>
            </w:r>
          </w:p>
        </w:tc>
        <w:tc>
          <w:tcPr>
            <w:tcW w:w="6830" w:type="dxa"/>
          </w:tcPr>
          <w:p w14:paraId="528F8775" w14:textId="3E6C7CE7" w:rsidR="006C35DA" w:rsidRPr="009F05D3" w:rsidRDefault="003E04E9" w:rsidP="00523BCF">
            <w:r>
              <w:rPr>
                <w:lang w:eastAsia="ja-JP"/>
              </w:rPr>
              <w:t>A</w:t>
            </w:r>
            <w:r w:rsidR="006C35DA">
              <w:rPr>
                <w:lang w:eastAsia="ja-JP"/>
              </w:rPr>
              <w:t xml:space="preserve">ntigen </w:t>
            </w:r>
            <w:r w:rsidR="006C35DA" w:rsidRPr="00730C59">
              <w:rPr>
                <w:lang w:eastAsia="ja-JP"/>
              </w:rPr>
              <w:t>presenting</w:t>
            </w:r>
            <w:r w:rsidR="006C35DA">
              <w:rPr>
                <w:lang w:eastAsia="ja-JP"/>
              </w:rPr>
              <w:t xml:space="preserve"> cells</w:t>
            </w:r>
          </w:p>
        </w:tc>
      </w:tr>
      <w:tr w:rsidR="009F05D3" w:rsidRPr="009F05D3" w14:paraId="709B406B" w14:textId="77777777" w:rsidTr="0086289D">
        <w:tc>
          <w:tcPr>
            <w:tcW w:w="1890" w:type="dxa"/>
          </w:tcPr>
          <w:p w14:paraId="7A285958" w14:textId="77777777" w:rsidR="009F05D3" w:rsidRPr="009F05D3" w:rsidRDefault="009F05D3" w:rsidP="00523BCF">
            <w:r w:rsidRPr="009F05D3">
              <w:t>AST</w:t>
            </w:r>
          </w:p>
        </w:tc>
        <w:tc>
          <w:tcPr>
            <w:tcW w:w="6830" w:type="dxa"/>
          </w:tcPr>
          <w:p w14:paraId="78F881DF" w14:textId="77777777" w:rsidR="009F05D3" w:rsidRPr="009F05D3" w:rsidRDefault="009F05D3" w:rsidP="00523BCF">
            <w:r w:rsidRPr="009F05D3">
              <w:t>Aspartate Transaminase</w:t>
            </w:r>
          </w:p>
        </w:tc>
      </w:tr>
      <w:tr w:rsidR="009F05D3" w:rsidRPr="009F05D3" w14:paraId="0A3E515A" w14:textId="77777777" w:rsidTr="0086289D">
        <w:tc>
          <w:tcPr>
            <w:tcW w:w="1890" w:type="dxa"/>
          </w:tcPr>
          <w:p w14:paraId="0F03452E" w14:textId="77777777" w:rsidR="009F05D3" w:rsidRPr="009F05D3" w:rsidRDefault="009F05D3" w:rsidP="00523BCF">
            <w:r w:rsidRPr="009F05D3">
              <w:t>AUC</w:t>
            </w:r>
          </w:p>
        </w:tc>
        <w:tc>
          <w:tcPr>
            <w:tcW w:w="6830" w:type="dxa"/>
          </w:tcPr>
          <w:p w14:paraId="0B81B661" w14:textId="77777777" w:rsidR="009F05D3" w:rsidRPr="009F05D3" w:rsidRDefault="009F05D3" w:rsidP="00523BCF">
            <w:r w:rsidRPr="009F05D3">
              <w:t>Area under the curve</w:t>
            </w:r>
          </w:p>
        </w:tc>
      </w:tr>
      <w:tr w:rsidR="00273D46" w:rsidRPr="009F05D3" w14:paraId="7CD5CFD3" w14:textId="77777777" w:rsidTr="0086289D">
        <w:tc>
          <w:tcPr>
            <w:tcW w:w="1890" w:type="dxa"/>
          </w:tcPr>
          <w:p w14:paraId="13C3A052" w14:textId="77777777" w:rsidR="00273D46" w:rsidRPr="009F05D3" w:rsidRDefault="00273D46" w:rsidP="00523BCF">
            <w:r w:rsidRPr="00DF6972">
              <w:t>BMI</w:t>
            </w:r>
          </w:p>
        </w:tc>
        <w:tc>
          <w:tcPr>
            <w:tcW w:w="6830" w:type="dxa"/>
          </w:tcPr>
          <w:p w14:paraId="52EA2D39" w14:textId="77777777" w:rsidR="00273D46" w:rsidRPr="009F05D3" w:rsidRDefault="00273D46" w:rsidP="00523BCF">
            <w:r>
              <w:t>Body mass index</w:t>
            </w:r>
          </w:p>
        </w:tc>
      </w:tr>
      <w:tr w:rsidR="009F05D3" w:rsidRPr="009F05D3" w14:paraId="3195808D" w14:textId="77777777" w:rsidTr="0086289D">
        <w:tc>
          <w:tcPr>
            <w:tcW w:w="1890" w:type="dxa"/>
          </w:tcPr>
          <w:p w14:paraId="3192D5FA" w14:textId="77777777" w:rsidR="009F05D3" w:rsidRPr="009F05D3" w:rsidRDefault="009F05D3" w:rsidP="00523BCF">
            <w:r w:rsidRPr="009F05D3">
              <w:t>BOR</w:t>
            </w:r>
          </w:p>
        </w:tc>
        <w:tc>
          <w:tcPr>
            <w:tcW w:w="6830" w:type="dxa"/>
          </w:tcPr>
          <w:p w14:paraId="6927A944" w14:textId="77777777" w:rsidR="009F05D3" w:rsidRPr="009F05D3" w:rsidRDefault="009F05D3" w:rsidP="00523BCF">
            <w:r w:rsidRPr="009F05D3">
              <w:t>Best overall response</w:t>
            </w:r>
          </w:p>
        </w:tc>
      </w:tr>
      <w:tr w:rsidR="00256946" w:rsidRPr="009F05D3" w14:paraId="6D791F57" w14:textId="77777777" w:rsidTr="0086289D">
        <w:tc>
          <w:tcPr>
            <w:tcW w:w="1890" w:type="dxa"/>
          </w:tcPr>
          <w:p w14:paraId="4F717BCF" w14:textId="77777777" w:rsidR="00256946" w:rsidRPr="009F05D3" w:rsidRDefault="00256946" w:rsidP="00523BCF">
            <w:r w:rsidRPr="00AF4511">
              <w:t>CHO</w:t>
            </w:r>
          </w:p>
        </w:tc>
        <w:tc>
          <w:tcPr>
            <w:tcW w:w="6830" w:type="dxa"/>
          </w:tcPr>
          <w:p w14:paraId="4FA7A531" w14:textId="630070E0" w:rsidR="00256946" w:rsidRPr="009F05D3" w:rsidRDefault="00256946" w:rsidP="00523BCF">
            <w:r>
              <w:t xml:space="preserve">Chinese </w:t>
            </w:r>
            <w:r w:rsidR="00D62ABA">
              <w:t xml:space="preserve">hamster </w:t>
            </w:r>
            <w:r>
              <w:t>ovary</w:t>
            </w:r>
          </w:p>
        </w:tc>
      </w:tr>
      <w:tr w:rsidR="009F05D3" w:rsidRPr="009F05D3" w14:paraId="48AEFF9F" w14:textId="77777777" w:rsidTr="0086289D">
        <w:tc>
          <w:tcPr>
            <w:tcW w:w="1890" w:type="dxa"/>
          </w:tcPr>
          <w:p w14:paraId="5AB444F0" w14:textId="77777777" w:rsidR="009F05D3" w:rsidRPr="009F05D3" w:rsidRDefault="009F05D3" w:rsidP="00523BCF">
            <w:r w:rsidRPr="009F05D3">
              <w:t>CI</w:t>
            </w:r>
          </w:p>
        </w:tc>
        <w:tc>
          <w:tcPr>
            <w:tcW w:w="6830" w:type="dxa"/>
          </w:tcPr>
          <w:p w14:paraId="50C5A099" w14:textId="77777777" w:rsidR="009F05D3" w:rsidRPr="009F05D3" w:rsidRDefault="009F05D3" w:rsidP="00523BCF">
            <w:r w:rsidRPr="009F05D3">
              <w:t>Confidence interval</w:t>
            </w:r>
          </w:p>
        </w:tc>
      </w:tr>
      <w:tr w:rsidR="009F05D3" w:rsidRPr="009F05D3" w14:paraId="5DB15234" w14:textId="77777777" w:rsidTr="0086289D">
        <w:tc>
          <w:tcPr>
            <w:tcW w:w="1890" w:type="dxa"/>
          </w:tcPr>
          <w:p w14:paraId="7C916221" w14:textId="77777777" w:rsidR="009F05D3" w:rsidRPr="009F05D3" w:rsidRDefault="009F05D3" w:rsidP="00523BCF">
            <w:r w:rsidRPr="009F05D3">
              <w:t>C</w:t>
            </w:r>
            <w:r w:rsidRPr="005049BA">
              <w:rPr>
                <w:vertAlign w:val="subscript"/>
              </w:rPr>
              <w:t>max</w:t>
            </w:r>
          </w:p>
        </w:tc>
        <w:tc>
          <w:tcPr>
            <w:tcW w:w="6830" w:type="dxa"/>
          </w:tcPr>
          <w:p w14:paraId="706E975A" w14:textId="77777777" w:rsidR="009F05D3" w:rsidRPr="009F05D3" w:rsidRDefault="009F05D3" w:rsidP="00523BCF">
            <w:r w:rsidRPr="009F05D3">
              <w:t>Maximum concentration</w:t>
            </w:r>
          </w:p>
        </w:tc>
      </w:tr>
      <w:tr w:rsidR="009F05D3" w:rsidRPr="009F05D3" w14:paraId="65803DB8" w14:textId="77777777" w:rsidTr="0086289D">
        <w:tc>
          <w:tcPr>
            <w:tcW w:w="1890" w:type="dxa"/>
          </w:tcPr>
          <w:p w14:paraId="76AB6E21" w14:textId="77777777" w:rsidR="009F05D3" w:rsidRPr="009F05D3" w:rsidRDefault="009F05D3" w:rsidP="00523BCF">
            <w:r w:rsidRPr="009F05D3">
              <w:t>DOR</w:t>
            </w:r>
          </w:p>
        </w:tc>
        <w:tc>
          <w:tcPr>
            <w:tcW w:w="6830" w:type="dxa"/>
          </w:tcPr>
          <w:p w14:paraId="29ACCEA4" w14:textId="77777777" w:rsidR="009F05D3" w:rsidRPr="009F05D3" w:rsidRDefault="009F05D3" w:rsidP="00523BCF">
            <w:r w:rsidRPr="009F05D3">
              <w:t>Duration of response</w:t>
            </w:r>
          </w:p>
        </w:tc>
      </w:tr>
      <w:tr w:rsidR="009F05D3" w:rsidRPr="009F05D3" w14:paraId="20E35548" w14:textId="77777777" w:rsidTr="0086289D">
        <w:tc>
          <w:tcPr>
            <w:tcW w:w="1890" w:type="dxa"/>
          </w:tcPr>
          <w:p w14:paraId="03CCBB60" w14:textId="77777777" w:rsidR="009F05D3" w:rsidRPr="009F05D3" w:rsidRDefault="009F05D3" w:rsidP="00523BCF">
            <w:r w:rsidRPr="009F05D3">
              <w:t>ECG</w:t>
            </w:r>
          </w:p>
        </w:tc>
        <w:tc>
          <w:tcPr>
            <w:tcW w:w="6830" w:type="dxa"/>
          </w:tcPr>
          <w:p w14:paraId="603D0B32" w14:textId="77777777" w:rsidR="009F05D3" w:rsidRPr="009F05D3" w:rsidRDefault="009F05D3" w:rsidP="00523BCF">
            <w:r w:rsidRPr="009F05D3">
              <w:t>Electrocardiograph</w:t>
            </w:r>
          </w:p>
        </w:tc>
      </w:tr>
      <w:tr w:rsidR="009F05D3" w:rsidRPr="009F05D3" w14:paraId="0C8E81F6" w14:textId="77777777" w:rsidTr="0086289D">
        <w:tc>
          <w:tcPr>
            <w:tcW w:w="1890" w:type="dxa"/>
          </w:tcPr>
          <w:p w14:paraId="4C4B7602" w14:textId="77777777" w:rsidR="009F05D3" w:rsidRPr="009F05D3" w:rsidRDefault="009F05D3" w:rsidP="00523BCF">
            <w:r w:rsidRPr="009F05D3">
              <w:t>ECOG</w:t>
            </w:r>
          </w:p>
        </w:tc>
        <w:tc>
          <w:tcPr>
            <w:tcW w:w="6830" w:type="dxa"/>
          </w:tcPr>
          <w:p w14:paraId="05FB162D" w14:textId="77777777" w:rsidR="009F05D3" w:rsidRPr="009F05D3" w:rsidRDefault="009F05D3" w:rsidP="00523BCF">
            <w:r w:rsidRPr="009F05D3">
              <w:t>Eastern Cooperative Oncology Group</w:t>
            </w:r>
          </w:p>
        </w:tc>
      </w:tr>
      <w:tr w:rsidR="009F05D3" w:rsidRPr="009F05D3" w14:paraId="095F13CB" w14:textId="77777777" w:rsidTr="0086289D">
        <w:tc>
          <w:tcPr>
            <w:tcW w:w="1890" w:type="dxa"/>
          </w:tcPr>
          <w:p w14:paraId="521C6407" w14:textId="77777777" w:rsidR="009F05D3" w:rsidRPr="009F05D3" w:rsidRDefault="009F05D3" w:rsidP="00523BCF">
            <w:r w:rsidRPr="009F05D3">
              <w:t>EMA</w:t>
            </w:r>
          </w:p>
        </w:tc>
        <w:tc>
          <w:tcPr>
            <w:tcW w:w="6830" w:type="dxa"/>
          </w:tcPr>
          <w:p w14:paraId="26363A16" w14:textId="77777777" w:rsidR="009F05D3" w:rsidRPr="009F05D3" w:rsidRDefault="009F05D3" w:rsidP="00523BCF">
            <w:r w:rsidRPr="009F05D3">
              <w:t>European Medicines Agency</w:t>
            </w:r>
          </w:p>
        </w:tc>
      </w:tr>
      <w:tr w:rsidR="005811FF" w:rsidRPr="009F05D3" w14:paraId="36D4093B" w14:textId="77777777" w:rsidTr="0086289D">
        <w:tc>
          <w:tcPr>
            <w:tcW w:w="1890" w:type="dxa"/>
          </w:tcPr>
          <w:p w14:paraId="1F871642" w14:textId="77777777" w:rsidR="005811FF" w:rsidRPr="009F05D3" w:rsidRDefault="005811FF" w:rsidP="00523BCF">
            <w:r>
              <w:t>ESMO</w:t>
            </w:r>
          </w:p>
        </w:tc>
        <w:tc>
          <w:tcPr>
            <w:tcW w:w="6830" w:type="dxa"/>
          </w:tcPr>
          <w:p w14:paraId="1C6DAEB5" w14:textId="77777777" w:rsidR="005811FF" w:rsidRPr="009F05D3" w:rsidRDefault="005811FF" w:rsidP="00523BCF">
            <w:r>
              <w:t>European Society for Medical Oncology</w:t>
            </w:r>
          </w:p>
        </w:tc>
      </w:tr>
      <w:tr w:rsidR="009F05D3" w:rsidRPr="009F05D3" w14:paraId="6F2881D3" w14:textId="77777777" w:rsidTr="0086289D">
        <w:tc>
          <w:tcPr>
            <w:tcW w:w="1890" w:type="dxa"/>
          </w:tcPr>
          <w:p w14:paraId="7F72EE1A" w14:textId="77777777" w:rsidR="009F05D3" w:rsidRPr="009F05D3" w:rsidRDefault="009F05D3" w:rsidP="00523BCF">
            <w:r w:rsidRPr="009F05D3">
              <w:t>FDA</w:t>
            </w:r>
          </w:p>
        </w:tc>
        <w:tc>
          <w:tcPr>
            <w:tcW w:w="6830" w:type="dxa"/>
          </w:tcPr>
          <w:p w14:paraId="77255B32" w14:textId="77777777" w:rsidR="009F05D3" w:rsidRPr="009F05D3" w:rsidRDefault="009F05D3" w:rsidP="00523BCF">
            <w:r w:rsidRPr="009F05D3">
              <w:t>Food and Drug Administration</w:t>
            </w:r>
          </w:p>
        </w:tc>
      </w:tr>
      <w:tr w:rsidR="004A25E4" w:rsidRPr="009F05D3" w14:paraId="0F4478FA" w14:textId="77777777" w:rsidTr="0086289D">
        <w:tc>
          <w:tcPr>
            <w:tcW w:w="1890" w:type="dxa"/>
          </w:tcPr>
          <w:p w14:paraId="000974D1" w14:textId="77777777" w:rsidR="004A25E4" w:rsidRPr="009F05D3" w:rsidRDefault="004A25E4" w:rsidP="00523BCF">
            <w:r>
              <w:t>GLP</w:t>
            </w:r>
          </w:p>
        </w:tc>
        <w:tc>
          <w:tcPr>
            <w:tcW w:w="6830" w:type="dxa"/>
          </w:tcPr>
          <w:p w14:paraId="05D31E77" w14:textId="77777777" w:rsidR="004A25E4" w:rsidRPr="009F05D3" w:rsidRDefault="004A25E4" w:rsidP="00523BCF">
            <w:r>
              <w:t>Good Laboratory Practice</w:t>
            </w:r>
          </w:p>
        </w:tc>
      </w:tr>
      <w:tr w:rsidR="009F05D3" w:rsidRPr="009F05D3" w14:paraId="19A79B79" w14:textId="77777777" w:rsidTr="0086289D">
        <w:tc>
          <w:tcPr>
            <w:tcW w:w="1890" w:type="dxa"/>
          </w:tcPr>
          <w:p w14:paraId="50E1C35D" w14:textId="77777777" w:rsidR="009F05D3" w:rsidRPr="009F05D3" w:rsidRDefault="009F05D3" w:rsidP="00523BCF">
            <w:r w:rsidRPr="009F05D3">
              <w:t>HAHA</w:t>
            </w:r>
          </w:p>
        </w:tc>
        <w:tc>
          <w:tcPr>
            <w:tcW w:w="6830" w:type="dxa"/>
          </w:tcPr>
          <w:p w14:paraId="0010A571" w14:textId="77777777" w:rsidR="009F05D3" w:rsidRPr="009F05D3" w:rsidRDefault="009F05D3" w:rsidP="00523BCF">
            <w:r w:rsidRPr="009F05D3">
              <w:t>Human anti-human antibodies (</w:t>
            </w:r>
            <w:r w:rsidR="000E4114">
              <w:t>that is</w:t>
            </w:r>
            <w:r w:rsidRPr="009F05D3">
              <w:t xml:space="preserve"> anti-avelumab antibodies)</w:t>
            </w:r>
          </w:p>
        </w:tc>
      </w:tr>
      <w:tr w:rsidR="005E1E9B" w:rsidRPr="009F05D3" w14:paraId="0D9EAB25" w14:textId="77777777" w:rsidTr="0086289D">
        <w:tc>
          <w:tcPr>
            <w:tcW w:w="1890" w:type="dxa"/>
          </w:tcPr>
          <w:p w14:paraId="4E042602" w14:textId="77777777" w:rsidR="005E1E9B" w:rsidRPr="009F05D3" w:rsidRDefault="005049BA" w:rsidP="00523BCF">
            <w:r>
              <w:t xml:space="preserve">IL </w:t>
            </w:r>
            <w:r w:rsidR="005E1E9B" w:rsidRPr="004D6CEC">
              <w:t>6</w:t>
            </w:r>
          </w:p>
        </w:tc>
        <w:tc>
          <w:tcPr>
            <w:tcW w:w="6830" w:type="dxa"/>
          </w:tcPr>
          <w:p w14:paraId="1032F2F0" w14:textId="77777777" w:rsidR="005E1E9B" w:rsidRPr="009F05D3" w:rsidRDefault="005049BA" w:rsidP="00523BCF">
            <w:r>
              <w:t>Interleukin 6</w:t>
            </w:r>
          </w:p>
        </w:tc>
      </w:tr>
      <w:tr w:rsidR="009F05D3" w:rsidRPr="009F05D3" w14:paraId="5BF6EFC0" w14:textId="77777777" w:rsidTr="0086289D">
        <w:tc>
          <w:tcPr>
            <w:tcW w:w="1890" w:type="dxa"/>
          </w:tcPr>
          <w:p w14:paraId="1B1868A2" w14:textId="77777777" w:rsidR="009F05D3" w:rsidRPr="009F05D3" w:rsidRDefault="009F05D3" w:rsidP="00523BCF">
            <w:proofErr w:type="spellStart"/>
            <w:r w:rsidRPr="009F05D3">
              <w:t>irAEs</w:t>
            </w:r>
            <w:proofErr w:type="spellEnd"/>
          </w:p>
        </w:tc>
        <w:tc>
          <w:tcPr>
            <w:tcW w:w="6830" w:type="dxa"/>
          </w:tcPr>
          <w:p w14:paraId="1272DF8D" w14:textId="77777777" w:rsidR="009F05D3" w:rsidRPr="009F05D3" w:rsidRDefault="00273D46" w:rsidP="00523BCF">
            <w:r>
              <w:t>Immune related</w:t>
            </w:r>
            <w:r w:rsidR="009F05D3" w:rsidRPr="009F05D3">
              <w:t xml:space="preserve"> adverse events</w:t>
            </w:r>
          </w:p>
        </w:tc>
      </w:tr>
      <w:tr w:rsidR="009F05D3" w:rsidRPr="009F05D3" w14:paraId="49BCDB2F" w14:textId="77777777" w:rsidTr="0086289D">
        <w:tc>
          <w:tcPr>
            <w:tcW w:w="1890" w:type="dxa"/>
          </w:tcPr>
          <w:p w14:paraId="2B587630" w14:textId="77777777" w:rsidR="009F05D3" w:rsidRPr="009F05D3" w:rsidRDefault="009F05D3" w:rsidP="00523BCF">
            <w:r w:rsidRPr="009F05D3">
              <w:t>IRR</w:t>
            </w:r>
          </w:p>
        </w:tc>
        <w:tc>
          <w:tcPr>
            <w:tcW w:w="6830" w:type="dxa"/>
          </w:tcPr>
          <w:p w14:paraId="7BBAD651" w14:textId="77777777" w:rsidR="009F05D3" w:rsidRPr="009F05D3" w:rsidRDefault="009F05D3" w:rsidP="00523BCF">
            <w:r w:rsidRPr="009F05D3">
              <w:t>Infusion-related reactions</w:t>
            </w:r>
          </w:p>
        </w:tc>
      </w:tr>
      <w:tr w:rsidR="009F05D3" w:rsidRPr="009F05D3" w14:paraId="2D79E433" w14:textId="77777777" w:rsidTr="0086289D">
        <w:tc>
          <w:tcPr>
            <w:tcW w:w="1890" w:type="dxa"/>
          </w:tcPr>
          <w:p w14:paraId="6D317A5B" w14:textId="77777777" w:rsidR="009F05D3" w:rsidRPr="009F05D3" w:rsidRDefault="009F05D3" w:rsidP="00523BCF">
            <w:r w:rsidRPr="009F05D3">
              <w:t>IV</w:t>
            </w:r>
          </w:p>
        </w:tc>
        <w:tc>
          <w:tcPr>
            <w:tcW w:w="6830" w:type="dxa"/>
          </w:tcPr>
          <w:p w14:paraId="1E2FDE8F" w14:textId="77777777" w:rsidR="009F05D3" w:rsidRPr="009F05D3" w:rsidRDefault="009F05D3" w:rsidP="00523BCF">
            <w:r w:rsidRPr="009F05D3">
              <w:t>Intravenous</w:t>
            </w:r>
          </w:p>
        </w:tc>
      </w:tr>
      <w:tr w:rsidR="00885F05" w:rsidRPr="009F05D3" w14:paraId="4AAA9697" w14:textId="77777777" w:rsidTr="0086289D">
        <w:tc>
          <w:tcPr>
            <w:tcW w:w="1890" w:type="dxa"/>
          </w:tcPr>
          <w:p w14:paraId="3834409C" w14:textId="77777777" w:rsidR="00885F05" w:rsidRPr="009F05D3" w:rsidRDefault="00885F05" w:rsidP="00523BCF">
            <w:r w:rsidRPr="002E1F19">
              <w:lastRenderedPageBreak/>
              <w:t>KM</w:t>
            </w:r>
          </w:p>
        </w:tc>
        <w:tc>
          <w:tcPr>
            <w:tcW w:w="6830" w:type="dxa"/>
          </w:tcPr>
          <w:p w14:paraId="479F7078" w14:textId="77777777" w:rsidR="00885F05" w:rsidRPr="009F05D3" w:rsidRDefault="00885F05" w:rsidP="00523BCF">
            <w:r>
              <w:t>Kaplan Mei</w:t>
            </w:r>
            <w:r w:rsidR="00CE012A">
              <w:t>e</w:t>
            </w:r>
            <w:r>
              <w:t>r</w:t>
            </w:r>
          </w:p>
        </w:tc>
      </w:tr>
      <w:tr w:rsidR="009F05D3" w:rsidRPr="009F05D3" w14:paraId="25814D34" w14:textId="77777777" w:rsidTr="0086289D">
        <w:tc>
          <w:tcPr>
            <w:tcW w:w="1890" w:type="dxa"/>
          </w:tcPr>
          <w:p w14:paraId="0D600762" w14:textId="77777777" w:rsidR="009F05D3" w:rsidRPr="009F05D3" w:rsidRDefault="009F05D3" w:rsidP="00523BCF">
            <w:r w:rsidRPr="009F05D3">
              <w:t>L</w:t>
            </w:r>
          </w:p>
        </w:tc>
        <w:tc>
          <w:tcPr>
            <w:tcW w:w="6830" w:type="dxa"/>
          </w:tcPr>
          <w:p w14:paraId="3807FCFD" w14:textId="77777777" w:rsidR="009F05D3" w:rsidRPr="009F05D3" w:rsidRDefault="009F05D3" w:rsidP="00523BCF">
            <w:r w:rsidRPr="009F05D3">
              <w:t>Litre(s)</w:t>
            </w:r>
          </w:p>
        </w:tc>
      </w:tr>
      <w:tr w:rsidR="009F05D3" w:rsidRPr="009F05D3" w14:paraId="631F2387" w14:textId="77777777" w:rsidTr="0086289D">
        <w:tc>
          <w:tcPr>
            <w:tcW w:w="1890" w:type="dxa"/>
          </w:tcPr>
          <w:p w14:paraId="6C7B8ED1" w14:textId="77777777" w:rsidR="009F05D3" w:rsidRPr="009F05D3" w:rsidRDefault="009F05D3" w:rsidP="00523BCF">
            <w:r w:rsidRPr="009F05D3">
              <w:t>LFTs</w:t>
            </w:r>
          </w:p>
        </w:tc>
        <w:tc>
          <w:tcPr>
            <w:tcW w:w="6830" w:type="dxa"/>
          </w:tcPr>
          <w:p w14:paraId="5B22DA57" w14:textId="77777777" w:rsidR="009F05D3" w:rsidRPr="009F05D3" w:rsidRDefault="009F05D3" w:rsidP="00523BCF">
            <w:r w:rsidRPr="009F05D3">
              <w:t>Liver function tests</w:t>
            </w:r>
          </w:p>
        </w:tc>
      </w:tr>
      <w:tr w:rsidR="009F05D3" w:rsidRPr="009F05D3" w14:paraId="7F8A9CF1" w14:textId="77777777" w:rsidTr="0086289D">
        <w:tc>
          <w:tcPr>
            <w:tcW w:w="1890" w:type="dxa"/>
          </w:tcPr>
          <w:p w14:paraId="3CA2EFC6" w14:textId="77777777" w:rsidR="009F05D3" w:rsidRPr="009F05D3" w:rsidRDefault="009F05D3" w:rsidP="00523BCF">
            <w:r w:rsidRPr="009F05D3">
              <w:t>MCC</w:t>
            </w:r>
          </w:p>
        </w:tc>
        <w:tc>
          <w:tcPr>
            <w:tcW w:w="6830" w:type="dxa"/>
          </w:tcPr>
          <w:p w14:paraId="51D550D3" w14:textId="77777777" w:rsidR="009F05D3" w:rsidRPr="009F05D3" w:rsidRDefault="009F05D3" w:rsidP="00523BCF">
            <w:r w:rsidRPr="009F05D3">
              <w:t>Merkel cell carcinoma</w:t>
            </w:r>
          </w:p>
        </w:tc>
      </w:tr>
      <w:tr w:rsidR="009F05D3" w:rsidRPr="009F05D3" w14:paraId="7AC2BD49" w14:textId="77777777" w:rsidTr="0086289D">
        <w:tc>
          <w:tcPr>
            <w:tcW w:w="1890" w:type="dxa"/>
          </w:tcPr>
          <w:p w14:paraId="03B3D825" w14:textId="77777777" w:rsidR="009F05D3" w:rsidRPr="009F05D3" w:rsidRDefault="009F05D3" w:rsidP="00523BCF">
            <w:r w:rsidRPr="009F05D3">
              <w:t>MCV</w:t>
            </w:r>
          </w:p>
        </w:tc>
        <w:tc>
          <w:tcPr>
            <w:tcW w:w="6830" w:type="dxa"/>
          </w:tcPr>
          <w:p w14:paraId="2577AA08" w14:textId="77777777" w:rsidR="009F05D3" w:rsidRPr="009F05D3" w:rsidRDefault="009F05D3" w:rsidP="00523BCF">
            <w:r w:rsidRPr="009F05D3">
              <w:t>Merkel cell polyomavirus</w:t>
            </w:r>
          </w:p>
        </w:tc>
      </w:tr>
      <w:tr w:rsidR="009F05D3" w:rsidRPr="009F05D3" w14:paraId="487B5DF5" w14:textId="77777777" w:rsidTr="0086289D">
        <w:tc>
          <w:tcPr>
            <w:tcW w:w="1890" w:type="dxa"/>
          </w:tcPr>
          <w:p w14:paraId="1BE48532" w14:textId="77777777" w:rsidR="009F05D3" w:rsidRPr="009F05D3" w:rsidRDefault="00CE012A" w:rsidP="00523BCF">
            <w:r>
              <w:t>m</w:t>
            </w:r>
            <w:r w:rsidR="006C35DA">
              <w:t>MCC</w:t>
            </w:r>
          </w:p>
        </w:tc>
        <w:tc>
          <w:tcPr>
            <w:tcW w:w="6830" w:type="dxa"/>
          </w:tcPr>
          <w:p w14:paraId="28D68364" w14:textId="77777777" w:rsidR="009F05D3" w:rsidRPr="009F05D3" w:rsidRDefault="009F05D3" w:rsidP="00523BCF">
            <w:r w:rsidRPr="009F05D3">
              <w:t>Metastatic Merkel cell carcinoma</w:t>
            </w:r>
          </w:p>
        </w:tc>
      </w:tr>
      <w:tr w:rsidR="00C92C9D" w:rsidRPr="009F05D3" w14:paraId="0ECD5C48" w14:textId="77777777" w:rsidTr="0086289D">
        <w:tc>
          <w:tcPr>
            <w:tcW w:w="1890" w:type="dxa"/>
          </w:tcPr>
          <w:p w14:paraId="3FD0568C" w14:textId="77777777" w:rsidR="00C92C9D" w:rsidRPr="009F05D3" w:rsidRDefault="00C92C9D" w:rsidP="00523BCF">
            <w:r>
              <w:t>NK</w:t>
            </w:r>
          </w:p>
        </w:tc>
        <w:tc>
          <w:tcPr>
            <w:tcW w:w="6830" w:type="dxa"/>
          </w:tcPr>
          <w:p w14:paraId="36950AD5" w14:textId="77777777" w:rsidR="00C92C9D" w:rsidRPr="009F05D3" w:rsidRDefault="00C92C9D" w:rsidP="00523BCF">
            <w:r>
              <w:t>Natural killer</w:t>
            </w:r>
          </w:p>
        </w:tc>
      </w:tr>
      <w:tr w:rsidR="009F05D3" w:rsidRPr="009F05D3" w14:paraId="6A76422A" w14:textId="77777777" w:rsidTr="0086289D">
        <w:tc>
          <w:tcPr>
            <w:tcW w:w="1890" w:type="dxa"/>
          </w:tcPr>
          <w:p w14:paraId="7759F3E5" w14:textId="77777777" w:rsidR="009F05D3" w:rsidRPr="009F05D3" w:rsidRDefault="009F05D3" w:rsidP="00523BCF">
            <w:r w:rsidRPr="009F05D3">
              <w:t>ORR</w:t>
            </w:r>
          </w:p>
        </w:tc>
        <w:tc>
          <w:tcPr>
            <w:tcW w:w="6830" w:type="dxa"/>
          </w:tcPr>
          <w:p w14:paraId="50EE8BCE" w14:textId="7CEFFDBE" w:rsidR="009F05D3" w:rsidRPr="009F05D3" w:rsidRDefault="009F05D3" w:rsidP="00523BCF">
            <w:r w:rsidRPr="009F05D3">
              <w:t xml:space="preserve">Objective </w:t>
            </w:r>
            <w:r w:rsidR="00D62ABA">
              <w:t>r</w:t>
            </w:r>
            <w:r w:rsidR="00D62ABA" w:rsidRPr="009F05D3">
              <w:t xml:space="preserve">esponse </w:t>
            </w:r>
            <w:r w:rsidR="00D62ABA">
              <w:t>r</w:t>
            </w:r>
            <w:r w:rsidR="00D62ABA" w:rsidRPr="009F05D3">
              <w:t>ate</w:t>
            </w:r>
          </w:p>
        </w:tc>
      </w:tr>
      <w:tr w:rsidR="009F05D3" w:rsidRPr="009F05D3" w14:paraId="134E565F" w14:textId="77777777" w:rsidTr="0086289D">
        <w:tc>
          <w:tcPr>
            <w:tcW w:w="1890" w:type="dxa"/>
          </w:tcPr>
          <w:p w14:paraId="55D5276A" w14:textId="77777777" w:rsidR="009F05D3" w:rsidRPr="009F05D3" w:rsidRDefault="009F05D3" w:rsidP="00523BCF">
            <w:r w:rsidRPr="009F05D3">
              <w:t>OS</w:t>
            </w:r>
          </w:p>
        </w:tc>
        <w:tc>
          <w:tcPr>
            <w:tcW w:w="6830" w:type="dxa"/>
          </w:tcPr>
          <w:p w14:paraId="6D55E565" w14:textId="1DE66B4B" w:rsidR="009F05D3" w:rsidRPr="009F05D3" w:rsidRDefault="009F05D3" w:rsidP="00523BCF">
            <w:r w:rsidRPr="009F05D3">
              <w:t xml:space="preserve">Overall </w:t>
            </w:r>
            <w:r w:rsidR="00D62ABA">
              <w:t>s</w:t>
            </w:r>
            <w:r w:rsidR="00D62ABA" w:rsidRPr="009F05D3">
              <w:t>urvival</w:t>
            </w:r>
          </w:p>
        </w:tc>
      </w:tr>
      <w:tr w:rsidR="004A25E4" w:rsidRPr="009F05D3" w14:paraId="36D51DC4" w14:textId="77777777" w:rsidTr="0086289D">
        <w:tc>
          <w:tcPr>
            <w:tcW w:w="1890" w:type="dxa"/>
          </w:tcPr>
          <w:p w14:paraId="3F542599" w14:textId="77777777" w:rsidR="004A25E4" w:rsidRPr="009F05D3" w:rsidRDefault="004A25E4" w:rsidP="00523BCF">
            <w:r w:rsidRPr="00AF4511">
              <w:t>PBMC</w:t>
            </w:r>
          </w:p>
        </w:tc>
        <w:tc>
          <w:tcPr>
            <w:tcW w:w="6830" w:type="dxa"/>
          </w:tcPr>
          <w:p w14:paraId="1A332312" w14:textId="77777777" w:rsidR="004A25E4" w:rsidRPr="009F05D3" w:rsidRDefault="00CE012A" w:rsidP="00523BCF">
            <w:r>
              <w:t>P</w:t>
            </w:r>
            <w:r w:rsidR="004A25E4" w:rsidRPr="004A25E4">
              <w:t>eripheral blood mononuclear cell</w:t>
            </w:r>
            <w:r w:rsidR="004A25E4">
              <w:t>s</w:t>
            </w:r>
          </w:p>
        </w:tc>
      </w:tr>
      <w:tr w:rsidR="00C92C9D" w:rsidRPr="009F05D3" w14:paraId="22490EB5" w14:textId="77777777" w:rsidTr="0086289D">
        <w:tc>
          <w:tcPr>
            <w:tcW w:w="1890" w:type="dxa"/>
          </w:tcPr>
          <w:p w14:paraId="28E3B2D5" w14:textId="77777777" w:rsidR="00C92C9D" w:rsidRPr="009F05D3" w:rsidRDefault="00C92C9D" w:rsidP="00523BCF">
            <w:r>
              <w:t>PD-1</w:t>
            </w:r>
          </w:p>
        </w:tc>
        <w:tc>
          <w:tcPr>
            <w:tcW w:w="6830" w:type="dxa"/>
          </w:tcPr>
          <w:p w14:paraId="42506BEC" w14:textId="77777777" w:rsidR="00C92C9D" w:rsidRPr="009F05D3" w:rsidRDefault="00C92C9D" w:rsidP="00523BCF">
            <w:r>
              <w:t>Programmed death-1</w:t>
            </w:r>
          </w:p>
        </w:tc>
      </w:tr>
      <w:tr w:rsidR="00CE012A" w:rsidRPr="009F05D3" w14:paraId="40199F2E" w14:textId="77777777" w:rsidTr="0086289D">
        <w:tc>
          <w:tcPr>
            <w:tcW w:w="1890" w:type="dxa"/>
          </w:tcPr>
          <w:p w14:paraId="67C604A7" w14:textId="77777777" w:rsidR="00CE012A" w:rsidRDefault="00CE012A" w:rsidP="00523BCF">
            <w:r w:rsidRPr="009F05D3">
              <w:t>PD-L1</w:t>
            </w:r>
          </w:p>
        </w:tc>
        <w:tc>
          <w:tcPr>
            <w:tcW w:w="6830" w:type="dxa"/>
          </w:tcPr>
          <w:p w14:paraId="32AD5EC6" w14:textId="77777777" w:rsidR="00CE012A" w:rsidRDefault="00CE012A" w:rsidP="00523BCF">
            <w:r>
              <w:t>Programmed cell death ligand 1</w:t>
            </w:r>
          </w:p>
        </w:tc>
      </w:tr>
      <w:tr w:rsidR="009F05D3" w:rsidRPr="009F05D3" w14:paraId="4A29DC62" w14:textId="77777777" w:rsidTr="0086289D">
        <w:tc>
          <w:tcPr>
            <w:tcW w:w="1890" w:type="dxa"/>
          </w:tcPr>
          <w:p w14:paraId="31FC8BF7" w14:textId="77777777" w:rsidR="009F05D3" w:rsidRPr="009F05D3" w:rsidRDefault="009F05D3" w:rsidP="00523BCF">
            <w:r w:rsidRPr="009F05D3">
              <w:t>PFS</w:t>
            </w:r>
          </w:p>
        </w:tc>
        <w:tc>
          <w:tcPr>
            <w:tcW w:w="6830" w:type="dxa"/>
          </w:tcPr>
          <w:p w14:paraId="40925DEB" w14:textId="77777777" w:rsidR="009F05D3" w:rsidRPr="009F05D3" w:rsidRDefault="009F05D3" w:rsidP="00523BCF">
            <w:r w:rsidRPr="009F05D3">
              <w:t>Progression free survival</w:t>
            </w:r>
          </w:p>
        </w:tc>
      </w:tr>
      <w:tr w:rsidR="009F05D3" w:rsidRPr="009F05D3" w14:paraId="3D9FC489" w14:textId="77777777" w:rsidTr="0086289D">
        <w:tc>
          <w:tcPr>
            <w:tcW w:w="1890" w:type="dxa"/>
          </w:tcPr>
          <w:p w14:paraId="42F8778A" w14:textId="77777777" w:rsidR="009F05D3" w:rsidRPr="009F05D3" w:rsidRDefault="009F05D3" w:rsidP="00523BCF">
            <w:r w:rsidRPr="009F05D3">
              <w:t>PI</w:t>
            </w:r>
          </w:p>
        </w:tc>
        <w:tc>
          <w:tcPr>
            <w:tcW w:w="6830" w:type="dxa"/>
          </w:tcPr>
          <w:p w14:paraId="510EBE1A" w14:textId="77777777" w:rsidR="009F05D3" w:rsidRPr="009F05D3" w:rsidRDefault="009F05D3" w:rsidP="00523BCF">
            <w:r w:rsidRPr="009F05D3">
              <w:t>Product Information</w:t>
            </w:r>
          </w:p>
        </w:tc>
      </w:tr>
      <w:tr w:rsidR="009F05D3" w:rsidRPr="009F05D3" w14:paraId="429CFC00" w14:textId="77777777" w:rsidTr="0086289D">
        <w:tc>
          <w:tcPr>
            <w:tcW w:w="1890" w:type="dxa"/>
          </w:tcPr>
          <w:p w14:paraId="3543947C" w14:textId="77777777" w:rsidR="009F05D3" w:rsidRPr="009F05D3" w:rsidRDefault="009F05D3" w:rsidP="00523BCF">
            <w:r w:rsidRPr="009F05D3">
              <w:t>PK</w:t>
            </w:r>
          </w:p>
        </w:tc>
        <w:tc>
          <w:tcPr>
            <w:tcW w:w="6830" w:type="dxa"/>
          </w:tcPr>
          <w:p w14:paraId="7CA43548" w14:textId="77777777" w:rsidR="009F05D3" w:rsidRPr="009F05D3" w:rsidRDefault="009F05D3" w:rsidP="00523BCF">
            <w:r w:rsidRPr="009F05D3">
              <w:t>Pharmacokinetics</w:t>
            </w:r>
          </w:p>
        </w:tc>
      </w:tr>
      <w:tr w:rsidR="009F05D3" w:rsidRPr="009F05D3" w14:paraId="3962EE9D" w14:textId="77777777" w:rsidTr="0086289D">
        <w:tc>
          <w:tcPr>
            <w:tcW w:w="1890" w:type="dxa"/>
          </w:tcPr>
          <w:p w14:paraId="1B7C54C2" w14:textId="77777777" w:rsidR="009F05D3" w:rsidRPr="009F05D3" w:rsidRDefault="009F05D3" w:rsidP="00523BCF">
            <w:r w:rsidRPr="009F05D3">
              <w:t>PR</w:t>
            </w:r>
          </w:p>
        </w:tc>
        <w:tc>
          <w:tcPr>
            <w:tcW w:w="6830" w:type="dxa"/>
          </w:tcPr>
          <w:p w14:paraId="0BCC5844" w14:textId="77777777" w:rsidR="009F05D3" w:rsidRPr="009F05D3" w:rsidRDefault="009F05D3" w:rsidP="00523BCF">
            <w:r w:rsidRPr="009F05D3">
              <w:t xml:space="preserve">Partial </w:t>
            </w:r>
            <w:r w:rsidR="00CE012A">
              <w:t>r</w:t>
            </w:r>
            <w:r w:rsidRPr="009F05D3">
              <w:t>esponse</w:t>
            </w:r>
          </w:p>
        </w:tc>
      </w:tr>
      <w:tr w:rsidR="009F05D3" w:rsidRPr="009F05D3" w14:paraId="7E5E8A60" w14:textId="77777777" w:rsidTr="0086289D">
        <w:tc>
          <w:tcPr>
            <w:tcW w:w="1890" w:type="dxa"/>
          </w:tcPr>
          <w:p w14:paraId="2368C292" w14:textId="77777777" w:rsidR="009F05D3" w:rsidRPr="009F05D3" w:rsidRDefault="009F05D3" w:rsidP="00523BCF">
            <w:r w:rsidRPr="009F05D3">
              <w:t>QoL</w:t>
            </w:r>
          </w:p>
        </w:tc>
        <w:tc>
          <w:tcPr>
            <w:tcW w:w="6830" w:type="dxa"/>
          </w:tcPr>
          <w:p w14:paraId="04FD2419" w14:textId="2BAEED18" w:rsidR="009F05D3" w:rsidRPr="009F05D3" w:rsidRDefault="009F05D3" w:rsidP="00523BCF">
            <w:r w:rsidRPr="009F05D3">
              <w:t xml:space="preserve">Quality of </w:t>
            </w:r>
            <w:r w:rsidR="00D62ABA">
              <w:t>l</w:t>
            </w:r>
            <w:r w:rsidRPr="009F05D3">
              <w:t>ife</w:t>
            </w:r>
          </w:p>
        </w:tc>
      </w:tr>
      <w:tr w:rsidR="009F05D3" w:rsidRPr="009F05D3" w14:paraId="6B396E9A" w14:textId="77777777" w:rsidTr="0086289D">
        <w:tc>
          <w:tcPr>
            <w:tcW w:w="1890" w:type="dxa"/>
          </w:tcPr>
          <w:p w14:paraId="0BEF8707" w14:textId="77777777" w:rsidR="009F05D3" w:rsidRPr="009F05D3" w:rsidRDefault="009F05D3" w:rsidP="00523BCF">
            <w:r w:rsidRPr="009F05D3">
              <w:t>RECIST</w:t>
            </w:r>
          </w:p>
        </w:tc>
        <w:tc>
          <w:tcPr>
            <w:tcW w:w="6830" w:type="dxa"/>
          </w:tcPr>
          <w:p w14:paraId="7F1BDEA5" w14:textId="77777777" w:rsidR="009F05D3" w:rsidRPr="009F05D3" w:rsidRDefault="009F05D3" w:rsidP="00523BCF">
            <w:r w:rsidRPr="009F05D3">
              <w:t>Response evaluation criteria in solid tumours</w:t>
            </w:r>
          </w:p>
        </w:tc>
      </w:tr>
      <w:tr w:rsidR="009F05D3" w:rsidRPr="009F05D3" w14:paraId="38735B54" w14:textId="77777777" w:rsidTr="0086289D">
        <w:tc>
          <w:tcPr>
            <w:tcW w:w="1890" w:type="dxa"/>
          </w:tcPr>
          <w:p w14:paraId="15550428" w14:textId="77777777" w:rsidR="009F05D3" w:rsidRPr="009F05D3" w:rsidRDefault="009F05D3" w:rsidP="00523BCF">
            <w:r w:rsidRPr="009F05D3">
              <w:t>SAE</w:t>
            </w:r>
          </w:p>
        </w:tc>
        <w:tc>
          <w:tcPr>
            <w:tcW w:w="6830" w:type="dxa"/>
          </w:tcPr>
          <w:p w14:paraId="798D2FE5" w14:textId="77777777" w:rsidR="009F05D3" w:rsidRPr="009F05D3" w:rsidRDefault="009F05D3" w:rsidP="00523BCF">
            <w:r w:rsidRPr="009F05D3">
              <w:t xml:space="preserve">Serious </w:t>
            </w:r>
            <w:r w:rsidR="00CE012A" w:rsidRPr="009F05D3">
              <w:t>adverse event</w:t>
            </w:r>
          </w:p>
        </w:tc>
      </w:tr>
      <w:tr w:rsidR="00AB42EE" w:rsidRPr="009F05D3" w14:paraId="5F9704D1" w14:textId="77777777" w:rsidTr="0086289D">
        <w:tc>
          <w:tcPr>
            <w:tcW w:w="1890" w:type="dxa"/>
          </w:tcPr>
          <w:p w14:paraId="3C837829" w14:textId="77777777" w:rsidR="00AB42EE" w:rsidRPr="009F05D3" w:rsidRDefault="00AB42EE" w:rsidP="00523BCF">
            <w:r w:rsidRPr="00BE121F">
              <w:t>SCLC</w:t>
            </w:r>
          </w:p>
        </w:tc>
        <w:tc>
          <w:tcPr>
            <w:tcW w:w="6830" w:type="dxa"/>
          </w:tcPr>
          <w:p w14:paraId="1AA5A426" w14:textId="77777777" w:rsidR="00AB42EE" w:rsidRPr="009F05D3" w:rsidRDefault="00CE012A" w:rsidP="00523BCF">
            <w:r>
              <w:t>S</w:t>
            </w:r>
            <w:r w:rsidR="00AB42EE">
              <w:t>mall cell lung cancer</w:t>
            </w:r>
          </w:p>
        </w:tc>
      </w:tr>
      <w:tr w:rsidR="009F05D3" w:rsidRPr="009F05D3" w14:paraId="7920993B" w14:textId="77777777" w:rsidTr="0086289D">
        <w:tc>
          <w:tcPr>
            <w:tcW w:w="1890" w:type="dxa"/>
          </w:tcPr>
          <w:p w14:paraId="3FA0BCEA" w14:textId="77777777" w:rsidR="009F05D3" w:rsidRPr="009F05D3" w:rsidRDefault="009F05D3" w:rsidP="00523BCF">
            <w:r w:rsidRPr="009F05D3">
              <w:t>SD</w:t>
            </w:r>
          </w:p>
        </w:tc>
        <w:tc>
          <w:tcPr>
            <w:tcW w:w="6830" w:type="dxa"/>
          </w:tcPr>
          <w:p w14:paraId="147C2192" w14:textId="77777777" w:rsidR="009F05D3" w:rsidRPr="009F05D3" w:rsidRDefault="009F05D3" w:rsidP="00523BCF">
            <w:r w:rsidRPr="009F05D3">
              <w:t>Stable Disease</w:t>
            </w:r>
          </w:p>
        </w:tc>
      </w:tr>
      <w:tr w:rsidR="00A63E68" w:rsidRPr="009F05D3" w14:paraId="19025803" w14:textId="77777777" w:rsidTr="0086289D">
        <w:tc>
          <w:tcPr>
            <w:tcW w:w="1890" w:type="dxa"/>
          </w:tcPr>
          <w:p w14:paraId="72A3594D" w14:textId="77777777" w:rsidR="00A63E68" w:rsidRPr="009F05D3" w:rsidRDefault="00A63E68" w:rsidP="00523BCF">
            <w:r>
              <w:t>T4</w:t>
            </w:r>
          </w:p>
        </w:tc>
        <w:tc>
          <w:tcPr>
            <w:tcW w:w="6830" w:type="dxa"/>
          </w:tcPr>
          <w:p w14:paraId="7FA5DC53" w14:textId="77777777" w:rsidR="00A63E68" w:rsidRPr="009F05D3" w:rsidRDefault="00273D46" w:rsidP="00523BCF">
            <w:r>
              <w:t>Thyroxine</w:t>
            </w:r>
          </w:p>
        </w:tc>
      </w:tr>
      <w:tr w:rsidR="009F05D3" w:rsidRPr="009F05D3" w14:paraId="3D5D5F82" w14:textId="77777777" w:rsidTr="0086289D">
        <w:tc>
          <w:tcPr>
            <w:tcW w:w="1890" w:type="dxa"/>
          </w:tcPr>
          <w:p w14:paraId="09F7284F" w14:textId="77777777" w:rsidR="009F05D3" w:rsidRPr="009F05D3" w:rsidRDefault="009F05D3" w:rsidP="00523BCF">
            <w:r w:rsidRPr="009F05D3">
              <w:t>TGA</w:t>
            </w:r>
          </w:p>
        </w:tc>
        <w:tc>
          <w:tcPr>
            <w:tcW w:w="6830" w:type="dxa"/>
          </w:tcPr>
          <w:p w14:paraId="69D22188" w14:textId="77777777" w:rsidR="009F05D3" w:rsidRPr="009F05D3" w:rsidRDefault="009F05D3" w:rsidP="00523BCF">
            <w:r w:rsidRPr="009F05D3">
              <w:t>Therapeutic Goods Administration</w:t>
            </w:r>
          </w:p>
        </w:tc>
      </w:tr>
      <w:tr w:rsidR="005E1E9B" w:rsidRPr="009F05D3" w14:paraId="6D11B714" w14:textId="77777777" w:rsidTr="0086289D">
        <w:tc>
          <w:tcPr>
            <w:tcW w:w="1890" w:type="dxa"/>
          </w:tcPr>
          <w:p w14:paraId="4225D6CB" w14:textId="77777777" w:rsidR="005E1E9B" w:rsidRPr="009F05D3" w:rsidRDefault="005E1E9B" w:rsidP="00523BCF">
            <w:r>
              <w:t>TNF-α</w:t>
            </w:r>
          </w:p>
        </w:tc>
        <w:tc>
          <w:tcPr>
            <w:tcW w:w="6830" w:type="dxa"/>
          </w:tcPr>
          <w:p w14:paraId="40ADF80C" w14:textId="77777777" w:rsidR="005E1E9B" w:rsidRPr="005E1E9B" w:rsidRDefault="005E1E9B" w:rsidP="00523BCF">
            <w:r w:rsidRPr="005E1E9B">
              <w:t>Tumour necrosis factor</w:t>
            </w:r>
            <w:r>
              <w:t>-alpha</w:t>
            </w:r>
          </w:p>
        </w:tc>
      </w:tr>
      <w:tr w:rsidR="009F05D3" w:rsidRPr="009F05D3" w14:paraId="42D7E734" w14:textId="77777777" w:rsidTr="0086289D">
        <w:tc>
          <w:tcPr>
            <w:tcW w:w="1890" w:type="dxa"/>
          </w:tcPr>
          <w:p w14:paraId="5BA9687C" w14:textId="77777777" w:rsidR="009F05D3" w:rsidRPr="009F05D3" w:rsidRDefault="009F05D3" w:rsidP="00523BCF">
            <w:r w:rsidRPr="009F05D3">
              <w:t>TSH</w:t>
            </w:r>
          </w:p>
        </w:tc>
        <w:tc>
          <w:tcPr>
            <w:tcW w:w="6830" w:type="dxa"/>
          </w:tcPr>
          <w:p w14:paraId="0D1A3E62" w14:textId="6A595EBF" w:rsidR="009F05D3" w:rsidRPr="009F05D3" w:rsidRDefault="009F05D3" w:rsidP="00523BCF">
            <w:r w:rsidRPr="009F05D3">
              <w:t>Thyroid stimulating hormone</w:t>
            </w:r>
          </w:p>
        </w:tc>
      </w:tr>
      <w:tr w:rsidR="009F05D3" w:rsidRPr="009F05D3" w14:paraId="0B8493ED" w14:textId="77777777" w:rsidTr="0086289D">
        <w:tc>
          <w:tcPr>
            <w:tcW w:w="1890" w:type="dxa"/>
          </w:tcPr>
          <w:p w14:paraId="6FCD992B" w14:textId="77777777" w:rsidR="009F05D3" w:rsidRPr="009F05D3" w:rsidRDefault="009F05D3" w:rsidP="00523BCF">
            <w:r w:rsidRPr="009F05D3">
              <w:t>TTP</w:t>
            </w:r>
          </w:p>
        </w:tc>
        <w:tc>
          <w:tcPr>
            <w:tcW w:w="6830" w:type="dxa"/>
          </w:tcPr>
          <w:p w14:paraId="3D79FA50" w14:textId="77777777" w:rsidR="009F05D3" w:rsidRPr="009F05D3" w:rsidRDefault="009F05D3" w:rsidP="00523BCF">
            <w:r w:rsidRPr="009F05D3">
              <w:t>Time to progression</w:t>
            </w:r>
          </w:p>
        </w:tc>
      </w:tr>
      <w:tr w:rsidR="009F05D3" w:rsidRPr="009F05D3" w14:paraId="22A6476A" w14:textId="77777777" w:rsidTr="0086289D">
        <w:tc>
          <w:tcPr>
            <w:tcW w:w="1890" w:type="dxa"/>
          </w:tcPr>
          <w:p w14:paraId="782B9BCC" w14:textId="77777777" w:rsidR="009F05D3" w:rsidRPr="009F05D3" w:rsidRDefault="009F05D3" w:rsidP="00523BCF">
            <w:r w:rsidRPr="009F05D3">
              <w:lastRenderedPageBreak/>
              <w:t>ULN</w:t>
            </w:r>
          </w:p>
        </w:tc>
        <w:tc>
          <w:tcPr>
            <w:tcW w:w="6830" w:type="dxa"/>
          </w:tcPr>
          <w:p w14:paraId="3C04E3DC" w14:textId="254A5F45" w:rsidR="009F05D3" w:rsidRPr="009F05D3" w:rsidRDefault="009F05D3" w:rsidP="00523BCF">
            <w:r w:rsidRPr="009F05D3">
              <w:t xml:space="preserve">Upper </w:t>
            </w:r>
            <w:r w:rsidR="00D62ABA">
              <w:t>l</w:t>
            </w:r>
            <w:r w:rsidRPr="009F05D3">
              <w:t xml:space="preserve">imit of </w:t>
            </w:r>
            <w:r w:rsidR="00D62ABA">
              <w:t>n</w:t>
            </w:r>
            <w:r w:rsidR="00D62ABA" w:rsidRPr="009F05D3">
              <w:t>ormal</w:t>
            </w:r>
          </w:p>
        </w:tc>
      </w:tr>
    </w:tbl>
    <w:p w14:paraId="25A532F3" w14:textId="77777777" w:rsidR="00FD119B" w:rsidRPr="00FD119B" w:rsidRDefault="00FD119B" w:rsidP="00523BCF">
      <w:r w:rsidRPr="00FD119B">
        <w:br w:type="page"/>
      </w:r>
    </w:p>
    <w:p w14:paraId="4DA05BC2" w14:textId="77777777" w:rsidR="008E7846" w:rsidRDefault="00F53C07" w:rsidP="00523BCF">
      <w:pPr>
        <w:pStyle w:val="Heading2"/>
      </w:pPr>
      <w:bookmarkStart w:id="9" w:name="_Toc8053042"/>
      <w:r>
        <w:lastRenderedPageBreak/>
        <w:t>I.</w:t>
      </w:r>
      <w:r w:rsidR="008E7846">
        <w:t xml:space="preserve"> Introduction to </w:t>
      </w:r>
      <w:r w:rsidR="008E7846" w:rsidRPr="00523BCF">
        <w:t>product</w:t>
      </w:r>
      <w:r w:rsidR="008E7846">
        <w:t xml:space="preserve"> submission</w:t>
      </w:r>
      <w:bookmarkEnd w:id="0"/>
      <w:bookmarkEnd w:id="3"/>
      <w:bookmarkEnd w:id="9"/>
    </w:p>
    <w:p w14:paraId="1BED0642" w14:textId="77777777" w:rsidR="008E7846" w:rsidRDefault="008E7846" w:rsidP="008E7846">
      <w:pPr>
        <w:pStyle w:val="Heading3"/>
        <w:rPr>
          <w:lang w:eastAsia="en-AU"/>
        </w:rPr>
      </w:pPr>
      <w:bookmarkStart w:id="10" w:name="_Toc247691502"/>
      <w:bookmarkStart w:id="11" w:name="_Toc314842483"/>
      <w:bookmarkStart w:id="12" w:name="_Toc8053043"/>
      <w:r>
        <w:rPr>
          <w:lang w:eastAsia="en-AU"/>
        </w:rPr>
        <w:t>Submission details</w:t>
      </w:r>
      <w:bookmarkEnd w:id="10"/>
      <w:bookmarkEnd w:id="11"/>
      <w:bookmarkEnd w:id="12"/>
    </w:p>
    <w:tbl>
      <w:tblPr>
        <w:tblW w:w="9237" w:type="dxa"/>
        <w:tblInd w:w="108" w:type="dxa"/>
        <w:tblLook w:val="01E0" w:firstRow="1" w:lastRow="1" w:firstColumn="1" w:lastColumn="1" w:noHBand="0" w:noVBand="0"/>
      </w:tblPr>
      <w:tblGrid>
        <w:gridCol w:w="2914"/>
        <w:gridCol w:w="6323"/>
      </w:tblGrid>
      <w:tr w:rsidR="008E7846" w:rsidRPr="003D1E62" w14:paraId="576E29DC" w14:textId="77777777" w:rsidTr="00075827">
        <w:trPr>
          <w:trHeight w:val="461"/>
        </w:trPr>
        <w:tc>
          <w:tcPr>
            <w:tcW w:w="2914" w:type="dxa"/>
          </w:tcPr>
          <w:p w14:paraId="6F15D137" w14:textId="77777777" w:rsidR="008E7846" w:rsidRPr="003D1E62" w:rsidRDefault="001B5C90" w:rsidP="001B5C90">
            <w:pPr>
              <w:rPr>
                <w:i/>
              </w:rPr>
            </w:pPr>
            <w:r>
              <w:rPr>
                <w:i/>
              </w:rPr>
              <w:t>Type of s</w:t>
            </w:r>
            <w:r w:rsidR="008E7846" w:rsidRPr="003D1E62">
              <w:rPr>
                <w:i/>
              </w:rPr>
              <w:t>ubmission</w:t>
            </w:r>
            <w:r>
              <w:rPr>
                <w:i/>
              </w:rPr>
              <w:t>:</w:t>
            </w:r>
          </w:p>
        </w:tc>
        <w:tc>
          <w:tcPr>
            <w:tcW w:w="6323" w:type="dxa"/>
          </w:tcPr>
          <w:p w14:paraId="33081082" w14:textId="77777777" w:rsidR="008E7846" w:rsidRPr="003D1E62" w:rsidRDefault="008E7846" w:rsidP="00133F37">
            <w:r w:rsidRPr="003D1E62">
              <w:t xml:space="preserve">New </w:t>
            </w:r>
            <w:r w:rsidR="00133F37">
              <w:t>biological</w:t>
            </w:r>
            <w:r w:rsidRPr="003D1E62">
              <w:t xml:space="preserve"> </w:t>
            </w:r>
            <w:r w:rsidR="001B5C90">
              <w:t>e</w:t>
            </w:r>
            <w:r w:rsidR="00133F37">
              <w:t>ntity</w:t>
            </w:r>
          </w:p>
        </w:tc>
      </w:tr>
      <w:tr w:rsidR="008E7846" w:rsidRPr="003D1E62" w14:paraId="446049E9" w14:textId="77777777" w:rsidTr="00075827">
        <w:trPr>
          <w:trHeight w:val="472"/>
        </w:trPr>
        <w:tc>
          <w:tcPr>
            <w:tcW w:w="2914" w:type="dxa"/>
          </w:tcPr>
          <w:p w14:paraId="3848C692" w14:textId="77777777" w:rsidR="008E7846" w:rsidRPr="003D1E62" w:rsidRDefault="008E7846" w:rsidP="003D1E62">
            <w:r w:rsidRPr="003D1E62">
              <w:rPr>
                <w:i/>
              </w:rPr>
              <w:t>Decision</w:t>
            </w:r>
            <w:r w:rsidRPr="003D1E62">
              <w:t>:</w:t>
            </w:r>
          </w:p>
        </w:tc>
        <w:tc>
          <w:tcPr>
            <w:tcW w:w="6323" w:type="dxa"/>
          </w:tcPr>
          <w:p w14:paraId="5AF6AD39" w14:textId="77777777" w:rsidR="008E7846" w:rsidRPr="003D1E62" w:rsidRDefault="00133F37" w:rsidP="001B5C90">
            <w:r>
              <w:t>Approved</w:t>
            </w:r>
          </w:p>
        </w:tc>
      </w:tr>
      <w:tr w:rsidR="008E7846" w:rsidRPr="003D1E62" w14:paraId="46B780CA" w14:textId="77777777" w:rsidTr="00075827">
        <w:trPr>
          <w:trHeight w:val="461"/>
        </w:trPr>
        <w:tc>
          <w:tcPr>
            <w:tcW w:w="2914" w:type="dxa"/>
          </w:tcPr>
          <w:p w14:paraId="3D004031"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23" w:type="dxa"/>
          </w:tcPr>
          <w:p w14:paraId="4DAB7BC1" w14:textId="77777777" w:rsidR="008E7846" w:rsidRPr="003D1E62" w:rsidRDefault="00133F37" w:rsidP="001B5C90">
            <w:r>
              <w:t>2 January 2018</w:t>
            </w:r>
          </w:p>
        </w:tc>
      </w:tr>
      <w:tr w:rsidR="00ED2922" w:rsidRPr="003D1E62" w14:paraId="6956A467" w14:textId="77777777" w:rsidTr="00075827">
        <w:trPr>
          <w:trHeight w:val="461"/>
        </w:trPr>
        <w:tc>
          <w:tcPr>
            <w:tcW w:w="2914" w:type="dxa"/>
          </w:tcPr>
          <w:p w14:paraId="08D4B1E2" w14:textId="77777777" w:rsidR="00ED2922" w:rsidRPr="00441C3F" w:rsidRDefault="00ED2922" w:rsidP="001B5C90">
            <w:pPr>
              <w:rPr>
                <w:i/>
              </w:rPr>
            </w:pPr>
            <w:r w:rsidRPr="00441C3F">
              <w:rPr>
                <w:i/>
              </w:rPr>
              <w:t>Date of entry onto ARTG</w:t>
            </w:r>
            <w:r w:rsidR="00500337">
              <w:rPr>
                <w:i/>
              </w:rPr>
              <w:t>:</w:t>
            </w:r>
          </w:p>
        </w:tc>
        <w:tc>
          <w:tcPr>
            <w:tcW w:w="6323" w:type="dxa"/>
          </w:tcPr>
          <w:p w14:paraId="62B8DF2D" w14:textId="77777777" w:rsidR="00ED2922" w:rsidRPr="00441C3F" w:rsidRDefault="00133F37" w:rsidP="00EC463D">
            <w:pPr>
              <w:rPr>
                <w:i/>
              </w:rPr>
            </w:pPr>
            <w:r>
              <w:t>3 January 2018</w:t>
            </w:r>
          </w:p>
        </w:tc>
      </w:tr>
      <w:tr w:rsidR="00500337" w:rsidRPr="003D1E62" w14:paraId="4C564C7A" w14:textId="77777777" w:rsidTr="00075827">
        <w:trPr>
          <w:trHeight w:val="461"/>
        </w:trPr>
        <w:tc>
          <w:tcPr>
            <w:tcW w:w="2914" w:type="dxa"/>
          </w:tcPr>
          <w:p w14:paraId="3BEDE234" w14:textId="77777777" w:rsidR="00500337" w:rsidRPr="00441C3F" w:rsidRDefault="00133F37" w:rsidP="001B5C90">
            <w:pPr>
              <w:rPr>
                <w:i/>
              </w:rPr>
            </w:pPr>
            <w:r>
              <w:rPr>
                <w:i/>
              </w:rPr>
              <w:t>ARTG number</w:t>
            </w:r>
            <w:r w:rsidR="00500337">
              <w:rPr>
                <w:i/>
              </w:rPr>
              <w:t>:</w:t>
            </w:r>
          </w:p>
        </w:tc>
        <w:tc>
          <w:tcPr>
            <w:tcW w:w="6323" w:type="dxa"/>
          </w:tcPr>
          <w:p w14:paraId="300BB61D" w14:textId="77777777" w:rsidR="00500337" w:rsidRPr="00441C3F" w:rsidRDefault="00133F37" w:rsidP="00EC463D">
            <w:r>
              <w:t>282729</w:t>
            </w:r>
          </w:p>
        </w:tc>
      </w:tr>
      <w:tr w:rsidR="003735BC" w:rsidRPr="003D1E62" w14:paraId="1076CDE3" w14:textId="77777777" w:rsidTr="00CE012A">
        <w:trPr>
          <w:trHeight w:val="1187"/>
        </w:trPr>
        <w:tc>
          <w:tcPr>
            <w:tcW w:w="2914" w:type="dxa"/>
          </w:tcPr>
          <w:p w14:paraId="25C0CB46"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23" w:type="dxa"/>
          </w:tcPr>
          <w:p w14:paraId="704305EF" w14:textId="77777777" w:rsidR="003735BC" w:rsidRPr="00133F37" w:rsidRDefault="00133F37" w:rsidP="00133F37">
            <w:r w:rsidRPr="00133F37">
              <w:t>Yes</w:t>
            </w:r>
          </w:p>
          <w:p w14:paraId="564782EE" w14:textId="77777777" w:rsidR="003735BC" w:rsidRPr="00487162" w:rsidRDefault="003735BC" w:rsidP="003735BC">
            <w:r>
              <w:t xml:space="preserve">This product will remain in the scheme for 5 years, starting on the date the product is first supplied in </w:t>
            </w:r>
            <w:r w:rsidR="00133F37">
              <w:t>Australia.</w:t>
            </w:r>
          </w:p>
        </w:tc>
      </w:tr>
    </w:tbl>
    <w:p w14:paraId="38C546BF"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62A5A350" w14:textId="77777777" w:rsidTr="00BF1190">
        <w:tc>
          <w:tcPr>
            <w:tcW w:w="2907" w:type="dxa"/>
          </w:tcPr>
          <w:p w14:paraId="0337D998" w14:textId="77777777" w:rsidR="008E7846" w:rsidRPr="00487162" w:rsidRDefault="00133F37" w:rsidP="00E45619">
            <w:pPr>
              <w:rPr>
                <w:i/>
              </w:rPr>
            </w:pPr>
            <w:r>
              <w:rPr>
                <w:i/>
              </w:rPr>
              <w:t>Active ingredient</w:t>
            </w:r>
            <w:r w:rsidR="001B5C90">
              <w:rPr>
                <w:i/>
              </w:rPr>
              <w:t>:</w:t>
            </w:r>
          </w:p>
        </w:tc>
        <w:tc>
          <w:tcPr>
            <w:tcW w:w="6307" w:type="dxa"/>
          </w:tcPr>
          <w:p w14:paraId="10A34548" w14:textId="3135A1C6" w:rsidR="008E7846" w:rsidRPr="00487162" w:rsidRDefault="00D62ABA" w:rsidP="00E45619">
            <w:r>
              <w:t>Avelumab</w:t>
            </w:r>
          </w:p>
        </w:tc>
      </w:tr>
      <w:tr w:rsidR="008E7846" w:rsidRPr="00487162" w14:paraId="0F15092A" w14:textId="77777777" w:rsidTr="00BF1190">
        <w:tc>
          <w:tcPr>
            <w:tcW w:w="2907" w:type="dxa"/>
          </w:tcPr>
          <w:p w14:paraId="077721D6" w14:textId="77777777" w:rsidR="008E7846" w:rsidRPr="00487162" w:rsidRDefault="008E7846" w:rsidP="001B5C90">
            <w:pPr>
              <w:rPr>
                <w:i/>
              </w:rPr>
            </w:pPr>
            <w:r w:rsidRPr="00487162">
              <w:rPr>
                <w:i/>
              </w:rPr>
              <w:t>Product</w:t>
            </w:r>
            <w:r w:rsidR="00133F37">
              <w:rPr>
                <w:i/>
              </w:rPr>
              <w:t xml:space="preserve"> name</w:t>
            </w:r>
            <w:r w:rsidR="001B5C90">
              <w:rPr>
                <w:i/>
              </w:rPr>
              <w:t>:</w:t>
            </w:r>
          </w:p>
        </w:tc>
        <w:tc>
          <w:tcPr>
            <w:tcW w:w="6307" w:type="dxa"/>
          </w:tcPr>
          <w:p w14:paraId="0059C631" w14:textId="77777777" w:rsidR="008E7846" w:rsidRPr="00487162" w:rsidRDefault="00133F37" w:rsidP="00E45619">
            <w:r>
              <w:t>Bavencio</w:t>
            </w:r>
          </w:p>
        </w:tc>
      </w:tr>
      <w:tr w:rsidR="008E7846" w:rsidRPr="00487162" w14:paraId="0A47960F" w14:textId="77777777" w:rsidTr="00BF1190">
        <w:tc>
          <w:tcPr>
            <w:tcW w:w="2907" w:type="dxa"/>
          </w:tcPr>
          <w:p w14:paraId="350D4F0D"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A9E6FCF" w14:textId="77777777" w:rsidR="008E7846" w:rsidRDefault="00133F37" w:rsidP="00E45619">
            <w:r>
              <w:t>Merck Serono Australia Pty Ltd</w:t>
            </w:r>
          </w:p>
          <w:p w14:paraId="0B342C33" w14:textId="718BFC3F" w:rsidR="00133F37" w:rsidRDefault="00133F37" w:rsidP="00E45619">
            <w:r>
              <w:t xml:space="preserve">Units 3-4/ </w:t>
            </w:r>
            <w:r w:rsidR="00DB4C2B">
              <w:t>25 Frenchs Forest</w:t>
            </w:r>
            <w:r>
              <w:t xml:space="preserve"> Road East</w:t>
            </w:r>
          </w:p>
          <w:p w14:paraId="6B904564" w14:textId="4ADB2E23" w:rsidR="00133F37" w:rsidRDefault="00133F37" w:rsidP="00E45619">
            <w:r>
              <w:t>Frenchs Forest</w:t>
            </w:r>
          </w:p>
          <w:p w14:paraId="18C2F542" w14:textId="77777777" w:rsidR="00133F37" w:rsidRPr="00487162" w:rsidRDefault="00133F37" w:rsidP="00E45619">
            <w:r>
              <w:t>NSW 2086</w:t>
            </w:r>
          </w:p>
        </w:tc>
      </w:tr>
      <w:tr w:rsidR="008E7846" w:rsidRPr="00487162" w14:paraId="26BFCF74" w14:textId="77777777" w:rsidTr="00BF1190">
        <w:tc>
          <w:tcPr>
            <w:tcW w:w="2907" w:type="dxa"/>
          </w:tcPr>
          <w:p w14:paraId="77546FF3" w14:textId="77777777" w:rsidR="008E7846" w:rsidRPr="00487162" w:rsidRDefault="00133F37" w:rsidP="00E45619">
            <w:pPr>
              <w:rPr>
                <w:i/>
              </w:rPr>
            </w:pPr>
            <w:r>
              <w:rPr>
                <w:i/>
              </w:rPr>
              <w:t>Dose form</w:t>
            </w:r>
            <w:r w:rsidR="001B5C90">
              <w:rPr>
                <w:i/>
              </w:rPr>
              <w:t>:</w:t>
            </w:r>
          </w:p>
        </w:tc>
        <w:tc>
          <w:tcPr>
            <w:tcW w:w="6307" w:type="dxa"/>
          </w:tcPr>
          <w:p w14:paraId="7D57A773" w14:textId="77777777" w:rsidR="008E7846" w:rsidRPr="00487162" w:rsidRDefault="00133F37" w:rsidP="00E45619">
            <w:r>
              <w:t>Injection, concentrated</w:t>
            </w:r>
          </w:p>
        </w:tc>
      </w:tr>
      <w:tr w:rsidR="008E7846" w:rsidRPr="00487162" w14:paraId="0BEDE0BA" w14:textId="77777777" w:rsidTr="00BF1190">
        <w:tc>
          <w:tcPr>
            <w:tcW w:w="2907" w:type="dxa"/>
          </w:tcPr>
          <w:p w14:paraId="2786658A" w14:textId="77777777" w:rsidR="008E7846" w:rsidRPr="00487162" w:rsidRDefault="00133F37" w:rsidP="00E45619">
            <w:pPr>
              <w:rPr>
                <w:i/>
              </w:rPr>
            </w:pPr>
            <w:r>
              <w:rPr>
                <w:i/>
              </w:rPr>
              <w:t>Strength</w:t>
            </w:r>
            <w:r w:rsidR="008E7846" w:rsidRPr="00487162">
              <w:rPr>
                <w:i/>
              </w:rPr>
              <w:t xml:space="preserve">: </w:t>
            </w:r>
          </w:p>
        </w:tc>
        <w:tc>
          <w:tcPr>
            <w:tcW w:w="6307" w:type="dxa"/>
          </w:tcPr>
          <w:p w14:paraId="69F23526" w14:textId="77777777" w:rsidR="008E7846" w:rsidRPr="00487162" w:rsidRDefault="00133F37" w:rsidP="00E45619">
            <w:r>
              <w:t>200 mg/ 10 mL</w:t>
            </w:r>
          </w:p>
        </w:tc>
      </w:tr>
      <w:tr w:rsidR="008E7846" w:rsidRPr="00487162" w14:paraId="3596192A" w14:textId="77777777" w:rsidTr="00BF1190">
        <w:tc>
          <w:tcPr>
            <w:tcW w:w="2907" w:type="dxa"/>
          </w:tcPr>
          <w:p w14:paraId="3FD304F4" w14:textId="77777777" w:rsidR="008E7846" w:rsidRPr="00487162" w:rsidRDefault="00133F37" w:rsidP="00E45619">
            <w:pPr>
              <w:rPr>
                <w:i/>
              </w:rPr>
            </w:pPr>
            <w:r>
              <w:rPr>
                <w:i/>
              </w:rPr>
              <w:t>Container</w:t>
            </w:r>
            <w:r w:rsidR="008E7846" w:rsidRPr="00487162">
              <w:rPr>
                <w:i/>
              </w:rPr>
              <w:t>:</w:t>
            </w:r>
          </w:p>
        </w:tc>
        <w:tc>
          <w:tcPr>
            <w:tcW w:w="6307" w:type="dxa"/>
          </w:tcPr>
          <w:p w14:paraId="1D71E620" w14:textId="5585CFAD" w:rsidR="008E7846" w:rsidRPr="00487162" w:rsidRDefault="00D62ABA" w:rsidP="00E45619">
            <w:r>
              <w:t>Vial</w:t>
            </w:r>
          </w:p>
        </w:tc>
      </w:tr>
      <w:tr w:rsidR="008E7846" w:rsidRPr="00487162" w14:paraId="33C43DC1" w14:textId="77777777" w:rsidTr="00BF1190">
        <w:tc>
          <w:tcPr>
            <w:tcW w:w="2907" w:type="dxa"/>
          </w:tcPr>
          <w:p w14:paraId="5A503B4B" w14:textId="77777777" w:rsidR="008E7846" w:rsidRPr="00487162" w:rsidRDefault="00133F37" w:rsidP="00E45619">
            <w:pPr>
              <w:rPr>
                <w:i/>
              </w:rPr>
            </w:pPr>
            <w:r>
              <w:rPr>
                <w:i/>
              </w:rPr>
              <w:t>Pack size</w:t>
            </w:r>
            <w:r w:rsidR="008E7846" w:rsidRPr="00487162">
              <w:rPr>
                <w:i/>
              </w:rPr>
              <w:t>:</w:t>
            </w:r>
          </w:p>
        </w:tc>
        <w:tc>
          <w:tcPr>
            <w:tcW w:w="6307" w:type="dxa"/>
          </w:tcPr>
          <w:p w14:paraId="52FFA0AF" w14:textId="77777777" w:rsidR="008E7846" w:rsidRPr="00487162" w:rsidRDefault="00133F37" w:rsidP="00E45619">
            <w:r>
              <w:t>1</w:t>
            </w:r>
          </w:p>
        </w:tc>
      </w:tr>
      <w:tr w:rsidR="008E7846" w:rsidRPr="00487162" w14:paraId="79260728" w14:textId="77777777" w:rsidTr="00BF1190">
        <w:tc>
          <w:tcPr>
            <w:tcW w:w="2907" w:type="dxa"/>
          </w:tcPr>
          <w:p w14:paraId="0A81E95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4E14203" w14:textId="097D0D52" w:rsidR="00075827" w:rsidRPr="00075827" w:rsidRDefault="004A25E4" w:rsidP="00075827">
            <w:pPr>
              <w:rPr>
                <w:i/>
              </w:rPr>
            </w:pPr>
            <w:r>
              <w:rPr>
                <w:i/>
              </w:rPr>
              <w:t>Bavencio</w:t>
            </w:r>
            <w:r w:rsidR="00075827" w:rsidRPr="00075827">
              <w:rPr>
                <w:i/>
              </w:rPr>
              <w:t xml:space="preserve"> is indicated for the treatment of adults and paediatric patients 12 years and</w:t>
            </w:r>
            <w:r w:rsidR="00075827">
              <w:rPr>
                <w:i/>
              </w:rPr>
              <w:t xml:space="preserve"> </w:t>
            </w:r>
            <w:r w:rsidR="00075827" w:rsidRPr="00075827">
              <w:rPr>
                <w:i/>
              </w:rPr>
              <w:t>older with metastatic Merkel Cell Carcinoma (</w:t>
            </w:r>
            <w:proofErr w:type="spellStart"/>
            <w:r w:rsidR="006C35DA">
              <w:rPr>
                <w:i/>
              </w:rPr>
              <w:t>mMCC</w:t>
            </w:r>
            <w:proofErr w:type="spellEnd"/>
            <w:r w:rsidR="00075827" w:rsidRPr="00075827">
              <w:rPr>
                <w:i/>
              </w:rPr>
              <w:t>).</w:t>
            </w:r>
          </w:p>
          <w:p w14:paraId="40AE48A7" w14:textId="77777777" w:rsidR="008E7846" w:rsidRPr="00075827" w:rsidRDefault="00075827" w:rsidP="00075827">
            <w:pPr>
              <w:rPr>
                <w:i/>
              </w:rPr>
            </w:pPr>
            <w:r w:rsidRPr="00075827">
              <w:rPr>
                <w:i/>
              </w:rPr>
              <w:t xml:space="preserve">This indication is approved based on tumour response </w:t>
            </w:r>
            <w:r>
              <w:rPr>
                <w:i/>
              </w:rPr>
              <w:t xml:space="preserve">rate, duration of response in a </w:t>
            </w:r>
            <w:r w:rsidRPr="00075827">
              <w:rPr>
                <w:i/>
              </w:rPr>
              <w:t>single arm study.</w:t>
            </w:r>
          </w:p>
        </w:tc>
      </w:tr>
      <w:tr w:rsidR="008E7846" w:rsidRPr="00487162" w14:paraId="4A59527D" w14:textId="77777777" w:rsidTr="00BF1190">
        <w:tc>
          <w:tcPr>
            <w:tcW w:w="2907" w:type="dxa"/>
          </w:tcPr>
          <w:p w14:paraId="42ED773A" w14:textId="77777777" w:rsidR="008E7846" w:rsidRPr="00487162" w:rsidRDefault="00133F37" w:rsidP="00E45619">
            <w:pPr>
              <w:rPr>
                <w:i/>
              </w:rPr>
            </w:pPr>
            <w:r>
              <w:rPr>
                <w:i/>
              </w:rPr>
              <w:t>Route</w:t>
            </w:r>
            <w:r w:rsidR="008E7846" w:rsidRPr="00487162">
              <w:rPr>
                <w:i/>
              </w:rPr>
              <w:t xml:space="preserve"> of administration:</w:t>
            </w:r>
          </w:p>
        </w:tc>
        <w:tc>
          <w:tcPr>
            <w:tcW w:w="6307" w:type="dxa"/>
          </w:tcPr>
          <w:p w14:paraId="2B03C2EA" w14:textId="77777777" w:rsidR="008E7846" w:rsidRPr="00487162" w:rsidRDefault="00133F37" w:rsidP="00E45619">
            <w:r>
              <w:t>Intravenous infusion</w:t>
            </w:r>
          </w:p>
        </w:tc>
      </w:tr>
      <w:tr w:rsidR="008E7846" w:rsidRPr="00487162" w14:paraId="32CDA5D3" w14:textId="77777777" w:rsidTr="00BF1190">
        <w:tc>
          <w:tcPr>
            <w:tcW w:w="2907" w:type="dxa"/>
          </w:tcPr>
          <w:p w14:paraId="5FBE6A30" w14:textId="77777777" w:rsidR="008E7846" w:rsidRPr="00487162" w:rsidRDefault="008E7846" w:rsidP="00E45619">
            <w:pPr>
              <w:rPr>
                <w:i/>
              </w:rPr>
            </w:pPr>
            <w:r w:rsidRPr="00487162">
              <w:rPr>
                <w:i/>
              </w:rPr>
              <w:t>Dosage:</w:t>
            </w:r>
          </w:p>
        </w:tc>
        <w:tc>
          <w:tcPr>
            <w:tcW w:w="6307" w:type="dxa"/>
          </w:tcPr>
          <w:tbl>
            <w:tblPr>
              <w:tblW w:w="0" w:type="auto"/>
              <w:tblBorders>
                <w:top w:val="nil"/>
                <w:left w:val="nil"/>
                <w:bottom w:val="nil"/>
                <w:right w:val="nil"/>
              </w:tblBorders>
              <w:tblLook w:val="0000" w:firstRow="0" w:lastRow="0" w:firstColumn="0" w:lastColumn="0" w:noHBand="0" w:noVBand="0"/>
            </w:tblPr>
            <w:tblGrid>
              <w:gridCol w:w="6091"/>
            </w:tblGrid>
            <w:tr w:rsidR="008421D9" w:rsidRPr="008421D9" w14:paraId="4387FA29" w14:textId="77777777">
              <w:trPr>
                <w:trHeight w:val="223"/>
              </w:trPr>
              <w:tc>
                <w:tcPr>
                  <w:tcW w:w="0" w:type="auto"/>
                </w:tcPr>
                <w:p w14:paraId="26FC990B" w14:textId="77777777" w:rsidR="008421D9" w:rsidRPr="008421D9" w:rsidRDefault="008421D9" w:rsidP="008421D9">
                  <w:r w:rsidRPr="008421D9">
                    <w:t xml:space="preserve">The dose is 10 mg/kg body weight administered </w:t>
                  </w:r>
                  <w:r w:rsidR="00CE012A">
                    <w:t>intravenously (IV)</w:t>
                  </w:r>
                  <w:r w:rsidRPr="008421D9">
                    <w:t xml:space="preserve"> over 60 minutes once every 2 weeks. Treatment is to continue until disease progression or unacceptable toxicity occurs</w:t>
                  </w:r>
                  <w:r>
                    <w:t>.</w:t>
                  </w:r>
                </w:p>
              </w:tc>
            </w:tr>
          </w:tbl>
          <w:p w14:paraId="5294D574" w14:textId="77777777" w:rsidR="008E7846" w:rsidRPr="00487162" w:rsidRDefault="008E7846" w:rsidP="00E45619"/>
        </w:tc>
      </w:tr>
    </w:tbl>
    <w:p w14:paraId="165F4B99" w14:textId="77777777" w:rsidR="008E7846" w:rsidRDefault="008E7846" w:rsidP="00523BCF">
      <w:pPr>
        <w:pStyle w:val="Heading3"/>
      </w:pPr>
      <w:bookmarkStart w:id="13" w:name="_Toc247691503"/>
      <w:bookmarkStart w:id="14" w:name="_Toc314842484"/>
      <w:bookmarkStart w:id="15" w:name="_Toc8053044"/>
      <w:r>
        <w:lastRenderedPageBreak/>
        <w:t xml:space="preserve">Product </w:t>
      </w:r>
      <w:r w:rsidRPr="00523BCF">
        <w:t>background</w:t>
      </w:r>
      <w:bookmarkEnd w:id="13"/>
      <w:bookmarkEnd w:id="14"/>
      <w:bookmarkEnd w:id="15"/>
    </w:p>
    <w:p w14:paraId="60E3EC0B" w14:textId="77777777" w:rsidR="008E7846" w:rsidRDefault="00940A89" w:rsidP="00523BCF">
      <w:r w:rsidRPr="00940A89">
        <w:t xml:space="preserve">This AusPAR describes the application by </w:t>
      </w:r>
      <w:r w:rsidR="00F14953">
        <w:t>Merck Serono Australia Pty Ltd (</w:t>
      </w:r>
      <w:r w:rsidRPr="00940A89">
        <w:t>the sponsor</w:t>
      </w:r>
      <w:r w:rsidR="00F14953">
        <w:t>)</w:t>
      </w:r>
      <w:r w:rsidRPr="00940A89">
        <w:t xml:space="preserve"> to register </w:t>
      </w:r>
      <w:r w:rsidR="00F14953">
        <w:t>Bavencio</w:t>
      </w:r>
      <w:r w:rsidRPr="00940A89">
        <w:t xml:space="preserve"> for the following indicatio</w:t>
      </w:r>
      <w:r w:rsidR="00F14953">
        <w:t>n:</w:t>
      </w:r>
    </w:p>
    <w:p w14:paraId="22E35C6E" w14:textId="1D74C4BA" w:rsidR="00F14953" w:rsidRPr="00A62BB1" w:rsidRDefault="004A25E4" w:rsidP="00A62BB1">
      <w:pPr>
        <w:ind w:left="720"/>
        <w:rPr>
          <w:i/>
        </w:rPr>
      </w:pPr>
      <w:r>
        <w:rPr>
          <w:i/>
        </w:rPr>
        <w:t>Bavencio</w:t>
      </w:r>
      <w:r w:rsidR="00F14953" w:rsidRPr="00F14953">
        <w:rPr>
          <w:i/>
        </w:rPr>
        <w:t xml:space="preserve"> is indicated for the treatment of patients with metastatic Merkel Cell Carcinoma (</w:t>
      </w:r>
      <w:proofErr w:type="spellStart"/>
      <w:r w:rsidR="006C35DA">
        <w:rPr>
          <w:i/>
        </w:rPr>
        <w:t>mMCC</w:t>
      </w:r>
      <w:proofErr w:type="spellEnd"/>
      <w:r w:rsidR="00F14953" w:rsidRPr="00F14953">
        <w:rPr>
          <w:i/>
        </w:rPr>
        <w:t>) whose disease has progressed after receiv</w:t>
      </w:r>
      <w:r w:rsidR="00E5589B">
        <w:rPr>
          <w:i/>
        </w:rPr>
        <w:t>ing at least one prior therapy.</w:t>
      </w:r>
    </w:p>
    <w:p w14:paraId="075DBA29" w14:textId="7E6E620F" w:rsidR="00556964" w:rsidRDefault="00E5589B" w:rsidP="00523BCF">
      <w:pPr>
        <w:rPr>
          <w:lang w:eastAsia="ja-JP"/>
        </w:rPr>
      </w:pPr>
      <w:r w:rsidRPr="00E5589B">
        <w:t xml:space="preserve">Merkel </w:t>
      </w:r>
      <w:r w:rsidR="00D62ABA">
        <w:t>c</w:t>
      </w:r>
      <w:r w:rsidR="00D62ABA" w:rsidRPr="00E5589B">
        <w:t xml:space="preserve">ell </w:t>
      </w:r>
      <w:r w:rsidR="00D62ABA">
        <w:t>c</w:t>
      </w:r>
      <w:r w:rsidR="00D62ABA" w:rsidRPr="00E5589B">
        <w:t>arcinoma</w:t>
      </w:r>
      <w:r w:rsidR="00D62ABA">
        <w:rPr>
          <w:lang w:eastAsia="ja-JP"/>
        </w:rPr>
        <w:t xml:space="preserve"> </w:t>
      </w:r>
      <w:r>
        <w:rPr>
          <w:lang w:eastAsia="ja-JP"/>
        </w:rPr>
        <w:t>(</w:t>
      </w:r>
      <w:r w:rsidR="006703EC">
        <w:rPr>
          <w:lang w:eastAsia="ja-JP"/>
        </w:rPr>
        <w:t>MCC</w:t>
      </w:r>
      <w:r>
        <w:rPr>
          <w:lang w:eastAsia="ja-JP"/>
        </w:rPr>
        <w:t>)</w:t>
      </w:r>
      <w:r w:rsidR="006703EC">
        <w:rPr>
          <w:lang w:eastAsia="ja-JP"/>
        </w:rPr>
        <w:t xml:space="preserve"> is a skin malignancy, believed to originate in the Merkel cell, a neuroendocrine cell located in the basal layer of the epidermis.</w:t>
      </w:r>
      <w:r w:rsidR="00593A0E">
        <w:rPr>
          <w:lang w:eastAsia="ja-JP"/>
        </w:rPr>
        <w:t xml:space="preserve"> </w:t>
      </w:r>
      <w:r w:rsidR="00E90D4F">
        <w:rPr>
          <w:lang w:eastAsia="ja-JP"/>
        </w:rPr>
        <w:t xml:space="preserve">Known causative factors for MCC are the Merkel cell polyomavirus (MCV) and exposure to </w:t>
      </w:r>
      <w:r>
        <w:rPr>
          <w:lang w:eastAsia="ja-JP"/>
        </w:rPr>
        <w:t>ultra violet (</w:t>
      </w:r>
      <w:r w:rsidR="00E90D4F">
        <w:rPr>
          <w:lang w:eastAsia="ja-JP"/>
        </w:rPr>
        <w:t>UV</w:t>
      </w:r>
      <w:r>
        <w:rPr>
          <w:lang w:eastAsia="ja-JP"/>
        </w:rPr>
        <w:t>)</w:t>
      </w:r>
      <w:r w:rsidR="00E90D4F">
        <w:rPr>
          <w:lang w:eastAsia="ja-JP"/>
        </w:rPr>
        <w:t xml:space="preserve"> radiation. Approximately 80% of MCC tumours are positive for clonally integrated MCV. Immunosuppressed subjects are at an increased risk of developing the disease and incidence is increased in men compared to women, in white subjects and in the </w:t>
      </w:r>
      <w:r w:rsidR="00E90D4F" w:rsidRPr="00256946">
        <w:rPr>
          <w:lang w:eastAsia="ja-JP"/>
        </w:rPr>
        <w:t>elderly.</w:t>
      </w:r>
      <w:bookmarkStart w:id="16" w:name="_Ref527386492"/>
      <w:r w:rsidR="00E90D4F" w:rsidRPr="00256946">
        <w:rPr>
          <w:rStyle w:val="FootnoteReference"/>
          <w:lang w:eastAsia="ja-JP"/>
        </w:rPr>
        <w:footnoteReference w:id="1"/>
      </w:r>
      <w:bookmarkEnd w:id="16"/>
      <w:r w:rsidR="00F14953">
        <w:rPr>
          <w:lang w:eastAsia="ja-JP"/>
        </w:rPr>
        <w:t xml:space="preserve"> </w:t>
      </w:r>
      <w:r w:rsidR="00E90D4F">
        <w:rPr>
          <w:lang w:eastAsia="ja-JP"/>
        </w:rPr>
        <w:t>The prognosis for patients with metastatic dise</w:t>
      </w:r>
      <w:r w:rsidR="00212B36">
        <w:rPr>
          <w:lang w:eastAsia="ja-JP"/>
        </w:rPr>
        <w:t xml:space="preserve">ase is poor with an estimated 5 </w:t>
      </w:r>
      <w:r w:rsidR="00E90D4F">
        <w:rPr>
          <w:lang w:eastAsia="ja-JP"/>
        </w:rPr>
        <w:t>year survival of only 13.5%</w:t>
      </w:r>
      <w:r w:rsidR="00E90D4F" w:rsidRPr="00294EAC">
        <w:t>.</w:t>
      </w:r>
      <w:r w:rsidR="00212B36" w:rsidRPr="00212B36">
        <w:rPr>
          <w:highlight w:val="yellow"/>
          <w:vertAlign w:val="superscript"/>
        </w:rPr>
        <w:fldChar w:fldCharType="begin"/>
      </w:r>
      <w:r w:rsidR="00212B36" w:rsidRPr="00212B36">
        <w:rPr>
          <w:vertAlign w:val="superscript"/>
        </w:rPr>
        <w:instrText xml:space="preserve"> NOTEREF _Ref527386492 \h </w:instrText>
      </w:r>
      <w:r w:rsidR="00212B36" w:rsidRPr="00212B36">
        <w:rPr>
          <w:highlight w:val="yellow"/>
          <w:vertAlign w:val="superscript"/>
        </w:rPr>
        <w:instrText xml:space="preserve"> \* MERGEFORMAT </w:instrText>
      </w:r>
      <w:r w:rsidR="00212B36" w:rsidRPr="00212B36">
        <w:rPr>
          <w:highlight w:val="yellow"/>
          <w:vertAlign w:val="superscript"/>
        </w:rPr>
      </w:r>
      <w:r w:rsidR="00212B36" w:rsidRPr="00212B36">
        <w:rPr>
          <w:highlight w:val="yellow"/>
          <w:vertAlign w:val="superscript"/>
        </w:rPr>
        <w:fldChar w:fldCharType="separate"/>
      </w:r>
      <w:r w:rsidR="0016256C">
        <w:rPr>
          <w:vertAlign w:val="superscript"/>
        </w:rPr>
        <w:t>1</w:t>
      </w:r>
      <w:r w:rsidR="00212B36" w:rsidRPr="00212B36">
        <w:rPr>
          <w:highlight w:val="yellow"/>
          <w:vertAlign w:val="superscript"/>
        </w:rPr>
        <w:fldChar w:fldCharType="end"/>
      </w:r>
    </w:p>
    <w:p w14:paraId="31BB7456" w14:textId="77777777" w:rsidR="00556964" w:rsidRDefault="00556964" w:rsidP="00523BCF">
      <w:pPr>
        <w:rPr>
          <w:lang w:eastAsia="ja-JP"/>
        </w:rPr>
      </w:pPr>
      <w:r>
        <w:rPr>
          <w:lang w:eastAsia="ja-JP"/>
        </w:rPr>
        <w:t>There are no established or approved therapies for the treatment of metastatic MCC. The current guidelines suggest the use of cisplatin or carboplatin with or without etoposide. Alternative recommended treatments include topotecan or combination therapy with cyclophosphamide, doxorubicin and vincristine (CAV)</w:t>
      </w:r>
      <w:r w:rsidR="00E5589B">
        <w:rPr>
          <w:lang w:eastAsia="ja-JP"/>
        </w:rPr>
        <w:t>.</w:t>
      </w:r>
    </w:p>
    <w:p w14:paraId="7F6ADEFB" w14:textId="77777777" w:rsidR="00593A0E" w:rsidRDefault="00A62BB1" w:rsidP="00523BCF">
      <w:r w:rsidRPr="009F05D3">
        <w:t xml:space="preserve">Avelumab </w:t>
      </w:r>
      <w:r>
        <w:t xml:space="preserve">(Bavencio) </w:t>
      </w:r>
      <w:r w:rsidRPr="009F05D3">
        <w:t>is a monoclonal antibody directed against the programmed cell death ligand 1 (PD-L1).</w:t>
      </w:r>
      <w:r>
        <w:t xml:space="preserve">) </w:t>
      </w:r>
      <w:r w:rsidR="00593A0E" w:rsidRPr="00BE7FA0">
        <w:t>PD-L1</w:t>
      </w:r>
      <w:r w:rsidR="00593A0E">
        <w:t xml:space="preserve"> </w:t>
      </w:r>
      <w:r w:rsidR="00593A0E" w:rsidRPr="00BE7FA0">
        <w:t>is a transmembrane protein that functions to suppress T</w:t>
      </w:r>
      <w:r w:rsidR="00E5589B">
        <w:t> </w:t>
      </w:r>
      <w:r w:rsidR="00593A0E" w:rsidRPr="00BE7FA0">
        <w:t>cell activation t</w:t>
      </w:r>
      <w:r w:rsidR="00593A0E">
        <w:t>hrough engagement of the PD-1 (programmed death 1</w:t>
      </w:r>
      <w:r w:rsidR="00593A0E" w:rsidRPr="00BE7FA0">
        <w:t>) receptor present on the surface of activated T cells.</w:t>
      </w:r>
      <w:r w:rsidR="00593A0E">
        <w:t xml:space="preserve"> T</w:t>
      </w:r>
      <w:r w:rsidR="00593A0E" w:rsidRPr="009A00DE">
        <w:t>he</w:t>
      </w:r>
      <w:r w:rsidR="00593A0E">
        <w:t xml:space="preserve"> </w:t>
      </w:r>
      <w:r w:rsidR="00593A0E" w:rsidRPr="009A00DE">
        <w:t>overexpression of PD-L1 in tumo</w:t>
      </w:r>
      <w:r w:rsidR="00593A0E">
        <w:t>u</w:t>
      </w:r>
      <w:r w:rsidR="00593A0E" w:rsidRPr="009A00DE">
        <w:t>rs</w:t>
      </w:r>
      <w:r w:rsidR="00593A0E">
        <w:t xml:space="preserve"> and in </w:t>
      </w:r>
      <w:r w:rsidR="00593A0E" w:rsidRPr="009A00DE">
        <w:t>the tumo</w:t>
      </w:r>
      <w:r w:rsidR="00593A0E">
        <w:t xml:space="preserve">ur microenvironment has been shown </w:t>
      </w:r>
      <w:r w:rsidR="00593A0E" w:rsidRPr="009A00DE">
        <w:t>to correlate with disease progression, i</w:t>
      </w:r>
      <w:r w:rsidR="00593A0E">
        <w:t>nvasiveness, and poor prognosis in cancer patients. By binding PD-L1, avelumab is intended to block the ligand’s interaction with PD-1, removing the suppressive effect, and restoring cytotoxi</w:t>
      </w:r>
      <w:r>
        <w:t>c/anti-tumour T cell responses.</w:t>
      </w:r>
    </w:p>
    <w:p w14:paraId="41F937EC" w14:textId="77777777" w:rsidR="008E7846" w:rsidRPr="003F31A2" w:rsidRDefault="00386150" w:rsidP="00523BCF">
      <w:pPr>
        <w:pStyle w:val="Heading3"/>
      </w:pPr>
      <w:bookmarkStart w:id="17" w:name="_Toc314842485"/>
      <w:bookmarkStart w:id="18" w:name="_Toc247691504"/>
      <w:bookmarkStart w:id="19" w:name="_Toc8053045"/>
      <w:r>
        <w:t xml:space="preserve">Regulatory </w:t>
      </w:r>
      <w:r w:rsidRPr="00523BCF">
        <w:t>s</w:t>
      </w:r>
      <w:r w:rsidR="008E7846" w:rsidRPr="00523BCF">
        <w:t>tatus</w:t>
      </w:r>
      <w:bookmarkEnd w:id="17"/>
      <w:bookmarkEnd w:id="18"/>
      <w:bookmarkEnd w:id="19"/>
    </w:p>
    <w:p w14:paraId="10E33294" w14:textId="77777777" w:rsidR="00940A89" w:rsidRPr="00940A89" w:rsidRDefault="00940A89" w:rsidP="00523BCF">
      <w:bookmarkStart w:id="20" w:name="_Toc247691505"/>
      <w:bookmarkStart w:id="21" w:name="_Toc314842486"/>
      <w:r w:rsidRPr="00940A89">
        <w:t>The product received initial registration on the Australian Register of Therapeutic Goods (ARTG) on</w:t>
      </w:r>
      <w:r w:rsidR="00A62BB1">
        <w:t xml:space="preserve"> 3 January 2018.</w:t>
      </w:r>
    </w:p>
    <w:p w14:paraId="77180312" w14:textId="77777777" w:rsidR="001F6297" w:rsidRDefault="00940A89" w:rsidP="00940A89">
      <w:r w:rsidRPr="00940A89">
        <w:t xml:space="preserve">At the time the TGA considered this </w:t>
      </w:r>
      <w:r w:rsidR="00E5589B" w:rsidRPr="00940A89">
        <w:t>application;</w:t>
      </w:r>
      <w:r w:rsidRPr="00940A89">
        <w:t xml:space="preserve"> a similar application had been approved </w:t>
      </w:r>
      <w:r w:rsidR="001F6297">
        <w:t xml:space="preserve">or </w:t>
      </w:r>
      <w:r w:rsidRPr="00940A89">
        <w:t>was under co</w:t>
      </w:r>
      <w:r>
        <w:t xml:space="preserve">nsideration in </w:t>
      </w:r>
      <w:r w:rsidR="001F6297">
        <w:t>the countries as detailed in Table 1.</w:t>
      </w:r>
    </w:p>
    <w:p w14:paraId="6F3AC94A" w14:textId="77777777" w:rsidR="00940A89" w:rsidRDefault="00E5589B" w:rsidP="00523BCF">
      <w:pPr>
        <w:pStyle w:val="TableTitle"/>
      </w:pPr>
      <w:r>
        <w:lastRenderedPageBreak/>
        <w:t>Table 1:</w:t>
      </w:r>
      <w:r w:rsidR="001F6297">
        <w:t xml:space="preserve"> International regulatory </w:t>
      </w:r>
      <w:r w:rsidR="001F6297" w:rsidRPr="00523BCF">
        <w:t>status</w:t>
      </w:r>
    </w:p>
    <w:tbl>
      <w:tblPr>
        <w:tblStyle w:val="TableTGAblue"/>
        <w:tblW w:w="0" w:type="auto"/>
        <w:tblLook w:val="04A0" w:firstRow="1" w:lastRow="0" w:firstColumn="1" w:lastColumn="0" w:noHBand="0" w:noVBand="1"/>
      </w:tblPr>
      <w:tblGrid>
        <w:gridCol w:w="2093"/>
        <w:gridCol w:w="2551"/>
        <w:gridCol w:w="4076"/>
      </w:tblGrid>
      <w:tr w:rsidR="001F6297" w:rsidRPr="001F6297" w14:paraId="470C22B2" w14:textId="77777777" w:rsidTr="00B9688B">
        <w:trPr>
          <w:cnfStyle w:val="100000000000" w:firstRow="1" w:lastRow="0" w:firstColumn="0" w:lastColumn="0" w:oddVBand="0" w:evenVBand="0" w:oddHBand="0" w:evenHBand="0" w:firstRowFirstColumn="0" w:firstRowLastColumn="0" w:lastRowFirstColumn="0" w:lastRowLastColumn="0"/>
          <w:trHeight w:val="809"/>
        </w:trPr>
        <w:tc>
          <w:tcPr>
            <w:tcW w:w="2093" w:type="dxa"/>
          </w:tcPr>
          <w:p w14:paraId="3D49108C" w14:textId="77777777" w:rsidR="001F6297" w:rsidRPr="001F6297" w:rsidRDefault="001F6297" w:rsidP="00D62ABA">
            <w:pPr>
              <w:ind w:left="0" w:right="0"/>
              <w:rPr>
                <w:sz w:val="20"/>
                <w:szCs w:val="20"/>
              </w:rPr>
            </w:pPr>
            <w:r w:rsidRPr="001F6297">
              <w:rPr>
                <w:sz w:val="20"/>
                <w:szCs w:val="20"/>
              </w:rPr>
              <w:t>Country</w:t>
            </w:r>
          </w:p>
        </w:tc>
        <w:tc>
          <w:tcPr>
            <w:tcW w:w="2551" w:type="dxa"/>
          </w:tcPr>
          <w:p w14:paraId="370C9DA8" w14:textId="6BB4D66D" w:rsidR="001F6297" w:rsidRPr="001F6297" w:rsidRDefault="001F6297" w:rsidP="001A4B5C">
            <w:pPr>
              <w:ind w:left="0" w:right="0"/>
              <w:rPr>
                <w:sz w:val="20"/>
                <w:szCs w:val="20"/>
              </w:rPr>
            </w:pPr>
            <w:r w:rsidRPr="001F6297">
              <w:rPr>
                <w:sz w:val="20"/>
                <w:szCs w:val="20"/>
              </w:rPr>
              <w:t xml:space="preserve">Submission </w:t>
            </w:r>
            <w:r w:rsidR="00D62ABA">
              <w:rPr>
                <w:sz w:val="20"/>
                <w:szCs w:val="20"/>
              </w:rPr>
              <w:t>d</w:t>
            </w:r>
            <w:r w:rsidR="00D62ABA" w:rsidRPr="001F6297">
              <w:rPr>
                <w:sz w:val="20"/>
                <w:szCs w:val="20"/>
              </w:rPr>
              <w:t xml:space="preserve">ate </w:t>
            </w:r>
            <w:r w:rsidRPr="001F6297">
              <w:rPr>
                <w:sz w:val="20"/>
                <w:szCs w:val="20"/>
              </w:rPr>
              <w:t>and status</w:t>
            </w:r>
          </w:p>
        </w:tc>
        <w:tc>
          <w:tcPr>
            <w:tcW w:w="4076" w:type="dxa"/>
          </w:tcPr>
          <w:p w14:paraId="7A0904DA" w14:textId="77777777" w:rsidR="001F6297" w:rsidRPr="001F6297" w:rsidRDefault="001F6297" w:rsidP="00D2514A">
            <w:pPr>
              <w:ind w:left="0" w:right="0"/>
              <w:rPr>
                <w:sz w:val="20"/>
                <w:szCs w:val="20"/>
              </w:rPr>
            </w:pPr>
            <w:r w:rsidRPr="001F6297">
              <w:rPr>
                <w:sz w:val="20"/>
                <w:szCs w:val="20"/>
              </w:rPr>
              <w:t>Indications</w:t>
            </w:r>
          </w:p>
        </w:tc>
      </w:tr>
      <w:tr w:rsidR="001F6297" w:rsidRPr="001F6297" w14:paraId="59B203BF" w14:textId="77777777" w:rsidTr="001F6297">
        <w:tc>
          <w:tcPr>
            <w:tcW w:w="2093" w:type="dxa"/>
          </w:tcPr>
          <w:p w14:paraId="379BD81D" w14:textId="77777777" w:rsidR="001F6297" w:rsidRPr="001F6297" w:rsidRDefault="001F6297" w:rsidP="00B9688B">
            <w:pPr>
              <w:keepNext/>
              <w:ind w:left="0" w:right="0"/>
              <w:rPr>
                <w:sz w:val="20"/>
                <w:szCs w:val="20"/>
              </w:rPr>
            </w:pPr>
            <w:r w:rsidRPr="001F6297">
              <w:rPr>
                <w:sz w:val="20"/>
                <w:szCs w:val="20"/>
              </w:rPr>
              <w:t>USA</w:t>
            </w:r>
          </w:p>
        </w:tc>
        <w:tc>
          <w:tcPr>
            <w:tcW w:w="2551" w:type="dxa"/>
          </w:tcPr>
          <w:p w14:paraId="70BE9504" w14:textId="53038B92" w:rsidR="001F6297" w:rsidRPr="001F6297" w:rsidRDefault="001F6297" w:rsidP="00B9688B">
            <w:pPr>
              <w:keepNext/>
              <w:ind w:left="0" w:right="0"/>
              <w:rPr>
                <w:sz w:val="20"/>
                <w:szCs w:val="20"/>
              </w:rPr>
            </w:pPr>
            <w:r w:rsidRPr="001F6297">
              <w:rPr>
                <w:sz w:val="20"/>
                <w:szCs w:val="20"/>
              </w:rPr>
              <w:t xml:space="preserve">BLA </w:t>
            </w:r>
            <w:r w:rsidR="00D62ABA">
              <w:rPr>
                <w:sz w:val="20"/>
                <w:szCs w:val="20"/>
              </w:rPr>
              <w:t xml:space="preserve">23 </w:t>
            </w:r>
            <w:r w:rsidRPr="001F6297">
              <w:rPr>
                <w:sz w:val="20"/>
                <w:szCs w:val="20"/>
              </w:rPr>
              <w:t>September 2016</w:t>
            </w:r>
          </w:p>
          <w:p w14:paraId="5A67BB67" w14:textId="77777777" w:rsidR="001F6297" w:rsidRPr="001F6297" w:rsidRDefault="001F6297" w:rsidP="00B9688B">
            <w:pPr>
              <w:keepNext/>
              <w:ind w:left="0" w:right="0"/>
              <w:rPr>
                <w:sz w:val="20"/>
                <w:szCs w:val="20"/>
              </w:rPr>
            </w:pPr>
            <w:r w:rsidRPr="001F6297">
              <w:rPr>
                <w:sz w:val="20"/>
                <w:szCs w:val="20"/>
              </w:rPr>
              <w:t>Approved 23 March 2017</w:t>
            </w:r>
          </w:p>
          <w:p w14:paraId="588D4F7C" w14:textId="77777777" w:rsidR="001F6297" w:rsidRPr="001F6297" w:rsidRDefault="00256946" w:rsidP="00B9688B">
            <w:pPr>
              <w:keepNext/>
              <w:ind w:left="0" w:right="0"/>
              <w:rPr>
                <w:sz w:val="20"/>
                <w:szCs w:val="20"/>
              </w:rPr>
            </w:pPr>
            <w:r w:rsidRPr="001F6297">
              <w:rPr>
                <w:sz w:val="20"/>
                <w:szCs w:val="20"/>
              </w:rPr>
              <w:t xml:space="preserve">Accelerated approval </w:t>
            </w:r>
            <w:r w:rsidR="001F6297" w:rsidRPr="001F6297">
              <w:rPr>
                <w:sz w:val="20"/>
                <w:szCs w:val="20"/>
              </w:rPr>
              <w:t>with a confirmatory trial requirement</w:t>
            </w:r>
          </w:p>
        </w:tc>
        <w:tc>
          <w:tcPr>
            <w:tcW w:w="4076" w:type="dxa"/>
          </w:tcPr>
          <w:p w14:paraId="402F258F" w14:textId="77777777" w:rsidR="001F6297" w:rsidRDefault="001F6297" w:rsidP="00B9688B">
            <w:pPr>
              <w:keepNext/>
              <w:ind w:left="0" w:right="0"/>
              <w:rPr>
                <w:sz w:val="20"/>
                <w:szCs w:val="20"/>
              </w:rPr>
            </w:pPr>
            <w:r w:rsidRPr="001F6297">
              <w:rPr>
                <w:sz w:val="20"/>
                <w:szCs w:val="20"/>
              </w:rPr>
              <w:t xml:space="preserve">Indicated for the treatment of adults and </w:t>
            </w:r>
            <w:proofErr w:type="spellStart"/>
            <w:r w:rsidRPr="001F6297">
              <w:rPr>
                <w:sz w:val="20"/>
                <w:szCs w:val="20"/>
              </w:rPr>
              <w:t>pediatric</w:t>
            </w:r>
            <w:proofErr w:type="spellEnd"/>
            <w:r w:rsidRPr="001F6297">
              <w:rPr>
                <w:sz w:val="20"/>
                <w:szCs w:val="20"/>
              </w:rPr>
              <w:t xml:space="preserve"> patients 12 years and older with metastatic Merkel cell carcinoma (MCC).</w:t>
            </w:r>
          </w:p>
          <w:p w14:paraId="6BC0ACCC" w14:textId="77777777" w:rsidR="00AB42EE" w:rsidRPr="00AB42EE" w:rsidRDefault="00AB42EE" w:rsidP="00B9688B">
            <w:pPr>
              <w:keepNext/>
              <w:ind w:left="0" w:right="0"/>
              <w:rPr>
                <w:sz w:val="20"/>
                <w:szCs w:val="20"/>
              </w:rPr>
            </w:pPr>
            <w:r w:rsidRPr="00AB42EE">
              <w:rPr>
                <w:sz w:val="20"/>
                <w:szCs w:val="20"/>
              </w:rPr>
              <w:t xml:space="preserve">This indication is approved under accelerated approval based on </w:t>
            </w:r>
            <w:proofErr w:type="spellStart"/>
            <w:r w:rsidRPr="00AB42EE">
              <w:rPr>
                <w:sz w:val="20"/>
                <w:szCs w:val="20"/>
              </w:rPr>
              <w:t>tumor</w:t>
            </w:r>
            <w:proofErr w:type="spellEnd"/>
            <w:r w:rsidRPr="00AB42EE">
              <w:rPr>
                <w:sz w:val="20"/>
                <w:szCs w:val="20"/>
              </w:rPr>
              <w:t xml:space="preserve"> response and duration of response. Continued approval for this indication may be contingent upon verification and description of clinical benefit in confirmatory trials</w:t>
            </w:r>
          </w:p>
        </w:tc>
      </w:tr>
      <w:tr w:rsidR="001F6297" w:rsidRPr="001F6297" w14:paraId="6104C9FF" w14:textId="77777777" w:rsidTr="001F6297">
        <w:tc>
          <w:tcPr>
            <w:tcW w:w="2093" w:type="dxa"/>
          </w:tcPr>
          <w:p w14:paraId="1D46971F" w14:textId="77777777" w:rsidR="001F6297" w:rsidRPr="001F6297" w:rsidRDefault="001F6297" w:rsidP="001F6297">
            <w:pPr>
              <w:ind w:left="0" w:right="0"/>
              <w:rPr>
                <w:sz w:val="20"/>
                <w:szCs w:val="20"/>
              </w:rPr>
            </w:pPr>
            <w:r w:rsidRPr="001F6297">
              <w:rPr>
                <w:sz w:val="20"/>
                <w:szCs w:val="20"/>
              </w:rPr>
              <w:t>Switzerland</w:t>
            </w:r>
          </w:p>
        </w:tc>
        <w:tc>
          <w:tcPr>
            <w:tcW w:w="2551" w:type="dxa"/>
          </w:tcPr>
          <w:p w14:paraId="382046D8" w14:textId="139312E7" w:rsidR="001F6297" w:rsidRPr="001F6297" w:rsidRDefault="00D62ABA" w:rsidP="001F6297">
            <w:pPr>
              <w:ind w:left="0" w:right="0"/>
              <w:rPr>
                <w:sz w:val="20"/>
                <w:szCs w:val="20"/>
              </w:rPr>
            </w:pPr>
            <w:r>
              <w:rPr>
                <w:sz w:val="20"/>
                <w:szCs w:val="20"/>
              </w:rPr>
              <w:t xml:space="preserve">30 </w:t>
            </w:r>
            <w:r w:rsidR="001F6297" w:rsidRPr="001F6297">
              <w:rPr>
                <w:sz w:val="20"/>
                <w:szCs w:val="20"/>
              </w:rPr>
              <w:t>November 2016</w:t>
            </w:r>
          </w:p>
          <w:p w14:paraId="494AAA5B" w14:textId="77777777" w:rsidR="001F6297" w:rsidRPr="001F6297" w:rsidRDefault="001F6297" w:rsidP="001F6297">
            <w:pPr>
              <w:ind w:left="0" w:right="0"/>
              <w:rPr>
                <w:sz w:val="20"/>
                <w:szCs w:val="20"/>
              </w:rPr>
            </w:pPr>
            <w:r w:rsidRPr="001F6297">
              <w:rPr>
                <w:sz w:val="20"/>
                <w:szCs w:val="20"/>
              </w:rPr>
              <w:t>Approved 5 September 2017</w:t>
            </w:r>
          </w:p>
        </w:tc>
        <w:tc>
          <w:tcPr>
            <w:tcW w:w="4076" w:type="dxa"/>
          </w:tcPr>
          <w:p w14:paraId="50762F63" w14:textId="77777777" w:rsidR="001F6297" w:rsidRPr="001F6297" w:rsidRDefault="001F6297" w:rsidP="001F6297">
            <w:pPr>
              <w:ind w:left="0" w:right="0"/>
              <w:rPr>
                <w:sz w:val="20"/>
                <w:szCs w:val="20"/>
              </w:rPr>
            </w:pPr>
            <w:r w:rsidRPr="001F6297">
              <w:rPr>
                <w:sz w:val="20"/>
                <w:szCs w:val="20"/>
              </w:rPr>
              <w:t>Indicated for the treatment of patients with metastatic Merkel Cell Carcinoma (</w:t>
            </w:r>
            <w:r w:rsidR="006C35DA">
              <w:rPr>
                <w:sz w:val="20"/>
                <w:szCs w:val="20"/>
              </w:rPr>
              <w:t>metastatic MCC</w:t>
            </w:r>
            <w:r w:rsidRPr="001F6297">
              <w:rPr>
                <w:sz w:val="20"/>
                <w:szCs w:val="20"/>
              </w:rPr>
              <w:t>) whose disease has progressed after receiving at least one prior chemotherapy regimen.</w:t>
            </w:r>
          </w:p>
        </w:tc>
      </w:tr>
      <w:tr w:rsidR="001F6297" w:rsidRPr="001F6297" w14:paraId="0A30ACBD" w14:textId="77777777" w:rsidTr="001F6297">
        <w:tc>
          <w:tcPr>
            <w:tcW w:w="2093" w:type="dxa"/>
          </w:tcPr>
          <w:p w14:paraId="0FC61E19" w14:textId="77777777" w:rsidR="001F6297" w:rsidRPr="001F6297" w:rsidRDefault="001F6297" w:rsidP="001F6297">
            <w:pPr>
              <w:ind w:left="0" w:right="0"/>
              <w:rPr>
                <w:sz w:val="20"/>
                <w:szCs w:val="20"/>
              </w:rPr>
            </w:pPr>
            <w:r>
              <w:rPr>
                <w:sz w:val="20"/>
                <w:szCs w:val="20"/>
              </w:rPr>
              <w:t xml:space="preserve">EU centralised </w:t>
            </w:r>
            <w:r w:rsidRPr="001F6297">
              <w:rPr>
                <w:sz w:val="20"/>
                <w:szCs w:val="20"/>
              </w:rPr>
              <w:t>procedure</w:t>
            </w:r>
          </w:p>
        </w:tc>
        <w:tc>
          <w:tcPr>
            <w:tcW w:w="2551" w:type="dxa"/>
          </w:tcPr>
          <w:p w14:paraId="3E7D4C1F" w14:textId="0C48F2C6" w:rsidR="001F6297" w:rsidRPr="001F6297" w:rsidRDefault="00D62ABA" w:rsidP="001F6297">
            <w:pPr>
              <w:ind w:left="0" w:right="0"/>
              <w:rPr>
                <w:sz w:val="20"/>
                <w:szCs w:val="20"/>
              </w:rPr>
            </w:pPr>
            <w:r>
              <w:rPr>
                <w:sz w:val="20"/>
                <w:szCs w:val="20"/>
              </w:rPr>
              <w:t xml:space="preserve">6 </w:t>
            </w:r>
            <w:r w:rsidR="001F6297" w:rsidRPr="001F6297">
              <w:rPr>
                <w:sz w:val="20"/>
                <w:szCs w:val="20"/>
              </w:rPr>
              <w:t>October 2016</w:t>
            </w:r>
          </w:p>
          <w:p w14:paraId="67DE0D16" w14:textId="77777777" w:rsidR="001F6297" w:rsidRPr="001F6297" w:rsidRDefault="001F6297" w:rsidP="001F6297">
            <w:pPr>
              <w:ind w:left="0" w:right="0"/>
              <w:rPr>
                <w:sz w:val="20"/>
                <w:szCs w:val="20"/>
              </w:rPr>
            </w:pPr>
            <w:r w:rsidRPr="001F6297">
              <w:rPr>
                <w:sz w:val="20"/>
                <w:szCs w:val="20"/>
              </w:rPr>
              <w:t>Approved 18 September 2017</w:t>
            </w:r>
          </w:p>
        </w:tc>
        <w:tc>
          <w:tcPr>
            <w:tcW w:w="4076" w:type="dxa"/>
          </w:tcPr>
          <w:p w14:paraId="4CA8FE4D" w14:textId="77777777" w:rsidR="001F6297" w:rsidRPr="001F6297" w:rsidRDefault="001F6297" w:rsidP="001F6297">
            <w:pPr>
              <w:ind w:left="0" w:right="0"/>
              <w:rPr>
                <w:sz w:val="20"/>
                <w:szCs w:val="20"/>
              </w:rPr>
            </w:pPr>
            <w:r w:rsidRPr="001F6297">
              <w:rPr>
                <w:sz w:val="20"/>
                <w:szCs w:val="20"/>
              </w:rPr>
              <w:t>Indicated as monotherapy for the treatment of adult patients with metastatic Merkel cell carcinoma (MCC).</w:t>
            </w:r>
          </w:p>
        </w:tc>
      </w:tr>
      <w:tr w:rsidR="001F6297" w:rsidRPr="001F6297" w14:paraId="4C121BEB" w14:textId="77777777" w:rsidTr="001F6297">
        <w:tc>
          <w:tcPr>
            <w:tcW w:w="2093" w:type="dxa"/>
          </w:tcPr>
          <w:p w14:paraId="085F7D32" w14:textId="77777777" w:rsidR="001F6297" w:rsidRPr="001F6297" w:rsidRDefault="001F6297" w:rsidP="001F6297">
            <w:pPr>
              <w:ind w:left="0" w:right="0"/>
              <w:rPr>
                <w:sz w:val="20"/>
                <w:szCs w:val="20"/>
              </w:rPr>
            </w:pPr>
            <w:r w:rsidRPr="001F6297">
              <w:rPr>
                <w:sz w:val="20"/>
                <w:szCs w:val="20"/>
              </w:rPr>
              <w:t>Japan</w:t>
            </w:r>
          </w:p>
        </w:tc>
        <w:tc>
          <w:tcPr>
            <w:tcW w:w="2551" w:type="dxa"/>
          </w:tcPr>
          <w:p w14:paraId="525292EC" w14:textId="65965B03" w:rsidR="001F6297" w:rsidRPr="001F6297" w:rsidRDefault="00D62ABA" w:rsidP="001F6297">
            <w:pPr>
              <w:ind w:left="0" w:right="0"/>
              <w:rPr>
                <w:sz w:val="20"/>
                <w:szCs w:val="20"/>
              </w:rPr>
            </w:pPr>
            <w:r>
              <w:rPr>
                <w:sz w:val="20"/>
                <w:szCs w:val="20"/>
              </w:rPr>
              <w:t xml:space="preserve">7 </w:t>
            </w:r>
            <w:r w:rsidR="001F6297" w:rsidRPr="001F6297">
              <w:rPr>
                <w:sz w:val="20"/>
                <w:szCs w:val="20"/>
              </w:rPr>
              <w:t>March 2017</w:t>
            </w:r>
          </w:p>
          <w:p w14:paraId="44DB4492" w14:textId="77777777" w:rsidR="001F6297" w:rsidRPr="001F6297" w:rsidRDefault="001F6297" w:rsidP="001F6297">
            <w:pPr>
              <w:ind w:left="0" w:right="0"/>
              <w:rPr>
                <w:sz w:val="20"/>
                <w:szCs w:val="20"/>
              </w:rPr>
            </w:pPr>
            <w:r w:rsidRPr="001F6297">
              <w:rPr>
                <w:sz w:val="20"/>
                <w:szCs w:val="20"/>
              </w:rPr>
              <w:t>Approved 27 September 2017</w:t>
            </w:r>
          </w:p>
        </w:tc>
        <w:tc>
          <w:tcPr>
            <w:tcW w:w="4076" w:type="dxa"/>
          </w:tcPr>
          <w:p w14:paraId="2AE270E7" w14:textId="77777777" w:rsidR="001F6297" w:rsidRPr="001F6297" w:rsidRDefault="001F6297" w:rsidP="001F6297">
            <w:pPr>
              <w:ind w:left="0" w:right="0"/>
              <w:rPr>
                <w:sz w:val="20"/>
                <w:szCs w:val="20"/>
              </w:rPr>
            </w:pPr>
            <w:r w:rsidRPr="001F6297">
              <w:rPr>
                <w:sz w:val="20"/>
                <w:szCs w:val="20"/>
              </w:rPr>
              <w:t>Curatively unresectable Merkel cell carcinoma</w:t>
            </w:r>
          </w:p>
        </w:tc>
      </w:tr>
      <w:tr w:rsidR="001F6297" w:rsidRPr="001F6297" w14:paraId="26625A48" w14:textId="77777777" w:rsidTr="001F6297">
        <w:tc>
          <w:tcPr>
            <w:tcW w:w="2093" w:type="dxa"/>
          </w:tcPr>
          <w:p w14:paraId="6DC5E394" w14:textId="77777777" w:rsidR="001F6297" w:rsidRPr="001F6297" w:rsidRDefault="001F6297" w:rsidP="001F6297">
            <w:pPr>
              <w:ind w:left="0" w:right="0"/>
              <w:rPr>
                <w:sz w:val="20"/>
                <w:szCs w:val="20"/>
              </w:rPr>
            </w:pPr>
            <w:r w:rsidRPr="001F6297">
              <w:rPr>
                <w:sz w:val="20"/>
                <w:szCs w:val="20"/>
              </w:rPr>
              <w:t>Canada</w:t>
            </w:r>
          </w:p>
        </w:tc>
        <w:tc>
          <w:tcPr>
            <w:tcW w:w="2551" w:type="dxa"/>
          </w:tcPr>
          <w:p w14:paraId="5BB8A378" w14:textId="77777777" w:rsidR="001F6297" w:rsidRPr="001F6297" w:rsidRDefault="001F6297" w:rsidP="001F6297">
            <w:pPr>
              <w:ind w:left="0" w:right="0"/>
              <w:rPr>
                <w:sz w:val="20"/>
                <w:szCs w:val="20"/>
              </w:rPr>
            </w:pPr>
            <w:r w:rsidRPr="001F6297">
              <w:rPr>
                <w:sz w:val="20"/>
                <w:szCs w:val="20"/>
              </w:rPr>
              <w:t>23 March 2017</w:t>
            </w:r>
          </w:p>
          <w:p w14:paraId="5564126D" w14:textId="77777777" w:rsidR="001F6297" w:rsidRPr="001F6297" w:rsidRDefault="001F6297" w:rsidP="001F6297">
            <w:pPr>
              <w:ind w:left="0" w:right="0"/>
              <w:rPr>
                <w:sz w:val="20"/>
                <w:szCs w:val="20"/>
              </w:rPr>
            </w:pPr>
            <w:r w:rsidRPr="001F6297">
              <w:rPr>
                <w:sz w:val="20"/>
                <w:szCs w:val="20"/>
              </w:rPr>
              <w:t>Under consideration</w:t>
            </w:r>
          </w:p>
        </w:tc>
        <w:tc>
          <w:tcPr>
            <w:tcW w:w="4076" w:type="dxa"/>
          </w:tcPr>
          <w:p w14:paraId="7B23C5A6" w14:textId="77777777" w:rsidR="001F6297" w:rsidRPr="001F6297" w:rsidRDefault="001F6297" w:rsidP="001F6297">
            <w:pPr>
              <w:ind w:left="0" w:right="0"/>
              <w:rPr>
                <w:sz w:val="20"/>
                <w:szCs w:val="20"/>
              </w:rPr>
            </w:pPr>
            <w:r w:rsidRPr="001F6297">
              <w:rPr>
                <w:sz w:val="20"/>
                <w:szCs w:val="20"/>
              </w:rPr>
              <w:t>Indicated for the treatment of metastatic Merkel Cell Carcinoma (MCC) in previously treated adults.</w:t>
            </w:r>
          </w:p>
        </w:tc>
      </w:tr>
    </w:tbl>
    <w:p w14:paraId="57A94BB5" w14:textId="77777777" w:rsidR="008E7846" w:rsidRDefault="008E7846" w:rsidP="00523BCF">
      <w:pPr>
        <w:pStyle w:val="Heading3"/>
      </w:pPr>
      <w:bookmarkStart w:id="22" w:name="_Toc8053046"/>
      <w:r>
        <w:t xml:space="preserve">Product </w:t>
      </w:r>
      <w:r w:rsidRPr="00523BCF">
        <w:t>Information</w:t>
      </w:r>
      <w:bookmarkEnd w:id="20"/>
      <w:bookmarkEnd w:id="21"/>
      <w:bookmarkEnd w:id="22"/>
    </w:p>
    <w:p w14:paraId="14CA4E2D" w14:textId="3D4E3EA6" w:rsidR="00940A89" w:rsidRDefault="006136D7" w:rsidP="00523BCF">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523BCF">
        <w:t>&lt;</w:t>
      </w:r>
      <w:hyperlink r:id="rId14" w:history="1">
        <w:r w:rsidR="00441C3F" w:rsidRPr="00441C3F">
          <w:rPr>
            <w:rStyle w:val="Hyperlink"/>
          </w:rPr>
          <w:t>https://www.tga.gov.au/product-information-pi</w:t>
        </w:r>
      </w:hyperlink>
      <w:r w:rsidR="00523BCF">
        <w:t>&gt;</w:t>
      </w:r>
      <w:r w:rsidR="00940A89" w:rsidRPr="00940A89">
        <w:t>.</w:t>
      </w:r>
    </w:p>
    <w:p w14:paraId="3025CBA5" w14:textId="77777777" w:rsidR="00500337" w:rsidRDefault="00500337" w:rsidP="00523BCF">
      <w:pPr>
        <w:pStyle w:val="Heading2"/>
      </w:pPr>
      <w:bookmarkStart w:id="25" w:name="_Toc504480011"/>
      <w:bookmarkStart w:id="26" w:name="_Toc8053047"/>
      <w:r>
        <w:t xml:space="preserve">II. </w:t>
      </w:r>
      <w:r w:rsidRPr="00523BCF">
        <w:t>Registration</w:t>
      </w:r>
      <w:r>
        <w:t xml:space="preserve"> time line</w:t>
      </w:r>
      <w:bookmarkEnd w:id="25"/>
      <w:bookmarkEnd w:id="26"/>
    </w:p>
    <w:p w14:paraId="350254BB" w14:textId="77777777" w:rsidR="00500337" w:rsidRDefault="00500337" w:rsidP="00523BCF">
      <w:r>
        <w:t>The following table captures the key steps and dates for this application and which are detailed and discussed in this AusPAR and Attachment 2.</w:t>
      </w:r>
    </w:p>
    <w:p w14:paraId="357950F7" w14:textId="77777777" w:rsidR="00500337" w:rsidRPr="00880F96" w:rsidRDefault="001F6297" w:rsidP="00523BCF">
      <w:pPr>
        <w:pStyle w:val="TableTitle"/>
      </w:pPr>
      <w:r>
        <w:t xml:space="preserve">Table 2: Timeline for </w:t>
      </w:r>
      <w:r w:rsidRPr="00523BCF">
        <w:t>Submission</w:t>
      </w:r>
      <w:r>
        <w:t xml:space="preserve"> PM-</w:t>
      </w:r>
      <w:r w:rsidRPr="00523BCF">
        <w:t>2016</w:t>
      </w:r>
      <w:r>
        <w:t>-03575-1-4</w:t>
      </w:r>
    </w:p>
    <w:tbl>
      <w:tblPr>
        <w:tblStyle w:val="TableTGAblue"/>
        <w:tblW w:w="0" w:type="auto"/>
        <w:tblLook w:val="04A0" w:firstRow="1" w:lastRow="0" w:firstColumn="1" w:lastColumn="0" w:noHBand="0" w:noVBand="1"/>
      </w:tblPr>
      <w:tblGrid>
        <w:gridCol w:w="4360"/>
        <w:gridCol w:w="4360"/>
      </w:tblGrid>
      <w:tr w:rsidR="00500337" w14:paraId="7FDE3B92" w14:textId="77777777" w:rsidTr="00523BCF">
        <w:trPr>
          <w:cnfStyle w:val="100000000000" w:firstRow="1" w:lastRow="0" w:firstColumn="0" w:lastColumn="0" w:oddVBand="0" w:evenVBand="0" w:oddHBand="0" w:evenHBand="0" w:firstRowFirstColumn="0" w:firstRowLastColumn="0" w:lastRowFirstColumn="0" w:lastRowLastColumn="0"/>
        </w:trPr>
        <w:tc>
          <w:tcPr>
            <w:tcW w:w="4360" w:type="dxa"/>
          </w:tcPr>
          <w:p w14:paraId="0A23F511" w14:textId="77777777" w:rsidR="00500337" w:rsidRDefault="00500337" w:rsidP="00523BCF">
            <w:r>
              <w:t>Description</w:t>
            </w:r>
          </w:p>
        </w:tc>
        <w:tc>
          <w:tcPr>
            <w:tcW w:w="4360" w:type="dxa"/>
          </w:tcPr>
          <w:p w14:paraId="207D3EC8" w14:textId="77777777" w:rsidR="00500337" w:rsidRDefault="00500337" w:rsidP="00523BCF">
            <w:r>
              <w:t>Date</w:t>
            </w:r>
          </w:p>
        </w:tc>
      </w:tr>
      <w:tr w:rsidR="00500337" w14:paraId="76443FCF" w14:textId="77777777" w:rsidTr="00500337">
        <w:tc>
          <w:tcPr>
            <w:tcW w:w="4360" w:type="dxa"/>
          </w:tcPr>
          <w:p w14:paraId="0BA043BB" w14:textId="77777777" w:rsidR="00500337" w:rsidRDefault="00500337" w:rsidP="00523BCF">
            <w:r>
              <w:t>Submission dossier accepted and first round evaluation commenced</w:t>
            </w:r>
          </w:p>
        </w:tc>
        <w:tc>
          <w:tcPr>
            <w:tcW w:w="4360" w:type="dxa"/>
          </w:tcPr>
          <w:p w14:paraId="1E5321CC" w14:textId="77777777" w:rsidR="00500337" w:rsidRDefault="00CF1813" w:rsidP="00523BCF">
            <w:r>
              <w:t>3 January 2017</w:t>
            </w:r>
          </w:p>
        </w:tc>
      </w:tr>
      <w:tr w:rsidR="00500337" w14:paraId="692500E5" w14:textId="77777777" w:rsidTr="00500337">
        <w:tc>
          <w:tcPr>
            <w:tcW w:w="4360" w:type="dxa"/>
          </w:tcPr>
          <w:p w14:paraId="3350EAF3" w14:textId="77777777" w:rsidR="00500337" w:rsidRDefault="00500337" w:rsidP="00523BCF">
            <w:r>
              <w:lastRenderedPageBreak/>
              <w:t>First round evaluation completed</w:t>
            </w:r>
          </w:p>
        </w:tc>
        <w:tc>
          <w:tcPr>
            <w:tcW w:w="4360" w:type="dxa"/>
          </w:tcPr>
          <w:p w14:paraId="425244C5" w14:textId="77777777" w:rsidR="00500337" w:rsidRDefault="00CF1813" w:rsidP="00523BCF">
            <w:r>
              <w:t>15 June 2017</w:t>
            </w:r>
          </w:p>
        </w:tc>
      </w:tr>
      <w:tr w:rsidR="00500337" w14:paraId="0B267A8D" w14:textId="77777777" w:rsidTr="00500337">
        <w:tc>
          <w:tcPr>
            <w:tcW w:w="4360" w:type="dxa"/>
          </w:tcPr>
          <w:p w14:paraId="4BA04E65" w14:textId="77777777" w:rsidR="00500337" w:rsidRDefault="00500337" w:rsidP="00523BCF">
            <w:r>
              <w:t>Sponsor provides responses on questions raised in first round evaluation</w:t>
            </w:r>
          </w:p>
        </w:tc>
        <w:tc>
          <w:tcPr>
            <w:tcW w:w="4360" w:type="dxa"/>
          </w:tcPr>
          <w:p w14:paraId="5FEC6689" w14:textId="77777777" w:rsidR="00500337" w:rsidRDefault="00CF1813" w:rsidP="00523BCF">
            <w:r>
              <w:t>16 August 2017</w:t>
            </w:r>
          </w:p>
        </w:tc>
      </w:tr>
      <w:tr w:rsidR="00500337" w14:paraId="44390740" w14:textId="77777777" w:rsidTr="00500337">
        <w:tc>
          <w:tcPr>
            <w:tcW w:w="4360" w:type="dxa"/>
          </w:tcPr>
          <w:p w14:paraId="5E383276" w14:textId="77777777" w:rsidR="00500337" w:rsidRDefault="00500337" w:rsidP="00523BCF">
            <w:r>
              <w:t>Second round evaluation completed</w:t>
            </w:r>
          </w:p>
        </w:tc>
        <w:tc>
          <w:tcPr>
            <w:tcW w:w="4360" w:type="dxa"/>
          </w:tcPr>
          <w:p w14:paraId="2CF4BE66" w14:textId="77777777" w:rsidR="00500337" w:rsidRDefault="00CF1813" w:rsidP="00523BCF">
            <w:r>
              <w:t>15 September 2017</w:t>
            </w:r>
          </w:p>
        </w:tc>
      </w:tr>
      <w:tr w:rsidR="00500337" w14:paraId="7B244507" w14:textId="77777777" w:rsidTr="00500337">
        <w:tc>
          <w:tcPr>
            <w:tcW w:w="4360" w:type="dxa"/>
          </w:tcPr>
          <w:p w14:paraId="5AD804EE" w14:textId="77777777" w:rsidR="00500337" w:rsidRDefault="00500337" w:rsidP="00523BCF">
            <w:r>
              <w:t xml:space="preserve">Delegate’s </w:t>
            </w:r>
            <w:r w:rsidR="003E460F">
              <w:t>Overall benefit-risk assessment</w:t>
            </w:r>
          </w:p>
        </w:tc>
        <w:tc>
          <w:tcPr>
            <w:tcW w:w="4360" w:type="dxa"/>
          </w:tcPr>
          <w:p w14:paraId="2C4200C5" w14:textId="77777777" w:rsidR="00500337" w:rsidRDefault="003E460F" w:rsidP="00523BCF">
            <w:r>
              <w:t>27 October 2017</w:t>
            </w:r>
          </w:p>
        </w:tc>
      </w:tr>
      <w:tr w:rsidR="00500337" w14:paraId="223BD100" w14:textId="77777777" w:rsidTr="00500337">
        <w:tc>
          <w:tcPr>
            <w:tcW w:w="4360" w:type="dxa"/>
          </w:tcPr>
          <w:p w14:paraId="397917FA" w14:textId="77777777" w:rsidR="00500337" w:rsidRDefault="00500337" w:rsidP="00523BCF">
            <w:r>
              <w:t>Sponsor’s response</w:t>
            </w:r>
          </w:p>
        </w:tc>
        <w:tc>
          <w:tcPr>
            <w:tcW w:w="4360" w:type="dxa"/>
          </w:tcPr>
          <w:p w14:paraId="7599A42A" w14:textId="77777777" w:rsidR="00500337" w:rsidRDefault="003E460F" w:rsidP="00523BCF">
            <w:r>
              <w:t>10 November 2017</w:t>
            </w:r>
          </w:p>
        </w:tc>
      </w:tr>
      <w:tr w:rsidR="00500337" w14:paraId="5E3325B3" w14:textId="77777777" w:rsidTr="00500337">
        <w:tc>
          <w:tcPr>
            <w:tcW w:w="4360" w:type="dxa"/>
          </w:tcPr>
          <w:p w14:paraId="6BCDBCA5" w14:textId="77777777" w:rsidR="00500337" w:rsidRDefault="00500337" w:rsidP="00523BCF">
            <w:r>
              <w:t>Advisory Committee meeting</w:t>
            </w:r>
          </w:p>
        </w:tc>
        <w:tc>
          <w:tcPr>
            <w:tcW w:w="4360" w:type="dxa"/>
          </w:tcPr>
          <w:p w14:paraId="4ECB095D" w14:textId="77777777" w:rsidR="00500337" w:rsidRDefault="00880F96" w:rsidP="00523BCF">
            <w:r>
              <w:t>Submission was not taken to ACM</w:t>
            </w:r>
          </w:p>
        </w:tc>
      </w:tr>
      <w:tr w:rsidR="00500337" w14:paraId="164A0341" w14:textId="77777777" w:rsidTr="00500337">
        <w:tc>
          <w:tcPr>
            <w:tcW w:w="4360" w:type="dxa"/>
          </w:tcPr>
          <w:p w14:paraId="6B3A39F6" w14:textId="77777777" w:rsidR="00500337" w:rsidRDefault="00500337" w:rsidP="00523BCF">
            <w:r>
              <w:t>Registration decision (Outcome)</w:t>
            </w:r>
          </w:p>
        </w:tc>
        <w:tc>
          <w:tcPr>
            <w:tcW w:w="4360" w:type="dxa"/>
          </w:tcPr>
          <w:p w14:paraId="33CE8ED3" w14:textId="77777777" w:rsidR="00500337" w:rsidRDefault="00880F96" w:rsidP="00523BCF">
            <w:r>
              <w:t>2 January 2018</w:t>
            </w:r>
          </w:p>
        </w:tc>
      </w:tr>
      <w:tr w:rsidR="00500337" w14:paraId="0C14F5A6" w14:textId="77777777" w:rsidTr="00500337">
        <w:tc>
          <w:tcPr>
            <w:tcW w:w="4360" w:type="dxa"/>
          </w:tcPr>
          <w:p w14:paraId="306B9CD8" w14:textId="77777777" w:rsidR="00500337" w:rsidRDefault="00500337" w:rsidP="00523BCF">
            <w:r>
              <w:t>Completion of administrative activities and registration on ARTG</w:t>
            </w:r>
          </w:p>
        </w:tc>
        <w:tc>
          <w:tcPr>
            <w:tcW w:w="4360" w:type="dxa"/>
          </w:tcPr>
          <w:p w14:paraId="2B6CE835" w14:textId="77777777" w:rsidR="00500337" w:rsidRDefault="00880F96" w:rsidP="00523BCF">
            <w:r>
              <w:t>3 January 2018</w:t>
            </w:r>
          </w:p>
        </w:tc>
      </w:tr>
      <w:tr w:rsidR="00500337" w14:paraId="56223B61" w14:textId="77777777" w:rsidTr="00500337">
        <w:tc>
          <w:tcPr>
            <w:tcW w:w="4360" w:type="dxa"/>
          </w:tcPr>
          <w:p w14:paraId="1B20A438" w14:textId="77777777" w:rsidR="00500337" w:rsidRDefault="00500337" w:rsidP="00523BCF">
            <w:r>
              <w:t>Number of working days from submission dossier acceptance to registration decision*</w:t>
            </w:r>
          </w:p>
        </w:tc>
        <w:tc>
          <w:tcPr>
            <w:tcW w:w="4360" w:type="dxa"/>
          </w:tcPr>
          <w:p w14:paraId="4E48B3B0" w14:textId="77777777" w:rsidR="00500337" w:rsidRDefault="009F05D3" w:rsidP="00523BCF">
            <w:r>
              <w:t>218</w:t>
            </w:r>
          </w:p>
        </w:tc>
      </w:tr>
    </w:tbl>
    <w:p w14:paraId="7A4CED46"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74378BFD" w14:textId="77777777" w:rsidR="00500337" w:rsidRDefault="00500337" w:rsidP="00523BCF">
      <w:r>
        <w:t>Evaluations included under Quality findings and Nonclinical findings incorporate both the first and second round evaluations.</w:t>
      </w:r>
    </w:p>
    <w:p w14:paraId="120268F7" w14:textId="77777777" w:rsidR="008E7846" w:rsidRPr="003602A9" w:rsidRDefault="00500337" w:rsidP="00523BCF">
      <w:pPr>
        <w:pStyle w:val="Heading2"/>
      </w:pPr>
      <w:bookmarkStart w:id="27" w:name="_Toc8053048"/>
      <w:r>
        <w:t>I</w:t>
      </w:r>
      <w:r w:rsidR="008E7846">
        <w:t>II. Quality</w:t>
      </w:r>
      <w:bookmarkEnd w:id="1"/>
      <w:r w:rsidR="008E7846">
        <w:t xml:space="preserve"> </w:t>
      </w:r>
      <w:r w:rsidR="008E7846" w:rsidRPr="00523BCF">
        <w:t>findings</w:t>
      </w:r>
      <w:bookmarkEnd w:id="23"/>
      <w:bookmarkEnd w:id="24"/>
      <w:bookmarkEnd w:id="27"/>
    </w:p>
    <w:p w14:paraId="01818F8B" w14:textId="77777777" w:rsidR="00940A89" w:rsidRDefault="00940A89" w:rsidP="00523BCF">
      <w:pPr>
        <w:pStyle w:val="Heading3"/>
      </w:pPr>
      <w:bookmarkStart w:id="28" w:name="_Toc247691507"/>
      <w:bookmarkStart w:id="29" w:name="_Toc314842488"/>
      <w:bookmarkStart w:id="30" w:name="_Toc8053049"/>
      <w:r w:rsidRPr="00523BCF">
        <w:t>Introduction</w:t>
      </w:r>
      <w:bookmarkEnd w:id="30"/>
    </w:p>
    <w:p w14:paraId="626C89BB" w14:textId="323917B3" w:rsidR="00AF4511" w:rsidRPr="00AF4511" w:rsidRDefault="00AF4511" w:rsidP="00523BCF">
      <w:r w:rsidRPr="00AF4511">
        <w:t xml:space="preserve">Avelumab (rch) is a fully human IgG1 monoclonal antibody produced from </w:t>
      </w:r>
      <w:r w:rsidR="00256946">
        <w:t xml:space="preserve">Chinese </w:t>
      </w:r>
      <w:r w:rsidR="00D62ABA">
        <w:t xml:space="preserve">hamster </w:t>
      </w:r>
      <w:r w:rsidR="00256946">
        <w:t>ovary (</w:t>
      </w:r>
      <w:r w:rsidRPr="00AF4511">
        <w:t>CHO</w:t>
      </w:r>
      <w:r w:rsidR="00256946">
        <w:t>)</w:t>
      </w:r>
      <w:r w:rsidRPr="00AF4511">
        <w:t xml:space="preserve"> cells directed against programmed death ligand 1 (PD-L1). Avelumab is proposed for the treatment of patients with metastatic </w:t>
      </w:r>
      <w:r w:rsidR="00256946">
        <w:t>MCC</w:t>
      </w:r>
      <w:r w:rsidRPr="00AF4511">
        <w:t xml:space="preserve"> whose disease has progressed after receiving at least one prior therapy.</w:t>
      </w:r>
    </w:p>
    <w:p w14:paraId="78ECBAA6" w14:textId="77777777" w:rsidR="008E7846" w:rsidRDefault="008E7846" w:rsidP="00523BCF">
      <w:pPr>
        <w:pStyle w:val="Heading3"/>
      </w:pPr>
      <w:bookmarkStart w:id="31" w:name="_Toc8053050"/>
      <w:r w:rsidRPr="008751DC">
        <w:t xml:space="preserve">Drug </w:t>
      </w:r>
      <w:r w:rsidRPr="00523BCF">
        <w:t>substance</w:t>
      </w:r>
      <w:r>
        <w:t xml:space="preserve"> (active ingredient)</w:t>
      </w:r>
      <w:bookmarkEnd w:id="28"/>
      <w:bookmarkEnd w:id="29"/>
      <w:bookmarkEnd w:id="31"/>
    </w:p>
    <w:p w14:paraId="2CC1774E" w14:textId="77777777" w:rsidR="00AF4511" w:rsidRPr="00AF4511" w:rsidRDefault="00AF4511" w:rsidP="00523BCF">
      <w:pPr>
        <w:pStyle w:val="Heading4"/>
      </w:pPr>
      <w:r w:rsidRPr="00523BCF">
        <w:t>Structure</w:t>
      </w:r>
    </w:p>
    <w:p w14:paraId="150AAEB3" w14:textId="77777777" w:rsidR="00AF4511" w:rsidRDefault="00AF4511" w:rsidP="00523BCF">
      <w:r w:rsidRPr="004653F2">
        <w:rPr>
          <w:lang w:val="en-GB"/>
        </w:rPr>
        <w:t xml:space="preserve">Avelumab is a fully humanised monoclonal antibody produced in </w:t>
      </w:r>
      <w:r w:rsidR="00256946">
        <w:rPr>
          <w:lang w:val="en-GB"/>
        </w:rPr>
        <w:t>CHO</w:t>
      </w:r>
      <w:r w:rsidRPr="004653F2">
        <w:rPr>
          <w:lang w:val="en-GB"/>
        </w:rPr>
        <w:t xml:space="preserve"> cells. It is based on a human IgG</w:t>
      </w:r>
      <w:r w:rsidRPr="004653F2">
        <w:rPr>
          <w:vertAlign w:val="subscript"/>
          <w:lang w:val="en-GB"/>
        </w:rPr>
        <w:t>1</w:t>
      </w:r>
      <w:r w:rsidRPr="004653F2">
        <w:rPr>
          <w:lang w:val="en-GB"/>
        </w:rPr>
        <w:t xml:space="preserve"> framework consisting of two heavy chains of 450 amino acid residues each and two light chains of 216 amino acid residues each with typical IgG</w:t>
      </w:r>
      <w:r w:rsidRPr="004653F2">
        <w:rPr>
          <w:vertAlign w:val="subscript"/>
          <w:lang w:val="en-GB"/>
        </w:rPr>
        <w:t>1</w:t>
      </w:r>
      <w:r w:rsidRPr="004653F2">
        <w:rPr>
          <w:lang w:val="en-GB"/>
        </w:rPr>
        <w:t xml:space="preserve"> inter</w:t>
      </w:r>
      <w:r w:rsidR="00256946">
        <w:rPr>
          <w:lang w:val="en-GB"/>
        </w:rPr>
        <w:t xml:space="preserve"> and intra </w:t>
      </w:r>
      <w:r>
        <w:rPr>
          <w:lang w:val="en-GB"/>
        </w:rPr>
        <w:t>chain disulfide bonds</w:t>
      </w:r>
      <w:r w:rsidRPr="004653F2">
        <w:rPr>
          <w:lang w:val="en-GB"/>
        </w:rPr>
        <w:t xml:space="preserve">. The molecular mass of intact avelumab calculated based on the amino acid composition and predicted </w:t>
      </w:r>
      <w:proofErr w:type="spellStart"/>
      <w:r w:rsidRPr="004653F2">
        <w:rPr>
          <w:lang w:val="en-GB"/>
        </w:rPr>
        <w:t>disulfide</w:t>
      </w:r>
      <w:proofErr w:type="spellEnd"/>
      <w:r w:rsidRPr="004653F2">
        <w:rPr>
          <w:lang w:val="en-GB"/>
        </w:rPr>
        <w:t xml:space="preserve"> bonds without </w:t>
      </w:r>
      <w:proofErr w:type="spellStart"/>
      <w:r w:rsidRPr="004653F2">
        <w:rPr>
          <w:lang w:val="en-GB"/>
        </w:rPr>
        <w:t>glycans</w:t>
      </w:r>
      <w:proofErr w:type="spellEnd"/>
      <w:r w:rsidRPr="004653F2">
        <w:rPr>
          <w:lang w:val="en-GB"/>
        </w:rPr>
        <w:t xml:space="preserve"> is 143,832 </w:t>
      </w:r>
      <w:r w:rsidR="00256946">
        <w:rPr>
          <w:lang w:val="en-GB"/>
        </w:rPr>
        <w:t>Daltons (</w:t>
      </w:r>
      <w:r w:rsidRPr="004653F2">
        <w:rPr>
          <w:lang w:val="en-GB"/>
        </w:rPr>
        <w:t>Da</w:t>
      </w:r>
      <w:r w:rsidR="00256946">
        <w:rPr>
          <w:lang w:val="en-GB"/>
        </w:rPr>
        <w:t>)</w:t>
      </w:r>
      <w:r w:rsidRPr="004653F2">
        <w:rPr>
          <w:lang w:val="en-GB"/>
        </w:rPr>
        <w:t>, the mass including glycans is approximately 147,000 Da. The avelumab light and</w:t>
      </w:r>
      <w:r w:rsidR="00256946">
        <w:rPr>
          <w:lang w:val="en-GB"/>
        </w:rPr>
        <w:t xml:space="preserve"> heavy chain, showing the intra </w:t>
      </w:r>
      <w:r w:rsidRPr="004653F2">
        <w:rPr>
          <w:lang w:val="en-GB"/>
        </w:rPr>
        <w:t xml:space="preserve">chain disulfide bonds, </w:t>
      </w:r>
      <w:r>
        <w:rPr>
          <w:lang w:val="en-GB"/>
        </w:rPr>
        <w:t>is represented in</w:t>
      </w:r>
      <w:r w:rsidR="00256946">
        <w:rPr>
          <w:lang w:val="en-GB"/>
        </w:rPr>
        <w:t xml:space="preserve"> Figure 1</w:t>
      </w:r>
      <w:r w:rsidRPr="004653F2">
        <w:rPr>
          <w:lang w:val="en-GB"/>
        </w:rPr>
        <w:t xml:space="preserve">, respectively. The molecular formula is for the light chain single subunit </w:t>
      </w:r>
      <w:r w:rsidRPr="004653F2">
        <w:rPr>
          <w:lang w:val="en-GB"/>
        </w:rPr>
        <w:lastRenderedPageBreak/>
        <w:t>(C</w:t>
      </w:r>
      <w:r w:rsidRPr="004653F2">
        <w:rPr>
          <w:vertAlign w:val="subscript"/>
          <w:lang w:val="en-GB"/>
        </w:rPr>
        <w:t>993</w:t>
      </w:r>
      <w:r w:rsidRPr="004653F2">
        <w:rPr>
          <w:lang w:val="en-GB"/>
        </w:rPr>
        <w:t>H</w:t>
      </w:r>
      <w:r w:rsidRPr="004653F2">
        <w:rPr>
          <w:vertAlign w:val="subscript"/>
          <w:lang w:val="en-GB"/>
        </w:rPr>
        <w:t>1547</w:t>
      </w:r>
      <w:r w:rsidRPr="004653F2">
        <w:rPr>
          <w:lang w:val="en-GB"/>
        </w:rPr>
        <w:t>N</w:t>
      </w:r>
      <w:r w:rsidRPr="004653F2">
        <w:rPr>
          <w:vertAlign w:val="subscript"/>
          <w:lang w:val="en-GB"/>
        </w:rPr>
        <w:t>269</w:t>
      </w:r>
      <w:r w:rsidRPr="004653F2">
        <w:rPr>
          <w:lang w:val="en-GB"/>
        </w:rPr>
        <w:t>O</w:t>
      </w:r>
      <w:r w:rsidRPr="004653F2">
        <w:rPr>
          <w:vertAlign w:val="subscript"/>
          <w:lang w:val="en-GB"/>
        </w:rPr>
        <w:t>335</w:t>
      </w:r>
      <w:r w:rsidRPr="004653F2">
        <w:rPr>
          <w:lang w:val="en-GB"/>
        </w:rPr>
        <w:t>S</w:t>
      </w:r>
      <w:r w:rsidRPr="004653F2">
        <w:rPr>
          <w:vertAlign w:val="subscript"/>
          <w:lang w:val="en-GB"/>
        </w:rPr>
        <w:t>6</w:t>
      </w:r>
      <w:r w:rsidRPr="004653F2">
        <w:rPr>
          <w:lang w:val="en-GB"/>
        </w:rPr>
        <w:t>) and for the heavy chain (C</w:t>
      </w:r>
      <w:r w:rsidRPr="004653F2">
        <w:rPr>
          <w:vertAlign w:val="subscript"/>
          <w:lang w:val="en-GB"/>
        </w:rPr>
        <w:t>2194</w:t>
      </w:r>
      <w:r w:rsidRPr="004653F2">
        <w:rPr>
          <w:lang w:val="en-GB"/>
        </w:rPr>
        <w:t>H</w:t>
      </w:r>
      <w:r w:rsidRPr="004653F2">
        <w:rPr>
          <w:vertAlign w:val="subscript"/>
          <w:lang w:val="en-GB"/>
        </w:rPr>
        <w:t>3418</w:t>
      </w:r>
      <w:r w:rsidRPr="004653F2">
        <w:rPr>
          <w:lang w:val="en-GB"/>
        </w:rPr>
        <w:t>N</w:t>
      </w:r>
      <w:r w:rsidRPr="004653F2">
        <w:rPr>
          <w:vertAlign w:val="subscript"/>
          <w:lang w:val="en-GB"/>
        </w:rPr>
        <w:t>578</w:t>
      </w:r>
      <w:r w:rsidRPr="004653F2">
        <w:rPr>
          <w:lang w:val="en-GB"/>
        </w:rPr>
        <w:t>O</w:t>
      </w:r>
      <w:r w:rsidRPr="004653F2">
        <w:rPr>
          <w:vertAlign w:val="subscript"/>
          <w:lang w:val="en-GB"/>
        </w:rPr>
        <w:t>670</w:t>
      </w:r>
      <w:r w:rsidRPr="004653F2">
        <w:rPr>
          <w:lang w:val="en-GB"/>
        </w:rPr>
        <w:t>S</w:t>
      </w:r>
      <w:r w:rsidRPr="004653F2">
        <w:rPr>
          <w:vertAlign w:val="subscript"/>
          <w:lang w:val="en-GB"/>
        </w:rPr>
        <w:t>16</w:t>
      </w:r>
      <w:r w:rsidRPr="004653F2">
        <w:rPr>
          <w:lang w:val="en-GB"/>
        </w:rPr>
        <w:t xml:space="preserve">). The total molecular formula for the heterodimer with disulfide bonds is </w:t>
      </w:r>
      <w:r>
        <w:t>C6374+H9898+N1694+O2010+S44.</w:t>
      </w:r>
    </w:p>
    <w:p w14:paraId="55DCC7D1" w14:textId="77777777" w:rsidR="00AF4511" w:rsidRPr="00AF4511" w:rsidRDefault="00AF4511" w:rsidP="00523BCF">
      <w:pPr>
        <w:pStyle w:val="FigureTitle"/>
      </w:pPr>
      <w:bookmarkStart w:id="32" w:name="_Ref475456525"/>
      <w:r w:rsidRPr="00AF4511">
        <w:t>Fig</w:t>
      </w:r>
      <w:bookmarkEnd w:id="32"/>
      <w:r w:rsidR="00256946">
        <w:t xml:space="preserve">ure 1: </w:t>
      </w:r>
      <w:r w:rsidRPr="00AF4511">
        <w:t xml:space="preserve">Schematic representation of the </w:t>
      </w:r>
      <w:r w:rsidRPr="00523BCF">
        <w:t>structure</w:t>
      </w:r>
      <w:r w:rsidRPr="00AF4511">
        <w:t xml:space="preserve"> of </w:t>
      </w:r>
      <w:proofErr w:type="spellStart"/>
      <w:r w:rsidRPr="00AF4511">
        <w:t>avelumab</w:t>
      </w:r>
      <w:proofErr w:type="spellEnd"/>
      <w:r w:rsidRPr="00AF4511">
        <w:t xml:space="preserve"> (a) and schematic representation of the higher order structure of avelumab (b)</w:t>
      </w:r>
    </w:p>
    <w:p w14:paraId="11EA7F03" w14:textId="77777777" w:rsidR="00AF4511" w:rsidRDefault="00AF4511" w:rsidP="00523BCF">
      <w:r>
        <w:rPr>
          <w:noProof/>
          <w:lang w:eastAsia="en-AU"/>
        </w:rPr>
        <w:drawing>
          <wp:inline distT="0" distB="0" distL="0" distR="0" wp14:anchorId="42B0EE89" wp14:editId="18BBC46E">
            <wp:extent cx="5400040" cy="2304248"/>
            <wp:effectExtent l="0" t="0" r="0" b="1270"/>
            <wp:docPr id="11" name="Picture 11" descr="Figure 1: Schematic representation of the structure of avelumab (a) and schematic representation of the higher order structure of avelumab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2304248"/>
                    </a:xfrm>
                    <a:prstGeom prst="rect">
                      <a:avLst/>
                    </a:prstGeom>
                  </pic:spPr>
                </pic:pic>
              </a:graphicData>
            </a:graphic>
          </wp:inline>
        </w:drawing>
      </w:r>
    </w:p>
    <w:p w14:paraId="6C1740A6" w14:textId="494A3419" w:rsidR="008E7846" w:rsidRDefault="00045921" w:rsidP="00523BCF">
      <w:r>
        <w:t xml:space="preserve">Avelumab has </w:t>
      </w:r>
      <w:r w:rsidR="00AF4511" w:rsidRPr="00AF4511">
        <w:t xml:space="preserve">primarily a </w:t>
      </w:r>
      <w:r w:rsidR="00256946">
        <w:t>β</w:t>
      </w:r>
      <w:r w:rsidR="00AF4511" w:rsidRPr="00AF4511">
        <w:t>-sheet structure, consistent with the structure of an IgG</w:t>
      </w:r>
      <w:r w:rsidR="00AF4511" w:rsidRPr="00256946">
        <w:rPr>
          <w:vertAlign w:val="subscript"/>
        </w:rPr>
        <w:t>1</w:t>
      </w:r>
      <w:r w:rsidR="00256946">
        <w:t xml:space="preserve"> antibody. The intra chain and inter </w:t>
      </w:r>
      <w:r w:rsidR="00AF4511" w:rsidRPr="00AF4511">
        <w:t>chain disulfide bonds have also been confirmed (</w:t>
      </w:r>
      <w:r w:rsidR="00256946">
        <w:t>as shown in Figure 1</w:t>
      </w:r>
      <w:r w:rsidR="00AF4511" w:rsidRPr="00AF4511">
        <w:t>b). The molecule contains one N-glycosylation site on Asn-300 of the heavy chain. The main N</w:t>
      </w:r>
      <w:r w:rsidR="00D62ABA">
        <w:noBreakHyphen/>
      </w:r>
      <w:r w:rsidR="00AF4511" w:rsidRPr="00AF4511">
        <w:t xml:space="preserve">glycan structures identified are complex, </w:t>
      </w:r>
      <w:proofErr w:type="spellStart"/>
      <w:r w:rsidR="00AF4511" w:rsidRPr="00AF4511">
        <w:t>biantennary</w:t>
      </w:r>
      <w:proofErr w:type="spellEnd"/>
      <w:r w:rsidR="00AF4511" w:rsidRPr="00AF4511">
        <w:t xml:space="preserve"> type core </w:t>
      </w:r>
      <w:proofErr w:type="spellStart"/>
      <w:r w:rsidR="00AF4511" w:rsidRPr="00AF4511">
        <w:t>fucosylated</w:t>
      </w:r>
      <w:proofErr w:type="spellEnd"/>
      <w:r w:rsidR="00AF4511" w:rsidRPr="00AF4511">
        <w:t xml:space="preserve"> </w:t>
      </w:r>
      <w:proofErr w:type="spellStart"/>
      <w:r w:rsidR="00AF4511" w:rsidRPr="00AF4511">
        <w:t>oligosaccarides</w:t>
      </w:r>
      <w:proofErr w:type="spellEnd"/>
      <w:r w:rsidR="00AF4511" w:rsidRPr="00AF4511">
        <w:t xml:space="preserve"> with zero, one, or two galactose residues.</w:t>
      </w:r>
    </w:p>
    <w:p w14:paraId="531800BD" w14:textId="77777777" w:rsidR="00AF4511" w:rsidRDefault="00AF4511" w:rsidP="00523BCF">
      <w:pPr>
        <w:pStyle w:val="Heading4"/>
      </w:pPr>
      <w:r w:rsidRPr="00523BCF">
        <w:t>Biological</w:t>
      </w:r>
      <w:r w:rsidRPr="00AF4511">
        <w:t xml:space="preserve"> properties</w:t>
      </w:r>
    </w:p>
    <w:p w14:paraId="5AE123CE" w14:textId="3EBD8D2E" w:rsidR="00AF4511" w:rsidRDefault="00AF4511" w:rsidP="00523BCF">
      <w:r w:rsidRPr="00AF4511">
        <w:t>Avelumab inhibits the interaction between PD-L1 and its receptors PD-1 and B7.</w:t>
      </w:r>
      <w:r w:rsidRPr="001A4B5C">
        <w:t>1</w:t>
      </w:r>
      <w:r w:rsidR="001A4B5C">
        <w:t>.</w:t>
      </w:r>
      <w:r w:rsidR="004A25E4">
        <w:rPr>
          <w:rStyle w:val="FootnoteReference"/>
        </w:rPr>
        <w:footnoteReference w:id="2"/>
      </w:r>
      <w:r w:rsidRPr="00AF4511">
        <w:t xml:space="preserve"> This interaction removes the suppressive effects of PD-L1 on anti-tumour CD8+ T cells, resulting in the restoratio</w:t>
      </w:r>
      <w:r>
        <w:t>n of cytotoxic T cell response.</w:t>
      </w:r>
    </w:p>
    <w:p w14:paraId="0A278B2D" w14:textId="77777777" w:rsidR="00AF4511" w:rsidRDefault="00AF4511" w:rsidP="00AF4511">
      <w:r w:rsidRPr="00AF4511">
        <w:t>Biological</w:t>
      </w:r>
      <w:r>
        <w:t xml:space="preserve"> activity is evaluated through:</w:t>
      </w:r>
    </w:p>
    <w:p w14:paraId="2A13020F" w14:textId="08DDFF59" w:rsidR="00AF4511" w:rsidRDefault="001A4B5C" w:rsidP="00AF4511">
      <w:pPr>
        <w:pStyle w:val="Numberbullet0"/>
      </w:pPr>
      <w:r>
        <w:t>A</w:t>
      </w:r>
      <w:r w:rsidRPr="00AF4511">
        <w:t xml:space="preserve"> </w:t>
      </w:r>
      <w:r w:rsidR="00AF4511" w:rsidRPr="00AF4511">
        <w:t>cell based assay able to measure its capability to bind the PD-L1 receptor over-expressed on the recombin</w:t>
      </w:r>
      <w:r w:rsidR="00AF4511">
        <w:t>ant HEK-293 (hPD-L1) cell line.</w:t>
      </w:r>
    </w:p>
    <w:p w14:paraId="3642C295" w14:textId="6710BD93" w:rsidR="00AF4511" w:rsidRDefault="001A4B5C" w:rsidP="00AF4511">
      <w:pPr>
        <w:pStyle w:val="Numberbullet0"/>
      </w:pPr>
      <w:r>
        <w:t>T</w:t>
      </w:r>
      <w:r w:rsidRPr="00AF4511">
        <w:t xml:space="preserve">he </w:t>
      </w:r>
      <w:r w:rsidR="005049BA">
        <w:t>antibody dependent cell mediated cytotoxicity</w:t>
      </w:r>
      <w:r w:rsidR="005049BA" w:rsidRPr="00AF4511">
        <w:t xml:space="preserve"> </w:t>
      </w:r>
      <w:r w:rsidR="005049BA">
        <w:t>(</w:t>
      </w:r>
      <w:r w:rsidR="00AF4511" w:rsidRPr="00AF4511">
        <w:t>ADCC</w:t>
      </w:r>
      <w:r w:rsidR="005049BA">
        <w:t>)</w:t>
      </w:r>
      <w:r w:rsidR="00AF4511" w:rsidRPr="00AF4511">
        <w:t>; which confirmed the action of avelumab</w:t>
      </w:r>
      <w:r w:rsidR="00CD2BCD">
        <w:t xml:space="preserve"> by</w:t>
      </w:r>
      <w:r w:rsidR="00AF4511" w:rsidRPr="00AF4511">
        <w:t xml:space="preserve"> </w:t>
      </w:r>
      <w:r w:rsidR="00AF4511" w:rsidRPr="00B9688B">
        <w:t>in vitro</w:t>
      </w:r>
      <w:r w:rsidR="00AF4511" w:rsidRPr="00AF4511">
        <w:t xml:space="preserve"> </w:t>
      </w:r>
      <w:r w:rsidR="00CD2BCD">
        <w:t>testing</w:t>
      </w:r>
      <w:r w:rsidR="0006071F">
        <w:t xml:space="preserve">  </w:t>
      </w:r>
      <w:r w:rsidR="0006071F" w:rsidRPr="00AF4511">
        <w:t xml:space="preserve">using </w:t>
      </w:r>
      <w:r w:rsidR="0006071F" w:rsidRPr="004A25E4">
        <w:t xml:space="preserve">whole peripheral blood mononuclear cell </w:t>
      </w:r>
      <w:r w:rsidR="0006071F">
        <w:t>(</w:t>
      </w:r>
      <w:r w:rsidR="0006071F" w:rsidRPr="00AF4511">
        <w:t>PBMC</w:t>
      </w:r>
      <w:r w:rsidR="0006071F">
        <w:t>)</w:t>
      </w:r>
      <w:r w:rsidR="0006071F" w:rsidRPr="00AF4511">
        <w:t xml:space="preserve"> or </w:t>
      </w:r>
      <w:r w:rsidR="0006071F">
        <w:t>natural killer</w:t>
      </w:r>
      <w:r w:rsidR="0006071F" w:rsidRPr="00AF4511">
        <w:t xml:space="preserve"> </w:t>
      </w:r>
      <w:r w:rsidR="0006071F">
        <w:t>(</w:t>
      </w:r>
      <w:r w:rsidR="0006071F" w:rsidRPr="00AF4511">
        <w:t>NK</w:t>
      </w:r>
      <w:r w:rsidR="0006071F">
        <w:t>)</w:t>
      </w:r>
      <w:r w:rsidR="0006071F" w:rsidRPr="00AF4511">
        <w:t xml:space="preserve"> cells as effectors.</w:t>
      </w:r>
    </w:p>
    <w:p w14:paraId="3A2F8C65" w14:textId="77777777" w:rsidR="000020B0" w:rsidRPr="000020B0" w:rsidRDefault="00C92C9D" w:rsidP="00523BCF">
      <w:pPr>
        <w:pStyle w:val="Heading4"/>
      </w:pPr>
      <w:bookmarkStart w:id="33" w:name="_Toc247691508"/>
      <w:bookmarkStart w:id="34" w:name="_Toc314842490"/>
      <w:r w:rsidRPr="00523BCF">
        <w:t>Manufacture</w:t>
      </w:r>
    </w:p>
    <w:p w14:paraId="4D29D65B" w14:textId="4A435D43" w:rsidR="00E5589B" w:rsidRDefault="00E5589B" w:rsidP="00523BCF">
      <w:r w:rsidRPr="00E5589B">
        <w:t xml:space="preserve">Avelumab is produced in a fed-batch mode using a </w:t>
      </w:r>
      <w:r w:rsidR="004A25E4">
        <w:t>CHO</w:t>
      </w:r>
      <w:r w:rsidRPr="00E5589B">
        <w:t xml:space="preserve"> cell line. The</w:t>
      </w:r>
      <w:r>
        <w:t xml:space="preserve"> </w:t>
      </w:r>
      <w:r w:rsidRPr="00E5589B">
        <w:t xml:space="preserve">starting material is the </w:t>
      </w:r>
      <w:r>
        <w:t>working cell bank</w:t>
      </w:r>
      <w:r w:rsidRPr="00E5589B">
        <w:t xml:space="preserve">, which is derived from the </w:t>
      </w:r>
      <w:r w:rsidR="001A4B5C">
        <w:t>m</w:t>
      </w:r>
      <w:r w:rsidRPr="00E5589B">
        <w:t xml:space="preserve">aster </w:t>
      </w:r>
      <w:r w:rsidR="001A4B5C">
        <w:t>c</w:t>
      </w:r>
      <w:r w:rsidR="001A4B5C" w:rsidRPr="00E5589B">
        <w:t>e</w:t>
      </w:r>
      <w:r w:rsidR="001A4B5C">
        <w:t>ll bank</w:t>
      </w:r>
      <w:r>
        <w:t xml:space="preserve">. The cell culture </w:t>
      </w:r>
      <w:r w:rsidRPr="00E5589B">
        <w:t>process consists of two major steps: a cell expansion step and a production bioreactor step.</w:t>
      </w:r>
      <w:r>
        <w:t xml:space="preserve"> </w:t>
      </w:r>
      <w:r w:rsidRPr="00E5589B">
        <w:t>The standard procedure is to process one batch of harvested cell culture fluid to produce a single</w:t>
      </w:r>
      <w:r>
        <w:t xml:space="preserve"> </w:t>
      </w:r>
      <w:r w:rsidRPr="00E5589B">
        <w:t xml:space="preserve">batch of avelumab </w:t>
      </w:r>
      <w:r w:rsidR="001A4B5C">
        <w:t>d</w:t>
      </w:r>
      <w:r w:rsidR="001A4B5C" w:rsidRPr="00E5589B">
        <w:t xml:space="preserve">rug </w:t>
      </w:r>
      <w:r w:rsidR="001A4B5C">
        <w:t>s</w:t>
      </w:r>
      <w:r w:rsidR="001A4B5C" w:rsidRPr="00E5589B">
        <w:t xml:space="preserve">ubstance </w:t>
      </w:r>
      <w:r w:rsidRPr="00E5589B">
        <w:t>in one purification process. One</w:t>
      </w:r>
      <w:r>
        <w:t xml:space="preserve"> purification run is defined as </w:t>
      </w:r>
      <w:r w:rsidRPr="00E5589B">
        <w:t xml:space="preserve">one </w:t>
      </w:r>
      <w:r w:rsidR="001A4B5C">
        <w:t>d</w:t>
      </w:r>
      <w:r w:rsidR="001A4B5C" w:rsidRPr="00E5589B">
        <w:t xml:space="preserve">rug </w:t>
      </w:r>
      <w:r w:rsidR="001A4B5C">
        <w:t>s</w:t>
      </w:r>
      <w:r w:rsidR="001A4B5C" w:rsidRPr="00E5589B">
        <w:t xml:space="preserve">ubstance </w:t>
      </w:r>
      <w:r w:rsidRPr="00E5589B">
        <w:t>batch.</w:t>
      </w:r>
    </w:p>
    <w:p w14:paraId="59114ED4" w14:textId="77777777" w:rsidR="004A25E4" w:rsidRDefault="00E5589B" w:rsidP="00523BCF">
      <w:r w:rsidRPr="00E5589B">
        <w:t>The avelumab purification process consists of three chromatography steps and two additional steps</w:t>
      </w:r>
      <w:r>
        <w:t xml:space="preserve"> </w:t>
      </w:r>
      <w:r w:rsidRPr="00E5589B">
        <w:t>for removal and inactivation of potential adventitious viral contaminants.</w:t>
      </w:r>
      <w:r w:rsidR="00A97975">
        <w:t xml:space="preserve"> </w:t>
      </w:r>
      <w:r w:rsidR="00A97975" w:rsidRPr="00E5589B">
        <w:t>There are no materials of animal origin used in the avelumab purification process</w:t>
      </w:r>
      <w:r w:rsidR="004A25E4">
        <w:t>.</w:t>
      </w:r>
    </w:p>
    <w:p w14:paraId="0809F8D4" w14:textId="77777777" w:rsidR="00C92C9D" w:rsidRDefault="0097134D" w:rsidP="0097134D">
      <w:r w:rsidRPr="00E5589B">
        <w:t>All manufacturing steps are validated</w:t>
      </w:r>
      <w:r w:rsidR="00E5589B">
        <w:t>.</w:t>
      </w:r>
    </w:p>
    <w:p w14:paraId="019BA061" w14:textId="77777777" w:rsidR="0097134D" w:rsidRPr="0097134D" w:rsidRDefault="0097134D" w:rsidP="00523BCF">
      <w:r w:rsidRPr="0097134D">
        <w:lastRenderedPageBreak/>
        <w:t>All outstanding GMP clearances</w:t>
      </w:r>
      <w:r>
        <w:t xml:space="preserve"> will need to be issued before D</w:t>
      </w:r>
      <w:r w:rsidRPr="0097134D">
        <w:t>elegate’s decision.</w:t>
      </w:r>
    </w:p>
    <w:p w14:paraId="4A646807" w14:textId="77777777" w:rsidR="008E7846" w:rsidRDefault="008E7846" w:rsidP="00523BCF">
      <w:pPr>
        <w:pStyle w:val="Heading3"/>
      </w:pPr>
      <w:bookmarkStart w:id="35" w:name="_Toc8053051"/>
      <w:r w:rsidRPr="008751DC">
        <w:t xml:space="preserve">Drug </w:t>
      </w:r>
      <w:r w:rsidRPr="00523BCF">
        <w:t>product</w:t>
      </w:r>
      <w:bookmarkEnd w:id="33"/>
      <w:bookmarkEnd w:id="34"/>
      <w:bookmarkEnd w:id="35"/>
    </w:p>
    <w:p w14:paraId="08F7B6A1" w14:textId="375D8303" w:rsidR="00A97975" w:rsidRDefault="00A97975" w:rsidP="00523BCF">
      <w:r w:rsidRPr="00A97975">
        <w:t xml:space="preserve">Avelumab </w:t>
      </w:r>
      <w:r w:rsidR="001A4B5C">
        <w:t>d</w:t>
      </w:r>
      <w:r w:rsidR="001A4B5C" w:rsidRPr="00A97975">
        <w:t xml:space="preserve">rug </w:t>
      </w:r>
      <w:r w:rsidR="001A4B5C">
        <w:t>p</w:t>
      </w:r>
      <w:r w:rsidR="001A4B5C" w:rsidRPr="00A97975">
        <w:t xml:space="preserve">roduct </w:t>
      </w:r>
      <w:r w:rsidRPr="00A97975">
        <w:t xml:space="preserve">is a </w:t>
      </w:r>
      <w:r w:rsidR="001A4B5C" w:rsidRPr="00A97975">
        <w:t>sterili</w:t>
      </w:r>
      <w:r w:rsidR="001A4B5C">
        <w:t>s</w:t>
      </w:r>
      <w:r w:rsidR="001A4B5C" w:rsidRPr="00A97975">
        <w:t>ed</w:t>
      </w:r>
      <w:r w:rsidRPr="00A97975">
        <w:t>, clear concentrate for solution for infusion presented at the</w:t>
      </w:r>
      <w:r>
        <w:t xml:space="preserve"> </w:t>
      </w:r>
      <w:r w:rsidRPr="00A97975">
        <w:t>concentration of 20 mg/mL. Vials are filled with 10.4</w:t>
      </w:r>
      <w:r w:rsidR="001A4B5C">
        <w:t> </w:t>
      </w:r>
      <w:r w:rsidRPr="00A97975">
        <w:t>mL of Dr</w:t>
      </w:r>
      <w:r>
        <w:t xml:space="preserve">ug Product solution in order to </w:t>
      </w:r>
      <w:r w:rsidRPr="00A97975">
        <w:t>allow an extractable volume of 10 mL.</w:t>
      </w:r>
    </w:p>
    <w:p w14:paraId="2225F484" w14:textId="5188D148" w:rsidR="00A97975" w:rsidRPr="00A97975" w:rsidRDefault="00A97975" w:rsidP="00523BCF">
      <w:r w:rsidRPr="00A97975">
        <w:t>The initial formulation of avelumab DP was formulated a</w:t>
      </w:r>
      <w:r w:rsidR="004A25E4">
        <w:t>t a protein concentration of 10 </w:t>
      </w:r>
      <w:r w:rsidRPr="00A97975">
        <w:t>mg/mL with a filling volume of 8 mL This formulation at 80 mg/vial was used throughout the early</w:t>
      </w:r>
      <w:r>
        <w:t xml:space="preserve"> </w:t>
      </w:r>
      <w:r w:rsidRPr="00A97975">
        <w:t xml:space="preserve">development program, </w:t>
      </w:r>
      <w:r w:rsidR="004A25E4">
        <w:t>for example</w:t>
      </w:r>
      <w:r w:rsidRPr="00A97975">
        <w:t>, nonclinical studies, Phase I/II clinical trials s</w:t>
      </w:r>
      <w:r>
        <w:t xml:space="preserve">uch as </w:t>
      </w:r>
      <w:r w:rsidR="001A4B5C">
        <w:t xml:space="preserve">Study </w:t>
      </w:r>
      <w:r>
        <w:t xml:space="preserve">EMR100070-001, </w:t>
      </w:r>
      <w:r w:rsidRPr="00A97975">
        <w:t xml:space="preserve">and the part A of the Phase II </w:t>
      </w:r>
      <w:r w:rsidR="006C35DA">
        <w:t>metastatic MCC</w:t>
      </w:r>
      <w:r w:rsidRPr="00A97975">
        <w:t xml:space="preserve"> study (</w:t>
      </w:r>
      <w:r w:rsidR="001A4B5C">
        <w:t xml:space="preserve">Study </w:t>
      </w:r>
      <w:r w:rsidRPr="00A97975">
        <w:t>EMR100070-003).</w:t>
      </w:r>
    </w:p>
    <w:p w14:paraId="25221E02" w14:textId="6D85D7D8" w:rsidR="00A97975" w:rsidRDefault="00A97975" w:rsidP="00A97975">
      <w:r w:rsidRPr="00A97975">
        <w:t>To support clinical development and commercial use, an optimized formulation of avelumab at</w:t>
      </w:r>
      <w:r>
        <w:t xml:space="preserve"> </w:t>
      </w:r>
      <w:r w:rsidRPr="00A97975">
        <w:t>higher concentration (20 mg/mL) was designed. This formulation (current composition)</w:t>
      </w:r>
      <w:r>
        <w:t xml:space="preserve"> </w:t>
      </w:r>
      <w:r w:rsidRPr="00A97975">
        <w:t>is used in all Phase III clinical trials as well as in the exp</w:t>
      </w:r>
      <w:r>
        <w:t xml:space="preserve">ansion cohorts of Phase I trial </w:t>
      </w:r>
      <w:r w:rsidRPr="00A97975">
        <w:t>(</w:t>
      </w:r>
      <w:r w:rsidR="001A4B5C">
        <w:t xml:space="preserve">Study </w:t>
      </w:r>
      <w:r w:rsidRPr="00A97975">
        <w:t>EMR100070-001) and part B of the Phase II m</w:t>
      </w:r>
      <w:r w:rsidR="004A25E4">
        <w:t xml:space="preserve">etastatic </w:t>
      </w:r>
      <w:r w:rsidRPr="00A97975">
        <w:t>MCC study (</w:t>
      </w:r>
      <w:r w:rsidR="001A4B5C">
        <w:t xml:space="preserve">Study </w:t>
      </w:r>
      <w:r w:rsidRPr="00A97975">
        <w:t>EMR</w:t>
      </w:r>
      <w:r>
        <w:t xml:space="preserve">100070-003); it is identical to </w:t>
      </w:r>
      <w:r w:rsidR="004A25E4">
        <w:t xml:space="preserve">the proposed </w:t>
      </w:r>
      <w:r w:rsidRPr="00A97975">
        <w:t>marketed formulation.</w:t>
      </w:r>
    </w:p>
    <w:p w14:paraId="28E5F317" w14:textId="77777777" w:rsidR="0097134D" w:rsidRPr="0097134D" w:rsidRDefault="0097134D" w:rsidP="00A97975">
      <w:r w:rsidRPr="0097134D">
        <w:t>The drug substance specification is applicable both at release and end of shelf-life.</w:t>
      </w:r>
    </w:p>
    <w:p w14:paraId="18AB9452" w14:textId="77777777" w:rsidR="00940A89" w:rsidRDefault="0097134D" w:rsidP="0097134D">
      <w:r w:rsidRPr="0097134D">
        <w:t>All analytical procedures are validated</w:t>
      </w:r>
      <w:r w:rsidR="004A25E4">
        <w:t>.</w:t>
      </w:r>
    </w:p>
    <w:p w14:paraId="0965D4E6" w14:textId="77777777" w:rsidR="0097134D" w:rsidRPr="001F48AA" w:rsidRDefault="0097134D" w:rsidP="00523BCF">
      <w:pPr>
        <w:pStyle w:val="Heading4"/>
      </w:pPr>
      <w:bookmarkStart w:id="36" w:name="_Toc491409656"/>
      <w:r w:rsidRPr="00523BCF">
        <w:t>Stability</w:t>
      </w:r>
      <w:bookmarkEnd w:id="36"/>
    </w:p>
    <w:p w14:paraId="22A53D7E" w14:textId="77777777" w:rsidR="0097134D" w:rsidRPr="0097134D" w:rsidRDefault="0097134D" w:rsidP="00523BCF">
      <w:r w:rsidRPr="0097134D">
        <w:t>The proposed shelf life is 2 years when stored at 2</w:t>
      </w:r>
      <w:r w:rsidR="004A25E4">
        <w:t xml:space="preserve">°C to </w:t>
      </w:r>
      <w:r w:rsidRPr="0097134D">
        <w:t>8</w:t>
      </w:r>
      <w:r w:rsidR="004A25E4">
        <w:t>°</w:t>
      </w:r>
      <w:r w:rsidRPr="0097134D">
        <w:t>C and protected from light.</w:t>
      </w:r>
    </w:p>
    <w:p w14:paraId="3834DE9E" w14:textId="77777777" w:rsidR="0097134D" w:rsidRPr="0097134D" w:rsidRDefault="0097134D" w:rsidP="0097134D">
      <w:r w:rsidRPr="0097134D">
        <w:t xml:space="preserve">The PI indicates that </w:t>
      </w:r>
      <w:r w:rsidR="004A25E4">
        <w:t>‘</w:t>
      </w:r>
      <w:r w:rsidRPr="0097134D">
        <w:t>B</w:t>
      </w:r>
      <w:r w:rsidR="004A25E4" w:rsidRPr="0097134D">
        <w:t>avencio</w:t>
      </w:r>
      <w:r w:rsidRPr="0097134D">
        <w:t xml:space="preserve"> does not contain a preservative. The diluted solution should be infused immediately, unless dilution has taken place in controlled and validated aseptic conditions.</w:t>
      </w:r>
    </w:p>
    <w:p w14:paraId="5F4D370D" w14:textId="77777777" w:rsidR="0097134D" w:rsidRPr="0097134D" w:rsidRDefault="0097134D" w:rsidP="00523BCF">
      <w:r w:rsidRPr="0097134D">
        <w:t xml:space="preserve">If </w:t>
      </w:r>
      <w:r w:rsidR="004A25E4">
        <w:t>Bavencio</w:t>
      </w:r>
      <w:r w:rsidRPr="0097134D">
        <w:t xml:space="preserve"> is not used immediately, store the diluted solution of </w:t>
      </w:r>
      <w:r w:rsidR="004A25E4">
        <w:t>Bavencio</w:t>
      </w:r>
      <w:r w:rsidRPr="0097134D">
        <w:t>, either:</w:t>
      </w:r>
    </w:p>
    <w:p w14:paraId="3045DDE4" w14:textId="77777777" w:rsidR="0097134D" w:rsidRPr="0097134D" w:rsidRDefault="0097134D" w:rsidP="00523BCF">
      <w:pPr>
        <w:pStyle w:val="ListBullet"/>
      </w:pPr>
      <w:r w:rsidRPr="0097134D">
        <w:t xml:space="preserve">At room temperature </w:t>
      </w:r>
      <w:r w:rsidRPr="00523BCF">
        <w:t>and</w:t>
      </w:r>
      <w:r w:rsidRPr="0097134D">
        <w:t xml:space="preserve"> room light for up to 8 hours. This includes room temperature storage of the infusion in the infusion bag and the duration of infusion.</w:t>
      </w:r>
    </w:p>
    <w:p w14:paraId="035E4A73" w14:textId="77777777" w:rsidR="0097134D" w:rsidRPr="0097134D" w:rsidRDefault="0097134D" w:rsidP="00523BCF">
      <w:pPr>
        <w:pStyle w:val="ListBullet"/>
      </w:pPr>
      <w:r w:rsidRPr="0097134D">
        <w:t xml:space="preserve">At 2˚C to 8˚C (Refrigerate. Do not freeze) </w:t>
      </w:r>
      <w:r w:rsidRPr="00523BCF">
        <w:t>for</w:t>
      </w:r>
      <w:r w:rsidRPr="0097134D">
        <w:t xml:space="preserve"> up to 24 hours at the time of dilution. If refrigerated, allow the diluted solution to come to room temperature prior to administration.</w:t>
      </w:r>
      <w:r w:rsidR="004A25E4">
        <w:t>’</w:t>
      </w:r>
    </w:p>
    <w:p w14:paraId="535AD05A" w14:textId="77777777" w:rsidR="0097134D" w:rsidRPr="0097134D" w:rsidRDefault="0097134D" w:rsidP="00523BCF">
      <w:r w:rsidRPr="0097134D">
        <w:t xml:space="preserve">The </w:t>
      </w:r>
      <w:r w:rsidR="004A25E4">
        <w:t>sponsor</w:t>
      </w:r>
      <w:r w:rsidRPr="0097134D">
        <w:t xml:space="preserve"> has not submitted data to support temperature excursion.</w:t>
      </w:r>
    </w:p>
    <w:p w14:paraId="5DF7FDD6" w14:textId="77777777" w:rsidR="0097134D" w:rsidRDefault="0097134D" w:rsidP="00523BCF">
      <w:pPr>
        <w:pStyle w:val="Heading4"/>
      </w:pPr>
      <w:r>
        <w:t xml:space="preserve">Other </w:t>
      </w:r>
      <w:r w:rsidR="004A25E4" w:rsidRPr="00523BCF">
        <w:t>q</w:t>
      </w:r>
      <w:r w:rsidRPr="00523BCF">
        <w:t>uality</w:t>
      </w:r>
      <w:r>
        <w:t xml:space="preserve"> aspects</w:t>
      </w:r>
    </w:p>
    <w:p w14:paraId="0DD1DF39" w14:textId="77777777" w:rsidR="0097134D" w:rsidRPr="0097134D" w:rsidRDefault="0097134D" w:rsidP="00523BCF">
      <w:r w:rsidRPr="0097134D">
        <w:t>There are no objections to the registration of this product from sterility; endotoxin, container safety and viral safety related aspects.</w:t>
      </w:r>
    </w:p>
    <w:p w14:paraId="476D5770" w14:textId="77777777" w:rsidR="008E7846" w:rsidRDefault="008E7846" w:rsidP="00523BCF">
      <w:pPr>
        <w:pStyle w:val="Heading3"/>
      </w:pPr>
      <w:bookmarkStart w:id="37" w:name="_Toc314842491"/>
      <w:bookmarkStart w:id="38" w:name="_Toc8053052"/>
      <w:r w:rsidRPr="00523BCF">
        <w:t>Biopharmaceutics</w:t>
      </w:r>
      <w:bookmarkEnd w:id="37"/>
      <w:bookmarkEnd w:id="38"/>
    </w:p>
    <w:p w14:paraId="48C03356" w14:textId="77777777" w:rsidR="008E7846" w:rsidRDefault="0097134D" w:rsidP="00523BCF">
      <w:r>
        <w:t>This product is administered intravenously therefore there are no biopharmaceutics data.</w:t>
      </w:r>
    </w:p>
    <w:p w14:paraId="107E474E" w14:textId="77777777" w:rsidR="008E7846" w:rsidRDefault="008E7846" w:rsidP="00523BCF">
      <w:pPr>
        <w:pStyle w:val="Heading3"/>
      </w:pPr>
      <w:bookmarkStart w:id="39" w:name="_Toc247691509"/>
      <w:bookmarkStart w:id="40" w:name="_Toc314842493"/>
      <w:bookmarkStart w:id="41" w:name="_Toc8053053"/>
      <w:r>
        <w:t>Quality s</w:t>
      </w:r>
      <w:r w:rsidRPr="008751DC">
        <w:t>ummary</w:t>
      </w:r>
      <w:r>
        <w:t xml:space="preserve"> and conclusions</w:t>
      </w:r>
      <w:bookmarkEnd w:id="39"/>
      <w:bookmarkEnd w:id="40"/>
      <w:bookmarkEnd w:id="41"/>
    </w:p>
    <w:p w14:paraId="578245BD" w14:textId="256D6A49" w:rsidR="00555194" w:rsidRPr="00555194" w:rsidRDefault="00555194" w:rsidP="00523BCF">
      <w:r w:rsidRPr="00555194">
        <w:t xml:space="preserve">There are no outstanding issues for </w:t>
      </w:r>
      <w:r w:rsidR="004A25E4">
        <w:t xml:space="preserve">quality aspects. </w:t>
      </w:r>
      <w:r w:rsidRPr="00555194">
        <w:t xml:space="preserve">The issues raised post </w:t>
      </w:r>
      <w:r w:rsidR="004A25E4">
        <w:t>the second round</w:t>
      </w:r>
      <w:r w:rsidRPr="00555194">
        <w:t xml:space="preserve"> assessment on amino acid </w:t>
      </w:r>
      <w:proofErr w:type="spellStart"/>
      <w:r w:rsidRPr="00555194">
        <w:t>misincorporation</w:t>
      </w:r>
      <w:proofErr w:type="spellEnd"/>
      <w:r w:rsidRPr="00555194">
        <w:t xml:space="preserve"> and </w:t>
      </w:r>
      <w:r w:rsidR="001A4B5C">
        <w:t>drug substance</w:t>
      </w:r>
      <w:r w:rsidRPr="00555194">
        <w:t>/</w:t>
      </w:r>
      <w:r w:rsidR="001A4B5C">
        <w:t>drug product</w:t>
      </w:r>
      <w:r w:rsidRPr="00555194">
        <w:t xml:space="preserve"> stability </w:t>
      </w:r>
      <w:proofErr w:type="gramStart"/>
      <w:r w:rsidRPr="00555194">
        <w:t>have</w:t>
      </w:r>
      <w:proofErr w:type="gramEnd"/>
      <w:r w:rsidRPr="00555194">
        <w:t xml:space="preserve"> been resolved. All outstanding GMP clearances will need to be issued before </w:t>
      </w:r>
      <w:r w:rsidR="004A25E4">
        <w:t>Delegate</w:t>
      </w:r>
      <w:r w:rsidRPr="00555194">
        <w:t>’s decision.</w:t>
      </w:r>
    </w:p>
    <w:p w14:paraId="3BBA4BA9" w14:textId="4AB929E9" w:rsidR="008E7846" w:rsidRDefault="00555194" w:rsidP="00523BCF">
      <w:r w:rsidRPr="00555194">
        <w:lastRenderedPageBreak/>
        <w:t>There are no objections on quality grounds to the approval of Bavencio avelumab (rch) 200 mg/10 mL concentrated solution for intravenous infusion vial</w:t>
      </w:r>
      <w:r w:rsidR="00523BCF">
        <w:t>.</w:t>
      </w:r>
    </w:p>
    <w:p w14:paraId="74F570BA" w14:textId="77777777" w:rsidR="00555194" w:rsidRPr="00555194" w:rsidRDefault="00555194" w:rsidP="00523BCF">
      <w:pPr>
        <w:pStyle w:val="Heading4"/>
      </w:pPr>
      <w:bookmarkStart w:id="42" w:name="_Toc491409648"/>
      <w:r w:rsidRPr="00555194">
        <w:t>Proposed conditions of registration</w:t>
      </w:r>
      <w:bookmarkEnd w:id="42"/>
    </w:p>
    <w:p w14:paraId="06F283B7" w14:textId="77777777" w:rsidR="00555194" w:rsidRPr="00AF4511" w:rsidRDefault="004A25E4" w:rsidP="00AF4511">
      <w:r>
        <w:t>Batch release testing and</w:t>
      </w:r>
      <w:r w:rsidR="00555194" w:rsidRPr="00AF4511">
        <w:t xml:space="preserve"> compliance with Certified Product Details (CPD)</w:t>
      </w:r>
    </w:p>
    <w:p w14:paraId="20B3A593" w14:textId="77777777" w:rsidR="00555194" w:rsidRPr="00AF4511" w:rsidRDefault="00555194" w:rsidP="00523BCF">
      <w:r w:rsidRPr="00AF4511">
        <w:t>It is a condition of registration that all batches of Bavencio (avelumab) imported into/manufactured in Australia must comply with the product details and specifications approved during evaluation and detailed in the Certified Product Details (CPD).</w:t>
      </w:r>
    </w:p>
    <w:p w14:paraId="26E3C4AE" w14:textId="77777777" w:rsidR="008E7846" w:rsidRDefault="008E7846" w:rsidP="00523BCF">
      <w:pPr>
        <w:pStyle w:val="Heading2"/>
      </w:pPr>
      <w:bookmarkStart w:id="43" w:name="_Toc196046439"/>
      <w:bookmarkStart w:id="44" w:name="_Toc247691510"/>
      <w:bookmarkStart w:id="45" w:name="_Toc314842494"/>
      <w:bookmarkStart w:id="46" w:name="_Toc8053054"/>
      <w:r>
        <w:t>I</w:t>
      </w:r>
      <w:r w:rsidR="00500337">
        <w:t>V</w:t>
      </w:r>
      <w:r>
        <w:t>. Nonclinical</w:t>
      </w:r>
      <w:bookmarkEnd w:id="43"/>
      <w:r>
        <w:t xml:space="preserve"> </w:t>
      </w:r>
      <w:r w:rsidRPr="00523BCF">
        <w:t>findings</w:t>
      </w:r>
      <w:bookmarkEnd w:id="44"/>
      <w:bookmarkEnd w:id="45"/>
      <w:bookmarkEnd w:id="46"/>
    </w:p>
    <w:p w14:paraId="0AFD1D9B" w14:textId="77777777" w:rsidR="008E7846" w:rsidRDefault="008E7846" w:rsidP="00523BCF">
      <w:pPr>
        <w:pStyle w:val="Heading3"/>
      </w:pPr>
      <w:bookmarkStart w:id="47" w:name="_Toc247691511"/>
      <w:bookmarkStart w:id="48" w:name="_Toc314842495"/>
      <w:bookmarkStart w:id="49" w:name="_Toc8053055"/>
      <w:r w:rsidRPr="00523BCF">
        <w:t>Introduction</w:t>
      </w:r>
      <w:bookmarkEnd w:id="47"/>
      <w:bookmarkEnd w:id="48"/>
      <w:bookmarkEnd w:id="49"/>
    </w:p>
    <w:p w14:paraId="2B658758" w14:textId="77777777" w:rsidR="008A5060" w:rsidRPr="00B72CA3" w:rsidRDefault="008A5060" w:rsidP="00523BCF">
      <w:r w:rsidRPr="00B72CA3">
        <w:t>Merck Serono Australia Pty Ltd has applied to register a new biological entity, avelumab (</w:t>
      </w:r>
      <w:r w:rsidRPr="004A25E4">
        <w:t>Bavencio</w:t>
      </w:r>
      <w:r w:rsidRPr="00B72CA3">
        <w:t xml:space="preserve">), a monoclonal </w:t>
      </w:r>
      <w:r>
        <w:t>antibody (IgG1) against PD-L1 (programmed death ligand 1</w:t>
      </w:r>
      <w:r w:rsidRPr="00B72CA3">
        <w:t xml:space="preserve">). The product is proposed to be used for the treatment of patients with metastatic </w:t>
      </w:r>
      <w:r w:rsidR="004A25E4">
        <w:t>MCC</w:t>
      </w:r>
      <w:r w:rsidRPr="00B72CA3">
        <w:t xml:space="preserve"> whose disease has progressed after receiving at least one prior therapy. Treatment involves </w:t>
      </w:r>
      <w:r w:rsidR="00CE012A">
        <w:t>intravenous</w:t>
      </w:r>
      <w:r w:rsidR="00CE012A" w:rsidRPr="00B72CA3">
        <w:t xml:space="preserve"> </w:t>
      </w:r>
      <w:r w:rsidR="00CE012A">
        <w:t>(</w:t>
      </w:r>
      <w:r w:rsidRPr="00B72CA3">
        <w:t>IV</w:t>
      </w:r>
      <w:r w:rsidR="00CE012A">
        <w:t>)</w:t>
      </w:r>
      <w:r w:rsidRPr="00B72CA3">
        <w:t xml:space="preserve"> administration at 10 mg/kg once every two weeks, continuing until disease progression or unacceptable toxicity is encountere</w:t>
      </w:r>
      <w:r w:rsidR="004A25E4">
        <w:t>d.</w:t>
      </w:r>
    </w:p>
    <w:p w14:paraId="7106121C" w14:textId="77777777" w:rsidR="008A5060" w:rsidRPr="00B72CA3" w:rsidRDefault="008A5060" w:rsidP="00523BCF">
      <w:pPr>
        <w:pStyle w:val="Heading4"/>
      </w:pPr>
      <w:bookmarkStart w:id="50" w:name="_Toc294861722"/>
      <w:bookmarkStart w:id="51" w:name="_Toc295290864"/>
      <w:bookmarkStart w:id="52" w:name="_Toc489518507"/>
      <w:r w:rsidRPr="00B72CA3">
        <w:t xml:space="preserve">General </w:t>
      </w:r>
      <w:r w:rsidRPr="00523BCF">
        <w:t>comments</w:t>
      </w:r>
      <w:bookmarkEnd w:id="50"/>
      <w:bookmarkEnd w:id="51"/>
      <w:bookmarkEnd w:id="52"/>
    </w:p>
    <w:p w14:paraId="10F19F88" w14:textId="1FB5A83F" w:rsidR="008A5060" w:rsidRDefault="008A5060" w:rsidP="00523BCF">
      <w:r w:rsidRPr="00A16563">
        <w:t>The scope of nonclinical studies</w:t>
      </w:r>
      <w:r w:rsidR="004A25E4">
        <w:t xml:space="preserve"> conducted met the relevant TGA </w:t>
      </w:r>
      <w:r w:rsidRPr="00A16563">
        <w:t>adopted guidelines</w:t>
      </w:r>
      <w:r>
        <w:t xml:space="preserve"> for products of this type</w:t>
      </w:r>
      <w:bookmarkStart w:id="53" w:name="_Ref528144677"/>
      <w:r w:rsidR="001A4B5C">
        <w:t>;</w:t>
      </w:r>
      <w:bookmarkStart w:id="54" w:name="_Ref535403255"/>
      <w:r w:rsidRPr="00A16563">
        <w:rPr>
          <w:rStyle w:val="FootnoteReference"/>
        </w:rPr>
        <w:footnoteReference w:id="3"/>
      </w:r>
      <w:bookmarkEnd w:id="53"/>
      <w:bookmarkEnd w:id="54"/>
      <w:r w:rsidRPr="00A16563">
        <w:t xml:space="preserve"> and all pivotal </w:t>
      </w:r>
      <w:r w:rsidR="004A25E4">
        <w:t xml:space="preserve">safety related studies were good laboratory practice (GLP) </w:t>
      </w:r>
      <w:r w:rsidRPr="00A16563">
        <w:t>compliant.</w:t>
      </w:r>
    </w:p>
    <w:p w14:paraId="2081D27D" w14:textId="170437FB" w:rsidR="004334C7" w:rsidRPr="004334C7" w:rsidRDefault="008A5060" w:rsidP="00523BCF">
      <w:r>
        <w:t xml:space="preserve">Only one </w:t>
      </w:r>
      <w:r w:rsidRPr="00A16563">
        <w:t>nonclinical study</w:t>
      </w:r>
      <w:r>
        <w:t>, dealing with cytokine release, used</w:t>
      </w:r>
      <w:r w:rsidRPr="00A16563">
        <w:t xml:space="preserve"> drug material manufactured using the proposed commercial process (</w:t>
      </w:r>
      <w:r w:rsidR="004A25E4">
        <w:t>‘</w:t>
      </w:r>
      <w:r w:rsidRPr="00A16563">
        <w:t>Process B</w:t>
      </w:r>
      <w:r w:rsidR="004A25E4">
        <w:t>’</w:t>
      </w:r>
      <w:r w:rsidRPr="00A16563">
        <w:t xml:space="preserve">). The pivotal </w:t>
      </w:r>
      <w:r w:rsidR="005E1E9B">
        <w:t>repeat dose</w:t>
      </w:r>
      <w:r w:rsidRPr="00A16563">
        <w:t xml:space="preserve"> toxicity study employed drug material manufactured using an earlier process (</w:t>
      </w:r>
      <w:r w:rsidR="004A25E4">
        <w:t>‘</w:t>
      </w:r>
      <w:r w:rsidRPr="00A16563">
        <w:t>Process A</w:t>
      </w:r>
      <w:r w:rsidR="004A25E4">
        <w:t>’</w:t>
      </w:r>
      <w:r w:rsidRPr="00A16563">
        <w:t xml:space="preserve">). </w:t>
      </w:r>
      <w:r>
        <w:t xml:space="preserve">Pharmacology studies were conducted with material manufactured using Process A or another earlier small scale manufacturing process. </w:t>
      </w:r>
      <w:r w:rsidRPr="00A16563">
        <w:t xml:space="preserve">The </w:t>
      </w:r>
      <w:r w:rsidR="005E1E9B">
        <w:t>quality</w:t>
      </w:r>
      <w:r w:rsidRPr="00A16563">
        <w:t xml:space="preserve"> evaluator advises that Process A and Process B material </w:t>
      </w:r>
      <w:r>
        <w:t xml:space="preserve">are </w:t>
      </w:r>
      <w:r w:rsidRPr="00A16563">
        <w:t>not considered to be fully comparable</w:t>
      </w:r>
      <w:r>
        <w:t xml:space="preserve">, with differences in glycosylation, methionine oxidation and amino acid </w:t>
      </w:r>
      <w:proofErr w:type="spellStart"/>
      <w:r>
        <w:t>misincorporation</w:t>
      </w:r>
      <w:proofErr w:type="spellEnd"/>
      <w:r>
        <w:t xml:space="preserve"> profiles noted</w:t>
      </w:r>
      <w:r w:rsidR="001A4B5C">
        <w:t>.</w:t>
      </w:r>
      <w:r>
        <w:rPr>
          <w:rStyle w:val="FootnoteReference"/>
        </w:rPr>
        <w:footnoteReference w:id="4"/>
      </w:r>
      <w:r>
        <w:t xml:space="preserve"> The differences are not considered so major as to critically affect the validity of the extrapolation of the animal findings to humans. The use of drug material not fully representative of the proposed commercial product does mean, though, that certain aspects of safety and efficacy that are potentially affected by the manufacturing differences have not been examined in the nonclinical program; clinical studies using Process B </w:t>
      </w:r>
      <w:r w:rsidRPr="00BE7FA0">
        <w:t>material can cover this.</w:t>
      </w:r>
    </w:p>
    <w:p w14:paraId="2F74D416" w14:textId="77777777" w:rsidR="008E7846" w:rsidRPr="005E1E9B" w:rsidRDefault="008E7846" w:rsidP="00523BCF">
      <w:pPr>
        <w:pStyle w:val="Heading3"/>
      </w:pPr>
      <w:bookmarkStart w:id="55" w:name="_Toc247691512"/>
      <w:bookmarkStart w:id="56" w:name="_Toc314842496"/>
      <w:bookmarkStart w:id="57" w:name="_Toc8053056"/>
      <w:r w:rsidRPr="00523BCF">
        <w:t>Pharmacology</w:t>
      </w:r>
      <w:bookmarkEnd w:id="55"/>
      <w:bookmarkEnd w:id="56"/>
      <w:bookmarkEnd w:id="57"/>
    </w:p>
    <w:p w14:paraId="2FF91F31" w14:textId="77777777" w:rsidR="008A5060" w:rsidRPr="008A5060" w:rsidRDefault="008A5060" w:rsidP="00523BCF">
      <w:pPr>
        <w:pStyle w:val="Heading4"/>
      </w:pPr>
      <w:r w:rsidRPr="008A5060">
        <w:t xml:space="preserve">Primary </w:t>
      </w:r>
      <w:r w:rsidRPr="00523BCF">
        <w:t>pharmacology</w:t>
      </w:r>
    </w:p>
    <w:p w14:paraId="032E746B" w14:textId="17E4496A" w:rsidR="008A5060" w:rsidRDefault="008A5060" w:rsidP="00523BCF">
      <w:r w:rsidRPr="00BE7FA0">
        <w:t>PD-L1</w:t>
      </w:r>
      <w:r>
        <w:t>, the target for avelumab,</w:t>
      </w:r>
      <w:r w:rsidRPr="00BE7FA0">
        <w:t xml:space="preserve"> is a transmembrane protein that functions to suppress T</w:t>
      </w:r>
      <w:r>
        <w:t> </w:t>
      </w:r>
      <w:r w:rsidRPr="00BE7FA0">
        <w:t>cell activation t</w:t>
      </w:r>
      <w:r>
        <w:t>hrough engagement of the PD-1 (programmed death 1</w:t>
      </w:r>
      <w:r w:rsidRPr="00BE7FA0">
        <w:t>) receptor present on the surface of activated T cells.</w:t>
      </w:r>
      <w:r>
        <w:t xml:space="preserve"> </w:t>
      </w:r>
      <w:r w:rsidRPr="009A00DE">
        <w:t>The PD</w:t>
      </w:r>
      <w:r>
        <w:noBreakHyphen/>
        <w:t xml:space="preserve">L1/PD-1 interaction </w:t>
      </w:r>
      <w:r w:rsidRPr="009A00DE">
        <w:t xml:space="preserve">sends a strong inhibitory </w:t>
      </w:r>
      <w:r w:rsidRPr="009A00DE">
        <w:lastRenderedPageBreak/>
        <w:t>signal to T cells resulting in the loss of cytotoxic effector functions</w:t>
      </w:r>
      <w:r>
        <w:t xml:space="preserve">. The PD-1 pathway is normally involved in promoting peripheral tolerance, but may be usurped in tumours to overcome active </w:t>
      </w:r>
      <w:r w:rsidR="005E1E9B">
        <w:t>T cell</w:t>
      </w:r>
      <w:r>
        <w:t xml:space="preserve"> immune surveillance. T</w:t>
      </w:r>
      <w:r w:rsidRPr="009A00DE">
        <w:t>he</w:t>
      </w:r>
      <w:r>
        <w:t xml:space="preserve"> </w:t>
      </w:r>
      <w:r w:rsidRPr="009A00DE">
        <w:t>overexpression of PD-L1 in tumo</w:t>
      </w:r>
      <w:r>
        <w:t>u</w:t>
      </w:r>
      <w:r w:rsidRPr="009A00DE">
        <w:t>rs</w:t>
      </w:r>
      <w:r>
        <w:t xml:space="preserve"> and in </w:t>
      </w:r>
      <w:r w:rsidRPr="009A00DE">
        <w:t>the tumo</w:t>
      </w:r>
      <w:r>
        <w:t xml:space="preserve">ur microenvironment has been shown </w:t>
      </w:r>
      <w:r w:rsidRPr="009A00DE">
        <w:t>to correlate with disease progression, i</w:t>
      </w:r>
      <w:r>
        <w:t xml:space="preserve">nvasiveness, and poor prognosis in cancer patients. By binding PD-L1, avelumab is intended to block the ligand’s interaction with PD-1, removing the suppressive effect, and restoring cytotoxic/anti-tumour T cell responses. Avelumab was also envisaged to have anti-tumour activity through </w:t>
      </w:r>
      <w:r w:rsidR="005E1E9B">
        <w:t>antibody dependent</w:t>
      </w:r>
      <w:r>
        <w:t xml:space="preserve"> </w:t>
      </w:r>
      <w:r w:rsidR="005E1E9B">
        <w:t>cell mediated</w:t>
      </w:r>
      <w:r>
        <w:t xml:space="preserve"> cytotoxicity (ADCC</w:t>
      </w:r>
      <w:r w:rsidR="001A4B5C">
        <w:t>)</w:t>
      </w:r>
      <w:r>
        <w:t>; involving engagement of Fc receptors on natural killer cells and macrophages.</w:t>
      </w:r>
    </w:p>
    <w:p w14:paraId="2834E9A4" w14:textId="77777777" w:rsidR="008A5060" w:rsidRDefault="008A5060" w:rsidP="005E1E9B">
      <w:r>
        <w:t>Avelumab was shown to bind to human PD</w:t>
      </w:r>
      <w:r>
        <w:noBreakHyphen/>
        <w:t>L1 with sub</w:t>
      </w:r>
      <w:r w:rsidR="005E1E9B">
        <w:t>-</w:t>
      </w:r>
      <w:r>
        <w:t>nanomolar affinity (</w:t>
      </w:r>
      <w:proofErr w:type="gramStart"/>
      <w:r w:rsidRPr="00296550">
        <w:rPr>
          <w:i/>
        </w:rPr>
        <w:t>K</w:t>
      </w:r>
      <w:r w:rsidRPr="00296550">
        <w:rPr>
          <w:vertAlign w:val="subscript"/>
        </w:rPr>
        <w:t>d</w:t>
      </w:r>
      <w:proofErr w:type="gramEnd"/>
      <w:r>
        <w:t xml:space="preserve">, 0.7 nM). It displayed comparable affinity for the mouse and cynomolgus monkey forms of PD-L1 </w:t>
      </w:r>
      <w:r w:rsidR="005E1E9B" w:rsidRPr="005E1E9B">
        <w:rPr>
          <w:szCs w:val="18"/>
        </w:rPr>
        <w:t>compared with</w:t>
      </w:r>
      <w:r>
        <w:rPr>
          <w:szCs w:val="18"/>
        </w:rPr>
        <w:t xml:space="preserve"> human</w:t>
      </w:r>
      <w:r>
        <w:t xml:space="preserve"> (</w:t>
      </w:r>
      <w:r w:rsidRPr="009E52E8">
        <w:rPr>
          <w:i/>
        </w:rPr>
        <w:t>K</w:t>
      </w:r>
      <w:r w:rsidRPr="009E52E8">
        <w:rPr>
          <w:vertAlign w:val="subscript"/>
        </w:rPr>
        <w:t>d</w:t>
      </w:r>
      <w:r w:rsidR="005E1E9B">
        <w:t xml:space="preserve"> values, </w:t>
      </w:r>
      <w:r>
        <w:t>0.9 and 1.1 nM, respectively), while its recognition of PD-L1 from other laboratory animal species was much poorer (its affinity for dog, rat and rabbit PD-L1 being</w:t>
      </w:r>
      <w:r w:rsidR="005E1E9B">
        <w:t xml:space="preserve"> approximately 6.5, 100 and 150 </w:t>
      </w:r>
      <w:r>
        <w:t xml:space="preserve">fold weaker </w:t>
      </w:r>
      <w:r w:rsidR="005E1E9B" w:rsidRPr="005E1E9B">
        <w:rPr>
          <w:szCs w:val="18"/>
        </w:rPr>
        <w:t>compared with</w:t>
      </w:r>
      <w:r>
        <w:rPr>
          <w:szCs w:val="18"/>
        </w:rPr>
        <w:t xml:space="preserve"> human).</w:t>
      </w:r>
    </w:p>
    <w:p w14:paraId="10F3F7F9" w14:textId="0E1857D2" w:rsidR="008A5060" w:rsidRPr="002D20A7" w:rsidRDefault="008A5060" w:rsidP="00523BCF">
      <w:pPr>
        <w:rPr>
          <w:szCs w:val="18"/>
        </w:rPr>
      </w:pPr>
      <w:r w:rsidRPr="00B9688B">
        <w:rPr>
          <w:i/>
        </w:rPr>
        <w:t>In vitro</w:t>
      </w:r>
      <w:r>
        <w:t xml:space="preserve"> in human whole blood, 50% occupancy of PD-L1 on CD3</w:t>
      </w:r>
      <w:r w:rsidRPr="00D4614D">
        <w:rPr>
          <w:vertAlign w:val="superscript"/>
        </w:rPr>
        <w:t>+</w:t>
      </w:r>
      <w:r>
        <w:t xml:space="preserve"> T cells was observed with avelumab at 0.122 µg/mL and </w:t>
      </w:r>
      <w:r w:rsidR="005E1E9B">
        <w:t xml:space="preserve">&gt; </w:t>
      </w:r>
      <w:r>
        <w:t xml:space="preserve">95% occupancy at 1 µg/mL. These concentrations compare favourably with the trough concentration in patients at the proposed clinical dose </w:t>
      </w:r>
      <w:proofErr w:type="gramStart"/>
      <w:r>
        <w:t>(</w:t>
      </w:r>
      <w:r w:rsidR="005E1E9B" w:rsidRPr="005E1E9B">
        <w:t>that is</w:t>
      </w:r>
      <w:r w:rsidRPr="005E1E9B">
        <w:t>,</w:t>
      </w:r>
      <w:r>
        <w:t xml:space="preserve"> 21.3 µg/mL measured 14 days </w:t>
      </w:r>
      <w:r>
        <w:rPr>
          <w:szCs w:val="18"/>
        </w:rPr>
        <w:t xml:space="preserve">after the first 10 mg/kg dose in </w:t>
      </w:r>
      <w:r w:rsidR="001A4B5C">
        <w:rPr>
          <w:szCs w:val="18"/>
        </w:rPr>
        <w:t xml:space="preserve">clinical </w:t>
      </w:r>
      <w:r>
        <w:rPr>
          <w:szCs w:val="18"/>
        </w:rPr>
        <w:t>Study</w:t>
      </w:r>
      <w:r w:rsidR="001A4B5C">
        <w:rPr>
          <w:szCs w:val="18"/>
        </w:rPr>
        <w:t> </w:t>
      </w:r>
      <w:r>
        <w:rPr>
          <w:szCs w:val="18"/>
        </w:rPr>
        <w:t>EMR 100070-001)</w:t>
      </w:r>
      <w:proofErr w:type="gramEnd"/>
      <w:r>
        <w:rPr>
          <w:szCs w:val="18"/>
        </w:rPr>
        <w:t>. Binding of PD</w:t>
      </w:r>
      <w:r>
        <w:rPr>
          <w:szCs w:val="18"/>
        </w:rPr>
        <w:noBreakHyphen/>
        <w:t xml:space="preserve">L1 on a variety of human tumour cell lines and HEK293 cells transfected with human, mouse and monkey </w:t>
      </w:r>
      <w:r w:rsidRPr="005F3D38">
        <w:rPr>
          <w:szCs w:val="18"/>
        </w:rPr>
        <w:t>PD</w:t>
      </w:r>
      <w:r w:rsidRPr="005F3D38">
        <w:rPr>
          <w:szCs w:val="18"/>
        </w:rPr>
        <w:noBreakHyphen/>
        <w:t>L1</w:t>
      </w:r>
      <w:r>
        <w:rPr>
          <w:szCs w:val="18"/>
        </w:rPr>
        <w:t xml:space="preserve"> was demonstrated. Avelumab was also shown to competitively inhibit the interaction </w:t>
      </w:r>
      <w:r w:rsidRPr="002D20A7">
        <w:rPr>
          <w:szCs w:val="18"/>
        </w:rPr>
        <w:t>between PD</w:t>
      </w:r>
      <w:r w:rsidRPr="002D20A7">
        <w:rPr>
          <w:szCs w:val="18"/>
        </w:rPr>
        <w:noBreakHyphen/>
        <w:t>L1 and PD</w:t>
      </w:r>
      <w:r w:rsidR="001A4B5C">
        <w:rPr>
          <w:szCs w:val="18"/>
        </w:rPr>
        <w:noBreakHyphen/>
      </w:r>
      <w:r w:rsidRPr="002D20A7">
        <w:rPr>
          <w:szCs w:val="18"/>
        </w:rPr>
        <w:t>1 and between P</w:t>
      </w:r>
      <w:r>
        <w:rPr>
          <w:szCs w:val="18"/>
        </w:rPr>
        <w:t>D</w:t>
      </w:r>
      <w:r>
        <w:rPr>
          <w:szCs w:val="18"/>
        </w:rPr>
        <w:noBreakHyphen/>
        <w:t>L1 and its other receptor, B7.</w:t>
      </w:r>
      <w:r w:rsidRPr="002D20A7">
        <w:rPr>
          <w:szCs w:val="18"/>
        </w:rPr>
        <w:t xml:space="preserve">1, in </w:t>
      </w:r>
      <w:r w:rsidR="005E1E9B">
        <w:rPr>
          <w:szCs w:val="18"/>
        </w:rPr>
        <w:t>cell based</w:t>
      </w:r>
      <w:r w:rsidRPr="002D20A7">
        <w:rPr>
          <w:szCs w:val="18"/>
        </w:rPr>
        <w:t xml:space="preserve"> experiments.</w:t>
      </w:r>
    </w:p>
    <w:p w14:paraId="7A7CC932" w14:textId="77777777" w:rsidR="008A5060" w:rsidRDefault="008A5060" w:rsidP="00523BCF">
      <w:r w:rsidRPr="002D20A7">
        <w:rPr>
          <w:i/>
        </w:rPr>
        <w:t>In vitro</w:t>
      </w:r>
      <w:r w:rsidRPr="002D20A7">
        <w:t xml:space="preserve"> in functional experiments, avelumab enhanced the activation of human and mouse primary T cells in a </w:t>
      </w:r>
      <w:r w:rsidR="005E1E9B">
        <w:t>dose dependent</w:t>
      </w:r>
      <w:r w:rsidRPr="002D20A7">
        <w:t xml:space="preserve"> manner (EC</w:t>
      </w:r>
      <w:r w:rsidRPr="002D20A7">
        <w:rPr>
          <w:vertAlign w:val="subscript"/>
        </w:rPr>
        <w:t>50</w:t>
      </w:r>
      <w:r w:rsidRPr="002D20A7">
        <w:t xml:space="preserve"> value for human cells, 0.08 nM)</w:t>
      </w:r>
      <w:r>
        <w:t>,</w:t>
      </w:r>
      <w:r w:rsidRPr="002D20A7">
        <w:t xml:space="preserve"> and induced ADCC (but not </w:t>
      </w:r>
      <w:r w:rsidR="005E1E9B">
        <w:t>complement mediated</w:t>
      </w:r>
      <w:r w:rsidRPr="002D20A7">
        <w:t xml:space="preserve"> cytotoxicity) against two </w:t>
      </w:r>
      <w:r w:rsidRPr="002D20A7">
        <w:rPr>
          <w:szCs w:val="18"/>
        </w:rPr>
        <w:t>PD</w:t>
      </w:r>
      <w:r w:rsidRPr="002D20A7">
        <w:rPr>
          <w:szCs w:val="18"/>
        </w:rPr>
        <w:noBreakHyphen/>
        <w:t>L1</w:t>
      </w:r>
      <w:r w:rsidR="005E1E9B">
        <w:t xml:space="preserve"> </w:t>
      </w:r>
      <w:r w:rsidRPr="002D20A7">
        <w:t>expressing human tumour cell lines.</w:t>
      </w:r>
    </w:p>
    <w:p w14:paraId="203F76C8" w14:textId="77777777" w:rsidR="008A5060" w:rsidRDefault="008A5060" w:rsidP="00523BCF">
      <w:pPr>
        <w:rPr>
          <w:szCs w:val="18"/>
        </w:rPr>
      </w:pPr>
      <w:r w:rsidRPr="000C4391">
        <w:t>Avelumab inhibited the growth of MC38 tumours (murine colon adenocarcinoma; highly expressing PD</w:t>
      </w:r>
      <w:r w:rsidRPr="000C4391">
        <w:noBreakHyphen/>
        <w:t>L1</w:t>
      </w:r>
      <w:r w:rsidRPr="005E1E9B">
        <w:rPr>
          <w:i/>
        </w:rPr>
        <w:t>) in vivo</w:t>
      </w:r>
      <w:r w:rsidRPr="000C4391">
        <w:t xml:space="preserve"> in mice, with a 70% reduction in tumour volume </w:t>
      </w:r>
      <w:r w:rsidR="005E1E9B" w:rsidRPr="005E1E9B">
        <w:rPr>
          <w:szCs w:val="18"/>
        </w:rPr>
        <w:t>compared with</w:t>
      </w:r>
      <w:r w:rsidRPr="005E1E9B">
        <w:rPr>
          <w:szCs w:val="18"/>
        </w:rPr>
        <w:t xml:space="preserve"> </w:t>
      </w:r>
      <w:r w:rsidRPr="000C4391">
        <w:rPr>
          <w:szCs w:val="18"/>
        </w:rPr>
        <w:t xml:space="preserve">controls observed with treatment at </w:t>
      </w:r>
      <w:r w:rsidR="005E1E9B">
        <w:rPr>
          <w:szCs w:val="18"/>
        </w:rPr>
        <w:t xml:space="preserve">~ </w:t>
      </w:r>
      <w:r w:rsidRPr="000C4391">
        <w:rPr>
          <w:szCs w:val="18"/>
        </w:rPr>
        <w:t>20 mg/kg, given IV three times over one week. Anti-tumour activity was associated with modulation of T cell phenotypes (including increased levels of splenic CD8</w:t>
      </w:r>
      <w:r w:rsidRPr="000C4391">
        <w:rPr>
          <w:szCs w:val="18"/>
          <w:vertAlign w:val="superscript"/>
        </w:rPr>
        <w:t>+</w:t>
      </w:r>
      <w:r w:rsidRPr="000C4391">
        <w:rPr>
          <w:szCs w:val="18"/>
        </w:rPr>
        <w:t>/PD-1</w:t>
      </w:r>
      <w:r w:rsidRPr="000C4391">
        <w:rPr>
          <w:szCs w:val="18"/>
          <w:vertAlign w:val="superscript"/>
        </w:rPr>
        <w:t>+</w:t>
      </w:r>
      <w:r w:rsidRPr="000C4391">
        <w:rPr>
          <w:szCs w:val="18"/>
        </w:rPr>
        <w:t xml:space="preserve"> T cells and CD8</w:t>
      </w:r>
      <w:r w:rsidRPr="000C4391">
        <w:rPr>
          <w:szCs w:val="18"/>
          <w:vertAlign w:val="superscript"/>
        </w:rPr>
        <w:t>+</w:t>
      </w:r>
      <w:r w:rsidRPr="000C4391">
        <w:rPr>
          <w:szCs w:val="18"/>
        </w:rPr>
        <w:t xml:space="preserve"> effector memory cells), and was shown to be completely dependent on CD8</w:t>
      </w:r>
      <w:r w:rsidRPr="000C4391">
        <w:rPr>
          <w:szCs w:val="18"/>
          <w:vertAlign w:val="superscript"/>
        </w:rPr>
        <w:t>+</w:t>
      </w:r>
      <w:r w:rsidRPr="000C4391">
        <w:rPr>
          <w:szCs w:val="18"/>
        </w:rPr>
        <w:t xml:space="preserve"> lymphocytes </w:t>
      </w:r>
      <w:r w:rsidRPr="005E1E9B">
        <w:rPr>
          <w:szCs w:val="18"/>
        </w:rPr>
        <w:t>(</w:t>
      </w:r>
      <w:r w:rsidR="005E1E9B" w:rsidRPr="005E1E9B">
        <w:rPr>
          <w:szCs w:val="18"/>
        </w:rPr>
        <w:t>that is</w:t>
      </w:r>
      <w:r w:rsidRPr="005E1E9B">
        <w:rPr>
          <w:szCs w:val="18"/>
        </w:rPr>
        <w:t>,</w:t>
      </w:r>
      <w:r w:rsidRPr="000C4391">
        <w:rPr>
          <w:szCs w:val="18"/>
        </w:rPr>
        <w:t xml:space="preserve"> abolished with CD8</w:t>
      </w:r>
      <w:r w:rsidRPr="000C4391">
        <w:rPr>
          <w:szCs w:val="18"/>
          <w:vertAlign w:val="superscript"/>
        </w:rPr>
        <w:t>+</w:t>
      </w:r>
      <w:r w:rsidRPr="000C4391">
        <w:rPr>
          <w:szCs w:val="18"/>
        </w:rPr>
        <w:t xml:space="preserve"> T cell depletion), and also to involve ADCC (</w:t>
      </w:r>
      <w:r w:rsidR="005E1E9B" w:rsidRPr="005E1E9B">
        <w:rPr>
          <w:szCs w:val="18"/>
        </w:rPr>
        <w:t>that is</w:t>
      </w:r>
      <w:r w:rsidRPr="005E1E9B">
        <w:rPr>
          <w:szCs w:val="18"/>
        </w:rPr>
        <w:t xml:space="preserve">, </w:t>
      </w:r>
      <w:r>
        <w:rPr>
          <w:szCs w:val="18"/>
        </w:rPr>
        <w:t xml:space="preserve">significantly </w:t>
      </w:r>
      <w:r w:rsidRPr="000C4391">
        <w:rPr>
          <w:szCs w:val="18"/>
        </w:rPr>
        <w:t>reduced with NK</w:t>
      </w:r>
      <w:r>
        <w:rPr>
          <w:szCs w:val="18"/>
        </w:rPr>
        <w:t xml:space="preserve"> </w:t>
      </w:r>
      <w:r w:rsidRPr="000C4391">
        <w:rPr>
          <w:szCs w:val="18"/>
        </w:rPr>
        <w:t xml:space="preserve">cell depletion </w:t>
      </w:r>
      <w:r>
        <w:rPr>
          <w:szCs w:val="18"/>
        </w:rPr>
        <w:t>or</w:t>
      </w:r>
      <w:r w:rsidRPr="000C4391">
        <w:rPr>
          <w:szCs w:val="18"/>
        </w:rPr>
        <w:t xml:space="preserve"> </w:t>
      </w:r>
      <w:proofErr w:type="spellStart"/>
      <w:r w:rsidRPr="000C4391">
        <w:rPr>
          <w:szCs w:val="18"/>
        </w:rPr>
        <w:t>degl</w:t>
      </w:r>
      <w:r w:rsidR="005E1E9B">
        <w:rPr>
          <w:szCs w:val="18"/>
        </w:rPr>
        <w:t>ycosylation</w:t>
      </w:r>
      <w:proofErr w:type="spellEnd"/>
      <w:r w:rsidR="005E1E9B">
        <w:rPr>
          <w:szCs w:val="18"/>
        </w:rPr>
        <w:t xml:space="preserve"> to generate an ADCC </w:t>
      </w:r>
      <w:r w:rsidRPr="000C4391">
        <w:rPr>
          <w:szCs w:val="18"/>
        </w:rPr>
        <w:t>incompetent form of the antibody).</w:t>
      </w:r>
    </w:p>
    <w:p w14:paraId="3DBC949F" w14:textId="77777777" w:rsidR="008A5060" w:rsidRDefault="008A5060" w:rsidP="005E1E9B">
      <w:pPr>
        <w:rPr>
          <w:szCs w:val="18"/>
        </w:rPr>
      </w:pPr>
      <w:r>
        <w:rPr>
          <w:szCs w:val="18"/>
        </w:rPr>
        <w:t xml:space="preserve">Enhanced </w:t>
      </w:r>
      <w:r w:rsidR="005E1E9B">
        <w:rPr>
          <w:szCs w:val="18"/>
        </w:rPr>
        <w:t>anti-tumour</w:t>
      </w:r>
      <w:r>
        <w:rPr>
          <w:szCs w:val="18"/>
        </w:rPr>
        <w:t xml:space="preserve"> activity and/or survival was demonstrated with avelumab in combination with radiation therapy, and 5-fluorouracil + oxaliplatin, in mice bearing MC38 tumours; and in combination with gemcitabine in mice bearing Panc02 tumours (</w:t>
      </w:r>
      <w:proofErr w:type="gramStart"/>
      <w:r>
        <w:rPr>
          <w:szCs w:val="18"/>
        </w:rPr>
        <w:t>murine</w:t>
      </w:r>
      <w:proofErr w:type="gramEnd"/>
      <w:r>
        <w:rPr>
          <w:szCs w:val="18"/>
        </w:rPr>
        <w:t xml:space="preserve"> pancreatic adenocarcinoma).</w:t>
      </w:r>
    </w:p>
    <w:p w14:paraId="069E79EC" w14:textId="77777777" w:rsidR="008A5060" w:rsidRPr="008A5060" w:rsidRDefault="008A5060" w:rsidP="00523BCF">
      <w:r>
        <w:t>No nonclinical</w:t>
      </w:r>
      <w:r w:rsidRPr="00332BC2">
        <w:t xml:space="preserve"> pharmacology study using </w:t>
      </w:r>
      <w:r w:rsidR="005E1E9B">
        <w:t xml:space="preserve">MCC </w:t>
      </w:r>
      <w:r w:rsidRPr="00332BC2">
        <w:t xml:space="preserve">derived cells has been </w:t>
      </w:r>
      <w:r w:rsidRPr="00E82506">
        <w:t>conducted, but efficacy against this tumour type to support the proposed indication is rationalised by the known expression of PD</w:t>
      </w:r>
      <w:r w:rsidRPr="00E82506">
        <w:noBreakHyphen/>
        <w:t>L1 in MCC specimens from patients</w:t>
      </w:r>
      <w:r w:rsidRPr="00E82506">
        <w:rPr>
          <w:rStyle w:val="FootnoteReference"/>
        </w:rPr>
        <w:footnoteReference w:id="5"/>
      </w:r>
      <w:r w:rsidRPr="00E82506">
        <w:t>.</w:t>
      </w:r>
    </w:p>
    <w:p w14:paraId="08B80444" w14:textId="77777777" w:rsidR="008A5060" w:rsidRPr="00E82506" w:rsidRDefault="008A5060" w:rsidP="00523BCF">
      <w:pPr>
        <w:pStyle w:val="Heading4"/>
      </w:pPr>
      <w:r w:rsidRPr="00E82506">
        <w:t xml:space="preserve">Secondary pharmacodynamics and </w:t>
      </w:r>
      <w:r w:rsidR="005E1E9B">
        <w:t xml:space="preserve">cross </w:t>
      </w:r>
      <w:r w:rsidR="005E1E9B" w:rsidRPr="00523BCF">
        <w:t>reactivity</w:t>
      </w:r>
    </w:p>
    <w:p w14:paraId="16885AA8" w14:textId="77777777" w:rsidR="008A5060" w:rsidRPr="004D6CEC" w:rsidRDefault="008A5060" w:rsidP="00523BCF">
      <w:r w:rsidRPr="005E1E9B">
        <w:t>Supporting specificity, a precursor antibody of avelumab</w:t>
      </w:r>
      <w:r w:rsidR="005E1E9B" w:rsidRPr="005E1E9B">
        <w:t>;</w:t>
      </w:r>
      <w:r w:rsidRPr="005E1E9B">
        <w:t xml:space="preserve"> containing identical variable regions to avelumab</w:t>
      </w:r>
      <w:r w:rsidR="005E1E9B">
        <w:t>,</w:t>
      </w:r>
      <w:r w:rsidRPr="005E1E9B">
        <w:t xml:space="preserve"> did not bind to other members of the B7 family of</w:t>
      </w:r>
      <w:r w:rsidRPr="004D6CEC">
        <w:t xml:space="preserve"> immunoregulatory ligands to which </w:t>
      </w:r>
      <w:r w:rsidRPr="004D6CEC">
        <w:rPr>
          <w:rFonts w:eastAsiaTheme="minorHAnsi"/>
          <w:szCs w:val="18"/>
        </w:rPr>
        <w:t>PD</w:t>
      </w:r>
      <w:r w:rsidRPr="004D6CEC">
        <w:rPr>
          <w:rFonts w:eastAsiaTheme="minorHAnsi"/>
          <w:szCs w:val="18"/>
        </w:rPr>
        <w:noBreakHyphen/>
        <w:t>L1</w:t>
      </w:r>
      <w:r w:rsidRPr="004D6CEC">
        <w:t xml:space="preserve"> belongs. </w:t>
      </w:r>
      <w:r w:rsidRPr="004D6CEC">
        <w:rPr>
          <w:rFonts w:eastAsiaTheme="minorHAnsi"/>
          <w:szCs w:val="18"/>
        </w:rPr>
        <w:t>Avelumab did not induce ADCC against PD</w:t>
      </w:r>
      <w:r w:rsidRPr="004D6CEC">
        <w:rPr>
          <w:rFonts w:eastAsiaTheme="minorHAnsi"/>
          <w:szCs w:val="18"/>
        </w:rPr>
        <w:noBreakHyphen/>
        <w:t>L1</w:t>
      </w:r>
      <w:r w:rsidRPr="004D6CEC">
        <w:rPr>
          <w:vertAlign w:val="superscript"/>
        </w:rPr>
        <w:t>+</w:t>
      </w:r>
      <w:r w:rsidRPr="004D6CEC">
        <w:t xml:space="preserve"> immune cells </w:t>
      </w:r>
      <w:r w:rsidRPr="00B9688B">
        <w:rPr>
          <w:i/>
        </w:rPr>
        <w:t xml:space="preserve">in vitro </w:t>
      </w:r>
      <w:r w:rsidRPr="001A4B5C">
        <w:t>(</w:t>
      </w:r>
      <w:r w:rsidR="005E1E9B" w:rsidRPr="005147C8">
        <w:rPr>
          <w:szCs w:val="18"/>
        </w:rPr>
        <w:t>compared with</w:t>
      </w:r>
      <w:r w:rsidRPr="005147C8">
        <w:rPr>
          <w:szCs w:val="18"/>
        </w:rPr>
        <w:t xml:space="preserve"> tumour cells with higher </w:t>
      </w:r>
      <w:r w:rsidRPr="005147C8">
        <w:rPr>
          <w:rFonts w:eastAsiaTheme="minorHAnsi"/>
          <w:szCs w:val="18"/>
        </w:rPr>
        <w:t>PD</w:t>
      </w:r>
      <w:r w:rsidRPr="005147C8">
        <w:rPr>
          <w:rFonts w:eastAsiaTheme="minorHAnsi"/>
          <w:szCs w:val="18"/>
        </w:rPr>
        <w:noBreakHyphen/>
        <w:t>L1</w:t>
      </w:r>
      <w:r w:rsidRPr="005147C8">
        <w:rPr>
          <w:szCs w:val="18"/>
        </w:rPr>
        <w:t xml:space="preserve"> expression</w:t>
      </w:r>
      <w:r w:rsidRPr="005147C8">
        <w:t xml:space="preserve">), and did not </w:t>
      </w:r>
      <w:r w:rsidRPr="005147C8">
        <w:lastRenderedPageBreak/>
        <w:t>produce detectable killing of immune cell subsets (including of CD8</w:t>
      </w:r>
      <w:r w:rsidRPr="00685885">
        <w:rPr>
          <w:vertAlign w:val="superscript"/>
        </w:rPr>
        <w:t>+</w:t>
      </w:r>
      <w:r w:rsidRPr="001A4B5C">
        <w:t xml:space="preserve"> cytotoxic T cells, crucial for efficacy) in vivo </w:t>
      </w:r>
      <w:r w:rsidRPr="004D6CEC">
        <w:t>in treated monkeys.</w:t>
      </w:r>
    </w:p>
    <w:p w14:paraId="080A8A1E" w14:textId="7D284544" w:rsidR="008A5060" w:rsidRPr="004D6CEC" w:rsidRDefault="008A5060" w:rsidP="00523BCF">
      <w:r w:rsidRPr="004D6CEC">
        <w:t xml:space="preserve">Cytokine release studies, conducted </w:t>
      </w:r>
      <w:r w:rsidRPr="00B9688B">
        <w:rPr>
          <w:i/>
        </w:rPr>
        <w:t>in vitro</w:t>
      </w:r>
      <w:r w:rsidRPr="004D6CEC">
        <w:t xml:space="preserve"> using human and monkey whole blood and peripheral blood mononuclear cells, showed mult</w:t>
      </w:r>
      <w:r w:rsidR="005E1E9B">
        <w:t>i</w:t>
      </w:r>
      <w:r w:rsidR="00A63E68">
        <w:t xml:space="preserve"> fold</w:t>
      </w:r>
      <w:r w:rsidR="005E1E9B">
        <w:t xml:space="preserve"> induction of various pro</w:t>
      </w:r>
      <w:r w:rsidR="005E1E9B">
        <w:noBreakHyphen/>
      </w:r>
      <w:r w:rsidRPr="004D6CEC">
        <w:t xml:space="preserve">inflammatory cytokines (most prominently </w:t>
      </w:r>
      <w:r w:rsidR="005147C8">
        <w:t xml:space="preserve">tumour </w:t>
      </w:r>
      <w:r w:rsidR="005E1E9B">
        <w:t>necrosis factor-alpha</w:t>
      </w:r>
      <w:r w:rsidR="005E1E9B" w:rsidRPr="004D6CEC">
        <w:t xml:space="preserve"> </w:t>
      </w:r>
      <w:r w:rsidR="005E1E9B">
        <w:t>(</w:t>
      </w:r>
      <w:r w:rsidRPr="004D6CEC">
        <w:t>TNF-α</w:t>
      </w:r>
      <w:r w:rsidR="005E1E9B">
        <w:t>)</w:t>
      </w:r>
      <w:r w:rsidRPr="004D6CEC">
        <w:t xml:space="preserve"> and </w:t>
      </w:r>
      <w:r w:rsidR="005147C8">
        <w:t>i</w:t>
      </w:r>
      <w:r w:rsidR="005E1E9B">
        <w:t>nterleukin 6 (</w:t>
      </w:r>
      <w:r w:rsidRPr="004D6CEC">
        <w:t>IL</w:t>
      </w:r>
      <w:r w:rsidRPr="004D6CEC">
        <w:noBreakHyphen/>
        <w:t>6</w:t>
      </w:r>
      <w:r w:rsidR="005E1E9B">
        <w:t>)</w:t>
      </w:r>
      <w:r w:rsidRPr="004D6CEC">
        <w:t xml:space="preserve">), indicating the potential for a mostly mild acute phase response after dosing with avelumab. A comparative study with Process A and Process B drug material showed mostly similar results for the two drug lots, and where differences were observed, it was mostly material manufactured with the </w:t>
      </w:r>
      <w:r w:rsidRPr="004D6CEC">
        <w:rPr>
          <w:szCs w:val="18"/>
        </w:rPr>
        <w:t>non</w:t>
      </w:r>
      <w:r w:rsidRPr="004D6CEC">
        <w:rPr>
          <w:szCs w:val="18"/>
        </w:rPr>
        <w:noBreakHyphen/>
        <w:t>commercial process (A)</w:t>
      </w:r>
      <w:r w:rsidRPr="004D6CEC">
        <w:t xml:space="preserve"> that produced a greater cytokine response.</w:t>
      </w:r>
    </w:p>
    <w:p w14:paraId="17616563" w14:textId="77777777" w:rsidR="008A5060" w:rsidRPr="007D6987" w:rsidRDefault="008A5060" w:rsidP="00523BCF">
      <w:r w:rsidRPr="004D6CEC">
        <w:t xml:space="preserve">Immunohistochemical studies examining </w:t>
      </w:r>
      <w:r w:rsidR="005E1E9B">
        <w:t>cross reactivity</w:t>
      </w:r>
      <w:r w:rsidR="005E1E9B" w:rsidRPr="005E1E9B">
        <w:t>;</w:t>
      </w:r>
      <w:r w:rsidRPr="005E1E9B">
        <w:t xml:space="preserve"> involving a suitably</w:t>
      </w:r>
      <w:r w:rsidRPr="004D6CEC">
        <w:t xml:space="preserve"> comprehensive </w:t>
      </w:r>
      <w:r>
        <w:t xml:space="preserve">panel </w:t>
      </w:r>
      <w:r w:rsidRPr="005E1E9B">
        <w:t>of tissues</w:t>
      </w:r>
      <w:r w:rsidRPr="005E1E9B">
        <w:rPr>
          <w:vertAlign w:val="superscript"/>
        </w:rPr>
        <w:footnoteReference w:id="6"/>
      </w:r>
      <w:r w:rsidRPr="005E1E9B">
        <w:t xml:space="preserve"> revealed</w:t>
      </w:r>
      <w:r>
        <w:t xml:space="preserve"> widespread binding by avelumab across human and monkey tissues. This is mostly in accordance with the wide expression pattern known for </w:t>
      </w:r>
      <w:r w:rsidRPr="0090737D">
        <w:rPr>
          <w:rFonts w:eastAsiaTheme="minorHAnsi"/>
          <w:szCs w:val="18"/>
        </w:rPr>
        <w:t>PD</w:t>
      </w:r>
      <w:r w:rsidRPr="0090737D">
        <w:rPr>
          <w:rFonts w:eastAsiaTheme="minorHAnsi"/>
          <w:szCs w:val="18"/>
        </w:rPr>
        <w:noBreakHyphen/>
        <w:t>L1</w:t>
      </w:r>
      <w:r>
        <w:t xml:space="preserve">, but binding to mesothelium, ovarian granulosa cells, testicular interstitial cells, megakaryocytes as well as thyroid parafollicular cells in the human tissue panel is not accounted for by known PD-L1 expression. Staining of these tissue elements by avelumab may represent previously unrecognised sites of PD-L1 </w:t>
      </w:r>
      <w:r w:rsidRPr="007D6987">
        <w:t xml:space="preserve">expression or unexpected tissue </w:t>
      </w:r>
      <w:r w:rsidR="005E1E9B">
        <w:t>cross reactivity</w:t>
      </w:r>
      <w:r w:rsidRPr="007D6987">
        <w:t xml:space="preserve"> with another epitope(s) closely related to PD-L1.</w:t>
      </w:r>
    </w:p>
    <w:p w14:paraId="0E7B3B31" w14:textId="77777777" w:rsidR="008A5060" w:rsidRPr="00094776" w:rsidRDefault="008A5060" w:rsidP="00523BCF">
      <w:r w:rsidRPr="00094776">
        <w:t>While the tissue binding pattern for avelumab was mostly highly similar in humans and monkeys, staining of adipocytes, megakaryo</w:t>
      </w:r>
      <w:r>
        <w:t xml:space="preserve">cytes, ovarian granulosa cells and </w:t>
      </w:r>
      <w:r w:rsidRPr="00094776">
        <w:t xml:space="preserve">testicular interstitial </w:t>
      </w:r>
      <w:r w:rsidRPr="005E1E9B">
        <w:t>cells</w:t>
      </w:r>
      <w:r w:rsidR="005E1E9B" w:rsidRPr="005E1E9B">
        <w:t>,</w:t>
      </w:r>
      <w:r w:rsidRPr="005E1E9B">
        <w:t xml:space="preserve"> seen</w:t>
      </w:r>
      <w:r>
        <w:t> </w:t>
      </w:r>
      <w:r w:rsidRPr="00094776">
        <w:t xml:space="preserve">with avelumab in human </w:t>
      </w:r>
      <w:r w:rsidRPr="005E1E9B">
        <w:t>tissues</w:t>
      </w:r>
      <w:r w:rsidR="005E1E9B" w:rsidRPr="005E1E9B">
        <w:t xml:space="preserve">, </w:t>
      </w:r>
      <w:r w:rsidRPr="005E1E9B">
        <w:t>was not observed</w:t>
      </w:r>
      <w:r w:rsidRPr="00094776">
        <w:t xml:space="preserve"> in monkey tissues. As such, the </w:t>
      </w:r>
      <w:r w:rsidR="005E1E9B">
        <w:t>repeat dose</w:t>
      </w:r>
      <w:r w:rsidRPr="00094776">
        <w:t xml:space="preserve"> toxicity studies conducted in monkeys </w:t>
      </w:r>
      <w:r>
        <w:t xml:space="preserve">may </w:t>
      </w:r>
      <w:r w:rsidRPr="00094776">
        <w:t>have limited capacity to identify potential toxic effects involving these particular cells/tissues.</w:t>
      </w:r>
    </w:p>
    <w:p w14:paraId="289A916E" w14:textId="77777777" w:rsidR="008A5060" w:rsidRPr="00094776" w:rsidRDefault="008A5060" w:rsidP="00523BCF">
      <w:pPr>
        <w:pStyle w:val="Heading5"/>
      </w:pPr>
      <w:r w:rsidRPr="00094776">
        <w:t>Safety pharmacology</w:t>
      </w:r>
    </w:p>
    <w:p w14:paraId="4CC9FF81" w14:textId="77777777" w:rsidR="004A25E4" w:rsidRDefault="008A5060" w:rsidP="00523BCF">
      <w:r w:rsidRPr="00094776">
        <w:t xml:space="preserve">In lieu of dedicated studies, safety pharmacology endpoints </w:t>
      </w:r>
      <w:r>
        <w:t xml:space="preserve">covering the core battery of systems </w:t>
      </w:r>
      <w:r w:rsidRPr="00094776">
        <w:t xml:space="preserve">were examined as part of the general </w:t>
      </w:r>
      <w:r w:rsidR="005E1E9B">
        <w:t>repeat dose</w:t>
      </w:r>
      <w:r w:rsidRPr="00094776">
        <w:t xml:space="preserve"> toxicity studies conducted in cynomolgus monkeys. Avelumab had no significant effects on cardiovascular, respiratory and central nervous system function after single and weekly dosing at 140 mg/kg IV, yielding peak serum concentrations in monke</w:t>
      </w:r>
      <w:r w:rsidR="005E1E9B">
        <w:t xml:space="preserve">ys at the time of monitoring 12 to </w:t>
      </w:r>
      <w:r w:rsidRPr="00094776">
        <w:t xml:space="preserve">15 times higher than the clinical </w:t>
      </w:r>
      <w:r w:rsidR="005049BA">
        <w:t>maximum concentration</w:t>
      </w:r>
      <w:r w:rsidR="005049BA" w:rsidRPr="00094776">
        <w:t xml:space="preserve"> </w:t>
      </w:r>
      <w:r w:rsidR="005049BA">
        <w:t>(</w:t>
      </w:r>
      <w:r w:rsidRPr="00094776">
        <w:t>C</w:t>
      </w:r>
      <w:r w:rsidRPr="00094776">
        <w:rPr>
          <w:vertAlign w:val="subscript"/>
        </w:rPr>
        <w:t>max</w:t>
      </w:r>
      <w:r w:rsidR="005049BA">
        <w:t>)</w:t>
      </w:r>
      <w:r w:rsidR="004A25E4" w:rsidRPr="005049BA">
        <w:t>.</w:t>
      </w:r>
    </w:p>
    <w:p w14:paraId="7C5BC9D5" w14:textId="77777777" w:rsidR="008E7846" w:rsidRPr="005E1E9B" w:rsidRDefault="008E7846" w:rsidP="00523BCF">
      <w:pPr>
        <w:pStyle w:val="Heading3"/>
      </w:pPr>
      <w:bookmarkStart w:id="58" w:name="_Toc247691513"/>
      <w:bookmarkStart w:id="59" w:name="_Toc314842497"/>
      <w:bookmarkStart w:id="60" w:name="_Toc8053057"/>
      <w:r w:rsidRPr="00523BCF">
        <w:t>Pharmacokinetics</w:t>
      </w:r>
      <w:bookmarkEnd w:id="58"/>
      <w:bookmarkEnd w:id="59"/>
      <w:bookmarkEnd w:id="60"/>
    </w:p>
    <w:p w14:paraId="685AE5A4" w14:textId="03B7A040" w:rsidR="008A5060" w:rsidRPr="00CC22C0" w:rsidRDefault="008A5060" w:rsidP="00523BCF">
      <w:bookmarkStart w:id="61" w:name="_Toc247691514"/>
      <w:bookmarkStart w:id="62" w:name="_Toc314842498"/>
      <w:r w:rsidRPr="00CC22C0">
        <w:t xml:space="preserve">Exposure to avelumab after IV administration was generally dose-proportional in laboratory animal species (mice, rats and cynomolgus monkeys) and humans. Greater than dose-proportional exposure was observed at doses </w:t>
      </w:r>
      <w:r w:rsidR="005E1E9B">
        <w:t xml:space="preserve">&lt; </w:t>
      </w:r>
      <w:r w:rsidRPr="00CC22C0">
        <w:t xml:space="preserve">20 mg/kg in mice and monkeys, and </w:t>
      </w:r>
      <w:r w:rsidR="005E1E9B">
        <w:t xml:space="preserve">&lt; </w:t>
      </w:r>
      <w:r w:rsidRPr="00CC22C0">
        <w:t>3 mg/kg in humans, consistent with target occupancy not being saturated at these lower doses. Weekly dosing was associated with moderate accumulation in the 13</w:t>
      </w:r>
      <w:r w:rsidR="005E1E9B">
        <w:t xml:space="preserve"> week</w:t>
      </w:r>
      <w:r w:rsidRPr="00CC22C0">
        <w:t xml:space="preserve"> monkey study; accumulation was not observed in 4</w:t>
      </w:r>
      <w:r w:rsidR="005E1E9B">
        <w:t xml:space="preserve"> week</w:t>
      </w:r>
      <w:r w:rsidRPr="00CC22C0">
        <w:t xml:space="preserve"> studies in mice, rats or monkeys. The plasma/serum half-life for avelumab was </w:t>
      </w:r>
      <w:proofErr w:type="gramStart"/>
      <w:r w:rsidRPr="00CC22C0">
        <w:t>long,</w:t>
      </w:r>
      <w:proofErr w:type="gramEnd"/>
      <w:r w:rsidRPr="00CC22C0">
        <w:t xml:space="preserve"> and similar across species (~</w:t>
      </w:r>
      <w:r w:rsidR="005E1E9B">
        <w:t xml:space="preserve"> </w:t>
      </w:r>
      <w:r w:rsidRPr="00CC22C0">
        <w:t>2.6 days in mice, ~</w:t>
      </w:r>
      <w:r w:rsidR="005E1E9B">
        <w:t xml:space="preserve"> </w:t>
      </w:r>
      <w:r w:rsidRPr="00CC22C0">
        <w:t>4.9 days in rats, ~</w:t>
      </w:r>
      <w:r w:rsidR="005E1E9B">
        <w:t xml:space="preserve"> </w:t>
      </w:r>
      <w:r w:rsidRPr="00CC22C0">
        <w:t>2.6 days in monkeys and ~</w:t>
      </w:r>
      <w:r w:rsidR="005E1E9B">
        <w:t xml:space="preserve"> 4 to </w:t>
      </w:r>
      <w:r>
        <w:t>6</w:t>
      </w:r>
      <w:r w:rsidRPr="00CC22C0">
        <w:t xml:space="preserve"> days in humans at the clinical dose).</w:t>
      </w:r>
    </w:p>
    <w:p w14:paraId="0228A8C3" w14:textId="435BE965" w:rsidR="004334C7" w:rsidRDefault="008A5060" w:rsidP="00523BCF">
      <w:r w:rsidRPr="00CC22C0">
        <w:t>No distribution, metabolism, excretion or pharmacokinetic interaction studies were submitted; this is acceptable given the protein nature of the drug in accordance with ICH S6</w:t>
      </w:r>
      <w:r w:rsidRPr="00521522">
        <w:rPr>
          <w:w w:val="50"/>
        </w:rPr>
        <w:t xml:space="preserve"> </w:t>
      </w:r>
      <w:r w:rsidRPr="00CC22C0">
        <w:t>(R1). As expected for an IgG antibody, volumes of distribution in animals were low (~</w:t>
      </w:r>
      <w:r w:rsidR="005E1E9B">
        <w:t> </w:t>
      </w:r>
      <w:r w:rsidRPr="00CC22C0">
        <w:t>80 mL/kg in rodents and ~</w:t>
      </w:r>
      <w:r w:rsidR="005E1E9B">
        <w:t xml:space="preserve"> </w:t>
      </w:r>
      <w:r w:rsidRPr="00CC22C0">
        <w:t xml:space="preserve">50 mL/kg in monkeys), consistent with minimal extravascular distribution. Avelumab will be eliminated by </w:t>
      </w:r>
      <w:r w:rsidRPr="00FA6D0A">
        <w:t>normal protein degradation pathways for IgG molecules.</w:t>
      </w:r>
    </w:p>
    <w:p w14:paraId="6CDEEEB2" w14:textId="77777777" w:rsidR="001B5C90" w:rsidRDefault="008E7846" w:rsidP="00523BCF">
      <w:pPr>
        <w:pStyle w:val="Heading3"/>
      </w:pPr>
      <w:bookmarkStart w:id="63" w:name="_Toc8053058"/>
      <w:r w:rsidRPr="00523BCF">
        <w:lastRenderedPageBreak/>
        <w:t>Toxicology</w:t>
      </w:r>
      <w:bookmarkEnd w:id="61"/>
      <w:bookmarkEnd w:id="62"/>
      <w:bookmarkEnd w:id="63"/>
    </w:p>
    <w:p w14:paraId="3F7802CD" w14:textId="77777777" w:rsidR="008A5060" w:rsidRPr="00FA6D0A" w:rsidRDefault="008A5060" w:rsidP="00B21567">
      <w:pPr>
        <w:pStyle w:val="Heading4"/>
      </w:pPr>
      <w:bookmarkStart w:id="64" w:name="_Toc294861727"/>
      <w:r w:rsidRPr="00FA6D0A">
        <w:t>Acute toxicity</w:t>
      </w:r>
      <w:bookmarkEnd w:id="64"/>
    </w:p>
    <w:p w14:paraId="7A103EAC" w14:textId="77777777" w:rsidR="008A5060" w:rsidRPr="00FA6D0A" w:rsidRDefault="008A5060" w:rsidP="00523BCF">
      <w:r w:rsidRPr="00FA6D0A">
        <w:t xml:space="preserve">No </w:t>
      </w:r>
      <w:r w:rsidR="005E1E9B">
        <w:t>single dose</w:t>
      </w:r>
      <w:r w:rsidRPr="00FA6D0A">
        <w:t xml:space="preserve"> toxicity studies were submitted, which is considered acceptable</w:t>
      </w:r>
      <w:r>
        <w:t xml:space="preserve">, with relevant information on acute toxicity obtainable from other studies. The package of </w:t>
      </w:r>
      <w:r w:rsidR="005E1E9B">
        <w:t>repeat dose</w:t>
      </w:r>
      <w:r w:rsidRPr="00FA6D0A">
        <w:t xml:space="preserve"> studies </w:t>
      </w:r>
      <w:r>
        <w:t xml:space="preserve">with avelumab </w:t>
      </w:r>
      <w:r w:rsidRPr="00FA6D0A">
        <w:t xml:space="preserve">demonstrate a low order of acute toxicity for </w:t>
      </w:r>
      <w:r>
        <w:t>the drug</w:t>
      </w:r>
      <w:r w:rsidRPr="00FA6D0A">
        <w:t xml:space="preserve">, with no </w:t>
      </w:r>
      <w:r>
        <w:t>mortality</w:t>
      </w:r>
      <w:r w:rsidRPr="00FA6D0A">
        <w:t xml:space="preserve"> or other signs of overt toxicity observed in rats and monkeys, or initially in mice, following IV administration of avelumab up to the</w:t>
      </w:r>
      <w:r w:rsidR="005E1E9B">
        <w:t xml:space="preserve"> highest dose level tested (140 </w:t>
      </w:r>
      <w:r w:rsidRPr="00FA6D0A">
        <w:t>mg/kg in all species).</w:t>
      </w:r>
    </w:p>
    <w:p w14:paraId="5C414245" w14:textId="77777777" w:rsidR="008A5060" w:rsidRPr="00195ADE" w:rsidRDefault="008A5060" w:rsidP="00B21567">
      <w:pPr>
        <w:pStyle w:val="Heading4"/>
      </w:pPr>
      <w:bookmarkStart w:id="65" w:name="_Toc294861728"/>
      <w:r w:rsidRPr="00195ADE">
        <w:t>Repeat-dose toxicity</w:t>
      </w:r>
      <w:bookmarkEnd w:id="65"/>
    </w:p>
    <w:p w14:paraId="4E983F96" w14:textId="77777777" w:rsidR="008A5060" w:rsidRPr="00EB5B64" w:rsidRDefault="008A5060" w:rsidP="00523BCF">
      <w:pPr>
        <w:rPr>
          <w:szCs w:val="18"/>
        </w:rPr>
      </w:pPr>
      <w:r w:rsidRPr="00195ADE">
        <w:t xml:space="preserve">The pivotal </w:t>
      </w:r>
      <w:r w:rsidR="005E1E9B">
        <w:t>repeat dose</w:t>
      </w:r>
      <w:r w:rsidRPr="00195ADE">
        <w:t xml:space="preserve"> toxicity study was conducted in cynomolgus monkey</w:t>
      </w:r>
      <w:r>
        <w:t>s and was of 13 weeks duration.</w:t>
      </w:r>
      <w:r w:rsidRPr="00BA02C3">
        <w:t xml:space="preserve"> </w:t>
      </w:r>
      <w:r>
        <w:t>Other</w:t>
      </w:r>
      <w:r w:rsidRPr="00195ADE">
        <w:t xml:space="preserve"> studies </w:t>
      </w:r>
      <w:r>
        <w:t xml:space="preserve">were of 4 weeks duration, performed </w:t>
      </w:r>
      <w:r w:rsidRPr="00195ADE">
        <w:t xml:space="preserve">in mice, rats and monkeys. For all studies, administration was by the clinical route (IV), with dosing more frequent than proposed for </w:t>
      </w:r>
      <w:r w:rsidRPr="00D70F98">
        <w:t xml:space="preserve">humans (once weekly in animals </w:t>
      </w:r>
      <w:r w:rsidR="005E1E9B" w:rsidRPr="005E1E9B">
        <w:rPr>
          <w:szCs w:val="18"/>
        </w:rPr>
        <w:t>compared with</w:t>
      </w:r>
      <w:r w:rsidRPr="00D70F98">
        <w:rPr>
          <w:szCs w:val="18"/>
        </w:rPr>
        <w:t xml:space="preserve"> fortnightly for patients).</w:t>
      </w:r>
    </w:p>
    <w:p w14:paraId="41CC3442" w14:textId="7DC99DDA" w:rsidR="008A5060" w:rsidRDefault="008A5060" w:rsidP="00B21567">
      <w:pPr>
        <w:rPr>
          <w:szCs w:val="18"/>
        </w:rPr>
      </w:pPr>
      <w:r w:rsidRPr="00D70F98">
        <w:t>The cynomolgus monkey is an appropriate model for avelumab toxicity from a pharmacodynamic and pharmacokinetic perspective, and the 3</w:t>
      </w:r>
      <w:r w:rsidR="005E1E9B">
        <w:t xml:space="preserve"> month</w:t>
      </w:r>
      <w:r w:rsidRPr="00D70F98">
        <w:t xml:space="preserve"> duration of the pivotal study is consistent with the recommendation contained in ICH S9 for a pharmaceutical intended for the treatment of patients with advanced cancer.</w:t>
      </w:r>
      <w:r w:rsidR="005147C8" w:rsidRPr="00B9688B">
        <w:rPr>
          <w:vertAlign w:val="superscript"/>
        </w:rPr>
        <w:fldChar w:fldCharType="begin"/>
      </w:r>
      <w:r w:rsidR="005147C8" w:rsidRPr="00B9688B">
        <w:rPr>
          <w:vertAlign w:val="superscript"/>
        </w:rPr>
        <w:instrText xml:space="preserve"> NOTEREF _Ref535403255 \h </w:instrText>
      </w:r>
      <w:r w:rsidR="005147C8">
        <w:rPr>
          <w:vertAlign w:val="superscript"/>
        </w:rPr>
        <w:instrText xml:space="preserve"> \* MERGEFORMAT </w:instrText>
      </w:r>
      <w:r w:rsidR="005147C8" w:rsidRPr="00B9688B">
        <w:rPr>
          <w:vertAlign w:val="superscript"/>
        </w:rPr>
      </w:r>
      <w:r w:rsidR="005147C8" w:rsidRPr="00B9688B">
        <w:rPr>
          <w:vertAlign w:val="superscript"/>
        </w:rPr>
        <w:fldChar w:fldCharType="separate"/>
      </w:r>
      <w:r w:rsidR="005147C8" w:rsidRPr="00B9688B">
        <w:rPr>
          <w:vertAlign w:val="superscript"/>
        </w:rPr>
        <w:t>3</w:t>
      </w:r>
      <w:r w:rsidR="005147C8" w:rsidRPr="00B9688B">
        <w:rPr>
          <w:vertAlign w:val="superscript"/>
        </w:rPr>
        <w:fldChar w:fldCharType="end"/>
      </w:r>
      <w:r w:rsidRPr="00D70F98">
        <w:t xml:space="preserve"> Rodents were not able to be used for the pivotal </w:t>
      </w:r>
      <w:r w:rsidR="005E1E9B">
        <w:t>repeat dose</w:t>
      </w:r>
      <w:r w:rsidRPr="00D70F98">
        <w:t xml:space="preserve"> toxicity study as longer dosing </w:t>
      </w:r>
      <w:r w:rsidRPr="00D70F98">
        <w:rPr>
          <w:szCs w:val="18"/>
        </w:rPr>
        <w:t xml:space="preserve">was found not to be feasible </w:t>
      </w:r>
      <w:r w:rsidRPr="00D70F98">
        <w:t>in mice</w:t>
      </w:r>
      <w:r w:rsidRPr="00D70F98">
        <w:rPr>
          <w:szCs w:val="18"/>
        </w:rPr>
        <w:t xml:space="preserve"> and the rat is not an appropriate model on pharmacodynamic grounds </w:t>
      </w:r>
      <w:r w:rsidRPr="005E1E9B">
        <w:rPr>
          <w:szCs w:val="18"/>
        </w:rPr>
        <w:t>(</w:t>
      </w:r>
      <w:r w:rsidR="005E1E9B" w:rsidRPr="005E1E9B">
        <w:rPr>
          <w:szCs w:val="18"/>
        </w:rPr>
        <w:t>that is</w:t>
      </w:r>
      <w:r w:rsidRPr="005E1E9B">
        <w:rPr>
          <w:szCs w:val="18"/>
        </w:rPr>
        <w:t>,</w:t>
      </w:r>
      <w:r w:rsidRPr="00D70F98">
        <w:rPr>
          <w:szCs w:val="18"/>
        </w:rPr>
        <w:t xml:space="preserve"> avelumab poorly recognises the rat form of </w:t>
      </w:r>
      <w:r w:rsidRPr="00D70F98">
        <w:rPr>
          <w:rFonts w:eastAsiaTheme="minorHAnsi"/>
          <w:szCs w:val="18"/>
        </w:rPr>
        <w:t>PD</w:t>
      </w:r>
      <w:r w:rsidRPr="00D70F98">
        <w:rPr>
          <w:rFonts w:eastAsiaTheme="minorHAnsi"/>
          <w:szCs w:val="18"/>
        </w:rPr>
        <w:noBreakHyphen/>
        <w:t>L1</w:t>
      </w:r>
      <w:r w:rsidRPr="00D70F98">
        <w:rPr>
          <w:szCs w:val="18"/>
        </w:rPr>
        <w:t>).</w:t>
      </w:r>
    </w:p>
    <w:p w14:paraId="51FDAEDA" w14:textId="77777777" w:rsidR="008A5060" w:rsidRPr="00EB5B64" w:rsidRDefault="008A5060" w:rsidP="00523BCF">
      <w:pPr>
        <w:pStyle w:val="Heading5"/>
      </w:pPr>
      <w:r w:rsidRPr="00523BCF">
        <w:t>Relative</w:t>
      </w:r>
      <w:r w:rsidRPr="00EB5B64">
        <w:t xml:space="preserve"> exposure</w:t>
      </w:r>
    </w:p>
    <w:p w14:paraId="0C29CA19" w14:textId="62AFD1A0" w:rsidR="008A5060" w:rsidRPr="00EB5B64" w:rsidRDefault="008A5060" w:rsidP="00523BCF">
      <w:proofErr w:type="spellStart"/>
      <w:r w:rsidRPr="00EB5B64">
        <w:t>Animal:human</w:t>
      </w:r>
      <w:proofErr w:type="spellEnd"/>
      <w:r w:rsidRPr="00EB5B64">
        <w:t xml:space="preserve"> exposure multiples are calculated below based on comparison of serum </w:t>
      </w:r>
      <w:r w:rsidR="005049BA">
        <w:t>area under the curve</w:t>
      </w:r>
      <w:r w:rsidR="005049BA" w:rsidRPr="00EB5B64">
        <w:t xml:space="preserve"> </w:t>
      </w:r>
      <w:r w:rsidR="005049BA">
        <w:t>(</w:t>
      </w:r>
      <w:r w:rsidRPr="00EB5B64">
        <w:t>AUC</w:t>
      </w:r>
      <w:r w:rsidR="005049BA">
        <w:t>)</w:t>
      </w:r>
      <w:r w:rsidRPr="00EB5B64">
        <w:t xml:space="preserve"> values</w:t>
      </w:r>
      <w:r>
        <w:t xml:space="preserve"> for avelumab</w:t>
      </w:r>
      <w:r w:rsidRPr="00EB5B64">
        <w:t>, adjusted for differences in dosing frequency (</w:t>
      </w:r>
      <w:r w:rsidR="005E1E9B" w:rsidRPr="005E1E9B">
        <w:t>that is</w:t>
      </w:r>
      <w:r w:rsidRPr="005E1E9B">
        <w:t>,</w:t>
      </w:r>
      <w:r w:rsidRPr="00EB5B64">
        <w:t xml:space="preserve"> animal values are </w:t>
      </w:r>
      <w:r>
        <w:t>multiplied by 2 </w:t>
      </w:r>
      <w:r w:rsidRPr="00EB5B64">
        <w:t>to</w:t>
      </w:r>
      <w:r>
        <w:t> </w:t>
      </w:r>
      <w:r w:rsidRPr="00EB5B64">
        <w:t xml:space="preserve">account for weekly </w:t>
      </w:r>
      <w:r w:rsidR="005E1E9B" w:rsidRPr="005E1E9B">
        <w:rPr>
          <w:szCs w:val="18"/>
        </w:rPr>
        <w:t>compared with</w:t>
      </w:r>
      <w:r w:rsidRPr="00EB5B64">
        <w:rPr>
          <w:szCs w:val="18"/>
        </w:rPr>
        <w:t xml:space="preserve"> fortnightly dosing)</w:t>
      </w:r>
      <w:r w:rsidRPr="00EB5B64">
        <w:t xml:space="preserve">. The highest dose levels tested were appropriate, associated with </w:t>
      </w:r>
      <w:r>
        <w:t xml:space="preserve">substantial exposure multiples and/or expected saturation of pharmacology, in line with recommendations in </w:t>
      </w:r>
      <w:r w:rsidRPr="00C94C5D">
        <w:t>ICH S6 (R1).</w:t>
      </w:r>
      <w:r w:rsidR="005147C8" w:rsidRPr="00B902E8">
        <w:rPr>
          <w:vertAlign w:val="superscript"/>
        </w:rPr>
        <w:fldChar w:fldCharType="begin"/>
      </w:r>
      <w:r w:rsidR="005147C8" w:rsidRPr="00B902E8">
        <w:rPr>
          <w:vertAlign w:val="superscript"/>
        </w:rPr>
        <w:instrText xml:space="preserve"> NOTEREF _Ref535403255 \h </w:instrText>
      </w:r>
      <w:r w:rsidR="005147C8">
        <w:rPr>
          <w:vertAlign w:val="superscript"/>
        </w:rPr>
        <w:instrText xml:space="preserve"> \* MERGEFORMAT </w:instrText>
      </w:r>
      <w:r w:rsidR="005147C8" w:rsidRPr="00B902E8">
        <w:rPr>
          <w:vertAlign w:val="superscript"/>
        </w:rPr>
      </w:r>
      <w:r w:rsidR="005147C8" w:rsidRPr="00B902E8">
        <w:rPr>
          <w:vertAlign w:val="superscript"/>
        </w:rPr>
        <w:fldChar w:fldCharType="separate"/>
      </w:r>
      <w:r w:rsidR="005147C8" w:rsidRPr="00B902E8">
        <w:rPr>
          <w:vertAlign w:val="superscript"/>
        </w:rPr>
        <w:t>3</w:t>
      </w:r>
      <w:r w:rsidR="005147C8" w:rsidRPr="00B902E8">
        <w:rPr>
          <w:vertAlign w:val="superscript"/>
        </w:rPr>
        <w:fldChar w:fldCharType="end"/>
      </w:r>
    </w:p>
    <w:p w14:paraId="3A3ADFF3" w14:textId="77777777" w:rsidR="008A5060" w:rsidRPr="00B21567" w:rsidRDefault="00B70C5D" w:rsidP="00523BCF">
      <w:pPr>
        <w:pStyle w:val="TableTitle"/>
      </w:pPr>
      <w:r>
        <w:t>Table 3:</w:t>
      </w:r>
      <w:r w:rsidR="008A5060" w:rsidRPr="00B21567">
        <w:t xml:space="preserve"> Relative exposure in </w:t>
      </w:r>
      <w:r w:rsidR="005E1E9B">
        <w:t xml:space="preserve">repeat </w:t>
      </w:r>
      <w:r w:rsidR="005E1E9B" w:rsidRPr="00523BCF">
        <w:t>dose</w:t>
      </w:r>
      <w:r w:rsidR="005E1E9B">
        <w:t xml:space="preserve"> toxicity studies</w:t>
      </w:r>
    </w:p>
    <w:tbl>
      <w:tblPr>
        <w:tblStyle w:val="TableTGAblue"/>
        <w:tblW w:w="8855" w:type="dxa"/>
        <w:tblLayout w:type="fixed"/>
        <w:tblLook w:val="01E0" w:firstRow="1" w:lastRow="1" w:firstColumn="1" w:lastColumn="1" w:noHBand="0" w:noVBand="0"/>
      </w:tblPr>
      <w:tblGrid>
        <w:gridCol w:w="1497"/>
        <w:gridCol w:w="1704"/>
        <w:gridCol w:w="1549"/>
        <w:gridCol w:w="1216"/>
        <w:gridCol w:w="1621"/>
        <w:gridCol w:w="1268"/>
      </w:tblGrid>
      <w:tr w:rsidR="00B21567" w:rsidRPr="00212F4B" w14:paraId="0ECB41D2" w14:textId="77777777" w:rsidTr="005E1E9B">
        <w:trPr>
          <w:cnfStyle w:val="100000000000" w:firstRow="1" w:lastRow="0" w:firstColumn="0" w:lastColumn="0" w:oddVBand="0" w:evenVBand="0" w:oddHBand="0" w:evenHBand="0" w:firstRowFirstColumn="0" w:firstRowLastColumn="0" w:lastRowFirstColumn="0" w:lastRowLastColumn="0"/>
          <w:trHeight w:val="712"/>
        </w:trPr>
        <w:tc>
          <w:tcPr>
            <w:tcW w:w="1497" w:type="dxa"/>
          </w:tcPr>
          <w:p w14:paraId="7FAE2FF6" w14:textId="77777777" w:rsidR="00B21567" w:rsidRPr="00212F4B" w:rsidRDefault="00B21567" w:rsidP="00212F4B">
            <w:pPr>
              <w:ind w:left="0" w:right="0"/>
              <w:rPr>
                <w:b w:val="0"/>
                <w:sz w:val="19"/>
                <w:szCs w:val="19"/>
              </w:rPr>
            </w:pPr>
            <w:r w:rsidRPr="00212F4B">
              <w:rPr>
                <w:sz w:val="19"/>
                <w:szCs w:val="19"/>
              </w:rPr>
              <w:t>Species</w:t>
            </w:r>
          </w:p>
        </w:tc>
        <w:tc>
          <w:tcPr>
            <w:tcW w:w="1704" w:type="dxa"/>
          </w:tcPr>
          <w:p w14:paraId="5872E388" w14:textId="77777777" w:rsidR="00B21567" w:rsidRPr="00212F4B" w:rsidRDefault="00B21567" w:rsidP="00523BCF">
            <w:pPr>
              <w:rPr>
                <w:b w:val="0"/>
                <w:sz w:val="19"/>
                <w:szCs w:val="19"/>
              </w:rPr>
            </w:pPr>
            <w:r w:rsidRPr="00212F4B">
              <w:rPr>
                <w:sz w:val="19"/>
                <w:szCs w:val="19"/>
              </w:rPr>
              <w:t>Study duration [Study no.]</w:t>
            </w:r>
          </w:p>
        </w:tc>
        <w:tc>
          <w:tcPr>
            <w:tcW w:w="1549" w:type="dxa"/>
          </w:tcPr>
          <w:p w14:paraId="4A8FB94A" w14:textId="77777777" w:rsidR="00B21567" w:rsidRPr="00212F4B" w:rsidRDefault="00B21567" w:rsidP="00BD7F12">
            <w:pPr>
              <w:jc w:val="center"/>
              <w:rPr>
                <w:b w:val="0"/>
                <w:sz w:val="19"/>
                <w:szCs w:val="19"/>
              </w:rPr>
            </w:pPr>
            <w:r w:rsidRPr="00212F4B">
              <w:rPr>
                <w:sz w:val="19"/>
                <w:szCs w:val="19"/>
              </w:rPr>
              <w:t>Dose (mg/kg IV)</w:t>
            </w:r>
          </w:p>
        </w:tc>
        <w:tc>
          <w:tcPr>
            <w:tcW w:w="1216" w:type="dxa"/>
          </w:tcPr>
          <w:p w14:paraId="06C42068" w14:textId="77777777" w:rsidR="00B21567" w:rsidRPr="00212F4B" w:rsidRDefault="00B21567" w:rsidP="00212F4B">
            <w:pPr>
              <w:ind w:left="70" w:right="0"/>
              <w:jc w:val="center"/>
              <w:rPr>
                <w:b w:val="0"/>
                <w:sz w:val="19"/>
                <w:szCs w:val="19"/>
              </w:rPr>
            </w:pPr>
            <w:r w:rsidRPr="00212F4B">
              <w:rPr>
                <w:sz w:val="19"/>
                <w:szCs w:val="19"/>
              </w:rPr>
              <w:t>Dosing frequency</w:t>
            </w:r>
          </w:p>
        </w:tc>
        <w:tc>
          <w:tcPr>
            <w:tcW w:w="1621" w:type="dxa"/>
          </w:tcPr>
          <w:p w14:paraId="2D1BE510" w14:textId="77777777" w:rsidR="00B21567" w:rsidRPr="00212F4B" w:rsidRDefault="00B21567" w:rsidP="00212F4B">
            <w:pPr>
              <w:jc w:val="center"/>
              <w:rPr>
                <w:b w:val="0"/>
                <w:sz w:val="19"/>
                <w:szCs w:val="19"/>
              </w:rPr>
            </w:pPr>
            <w:r w:rsidRPr="00212F4B">
              <w:rPr>
                <w:sz w:val="19"/>
                <w:szCs w:val="19"/>
              </w:rPr>
              <w:t>AUC</w:t>
            </w:r>
            <w:r w:rsidRPr="00212F4B">
              <w:rPr>
                <w:sz w:val="19"/>
                <w:szCs w:val="19"/>
                <w:vertAlign w:val="subscript"/>
              </w:rPr>
              <w:t>0–t</w:t>
            </w:r>
            <w:r w:rsidRPr="00212F4B">
              <w:rPr>
                <w:sz w:val="19"/>
                <w:szCs w:val="19"/>
              </w:rPr>
              <w:t xml:space="preserve"> (µ</w:t>
            </w:r>
            <w:proofErr w:type="spellStart"/>
            <w:r w:rsidRPr="00212F4B">
              <w:rPr>
                <w:sz w:val="19"/>
                <w:szCs w:val="19"/>
              </w:rPr>
              <w:t>g∙h</w:t>
            </w:r>
            <w:proofErr w:type="spellEnd"/>
            <w:r w:rsidRPr="00212F4B">
              <w:rPr>
                <w:sz w:val="19"/>
                <w:szCs w:val="19"/>
              </w:rPr>
              <w:t>/mL)</w:t>
            </w:r>
          </w:p>
        </w:tc>
        <w:tc>
          <w:tcPr>
            <w:tcW w:w="1268" w:type="dxa"/>
          </w:tcPr>
          <w:p w14:paraId="222F61E5" w14:textId="77777777" w:rsidR="00B21567" w:rsidRPr="00212F4B" w:rsidRDefault="00B21567" w:rsidP="00212F4B">
            <w:pPr>
              <w:ind w:left="68" w:right="0"/>
              <w:jc w:val="center"/>
              <w:rPr>
                <w:b w:val="0"/>
                <w:sz w:val="19"/>
                <w:szCs w:val="19"/>
              </w:rPr>
            </w:pPr>
            <w:r w:rsidRPr="00212F4B">
              <w:rPr>
                <w:sz w:val="19"/>
                <w:szCs w:val="19"/>
              </w:rPr>
              <w:t>Exposure ratio</w:t>
            </w:r>
            <w:r w:rsidRPr="00212F4B">
              <w:rPr>
                <w:sz w:val="19"/>
                <w:szCs w:val="19"/>
                <w:vertAlign w:val="superscript"/>
              </w:rPr>
              <w:t>#</w:t>
            </w:r>
          </w:p>
        </w:tc>
      </w:tr>
      <w:tr w:rsidR="00B21567" w:rsidRPr="00212F4B" w14:paraId="187FAF5B" w14:textId="77777777" w:rsidTr="005E1E9B">
        <w:trPr>
          <w:trHeight w:val="223"/>
        </w:trPr>
        <w:tc>
          <w:tcPr>
            <w:tcW w:w="1497" w:type="dxa"/>
            <w:vMerge w:val="restart"/>
          </w:tcPr>
          <w:p w14:paraId="26A8CE89" w14:textId="088D9B59" w:rsidR="00B21567" w:rsidRPr="00212F4B" w:rsidRDefault="00212F4B" w:rsidP="00212F4B">
            <w:pPr>
              <w:ind w:left="0" w:right="0"/>
              <w:rPr>
                <w:kern w:val="2"/>
                <w:sz w:val="19"/>
                <w:szCs w:val="19"/>
              </w:rPr>
            </w:pPr>
            <w:r w:rsidRPr="00212F4B">
              <w:rPr>
                <w:b/>
                <w:kern w:val="2"/>
                <w:sz w:val="19"/>
                <w:szCs w:val="19"/>
              </w:rPr>
              <w:t>Mouse</w:t>
            </w:r>
            <w:r w:rsidRPr="00212F4B">
              <w:rPr>
                <w:kern w:val="2"/>
                <w:sz w:val="19"/>
                <w:szCs w:val="19"/>
              </w:rPr>
              <w:t xml:space="preserve"> </w:t>
            </w:r>
            <w:r w:rsidR="00B21567" w:rsidRPr="00212F4B">
              <w:rPr>
                <w:kern w:val="2"/>
                <w:sz w:val="19"/>
                <w:szCs w:val="19"/>
              </w:rPr>
              <w:t>(CD</w:t>
            </w:r>
            <w:r w:rsidR="00B21567" w:rsidRPr="00212F4B">
              <w:rPr>
                <w:kern w:val="2"/>
                <w:sz w:val="19"/>
                <w:szCs w:val="19"/>
              </w:rPr>
              <w:noBreakHyphen/>
              <w:t>1)</w:t>
            </w:r>
          </w:p>
        </w:tc>
        <w:tc>
          <w:tcPr>
            <w:tcW w:w="1704" w:type="dxa"/>
            <w:vMerge w:val="restart"/>
          </w:tcPr>
          <w:p w14:paraId="35082EEB" w14:textId="77777777" w:rsidR="00B21567" w:rsidRPr="00212F4B" w:rsidRDefault="005E1E9B" w:rsidP="00523BCF">
            <w:pPr>
              <w:rPr>
                <w:kern w:val="2"/>
                <w:sz w:val="19"/>
                <w:szCs w:val="19"/>
              </w:rPr>
            </w:pPr>
            <w:r w:rsidRPr="00212F4B">
              <w:rPr>
                <w:kern w:val="2"/>
                <w:sz w:val="19"/>
                <w:szCs w:val="19"/>
              </w:rPr>
              <w:t xml:space="preserve">4 weeks </w:t>
            </w:r>
            <w:r w:rsidR="00B21567" w:rsidRPr="00212F4B">
              <w:rPr>
                <w:kern w:val="2"/>
                <w:sz w:val="19"/>
                <w:szCs w:val="19"/>
              </w:rPr>
              <w:t>[RF2740]</w:t>
            </w:r>
          </w:p>
        </w:tc>
        <w:tc>
          <w:tcPr>
            <w:tcW w:w="1549" w:type="dxa"/>
          </w:tcPr>
          <w:p w14:paraId="15FCBC59" w14:textId="77777777" w:rsidR="00B21567" w:rsidRPr="00212F4B" w:rsidRDefault="00B21567" w:rsidP="00BD7F12">
            <w:pPr>
              <w:jc w:val="center"/>
              <w:rPr>
                <w:kern w:val="2"/>
                <w:sz w:val="19"/>
                <w:szCs w:val="19"/>
              </w:rPr>
            </w:pPr>
            <w:r w:rsidRPr="00212F4B">
              <w:rPr>
                <w:kern w:val="2"/>
                <w:sz w:val="19"/>
                <w:szCs w:val="19"/>
              </w:rPr>
              <w:t>20</w:t>
            </w:r>
          </w:p>
        </w:tc>
        <w:tc>
          <w:tcPr>
            <w:tcW w:w="1216" w:type="dxa"/>
            <w:vMerge w:val="restart"/>
          </w:tcPr>
          <w:p w14:paraId="1BD2670B" w14:textId="77777777" w:rsidR="00B21567" w:rsidRPr="00212F4B" w:rsidRDefault="00B21567" w:rsidP="00212F4B">
            <w:pPr>
              <w:jc w:val="center"/>
              <w:rPr>
                <w:kern w:val="2"/>
                <w:sz w:val="19"/>
                <w:szCs w:val="19"/>
              </w:rPr>
            </w:pPr>
            <w:r w:rsidRPr="00212F4B">
              <w:rPr>
                <w:kern w:val="2"/>
                <w:sz w:val="19"/>
                <w:szCs w:val="19"/>
              </w:rPr>
              <w:t>Q7D</w:t>
            </w:r>
          </w:p>
        </w:tc>
        <w:tc>
          <w:tcPr>
            <w:tcW w:w="1621" w:type="dxa"/>
          </w:tcPr>
          <w:p w14:paraId="71C7DA20" w14:textId="77777777" w:rsidR="00B21567" w:rsidRPr="00212F4B" w:rsidRDefault="00B21567" w:rsidP="00212F4B">
            <w:pPr>
              <w:jc w:val="center"/>
              <w:rPr>
                <w:kern w:val="2"/>
                <w:sz w:val="19"/>
                <w:szCs w:val="19"/>
              </w:rPr>
            </w:pPr>
            <w:r w:rsidRPr="00212F4B">
              <w:rPr>
                <w:kern w:val="2"/>
                <w:sz w:val="19"/>
                <w:szCs w:val="19"/>
              </w:rPr>
              <w:t>21650</w:t>
            </w:r>
          </w:p>
        </w:tc>
        <w:tc>
          <w:tcPr>
            <w:tcW w:w="1268" w:type="dxa"/>
          </w:tcPr>
          <w:p w14:paraId="1B07E242" w14:textId="77777777" w:rsidR="00B21567" w:rsidRPr="00212F4B" w:rsidRDefault="00B21567" w:rsidP="00212F4B">
            <w:pPr>
              <w:jc w:val="center"/>
              <w:rPr>
                <w:kern w:val="2"/>
                <w:sz w:val="19"/>
                <w:szCs w:val="19"/>
              </w:rPr>
            </w:pPr>
            <w:r w:rsidRPr="00212F4B">
              <w:rPr>
                <w:kern w:val="2"/>
                <w:sz w:val="19"/>
                <w:szCs w:val="19"/>
              </w:rPr>
              <w:t>1.7</w:t>
            </w:r>
          </w:p>
        </w:tc>
      </w:tr>
      <w:tr w:rsidR="00B21567" w:rsidRPr="00212F4B" w14:paraId="6662C5A5" w14:textId="77777777" w:rsidTr="005E1E9B">
        <w:trPr>
          <w:trHeight w:val="223"/>
        </w:trPr>
        <w:tc>
          <w:tcPr>
            <w:tcW w:w="1497" w:type="dxa"/>
            <w:vMerge/>
          </w:tcPr>
          <w:p w14:paraId="7577046E" w14:textId="77777777" w:rsidR="00B21567" w:rsidRPr="00212F4B" w:rsidRDefault="00B21567" w:rsidP="00212F4B">
            <w:pPr>
              <w:ind w:left="0" w:right="0"/>
              <w:rPr>
                <w:kern w:val="2"/>
                <w:sz w:val="19"/>
                <w:szCs w:val="19"/>
              </w:rPr>
            </w:pPr>
          </w:p>
        </w:tc>
        <w:tc>
          <w:tcPr>
            <w:tcW w:w="1704" w:type="dxa"/>
            <w:vMerge/>
          </w:tcPr>
          <w:p w14:paraId="71F1F003" w14:textId="77777777" w:rsidR="00B21567" w:rsidRPr="00212F4B" w:rsidRDefault="00B21567" w:rsidP="00523BCF">
            <w:pPr>
              <w:rPr>
                <w:kern w:val="2"/>
                <w:sz w:val="19"/>
                <w:szCs w:val="19"/>
              </w:rPr>
            </w:pPr>
          </w:p>
        </w:tc>
        <w:tc>
          <w:tcPr>
            <w:tcW w:w="1549" w:type="dxa"/>
          </w:tcPr>
          <w:p w14:paraId="69918D43" w14:textId="77777777" w:rsidR="00B21567" w:rsidRPr="00212F4B" w:rsidRDefault="00B21567" w:rsidP="00BD7F12">
            <w:pPr>
              <w:jc w:val="center"/>
              <w:rPr>
                <w:kern w:val="2"/>
                <w:sz w:val="19"/>
                <w:szCs w:val="19"/>
              </w:rPr>
            </w:pPr>
            <w:r w:rsidRPr="00212F4B">
              <w:rPr>
                <w:kern w:val="2"/>
                <w:sz w:val="19"/>
                <w:szCs w:val="19"/>
              </w:rPr>
              <w:t>40</w:t>
            </w:r>
          </w:p>
        </w:tc>
        <w:tc>
          <w:tcPr>
            <w:tcW w:w="1216" w:type="dxa"/>
            <w:vMerge/>
          </w:tcPr>
          <w:p w14:paraId="0FE52C05" w14:textId="77777777" w:rsidR="00B21567" w:rsidRPr="00212F4B" w:rsidRDefault="00B21567" w:rsidP="00212F4B">
            <w:pPr>
              <w:jc w:val="center"/>
              <w:rPr>
                <w:kern w:val="2"/>
                <w:sz w:val="19"/>
                <w:szCs w:val="19"/>
              </w:rPr>
            </w:pPr>
          </w:p>
        </w:tc>
        <w:tc>
          <w:tcPr>
            <w:tcW w:w="1621" w:type="dxa"/>
          </w:tcPr>
          <w:p w14:paraId="65D665C6" w14:textId="77777777" w:rsidR="00B21567" w:rsidRPr="00212F4B" w:rsidRDefault="00B21567" w:rsidP="00212F4B">
            <w:pPr>
              <w:jc w:val="center"/>
              <w:rPr>
                <w:kern w:val="2"/>
                <w:sz w:val="19"/>
                <w:szCs w:val="19"/>
              </w:rPr>
            </w:pPr>
            <w:r w:rsidRPr="00212F4B">
              <w:rPr>
                <w:kern w:val="2"/>
                <w:sz w:val="19"/>
                <w:szCs w:val="19"/>
              </w:rPr>
              <w:t>34300</w:t>
            </w:r>
          </w:p>
        </w:tc>
        <w:tc>
          <w:tcPr>
            <w:tcW w:w="1268" w:type="dxa"/>
          </w:tcPr>
          <w:p w14:paraId="6D0B5257" w14:textId="77777777" w:rsidR="00B21567" w:rsidRPr="00212F4B" w:rsidRDefault="00B21567" w:rsidP="00212F4B">
            <w:pPr>
              <w:jc w:val="center"/>
              <w:rPr>
                <w:kern w:val="2"/>
                <w:sz w:val="19"/>
                <w:szCs w:val="19"/>
              </w:rPr>
            </w:pPr>
            <w:r w:rsidRPr="00212F4B">
              <w:rPr>
                <w:kern w:val="2"/>
                <w:sz w:val="19"/>
                <w:szCs w:val="19"/>
              </w:rPr>
              <w:t>2.6</w:t>
            </w:r>
          </w:p>
        </w:tc>
      </w:tr>
      <w:tr w:rsidR="00B21567" w:rsidRPr="00212F4B" w14:paraId="66C0F2F7" w14:textId="77777777" w:rsidTr="005E1E9B">
        <w:trPr>
          <w:trHeight w:val="223"/>
        </w:trPr>
        <w:tc>
          <w:tcPr>
            <w:tcW w:w="1497" w:type="dxa"/>
            <w:vMerge/>
          </w:tcPr>
          <w:p w14:paraId="76453676" w14:textId="77777777" w:rsidR="00B21567" w:rsidRPr="00212F4B" w:rsidRDefault="00B21567" w:rsidP="00212F4B">
            <w:pPr>
              <w:ind w:left="0" w:right="0"/>
              <w:rPr>
                <w:kern w:val="2"/>
                <w:sz w:val="19"/>
                <w:szCs w:val="19"/>
              </w:rPr>
            </w:pPr>
          </w:p>
        </w:tc>
        <w:tc>
          <w:tcPr>
            <w:tcW w:w="1704" w:type="dxa"/>
            <w:vMerge/>
          </w:tcPr>
          <w:p w14:paraId="58473FCE" w14:textId="77777777" w:rsidR="00B21567" w:rsidRPr="00212F4B" w:rsidRDefault="00B21567" w:rsidP="00523BCF">
            <w:pPr>
              <w:rPr>
                <w:kern w:val="2"/>
                <w:sz w:val="19"/>
                <w:szCs w:val="19"/>
              </w:rPr>
            </w:pPr>
          </w:p>
        </w:tc>
        <w:tc>
          <w:tcPr>
            <w:tcW w:w="1549" w:type="dxa"/>
          </w:tcPr>
          <w:p w14:paraId="4067B440" w14:textId="77777777" w:rsidR="00B21567" w:rsidRPr="00212F4B" w:rsidRDefault="00B21567" w:rsidP="00BD7F12">
            <w:pPr>
              <w:jc w:val="center"/>
              <w:rPr>
                <w:kern w:val="2"/>
                <w:sz w:val="19"/>
                <w:szCs w:val="19"/>
              </w:rPr>
            </w:pPr>
            <w:r w:rsidRPr="00212F4B">
              <w:rPr>
                <w:kern w:val="2"/>
                <w:sz w:val="19"/>
                <w:szCs w:val="19"/>
              </w:rPr>
              <w:t>140</w:t>
            </w:r>
          </w:p>
        </w:tc>
        <w:tc>
          <w:tcPr>
            <w:tcW w:w="1216" w:type="dxa"/>
            <w:vMerge/>
          </w:tcPr>
          <w:p w14:paraId="657AE319" w14:textId="77777777" w:rsidR="00B21567" w:rsidRPr="00212F4B" w:rsidRDefault="00B21567" w:rsidP="00212F4B">
            <w:pPr>
              <w:jc w:val="center"/>
              <w:rPr>
                <w:kern w:val="2"/>
                <w:sz w:val="19"/>
                <w:szCs w:val="19"/>
              </w:rPr>
            </w:pPr>
          </w:p>
        </w:tc>
        <w:tc>
          <w:tcPr>
            <w:tcW w:w="1621" w:type="dxa"/>
          </w:tcPr>
          <w:p w14:paraId="36672CD8" w14:textId="77777777" w:rsidR="00B21567" w:rsidRPr="00212F4B" w:rsidRDefault="00B21567" w:rsidP="00212F4B">
            <w:pPr>
              <w:jc w:val="center"/>
              <w:rPr>
                <w:kern w:val="2"/>
                <w:sz w:val="19"/>
                <w:szCs w:val="19"/>
              </w:rPr>
            </w:pPr>
            <w:r w:rsidRPr="00212F4B">
              <w:rPr>
                <w:kern w:val="2"/>
                <w:sz w:val="19"/>
                <w:szCs w:val="19"/>
              </w:rPr>
              <w:t>114000</w:t>
            </w:r>
          </w:p>
        </w:tc>
        <w:tc>
          <w:tcPr>
            <w:tcW w:w="1268" w:type="dxa"/>
          </w:tcPr>
          <w:p w14:paraId="2F30307D" w14:textId="77777777" w:rsidR="00B21567" w:rsidRPr="00212F4B" w:rsidRDefault="00B21567" w:rsidP="00212F4B">
            <w:pPr>
              <w:jc w:val="center"/>
              <w:rPr>
                <w:kern w:val="2"/>
                <w:sz w:val="19"/>
                <w:szCs w:val="19"/>
              </w:rPr>
            </w:pPr>
            <w:r w:rsidRPr="00212F4B">
              <w:rPr>
                <w:kern w:val="2"/>
                <w:sz w:val="19"/>
                <w:szCs w:val="19"/>
              </w:rPr>
              <w:t>9</w:t>
            </w:r>
          </w:p>
        </w:tc>
      </w:tr>
      <w:tr w:rsidR="00B21567" w:rsidRPr="00212F4B" w14:paraId="2D738A6C" w14:textId="77777777" w:rsidTr="005E1E9B">
        <w:trPr>
          <w:trHeight w:val="223"/>
        </w:trPr>
        <w:tc>
          <w:tcPr>
            <w:tcW w:w="1497" w:type="dxa"/>
            <w:vMerge w:val="restart"/>
          </w:tcPr>
          <w:p w14:paraId="1335D97B" w14:textId="77777777" w:rsidR="00B21567" w:rsidRPr="00212F4B" w:rsidRDefault="00B21567" w:rsidP="00212F4B">
            <w:pPr>
              <w:ind w:left="0" w:right="0"/>
              <w:rPr>
                <w:kern w:val="2"/>
                <w:sz w:val="19"/>
                <w:szCs w:val="19"/>
              </w:rPr>
            </w:pPr>
            <w:r w:rsidRPr="00212F4B">
              <w:rPr>
                <w:b/>
                <w:kern w:val="2"/>
                <w:sz w:val="19"/>
                <w:szCs w:val="19"/>
              </w:rPr>
              <w:t>Rat</w:t>
            </w:r>
            <w:r w:rsidRPr="00212F4B">
              <w:rPr>
                <w:kern w:val="2"/>
                <w:sz w:val="19"/>
                <w:szCs w:val="19"/>
              </w:rPr>
              <w:t xml:space="preserve"> (Wistar)</w:t>
            </w:r>
          </w:p>
        </w:tc>
        <w:tc>
          <w:tcPr>
            <w:tcW w:w="1704" w:type="dxa"/>
            <w:vMerge w:val="restart"/>
          </w:tcPr>
          <w:p w14:paraId="13E4FECE" w14:textId="77777777" w:rsidR="00B21567" w:rsidRPr="00212F4B" w:rsidRDefault="005E1E9B" w:rsidP="00523BCF">
            <w:pPr>
              <w:rPr>
                <w:kern w:val="2"/>
                <w:sz w:val="19"/>
                <w:szCs w:val="19"/>
              </w:rPr>
            </w:pPr>
            <w:r w:rsidRPr="00212F4B">
              <w:rPr>
                <w:kern w:val="2"/>
                <w:sz w:val="19"/>
                <w:szCs w:val="19"/>
              </w:rPr>
              <w:t xml:space="preserve">4 weeks </w:t>
            </w:r>
            <w:r w:rsidR="00B21567" w:rsidRPr="00212F4B">
              <w:rPr>
                <w:kern w:val="2"/>
                <w:sz w:val="19"/>
                <w:szCs w:val="19"/>
              </w:rPr>
              <w:t>[RF3310]</w:t>
            </w:r>
          </w:p>
        </w:tc>
        <w:tc>
          <w:tcPr>
            <w:tcW w:w="1549" w:type="dxa"/>
          </w:tcPr>
          <w:p w14:paraId="530FE460" w14:textId="77777777" w:rsidR="00B21567" w:rsidRPr="00212F4B" w:rsidRDefault="00B21567" w:rsidP="00BD7F12">
            <w:pPr>
              <w:jc w:val="center"/>
              <w:rPr>
                <w:kern w:val="2"/>
                <w:sz w:val="19"/>
                <w:szCs w:val="19"/>
              </w:rPr>
            </w:pPr>
            <w:r w:rsidRPr="00212F4B">
              <w:rPr>
                <w:kern w:val="2"/>
                <w:sz w:val="19"/>
                <w:szCs w:val="19"/>
              </w:rPr>
              <w:t>20</w:t>
            </w:r>
          </w:p>
        </w:tc>
        <w:tc>
          <w:tcPr>
            <w:tcW w:w="1216" w:type="dxa"/>
            <w:vMerge w:val="restart"/>
          </w:tcPr>
          <w:p w14:paraId="23B911EA" w14:textId="77777777" w:rsidR="00B21567" w:rsidRPr="00212F4B" w:rsidRDefault="00B21567" w:rsidP="00212F4B">
            <w:pPr>
              <w:jc w:val="center"/>
              <w:rPr>
                <w:kern w:val="2"/>
                <w:sz w:val="19"/>
                <w:szCs w:val="19"/>
              </w:rPr>
            </w:pPr>
            <w:r w:rsidRPr="00212F4B">
              <w:rPr>
                <w:kern w:val="2"/>
                <w:sz w:val="19"/>
                <w:szCs w:val="19"/>
              </w:rPr>
              <w:t>Q7D</w:t>
            </w:r>
          </w:p>
        </w:tc>
        <w:tc>
          <w:tcPr>
            <w:tcW w:w="1621" w:type="dxa"/>
          </w:tcPr>
          <w:p w14:paraId="0DF10C16" w14:textId="77777777" w:rsidR="00B21567" w:rsidRPr="00212F4B" w:rsidRDefault="00B21567" w:rsidP="00212F4B">
            <w:pPr>
              <w:jc w:val="center"/>
              <w:rPr>
                <w:kern w:val="2"/>
                <w:sz w:val="19"/>
                <w:szCs w:val="19"/>
              </w:rPr>
            </w:pPr>
            <w:r w:rsidRPr="00212F4B">
              <w:rPr>
                <w:kern w:val="2"/>
                <w:sz w:val="19"/>
                <w:szCs w:val="19"/>
              </w:rPr>
              <w:t>45723</w:t>
            </w:r>
          </w:p>
        </w:tc>
        <w:tc>
          <w:tcPr>
            <w:tcW w:w="1268" w:type="dxa"/>
          </w:tcPr>
          <w:p w14:paraId="736965CE" w14:textId="77777777" w:rsidR="00B21567" w:rsidRPr="00212F4B" w:rsidRDefault="00B21567" w:rsidP="00212F4B">
            <w:pPr>
              <w:jc w:val="center"/>
              <w:rPr>
                <w:kern w:val="2"/>
                <w:sz w:val="19"/>
                <w:szCs w:val="19"/>
              </w:rPr>
            </w:pPr>
            <w:r w:rsidRPr="00212F4B">
              <w:rPr>
                <w:kern w:val="2"/>
                <w:sz w:val="19"/>
                <w:szCs w:val="19"/>
              </w:rPr>
              <w:t>3.5</w:t>
            </w:r>
          </w:p>
        </w:tc>
      </w:tr>
      <w:tr w:rsidR="00B21567" w:rsidRPr="00212F4B" w14:paraId="5F466AFE" w14:textId="77777777" w:rsidTr="005E1E9B">
        <w:trPr>
          <w:trHeight w:val="223"/>
        </w:trPr>
        <w:tc>
          <w:tcPr>
            <w:tcW w:w="1497" w:type="dxa"/>
            <w:vMerge/>
          </w:tcPr>
          <w:p w14:paraId="44920B01" w14:textId="77777777" w:rsidR="00B21567" w:rsidRPr="00212F4B" w:rsidRDefault="00B21567" w:rsidP="00212F4B">
            <w:pPr>
              <w:ind w:left="0" w:right="0"/>
              <w:rPr>
                <w:kern w:val="2"/>
                <w:sz w:val="19"/>
                <w:szCs w:val="19"/>
              </w:rPr>
            </w:pPr>
          </w:p>
        </w:tc>
        <w:tc>
          <w:tcPr>
            <w:tcW w:w="1704" w:type="dxa"/>
            <w:vMerge/>
          </w:tcPr>
          <w:p w14:paraId="31BD00ED" w14:textId="77777777" w:rsidR="00B21567" w:rsidRPr="00212F4B" w:rsidRDefault="00B21567" w:rsidP="00523BCF">
            <w:pPr>
              <w:rPr>
                <w:kern w:val="2"/>
                <w:sz w:val="19"/>
                <w:szCs w:val="19"/>
              </w:rPr>
            </w:pPr>
          </w:p>
        </w:tc>
        <w:tc>
          <w:tcPr>
            <w:tcW w:w="1549" w:type="dxa"/>
          </w:tcPr>
          <w:p w14:paraId="3AD95C97" w14:textId="77777777" w:rsidR="00B21567" w:rsidRPr="00212F4B" w:rsidRDefault="00B21567" w:rsidP="00BD7F12">
            <w:pPr>
              <w:jc w:val="center"/>
              <w:rPr>
                <w:kern w:val="2"/>
                <w:sz w:val="19"/>
                <w:szCs w:val="19"/>
              </w:rPr>
            </w:pPr>
            <w:r w:rsidRPr="00212F4B">
              <w:rPr>
                <w:kern w:val="2"/>
                <w:sz w:val="19"/>
                <w:szCs w:val="19"/>
              </w:rPr>
              <w:t>40</w:t>
            </w:r>
          </w:p>
        </w:tc>
        <w:tc>
          <w:tcPr>
            <w:tcW w:w="1216" w:type="dxa"/>
            <w:vMerge/>
          </w:tcPr>
          <w:p w14:paraId="3FC1D430" w14:textId="77777777" w:rsidR="00B21567" w:rsidRPr="00212F4B" w:rsidRDefault="00B21567" w:rsidP="00212F4B">
            <w:pPr>
              <w:jc w:val="center"/>
              <w:rPr>
                <w:kern w:val="2"/>
                <w:sz w:val="19"/>
                <w:szCs w:val="19"/>
              </w:rPr>
            </w:pPr>
          </w:p>
        </w:tc>
        <w:tc>
          <w:tcPr>
            <w:tcW w:w="1621" w:type="dxa"/>
          </w:tcPr>
          <w:p w14:paraId="09F60C48" w14:textId="77777777" w:rsidR="00B21567" w:rsidRPr="00212F4B" w:rsidRDefault="00B21567" w:rsidP="00212F4B">
            <w:pPr>
              <w:jc w:val="center"/>
              <w:rPr>
                <w:kern w:val="2"/>
                <w:sz w:val="19"/>
                <w:szCs w:val="19"/>
              </w:rPr>
            </w:pPr>
            <w:r w:rsidRPr="00212F4B">
              <w:rPr>
                <w:kern w:val="2"/>
                <w:sz w:val="19"/>
                <w:szCs w:val="19"/>
              </w:rPr>
              <w:t>95174</w:t>
            </w:r>
          </w:p>
        </w:tc>
        <w:tc>
          <w:tcPr>
            <w:tcW w:w="1268" w:type="dxa"/>
          </w:tcPr>
          <w:p w14:paraId="3F41EDA3" w14:textId="77777777" w:rsidR="00B21567" w:rsidRPr="00212F4B" w:rsidRDefault="00B21567" w:rsidP="00212F4B">
            <w:pPr>
              <w:jc w:val="center"/>
              <w:rPr>
                <w:kern w:val="2"/>
                <w:sz w:val="19"/>
                <w:szCs w:val="19"/>
              </w:rPr>
            </w:pPr>
            <w:r w:rsidRPr="00212F4B">
              <w:rPr>
                <w:kern w:val="2"/>
                <w:sz w:val="19"/>
                <w:szCs w:val="19"/>
              </w:rPr>
              <w:t>7</w:t>
            </w:r>
          </w:p>
        </w:tc>
      </w:tr>
      <w:tr w:rsidR="00B21567" w:rsidRPr="00212F4B" w14:paraId="7CE39FBB" w14:textId="77777777" w:rsidTr="005E1E9B">
        <w:trPr>
          <w:trHeight w:val="223"/>
        </w:trPr>
        <w:tc>
          <w:tcPr>
            <w:tcW w:w="1497" w:type="dxa"/>
            <w:vMerge/>
          </w:tcPr>
          <w:p w14:paraId="2B8377E1" w14:textId="77777777" w:rsidR="00B21567" w:rsidRPr="00212F4B" w:rsidRDefault="00B21567" w:rsidP="00212F4B">
            <w:pPr>
              <w:ind w:left="0" w:right="0"/>
              <w:rPr>
                <w:kern w:val="2"/>
                <w:sz w:val="19"/>
                <w:szCs w:val="19"/>
              </w:rPr>
            </w:pPr>
          </w:p>
        </w:tc>
        <w:tc>
          <w:tcPr>
            <w:tcW w:w="1704" w:type="dxa"/>
            <w:vMerge/>
          </w:tcPr>
          <w:p w14:paraId="6D9AB1E6" w14:textId="77777777" w:rsidR="00B21567" w:rsidRPr="00212F4B" w:rsidRDefault="00B21567" w:rsidP="00523BCF">
            <w:pPr>
              <w:rPr>
                <w:kern w:val="2"/>
                <w:sz w:val="19"/>
                <w:szCs w:val="19"/>
              </w:rPr>
            </w:pPr>
          </w:p>
        </w:tc>
        <w:tc>
          <w:tcPr>
            <w:tcW w:w="1549" w:type="dxa"/>
          </w:tcPr>
          <w:p w14:paraId="62A7C97A" w14:textId="77777777" w:rsidR="00B21567" w:rsidRPr="00212F4B" w:rsidRDefault="00B21567" w:rsidP="00BD7F12">
            <w:pPr>
              <w:jc w:val="center"/>
              <w:rPr>
                <w:kern w:val="2"/>
                <w:sz w:val="19"/>
                <w:szCs w:val="19"/>
              </w:rPr>
            </w:pPr>
            <w:r w:rsidRPr="00212F4B">
              <w:rPr>
                <w:kern w:val="2"/>
                <w:sz w:val="19"/>
                <w:szCs w:val="19"/>
              </w:rPr>
              <w:t>140</w:t>
            </w:r>
          </w:p>
        </w:tc>
        <w:tc>
          <w:tcPr>
            <w:tcW w:w="1216" w:type="dxa"/>
            <w:vMerge/>
          </w:tcPr>
          <w:p w14:paraId="59E93026" w14:textId="77777777" w:rsidR="00B21567" w:rsidRPr="00212F4B" w:rsidRDefault="00B21567" w:rsidP="00212F4B">
            <w:pPr>
              <w:jc w:val="center"/>
              <w:rPr>
                <w:kern w:val="2"/>
                <w:sz w:val="19"/>
                <w:szCs w:val="19"/>
              </w:rPr>
            </w:pPr>
          </w:p>
        </w:tc>
        <w:tc>
          <w:tcPr>
            <w:tcW w:w="1621" w:type="dxa"/>
          </w:tcPr>
          <w:p w14:paraId="61E9120C" w14:textId="77777777" w:rsidR="00B21567" w:rsidRPr="00212F4B" w:rsidRDefault="00B21567" w:rsidP="00212F4B">
            <w:pPr>
              <w:jc w:val="center"/>
              <w:rPr>
                <w:kern w:val="2"/>
                <w:sz w:val="19"/>
                <w:szCs w:val="19"/>
              </w:rPr>
            </w:pPr>
            <w:r w:rsidRPr="00212F4B">
              <w:rPr>
                <w:kern w:val="2"/>
                <w:sz w:val="19"/>
                <w:szCs w:val="19"/>
              </w:rPr>
              <w:t>304051</w:t>
            </w:r>
          </w:p>
        </w:tc>
        <w:tc>
          <w:tcPr>
            <w:tcW w:w="1268" w:type="dxa"/>
          </w:tcPr>
          <w:p w14:paraId="456633F2" w14:textId="77777777" w:rsidR="00B21567" w:rsidRPr="00212F4B" w:rsidRDefault="00B21567" w:rsidP="00212F4B">
            <w:pPr>
              <w:jc w:val="center"/>
              <w:rPr>
                <w:kern w:val="2"/>
                <w:sz w:val="19"/>
                <w:szCs w:val="19"/>
              </w:rPr>
            </w:pPr>
            <w:r w:rsidRPr="00212F4B">
              <w:rPr>
                <w:kern w:val="2"/>
                <w:sz w:val="19"/>
                <w:szCs w:val="19"/>
              </w:rPr>
              <w:t>23</w:t>
            </w:r>
          </w:p>
        </w:tc>
      </w:tr>
      <w:tr w:rsidR="00B21567" w:rsidRPr="00212F4B" w14:paraId="4540414C" w14:textId="77777777" w:rsidTr="005E1E9B">
        <w:trPr>
          <w:trHeight w:val="223"/>
        </w:trPr>
        <w:tc>
          <w:tcPr>
            <w:tcW w:w="1497" w:type="dxa"/>
            <w:vMerge w:val="restart"/>
          </w:tcPr>
          <w:p w14:paraId="4373BA73" w14:textId="77777777" w:rsidR="00B21567" w:rsidRPr="00212F4B" w:rsidRDefault="00B21567" w:rsidP="00212F4B">
            <w:pPr>
              <w:ind w:left="0" w:right="0"/>
              <w:rPr>
                <w:kern w:val="2"/>
                <w:sz w:val="19"/>
                <w:szCs w:val="19"/>
              </w:rPr>
            </w:pPr>
            <w:r w:rsidRPr="00212F4B">
              <w:rPr>
                <w:b/>
                <w:kern w:val="2"/>
                <w:sz w:val="19"/>
                <w:szCs w:val="19"/>
              </w:rPr>
              <w:t>Monkey</w:t>
            </w:r>
            <w:r w:rsidRPr="00212F4B">
              <w:rPr>
                <w:kern w:val="2"/>
                <w:sz w:val="19"/>
                <w:szCs w:val="19"/>
              </w:rPr>
              <w:t xml:space="preserve"> (Cynomolgus)</w:t>
            </w:r>
          </w:p>
        </w:tc>
        <w:tc>
          <w:tcPr>
            <w:tcW w:w="1704" w:type="dxa"/>
            <w:vMerge w:val="restart"/>
          </w:tcPr>
          <w:p w14:paraId="49C4AECF" w14:textId="77777777" w:rsidR="00B21567" w:rsidRPr="00212F4B" w:rsidRDefault="005E1E9B" w:rsidP="00523BCF">
            <w:pPr>
              <w:rPr>
                <w:kern w:val="2"/>
                <w:sz w:val="19"/>
                <w:szCs w:val="19"/>
              </w:rPr>
            </w:pPr>
            <w:r w:rsidRPr="00212F4B">
              <w:rPr>
                <w:kern w:val="2"/>
                <w:sz w:val="19"/>
                <w:szCs w:val="19"/>
              </w:rPr>
              <w:t xml:space="preserve">4 weeks </w:t>
            </w:r>
            <w:r w:rsidR="00B21567" w:rsidRPr="00212F4B">
              <w:rPr>
                <w:kern w:val="2"/>
                <w:sz w:val="19"/>
                <w:szCs w:val="19"/>
              </w:rPr>
              <w:t>[R2710]</w:t>
            </w:r>
          </w:p>
        </w:tc>
        <w:tc>
          <w:tcPr>
            <w:tcW w:w="1549" w:type="dxa"/>
          </w:tcPr>
          <w:p w14:paraId="19731DA8" w14:textId="77777777" w:rsidR="00B21567" w:rsidRPr="00212F4B" w:rsidRDefault="00B21567" w:rsidP="00BD7F12">
            <w:pPr>
              <w:jc w:val="center"/>
              <w:rPr>
                <w:kern w:val="2"/>
                <w:sz w:val="19"/>
                <w:szCs w:val="19"/>
              </w:rPr>
            </w:pPr>
            <w:r w:rsidRPr="00212F4B">
              <w:rPr>
                <w:kern w:val="2"/>
                <w:sz w:val="19"/>
                <w:szCs w:val="19"/>
              </w:rPr>
              <w:t>20</w:t>
            </w:r>
          </w:p>
        </w:tc>
        <w:tc>
          <w:tcPr>
            <w:tcW w:w="1216" w:type="dxa"/>
            <w:vMerge w:val="restart"/>
          </w:tcPr>
          <w:p w14:paraId="7045836E" w14:textId="77777777" w:rsidR="00B21567" w:rsidRPr="00212F4B" w:rsidRDefault="00B21567" w:rsidP="00212F4B">
            <w:pPr>
              <w:jc w:val="center"/>
              <w:rPr>
                <w:kern w:val="2"/>
                <w:sz w:val="19"/>
                <w:szCs w:val="19"/>
              </w:rPr>
            </w:pPr>
            <w:r w:rsidRPr="00212F4B">
              <w:rPr>
                <w:kern w:val="2"/>
                <w:sz w:val="19"/>
                <w:szCs w:val="19"/>
              </w:rPr>
              <w:t>Q7D</w:t>
            </w:r>
          </w:p>
        </w:tc>
        <w:tc>
          <w:tcPr>
            <w:tcW w:w="1621" w:type="dxa"/>
          </w:tcPr>
          <w:p w14:paraId="35D00527" w14:textId="77777777" w:rsidR="00B21567" w:rsidRPr="00212F4B" w:rsidRDefault="00B21567" w:rsidP="00212F4B">
            <w:pPr>
              <w:jc w:val="center"/>
              <w:rPr>
                <w:kern w:val="2"/>
                <w:sz w:val="19"/>
                <w:szCs w:val="19"/>
              </w:rPr>
            </w:pPr>
            <w:r w:rsidRPr="00212F4B">
              <w:rPr>
                <w:kern w:val="2"/>
                <w:sz w:val="19"/>
                <w:szCs w:val="19"/>
              </w:rPr>
              <w:t>26400</w:t>
            </w:r>
          </w:p>
        </w:tc>
        <w:tc>
          <w:tcPr>
            <w:tcW w:w="1268" w:type="dxa"/>
          </w:tcPr>
          <w:p w14:paraId="08627C1E" w14:textId="77777777" w:rsidR="00B21567" w:rsidRPr="00212F4B" w:rsidRDefault="00B21567" w:rsidP="00212F4B">
            <w:pPr>
              <w:jc w:val="center"/>
              <w:rPr>
                <w:kern w:val="2"/>
                <w:sz w:val="19"/>
                <w:szCs w:val="19"/>
              </w:rPr>
            </w:pPr>
            <w:r w:rsidRPr="00212F4B">
              <w:rPr>
                <w:kern w:val="2"/>
                <w:sz w:val="19"/>
                <w:szCs w:val="19"/>
              </w:rPr>
              <w:t>2.0</w:t>
            </w:r>
          </w:p>
        </w:tc>
      </w:tr>
      <w:tr w:rsidR="00B21567" w:rsidRPr="00212F4B" w14:paraId="5AD84ED2" w14:textId="77777777" w:rsidTr="005E1E9B">
        <w:trPr>
          <w:trHeight w:val="223"/>
        </w:trPr>
        <w:tc>
          <w:tcPr>
            <w:tcW w:w="1497" w:type="dxa"/>
            <w:vMerge/>
          </w:tcPr>
          <w:p w14:paraId="4D15D581" w14:textId="77777777" w:rsidR="00B21567" w:rsidRPr="00212F4B" w:rsidRDefault="00B21567" w:rsidP="00212F4B">
            <w:pPr>
              <w:ind w:left="0" w:right="0"/>
              <w:rPr>
                <w:kern w:val="2"/>
                <w:sz w:val="19"/>
                <w:szCs w:val="19"/>
              </w:rPr>
            </w:pPr>
          </w:p>
        </w:tc>
        <w:tc>
          <w:tcPr>
            <w:tcW w:w="1704" w:type="dxa"/>
            <w:vMerge/>
          </w:tcPr>
          <w:p w14:paraId="59AC87FC" w14:textId="77777777" w:rsidR="00B21567" w:rsidRPr="00212F4B" w:rsidRDefault="00B21567" w:rsidP="00523BCF">
            <w:pPr>
              <w:rPr>
                <w:kern w:val="2"/>
                <w:sz w:val="19"/>
                <w:szCs w:val="19"/>
              </w:rPr>
            </w:pPr>
          </w:p>
        </w:tc>
        <w:tc>
          <w:tcPr>
            <w:tcW w:w="1549" w:type="dxa"/>
          </w:tcPr>
          <w:p w14:paraId="4AE9AB62" w14:textId="77777777" w:rsidR="00B21567" w:rsidRPr="00212F4B" w:rsidRDefault="00B21567" w:rsidP="00BD7F12">
            <w:pPr>
              <w:jc w:val="center"/>
              <w:rPr>
                <w:kern w:val="2"/>
                <w:sz w:val="19"/>
                <w:szCs w:val="19"/>
              </w:rPr>
            </w:pPr>
            <w:r w:rsidRPr="00212F4B">
              <w:rPr>
                <w:kern w:val="2"/>
                <w:sz w:val="19"/>
                <w:szCs w:val="19"/>
              </w:rPr>
              <w:t>60</w:t>
            </w:r>
          </w:p>
        </w:tc>
        <w:tc>
          <w:tcPr>
            <w:tcW w:w="1216" w:type="dxa"/>
            <w:vMerge/>
          </w:tcPr>
          <w:p w14:paraId="0160AA78" w14:textId="77777777" w:rsidR="00B21567" w:rsidRPr="00212F4B" w:rsidRDefault="00B21567" w:rsidP="00212F4B">
            <w:pPr>
              <w:jc w:val="center"/>
              <w:rPr>
                <w:kern w:val="2"/>
                <w:sz w:val="19"/>
                <w:szCs w:val="19"/>
              </w:rPr>
            </w:pPr>
          </w:p>
        </w:tc>
        <w:tc>
          <w:tcPr>
            <w:tcW w:w="1621" w:type="dxa"/>
          </w:tcPr>
          <w:p w14:paraId="7478653A" w14:textId="77777777" w:rsidR="00B21567" w:rsidRPr="00212F4B" w:rsidRDefault="00B21567" w:rsidP="00212F4B">
            <w:pPr>
              <w:jc w:val="center"/>
              <w:rPr>
                <w:kern w:val="2"/>
                <w:sz w:val="19"/>
                <w:szCs w:val="19"/>
              </w:rPr>
            </w:pPr>
            <w:r w:rsidRPr="00212F4B">
              <w:rPr>
                <w:kern w:val="2"/>
                <w:sz w:val="19"/>
                <w:szCs w:val="19"/>
              </w:rPr>
              <w:t>115000</w:t>
            </w:r>
          </w:p>
        </w:tc>
        <w:tc>
          <w:tcPr>
            <w:tcW w:w="1268" w:type="dxa"/>
          </w:tcPr>
          <w:p w14:paraId="49D065A5" w14:textId="77777777" w:rsidR="00B21567" w:rsidRPr="00212F4B" w:rsidRDefault="00B21567" w:rsidP="00212F4B">
            <w:pPr>
              <w:jc w:val="center"/>
              <w:rPr>
                <w:kern w:val="2"/>
                <w:sz w:val="19"/>
                <w:szCs w:val="19"/>
              </w:rPr>
            </w:pPr>
            <w:r w:rsidRPr="00212F4B">
              <w:rPr>
                <w:kern w:val="2"/>
                <w:sz w:val="19"/>
                <w:szCs w:val="19"/>
              </w:rPr>
              <w:t>9</w:t>
            </w:r>
          </w:p>
        </w:tc>
      </w:tr>
      <w:tr w:rsidR="00B21567" w:rsidRPr="00212F4B" w14:paraId="411C0D82" w14:textId="77777777" w:rsidTr="005E1E9B">
        <w:trPr>
          <w:trHeight w:val="223"/>
        </w:trPr>
        <w:tc>
          <w:tcPr>
            <w:tcW w:w="1497" w:type="dxa"/>
            <w:vMerge/>
          </w:tcPr>
          <w:p w14:paraId="3754AD00" w14:textId="77777777" w:rsidR="00B21567" w:rsidRPr="00212F4B" w:rsidRDefault="00B21567" w:rsidP="00212F4B">
            <w:pPr>
              <w:ind w:left="0" w:right="0"/>
              <w:rPr>
                <w:kern w:val="2"/>
                <w:sz w:val="19"/>
                <w:szCs w:val="19"/>
              </w:rPr>
            </w:pPr>
          </w:p>
        </w:tc>
        <w:tc>
          <w:tcPr>
            <w:tcW w:w="1704" w:type="dxa"/>
            <w:vMerge/>
          </w:tcPr>
          <w:p w14:paraId="467DA341" w14:textId="77777777" w:rsidR="00B21567" w:rsidRPr="00212F4B" w:rsidRDefault="00B21567" w:rsidP="00523BCF">
            <w:pPr>
              <w:rPr>
                <w:kern w:val="2"/>
                <w:sz w:val="19"/>
                <w:szCs w:val="19"/>
              </w:rPr>
            </w:pPr>
          </w:p>
        </w:tc>
        <w:tc>
          <w:tcPr>
            <w:tcW w:w="1549" w:type="dxa"/>
          </w:tcPr>
          <w:p w14:paraId="5CECCEAD" w14:textId="77777777" w:rsidR="00B21567" w:rsidRPr="00212F4B" w:rsidRDefault="00B21567" w:rsidP="00BD7F12">
            <w:pPr>
              <w:jc w:val="center"/>
              <w:rPr>
                <w:kern w:val="2"/>
                <w:sz w:val="19"/>
                <w:szCs w:val="19"/>
              </w:rPr>
            </w:pPr>
            <w:r w:rsidRPr="00212F4B">
              <w:rPr>
                <w:kern w:val="2"/>
                <w:sz w:val="19"/>
                <w:szCs w:val="19"/>
              </w:rPr>
              <w:t>140</w:t>
            </w:r>
          </w:p>
        </w:tc>
        <w:tc>
          <w:tcPr>
            <w:tcW w:w="1216" w:type="dxa"/>
            <w:vMerge/>
          </w:tcPr>
          <w:p w14:paraId="03C1A96E" w14:textId="77777777" w:rsidR="00B21567" w:rsidRPr="00212F4B" w:rsidRDefault="00B21567" w:rsidP="00212F4B">
            <w:pPr>
              <w:jc w:val="center"/>
              <w:rPr>
                <w:sz w:val="19"/>
                <w:szCs w:val="19"/>
              </w:rPr>
            </w:pPr>
          </w:p>
        </w:tc>
        <w:tc>
          <w:tcPr>
            <w:tcW w:w="1621" w:type="dxa"/>
          </w:tcPr>
          <w:p w14:paraId="378D87A0" w14:textId="77777777" w:rsidR="00B21567" w:rsidRPr="00212F4B" w:rsidRDefault="00B21567" w:rsidP="00212F4B">
            <w:pPr>
              <w:jc w:val="center"/>
              <w:rPr>
                <w:kern w:val="2"/>
                <w:sz w:val="19"/>
                <w:szCs w:val="19"/>
              </w:rPr>
            </w:pPr>
            <w:r w:rsidRPr="00212F4B">
              <w:rPr>
                <w:sz w:val="19"/>
                <w:szCs w:val="19"/>
              </w:rPr>
              <w:t>227000</w:t>
            </w:r>
          </w:p>
        </w:tc>
        <w:tc>
          <w:tcPr>
            <w:tcW w:w="1268" w:type="dxa"/>
          </w:tcPr>
          <w:p w14:paraId="4B98D479" w14:textId="77777777" w:rsidR="00B21567" w:rsidRPr="00212F4B" w:rsidRDefault="00B21567" w:rsidP="00212F4B">
            <w:pPr>
              <w:jc w:val="center"/>
              <w:rPr>
                <w:kern w:val="2"/>
                <w:sz w:val="19"/>
                <w:szCs w:val="19"/>
              </w:rPr>
            </w:pPr>
            <w:r w:rsidRPr="00212F4B">
              <w:rPr>
                <w:kern w:val="2"/>
                <w:sz w:val="19"/>
                <w:szCs w:val="19"/>
              </w:rPr>
              <w:t>17</w:t>
            </w:r>
          </w:p>
        </w:tc>
      </w:tr>
      <w:tr w:rsidR="00B21567" w:rsidRPr="00212F4B" w14:paraId="0F60BA12" w14:textId="77777777" w:rsidTr="005E1E9B">
        <w:trPr>
          <w:trHeight w:val="223"/>
        </w:trPr>
        <w:tc>
          <w:tcPr>
            <w:tcW w:w="1497" w:type="dxa"/>
            <w:vMerge/>
          </w:tcPr>
          <w:p w14:paraId="6C3F0F1D" w14:textId="77777777" w:rsidR="00B21567" w:rsidRPr="00212F4B" w:rsidRDefault="00B21567" w:rsidP="00212F4B">
            <w:pPr>
              <w:ind w:left="0" w:right="0"/>
              <w:rPr>
                <w:kern w:val="2"/>
                <w:sz w:val="19"/>
                <w:szCs w:val="19"/>
              </w:rPr>
            </w:pPr>
          </w:p>
        </w:tc>
        <w:tc>
          <w:tcPr>
            <w:tcW w:w="1704" w:type="dxa"/>
            <w:vMerge w:val="restart"/>
          </w:tcPr>
          <w:p w14:paraId="4A33B209" w14:textId="77777777" w:rsidR="00B21567" w:rsidRPr="00212F4B" w:rsidRDefault="005E1E9B" w:rsidP="00523BCF">
            <w:pPr>
              <w:rPr>
                <w:kern w:val="2"/>
                <w:sz w:val="19"/>
                <w:szCs w:val="19"/>
              </w:rPr>
            </w:pPr>
            <w:r w:rsidRPr="00212F4B">
              <w:rPr>
                <w:kern w:val="2"/>
                <w:sz w:val="19"/>
                <w:szCs w:val="19"/>
              </w:rPr>
              <w:t xml:space="preserve">13 weeks </w:t>
            </w:r>
            <w:r w:rsidR="00B21567" w:rsidRPr="00212F4B">
              <w:rPr>
                <w:kern w:val="2"/>
                <w:sz w:val="19"/>
                <w:szCs w:val="19"/>
              </w:rPr>
              <w:t>[pivotal; RF4990]</w:t>
            </w:r>
          </w:p>
        </w:tc>
        <w:tc>
          <w:tcPr>
            <w:tcW w:w="1549" w:type="dxa"/>
          </w:tcPr>
          <w:p w14:paraId="3C41EFB1" w14:textId="77777777" w:rsidR="00B21567" w:rsidRPr="00212F4B" w:rsidRDefault="00B21567" w:rsidP="00BD7F12">
            <w:pPr>
              <w:jc w:val="center"/>
              <w:rPr>
                <w:kern w:val="2"/>
                <w:sz w:val="19"/>
                <w:szCs w:val="19"/>
              </w:rPr>
            </w:pPr>
            <w:r w:rsidRPr="00212F4B">
              <w:rPr>
                <w:kern w:val="2"/>
                <w:sz w:val="19"/>
                <w:szCs w:val="19"/>
              </w:rPr>
              <w:t>20</w:t>
            </w:r>
          </w:p>
        </w:tc>
        <w:tc>
          <w:tcPr>
            <w:tcW w:w="1216" w:type="dxa"/>
            <w:vMerge w:val="restart"/>
          </w:tcPr>
          <w:p w14:paraId="48952CC5" w14:textId="77777777" w:rsidR="00B21567" w:rsidRPr="00212F4B" w:rsidRDefault="00B21567" w:rsidP="00212F4B">
            <w:pPr>
              <w:jc w:val="center"/>
              <w:rPr>
                <w:kern w:val="2"/>
                <w:sz w:val="19"/>
                <w:szCs w:val="19"/>
              </w:rPr>
            </w:pPr>
            <w:r w:rsidRPr="00212F4B">
              <w:rPr>
                <w:kern w:val="2"/>
                <w:sz w:val="19"/>
                <w:szCs w:val="19"/>
              </w:rPr>
              <w:t>Q7D</w:t>
            </w:r>
          </w:p>
        </w:tc>
        <w:tc>
          <w:tcPr>
            <w:tcW w:w="1621" w:type="dxa"/>
          </w:tcPr>
          <w:p w14:paraId="1DE368BF" w14:textId="77777777" w:rsidR="00B21567" w:rsidRPr="00212F4B" w:rsidRDefault="00B21567" w:rsidP="00212F4B">
            <w:pPr>
              <w:jc w:val="center"/>
              <w:rPr>
                <w:kern w:val="2"/>
                <w:sz w:val="19"/>
                <w:szCs w:val="19"/>
              </w:rPr>
            </w:pPr>
            <w:r w:rsidRPr="00212F4B">
              <w:rPr>
                <w:kern w:val="2"/>
                <w:sz w:val="19"/>
                <w:szCs w:val="19"/>
              </w:rPr>
              <w:t>33883</w:t>
            </w:r>
          </w:p>
        </w:tc>
        <w:tc>
          <w:tcPr>
            <w:tcW w:w="1268" w:type="dxa"/>
          </w:tcPr>
          <w:p w14:paraId="38361F6F" w14:textId="77777777" w:rsidR="00B21567" w:rsidRPr="00212F4B" w:rsidRDefault="00B21567" w:rsidP="00212F4B">
            <w:pPr>
              <w:jc w:val="center"/>
              <w:rPr>
                <w:kern w:val="2"/>
                <w:sz w:val="19"/>
                <w:szCs w:val="19"/>
              </w:rPr>
            </w:pPr>
            <w:r w:rsidRPr="00212F4B">
              <w:rPr>
                <w:kern w:val="2"/>
                <w:sz w:val="19"/>
                <w:szCs w:val="19"/>
              </w:rPr>
              <w:t>2.6</w:t>
            </w:r>
          </w:p>
        </w:tc>
      </w:tr>
      <w:tr w:rsidR="00B21567" w:rsidRPr="00212F4B" w14:paraId="56B3E314" w14:textId="77777777" w:rsidTr="005E1E9B">
        <w:trPr>
          <w:trHeight w:val="223"/>
        </w:trPr>
        <w:tc>
          <w:tcPr>
            <w:tcW w:w="1497" w:type="dxa"/>
            <w:vMerge/>
          </w:tcPr>
          <w:p w14:paraId="0CCF08BA" w14:textId="77777777" w:rsidR="00B21567" w:rsidRPr="00212F4B" w:rsidRDefault="00B21567" w:rsidP="00212F4B">
            <w:pPr>
              <w:ind w:left="0" w:right="0"/>
              <w:rPr>
                <w:kern w:val="2"/>
                <w:sz w:val="19"/>
                <w:szCs w:val="19"/>
              </w:rPr>
            </w:pPr>
          </w:p>
        </w:tc>
        <w:tc>
          <w:tcPr>
            <w:tcW w:w="1704" w:type="dxa"/>
            <w:vMerge/>
          </w:tcPr>
          <w:p w14:paraId="7D8E8648" w14:textId="77777777" w:rsidR="00B21567" w:rsidRPr="00212F4B" w:rsidRDefault="00B21567" w:rsidP="00523BCF">
            <w:pPr>
              <w:rPr>
                <w:kern w:val="2"/>
                <w:sz w:val="19"/>
                <w:szCs w:val="19"/>
              </w:rPr>
            </w:pPr>
          </w:p>
        </w:tc>
        <w:tc>
          <w:tcPr>
            <w:tcW w:w="1549" w:type="dxa"/>
          </w:tcPr>
          <w:p w14:paraId="5FC279A1" w14:textId="77777777" w:rsidR="00B21567" w:rsidRPr="00212F4B" w:rsidRDefault="00B21567" w:rsidP="00BD7F12">
            <w:pPr>
              <w:jc w:val="center"/>
              <w:rPr>
                <w:kern w:val="2"/>
                <w:sz w:val="19"/>
                <w:szCs w:val="19"/>
              </w:rPr>
            </w:pPr>
            <w:r w:rsidRPr="00212F4B">
              <w:rPr>
                <w:kern w:val="2"/>
                <w:sz w:val="19"/>
                <w:szCs w:val="19"/>
              </w:rPr>
              <w:t>60</w:t>
            </w:r>
          </w:p>
        </w:tc>
        <w:tc>
          <w:tcPr>
            <w:tcW w:w="1216" w:type="dxa"/>
            <w:vMerge/>
          </w:tcPr>
          <w:p w14:paraId="42C110E5" w14:textId="77777777" w:rsidR="00B21567" w:rsidRPr="00212F4B" w:rsidRDefault="00B21567" w:rsidP="00212F4B">
            <w:pPr>
              <w:jc w:val="center"/>
              <w:rPr>
                <w:kern w:val="2"/>
                <w:sz w:val="19"/>
                <w:szCs w:val="19"/>
              </w:rPr>
            </w:pPr>
          </w:p>
        </w:tc>
        <w:tc>
          <w:tcPr>
            <w:tcW w:w="1621" w:type="dxa"/>
          </w:tcPr>
          <w:p w14:paraId="03B20141" w14:textId="77777777" w:rsidR="00B21567" w:rsidRPr="00212F4B" w:rsidRDefault="00B21567" w:rsidP="00212F4B">
            <w:pPr>
              <w:jc w:val="center"/>
              <w:rPr>
                <w:kern w:val="2"/>
                <w:sz w:val="19"/>
                <w:szCs w:val="19"/>
              </w:rPr>
            </w:pPr>
            <w:r w:rsidRPr="00212F4B">
              <w:rPr>
                <w:kern w:val="2"/>
                <w:sz w:val="19"/>
                <w:szCs w:val="19"/>
              </w:rPr>
              <w:t>125674</w:t>
            </w:r>
          </w:p>
        </w:tc>
        <w:tc>
          <w:tcPr>
            <w:tcW w:w="1268" w:type="dxa"/>
          </w:tcPr>
          <w:p w14:paraId="5EE6C8D8" w14:textId="77777777" w:rsidR="00B21567" w:rsidRPr="00212F4B" w:rsidRDefault="00B21567" w:rsidP="00212F4B">
            <w:pPr>
              <w:jc w:val="center"/>
              <w:rPr>
                <w:kern w:val="2"/>
                <w:sz w:val="19"/>
                <w:szCs w:val="19"/>
              </w:rPr>
            </w:pPr>
            <w:r w:rsidRPr="00212F4B">
              <w:rPr>
                <w:kern w:val="2"/>
                <w:sz w:val="19"/>
                <w:szCs w:val="19"/>
              </w:rPr>
              <w:t>10</w:t>
            </w:r>
          </w:p>
        </w:tc>
      </w:tr>
      <w:tr w:rsidR="00B21567" w:rsidRPr="00212F4B" w14:paraId="20ADF30B" w14:textId="77777777" w:rsidTr="005E1E9B">
        <w:trPr>
          <w:trHeight w:val="223"/>
        </w:trPr>
        <w:tc>
          <w:tcPr>
            <w:tcW w:w="1497" w:type="dxa"/>
            <w:vMerge/>
          </w:tcPr>
          <w:p w14:paraId="4E1B6396" w14:textId="77777777" w:rsidR="00B21567" w:rsidRPr="00212F4B" w:rsidRDefault="00B21567" w:rsidP="00212F4B">
            <w:pPr>
              <w:ind w:left="0" w:right="0"/>
              <w:rPr>
                <w:kern w:val="2"/>
                <w:sz w:val="19"/>
                <w:szCs w:val="19"/>
              </w:rPr>
            </w:pPr>
          </w:p>
        </w:tc>
        <w:tc>
          <w:tcPr>
            <w:tcW w:w="1704" w:type="dxa"/>
            <w:vMerge/>
          </w:tcPr>
          <w:p w14:paraId="0BC84BDC" w14:textId="77777777" w:rsidR="00B21567" w:rsidRPr="00212F4B" w:rsidRDefault="00B21567" w:rsidP="00523BCF">
            <w:pPr>
              <w:rPr>
                <w:kern w:val="2"/>
                <w:sz w:val="19"/>
                <w:szCs w:val="19"/>
              </w:rPr>
            </w:pPr>
          </w:p>
        </w:tc>
        <w:tc>
          <w:tcPr>
            <w:tcW w:w="1549" w:type="dxa"/>
          </w:tcPr>
          <w:p w14:paraId="1E12ECA6" w14:textId="77777777" w:rsidR="00B21567" w:rsidRPr="00212F4B" w:rsidRDefault="00B21567" w:rsidP="00BD7F12">
            <w:pPr>
              <w:jc w:val="center"/>
              <w:rPr>
                <w:kern w:val="2"/>
                <w:sz w:val="19"/>
                <w:szCs w:val="19"/>
              </w:rPr>
            </w:pPr>
            <w:r w:rsidRPr="00212F4B">
              <w:rPr>
                <w:kern w:val="2"/>
                <w:sz w:val="19"/>
                <w:szCs w:val="19"/>
              </w:rPr>
              <w:t>140</w:t>
            </w:r>
          </w:p>
        </w:tc>
        <w:tc>
          <w:tcPr>
            <w:tcW w:w="1216" w:type="dxa"/>
            <w:vMerge/>
          </w:tcPr>
          <w:p w14:paraId="570D58D8" w14:textId="77777777" w:rsidR="00B21567" w:rsidRPr="00212F4B" w:rsidRDefault="00B21567" w:rsidP="00212F4B">
            <w:pPr>
              <w:jc w:val="center"/>
              <w:rPr>
                <w:kern w:val="2"/>
                <w:sz w:val="19"/>
                <w:szCs w:val="19"/>
              </w:rPr>
            </w:pPr>
          </w:p>
        </w:tc>
        <w:tc>
          <w:tcPr>
            <w:tcW w:w="1621" w:type="dxa"/>
          </w:tcPr>
          <w:p w14:paraId="36164DAE" w14:textId="77777777" w:rsidR="00B21567" w:rsidRPr="00212F4B" w:rsidRDefault="00B21567" w:rsidP="00212F4B">
            <w:pPr>
              <w:jc w:val="center"/>
              <w:rPr>
                <w:kern w:val="2"/>
                <w:sz w:val="19"/>
                <w:szCs w:val="19"/>
              </w:rPr>
            </w:pPr>
            <w:r w:rsidRPr="00212F4B">
              <w:rPr>
                <w:kern w:val="2"/>
                <w:sz w:val="19"/>
                <w:szCs w:val="19"/>
              </w:rPr>
              <w:t>330088</w:t>
            </w:r>
          </w:p>
        </w:tc>
        <w:tc>
          <w:tcPr>
            <w:tcW w:w="1268" w:type="dxa"/>
          </w:tcPr>
          <w:p w14:paraId="10AEE5AE" w14:textId="77777777" w:rsidR="00B21567" w:rsidRPr="00212F4B" w:rsidRDefault="00B21567" w:rsidP="00212F4B">
            <w:pPr>
              <w:jc w:val="center"/>
              <w:rPr>
                <w:kern w:val="2"/>
                <w:sz w:val="19"/>
                <w:szCs w:val="19"/>
              </w:rPr>
            </w:pPr>
            <w:r w:rsidRPr="00212F4B">
              <w:rPr>
                <w:kern w:val="2"/>
                <w:sz w:val="19"/>
                <w:szCs w:val="19"/>
              </w:rPr>
              <w:t>25</w:t>
            </w:r>
          </w:p>
        </w:tc>
      </w:tr>
      <w:tr w:rsidR="00B21567" w:rsidRPr="00212F4B" w14:paraId="06B8058C" w14:textId="77777777" w:rsidTr="005E1E9B">
        <w:trPr>
          <w:trHeight w:val="223"/>
        </w:trPr>
        <w:tc>
          <w:tcPr>
            <w:tcW w:w="1497" w:type="dxa"/>
          </w:tcPr>
          <w:p w14:paraId="4C51B4A1" w14:textId="77777777" w:rsidR="00B21567" w:rsidRPr="00212F4B" w:rsidRDefault="00B21567" w:rsidP="00212F4B">
            <w:pPr>
              <w:ind w:left="0" w:right="0"/>
              <w:rPr>
                <w:kern w:val="2"/>
                <w:sz w:val="19"/>
                <w:szCs w:val="19"/>
              </w:rPr>
            </w:pPr>
            <w:r w:rsidRPr="00212F4B">
              <w:rPr>
                <w:b/>
                <w:kern w:val="2"/>
                <w:sz w:val="19"/>
                <w:szCs w:val="19"/>
              </w:rPr>
              <w:t>Human</w:t>
            </w:r>
            <w:r w:rsidRPr="00212F4B">
              <w:rPr>
                <w:kern w:val="2"/>
                <w:sz w:val="19"/>
                <w:szCs w:val="19"/>
              </w:rPr>
              <w:t xml:space="preserve"> (patients)</w:t>
            </w:r>
          </w:p>
        </w:tc>
        <w:tc>
          <w:tcPr>
            <w:tcW w:w="1704" w:type="dxa"/>
          </w:tcPr>
          <w:p w14:paraId="758B50D6" w14:textId="77777777" w:rsidR="00B21567" w:rsidRPr="00212F4B" w:rsidRDefault="00B21567" w:rsidP="00523BCF">
            <w:pPr>
              <w:rPr>
                <w:kern w:val="2"/>
                <w:sz w:val="19"/>
                <w:szCs w:val="19"/>
              </w:rPr>
            </w:pPr>
            <w:r w:rsidRPr="00212F4B">
              <w:rPr>
                <w:kern w:val="2"/>
                <w:sz w:val="19"/>
                <w:szCs w:val="19"/>
              </w:rPr>
              <w:t>Population PK analysis</w:t>
            </w:r>
          </w:p>
        </w:tc>
        <w:tc>
          <w:tcPr>
            <w:tcW w:w="1549" w:type="dxa"/>
          </w:tcPr>
          <w:p w14:paraId="7CA92576" w14:textId="77777777" w:rsidR="00B21567" w:rsidRPr="00212F4B" w:rsidRDefault="00B21567" w:rsidP="00BD7F12">
            <w:pPr>
              <w:jc w:val="center"/>
              <w:rPr>
                <w:kern w:val="2"/>
                <w:sz w:val="19"/>
                <w:szCs w:val="19"/>
              </w:rPr>
            </w:pPr>
            <w:r w:rsidRPr="00212F4B">
              <w:rPr>
                <w:kern w:val="2"/>
                <w:sz w:val="19"/>
                <w:szCs w:val="19"/>
              </w:rPr>
              <w:t>10</w:t>
            </w:r>
          </w:p>
        </w:tc>
        <w:tc>
          <w:tcPr>
            <w:tcW w:w="1216" w:type="dxa"/>
          </w:tcPr>
          <w:p w14:paraId="000F2CA9" w14:textId="77777777" w:rsidR="00B21567" w:rsidRPr="00212F4B" w:rsidRDefault="00B21567" w:rsidP="00212F4B">
            <w:pPr>
              <w:jc w:val="center"/>
              <w:rPr>
                <w:kern w:val="2"/>
                <w:sz w:val="19"/>
                <w:szCs w:val="19"/>
              </w:rPr>
            </w:pPr>
            <w:r w:rsidRPr="00212F4B">
              <w:rPr>
                <w:kern w:val="2"/>
                <w:sz w:val="19"/>
                <w:szCs w:val="19"/>
              </w:rPr>
              <w:t>Q14D</w:t>
            </w:r>
          </w:p>
        </w:tc>
        <w:tc>
          <w:tcPr>
            <w:tcW w:w="1621" w:type="dxa"/>
          </w:tcPr>
          <w:p w14:paraId="61310E8F" w14:textId="77777777" w:rsidR="00B21567" w:rsidRPr="00212F4B" w:rsidRDefault="00B21567" w:rsidP="00212F4B">
            <w:pPr>
              <w:jc w:val="center"/>
              <w:rPr>
                <w:kern w:val="2"/>
                <w:sz w:val="19"/>
                <w:szCs w:val="19"/>
              </w:rPr>
            </w:pPr>
            <w:r w:rsidRPr="00212F4B">
              <w:rPr>
                <w:kern w:val="2"/>
                <w:sz w:val="19"/>
                <w:szCs w:val="19"/>
              </w:rPr>
              <w:t>26214</w:t>
            </w:r>
          </w:p>
        </w:tc>
        <w:tc>
          <w:tcPr>
            <w:tcW w:w="1268" w:type="dxa"/>
          </w:tcPr>
          <w:p w14:paraId="32086283" w14:textId="77777777" w:rsidR="00B21567" w:rsidRPr="00212F4B" w:rsidRDefault="00B21567" w:rsidP="00212F4B">
            <w:pPr>
              <w:jc w:val="center"/>
              <w:rPr>
                <w:kern w:val="2"/>
                <w:sz w:val="19"/>
                <w:szCs w:val="19"/>
              </w:rPr>
            </w:pPr>
            <w:r w:rsidRPr="00212F4B">
              <w:rPr>
                <w:kern w:val="2"/>
                <w:sz w:val="19"/>
                <w:szCs w:val="19"/>
              </w:rPr>
              <w:t>–</w:t>
            </w:r>
          </w:p>
        </w:tc>
      </w:tr>
    </w:tbl>
    <w:p w14:paraId="5CB98A0C" w14:textId="77777777" w:rsidR="00B21567" w:rsidRDefault="00B21567" w:rsidP="00B21567">
      <w:pPr>
        <w:pStyle w:val="TableDescription"/>
      </w:pPr>
      <w:r>
        <w:t>^</w:t>
      </w:r>
      <w:r w:rsidRPr="00EB5B64">
        <w:t xml:space="preserve"> = animal data are for the sexes combined, measured</w:t>
      </w:r>
      <w:r>
        <w:t xml:space="preserve"> at the last sampling occasion; </w:t>
      </w:r>
      <w:r>
        <w:rPr>
          <w:position w:val="-2"/>
          <w:vertAlign w:val="superscript"/>
        </w:rPr>
        <w:t>#</w:t>
      </w:r>
      <w:r w:rsidRPr="00EB5B64">
        <w:t xml:space="preserve"> = </w:t>
      </w:r>
      <w:proofErr w:type="spellStart"/>
      <w:r w:rsidRPr="00EB5B64">
        <w:t>animal</w:t>
      </w:r>
      <w:proofErr w:type="gramStart"/>
      <w:r w:rsidRPr="00EB5B64">
        <w:t>:human</w:t>
      </w:r>
      <w:proofErr w:type="spellEnd"/>
      <w:proofErr w:type="gramEnd"/>
      <w:r w:rsidRPr="00EB5B64">
        <w:t xml:space="preserve"> serum AUC</w:t>
      </w:r>
      <w:r w:rsidRPr="00EB5B64">
        <w:rPr>
          <w:vertAlign w:val="subscript"/>
        </w:rPr>
        <w:t>0–t</w:t>
      </w:r>
      <w:r w:rsidRPr="00EB5B64">
        <w:t xml:space="preserve"> </w:t>
      </w:r>
      <w:r>
        <w:t>x</w:t>
      </w:r>
      <w:r w:rsidRPr="00EB5B64">
        <w:t xml:space="preserve"> </w:t>
      </w:r>
      <w:proofErr w:type="spellStart"/>
      <w:r w:rsidRPr="00EB5B64">
        <w:t>animal:human</w:t>
      </w:r>
      <w:proofErr w:type="spellEnd"/>
      <w:r w:rsidRPr="00EB5B64">
        <w:t xml:space="preserve"> dosing frequency</w:t>
      </w:r>
      <w:r w:rsidR="00CE012A">
        <w:t xml:space="preserve"> PK: pharmacokinetics</w:t>
      </w:r>
    </w:p>
    <w:p w14:paraId="54F1E56B" w14:textId="77777777" w:rsidR="00B21567" w:rsidRPr="0090629A" w:rsidRDefault="00B21567" w:rsidP="00212F4B">
      <w:r>
        <w:t>Anti-avelumab antibodies developed in some animals in the 4</w:t>
      </w:r>
      <w:r w:rsidR="005E1E9B">
        <w:t xml:space="preserve"> week</w:t>
      </w:r>
      <w:r>
        <w:t xml:space="preserve"> studies in mice, rats and monkeys, but were not detected in any monkey in the pivotal 13</w:t>
      </w:r>
      <w:r w:rsidR="005E1E9B">
        <w:t xml:space="preserve"> week</w:t>
      </w:r>
      <w:r>
        <w:t xml:space="preserve"> study (although this might reflect interference by free avelumab in the immunogenicity assay). In any case, adequate exposure was maintained.</w:t>
      </w:r>
    </w:p>
    <w:p w14:paraId="5EFB2BC3" w14:textId="77777777" w:rsidR="00B21567" w:rsidRPr="00EB5B64" w:rsidRDefault="00B21567" w:rsidP="00212F4B">
      <w:pPr>
        <w:pStyle w:val="Heading5"/>
      </w:pPr>
      <w:r w:rsidRPr="00EB5B64">
        <w:t xml:space="preserve">Major </w:t>
      </w:r>
      <w:r>
        <w:t>findings</w:t>
      </w:r>
    </w:p>
    <w:p w14:paraId="64CAB546" w14:textId="77777777" w:rsidR="00B21567" w:rsidRDefault="00B21567" w:rsidP="00212F4B">
      <w:r>
        <w:t xml:space="preserve">Treatment with avelumab was well tolerated in monkeys, with no deaths, clinical signs or effects on body weight observed up to the highest dose tested (140 mg/kg/week; relative exposure, 25). Histopathological examination revealed increased mononuclear cell infiltration across a variety of systemic tissues at all dose levels, but the effect was slight and reversed within 8 weeks. This finding is consistent with avelumab inducing a mild pro-inflammatory state, in line with the pharmacology of the drug and the physiological role of </w:t>
      </w:r>
      <w:r w:rsidRPr="0090737D">
        <w:rPr>
          <w:rFonts w:eastAsiaTheme="minorHAnsi"/>
          <w:szCs w:val="18"/>
        </w:rPr>
        <w:t>PD</w:t>
      </w:r>
      <w:r w:rsidRPr="0090737D">
        <w:rPr>
          <w:rFonts w:eastAsiaTheme="minorHAnsi"/>
          <w:szCs w:val="18"/>
        </w:rPr>
        <w:noBreakHyphen/>
        <w:t>L1</w:t>
      </w:r>
      <w:r>
        <w:t>.</w:t>
      </w:r>
    </w:p>
    <w:p w14:paraId="4F992BAD" w14:textId="77777777" w:rsidR="00B21567" w:rsidRPr="00040047" w:rsidRDefault="00B21567" w:rsidP="00212F4B">
      <w:r>
        <w:t>In contrast to monkeys, avelumab produced mortality and clinical signs in treated mice. The timing (soon after the third or later weekly dose)</w:t>
      </w:r>
      <w:r w:rsidRPr="00890F90">
        <w:t xml:space="preserve"> </w:t>
      </w:r>
      <w:r>
        <w:t xml:space="preserve">and nature of these indicate they were anaphylactic </w:t>
      </w:r>
      <w:r w:rsidRPr="00040047">
        <w:t>reactions to foreign (</w:t>
      </w:r>
      <w:r w:rsidR="005E1E9B" w:rsidRPr="005E1E9B">
        <w:t>that is</w:t>
      </w:r>
      <w:r w:rsidRPr="005E1E9B">
        <w:t>, human</w:t>
      </w:r>
      <w:r w:rsidRPr="00040047">
        <w:t>) protein, supported by microscopic findings consistent with vascular immunocomplex deposition. Findings of antibody formation and anaphylaxis with avelumab in animals are not predictive of immunogenicity</w:t>
      </w:r>
      <w:r>
        <w:t xml:space="preserve"> or hypersensitivity in humans.</w:t>
      </w:r>
    </w:p>
    <w:p w14:paraId="422D5F3E" w14:textId="77777777" w:rsidR="00B21567" w:rsidRPr="00040047" w:rsidRDefault="00B21567" w:rsidP="00212F4B">
      <w:pPr>
        <w:pStyle w:val="Heading5"/>
      </w:pPr>
      <w:r w:rsidRPr="00212F4B">
        <w:t>Genotoxicit</w:t>
      </w:r>
      <w:bookmarkStart w:id="66" w:name="_Toc294861730"/>
      <w:r w:rsidRPr="00212F4B">
        <w:t>y</w:t>
      </w:r>
    </w:p>
    <w:p w14:paraId="61ABADBB" w14:textId="5A5E1295" w:rsidR="00B21567" w:rsidRPr="004D6CEC" w:rsidRDefault="00B21567" w:rsidP="00212F4B">
      <w:r w:rsidRPr="00040047">
        <w:t>No genotoxicity studies have been conducted, in accordance with ICH S6</w:t>
      </w:r>
      <w:r w:rsidRPr="00521522">
        <w:rPr>
          <w:w w:val="50"/>
        </w:rPr>
        <w:t xml:space="preserve"> </w:t>
      </w:r>
      <w:r w:rsidRPr="00040047">
        <w:t>(R1).</w:t>
      </w:r>
      <w:r w:rsidR="00BE6EC5" w:rsidRPr="00B902E8">
        <w:rPr>
          <w:vertAlign w:val="superscript"/>
        </w:rPr>
        <w:fldChar w:fldCharType="begin"/>
      </w:r>
      <w:r w:rsidR="00BE6EC5" w:rsidRPr="00B902E8">
        <w:rPr>
          <w:vertAlign w:val="superscript"/>
        </w:rPr>
        <w:instrText xml:space="preserve"> NOTEREF _Ref535403255 \h </w:instrText>
      </w:r>
      <w:r w:rsidR="00BE6EC5">
        <w:rPr>
          <w:vertAlign w:val="superscript"/>
        </w:rPr>
        <w:instrText xml:space="preserve"> \* MERGEFORMAT </w:instrText>
      </w:r>
      <w:r w:rsidR="00BE6EC5" w:rsidRPr="00B902E8">
        <w:rPr>
          <w:vertAlign w:val="superscript"/>
        </w:rPr>
      </w:r>
      <w:r w:rsidR="00BE6EC5" w:rsidRPr="00B902E8">
        <w:rPr>
          <w:vertAlign w:val="superscript"/>
        </w:rPr>
        <w:fldChar w:fldCharType="separate"/>
      </w:r>
      <w:r w:rsidR="00BE6EC5" w:rsidRPr="00B902E8">
        <w:rPr>
          <w:vertAlign w:val="superscript"/>
        </w:rPr>
        <w:t>3</w:t>
      </w:r>
      <w:r w:rsidR="00BE6EC5" w:rsidRPr="00B902E8">
        <w:rPr>
          <w:vertAlign w:val="superscript"/>
        </w:rPr>
        <w:fldChar w:fldCharType="end"/>
      </w:r>
      <w:r w:rsidRPr="00040047">
        <w:t xml:space="preserve"> As a high molecular weight protein, avelumab is not expected to interact directly with DNA or other chromosomal</w:t>
      </w:r>
      <w:r>
        <w:t xml:space="preserve"> material.</w:t>
      </w:r>
    </w:p>
    <w:p w14:paraId="1234C178" w14:textId="77777777" w:rsidR="00B21567" w:rsidRPr="005C7BB4" w:rsidRDefault="00B21567" w:rsidP="005C7BB4">
      <w:pPr>
        <w:pStyle w:val="Heading5"/>
      </w:pPr>
      <w:r w:rsidRPr="005C7BB4">
        <w:t>Carcinogenicity</w:t>
      </w:r>
      <w:bookmarkEnd w:id="66"/>
    </w:p>
    <w:p w14:paraId="0CEEC69A" w14:textId="51D26F16" w:rsidR="00B21567" w:rsidRPr="004D6CEC" w:rsidRDefault="00B21567" w:rsidP="00212F4B">
      <w:r w:rsidRPr="004D6CEC">
        <w:t xml:space="preserve">No carcinogenicity studies have been conducted with avelumab. This is acceptable for a protein drug to be used to treat patients with advanced cancer, in accordance with </w:t>
      </w:r>
      <w:r w:rsidR="005E1E9B">
        <w:t>the guidelines</w:t>
      </w:r>
      <w:r w:rsidR="003E04E9">
        <w:t>.</w:t>
      </w:r>
      <w:r w:rsidR="005E1E9B" w:rsidRPr="005E1E9B">
        <w:rPr>
          <w:vertAlign w:val="superscript"/>
        </w:rPr>
        <w:fldChar w:fldCharType="begin"/>
      </w:r>
      <w:r w:rsidR="005E1E9B" w:rsidRPr="005E1E9B">
        <w:rPr>
          <w:vertAlign w:val="superscript"/>
        </w:rPr>
        <w:instrText xml:space="preserve"> NOTEREF _Ref528144677 \h </w:instrText>
      </w:r>
      <w:r w:rsidR="005E1E9B">
        <w:rPr>
          <w:vertAlign w:val="superscript"/>
        </w:rPr>
        <w:instrText xml:space="preserve"> \* MERGEFORMAT </w:instrText>
      </w:r>
      <w:r w:rsidR="005E1E9B" w:rsidRPr="005E1E9B">
        <w:rPr>
          <w:vertAlign w:val="superscript"/>
        </w:rPr>
      </w:r>
      <w:r w:rsidR="005E1E9B" w:rsidRPr="005E1E9B">
        <w:rPr>
          <w:vertAlign w:val="superscript"/>
        </w:rPr>
        <w:fldChar w:fldCharType="separate"/>
      </w:r>
      <w:r w:rsidR="0016256C">
        <w:rPr>
          <w:vertAlign w:val="superscript"/>
        </w:rPr>
        <w:t>3</w:t>
      </w:r>
      <w:r w:rsidR="005E1E9B" w:rsidRPr="005E1E9B">
        <w:rPr>
          <w:vertAlign w:val="superscript"/>
        </w:rPr>
        <w:fldChar w:fldCharType="end"/>
      </w:r>
      <w:r w:rsidR="005E1E9B" w:rsidRPr="0016256C">
        <w:rPr>
          <w:vertAlign w:val="superscript"/>
        </w:rPr>
        <w:t>,</w:t>
      </w:r>
      <w:bookmarkStart w:id="67" w:name="_Ref528145531"/>
      <w:r w:rsidR="005E1E9B" w:rsidRPr="0016256C">
        <w:rPr>
          <w:rStyle w:val="FootnoteReference"/>
        </w:rPr>
        <w:footnoteReference w:id="7"/>
      </w:r>
      <w:bookmarkEnd w:id="67"/>
      <w:proofErr w:type="gramStart"/>
      <w:r w:rsidR="005E1E9B" w:rsidRPr="0016256C">
        <w:rPr>
          <w:vertAlign w:val="superscript"/>
        </w:rPr>
        <w:t>,</w:t>
      </w:r>
      <w:proofErr w:type="gramEnd"/>
      <w:r w:rsidRPr="004D6CEC">
        <w:rPr>
          <w:rStyle w:val="FootnoteReference"/>
        </w:rPr>
        <w:footnoteReference w:id="8"/>
      </w:r>
    </w:p>
    <w:p w14:paraId="3F45C9A7" w14:textId="77777777" w:rsidR="00B21567" w:rsidRPr="001647A8" w:rsidRDefault="00B21567" w:rsidP="00212F4B">
      <w:pPr>
        <w:pStyle w:val="Heading5"/>
      </w:pPr>
      <w:r w:rsidRPr="001647A8">
        <w:t xml:space="preserve">Reproductive </w:t>
      </w:r>
      <w:r w:rsidRPr="00212F4B">
        <w:t>toxicity</w:t>
      </w:r>
    </w:p>
    <w:p w14:paraId="7355DEFC" w14:textId="77777777" w:rsidR="00B21567" w:rsidRDefault="00B21567" w:rsidP="00212F4B">
      <w:pPr>
        <w:rPr>
          <w:szCs w:val="18"/>
        </w:rPr>
      </w:pPr>
      <w:r w:rsidRPr="001647A8">
        <w:t xml:space="preserve">No reproductive or developmental toxicity studies were submitted. </w:t>
      </w:r>
      <w:r>
        <w:t>T</w:t>
      </w:r>
      <w:r w:rsidRPr="001647A8">
        <w:t xml:space="preserve">he absence of studies on fertility, early embryonic development and </w:t>
      </w:r>
      <w:r w:rsidR="0016256C">
        <w:rPr>
          <w:szCs w:val="18"/>
        </w:rPr>
        <w:t>pre</w:t>
      </w:r>
      <w:r w:rsidRPr="001647A8">
        <w:rPr>
          <w:szCs w:val="18"/>
        </w:rPr>
        <w:t xml:space="preserve">/postnatal development is acceptable for a pharmaceutical intended for the treatment of patients with advanced cancer, </w:t>
      </w:r>
      <w:r>
        <w:rPr>
          <w:szCs w:val="18"/>
        </w:rPr>
        <w:t xml:space="preserve">and the </w:t>
      </w:r>
      <w:r>
        <w:rPr>
          <w:szCs w:val="18"/>
        </w:rPr>
        <w:lastRenderedPageBreak/>
        <w:t>drug’s potential for adverse effects on embryofetal development is able to be considered from the literature instead.</w:t>
      </w:r>
    </w:p>
    <w:p w14:paraId="40586926" w14:textId="77777777" w:rsidR="005C7BB4" w:rsidRDefault="005C7BB4" w:rsidP="00212F4B">
      <w:r>
        <w:t>With regard to potential effects on fertility,</w:t>
      </w:r>
      <w:r w:rsidR="005E1E9B">
        <w:t xml:space="preserve"> </w:t>
      </w:r>
      <w:r>
        <w:t xml:space="preserve">male and female reproductive tissues were not identified as target organs for toxicity in the general </w:t>
      </w:r>
      <w:r w:rsidR="005E1E9B">
        <w:t>repeat dose</w:t>
      </w:r>
      <w:r>
        <w:t xml:space="preserve"> toxicity studies with avelumab. While avelumab was found not to bind to monkey </w:t>
      </w:r>
      <w:r w:rsidRPr="00094776">
        <w:t>ovarian granulosa cells</w:t>
      </w:r>
      <w:r>
        <w:t xml:space="preserve"> (critical for normal follicular development) or</w:t>
      </w:r>
      <w:r w:rsidRPr="00094776">
        <w:t xml:space="preserve"> testicular interstitial cells</w:t>
      </w:r>
      <w:r>
        <w:t xml:space="preserve"> (Leydig cells; playing a key hormonal role to support spermatogenesis) as it did in the human tissue panel, the antibody did bind to other cell types in these organs in the monkey (</w:t>
      </w:r>
      <w:r w:rsidR="005E1E9B" w:rsidRPr="0016256C">
        <w:t>that is</w:t>
      </w:r>
      <w:r w:rsidRPr="0016256C">
        <w:t>,</w:t>
      </w:r>
      <w:r>
        <w:t xml:space="preserve"> the testis germinal epithelium; oocytes and stromal cells, epithelium and mesothelium in the ovary).</w:t>
      </w:r>
    </w:p>
    <w:p w14:paraId="1AC6BD89" w14:textId="10FC7C5B" w:rsidR="005C7BB4" w:rsidRPr="00936EFE" w:rsidRDefault="005C7BB4" w:rsidP="00212F4B">
      <w:r w:rsidRPr="0049646C">
        <w:rPr>
          <w:rFonts w:eastAsiaTheme="minorHAnsi"/>
        </w:rPr>
        <w:t>PD</w:t>
      </w:r>
      <w:r w:rsidRPr="0049646C">
        <w:rPr>
          <w:rFonts w:eastAsiaTheme="minorHAnsi"/>
        </w:rPr>
        <w:noBreakHyphen/>
        <w:t>L1</w:t>
      </w:r>
      <w:r>
        <w:t xml:space="preserve"> is recognised to have a critical role in maintaining immune tolerance to the fetal allograft. </w:t>
      </w:r>
      <w:r w:rsidRPr="00A61492">
        <w:t>The PD-</w:t>
      </w:r>
      <w:r>
        <w:t xml:space="preserve">L1 molecule is expressed at the </w:t>
      </w:r>
      <w:r w:rsidRPr="00A61492">
        <w:t xml:space="preserve">uteroplacental interface and protects the </w:t>
      </w:r>
      <w:proofErr w:type="spellStart"/>
      <w:r w:rsidRPr="00A61492">
        <w:t>concepti</w:t>
      </w:r>
      <w:proofErr w:type="spellEnd"/>
      <w:r w:rsidRPr="00A61492">
        <w:t xml:space="preserve"> from ma</w:t>
      </w:r>
      <w:r>
        <w:t xml:space="preserve">ternal </w:t>
      </w:r>
      <w:r w:rsidR="005E1E9B">
        <w:t>T cell mediated</w:t>
      </w:r>
      <w:r>
        <w:t xml:space="preserve"> immunity. </w:t>
      </w:r>
      <w:r w:rsidRPr="00A61492">
        <w:t xml:space="preserve">Blockade of </w:t>
      </w:r>
      <w:r>
        <w:t xml:space="preserve">the </w:t>
      </w:r>
      <w:r w:rsidRPr="00475711">
        <w:rPr>
          <w:rFonts w:eastAsiaTheme="minorHAnsi"/>
        </w:rPr>
        <w:t>PD</w:t>
      </w:r>
      <w:r w:rsidRPr="00475711">
        <w:rPr>
          <w:rFonts w:eastAsiaTheme="minorHAnsi"/>
        </w:rPr>
        <w:noBreakHyphen/>
        <w:t>L1</w:t>
      </w:r>
      <w:r>
        <w:t>/PD</w:t>
      </w:r>
      <w:r>
        <w:noBreakHyphen/>
        <w:t>1</w:t>
      </w:r>
      <w:r w:rsidRPr="00A61492">
        <w:t xml:space="preserve"> </w:t>
      </w:r>
      <w:r>
        <w:t>pathway</w:t>
      </w:r>
      <w:r w:rsidRPr="00A61492">
        <w:t xml:space="preserve"> in mice has been</w:t>
      </w:r>
      <w:r>
        <w:t xml:space="preserve"> shown to abrogate </w:t>
      </w:r>
      <w:proofErr w:type="spellStart"/>
      <w:r>
        <w:t>fetomaternal</w:t>
      </w:r>
      <w:proofErr w:type="spellEnd"/>
      <w:r>
        <w:t xml:space="preserve"> </w:t>
      </w:r>
      <w:r w:rsidRPr="00A61492">
        <w:t>tolerance, resulting in increased fetal resorption and abortion</w:t>
      </w:r>
      <w:r w:rsidR="003E04E9">
        <w:t>.</w:t>
      </w:r>
      <w:r>
        <w:rPr>
          <w:rStyle w:val="FootnoteReference"/>
          <w:kern w:val="2"/>
          <w:szCs w:val="18"/>
        </w:rPr>
        <w:footnoteReference w:id="9"/>
      </w:r>
      <w:r w:rsidRPr="00936EFE">
        <w:rPr>
          <w:vertAlign w:val="superscript"/>
        </w:rPr>
        <w:t>,</w:t>
      </w:r>
      <w:r>
        <w:rPr>
          <w:rStyle w:val="FootnoteReference"/>
          <w:kern w:val="2"/>
          <w:szCs w:val="18"/>
        </w:rPr>
        <w:footnoteReference w:id="10"/>
      </w:r>
      <w:r w:rsidRPr="00A61492">
        <w:t xml:space="preserve"> In a murine model of allogeneic pregnancy</w:t>
      </w:r>
      <w:r>
        <w:t xml:space="preserve"> (CBA </w:t>
      </w:r>
      <w:r w:rsidR="0016256C">
        <w:t>x</w:t>
      </w:r>
      <w:r>
        <w:t xml:space="preserve"> B6 strains mated), maternal treatment </w:t>
      </w:r>
      <w:r w:rsidRPr="00A61492">
        <w:t xml:space="preserve">with </w:t>
      </w:r>
      <w:r>
        <w:t>an antibody against mouse PD</w:t>
      </w:r>
      <w:r>
        <w:noBreakHyphen/>
        <w:t>L1</w:t>
      </w:r>
      <w:r w:rsidRPr="00A61492">
        <w:t xml:space="preserve"> i</w:t>
      </w:r>
      <w:r>
        <w:t xml:space="preserve">ncreased the incidence of fetal </w:t>
      </w:r>
      <w:r w:rsidRPr="00A61492">
        <w:t>resorption from a spontaneous rate of 18% to 86% (doses administered from s</w:t>
      </w:r>
      <w:r>
        <w:t xml:space="preserve">hortly after implantation up to </w:t>
      </w:r>
      <w:r w:rsidRPr="00A61492">
        <w:t>approximately halfway through the period of organogenesis)</w:t>
      </w:r>
      <w:r>
        <w:t xml:space="preserve">. In further experiments </w:t>
      </w:r>
      <w:r w:rsidRPr="00A61492">
        <w:t>involving pregnant B-cell deficient mice (conducted to confirm the rol</w:t>
      </w:r>
      <w:r>
        <w:t xml:space="preserve">e of T cells in mediating these </w:t>
      </w:r>
      <w:r w:rsidRPr="00A61492">
        <w:t xml:space="preserve">effects), </w:t>
      </w:r>
      <w:r>
        <w:t>the mouse</w:t>
      </w:r>
      <w:r w:rsidRPr="00A61492">
        <w:t xml:space="preserve"> anti-PD-L1 antibody caused fetal rejection in 100%</w:t>
      </w:r>
      <w:r>
        <w:t xml:space="preserve"> of </w:t>
      </w:r>
      <w:r w:rsidRPr="00A61492">
        <w:t xml:space="preserve">animals. Accordingly, </w:t>
      </w:r>
      <w:r>
        <w:t xml:space="preserve">based on its mechanism of action, avelumab </w:t>
      </w:r>
      <w:r w:rsidRPr="00A61492">
        <w:t>can be reasonably expected to</w:t>
      </w:r>
      <w:r>
        <w:t xml:space="preserve"> cause embryofetal lethality in </w:t>
      </w:r>
      <w:r w:rsidRPr="00A61492">
        <w:t>pregnant patients.</w:t>
      </w:r>
    </w:p>
    <w:p w14:paraId="5561E55E" w14:textId="77777777" w:rsidR="005C7BB4" w:rsidRPr="001920C8" w:rsidRDefault="005C7BB4" w:rsidP="005C7BB4">
      <w:pPr>
        <w:pStyle w:val="Heading5"/>
      </w:pPr>
      <w:r w:rsidRPr="001920C8">
        <w:t>Pregnancy classification</w:t>
      </w:r>
    </w:p>
    <w:p w14:paraId="27A9349F" w14:textId="77777777" w:rsidR="00C9747E" w:rsidRDefault="005C7BB4" w:rsidP="00212F4B">
      <w:r w:rsidRPr="001920C8">
        <w:t>The sponsor has proposed Pregnancy Category D.</w:t>
      </w:r>
      <w:bookmarkStart w:id="68" w:name="_Ref535406120"/>
      <w:r w:rsidR="0016256C">
        <w:rPr>
          <w:rStyle w:val="FootnoteReference"/>
        </w:rPr>
        <w:footnoteReference w:id="11"/>
      </w:r>
      <w:bookmarkEnd w:id="68"/>
      <w:r w:rsidRPr="001920C8">
        <w:t xml:space="preserve"> This is considered appropriate given the </w:t>
      </w:r>
      <w:r>
        <w:t xml:space="preserve">significant risk </w:t>
      </w:r>
      <w:r w:rsidRPr="001920C8">
        <w:t>for embryofetal lethality.</w:t>
      </w:r>
    </w:p>
    <w:p w14:paraId="215479B3" w14:textId="77777777" w:rsidR="005C7BB4" w:rsidRPr="00B25681" w:rsidRDefault="005C7BB4" w:rsidP="00212F4B">
      <w:pPr>
        <w:pStyle w:val="Heading4"/>
      </w:pPr>
      <w:r w:rsidRPr="00B25681">
        <w:t xml:space="preserve">Local </w:t>
      </w:r>
      <w:r w:rsidRPr="00212F4B">
        <w:t>tolerance</w:t>
      </w:r>
      <w:r w:rsidRPr="00B25681">
        <w:t xml:space="preserve"> </w:t>
      </w:r>
    </w:p>
    <w:p w14:paraId="40CD9BDF" w14:textId="77777777" w:rsidR="005C7BB4" w:rsidRPr="005C7BB4" w:rsidRDefault="005C7BB4" w:rsidP="00212F4B">
      <w:r w:rsidRPr="00B25681">
        <w:t xml:space="preserve">Avelumab was well tolerated locally following IV administration in the general </w:t>
      </w:r>
      <w:r w:rsidR="005E1E9B">
        <w:t>repeat dose</w:t>
      </w:r>
      <w:r w:rsidRPr="00B25681">
        <w:t xml:space="preserve"> toxicity studies. The highest strengths tested in mice and monkeys (10 and 9.33 mg/mL) are more than 3</w:t>
      </w:r>
      <w:r w:rsidRPr="00B25681">
        <w:noBreakHyphen/>
        <w:t>times higher than the strength that will be administered to a 70 kg patient.</w:t>
      </w:r>
    </w:p>
    <w:p w14:paraId="2AE19DAB" w14:textId="77777777" w:rsidR="005C7BB4" w:rsidRPr="001E0556" w:rsidRDefault="005C7BB4" w:rsidP="00212F4B">
      <w:pPr>
        <w:pStyle w:val="Heading4"/>
      </w:pPr>
      <w:r w:rsidRPr="00212F4B">
        <w:t>Paediatric</w:t>
      </w:r>
      <w:r w:rsidRPr="001E0556">
        <w:t xml:space="preserve"> use</w:t>
      </w:r>
    </w:p>
    <w:p w14:paraId="2C6A72ED" w14:textId="77777777" w:rsidR="005C7BB4" w:rsidRPr="001E0556" w:rsidRDefault="005C7BB4" w:rsidP="00212F4B">
      <w:r w:rsidRPr="0016256C">
        <w:t>Bavencio</w:t>
      </w:r>
      <w:r w:rsidRPr="001E0556">
        <w:t xml:space="preserve"> is not proposed for paediatric use. No specific juvenile animal stud</w:t>
      </w:r>
      <w:r w:rsidR="0016256C">
        <w:t xml:space="preserve">ies were submitted. The general </w:t>
      </w:r>
      <w:r w:rsidRPr="001E0556">
        <w:t>repeat dose toxicity program, conducted in young adult animals, showed that developing systems are not a target for toxicity by avelumab.</w:t>
      </w:r>
    </w:p>
    <w:p w14:paraId="0AC7C4B8" w14:textId="2A93E8F4" w:rsidR="005C7BB4" w:rsidRPr="00EB69F1" w:rsidRDefault="005C7BB4" w:rsidP="00212F4B">
      <w:pPr>
        <w:pStyle w:val="Heading5"/>
      </w:pPr>
      <w:bookmarkStart w:id="69" w:name="_Toc489518511"/>
      <w:r w:rsidRPr="00EB69F1">
        <w:t>Comments on the</w:t>
      </w:r>
      <w:r>
        <w:t xml:space="preserve"> </w:t>
      </w:r>
      <w:r w:rsidR="00212F4B">
        <w:t>n</w:t>
      </w:r>
      <w:r>
        <w:t>onclinical</w:t>
      </w:r>
      <w:r w:rsidRPr="00EB69F1">
        <w:t xml:space="preserve"> </w:t>
      </w:r>
      <w:r w:rsidR="00212F4B">
        <w:t>s</w:t>
      </w:r>
      <w:r w:rsidRPr="00EB69F1">
        <w:t xml:space="preserve">afety </w:t>
      </w:r>
      <w:r w:rsidR="00212F4B">
        <w:t>s</w:t>
      </w:r>
      <w:r w:rsidRPr="00EB69F1">
        <w:t xml:space="preserve">pecification of the </w:t>
      </w:r>
      <w:r w:rsidR="00212F4B">
        <w:t>r</w:t>
      </w:r>
      <w:r w:rsidRPr="00EB69F1">
        <w:t xml:space="preserve">isk </w:t>
      </w:r>
      <w:r w:rsidR="00212F4B">
        <w:t>m</w:t>
      </w:r>
      <w:r w:rsidRPr="00EB69F1">
        <w:t xml:space="preserve">anagement </w:t>
      </w:r>
      <w:r w:rsidR="00212F4B" w:rsidRPr="00212F4B">
        <w:t>p</w:t>
      </w:r>
      <w:r w:rsidRPr="00212F4B">
        <w:t>lan</w:t>
      </w:r>
      <w:bookmarkEnd w:id="69"/>
    </w:p>
    <w:p w14:paraId="2CD2796C" w14:textId="006086CE" w:rsidR="005C7BB4" w:rsidRPr="0016256C" w:rsidRDefault="005C7BB4" w:rsidP="00212F4B">
      <w:r w:rsidRPr="00F87CCC">
        <w:t xml:space="preserve">Results and conclusions drawn from the nonclinical program for </w:t>
      </w:r>
      <w:r>
        <w:t>avelumab</w:t>
      </w:r>
      <w:r w:rsidRPr="00F87CCC">
        <w:t xml:space="preserve"> detailed in the sponsor’s draft Risk Management Plan</w:t>
      </w:r>
      <w:r>
        <w:t xml:space="preserve"> </w:t>
      </w:r>
      <w:r w:rsidRPr="00F87CCC">
        <w:t xml:space="preserve">are in general concordance with those of the </w:t>
      </w:r>
      <w:r w:rsidR="0016256C" w:rsidRPr="00F87CCC">
        <w:t>nonclinical e</w:t>
      </w:r>
      <w:r w:rsidRPr="00F87CCC">
        <w:t>valuator</w:t>
      </w:r>
      <w:r>
        <w:t>.</w:t>
      </w:r>
    </w:p>
    <w:p w14:paraId="2188EF04" w14:textId="77777777" w:rsidR="008E7846" w:rsidRDefault="008E7846" w:rsidP="00212F4B">
      <w:pPr>
        <w:pStyle w:val="Heading3"/>
      </w:pPr>
      <w:bookmarkStart w:id="70" w:name="_Toc247691515"/>
      <w:bookmarkStart w:id="71" w:name="_Toc314842499"/>
      <w:bookmarkStart w:id="72" w:name="_Toc8053059"/>
      <w:r>
        <w:lastRenderedPageBreak/>
        <w:t xml:space="preserve">Nonclinical </w:t>
      </w:r>
      <w:r w:rsidRPr="00212F4B">
        <w:t>summary</w:t>
      </w:r>
      <w:r>
        <w:t xml:space="preserve"> and conclusions</w:t>
      </w:r>
      <w:bookmarkEnd w:id="70"/>
      <w:bookmarkEnd w:id="71"/>
      <w:bookmarkEnd w:id="72"/>
    </w:p>
    <w:p w14:paraId="1D462A92" w14:textId="00C2DF4E" w:rsidR="008A5060" w:rsidRPr="00DA62C9" w:rsidRDefault="0016256C" w:rsidP="00212F4B">
      <w:pPr>
        <w:pStyle w:val="ListBullet"/>
      </w:pPr>
      <w:bookmarkStart w:id="73" w:name="_Toc196046462"/>
      <w:bookmarkStart w:id="74" w:name="_Toc247691516"/>
      <w:bookmarkStart w:id="75" w:name="_Toc314842500"/>
      <w:bookmarkStart w:id="76" w:name="_Toc163441353"/>
      <w:bookmarkStart w:id="77" w:name="_Toc163441348"/>
      <w:r>
        <w:t xml:space="preserve">The nonclinical module </w:t>
      </w:r>
      <w:r w:rsidR="008A5060" w:rsidRPr="00567B99">
        <w:t>contained an adequate set of studies investigating pharmacology, pharmacokinetics and toxicity, conducted in accordance with TGA-adopted guidelines applicable to biotechnology-derived pharmaceuticals</w:t>
      </w:r>
      <w:proofErr w:type="gramStart"/>
      <w:r w:rsidR="00BE6EC5">
        <w:t>;</w:t>
      </w:r>
      <w:proofErr w:type="gramEnd"/>
      <w:r w:rsidRPr="0016256C">
        <w:rPr>
          <w:vertAlign w:val="superscript"/>
        </w:rPr>
        <w:fldChar w:fldCharType="begin"/>
      </w:r>
      <w:r w:rsidRPr="0016256C">
        <w:rPr>
          <w:vertAlign w:val="superscript"/>
        </w:rPr>
        <w:instrText xml:space="preserve"> NOTEREF _Ref528144677 \h </w:instrText>
      </w:r>
      <w:r>
        <w:rPr>
          <w:vertAlign w:val="superscript"/>
        </w:rPr>
        <w:instrText xml:space="preserve"> \* MERGEFORMAT </w:instrText>
      </w:r>
      <w:r w:rsidRPr="0016256C">
        <w:rPr>
          <w:vertAlign w:val="superscript"/>
        </w:rPr>
      </w:r>
      <w:r w:rsidRPr="0016256C">
        <w:rPr>
          <w:vertAlign w:val="superscript"/>
        </w:rPr>
        <w:fldChar w:fldCharType="separate"/>
      </w:r>
      <w:r w:rsidRPr="0016256C">
        <w:rPr>
          <w:vertAlign w:val="superscript"/>
        </w:rPr>
        <w:t>3</w:t>
      </w:r>
      <w:r w:rsidRPr="0016256C">
        <w:rPr>
          <w:vertAlign w:val="superscript"/>
        </w:rPr>
        <w:fldChar w:fldCharType="end"/>
      </w:r>
      <w:r w:rsidR="008A5060" w:rsidRPr="00567B99">
        <w:t xml:space="preserve"> and to anticancer pharmaceuticals</w:t>
      </w:r>
      <w:r>
        <w:t>.</w:t>
      </w:r>
      <w:r w:rsidRPr="0016256C">
        <w:rPr>
          <w:vertAlign w:val="superscript"/>
        </w:rPr>
        <w:fldChar w:fldCharType="begin"/>
      </w:r>
      <w:r w:rsidRPr="0016256C">
        <w:rPr>
          <w:vertAlign w:val="superscript"/>
        </w:rPr>
        <w:instrText xml:space="preserve"> NOTEREF _Ref528145531 \h </w:instrText>
      </w:r>
      <w:r>
        <w:rPr>
          <w:vertAlign w:val="superscript"/>
        </w:rPr>
        <w:instrText xml:space="preserve"> \* MERGEFORMAT </w:instrText>
      </w:r>
      <w:r w:rsidRPr="0016256C">
        <w:rPr>
          <w:vertAlign w:val="superscript"/>
        </w:rPr>
      </w:r>
      <w:r w:rsidRPr="0016256C">
        <w:rPr>
          <w:vertAlign w:val="superscript"/>
        </w:rPr>
        <w:fldChar w:fldCharType="separate"/>
      </w:r>
      <w:r w:rsidRPr="0016256C">
        <w:rPr>
          <w:vertAlign w:val="superscript"/>
        </w:rPr>
        <w:t>7</w:t>
      </w:r>
      <w:r w:rsidRPr="0016256C">
        <w:rPr>
          <w:vertAlign w:val="superscript"/>
        </w:rPr>
        <w:fldChar w:fldCharType="end"/>
      </w:r>
      <w:r w:rsidR="008A5060" w:rsidRPr="00567B99">
        <w:t xml:space="preserve"> The </w:t>
      </w:r>
      <w:r w:rsidR="008A5060" w:rsidRPr="00212F4B">
        <w:t>overall</w:t>
      </w:r>
      <w:r w:rsidR="008A5060" w:rsidRPr="00567B99">
        <w:t xml:space="preserve"> </w:t>
      </w:r>
      <w:r w:rsidR="008A5060" w:rsidRPr="00DA62C9">
        <w:t xml:space="preserve">quality of the nonclinical package was high. All </w:t>
      </w:r>
      <w:r w:rsidR="008A5060" w:rsidRPr="00DA62C9">
        <w:rPr>
          <w:kern w:val="2"/>
        </w:rPr>
        <w:t xml:space="preserve">pivotal </w:t>
      </w:r>
      <w:r w:rsidR="004A25E4">
        <w:rPr>
          <w:kern w:val="2"/>
        </w:rPr>
        <w:t>safety related</w:t>
      </w:r>
      <w:r>
        <w:rPr>
          <w:kern w:val="2"/>
        </w:rPr>
        <w:t xml:space="preserve"> studies were GLP </w:t>
      </w:r>
      <w:r w:rsidR="008A5060" w:rsidRPr="00DA62C9">
        <w:rPr>
          <w:kern w:val="2"/>
        </w:rPr>
        <w:t>compliant.</w:t>
      </w:r>
    </w:p>
    <w:p w14:paraId="27DBECC5" w14:textId="77777777" w:rsidR="008A5060" w:rsidRPr="00625485" w:rsidRDefault="008A5060" w:rsidP="00212F4B">
      <w:pPr>
        <w:pStyle w:val="ListBullet"/>
      </w:pPr>
      <w:r w:rsidRPr="00B9688B">
        <w:rPr>
          <w:i/>
        </w:rPr>
        <w:t>In vitro</w:t>
      </w:r>
      <w:r w:rsidRPr="00DA62C9">
        <w:t xml:space="preserve"> studies established that avelumab binds to human </w:t>
      </w:r>
      <w:r w:rsidRPr="00DA62C9">
        <w:rPr>
          <w:rFonts w:eastAsiaTheme="minorHAnsi"/>
          <w:szCs w:val="18"/>
        </w:rPr>
        <w:t>PD</w:t>
      </w:r>
      <w:r w:rsidRPr="00DA62C9">
        <w:rPr>
          <w:rFonts w:eastAsiaTheme="minorHAnsi"/>
          <w:szCs w:val="18"/>
        </w:rPr>
        <w:noBreakHyphen/>
        <w:t>L1</w:t>
      </w:r>
      <w:r w:rsidRPr="00DA62C9">
        <w:t xml:space="preserve"> with sub</w:t>
      </w:r>
      <w:r w:rsidR="0016256C">
        <w:t>-</w:t>
      </w:r>
      <w:r w:rsidRPr="00DA62C9">
        <w:t xml:space="preserve">nanomolar affinity, and similarly recognises the mouse and cynomolgus monkey forms of the protein. By blocking the interaction of </w:t>
      </w:r>
      <w:r w:rsidRPr="00DA62C9">
        <w:rPr>
          <w:rFonts w:eastAsiaTheme="minorHAnsi"/>
          <w:szCs w:val="18"/>
        </w:rPr>
        <w:t>PD</w:t>
      </w:r>
      <w:r w:rsidRPr="00DA62C9">
        <w:rPr>
          <w:rFonts w:eastAsiaTheme="minorHAnsi"/>
          <w:szCs w:val="18"/>
        </w:rPr>
        <w:noBreakHyphen/>
        <w:t>L1</w:t>
      </w:r>
      <w:r w:rsidRPr="00DA62C9">
        <w:t xml:space="preserve"> with its receptors (PD-1 and B7.1), avelumab enhances </w:t>
      </w:r>
      <w:r w:rsidR="005E1E9B">
        <w:t>T cell</w:t>
      </w:r>
      <w:r w:rsidRPr="00DA62C9">
        <w:t xml:space="preserve"> immune responses. Avelumab also induces </w:t>
      </w:r>
      <w:r w:rsidR="0016256C">
        <w:t>ADCC</w:t>
      </w:r>
      <w:r w:rsidRPr="00DA62C9">
        <w:t xml:space="preserve">, shown </w:t>
      </w:r>
      <w:r w:rsidRPr="00B9688B">
        <w:rPr>
          <w:i/>
        </w:rPr>
        <w:t>in vitro</w:t>
      </w:r>
      <w:r w:rsidRPr="00DA62C9">
        <w:t xml:space="preserve"> against two </w:t>
      </w:r>
      <w:r w:rsidRPr="00DA62C9">
        <w:rPr>
          <w:rFonts w:eastAsiaTheme="minorHAnsi"/>
          <w:szCs w:val="18"/>
        </w:rPr>
        <w:t>PD</w:t>
      </w:r>
      <w:r w:rsidRPr="00DA62C9">
        <w:rPr>
          <w:rFonts w:eastAsiaTheme="minorHAnsi"/>
          <w:szCs w:val="18"/>
        </w:rPr>
        <w:noBreakHyphen/>
        <w:t>L1</w:t>
      </w:r>
      <w:r w:rsidRPr="00DA62C9">
        <w:t xml:space="preserve">-expressing human tumour cell lines. Anti-tumour activity, associated with T cell activation and also involving ADCC, was shown with the drug </w:t>
      </w:r>
      <w:r w:rsidRPr="00B9688B">
        <w:rPr>
          <w:i/>
        </w:rPr>
        <w:t>in vivo</w:t>
      </w:r>
      <w:r w:rsidRPr="00DA62C9">
        <w:t xml:space="preserve"> in syngeneic mouse tumour models (mouse colon adenocarcinoma and pancreatic adenocarcinoma). The primary pharmacology studies, coupled with the known expression of </w:t>
      </w:r>
      <w:r w:rsidRPr="00DA62C9">
        <w:rPr>
          <w:rFonts w:eastAsiaTheme="minorHAnsi"/>
          <w:szCs w:val="18"/>
        </w:rPr>
        <w:t>PD</w:t>
      </w:r>
      <w:r w:rsidRPr="00DA62C9">
        <w:rPr>
          <w:rFonts w:eastAsiaTheme="minorHAnsi"/>
          <w:szCs w:val="18"/>
        </w:rPr>
        <w:noBreakHyphen/>
        <w:t>L1</w:t>
      </w:r>
      <w:r w:rsidRPr="00DA62C9">
        <w:t xml:space="preserve"> in Merkel cell </w:t>
      </w:r>
      <w:r w:rsidRPr="00625485">
        <w:t>carcinoma cells in humans, offer support for efficacy in the proposed patient population.</w:t>
      </w:r>
    </w:p>
    <w:p w14:paraId="3B171137" w14:textId="12202C4F" w:rsidR="008A5060" w:rsidRPr="004F1096" w:rsidRDefault="008A5060" w:rsidP="008A5060">
      <w:pPr>
        <w:pStyle w:val="ListBullet"/>
      </w:pPr>
      <w:r w:rsidRPr="00625485">
        <w:t xml:space="preserve">Investigations pertaining to secondary pharmacodynamics (including the potential for ADCC against </w:t>
      </w:r>
      <w:r w:rsidRPr="00625485">
        <w:rPr>
          <w:rFonts w:eastAsiaTheme="minorHAnsi"/>
          <w:szCs w:val="18"/>
        </w:rPr>
        <w:t>PD</w:t>
      </w:r>
      <w:r w:rsidRPr="00625485">
        <w:rPr>
          <w:rFonts w:eastAsiaTheme="minorHAnsi"/>
          <w:szCs w:val="18"/>
        </w:rPr>
        <w:noBreakHyphen/>
        <w:t>L1</w:t>
      </w:r>
      <w:r w:rsidRPr="00625485">
        <w:rPr>
          <w:vertAlign w:val="superscript"/>
        </w:rPr>
        <w:t>+</w:t>
      </w:r>
      <w:r w:rsidRPr="00625485">
        <w:t xml:space="preserve"> immune cells) and safety pharmacology (covering the central nervous, </w:t>
      </w:r>
      <w:r w:rsidRPr="004F1096">
        <w:t>cardiovascular and respiratory systems) identified no relevant concerns.</w:t>
      </w:r>
    </w:p>
    <w:p w14:paraId="7EFC480A" w14:textId="77777777" w:rsidR="008A5060" w:rsidRPr="004F1096" w:rsidRDefault="008A5060" w:rsidP="008A5060">
      <w:pPr>
        <w:pStyle w:val="ListBullet"/>
        <w:rPr>
          <w:kern w:val="2"/>
        </w:rPr>
      </w:pPr>
      <w:r w:rsidRPr="004F1096">
        <w:rPr>
          <w:kern w:val="2"/>
        </w:rPr>
        <w:t>Pharmacokinetic studies revealed a similarly long serum half-life in laboratory animal species and humans. The volume of distribution was consistent with limited extravascular distribution.</w:t>
      </w:r>
    </w:p>
    <w:p w14:paraId="2F649867" w14:textId="77777777" w:rsidR="008A5060" w:rsidRPr="00A81E76" w:rsidRDefault="008A5060" w:rsidP="00212F4B">
      <w:pPr>
        <w:pStyle w:val="ListBullet"/>
        <w:rPr>
          <w:kern w:val="2"/>
        </w:rPr>
      </w:pPr>
      <w:proofErr w:type="spellStart"/>
      <w:r w:rsidRPr="00212F4B">
        <w:t>Avelumab</w:t>
      </w:r>
      <w:proofErr w:type="spellEnd"/>
      <w:r w:rsidRPr="00A81E76">
        <w:t xml:space="preserve"> was seen to have a low order of acute toxicity in </w:t>
      </w:r>
      <w:r w:rsidRPr="00212F4B">
        <w:t>laboratory</w:t>
      </w:r>
      <w:r w:rsidRPr="00A81E76">
        <w:t xml:space="preserve"> animal species.</w:t>
      </w:r>
    </w:p>
    <w:p w14:paraId="41376921" w14:textId="77777777" w:rsidR="008A5060" w:rsidRPr="006921DF" w:rsidRDefault="0016256C" w:rsidP="00212F4B">
      <w:pPr>
        <w:pStyle w:val="ListBullet"/>
      </w:pPr>
      <w:r>
        <w:t xml:space="preserve">Repeat </w:t>
      </w:r>
      <w:r w:rsidR="008A5060" w:rsidRPr="006921DF">
        <w:t>dose toxicity studies by the IV route were conducted in mice (4 weeks), rats (4 weeks) and cynomolgus monkeys (up to 13 weeks). The pivotal 3</w:t>
      </w:r>
      <w:r w:rsidR="005E1E9B">
        <w:t xml:space="preserve"> month</w:t>
      </w:r>
      <w:r w:rsidR="008A5060" w:rsidRPr="006921DF">
        <w:t xml:space="preserve"> monkey study revealed that </w:t>
      </w:r>
      <w:proofErr w:type="spellStart"/>
      <w:r w:rsidR="008A5060" w:rsidRPr="006921DF">
        <w:t>avelumab</w:t>
      </w:r>
      <w:proofErr w:type="spellEnd"/>
      <w:r w:rsidR="008A5060" w:rsidRPr="006921DF">
        <w:t xml:space="preserve"> was well tolerated, and with findings of increased mononuclear cell infiltration across a variety of systemic tissues showing that avelumab induces a mild pro-inflammatory state.</w:t>
      </w:r>
    </w:p>
    <w:p w14:paraId="05C8FC4C" w14:textId="39645341" w:rsidR="008A5060" w:rsidRPr="0016256C" w:rsidRDefault="008A5060" w:rsidP="00212F4B">
      <w:pPr>
        <w:pStyle w:val="ListBullet"/>
      </w:pPr>
      <w:r w:rsidRPr="006921DF">
        <w:t>Consistent with relevant ICH guidelines, no genotoxicity, carcinogenicity or reproductive/</w:t>
      </w:r>
      <w:r w:rsidRPr="006921DF">
        <w:rPr>
          <w:w w:val="10"/>
        </w:rPr>
        <w:t xml:space="preserve"> </w:t>
      </w:r>
      <w:r w:rsidRPr="006921DF">
        <w:t xml:space="preserve">developmental toxicity studies were conducted with avelumab. Published literature identifies a critical role for </w:t>
      </w:r>
      <w:r w:rsidRPr="006921DF">
        <w:rPr>
          <w:rFonts w:eastAsiaTheme="minorHAnsi"/>
          <w:szCs w:val="18"/>
        </w:rPr>
        <w:t>PD</w:t>
      </w:r>
      <w:r w:rsidRPr="006921DF">
        <w:rPr>
          <w:rFonts w:eastAsiaTheme="minorHAnsi"/>
          <w:szCs w:val="18"/>
        </w:rPr>
        <w:noBreakHyphen/>
        <w:t>L1</w:t>
      </w:r>
      <w:r w:rsidRPr="006921DF">
        <w:t xml:space="preserve"> in maternofetal tolerance; accordingly, avelumab is considered to pose a significant risk for abortion and stillbirths in a pregnant patient. Pregnancy Category D, as the </w:t>
      </w:r>
      <w:r w:rsidRPr="009E6EAE">
        <w:t>sponsor proposes, is supported.</w:t>
      </w:r>
      <w:r w:rsidR="00BE6EC5" w:rsidRPr="00B9688B">
        <w:rPr>
          <w:vertAlign w:val="superscript"/>
        </w:rPr>
        <w:fldChar w:fldCharType="begin"/>
      </w:r>
      <w:r w:rsidR="00BE6EC5" w:rsidRPr="00B9688B">
        <w:rPr>
          <w:vertAlign w:val="superscript"/>
        </w:rPr>
        <w:instrText xml:space="preserve"> NOTEREF _Ref535406120 \h </w:instrText>
      </w:r>
      <w:r w:rsidR="00BE6EC5">
        <w:rPr>
          <w:vertAlign w:val="superscript"/>
        </w:rPr>
        <w:instrText xml:space="preserve"> \* MERGEFORMAT </w:instrText>
      </w:r>
      <w:r w:rsidR="00BE6EC5" w:rsidRPr="00B9688B">
        <w:rPr>
          <w:vertAlign w:val="superscript"/>
        </w:rPr>
      </w:r>
      <w:r w:rsidR="00BE6EC5" w:rsidRPr="00B9688B">
        <w:rPr>
          <w:vertAlign w:val="superscript"/>
        </w:rPr>
        <w:fldChar w:fldCharType="separate"/>
      </w:r>
      <w:r w:rsidR="00BE6EC5" w:rsidRPr="00B9688B">
        <w:rPr>
          <w:vertAlign w:val="superscript"/>
        </w:rPr>
        <w:t>11</w:t>
      </w:r>
      <w:r w:rsidR="00BE6EC5" w:rsidRPr="00B9688B">
        <w:rPr>
          <w:vertAlign w:val="superscript"/>
        </w:rPr>
        <w:fldChar w:fldCharType="end"/>
      </w:r>
      <w:r w:rsidRPr="009E6EAE">
        <w:t xml:space="preserve"> Contraceptive use during</w:t>
      </w:r>
      <w:r w:rsidR="0016256C">
        <w:t xml:space="preserve"> and after therapy is required</w:t>
      </w:r>
      <w:r w:rsidRPr="009E6EAE">
        <w:t>.</w:t>
      </w:r>
    </w:p>
    <w:p w14:paraId="0A8392E7" w14:textId="77777777" w:rsidR="0016256C" w:rsidRDefault="008A5060" w:rsidP="00212F4B">
      <w:pPr>
        <w:pStyle w:val="ListBullet"/>
      </w:pPr>
      <w:r w:rsidRPr="006921DF">
        <w:t xml:space="preserve">There are no nonclinical objections to the registration of </w:t>
      </w:r>
      <w:proofErr w:type="spellStart"/>
      <w:r w:rsidRPr="0016256C">
        <w:t>Bavencio</w:t>
      </w:r>
      <w:proofErr w:type="spellEnd"/>
      <w:r w:rsidRPr="0016256C">
        <w:t xml:space="preserve"> f</w:t>
      </w:r>
      <w:r w:rsidRPr="006921DF">
        <w:t xml:space="preserve">or the </w:t>
      </w:r>
      <w:r w:rsidRPr="00212F4B">
        <w:t>proposed</w:t>
      </w:r>
      <w:r w:rsidRPr="006921DF">
        <w:t xml:space="preserve"> indication.</w:t>
      </w:r>
    </w:p>
    <w:p w14:paraId="74A77098" w14:textId="77509143" w:rsidR="008A5060" w:rsidRPr="0016256C" w:rsidRDefault="008A5060" w:rsidP="00212F4B">
      <w:r w:rsidRPr="0016256C">
        <w:t xml:space="preserve">The </w:t>
      </w:r>
      <w:r w:rsidR="0016256C" w:rsidRPr="0016256C">
        <w:t>nonclinical evaluator made comment</w:t>
      </w:r>
      <w:r w:rsidR="00BE6EC5">
        <w:t>s</w:t>
      </w:r>
      <w:r w:rsidR="0016256C" w:rsidRPr="0016256C">
        <w:t xml:space="preserve"> regarding the </w:t>
      </w:r>
      <w:r w:rsidR="00BE6EC5">
        <w:t>draft PI</w:t>
      </w:r>
      <w:r w:rsidRPr="0016256C">
        <w:t xml:space="preserve"> document </w:t>
      </w:r>
      <w:r w:rsidR="0016256C" w:rsidRPr="0016256C">
        <w:t>but this is beyond the scope of the AusPAR.</w:t>
      </w:r>
    </w:p>
    <w:p w14:paraId="56977EC3" w14:textId="77777777" w:rsidR="008E7846" w:rsidRPr="00254787" w:rsidRDefault="008E7846" w:rsidP="00212F4B">
      <w:pPr>
        <w:pStyle w:val="Heading2"/>
      </w:pPr>
      <w:bookmarkStart w:id="78" w:name="_Toc8053060"/>
      <w:r>
        <w:t xml:space="preserve">V. </w:t>
      </w:r>
      <w:r w:rsidRPr="00212F4B">
        <w:t>Clinical</w:t>
      </w:r>
      <w:bookmarkEnd w:id="73"/>
      <w:r>
        <w:t xml:space="preserve"> </w:t>
      </w:r>
      <w:r w:rsidR="003A7F6C">
        <w:t>f</w:t>
      </w:r>
      <w:r>
        <w:t>indings</w:t>
      </w:r>
      <w:bookmarkEnd w:id="74"/>
      <w:bookmarkEnd w:id="75"/>
      <w:bookmarkEnd w:id="78"/>
    </w:p>
    <w:p w14:paraId="0CE6EF50" w14:textId="77777777" w:rsidR="00C80137" w:rsidRDefault="00C80137" w:rsidP="00212F4B">
      <w:bookmarkStart w:id="79" w:name="_Toc196046463"/>
      <w:r>
        <w:t xml:space="preserve">A summary of the </w:t>
      </w:r>
      <w:r w:rsidRPr="00FD70B8">
        <w:t>clinical findings is presented in this section.</w:t>
      </w:r>
    </w:p>
    <w:p w14:paraId="127775D4" w14:textId="77777777" w:rsidR="008E7846" w:rsidRDefault="008E7846" w:rsidP="00212F4B">
      <w:pPr>
        <w:pStyle w:val="Heading3"/>
      </w:pPr>
      <w:bookmarkStart w:id="80" w:name="_Toc247691517"/>
      <w:bookmarkStart w:id="81" w:name="_Toc314842501"/>
      <w:bookmarkStart w:id="82" w:name="_Toc8053061"/>
      <w:r w:rsidRPr="00212F4B">
        <w:t>Introduction</w:t>
      </w:r>
      <w:bookmarkEnd w:id="79"/>
      <w:bookmarkEnd w:id="80"/>
      <w:bookmarkEnd w:id="81"/>
      <w:bookmarkEnd w:id="82"/>
    </w:p>
    <w:p w14:paraId="0BF00E7A" w14:textId="77777777" w:rsidR="009F05D3" w:rsidRPr="009F05D3" w:rsidRDefault="009F05D3" w:rsidP="00212F4B">
      <w:r w:rsidRPr="009F05D3">
        <w:t xml:space="preserve">Avelumab is a monoclonal antibody directed against </w:t>
      </w:r>
      <w:r w:rsidR="0016256C">
        <w:t>PD-L1</w:t>
      </w:r>
      <w:r w:rsidRPr="009F05D3">
        <w:t>. The proposed indication is:</w:t>
      </w:r>
    </w:p>
    <w:p w14:paraId="1368043D" w14:textId="77777777" w:rsidR="009F05D3" w:rsidRPr="00B75085" w:rsidRDefault="009F05D3" w:rsidP="009F05D3">
      <w:pPr>
        <w:ind w:left="426"/>
        <w:rPr>
          <w:i/>
          <w:lang w:eastAsia="ja-JP"/>
        </w:rPr>
      </w:pPr>
      <w:proofErr w:type="gramStart"/>
      <w:r w:rsidRPr="00B75085">
        <w:rPr>
          <w:i/>
          <w:lang w:eastAsia="ja-JP"/>
        </w:rPr>
        <w:t>for</w:t>
      </w:r>
      <w:proofErr w:type="gramEnd"/>
      <w:r w:rsidRPr="00B75085">
        <w:rPr>
          <w:i/>
          <w:lang w:eastAsia="ja-JP"/>
        </w:rPr>
        <w:t xml:space="preserve"> the treatment of patients with metastatic Merkel Cell Carcinoma (</w:t>
      </w:r>
      <w:r w:rsidR="006C35DA">
        <w:rPr>
          <w:i/>
          <w:lang w:eastAsia="ja-JP"/>
        </w:rPr>
        <w:t>metastatic MCC</w:t>
      </w:r>
      <w:r w:rsidRPr="00B75085">
        <w:rPr>
          <w:i/>
          <w:lang w:eastAsia="ja-JP"/>
        </w:rPr>
        <w:t>) whose disease has progressed after receiving at least one prior therapy.</w:t>
      </w:r>
    </w:p>
    <w:p w14:paraId="18774831" w14:textId="77777777" w:rsidR="009F05D3" w:rsidRDefault="009F05D3" w:rsidP="00212F4B">
      <w:pPr>
        <w:rPr>
          <w:lang w:eastAsia="ja-JP"/>
        </w:rPr>
      </w:pPr>
      <w:bookmarkStart w:id="83" w:name="_Toc196046464"/>
      <w:bookmarkStart w:id="84" w:name="_Toc247691518"/>
      <w:bookmarkStart w:id="85" w:name="_Toc314842502"/>
      <w:r>
        <w:rPr>
          <w:lang w:eastAsia="ja-JP"/>
        </w:rPr>
        <w:lastRenderedPageBreak/>
        <w:t>The dose form proposed for registration is a concentrated solution for intravenous (IV) infusion contain</w:t>
      </w:r>
      <w:r w:rsidR="00212B36">
        <w:rPr>
          <w:lang w:eastAsia="ja-JP"/>
        </w:rPr>
        <w:t xml:space="preserve">ing 200 mg of </w:t>
      </w:r>
      <w:proofErr w:type="spellStart"/>
      <w:r w:rsidR="00212B36">
        <w:rPr>
          <w:lang w:eastAsia="ja-JP"/>
        </w:rPr>
        <w:t>avelumab</w:t>
      </w:r>
      <w:proofErr w:type="spellEnd"/>
      <w:r w:rsidR="00212B36">
        <w:rPr>
          <w:lang w:eastAsia="ja-JP"/>
        </w:rPr>
        <w:t xml:space="preserve"> in 10 </w:t>
      </w:r>
      <w:proofErr w:type="spellStart"/>
      <w:r w:rsidR="00212B36">
        <w:rPr>
          <w:lang w:eastAsia="ja-JP"/>
        </w:rPr>
        <w:t>mL</w:t>
      </w:r>
      <w:r>
        <w:rPr>
          <w:lang w:eastAsia="ja-JP"/>
        </w:rPr>
        <w:t>.</w:t>
      </w:r>
      <w:proofErr w:type="spellEnd"/>
      <w:r>
        <w:rPr>
          <w:lang w:eastAsia="ja-JP"/>
        </w:rPr>
        <w:t xml:space="preserve"> The concentrated solution is to be diluted in 0.9% or 0.45% sodium chloride solution prior to infusion.</w:t>
      </w:r>
    </w:p>
    <w:p w14:paraId="331943D6" w14:textId="77777777" w:rsidR="004A25E4" w:rsidRDefault="009F05D3" w:rsidP="00212F4B">
      <w:pPr>
        <w:rPr>
          <w:lang w:eastAsia="ja-JP"/>
        </w:rPr>
      </w:pPr>
      <w:r>
        <w:rPr>
          <w:lang w:eastAsia="ja-JP"/>
        </w:rPr>
        <w:t>The proposed dose is 10 mg/kg body weight administered IV over 60 minutes once every 2 weeks. Treatment is to continue until disease progression or unacceptable toxicity occurs</w:t>
      </w:r>
      <w:r w:rsidR="004A25E4">
        <w:rPr>
          <w:lang w:eastAsia="ja-JP"/>
        </w:rPr>
        <w:t>.</w:t>
      </w:r>
    </w:p>
    <w:p w14:paraId="6B4C3FE2" w14:textId="77777777" w:rsidR="00605AD4" w:rsidRDefault="00605AD4" w:rsidP="00212F4B">
      <w:pPr>
        <w:pStyle w:val="Heading4"/>
      </w:pPr>
      <w:r w:rsidRPr="00605AD4">
        <w:t xml:space="preserve">Clinical </w:t>
      </w:r>
      <w:r w:rsidR="00EF59DC" w:rsidRPr="00212F4B">
        <w:t>r</w:t>
      </w:r>
      <w:r w:rsidRPr="00212F4B">
        <w:t>ationale</w:t>
      </w:r>
    </w:p>
    <w:p w14:paraId="673BA474" w14:textId="77777777" w:rsidR="009F05D3" w:rsidRDefault="009F05D3" w:rsidP="00212F4B">
      <w:pPr>
        <w:pStyle w:val="Heading5"/>
      </w:pPr>
      <w:bookmarkStart w:id="86" w:name="_Toc478484928"/>
      <w:r w:rsidRPr="00E709B3">
        <w:t xml:space="preserve">Information on the </w:t>
      </w:r>
      <w:r w:rsidRPr="00212F4B">
        <w:t>condition</w:t>
      </w:r>
      <w:r w:rsidRPr="00E709B3">
        <w:t xml:space="preserve"> being treated</w:t>
      </w:r>
      <w:bookmarkEnd w:id="86"/>
    </w:p>
    <w:p w14:paraId="7620F0F2" w14:textId="1D8CE593" w:rsidR="009F05D3" w:rsidRDefault="006C35DA" w:rsidP="00212F4B">
      <w:pPr>
        <w:rPr>
          <w:lang w:eastAsia="ja-JP"/>
        </w:rPr>
      </w:pPr>
      <w:r>
        <w:rPr>
          <w:lang w:eastAsia="ja-JP"/>
        </w:rPr>
        <w:t>Merkel cell carcinoma</w:t>
      </w:r>
      <w:r w:rsidR="00BE6EC5">
        <w:rPr>
          <w:lang w:eastAsia="ja-JP"/>
        </w:rPr>
        <w:t xml:space="preserve"> (MCC)</w:t>
      </w:r>
      <w:r w:rsidR="009F05D3">
        <w:rPr>
          <w:lang w:eastAsia="ja-JP"/>
        </w:rPr>
        <w:t xml:space="preserve"> is a skin malignancy, believed to originate in the Merkel cell, a neuroendocrine cell located in the basal layer of the epidermis. The function of Merkel cells has not been defined but is thought to have a role in tactile sensation</w:t>
      </w:r>
      <w:r w:rsidR="00212B36">
        <w:rPr>
          <w:lang w:eastAsia="ja-JP"/>
        </w:rPr>
        <w:t>.</w:t>
      </w:r>
      <w:r w:rsidR="00927483">
        <w:rPr>
          <w:rStyle w:val="FootnoteReference"/>
          <w:lang w:eastAsia="ja-JP"/>
        </w:rPr>
        <w:footnoteReference w:id="12"/>
      </w:r>
    </w:p>
    <w:p w14:paraId="68C868F3" w14:textId="36ADB3A5" w:rsidR="009F05D3" w:rsidRPr="00927483" w:rsidRDefault="009F05D3" w:rsidP="00212F4B">
      <w:r>
        <w:rPr>
          <w:lang w:eastAsia="ja-JP"/>
        </w:rPr>
        <w:t xml:space="preserve">Known causative factors for MCC are the Merkel cell polyomavirus (MCV) and exposure to </w:t>
      </w:r>
      <w:r w:rsidR="00BE6EC5">
        <w:rPr>
          <w:lang w:eastAsia="ja-JP"/>
        </w:rPr>
        <w:t>ultra-violet (</w:t>
      </w:r>
      <w:r>
        <w:rPr>
          <w:lang w:eastAsia="ja-JP"/>
        </w:rPr>
        <w:t>UV</w:t>
      </w:r>
      <w:r w:rsidR="00BE6EC5">
        <w:rPr>
          <w:lang w:eastAsia="ja-JP"/>
        </w:rPr>
        <w:t>)</w:t>
      </w:r>
      <w:r>
        <w:rPr>
          <w:lang w:eastAsia="ja-JP"/>
        </w:rPr>
        <w:t xml:space="preserve"> radiation. Approximately 80% of MCC tumours are positive for clonally integrated MCV. Immunosuppressed subjects are at an incre</w:t>
      </w:r>
      <w:r w:rsidRPr="00212F4B">
        <w:t>a</w:t>
      </w:r>
      <w:r>
        <w:rPr>
          <w:lang w:eastAsia="ja-JP"/>
        </w:rPr>
        <w:t>sed risk of developing the disease and incidence is increased in men compared to women, in white subjects and in the elderly</w:t>
      </w:r>
      <w:r w:rsidR="00927483">
        <w:rPr>
          <w:lang w:eastAsia="ja-JP"/>
        </w:rPr>
        <w:t>.</w:t>
      </w:r>
      <w:r w:rsidR="00212B36" w:rsidRPr="00212B36">
        <w:rPr>
          <w:vertAlign w:val="superscript"/>
          <w:lang w:eastAsia="ja-JP"/>
        </w:rPr>
        <w:fldChar w:fldCharType="begin"/>
      </w:r>
      <w:r w:rsidR="00212B36" w:rsidRPr="00212B36">
        <w:rPr>
          <w:vertAlign w:val="superscript"/>
          <w:lang w:eastAsia="ja-JP"/>
        </w:rPr>
        <w:instrText xml:space="preserve"> NOTEREF _Ref527386492 \h </w:instrText>
      </w:r>
      <w:r w:rsidR="00212B36">
        <w:rPr>
          <w:vertAlign w:val="superscript"/>
          <w:lang w:eastAsia="ja-JP"/>
        </w:rPr>
        <w:instrText xml:space="preserve"> \* MERGEFORMAT </w:instrText>
      </w:r>
      <w:r w:rsidR="00212B36" w:rsidRPr="00212B36">
        <w:rPr>
          <w:vertAlign w:val="superscript"/>
          <w:lang w:eastAsia="ja-JP"/>
        </w:rPr>
      </w:r>
      <w:r w:rsidR="00212B36" w:rsidRPr="00212B36">
        <w:rPr>
          <w:vertAlign w:val="superscript"/>
          <w:lang w:eastAsia="ja-JP"/>
        </w:rPr>
        <w:fldChar w:fldCharType="separate"/>
      </w:r>
      <w:r w:rsidR="0016256C">
        <w:rPr>
          <w:vertAlign w:val="superscript"/>
          <w:lang w:eastAsia="ja-JP"/>
        </w:rPr>
        <w:t>1</w:t>
      </w:r>
      <w:r w:rsidR="00212B36" w:rsidRPr="00212B36">
        <w:rPr>
          <w:vertAlign w:val="superscript"/>
          <w:lang w:eastAsia="ja-JP"/>
        </w:rPr>
        <w:fldChar w:fldCharType="end"/>
      </w:r>
    </w:p>
    <w:p w14:paraId="6B6F27FD" w14:textId="77777777" w:rsidR="009F05D3" w:rsidRPr="00294EAC" w:rsidRDefault="009F05D3" w:rsidP="00212F4B">
      <w:r>
        <w:rPr>
          <w:lang w:eastAsia="ja-JP"/>
        </w:rPr>
        <w:t>The primary skin lesion usually presents as a firm, painless, rapidly enlarging nodule with a red to violet colour. These lesions a</w:t>
      </w:r>
      <w:r w:rsidR="006C35DA">
        <w:rPr>
          <w:lang w:eastAsia="ja-JP"/>
        </w:rPr>
        <w:t xml:space="preserve">re most commonly located on sun </w:t>
      </w:r>
      <w:r>
        <w:rPr>
          <w:lang w:eastAsia="ja-JP"/>
        </w:rPr>
        <w:t xml:space="preserve">exposed areas. The tumour is aggressive with metastases usually occurring in draining lymph nodes, distant skin, lung, central nervous system, bone and liver. The prognosis for patients with metastatic disease is poor with an estimated </w:t>
      </w:r>
      <w:r w:rsidR="006C35DA">
        <w:rPr>
          <w:lang w:eastAsia="ja-JP"/>
        </w:rPr>
        <w:t>5 year</w:t>
      </w:r>
      <w:r>
        <w:rPr>
          <w:lang w:eastAsia="ja-JP"/>
        </w:rPr>
        <w:t xml:space="preserve"> survival of only 13.5%</w:t>
      </w:r>
      <w:r w:rsidRPr="00294EAC">
        <w:t>.</w:t>
      </w:r>
      <w:r w:rsidR="00212B36" w:rsidRPr="00212B36">
        <w:rPr>
          <w:vertAlign w:val="superscript"/>
        </w:rPr>
        <w:fldChar w:fldCharType="begin"/>
      </w:r>
      <w:r w:rsidR="00212B36" w:rsidRPr="00212B36">
        <w:rPr>
          <w:vertAlign w:val="superscript"/>
        </w:rPr>
        <w:instrText xml:space="preserve"> NOTEREF _Ref527386492 \h  \* MERGEFORMAT </w:instrText>
      </w:r>
      <w:r w:rsidR="00212B36" w:rsidRPr="00212B36">
        <w:rPr>
          <w:vertAlign w:val="superscript"/>
        </w:rPr>
      </w:r>
      <w:r w:rsidR="00212B36" w:rsidRPr="00212B36">
        <w:rPr>
          <w:vertAlign w:val="superscript"/>
        </w:rPr>
        <w:fldChar w:fldCharType="separate"/>
      </w:r>
      <w:r w:rsidR="0016256C">
        <w:rPr>
          <w:vertAlign w:val="superscript"/>
        </w:rPr>
        <w:t>1</w:t>
      </w:r>
      <w:r w:rsidR="00212B36" w:rsidRPr="00212B36">
        <w:rPr>
          <w:vertAlign w:val="superscript"/>
        </w:rPr>
        <w:fldChar w:fldCharType="end"/>
      </w:r>
      <w:r w:rsidRPr="00294EAC">
        <w:t xml:space="preserve"> </w:t>
      </w:r>
      <w:r>
        <w:rPr>
          <w:lang w:eastAsia="ja-JP"/>
        </w:rPr>
        <w:t xml:space="preserve">In a retrospective study of 62 patients with </w:t>
      </w:r>
      <w:r w:rsidR="006C35DA">
        <w:rPr>
          <w:lang w:eastAsia="ja-JP"/>
        </w:rPr>
        <w:t xml:space="preserve">metastatic </w:t>
      </w:r>
      <w:r>
        <w:rPr>
          <w:lang w:eastAsia="ja-JP"/>
        </w:rPr>
        <w:t>MCC, median survival from the time of diagnosis of metastatic disease was 13 months</w:t>
      </w:r>
      <w:r w:rsidR="00294EAC">
        <w:rPr>
          <w:lang w:eastAsia="ja-JP"/>
        </w:rPr>
        <w:t>.</w:t>
      </w:r>
      <w:bookmarkStart w:id="87" w:name="_Ref525642968"/>
      <w:r w:rsidR="00294EAC">
        <w:rPr>
          <w:rStyle w:val="FootnoteReference"/>
          <w:lang w:eastAsia="ja-JP"/>
        </w:rPr>
        <w:footnoteReference w:id="13"/>
      </w:r>
      <w:bookmarkEnd w:id="87"/>
    </w:p>
    <w:p w14:paraId="225DFC77" w14:textId="40D1A0ED" w:rsidR="009F05D3" w:rsidRDefault="009F05D3" w:rsidP="00212F4B">
      <w:pPr>
        <w:rPr>
          <w:lang w:eastAsia="ja-JP"/>
        </w:rPr>
      </w:pPr>
      <w:r>
        <w:rPr>
          <w:lang w:eastAsia="ja-JP"/>
        </w:rPr>
        <w:t>Extent of disease is staged using the American Joint Committee on Cancer (AJCC) staging system.</w:t>
      </w:r>
      <w:r w:rsidR="006C35DA">
        <w:rPr>
          <w:rStyle w:val="FootnoteReference"/>
        </w:rPr>
        <w:footnoteReference w:id="14"/>
      </w:r>
      <w:r>
        <w:rPr>
          <w:lang w:eastAsia="ja-JP"/>
        </w:rPr>
        <w:t xml:space="preserve"> The most recently published AJCC system (8</w:t>
      </w:r>
      <w:r w:rsidRPr="002D3BA8">
        <w:rPr>
          <w:vertAlign w:val="superscript"/>
          <w:lang w:eastAsia="ja-JP"/>
        </w:rPr>
        <w:t>th</w:t>
      </w:r>
      <w:r>
        <w:rPr>
          <w:lang w:eastAsia="ja-JP"/>
        </w:rPr>
        <w:t xml:space="preserve"> edition, 2016) is summarised in </w:t>
      </w:r>
      <w:r w:rsidR="00B70C5D">
        <w:rPr>
          <w:lang w:eastAsia="ja-JP"/>
        </w:rPr>
        <w:t>Table 4</w:t>
      </w:r>
      <w:r w:rsidR="00BE6EC5">
        <w:rPr>
          <w:lang w:eastAsia="ja-JP"/>
        </w:rPr>
        <w:t>, shown below</w:t>
      </w:r>
      <w:r w:rsidR="00212B36">
        <w:t>.</w:t>
      </w:r>
      <w:r w:rsidR="006C35DA">
        <w:t xml:space="preserve"> </w:t>
      </w:r>
      <w:r w:rsidRPr="00294EAC">
        <w:t>In</w:t>
      </w:r>
      <w:r>
        <w:rPr>
          <w:lang w:eastAsia="ja-JP"/>
        </w:rPr>
        <w:t xml:space="preserve"> the current application, the sponsor is only seeking approval for use of avelumab in metastatic (M1 or Stage IV) disease.</w:t>
      </w:r>
    </w:p>
    <w:p w14:paraId="0AAB15E9" w14:textId="1F190743" w:rsidR="009F05D3" w:rsidRDefault="009F05D3" w:rsidP="00212F4B">
      <w:pPr>
        <w:rPr>
          <w:lang w:eastAsia="ja-JP"/>
        </w:rPr>
      </w:pPr>
      <w:r>
        <w:rPr>
          <w:lang w:eastAsia="ja-JP"/>
        </w:rPr>
        <w:t xml:space="preserve">MCC is a rare disease, although as with other skin cancers, Australia has a comparatively high incidence. Between 1993 and 2010 the incidence of MCC in Queensland was estimated to be 1.6 per 100,000 of </w:t>
      </w:r>
      <w:r w:rsidRPr="00294EAC">
        <w:t>population</w:t>
      </w:r>
      <w:r w:rsidR="003E04E9">
        <w:t>;</w:t>
      </w:r>
      <w:r w:rsidR="00294EAC">
        <w:t xml:space="preserve"> </w:t>
      </w:r>
      <w:r w:rsidR="00294EAC">
        <w:rPr>
          <w:rStyle w:val="FootnoteReference"/>
        </w:rPr>
        <w:footnoteReference w:id="15"/>
      </w:r>
      <w:r w:rsidRPr="00294EAC">
        <w:t>and</w:t>
      </w:r>
      <w:r>
        <w:rPr>
          <w:lang w:eastAsia="ja-JP"/>
        </w:rPr>
        <w:t xml:space="preserve"> between 1993 and 2007 the incidence of MCC in Western Australia was estimated to be 0.82</w:t>
      </w:r>
      <w:r w:rsidRPr="005657CE">
        <w:rPr>
          <w:lang w:eastAsia="ja-JP"/>
        </w:rPr>
        <w:t xml:space="preserve"> </w:t>
      </w:r>
      <w:r>
        <w:rPr>
          <w:lang w:eastAsia="ja-JP"/>
        </w:rPr>
        <w:t xml:space="preserve">per 100,000 of </w:t>
      </w:r>
      <w:r w:rsidRPr="00294EAC">
        <w:t>population</w:t>
      </w:r>
      <w:r w:rsidR="006C35DA">
        <w:t>.</w:t>
      </w:r>
      <w:r w:rsidR="00294EAC">
        <w:rPr>
          <w:rStyle w:val="FootnoteReference"/>
        </w:rPr>
        <w:footnoteReference w:id="16"/>
      </w:r>
      <w:r w:rsidR="00294EAC">
        <w:t xml:space="preserve"> </w:t>
      </w:r>
      <w:r w:rsidRPr="00294EAC">
        <w:t>Extrapolated</w:t>
      </w:r>
      <w:r>
        <w:rPr>
          <w:lang w:eastAsia="ja-JP"/>
        </w:rPr>
        <w:t xml:space="preserve"> to the entire Australian population these figures suggest an annual national</w:t>
      </w:r>
      <w:r w:rsidR="006C35DA">
        <w:rPr>
          <w:lang w:eastAsia="ja-JP"/>
        </w:rPr>
        <w:t xml:space="preserve"> incidence of approximately 200 to </w:t>
      </w:r>
      <w:r>
        <w:rPr>
          <w:lang w:eastAsia="ja-JP"/>
        </w:rPr>
        <w:t>400 cases.</w:t>
      </w:r>
    </w:p>
    <w:p w14:paraId="6074335B" w14:textId="77777777" w:rsidR="006C35DA" w:rsidRDefault="00B70C5D" w:rsidP="00212F4B">
      <w:pPr>
        <w:pStyle w:val="TableTitle"/>
      </w:pPr>
      <w:r w:rsidRPr="00212F4B">
        <w:lastRenderedPageBreak/>
        <w:t>Table</w:t>
      </w:r>
      <w:r>
        <w:rPr>
          <w:lang w:eastAsia="ja-JP"/>
        </w:rPr>
        <w:t xml:space="preserve"> 4:</w:t>
      </w:r>
      <w:r w:rsidR="006C35DA">
        <w:rPr>
          <w:lang w:eastAsia="ja-JP"/>
        </w:rPr>
        <w:t xml:space="preserve"> </w:t>
      </w:r>
      <w:r w:rsidR="006C35DA">
        <w:t>AJCC staging system for MCC</w:t>
      </w:r>
    </w:p>
    <w:p w14:paraId="64E30E3C" w14:textId="77777777" w:rsidR="006C35DA" w:rsidRPr="006C35DA" w:rsidRDefault="006C35DA" w:rsidP="00212F4B">
      <w:r>
        <w:rPr>
          <w:noProof/>
          <w:lang w:eastAsia="en-AU"/>
        </w:rPr>
        <w:drawing>
          <wp:inline distT="0" distB="0" distL="0" distR="0" wp14:anchorId="766B6E73" wp14:editId="12791E5A">
            <wp:extent cx="5400040" cy="2929637"/>
            <wp:effectExtent l="0" t="0" r="0" b="4445"/>
            <wp:docPr id="12" name="Picture 12" descr="Table 4: AJCC staging system for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929637"/>
                    </a:xfrm>
                    <a:prstGeom prst="rect">
                      <a:avLst/>
                    </a:prstGeom>
                  </pic:spPr>
                </pic:pic>
              </a:graphicData>
            </a:graphic>
          </wp:inline>
        </w:drawing>
      </w:r>
    </w:p>
    <w:p w14:paraId="75A60E60" w14:textId="77777777" w:rsidR="009F05D3" w:rsidRDefault="009F05D3" w:rsidP="00212F4B">
      <w:pPr>
        <w:pStyle w:val="Heading5"/>
      </w:pPr>
      <w:bookmarkStart w:id="88" w:name="_Toc478484929"/>
      <w:r>
        <w:t xml:space="preserve">Current treatment </w:t>
      </w:r>
      <w:r w:rsidRPr="00212F4B">
        <w:t>options</w:t>
      </w:r>
      <w:bookmarkEnd w:id="88"/>
    </w:p>
    <w:p w14:paraId="7E827F5E" w14:textId="368C862C" w:rsidR="009F05D3" w:rsidRDefault="009F05D3" w:rsidP="00212F4B">
      <w:pPr>
        <w:rPr>
          <w:lang w:eastAsia="ja-JP"/>
        </w:rPr>
      </w:pPr>
      <w:r>
        <w:rPr>
          <w:lang w:eastAsia="ja-JP"/>
        </w:rPr>
        <w:t xml:space="preserve">For non-metastatic MCC, current clinical </w:t>
      </w:r>
      <w:proofErr w:type="gramStart"/>
      <w:r w:rsidRPr="00294EAC">
        <w:t>guidelines</w:t>
      </w:r>
      <w:r w:rsidR="003E04E9">
        <w:t>;</w:t>
      </w:r>
      <w:r w:rsidR="00294EAC">
        <w:rPr>
          <w:rStyle w:val="FootnoteReference"/>
        </w:rPr>
        <w:footnoteReference w:id="17"/>
      </w:r>
      <w:r w:rsidR="00BE6EC5">
        <w:rPr>
          <w:vertAlign w:val="superscript"/>
        </w:rPr>
        <w:t>,</w:t>
      </w:r>
      <w:proofErr w:type="gramEnd"/>
      <w:r w:rsidR="00294EAC">
        <w:rPr>
          <w:rStyle w:val="FootnoteReference"/>
        </w:rPr>
        <w:footnoteReference w:id="18"/>
      </w:r>
      <w:r w:rsidR="00BE6EC5">
        <w:t xml:space="preserve"> </w:t>
      </w:r>
      <w:r w:rsidRPr="00294EAC">
        <w:t>recommend</w:t>
      </w:r>
      <w:r>
        <w:rPr>
          <w:lang w:eastAsia="ja-JP"/>
        </w:rPr>
        <w:t xml:space="preserve"> the use of surgical excision and radiotherapy. There are no established or approved therapies for the treatment of metastatic MCC. The current guidelines suggest the use of cisplatin or carboplatin with or without etoposide. Alternative recommended treatments include topotecan or combination therapy with cyclophosphamide, doxorubicin and vincristine (CAV). The guidelines recommend that patients with </w:t>
      </w:r>
      <w:r w:rsidR="006C35DA">
        <w:rPr>
          <w:lang w:eastAsia="ja-JP"/>
        </w:rPr>
        <w:t>metastatic MCC</w:t>
      </w:r>
      <w:r>
        <w:rPr>
          <w:lang w:eastAsia="ja-JP"/>
        </w:rPr>
        <w:t xml:space="preserve"> be enrolled in clinical trials.</w:t>
      </w:r>
    </w:p>
    <w:p w14:paraId="6F5D3B25" w14:textId="77777777" w:rsidR="009F05D3" w:rsidRDefault="009F05D3" w:rsidP="00212F4B">
      <w:pPr>
        <w:rPr>
          <w:lang w:eastAsia="ja-JP"/>
        </w:rPr>
      </w:pPr>
      <w:r>
        <w:rPr>
          <w:lang w:eastAsia="ja-JP"/>
        </w:rPr>
        <w:t xml:space="preserve">Although cytotoxic chemotherapy can produce significant tumour responses, these tend to be of short duration. For example, in a retrospective study of 62 patients with </w:t>
      </w:r>
      <w:r w:rsidR="006C35DA">
        <w:rPr>
          <w:lang w:eastAsia="ja-JP"/>
        </w:rPr>
        <w:t>metastatic MCC</w:t>
      </w:r>
      <w:r>
        <w:rPr>
          <w:lang w:eastAsia="ja-JP"/>
        </w:rPr>
        <w:t xml:space="preserve">, overall response rate with </w:t>
      </w:r>
      <w:r w:rsidR="006C35DA">
        <w:rPr>
          <w:lang w:eastAsia="ja-JP"/>
        </w:rPr>
        <w:t>first line</w:t>
      </w:r>
      <w:r>
        <w:rPr>
          <w:lang w:eastAsia="ja-JP"/>
        </w:rPr>
        <w:t xml:space="preserve"> chemotherapy</w:t>
      </w:r>
      <w:r w:rsidR="006C35DA">
        <w:rPr>
          <w:lang w:eastAsia="ja-JP"/>
        </w:rPr>
        <w:t xml:space="preserve"> was 55% but median progression </w:t>
      </w:r>
      <w:r>
        <w:rPr>
          <w:lang w:eastAsia="ja-JP"/>
        </w:rPr>
        <w:t xml:space="preserve">free survival (PFS) was only 3 months. With </w:t>
      </w:r>
      <w:r w:rsidR="006C35DA">
        <w:rPr>
          <w:lang w:eastAsia="ja-JP"/>
        </w:rPr>
        <w:t>second line</w:t>
      </w:r>
      <w:r>
        <w:rPr>
          <w:lang w:eastAsia="ja-JP"/>
        </w:rPr>
        <w:t xml:space="preserve"> chemotherapy, overall response rate was 23% and median PFS only 2 months.</w:t>
      </w:r>
      <w:r w:rsidR="00212B36" w:rsidRPr="00212B36">
        <w:rPr>
          <w:vertAlign w:val="superscript"/>
          <w:lang w:eastAsia="ja-JP"/>
        </w:rPr>
        <w:fldChar w:fldCharType="begin"/>
      </w:r>
      <w:r w:rsidR="00212B36" w:rsidRPr="00212B36">
        <w:rPr>
          <w:vertAlign w:val="superscript"/>
          <w:lang w:eastAsia="ja-JP"/>
        </w:rPr>
        <w:instrText xml:space="preserve"> NOTEREF _Ref525642968 \h </w:instrText>
      </w:r>
      <w:r w:rsidR="00212B36">
        <w:rPr>
          <w:vertAlign w:val="superscript"/>
          <w:lang w:eastAsia="ja-JP"/>
        </w:rPr>
        <w:instrText xml:space="preserve"> \* MERGEFORMAT </w:instrText>
      </w:r>
      <w:r w:rsidR="00212B36" w:rsidRPr="00212B36">
        <w:rPr>
          <w:vertAlign w:val="superscript"/>
          <w:lang w:eastAsia="ja-JP"/>
        </w:rPr>
      </w:r>
      <w:r w:rsidR="00212B36" w:rsidRPr="00212B36">
        <w:rPr>
          <w:vertAlign w:val="superscript"/>
          <w:lang w:eastAsia="ja-JP"/>
        </w:rPr>
        <w:fldChar w:fldCharType="separate"/>
      </w:r>
      <w:r w:rsidR="0016256C">
        <w:rPr>
          <w:vertAlign w:val="superscript"/>
          <w:lang w:eastAsia="ja-JP"/>
        </w:rPr>
        <w:t>13</w:t>
      </w:r>
      <w:r w:rsidR="00212B36" w:rsidRPr="00212B36">
        <w:rPr>
          <w:vertAlign w:val="superscript"/>
          <w:lang w:eastAsia="ja-JP"/>
        </w:rPr>
        <w:fldChar w:fldCharType="end"/>
      </w:r>
    </w:p>
    <w:p w14:paraId="66B30056" w14:textId="77777777" w:rsidR="009F05D3" w:rsidRDefault="009F05D3" w:rsidP="00212F4B">
      <w:pPr>
        <w:pStyle w:val="Heading5"/>
      </w:pPr>
      <w:bookmarkStart w:id="89" w:name="_Toc478484930"/>
      <w:r w:rsidRPr="00212F4B">
        <w:t>Clinical</w:t>
      </w:r>
      <w:r>
        <w:t xml:space="preserve"> rationale</w:t>
      </w:r>
      <w:bookmarkEnd w:id="89"/>
    </w:p>
    <w:p w14:paraId="7C20D3DB" w14:textId="77777777" w:rsidR="009F05D3" w:rsidRPr="00BD555D" w:rsidRDefault="009F05D3" w:rsidP="00212F4B">
      <w:r>
        <w:rPr>
          <w:lang w:eastAsia="ja-JP"/>
        </w:rPr>
        <w:t>The programmed death 1</w:t>
      </w:r>
      <w:r w:rsidRPr="00730C59">
        <w:rPr>
          <w:lang w:eastAsia="ja-JP"/>
        </w:rPr>
        <w:t xml:space="preserve"> </w:t>
      </w:r>
      <w:r>
        <w:rPr>
          <w:lang w:eastAsia="ja-JP"/>
        </w:rPr>
        <w:t>(</w:t>
      </w:r>
      <w:r w:rsidRPr="00730C59">
        <w:rPr>
          <w:lang w:eastAsia="ja-JP"/>
        </w:rPr>
        <w:t>PD-1</w:t>
      </w:r>
      <w:r>
        <w:rPr>
          <w:lang w:eastAsia="ja-JP"/>
        </w:rPr>
        <w:t>) receptor (also known as CD279)</w:t>
      </w:r>
      <w:r w:rsidR="006C35DA">
        <w:rPr>
          <w:lang w:eastAsia="ja-JP"/>
        </w:rPr>
        <w:t xml:space="preserve"> is expressed on activated T </w:t>
      </w:r>
      <w:r w:rsidRPr="00730C59">
        <w:rPr>
          <w:lang w:eastAsia="ja-JP"/>
        </w:rPr>
        <w:t>lymphocytes. Stimulation of the PD-1 receptor results in an inhib</w:t>
      </w:r>
      <w:r>
        <w:rPr>
          <w:lang w:eastAsia="ja-JP"/>
        </w:rPr>
        <w:t xml:space="preserve">itory effect on </w:t>
      </w:r>
      <w:r w:rsidR="005E1E9B">
        <w:rPr>
          <w:lang w:eastAsia="ja-JP"/>
        </w:rPr>
        <w:t>T cell</w:t>
      </w:r>
      <w:r>
        <w:rPr>
          <w:lang w:eastAsia="ja-JP"/>
        </w:rPr>
        <w:t xml:space="preserve"> function, and t</w:t>
      </w:r>
      <w:r w:rsidRPr="00730C59">
        <w:rPr>
          <w:lang w:eastAsia="ja-JP"/>
        </w:rPr>
        <w:t xml:space="preserve">he normal function of the receptor is to limit or </w:t>
      </w:r>
      <w:r w:rsidR="004A25E4">
        <w:rPr>
          <w:lang w:eastAsia="ja-JP"/>
        </w:rPr>
        <w:t>‘</w:t>
      </w:r>
      <w:r w:rsidRPr="00730C59">
        <w:rPr>
          <w:lang w:eastAsia="ja-JP"/>
        </w:rPr>
        <w:t>check</w:t>
      </w:r>
      <w:r w:rsidR="004A25E4">
        <w:rPr>
          <w:lang w:eastAsia="ja-JP"/>
        </w:rPr>
        <w:t>’</w:t>
      </w:r>
      <w:r w:rsidRPr="00730C59">
        <w:rPr>
          <w:lang w:eastAsia="ja-JP"/>
        </w:rPr>
        <w:t xml:space="preserve"> overstimulation of immune responses. </w:t>
      </w:r>
      <w:r>
        <w:rPr>
          <w:lang w:eastAsia="ja-JP"/>
        </w:rPr>
        <w:t>Up-regulation of the PD-L1 receptor is necessary to terminate the normal immune response</w:t>
      </w:r>
      <w:r w:rsidR="00BD555D">
        <w:rPr>
          <w:lang w:eastAsia="ja-JP"/>
        </w:rPr>
        <w:t>.</w:t>
      </w:r>
      <w:bookmarkStart w:id="90" w:name="_Ref525643187"/>
      <w:r w:rsidR="00BD555D">
        <w:rPr>
          <w:rStyle w:val="FootnoteReference"/>
          <w:lang w:eastAsia="ja-JP"/>
        </w:rPr>
        <w:footnoteReference w:id="19"/>
      </w:r>
      <w:bookmarkEnd w:id="90"/>
    </w:p>
    <w:p w14:paraId="126C78FD" w14:textId="77777777" w:rsidR="009F05D3" w:rsidRPr="00BD555D" w:rsidRDefault="009F05D3" w:rsidP="00212F4B">
      <w:r w:rsidRPr="00730C59">
        <w:rPr>
          <w:lang w:eastAsia="ja-JP"/>
        </w:rPr>
        <w:t xml:space="preserve">There are two known normal ligands for PD-1: PD-L1 (also known as CD274 or B7-H1) and PD-L2 (also known as CD273 or B7-DC). The PD-L1 ligand is </w:t>
      </w:r>
      <w:r>
        <w:rPr>
          <w:lang w:eastAsia="ja-JP"/>
        </w:rPr>
        <w:t xml:space="preserve">normally </w:t>
      </w:r>
      <w:r w:rsidRPr="00730C59">
        <w:rPr>
          <w:lang w:eastAsia="ja-JP"/>
        </w:rPr>
        <w:t xml:space="preserve">expressed on </w:t>
      </w:r>
      <w:r w:rsidR="006C35DA">
        <w:rPr>
          <w:lang w:eastAsia="ja-JP"/>
        </w:rPr>
        <w:t xml:space="preserve">antigen </w:t>
      </w:r>
      <w:r w:rsidRPr="00730C59">
        <w:rPr>
          <w:lang w:eastAsia="ja-JP"/>
        </w:rPr>
        <w:t>presenting cells (APCs) and a wide range of non- haematopoietic cells, whereas PD-L2 is expressed on dendritic cells and macrophages</w:t>
      </w:r>
      <w:r w:rsidR="00BD555D">
        <w:rPr>
          <w:lang w:eastAsia="ja-JP"/>
        </w:rPr>
        <w:t>.</w:t>
      </w:r>
      <w:r w:rsidR="00212B36" w:rsidRPr="00212B36">
        <w:rPr>
          <w:vertAlign w:val="superscript"/>
          <w:lang w:eastAsia="ja-JP"/>
        </w:rPr>
        <w:fldChar w:fldCharType="begin"/>
      </w:r>
      <w:r w:rsidR="00212B36" w:rsidRPr="00212B36">
        <w:rPr>
          <w:vertAlign w:val="superscript"/>
          <w:lang w:eastAsia="ja-JP"/>
        </w:rPr>
        <w:instrText xml:space="preserve"> NOTEREF _Ref525643187 \h </w:instrText>
      </w:r>
      <w:r w:rsidR="00212B36">
        <w:rPr>
          <w:vertAlign w:val="superscript"/>
          <w:lang w:eastAsia="ja-JP"/>
        </w:rPr>
        <w:instrText xml:space="preserve"> \* MERGEFORMAT </w:instrText>
      </w:r>
      <w:r w:rsidR="00212B36" w:rsidRPr="00212B36">
        <w:rPr>
          <w:vertAlign w:val="superscript"/>
          <w:lang w:eastAsia="ja-JP"/>
        </w:rPr>
      </w:r>
      <w:r w:rsidR="00212B36" w:rsidRPr="00212B36">
        <w:rPr>
          <w:vertAlign w:val="superscript"/>
          <w:lang w:eastAsia="ja-JP"/>
        </w:rPr>
        <w:fldChar w:fldCharType="separate"/>
      </w:r>
      <w:r w:rsidR="0016256C">
        <w:rPr>
          <w:vertAlign w:val="superscript"/>
          <w:lang w:eastAsia="ja-JP"/>
        </w:rPr>
        <w:t>19</w:t>
      </w:r>
      <w:r w:rsidR="00212B36" w:rsidRPr="00212B36">
        <w:rPr>
          <w:vertAlign w:val="superscript"/>
          <w:lang w:eastAsia="ja-JP"/>
        </w:rPr>
        <w:fldChar w:fldCharType="end"/>
      </w:r>
    </w:p>
    <w:p w14:paraId="666A4246" w14:textId="77777777" w:rsidR="009F05D3" w:rsidRDefault="009F05D3" w:rsidP="00212F4B">
      <w:pPr>
        <w:rPr>
          <w:lang w:eastAsia="ja-JP"/>
        </w:rPr>
      </w:pPr>
      <w:r w:rsidRPr="00EF520F">
        <w:rPr>
          <w:lang w:eastAsia="ja-JP"/>
        </w:rPr>
        <w:lastRenderedPageBreak/>
        <w:t xml:space="preserve">PD-L1 is often expressed </w:t>
      </w:r>
      <w:r>
        <w:rPr>
          <w:lang w:eastAsia="ja-JP"/>
        </w:rPr>
        <w:t>on</w:t>
      </w:r>
      <w:r w:rsidRPr="00EF520F">
        <w:rPr>
          <w:lang w:eastAsia="ja-JP"/>
        </w:rPr>
        <w:t xml:space="preserve"> </w:t>
      </w:r>
      <w:r>
        <w:rPr>
          <w:lang w:eastAsia="ja-JP"/>
        </w:rPr>
        <w:t>MCC cells, or on infiltrating immune cells in the tumour microenvironment</w:t>
      </w:r>
      <w:r w:rsidR="00BD555D">
        <w:rPr>
          <w:lang w:eastAsia="ja-JP"/>
        </w:rPr>
        <w:t xml:space="preserve">. </w:t>
      </w:r>
      <w:r w:rsidR="00BD555D">
        <w:rPr>
          <w:rStyle w:val="FootnoteReference"/>
          <w:lang w:eastAsia="ja-JP"/>
        </w:rPr>
        <w:footnoteReference w:id="20"/>
      </w:r>
      <w:r>
        <w:rPr>
          <w:lang w:eastAsia="ja-JP"/>
        </w:rPr>
        <w:t xml:space="preserve"> Such</w:t>
      </w:r>
      <w:r w:rsidRPr="00EF520F">
        <w:rPr>
          <w:lang w:eastAsia="ja-JP"/>
        </w:rPr>
        <w:t xml:space="preserve"> expression of PD-L1 may result in inhibition of </w:t>
      </w:r>
      <w:r w:rsidR="005E1E9B">
        <w:rPr>
          <w:lang w:eastAsia="ja-JP"/>
        </w:rPr>
        <w:t>T cell</w:t>
      </w:r>
      <w:r w:rsidRPr="00EF520F">
        <w:rPr>
          <w:lang w:eastAsia="ja-JP"/>
        </w:rPr>
        <w:t xml:space="preserve"> mediated anti-tumour effects via the PD</w:t>
      </w:r>
      <w:r>
        <w:rPr>
          <w:lang w:eastAsia="ja-JP"/>
        </w:rPr>
        <w:t>-</w:t>
      </w:r>
      <w:r w:rsidRPr="00EF520F">
        <w:rPr>
          <w:lang w:eastAsia="ja-JP"/>
        </w:rPr>
        <w:t xml:space="preserve">1 receptor. The clinical rationale for </w:t>
      </w:r>
      <w:r>
        <w:rPr>
          <w:lang w:eastAsia="ja-JP"/>
        </w:rPr>
        <w:t>blockade of PD-L1 with avelumab</w:t>
      </w:r>
      <w:r w:rsidRPr="00EF520F">
        <w:rPr>
          <w:lang w:eastAsia="ja-JP"/>
        </w:rPr>
        <w:t xml:space="preserve"> is to remove such inhibition.</w:t>
      </w:r>
    </w:p>
    <w:p w14:paraId="157D5265" w14:textId="77777777" w:rsidR="00500337" w:rsidRPr="00BD555D" w:rsidRDefault="009F05D3" w:rsidP="00212F4B">
      <w:r>
        <w:rPr>
          <w:lang w:eastAsia="ja-JP"/>
        </w:rPr>
        <w:t xml:space="preserve">Interruption of the PD-L1/PD-1 pathway with pembrolizumab, a monoclonal antibody directed against PD-1, has recently been demonstrated to be associated with a high response rate in </w:t>
      </w:r>
      <w:r w:rsidR="006C35DA">
        <w:rPr>
          <w:lang w:eastAsia="ja-JP"/>
        </w:rPr>
        <w:t>metastatic MCC</w:t>
      </w:r>
      <w:r w:rsidR="00BD555D">
        <w:rPr>
          <w:lang w:eastAsia="ja-JP"/>
        </w:rPr>
        <w:t>.</w:t>
      </w:r>
      <w:r w:rsidR="00BD555D">
        <w:rPr>
          <w:rStyle w:val="FootnoteReference"/>
          <w:lang w:eastAsia="ja-JP"/>
        </w:rPr>
        <w:footnoteReference w:id="21"/>
      </w:r>
    </w:p>
    <w:p w14:paraId="03CEB3CD" w14:textId="77777777" w:rsidR="00605AD4" w:rsidRDefault="00605AD4" w:rsidP="00212F4B">
      <w:pPr>
        <w:pStyle w:val="Heading4"/>
      </w:pPr>
      <w:r w:rsidRPr="00212F4B">
        <w:t>Guidance</w:t>
      </w:r>
    </w:p>
    <w:p w14:paraId="2BD48169" w14:textId="77777777" w:rsidR="008730C4" w:rsidRDefault="008730C4" w:rsidP="00212F4B">
      <w:r>
        <w:t xml:space="preserve">The following </w:t>
      </w:r>
      <w:r w:rsidR="005049BA">
        <w:t>European Medicines Agency (</w:t>
      </w:r>
      <w:r>
        <w:t>EMA</w:t>
      </w:r>
      <w:r w:rsidR="005049BA">
        <w:t>)</w:t>
      </w:r>
      <w:r>
        <w:t xml:space="preserve"> guidelines which have been adopted by the </w:t>
      </w:r>
      <w:proofErr w:type="gramStart"/>
      <w:r>
        <w:t>TGA,</w:t>
      </w:r>
      <w:proofErr w:type="gramEnd"/>
      <w:r>
        <w:t xml:space="preserve"> are considered relevant to the current submission:</w:t>
      </w:r>
    </w:p>
    <w:p w14:paraId="12756CFE" w14:textId="77777777" w:rsidR="008730C4" w:rsidRPr="00BD555D" w:rsidRDefault="00BD555D" w:rsidP="00212F4B">
      <w:pPr>
        <w:pStyle w:val="ListBullet"/>
      </w:pPr>
      <w:r w:rsidRPr="00BD555D">
        <w:t xml:space="preserve">European Medicines </w:t>
      </w:r>
      <w:r w:rsidRPr="00212F4B">
        <w:t>Agency</w:t>
      </w:r>
      <w:r w:rsidRPr="00BD555D">
        <w:t>. Guideline on the evaluation of anticancer medicinal products in man. EMA/CHMP/205/95</w:t>
      </w:r>
      <w:r w:rsidR="006C35DA">
        <w:t>/Rev.4; (2012)</w:t>
      </w:r>
      <w:r w:rsidR="008730C4" w:rsidRPr="00BD555D">
        <w:t>;</w:t>
      </w:r>
      <w:bookmarkStart w:id="91" w:name="_Ref525643657"/>
      <w:r>
        <w:rPr>
          <w:rStyle w:val="FootnoteReference"/>
        </w:rPr>
        <w:footnoteReference w:id="22"/>
      </w:r>
      <w:bookmarkEnd w:id="91"/>
    </w:p>
    <w:p w14:paraId="3DE30991" w14:textId="77777777" w:rsidR="00500337" w:rsidRPr="00BD555D" w:rsidRDefault="008730C4" w:rsidP="00212F4B">
      <w:pPr>
        <w:pStyle w:val="ListBullet"/>
      </w:pPr>
      <w:r w:rsidRPr="004E69F7">
        <w:t>Points to consider on application with 1. Meta</w:t>
      </w:r>
      <w:r>
        <w:t>-analyses; 2. One pivotal study</w:t>
      </w:r>
      <w:r w:rsidR="00BD555D">
        <w:t>.</w:t>
      </w:r>
      <w:bookmarkStart w:id="92" w:name="_Ref525643864"/>
      <w:r w:rsidR="006C35DA" w:rsidRPr="006C35DA">
        <w:t xml:space="preserve"> </w:t>
      </w:r>
      <w:r w:rsidR="006C35DA" w:rsidRPr="00BD555D">
        <w:t>CPMP/EWP/</w:t>
      </w:r>
      <w:r w:rsidR="006C35DA" w:rsidRPr="00212F4B">
        <w:t>2330</w:t>
      </w:r>
      <w:r w:rsidR="006C35DA" w:rsidRPr="00BD555D">
        <w:t>/99 (2001)</w:t>
      </w:r>
      <w:r w:rsidR="00A63E68">
        <w:t>.</w:t>
      </w:r>
      <w:r w:rsidR="00BD555D">
        <w:rPr>
          <w:rStyle w:val="FootnoteReference"/>
        </w:rPr>
        <w:footnoteReference w:id="23"/>
      </w:r>
      <w:bookmarkEnd w:id="92"/>
    </w:p>
    <w:p w14:paraId="49F2C97B" w14:textId="77777777" w:rsidR="00605AD4" w:rsidRDefault="00605AD4" w:rsidP="00212F4B">
      <w:pPr>
        <w:pStyle w:val="Heading4"/>
      </w:pPr>
      <w:r w:rsidRPr="00605AD4">
        <w:t xml:space="preserve">Contents of the clinical </w:t>
      </w:r>
      <w:r w:rsidRPr="00212F4B">
        <w:t>dossier</w:t>
      </w:r>
    </w:p>
    <w:p w14:paraId="02284A4E" w14:textId="77777777" w:rsidR="008730C4" w:rsidRDefault="008730C4" w:rsidP="00212F4B">
      <w:pPr>
        <w:rPr>
          <w:lang w:eastAsia="ja-JP"/>
        </w:rPr>
      </w:pPr>
      <w:r>
        <w:rPr>
          <w:lang w:eastAsia="ja-JP"/>
        </w:rPr>
        <w:t>The dossier included data from three clinical studies conducted with avelumab. These studies provided data on the pharmacokinetics, pharmacodynamics, efficacy and safety of the drug.</w:t>
      </w:r>
    </w:p>
    <w:p w14:paraId="5EB744E9" w14:textId="77777777" w:rsidR="008730C4" w:rsidRDefault="008730C4" w:rsidP="00212F4B">
      <w:r w:rsidRPr="008730C4">
        <w:t>The following studies were submitted</w:t>
      </w:r>
    </w:p>
    <w:p w14:paraId="37DB8FCA" w14:textId="77777777" w:rsidR="008730C4" w:rsidRPr="008730C4" w:rsidRDefault="008730C4" w:rsidP="00212F4B">
      <w:pPr>
        <w:pStyle w:val="ListBullet"/>
      </w:pPr>
      <w:r w:rsidRPr="008730C4">
        <w:t xml:space="preserve">Study EMR100070-001 (‘Study 001’). This was a </w:t>
      </w:r>
      <w:r w:rsidR="006C35DA">
        <w:t>Phase I/II</w:t>
      </w:r>
      <w:r w:rsidRPr="008730C4">
        <w:t>b trial conducted in subjects with advanced solid tumours. It consisted of two phases:</w:t>
      </w:r>
    </w:p>
    <w:p w14:paraId="7D280D7F" w14:textId="77777777" w:rsidR="008730C4" w:rsidRPr="008730C4" w:rsidRDefault="008730C4" w:rsidP="00212F4B">
      <w:pPr>
        <w:pStyle w:val="ListBullet2"/>
      </w:pPr>
      <w:r w:rsidRPr="008730C4">
        <w:t xml:space="preserve">a dose escalation </w:t>
      </w:r>
      <w:r w:rsidRPr="00212F4B">
        <w:t>phase</w:t>
      </w:r>
      <w:r w:rsidRPr="008730C4">
        <w:t xml:space="preserve"> intended to define a dose for further investigation; and</w:t>
      </w:r>
    </w:p>
    <w:p w14:paraId="049ACE88" w14:textId="77777777" w:rsidR="008730C4" w:rsidRDefault="008730C4" w:rsidP="008730C4">
      <w:pPr>
        <w:pStyle w:val="ListBullet2"/>
      </w:pPr>
      <w:proofErr w:type="gramStart"/>
      <w:r w:rsidRPr="008730C4">
        <w:t>an</w:t>
      </w:r>
      <w:proofErr w:type="gramEnd"/>
      <w:r w:rsidRPr="008730C4">
        <w:t xml:space="preserve"> expansion phase, in which subjects with advanced malignancies were enrolled in 16 separate </w:t>
      </w:r>
      <w:r w:rsidR="00273D46">
        <w:t>single arm</w:t>
      </w:r>
      <w:r w:rsidRPr="008730C4">
        <w:t xml:space="preserve"> cohorts.</w:t>
      </w:r>
    </w:p>
    <w:p w14:paraId="41F1E197" w14:textId="77777777" w:rsidR="008730C4" w:rsidRPr="008730C4" w:rsidRDefault="008730C4" w:rsidP="00212F4B">
      <w:pPr>
        <w:pStyle w:val="ListBullet"/>
      </w:pPr>
      <w:r w:rsidRPr="008730C4">
        <w:t xml:space="preserve">Study </w:t>
      </w:r>
      <w:r w:rsidRPr="00212F4B">
        <w:t>EMR100070</w:t>
      </w:r>
      <w:r w:rsidRPr="008730C4">
        <w:t xml:space="preserve">-002 (‘Study 002’). This was a </w:t>
      </w:r>
      <w:r w:rsidR="006C35DA">
        <w:t>Phase I</w:t>
      </w:r>
      <w:r w:rsidRPr="008730C4">
        <w:t xml:space="preserve"> trial conducted in Japanese subjects with advanced solid tumou</w:t>
      </w:r>
      <w:r w:rsidR="00BD555D">
        <w:t>rs. It consisted of two phases:</w:t>
      </w:r>
    </w:p>
    <w:p w14:paraId="776841CF" w14:textId="77777777" w:rsidR="008730C4" w:rsidRPr="008730C4" w:rsidRDefault="008730C4" w:rsidP="008730C4">
      <w:pPr>
        <w:pStyle w:val="ListBullet2"/>
      </w:pPr>
      <w:r w:rsidRPr="008730C4">
        <w:t>a dose escalation phase intended to define a dose for further investigation; and</w:t>
      </w:r>
    </w:p>
    <w:p w14:paraId="75B187E0" w14:textId="77777777" w:rsidR="008730C4" w:rsidRDefault="008730C4" w:rsidP="008730C4">
      <w:pPr>
        <w:pStyle w:val="ListBullet2"/>
      </w:pPr>
      <w:proofErr w:type="gramStart"/>
      <w:r w:rsidRPr="008730C4">
        <w:t>an</w:t>
      </w:r>
      <w:proofErr w:type="gramEnd"/>
      <w:r w:rsidRPr="008730C4">
        <w:t xml:space="preserve"> expansion phase, in which subjects with advanced gastric cancer were enrolled in a </w:t>
      </w:r>
      <w:r w:rsidR="00273D46">
        <w:t>single arm</w:t>
      </w:r>
      <w:r w:rsidRPr="008730C4">
        <w:t xml:space="preserve"> cohort.</w:t>
      </w:r>
    </w:p>
    <w:p w14:paraId="36B688F2" w14:textId="77777777" w:rsidR="008730C4" w:rsidRDefault="008730C4" w:rsidP="00212F4B">
      <w:pPr>
        <w:pStyle w:val="ListBullet"/>
        <w:rPr>
          <w:lang w:eastAsia="ja-JP"/>
        </w:rPr>
      </w:pPr>
      <w:r>
        <w:rPr>
          <w:lang w:eastAsia="ja-JP"/>
        </w:rPr>
        <w:t xml:space="preserve">Study </w:t>
      </w:r>
      <w:r w:rsidRPr="00655338">
        <w:rPr>
          <w:lang w:eastAsia="ja-JP"/>
        </w:rPr>
        <w:t xml:space="preserve">EMR100070-003 </w:t>
      </w:r>
      <w:r>
        <w:rPr>
          <w:lang w:eastAsia="ja-JP"/>
        </w:rPr>
        <w:t xml:space="preserve">(‘Study 003’). This was a </w:t>
      </w:r>
      <w:r w:rsidR="00A63E68">
        <w:rPr>
          <w:lang w:eastAsia="ja-JP"/>
        </w:rPr>
        <w:t>Phase</w:t>
      </w:r>
      <w:r w:rsidR="00655338">
        <w:rPr>
          <w:lang w:eastAsia="ja-JP"/>
        </w:rPr>
        <w:t xml:space="preserve"> II</w:t>
      </w:r>
      <w:r>
        <w:rPr>
          <w:lang w:eastAsia="ja-JP"/>
        </w:rPr>
        <w:t xml:space="preserve"> </w:t>
      </w:r>
      <w:r w:rsidR="00273D46">
        <w:rPr>
          <w:lang w:eastAsia="ja-JP"/>
        </w:rPr>
        <w:t>single arm</w:t>
      </w:r>
      <w:r>
        <w:rPr>
          <w:lang w:eastAsia="ja-JP"/>
        </w:rPr>
        <w:t xml:space="preserve"> trial conducted in subjects with </w:t>
      </w:r>
      <w:r w:rsidR="006C35DA">
        <w:rPr>
          <w:lang w:eastAsia="ja-JP"/>
        </w:rPr>
        <w:t>metastatic MCC</w:t>
      </w:r>
      <w:r>
        <w:rPr>
          <w:lang w:eastAsia="ja-JP"/>
        </w:rPr>
        <w:t>. It was the pivotal efficacy study.</w:t>
      </w:r>
    </w:p>
    <w:p w14:paraId="13B08D66" w14:textId="77777777" w:rsidR="008730C4" w:rsidRDefault="00655338" w:rsidP="00212F4B">
      <w:pPr>
        <w:rPr>
          <w:lang w:eastAsia="ja-JP"/>
        </w:rPr>
      </w:pPr>
      <w:r>
        <w:rPr>
          <w:lang w:eastAsia="ja-JP"/>
        </w:rPr>
        <w:t>The clinical module</w:t>
      </w:r>
      <w:r w:rsidR="008730C4">
        <w:rPr>
          <w:lang w:eastAsia="ja-JP"/>
        </w:rPr>
        <w:t xml:space="preserve"> also included the following:</w:t>
      </w:r>
    </w:p>
    <w:p w14:paraId="772D4197" w14:textId="77777777" w:rsidR="008730C4" w:rsidRPr="008139DC" w:rsidRDefault="008730C4" w:rsidP="008730C4">
      <w:pPr>
        <w:pStyle w:val="ListBullet"/>
        <w:rPr>
          <w:b/>
          <w:lang w:eastAsia="ja-JP"/>
        </w:rPr>
      </w:pPr>
      <w:r w:rsidRPr="00655338">
        <w:rPr>
          <w:lang w:eastAsia="ja-JP"/>
        </w:rPr>
        <w:t>Study 100070-Obs001</w:t>
      </w:r>
      <w:r>
        <w:rPr>
          <w:lang w:eastAsia="ja-JP"/>
        </w:rPr>
        <w:t xml:space="preserve"> which was a retrospective analysis of efficacy outcomes in subjects receiving cytotoxic chemotherapy for the treatment of </w:t>
      </w:r>
      <w:r w:rsidR="006C35DA">
        <w:rPr>
          <w:lang w:eastAsia="ja-JP"/>
        </w:rPr>
        <w:t>metastatic MCC</w:t>
      </w:r>
      <w:r>
        <w:rPr>
          <w:lang w:eastAsia="ja-JP"/>
        </w:rPr>
        <w:t>;</w:t>
      </w:r>
    </w:p>
    <w:p w14:paraId="1E3A3F42" w14:textId="79C48E7C" w:rsidR="008730C4" w:rsidRDefault="008730C4" w:rsidP="00212F4B">
      <w:pPr>
        <w:pStyle w:val="ListBullet"/>
        <w:rPr>
          <w:lang w:eastAsia="ja-JP"/>
        </w:rPr>
      </w:pPr>
      <w:r w:rsidRPr="008139DC">
        <w:rPr>
          <w:lang w:eastAsia="ja-JP"/>
        </w:rPr>
        <w:t xml:space="preserve">1 population </w:t>
      </w:r>
      <w:r w:rsidR="00BE6EC5">
        <w:rPr>
          <w:lang w:eastAsia="ja-JP"/>
        </w:rPr>
        <w:t>pharmacokinetics (</w:t>
      </w:r>
      <w:proofErr w:type="spellStart"/>
      <w:r w:rsidR="00BE6EC5">
        <w:rPr>
          <w:lang w:eastAsia="ja-JP"/>
        </w:rPr>
        <w:t>Pop</w:t>
      </w:r>
      <w:r>
        <w:rPr>
          <w:lang w:eastAsia="ja-JP"/>
        </w:rPr>
        <w:t>PK</w:t>
      </w:r>
      <w:proofErr w:type="spellEnd"/>
      <w:r w:rsidR="00BE6EC5">
        <w:rPr>
          <w:lang w:eastAsia="ja-JP"/>
        </w:rPr>
        <w:t>)</w:t>
      </w:r>
      <w:r>
        <w:rPr>
          <w:lang w:eastAsia="ja-JP"/>
        </w:rPr>
        <w:t xml:space="preserve"> </w:t>
      </w:r>
      <w:r w:rsidRPr="00212F4B">
        <w:t>analysis</w:t>
      </w:r>
      <w:r>
        <w:rPr>
          <w:lang w:eastAsia="ja-JP"/>
        </w:rPr>
        <w:t>;</w:t>
      </w:r>
    </w:p>
    <w:p w14:paraId="3B999521" w14:textId="77777777" w:rsidR="008730C4" w:rsidRDefault="008730C4" w:rsidP="0063228A">
      <w:pPr>
        <w:pStyle w:val="ListBullet"/>
        <w:rPr>
          <w:lang w:eastAsia="ja-JP"/>
        </w:rPr>
      </w:pPr>
      <w:r>
        <w:rPr>
          <w:lang w:eastAsia="ja-JP"/>
        </w:rPr>
        <w:lastRenderedPageBreak/>
        <w:t>4 exposure-</w:t>
      </w:r>
      <w:r w:rsidRPr="0063228A">
        <w:t>response</w:t>
      </w:r>
      <w:r>
        <w:rPr>
          <w:lang w:eastAsia="ja-JP"/>
        </w:rPr>
        <w:t xml:space="preserve"> analyses;</w:t>
      </w:r>
    </w:p>
    <w:p w14:paraId="0DFAD7C7" w14:textId="77777777" w:rsidR="00500337" w:rsidRPr="00500337" w:rsidRDefault="008730C4" w:rsidP="0063228A">
      <w:pPr>
        <w:pStyle w:val="ListBullet"/>
        <w:rPr>
          <w:lang w:eastAsia="ja-JP"/>
        </w:rPr>
      </w:pPr>
      <w:r>
        <w:rPr>
          <w:lang w:eastAsia="ja-JP"/>
        </w:rPr>
        <w:t xml:space="preserve">Literature </w:t>
      </w:r>
      <w:r w:rsidRPr="0063228A">
        <w:t>references</w:t>
      </w:r>
      <w:r>
        <w:rPr>
          <w:lang w:eastAsia="ja-JP"/>
        </w:rPr>
        <w:t>.</w:t>
      </w:r>
    </w:p>
    <w:p w14:paraId="6B349707" w14:textId="77777777" w:rsidR="00605AD4" w:rsidRDefault="00605AD4" w:rsidP="0063228A">
      <w:pPr>
        <w:pStyle w:val="Heading4"/>
      </w:pPr>
      <w:r w:rsidRPr="0063228A">
        <w:t>Paediatric</w:t>
      </w:r>
      <w:r w:rsidRPr="00605AD4">
        <w:t xml:space="preserve"> data</w:t>
      </w:r>
    </w:p>
    <w:p w14:paraId="5B92C80D" w14:textId="77777777" w:rsidR="00500337" w:rsidRDefault="008730C4" w:rsidP="0063228A">
      <w:pPr>
        <w:rPr>
          <w:lang w:eastAsia="ja-JP"/>
        </w:rPr>
      </w:pPr>
      <w:r>
        <w:rPr>
          <w:lang w:eastAsia="ja-JP"/>
        </w:rPr>
        <w:t xml:space="preserve">No paediatric data were included in the submission. All submitted studies excluded subjects below the age of 18 years. The sponsor has received a waiver from having to submit paediatric data from both the </w:t>
      </w:r>
      <w:r w:rsidR="005049BA">
        <w:t>Food and Drug Administration</w:t>
      </w:r>
      <w:r w:rsidR="005049BA">
        <w:rPr>
          <w:lang w:eastAsia="ja-JP"/>
        </w:rPr>
        <w:t xml:space="preserve"> (</w:t>
      </w:r>
      <w:r>
        <w:rPr>
          <w:lang w:eastAsia="ja-JP"/>
        </w:rPr>
        <w:t>FDA</w:t>
      </w:r>
      <w:r w:rsidR="005049BA">
        <w:rPr>
          <w:lang w:eastAsia="ja-JP"/>
        </w:rPr>
        <w:t>)</w:t>
      </w:r>
      <w:r>
        <w:rPr>
          <w:lang w:eastAsia="ja-JP"/>
        </w:rPr>
        <w:t xml:space="preserve"> and the EMA.</w:t>
      </w:r>
    </w:p>
    <w:p w14:paraId="291172C4" w14:textId="77777777" w:rsidR="00605AD4" w:rsidRDefault="00605AD4" w:rsidP="0063228A">
      <w:pPr>
        <w:pStyle w:val="Heading4"/>
      </w:pPr>
      <w:r w:rsidRPr="00605AD4">
        <w:t xml:space="preserve">Good </w:t>
      </w:r>
      <w:r w:rsidRPr="0063228A">
        <w:t>clinical</w:t>
      </w:r>
      <w:r w:rsidRPr="00605AD4">
        <w:t xml:space="preserve"> practice</w:t>
      </w:r>
    </w:p>
    <w:p w14:paraId="1D6C8D17" w14:textId="4804091F" w:rsidR="00500337" w:rsidRPr="00500337" w:rsidRDefault="008730C4" w:rsidP="0063228A">
      <w:pPr>
        <w:rPr>
          <w:lang w:eastAsia="ja-JP"/>
        </w:rPr>
      </w:pPr>
      <w:r>
        <w:rPr>
          <w:lang w:eastAsia="ja-JP"/>
        </w:rPr>
        <w:t>For each of the clinical studies in the submission an assurance was provided that the study was conducted in accordance with the ICH guidelines for Good Clinical Practice</w:t>
      </w:r>
      <w:r w:rsidR="00BE6EC5">
        <w:rPr>
          <w:lang w:eastAsia="ja-JP"/>
        </w:rPr>
        <w:t xml:space="preserve"> (GCP)</w:t>
      </w:r>
      <w:r>
        <w:rPr>
          <w:lang w:eastAsia="ja-JP"/>
        </w:rPr>
        <w:t xml:space="preserve">, and the ethical principles of the </w:t>
      </w:r>
      <w:r w:rsidRPr="003C4D72">
        <w:rPr>
          <w:lang w:eastAsia="ja-JP"/>
        </w:rPr>
        <w:t>World Medical Association</w:t>
      </w:r>
      <w:r w:rsidR="00BE6EC5">
        <w:rPr>
          <w:lang w:eastAsia="ja-JP"/>
        </w:rPr>
        <w:t xml:space="preserve">’s </w:t>
      </w:r>
      <w:r w:rsidRPr="003C4D72">
        <w:rPr>
          <w:lang w:eastAsia="ja-JP"/>
        </w:rPr>
        <w:t>Declaration of Helsinki, 2008</w:t>
      </w:r>
      <w:r>
        <w:rPr>
          <w:lang w:eastAsia="ja-JP"/>
        </w:rPr>
        <w:t>.</w:t>
      </w:r>
    </w:p>
    <w:p w14:paraId="686D748F" w14:textId="77777777" w:rsidR="008E7846" w:rsidRDefault="008E7846" w:rsidP="0063228A">
      <w:pPr>
        <w:pStyle w:val="Heading3"/>
      </w:pPr>
      <w:bookmarkStart w:id="93" w:name="_Toc8053062"/>
      <w:r w:rsidRPr="0063228A">
        <w:t>Pharmacokinetics</w:t>
      </w:r>
      <w:bookmarkEnd w:id="76"/>
      <w:bookmarkEnd w:id="83"/>
      <w:bookmarkEnd w:id="84"/>
      <w:bookmarkEnd w:id="85"/>
      <w:bookmarkEnd w:id="93"/>
    </w:p>
    <w:p w14:paraId="4A1D7D8C" w14:textId="77777777" w:rsidR="00F447BC" w:rsidRDefault="00F447BC" w:rsidP="0063228A">
      <w:pPr>
        <w:rPr>
          <w:lang w:eastAsia="ja-JP"/>
        </w:rPr>
      </w:pPr>
      <w:r>
        <w:rPr>
          <w:lang w:eastAsia="ja-JP"/>
        </w:rPr>
        <w:t xml:space="preserve">The submission included three clinical trials of avelumab. </w:t>
      </w:r>
      <w:r w:rsidR="00655338" w:rsidRPr="00254787">
        <w:t>Pharmacokinetic</w:t>
      </w:r>
      <w:r w:rsidR="00655338">
        <w:t xml:space="preserve"> (</w:t>
      </w:r>
      <w:r>
        <w:rPr>
          <w:lang w:eastAsia="ja-JP"/>
        </w:rPr>
        <w:t>PK</w:t>
      </w:r>
      <w:r w:rsidR="00655338">
        <w:rPr>
          <w:lang w:eastAsia="ja-JP"/>
        </w:rPr>
        <w:t>)</w:t>
      </w:r>
      <w:r>
        <w:rPr>
          <w:lang w:eastAsia="ja-JP"/>
        </w:rPr>
        <w:t xml:space="preserve"> data were collected in all three studies, as shown in </w:t>
      </w:r>
      <w:r w:rsidR="00B70C5D">
        <w:rPr>
          <w:lang w:eastAsia="ja-JP"/>
        </w:rPr>
        <w:t xml:space="preserve">Table 5 </w:t>
      </w:r>
      <w:r>
        <w:rPr>
          <w:lang w:eastAsia="ja-JP"/>
        </w:rPr>
        <w:t>below. The sponsor also submitted a population PK analysis combining PK data from all three st</w:t>
      </w:r>
      <w:r w:rsidR="00655338">
        <w:rPr>
          <w:lang w:eastAsia="ja-JP"/>
        </w:rPr>
        <w:t xml:space="preserve">udies, and a series of exposure </w:t>
      </w:r>
      <w:r>
        <w:rPr>
          <w:lang w:eastAsia="ja-JP"/>
        </w:rPr>
        <w:t>response analyses.</w:t>
      </w:r>
    </w:p>
    <w:p w14:paraId="68663767" w14:textId="77777777" w:rsidR="00F447BC" w:rsidRDefault="00F447BC" w:rsidP="0063228A">
      <w:pPr>
        <w:pStyle w:val="TableTitle"/>
      </w:pPr>
      <w:bookmarkStart w:id="94" w:name="_Ref477939787"/>
      <w:bookmarkStart w:id="95" w:name="_Toc478484989"/>
      <w:r>
        <w:t xml:space="preserve">Table </w:t>
      </w:r>
      <w:bookmarkEnd w:id="94"/>
      <w:r w:rsidR="00B70C5D">
        <w:t>5:</w:t>
      </w:r>
      <w:r>
        <w:t xml:space="preserve"> </w:t>
      </w:r>
      <w:r w:rsidRPr="0063228A">
        <w:t>Submitted</w:t>
      </w:r>
      <w:r>
        <w:t xml:space="preserve"> pharmacokinetic studies</w:t>
      </w:r>
      <w:bookmarkEnd w:id="95"/>
    </w:p>
    <w:tbl>
      <w:tblPr>
        <w:tblStyle w:val="TableTGAblue"/>
        <w:tblW w:w="8046" w:type="dxa"/>
        <w:tblLayout w:type="fixed"/>
        <w:tblLook w:val="04A0" w:firstRow="1" w:lastRow="0" w:firstColumn="1" w:lastColumn="0" w:noHBand="0" w:noVBand="1"/>
      </w:tblPr>
      <w:tblGrid>
        <w:gridCol w:w="1951"/>
        <w:gridCol w:w="4111"/>
        <w:gridCol w:w="1417"/>
        <w:gridCol w:w="567"/>
      </w:tblGrid>
      <w:tr w:rsidR="00F447BC" w:rsidRPr="0063228A" w14:paraId="3A6E9394" w14:textId="77777777" w:rsidTr="00F447BC">
        <w:trPr>
          <w:cnfStyle w:val="100000000000" w:firstRow="1" w:lastRow="0" w:firstColumn="0" w:lastColumn="0" w:oddVBand="0" w:evenVBand="0" w:oddHBand="0" w:evenHBand="0" w:firstRowFirstColumn="0" w:firstRowLastColumn="0" w:lastRowFirstColumn="0" w:lastRowLastColumn="0"/>
        </w:trPr>
        <w:tc>
          <w:tcPr>
            <w:tcW w:w="1951" w:type="dxa"/>
          </w:tcPr>
          <w:p w14:paraId="34685890" w14:textId="77777777" w:rsidR="00F447BC" w:rsidRPr="0063228A" w:rsidRDefault="00F447BC" w:rsidP="0063228A">
            <w:pPr>
              <w:pStyle w:val="Tabletext"/>
            </w:pPr>
            <w:r w:rsidRPr="0063228A">
              <w:t>PK topic</w:t>
            </w:r>
          </w:p>
        </w:tc>
        <w:tc>
          <w:tcPr>
            <w:tcW w:w="4111" w:type="dxa"/>
          </w:tcPr>
          <w:p w14:paraId="221A669A" w14:textId="77777777" w:rsidR="00F447BC" w:rsidRPr="0063228A" w:rsidRDefault="00F447BC" w:rsidP="0063228A">
            <w:pPr>
              <w:pStyle w:val="Tabletext"/>
            </w:pPr>
            <w:r w:rsidRPr="0063228A">
              <w:t>Subtopic</w:t>
            </w:r>
          </w:p>
        </w:tc>
        <w:tc>
          <w:tcPr>
            <w:tcW w:w="1417" w:type="dxa"/>
          </w:tcPr>
          <w:p w14:paraId="69DEF710" w14:textId="77777777" w:rsidR="00F447BC" w:rsidRPr="0063228A" w:rsidRDefault="00F447BC" w:rsidP="0063228A">
            <w:pPr>
              <w:pStyle w:val="Tabletext"/>
              <w:jc w:val="center"/>
            </w:pPr>
            <w:r w:rsidRPr="0063228A">
              <w:t>Study ID</w:t>
            </w:r>
          </w:p>
        </w:tc>
        <w:tc>
          <w:tcPr>
            <w:tcW w:w="567" w:type="dxa"/>
          </w:tcPr>
          <w:p w14:paraId="29B907D7" w14:textId="77777777" w:rsidR="00F447BC" w:rsidRPr="0063228A" w:rsidRDefault="00F447BC" w:rsidP="0063228A">
            <w:pPr>
              <w:pStyle w:val="Tabletext"/>
              <w:jc w:val="center"/>
            </w:pPr>
            <w:r w:rsidRPr="0063228A">
              <w:t>*</w:t>
            </w:r>
          </w:p>
        </w:tc>
      </w:tr>
      <w:tr w:rsidR="00F447BC" w:rsidRPr="0063228A" w14:paraId="75924DE3" w14:textId="77777777" w:rsidTr="00F447BC">
        <w:tc>
          <w:tcPr>
            <w:tcW w:w="1951" w:type="dxa"/>
            <w:vMerge w:val="restart"/>
          </w:tcPr>
          <w:p w14:paraId="3F2071C1" w14:textId="77777777" w:rsidR="00F447BC" w:rsidRPr="0063228A" w:rsidRDefault="00F447BC" w:rsidP="0063228A">
            <w:pPr>
              <w:pStyle w:val="Tabletext"/>
              <w:rPr>
                <w:b/>
              </w:rPr>
            </w:pPr>
            <w:r w:rsidRPr="0063228A">
              <w:rPr>
                <w:b/>
              </w:rPr>
              <w:t>PK in subjects with various solid tumours</w:t>
            </w:r>
          </w:p>
        </w:tc>
        <w:tc>
          <w:tcPr>
            <w:tcW w:w="4111" w:type="dxa"/>
          </w:tcPr>
          <w:p w14:paraId="5AB8BC8C" w14:textId="77777777" w:rsidR="00F447BC" w:rsidRPr="0063228A" w:rsidRDefault="00655338" w:rsidP="0063228A">
            <w:pPr>
              <w:pStyle w:val="Tabletext"/>
            </w:pPr>
            <w:r w:rsidRPr="0063228A">
              <w:t xml:space="preserve">General PK - </w:t>
            </w:r>
            <w:r w:rsidR="00F447BC" w:rsidRPr="0063228A">
              <w:t>Single dose and Multi-dose</w:t>
            </w:r>
          </w:p>
        </w:tc>
        <w:tc>
          <w:tcPr>
            <w:tcW w:w="1417" w:type="dxa"/>
          </w:tcPr>
          <w:p w14:paraId="7C2632FA" w14:textId="77777777" w:rsidR="00F447BC" w:rsidRPr="0063228A" w:rsidRDefault="00F447BC" w:rsidP="0063228A">
            <w:pPr>
              <w:pStyle w:val="Tabletext"/>
              <w:jc w:val="center"/>
            </w:pPr>
            <w:r w:rsidRPr="0063228A">
              <w:t>Study 001</w:t>
            </w:r>
          </w:p>
        </w:tc>
        <w:tc>
          <w:tcPr>
            <w:tcW w:w="567" w:type="dxa"/>
          </w:tcPr>
          <w:p w14:paraId="607EA524" w14:textId="77777777" w:rsidR="00F447BC" w:rsidRPr="0063228A" w:rsidRDefault="00F447BC" w:rsidP="0063228A">
            <w:pPr>
              <w:pStyle w:val="Tabletext"/>
              <w:jc w:val="center"/>
            </w:pPr>
            <w:r w:rsidRPr="0063228A">
              <w:t>*</w:t>
            </w:r>
          </w:p>
        </w:tc>
      </w:tr>
      <w:tr w:rsidR="00F447BC" w:rsidRPr="0063228A" w14:paraId="73FE108B" w14:textId="77777777" w:rsidTr="00F447BC">
        <w:tc>
          <w:tcPr>
            <w:tcW w:w="1951" w:type="dxa"/>
            <w:vMerge/>
          </w:tcPr>
          <w:p w14:paraId="08C2E851" w14:textId="77777777" w:rsidR="00F447BC" w:rsidRPr="0063228A" w:rsidRDefault="00F447BC" w:rsidP="0063228A">
            <w:pPr>
              <w:pStyle w:val="Tabletext"/>
              <w:rPr>
                <w:b/>
              </w:rPr>
            </w:pPr>
          </w:p>
        </w:tc>
        <w:tc>
          <w:tcPr>
            <w:tcW w:w="4111" w:type="dxa"/>
          </w:tcPr>
          <w:p w14:paraId="38571FCD" w14:textId="4883618A" w:rsidR="00F447BC" w:rsidRPr="0063228A" w:rsidRDefault="00655338" w:rsidP="0063228A">
            <w:pPr>
              <w:pStyle w:val="Tabletext"/>
              <w:tabs>
                <w:tab w:val="left" w:pos="1168"/>
              </w:tabs>
            </w:pPr>
            <w:r w:rsidRPr="0063228A">
              <w:t xml:space="preserve">General PK - </w:t>
            </w:r>
            <w:r w:rsidR="00F447BC" w:rsidRPr="0063228A">
              <w:t xml:space="preserve">Single dose and Multi-dose </w:t>
            </w:r>
            <w:r w:rsidR="0063228A">
              <w:tab/>
            </w:r>
            <w:r w:rsidR="00F447BC" w:rsidRPr="0063228A">
              <w:t>(Japanese subjects)</w:t>
            </w:r>
          </w:p>
        </w:tc>
        <w:tc>
          <w:tcPr>
            <w:tcW w:w="1417" w:type="dxa"/>
          </w:tcPr>
          <w:p w14:paraId="016BD40B" w14:textId="77777777" w:rsidR="00F447BC" w:rsidRPr="0063228A" w:rsidRDefault="00F447BC" w:rsidP="0063228A">
            <w:pPr>
              <w:pStyle w:val="Tabletext"/>
              <w:jc w:val="center"/>
            </w:pPr>
            <w:r w:rsidRPr="0063228A">
              <w:t>Study 002</w:t>
            </w:r>
          </w:p>
        </w:tc>
        <w:tc>
          <w:tcPr>
            <w:tcW w:w="567" w:type="dxa"/>
          </w:tcPr>
          <w:p w14:paraId="20B251EF" w14:textId="77777777" w:rsidR="00F447BC" w:rsidRPr="0063228A" w:rsidRDefault="00F447BC" w:rsidP="0063228A">
            <w:pPr>
              <w:pStyle w:val="Tabletext"/>
              <w:jc w:val="center"/>
            </w:pPr>
            <w:r w:rsidRPr="0063228A">
              <w:t>*</w:t>
            </w:r>
          </w:p>
        </w:tc>
      </w:tr>
      <w:tr w:rsidR="00F447BC" w:rsidRPr="0063228A" w14:paraId="673BE6C2" w14:textId="77777777" w:rsidTr="00F447BC">
        <w:tc>
          <w:tcPr>
            <w:tcW w:w="1951" w:type="dxa"/>
          </w:tcPr>
          <w:p w14:paraId="74CD9E37" w14:textId="77777777" w:rsidR="00F447BC" w:rsidRPr="0063228A" w:rsidRDefault="00F447BC" w:rsidP="0063228A">
            <w:pPr>
              <w:pStyle w:val="Tabletext"/>
              <w:rPr>
                <w:b/>
              </w:rPr>
            </w:pPr>
            <w:r w:rsidRPr="0063228A">
              <w:rPr>
                <w:b/>
              </w:rPr>
              <w:t>PK in subjects with MCC</w:t>
            </w:r>
          </w:p>
        </w:tc>
        <w:tc>
          <w:tcPr>
            <w:tcW w:w="4111" w:type="dxa"/>
          </w:tcPr>
          <w:p w14:paraId="0F3B9400" w14:textId="77777777" w:rsidR="00F447BC" w:rsidRPr="0063228A" w:rsidRDefault="00655338" w:rsidP="0063228A">
            <w:pPr>
              <w:pStyle w:val="Tabletext"/>
            </w:pPr>
            <w:r w:rsidRPr="0063228A">
              <w:t xml:space="preserve">General PK - </w:t>
            </w:r>
            <w:r w:rsidR="00F447BC" w:rsidRPr="0063228A">
              <w:t>Single dose and Multi-dose</w:t>
            </w:r>
          </w:p>
        </w:tc>
        <w:tc>
          <w:tcPr>
            <w:tcW w:w="1417" w:type="dxa"/>
          </w:tcPr>
          <w:p w14:paraId="7BA98CC1" w14:textId="77777777" w:rsidR="00F447BC" w:rsidRPr="0063228A" w:rsidRDefault="00F447BC" w:rsidP="0063228A">
            <w:pPr>
              <w:pStyle w:val="Tabletext"/>
              <w:jc w:val="center"/>
            </w:pPr>
            <w:r w:rsidRPr="0063228A">
              <w:t>Study 003</w:t>
            </w:r>
          </w:p>
        </w:tc>
        <w:tc>
          <w:tcPr>
            <w:tcW w:w="567" w:type="dxa"/>
          </w:tcPr>
          <w:p w14:paraId="3289B044" w14:textId="77777777" w:rsidR="00F447BC" w:rsidRPr="0063228A" w:rsidRDefault="00F447BC" w:rsidP="0063228A">
            <w:pPr>
              <w:pStyle w:val="Tabletext"/>
              <w:jc w:val="center"/>
            </w:pPr>
            <w:r w:rsidRPr="0063228A">
              <w:t>*</w:t>
            </w:r>
          </w:p>
        </w:tc>
      </w:tr>
      <w:tr w:rsidR="00F447BC" w:rsidRPr="0063228A" w14:paraId="69F1DCCC" w14:textId="77777777" w:rsidTr="00F447BC">
        <w:tc>
          <w:tcPr>
            <w:tcW w:w="1951" w:type="dxa"/>
          </w:tcPr>
          <w:p w14:paraId="00109A50" w14:textId="77777777" w:rsidR="00F447BC" w:rsidRPr="0063228A" w:rsidRDefault="00F447BC" w:rsidP="0063228A">
            <w:pPr>
              <w:pStyle w:val="Tabletext"/>
              <w:rPr>
                <w:b/>
              </w:rPr>
            </w:pPr>
            <w:r w:rsidRPr="0063228A">
              <w:rPr>
                <w:b/>
              </w:rPr>
              <w:t>Population PK analyses</w:t>
            </w:r>
          </w:p>
        </w:tc>
        <w:tc>
          <w:tcPr>
            <w:tcW w:w="4111" w:type="dxa"/>
          </w:tcPr>
          <w:p w14:paraId="17FCAFE1" w14:textId="77777777" w:rsidR="00F447BC" w:rsidRPr="0063228A" w:rsidRDefault="00F447BC" w:rsidP="0063228A">
            <w:pPr>
              <w:pStyle w:val="Tabletext"/>
            </w:pPr>
            <w:r w:rsidRPr="0063228A">
              <w:t>Subjects with various solid tumours including MCC</w:t>
            </w:r>
          </w:p>
        </w:tc>
        <w:tc>
          <w:tcPr>
            <w:tcW w:w="1417" w:type="dxa"/>
          </w:tcPr>
          <w:p w14:paraId="53F402C9" w14:textId="77777777" w:rsidR="00F447BC" w:rsidRPr="0063228A" w:rsidRDefault="00F447BC" w:rsidP="0063228A">
            <w:pPr>
              <w:pStyle w:val="Tabletext"/>
              <w:jc w:val="center"/>
            </w:pPr>
            <w:r w:rsidRPr="0063228A">
              <w:t>-</w:t>
            </w:r>
          </w:p>
        </w:tc>
        <w:tc>
          <w:tcPr>
            <w:tcW w:w="567" w:type="dxa"/>
          </w:tcPr>
          <w:p w14:paraId="531BBB6B" w14:textId="77777777" w:rsidR="00F447BC" w:rsidRPr="0063228A" w:rsidRDefault="00F447BC" w:rsidP="0063228A">
            <w:pPr>
              <w:pStyle w:val="Tabletext"/>
              <w:jc w:val="center"/>
            </w:pPr>
            <w:r w:rsidRPr="0063228A">
              <w:t>*</w:t>
            </w:r>
          </w:p>
        </w:tc>
      </w:tr>
      <w:tr w:rsidR="00F447BC" w:rsidRPr="0063228A" w14:paraId="1155DA8B" w14:textId="77777777" w:rsidTr="00F447BC">
        <w:tc>
          <w:tcPr>
            <w:tcW w:w="1951" w:type="dxa"/>
            <w:vMerge w:val="restart"/>
          </w:tcPr>
          <w:p w14:paraId="7EB071A5" w14:textId="77777777" w:rsidR="00F447BC" w:rsidRPr="0063228A" w:rsidRDefault="00F447BC" w:rsidP="0063228A">
            <w:pPr>
              <w:pStyle w:val="Tabletext"/>
              <w:rPr>
                <w:b/>
              </w:rPr>
            </w:pPr>
            <w:r w:rsidRPr="0063228A">
              <w:rPr>
                <w:b/>
              </w:rPr>
              <w:t>Exposure-response analyses</w:t>
            </w:r>
          </w:p>
        </w:tc>
        <w:tc>
          <w:tcPr>
            <w:tcW w:w="4111" w:type="dxa"/>
          </w:tcPr>
          <w:p w14:paraId="5204CA97" w14:textId="77777777" w:rsidR="00F447BC" w:rsidRPr="0063228A" w:rsidRDefault="00F447BC" w:rsidP="0063228A">
            <w:pPr>
              <w:pStyle w:val="Tabletext"/>
            </w:pPr>
            <w:r w:rsidRPr="0063228A">
              <w:t>Relationship between PK exposure and efficacy – overall response</w:t>
            </w:r>
          </w:p>
        </w:tc>
        <w:tc>
          <w:tcPr>
            <w:tcW w:w="1417" w:type="dxa"/>
          </w:tcPr>
          <w:p w14:paraId="1CDCE23E" w14:textId="7341D813" w:rsidR="00F447BC" w:rsidRPr="0063228A" w:rsidRDefault="00F447BC" w:rsidP="0063228A">
            <w:pPr>
              <w:pStyle w:val="Tabletext"/>
              <w:jc w:val="center"/>
            </w:pPr>
            <w:r w:rsidRPr="0063228A">
              <w:t>-</w:t>
            </w:r>
          </w:p>
        </w:tc>
        <w:tc>
          <w:tcPr>
            <w:tcW w:w="567" w:type="dxa"/>
          </w:tcPr>
          <w:p w14:paraId="60E020C4" w14:textId="77777777" w:rsidR="00F447BC" w:rsidRPr="0063228A" w:rsidRDefault="00F447BC" w:rsidP="0063228A">
            <w:pPr>
              <w:pStyle w:val="Tabletext"/>
              <w:jc w:val="center"/>
            </w:pPr>
            <w:r w:rsidRPr="0063228A">
              <w:t>*</w:t>
            </w:r>
          </w:p>
        </w:tc>
      </w:tr>
      <w:tr w:rsidR="00F447BC" w:rsidRPr="0063228A" w14:paraId="6DB13251" w14:textId="77777777" w:rsidTr="00F447BC">
        <w:tc>
          <w:tcPr>
            <w:tcW w:w="1951" w:type="dxa"/>
            <w:vMerge/>
          </w:tcPr>
          <w:p w14:paraId="25ADCA15" w14:textId="77777777" w:rsidR="00F447BC" w:rsidRPr="0063228A" w:rsidRDefault="00F447BC" w:rsidP="0063228A">
            <w:pPr>
              <w:pStyle w:val="Tabletext"/>
            </w:pPr>
          </w:p>
        </w:tc>
        <w:tc>
          <w:tcPr>
            <w:tcW w:w="4111" w:type="dxa"/>
          </w:tcPr>
          <w:p w14:paraId="172E5B54" w14:textId="77777777" w:rsidR="00F447BC" w:rsidRPr="0063228A" w:rsidRDefault="00F447BC" w:rsidP="0063228A">
            <w:pPr>
              <w:pStyle w:val="Tabletext"/>
            </w:pPr>
            <w:r w:rsidRPr="0063228A">
              <w:t>Relationship between PK exposure and efficacy – PFS and OS</w:t>
            </w:r>
          </w:p>
        </w:tc>
        <w:tc>
          <w:tcPr>
            <w:tcW w:w="1417" w:type="dxa"/>
          </w:tcPr>
          <w:p w14:paraId="687254DE" w14:textId="77777777" w:rsidR="00F447BC" w:rsidRPr="0063228A" w:rsidRDefault="00F447BC" w:rsidP="0063228A">
            <w:pPr>
              <w:pStyle w:val="Tabletext"/>
              <w:jc w:val="center"/>
            </w:pPr>
            <w:r w:rsidRPr="0063228A">
              <w:t>-</w:t>
            </w:r>
          </w:p>
        </w:tc>
        <w:tc>
          <w:tcPr>
            <w:tcW w:w="567" w:type="dxa"/>
          </w:tcPr>
          <w:p w14:paraId="052EC110" w14:textId="77777777" w:rsidR="00F447BC" w:rsidRPr="0063228A" w:rsidRDefault="00F447BC" w:rsidP="0063228A">
            <w:pPr>
              <w:pStyle w:val="Tabletext"/>
              <w:jc w:val="center"/>
            </w:pPr>
            <w:r w:rsidRPr="0063228A">
              <w:t>*</w:t>
            </w:r>
          </w:p>
        </w:tc>
      </w:tr>
      <w:tr w:rsidR="00F447BC" w:rsidRPr="0063228A" w14:paraId="44B605C0" w14:textId="77777777" w:rsidTr="00F447BC">
        <w:tc>
          <w:tcPr>
            <w:tcW w:w="1951" w:type="dxa"/>
            <w:vMerge/>
          </w:tcPr>
          <w:p w14:paraId="41E42D69" w14:textId="77777777" w:rsidR="00F447BC" w:rsidRPr="0063228A" w:rsidRDefault="00F447BC" w:rsidP="0063228A">
            <w:pPr>
              <w:pStyle w:val="Tabletext"/>
            </w:pPr>
          </w:p>
        </w:tc>
        <w:tc>
          <w:tcPr>
            <w:tcW w:w="4111" w:type="dxa"/>
          </w:tcPr>
          <w:p w14:paraId="69AEE2D8" w14:textId="77777777" w:rsidR="00F447BC" w:rsidRPr="0063228A" w:rsidRDefault="00F447BC" w:rsidP="0063228A">
            <w:pPr>
              <w:pStyle w:val="Tabletext"/>
            </w:pPr>
            <w:r w:rsidRPr="0063228A">
              <w:t>Relationship between PK exposure and safety – adverse events</w:t>
            </w:r>
          </w:p>
        </w:tc>
        <w:tc>
          <w:tcPr>
            <w:tcW w:w="1417" w:type="dxa"/>
          </w:tcPr>
          <w:p w14:paraId="7541602B" w14:textId="77777777" w:rsidR="00F447BC" w:rsidRPr="0063228A" w:rsidRDefault="00F447BC" w:rsidP="0063228A">
            <w:pPr>
              <w:pStyle w:val="Tabletext"/>
              <w:jc w:val="center"/>
            </w:pPr>
            <w:r w:rsidRPr="0063228A">
              <w:t>-</w:t>
            </w:r>
          </w:p>
        </w:tc>
        <w:tc>
          <w:tcPr>
            <w:tcW w:w="567" w:type="dxa"/>
          </w:tcPr>
          <w:p w14:paraId="68133A72" w14:textId="77777777" w:rsidR="00F447BC" w:rsidRPr="0063228A" w:rsidRDefault="00F447BC" w:rsidP="0063228A">
            <w:pPr>
              <w:pStyle w:val="Tabletext"/>
              <w:jc w:val="center"/>
            </w:pPr>
            <w:r w:rsidRPr="0063228A">
              <w:t>*</w:t>
            </w:r>
          </w:p>
        </w:tc>
      </w:tr>
      <w:tr w:rsidR="00F447BC" w:rsidRPr="0063228A" w14:paraId="75EC8890" w14:textId="77777777" w:rsidTr="00F447BC">
        <w:tc>
          <w:tcPr>
            <w:tcW w:w="1951" w:type="dxa"/>
            <w:vMerge/>
          </w:tcPr>
          <w:p w14:paraId="16076487" w14:textId="77777777" w:rsidR="00F447BC" w:rsidRPr="0063228A" w:rsidRDefault="00F447BC" w:rsidP="0063228A">
            <w:pPr>
              <w:pStyle w:val="Tabletext"/>
            </w:pPr>
          </w:p>
        </w:tc>
        <w:tc>
          <w:tcPr>
            <w:tcW w:w="4111" w:type="dxa"/>
          </w:tcPr>
          <w:p w14:paraId="34A8575A" w14:textId="77777777" w:rsidR="00F447BC" w:rsidRPr="0063228A" w:rsidRDefault="00F447BC" w:rsidP="0063228A">
            <w:pPr>
              <w:pStyle w:val="Tabletext"/>
            </w:pPr>
            <w:r w:rsidRPr="0063228A">
              <w:t>Relationship between PK exposure and safety – QT interval</w:t>
            </w:r>
          </w:p>
        </w:tc>
        <w:tc>
          <w:tcPr>
            <w:tcW w:w="1417" w:type="dxa"/>
          </w:tcPr>
          <w:p w14:paraId="392BD609" w14:textId="77777777" w:rsidR="00F447BC" w:rsidRPr="0063228A" w:rsidRDefault="00F447BC" w:rsidP="0063228A">
            <w:pPr>
              <w:pStyle w:val="Tabletext"/>
              <w:jc w:val="center"/>
            </w:pPr>
            <w:r w:rsidRPr="0063228A">
              <w:t>-</w:t>
            </w:r>
          </w:p>
        </w:tc>
        <w:tc>
          <w:tcPr>
            <w:tcW w:w="567" w:type="dxa"/>
          </w:tcPr>
          <w:p w14:paraId="61BEF5E7" w14:textId="77777777" w:rsidR="00F447BC" w:rsidRPr="0063228A" w:rsidRDefault="00F447BC" w:rsidP="0063228A">
            <w:pPr>
              <w:pStyle w:val="Tabletext"/>
              <w:jc w:val="center"/>
            </w:pPr>
            <w:r w:rsidRPr="0063228A">
              <w:t>*</w:t>
            </w:r>
          </w:p>
        </w:tc>
      </w:tr>
    </w:tbl>
    <w:p w14:paraId="0E4000DD" w14:textId="77777777" w:rsidR="00F447BC" w:rsidRDefault="00F447BC" w:rsidP="0063228A">
      <w:pPr>
        <w:pStyle w:val="TableDescription"/>
      </w:pPr>
      <w:r w:rsidRPr="00C37A1D">
        <w:t>* Indicates the primary PK aim of the study.</w:t>
      </w:r>
      <w:r w:rsidR="00CE012A">
        <w:t xml:space="preserve"> OS: Overall Survival</w:t>
      </w:r>
    </w:p>
    <w:p w14:paraId="486DDE33" w14:textId="77777777" w:rsidR="008730C4" w:rsidRPr="00212B36" w:rsidRDefault="00F447BC" w:rsidP="0063228A">
      <w:r>
        <w:t>No studies were excluded from consideration in this report.</w:t>
      </w:r>
    </w:p>
    <w:p w14:paraId="39F2220B" w14:textId="77777777" w:rsidR="00605AD4" w:rsidRDefault="00605AD4" w:rsidP="0063228A">
      <w:pPr>
        <w:pStyle w:val="Heading4"/>
      </w:pPr>
      <w:r>
        <w:lastRenderedPageBreak/>
        <w:t xml:space="preserve">Evaluator’s </w:t>
      </w:r>
      <w:r w:rsidRPr="0063228A">
        <w:t>conclusions</w:t>
      </w:r>
      <w:r>
        <w:t xml:space="preserve"> on pharmacokinetics</w:t>
      </w:r>
    </w:p>
    <w:p w14:paraId="1910DFD5" w14:textId="77777777" w:rsidR="00500337" w:rsidRPr="00500337" w:rsidRDefault="00F447BC" w:rsidP="0063228A">
      <w:pPr>
        <w:rPr>
          <w:lang w:eastAsia="ja-JP"/>
        </w:rPr>
      </w:pPr>
      <w:r>
        <w:rPr>
          <w:lang w:eastAsia="ja-JP"/>
        </w:rPr>
        <w:t xml:space="preserve">The PK of avelumab </w:t>
      </w:r>
      <w:proofErr w:type="gramStart"/>
      <w:r>
        <w:rPr>
          <w:lang w:eastAsia="ja-JP"/>
        </w:rPr>
        <w:t>have</w:t>
      </w:r>
      <w:proofErr w:type="gramEnd"/>
      <w:r>
        <w:rPr>
          <w:lang w:eastAsia="ja-JP"/>
        </w:rPr>
        <w:t xml:space="preserve"> been adequately defined. PK parameters were generally typical of those seen with a monoclonal antibody, with a small volume of distribution and slow clearance. The half-life of avelumab (4 to 6 days) was shorter than that typically observed for monoclonal antibodies. The effects of moderate or severe hepatic </w:t>
      </w:r>
      <w:r w:rsidR="00655338">
        <w:rPr>
          <w:lang w:eastAsia="ja-JP"/>
        </w:rPr>
        <w:t>impairment</w:t>
      </w:r>
      <w:r>
        <w:rPr>
          <w:lang w:eastAsia="ja-JP"/>
        </w:rPr>
        <w:t xml:space="preserve"> or severe renal impairment have not been adequately studied.</w:t>
      </w:r>
    </w:p>
    <w:p w14:paraId="3767AE12" w14:textId="77777777" w:rsidR="008E7846" w:rsidRDefault="008E7846" w:rsidP="0063228A">
      <w:pPr>
        <w:pStyle w:val="Heading3"/>
      </w:pPr>
      <w:bookmarkStart w:id="96" w:name="_Toc196046481"/>
      <w:bookmarkStart w:id="97" w:name="_Toc247691520"/>
      <w:bookmarkStart w:id="98" w:name="_Toc314842503"/>
      <w:bookmarkStart w:id="99" w:name="_Toc8053063"/>
      <w:r w:rsidRPr="0063228A">
        <w:t>Pharmacodynamics</w:t>
      </w:r>
      <w:bookmarkEnd w:id="77"/>
      <w:bookmarkEnd w:id="96"/>
      <w:bookmarkEnd w:id="97"/>
      <w:bookmarkEnd w:id="98"/>
      <w:bookmarkEnd w:id="99"/>
    </w:p>
    <w:p w14:paraId="1F8DAB27" w14:textId="77777777" w:rsidR="00F447BC" w:rsidRPr="009A141C" w:rsidRDefault="00605AD4" w:rsidP="0063228A">
      <w:pPr>
        <w:pStyle w:val="Heading4"/>
      </w:pPr>
      <w:r>
        <w:t xml:space="preserve">Studies </w:t>
      </w:r>
      <w:r w:rsidRPr="0063228A">
        <w:t>providing</w:t>
      </w:r>
      <w:r>
        <w:t xml:space="preserve"> </w:t>
      </w:r>
      <w:proofErr w:type="spellStart"/>
      <w:r>
        <w:t>pharmacodynamic</w:t>
      </w:r>
      <w:proofErr w:type="spellEnd"/>
      <w:r>
        <w:t xml:space="preserve"> data</w:t>
      </w:r>
    </w:p>
    <w:p w14:paraId="18EBBD01" w14:textId="77777777" w:rsidR="00F447BC" w:rsidRDefault="00F447BC" w:rsidP="0063228A">
      <w:pPr>
        <w:rPr>
          <w:lang w:eastAsia="ja-JP"/>
        </w:rPr>
      </w:pPr>
      <w:proofErr w:type="gramStart"/>
      <w:r>
        <w:rPr>
          <w:lang w:eastAsia="ja-JP"/>
        </w:rPr>
        <w:t xml:space="preserve">Studies 001 and 002 generated limited </w:t>
      </w:r>
      <w:r w:rsidR="00CE012A" w:rsidRPr="008C40FD">
        <w:t>pharmacodynamic</w:t>
      </w:r>
      <w:r w:rsidR="00CE012A">
        <w:rPr>
          <w:lang w:eastAsia="ja-JP"/>
        </w:rPr>
        <w:t xml:space="preserve"> </w:t>
      </w:r>
      <w:r>
        <w:rPr>
          <w:lang w:eastAsia="ja-JP"/>
        </w:rPr>
        <w:t xml:space="preserve">data, as shown in </w:t>
      </w:r>
      <w:r w:rsidR="00B70C5D">
        <w:rPr>
          <w:lang w:eastAsia="ja-JP"/>
        </w:rPr>
        <w:t>T</w:t>
      </w:r>
      <w:r>
        <w:rPr>
          <w:lang w:eastAsia="ja-JP"/>
        </w:rPr>
        <w:t>able</w:t>
      </w:r>
      <w:r w:rsidR="00B70C5D">
        <w:rPr>
          <w:lang w:eastAsia="ja-JP"/>
        </w:rPr>
        <w:t xml:space="preserve"> 6</w:t>
      </w:r>
      <w:r>
        <w:rPr>
          <w:lang w:eastAsia="ja-JP"/>
        </w:rPr>
        <w:t>.</w:t>
      </w:r>
      <w:proofErr w:type="gramEnd"/>
    </w:p>
    <w:p w14:paraId="26BE8DEE" w14:textId="77777777" w:rsidR="00F447BC" w:rsidRDefault="00F447BC" w:rsidP="0063228A">
      <w:pPr>
        <w:pStyle w:val="TableTitle"/>
      </w:pPr>
      <w:bookmarkStart w:id="100" w:name="_Toc478484990"/>
      <w:r>
        <w:t xml:space="preserve">Table </w:t>
      </w:r>
      <w:r w:rsidR="00B70C5D">
        <w:t xml:space="preserve">6: </w:t>
      </w:r>
      <w:r w:rsidRPr="0063228A">
        <w:t>Submitted</w:t>
      </w:r>
      <w:r w:rsidRPr="008C40FD">
        <w:t xml:space="preserve"> </w:t>
      </w:r>
      <w:proofErr w:type="spellStart"/>
      <w:r w:rsidRPr="008C40FD">
        <w:t>pharmacodynamic</w:t>
      </w:r>
      <w:proofErr w:type="spellEnd"/>
      <w:r w:rsidRPr="008C40FD">
        <w:t xml:space="preserve"> studies</w:t>
      </w:r>
      <w:bookmarkEnd w:id="100"/>
    </w:p>
    <w:tbl>
      <w:tblPr>
        <w:tblStyle w:val="TableTGAblue"/>
        <w:tblW w:w="7338" w:type="dxa"/>
        <w:tblLayout w:type="fixed"/>
        <w:tblLook w:val="04A0" w:firstRow="1" w:lastRow="0" w:firstColumn="1" w:lastColumn="0" w:noHBand="0" w:noVBand="1"/>
      </w:tblPr>
      <w:tblGrid>
        <w:gridCol w:w="2235"/>
        <w:gridCol w:w="2693"/>
        <w:gridCol w:w="2410"/>
      </w:tblGrid>
      <w:tr w:rsidR="00212B36" w:rsidRPr="0063228A" w14:paraId="2BE103C9" w14:textId="77777777" w:rsidTr="00212B36">
        <w:trPr>
          <w:cnfStyle w:val="100000000000" w:firstRow="1" w:lastRow="0" w:firstColumn="0" w:lastColumn="0" w:oddVBand="0" w:evenVBand="0" w:oddHBand="0" w:evenHBand="0" w:firstRowFirstColumn="0" w:firstRowLastColumn="0" w:lastRowFirstColumn="0" w:lastRowLastColumn="0"/>
        </w:trPr>
        <w:tc>
          <w:tcPr>
            <w:tcW w:w="2235" w:type="dxa"/>
          </w:tcPr>
          <w:p w14:paraId="7757B0A2" w14:textId="77777777" w:rsidR="00212B36" w:rsidRPr="0063228A" w:rsidRDefault="00212B36" w:rsidP="0063228A">
            <w:pPr>
              <w:pStyle w:val="Tabletext"/>
            </w:pPr>
            <w:r w:rsidRPr="0063228A">
              <w:t>PD Topic</w:t>
            </w:r>
          </w:p>
        </w:tc>
        <w:tc>
          <w:tcPr>
            <w:tcW w:w="2693" w:type="dxa"/>
          </w:tcPr>
          <w:p w14:paraId="7A203A7F" w14:textId="77777777" w:rsidR="00212B36" w:rsidRPr="0063228A" w:rsidRDefault="00212B36" w:rsidP="0063228A">
            <w:pPr>
              <w:pStyle w:val="Tabletext"/>
            </w:pPr>
            <w:r w:rsidRPr="0063228A">
              <w:t>Subtopic</w:t>
            </w:r>
          </w:p>
        </w:tc>
        <w:tc>
          <w:tcPr>
            <w:tcW w:w="2410" w:type="dxa"/>
          </w:tcPr>
          <w:p w14:paraId="41711FE2" w14:textId="77777777" w:rsidR="00212B36" w:rsidRPr="0063228A" w:rsidRDefault="00212B36" w:rsidP="0063228A">
            <w:pPr>
              <w:pStyle w:val="Tabletext"/>
            </w:pPr>
            <w:r w:rsidRPr="0063228A">
              <w:t>Study ID</w:t>
            </w:r>
          </w:p>
        </w:tc>
      </w:tr>
      <w:tr w:rsidR="00212B36" w:rsidRPr="0063228A" w14:paraId="432482F8" w14:textId="77777777" w:rsidTr="00212B36">
        <w:tc>
          <w:tcPr>
            <w:tcW w:w="2235" w:type="dxa"/>
            <w:vMerge w:val="restart"/>
          </w:tcPr>
          <w:p w14:paraId="725AF1F6" w14:textId="77777777" w:rsidR="00212B36" w:rsidRPr="0063228A" w:rsidRDefault="00212B36" w:rsidP="0063228A">
            <w:pPr>
              <w:pStyle w:val="Tabletext"/>
              <w:rPr>
                <w:b/>
              </w:rPr>
            </w:pPr>
            <w:r w:rsidRPr="0063228A">
              <w:rPr>
                <w:b/>
              </w:rPr>
              <w:t>Primary Pharmacology</w:t>
            </w:r>
          </w:p>
        </w:tc>
        <w:tc>
          <w:tcPr>
            <w:tcW w:w="2693" w:type="dxa"/>
          </w:tcPr>
          <w:p w14:paraId="26015032" w14:textId="77777777" w:rsidR="00212B36" w:rsidRPr="0063228A" w:rsidRDefault="00212B36" w:rsidP="0063228A">
            <w:pPr>
              <w:pStyle w:val="Tabletext"/>
            </w:pPr>
            <w:r w:rsidRPr="0063228A">
              <w:t>Effect on serum cytokines/chemokines</w:t>
            </w:r>
          </w:p>
        </w:tc>
        <w:tc>
          <w:tcPr>
            <w:tcW w:w="2410" w:type="dxa"/>
          </w:tcPr>
          <w:p w14:paraId="1B6E6250" w14:textId="77777777" w:rsidR="00212B36" w:rsidRPr="0063228A" w:rsidRDefault="00212B36" w:rsidP="0063228A">
            <w:pPr>
              <w:pStyle w:val="Tabletext"/>
            </w:pPr>
            <w:r w:rsidRPr="0063228A">
              <w:t>Study 001</w:t>
            </w:r>
          </w:p>
          <w:p w14:paraId="74BE49DC" w14:textId="77777777" w:rsidR="00212B36" w:rsidRPr="0063228A" w:rsidRDefault="00212B36" w:rsidP="0063228A">
            <w:pPr>
              <w:pStyle w:val="Tabletext"/>
            </w:pPr>
            <w:r w:rsidRPr="0063228A">
              <w:t>Study 002</w:t>
            </w:r>
          </w:p>
        </w:tc>
      </w:tr>
      <w:tr w:rsidR="00212B36" w:rsidRPr="0063228A" w14:paraId="5BC444CE" w14:textId="77777777" w:rsidTr="00212B36">
        <w:tc>
          <w:tcPr>
            <w:tcW w:w="2235" w:type="dxa"/>
            <w:vMerge/>
          </w:tcPr>
          <w:p w14:paraId="6AC13C48" w14:textId="77777777" w:rsidR="00212B36" w:rsidRPr="0063228A" w:rsidRDefault="00212B36" w:rsidP="0063228A">
            <w:pPr>
              <w:pStyle w:val="Tabletext"/>
            </w:pPr>
          </w:p>
        </w:tc>
        <w:tc>
          <w:tcPr>
            <w:tcW w:w="2693" w:type="dxa"/>
          </w:tcPr>
          <w:p w14:paraId="12328E58" w14:textId="77777777" w:rsidR="00212B36" w:rsidRPr="0063228A" w:rsidRDefault="00212B36" w:rsidP="0063228A">
            <w:pPr>
              <w:pStyle w:val="Tabletext"/>
            </w:pPr>
            <w:r w:rsidRPr="0063228A">
              <w:t>Effect on PD-L1 target occupancy</w:t>
            </w:r>
          </w:p>
        </w:tc>
        <w:tc>
          <w:tcPr>
            <w:tcW w:w="2410" w:type="dxa"/>
          </w:tcPr>
          <w:p w14:paraId="388B86EF" w14:textId="77777777" w:rsidR="00212B36" w:rsidRPr="0063228A" w:rsidRDefault="00212B36" w:rsidP="0063228A">
            <w:pPr>
              <w:pStyle w:val="Tabletext"/>
            </w:pPr>
            <w:r w:rsidRPr="0063228A">
              <w:t>Study 001</w:t>
            </w:r>
          </w:p>
        </w:tc>
      </w:tr>
    </w:tbl>
    <w:p w14:paraId="2A660F54" w14:textId="77777777" w:rsidR="00F447BC" w:rsidRPr="00500337" w:rsidRDefault="00F447BC" w:rsidP="0063228A">
      <w:r>
        <w:t xml:space="preserve">None of the </w:t>
      </w:r>
      <w:r w:rsidR="00CE012A">
        <w:t>pharmacodynamic</w:t>
      </w:r>
      <w:r>
        <w:t xml:space="preserve"> studies were excluded from consideration</w:t>
      </w:r>
      <w:r w:rsidR="00A63E68">
        <w:t>.</w:t>
      </w:r>
    </w:p>
    <w:p w14:paraId="2866C130" w14:textId="77777777" w:rsidR="00605AD4" w:rsidRDefault="00605AD4" w:rsidP="0063228A">
      <w:pPr>
        <w:pStyle w:val="Heading4"/>
      </w:pPr>
      <w:r w:rsidRPr="0063228A">
        <w:t>Evaluator’s</w:t>
      </w:r>
      <w:r>
        <w:t xml:space="preserve"> conclusions on pharmacodynamics</w:t>
      </w:r>
    </w:p>
    <w:p w14:paraId="090E26B5" w14:textId="77777777" w:rsidR="00F447BC" w:rsidRPr="005B0142" w:rsidRDefault="00F447BC" w:rsidP="0063228A">
      <w:pPr>
        <w:pStyle w:val="Heading5"/>
      </w:pPr>
      <w:bookmarkStart w:id="101" w:name="_Toc272414642"/>
      <w:bookmarkStart w:id="102" w:name="_Toc290888490"/>
      <w:bookmarkStart w:id="103" w:name="_Toc416353687"/>
      <w:r w:rsidRPr="0063228A">
        <w:t>Primary</w:t>
      </w:r>
      <w:r w:rsidRPr="005B0142">
        <w:t xml:space="preserve"> </w:t>
      </w:r>
      <w:proofErr w:type="spellStart"/>
      <w:r w:rsidRPr="005B0142">
        <w:t>pharmacodynamic</w:t>
      </w:r>
      <w:proofErr w:type="spellEnd"/>
      <w:r w:rsidRPr="005B0142">
        <w:t xml:space="preserve"> effects</w:t>
      </w:r>
      <w:bookmarkEnd w:id="101"/>
      <w:bookmarkEnd w:id="102"/>
      <w:bookmarkEnd w:id="103"/>
    </w:p>
    <w:p w14:paraId="7EEFA02D" w14:textId="77777777" w:rsidR="00F447BC" w:rsidRDefault="00F447BC" w:rsidP="0063228A">
      <w:pPr>
        <w:pStyle w:val="Heading6"/>
        <w:rPr>
          <w:lang w:eastAsia="ja-JP"/>
        </w:rPr>
      </w:pPr>
      <w:bookmarkStart w:id="104" w:name="_Toc272414643"/>
      <w:bookmarkStart w:id="105" w:name="_Toc290888491"/>
      <w:bookmarkStart w:id="106" w:name="_Toc416353688"/>
      <w:r>
        <w:rPr>
          <w:lang w:eastAsia="ja-JP"/>
        </w:rPr>
        <w:t xml:space="preserve">Effect on serum </w:t>
      </w:r>
      <w:r w:rsidR="00A63E68" w:rsidRPr="0063228A">
        <w:t>cytokines</w:t>
      </w:r>
      <w:r w:rsidR="00A63E68">
        <w:rPr>
          <w:lang w:eastAsia="ja-JP"/>
        </w:rPr>
        <w:t>/chemokines</w:t>
      </w:r>
    </w:p>
    <w:p w14:paraId="49E0E7EA" w14:textId="77777777" w:rsidR="00F447BC" w:rsidRDefault="00F447BC" w:rsidP="0063228A">
      <w:pPr>
        <w:rPr>
          <w:lang w:eastAsia="ja-JP"/>
        </w:rPr>
      </w:pPr>
      <w:r>
        <w:rPr>
          <w:lang w:eastAsia="ja-JP"/>
        </w:rPr>
        <w:t xml:space="preserve">In </w:t>
      </w:r>
      <w:r w:rsidR="00655338">
        <w:rPr>
          <w:lang w:eastAsia="ja-JP"/>
        </w:rPr>
        <w:t>Stud</w:t>
      </w:r>
      <w:r>
        <w:rPr>
          <w:lang w:eastAsia="ja-JP"/>
        </w:rPr>
        <w:t xml:space="preserve">ies 001 and 002, avelumab administration was associated with increases in some serum cytokines/chemokines. Generally, these increases were not marked (less than </w:t>
      </w:r>
      <w:r w:rsidR="00A63E68">
        <w:rPr>
          <w:lang w:eastAsia="ja-JP"/>
        </w:rPr>
        <w:t>2 fold</w:t>
      </w:r>
      <w:r>
        <w:rPr>
          <w:lang w:eastAsia="ja-JP"/>
        </w:rPr>
        <w:t xml:space="preserve">) and were not </w:t>
      </w:r>
      <w:r w:rsidR="005E1E9B">
        <w:rPr>
          <w:lang w:eastAsia="ja-JP"/>
        </w:rPr>
        <w:t>dose dependent</w:t>
      </w:r>
      <w:r>
        <w:rPr>
          <w:lang w:eastAsia="ja-JP"/>
        </w:rPr>
        <w:t>.</w:t>
      </w:r>
      <w:r w:rsidR="005E1E9B">
        <w:rPr>
          <w:lang w:eastAsia="ja-JP"/>
        </w:rPr>
        <w:t xml:space="preserve"> </w:t>
      </w:r>
      <w:r>
        <w:rPr>
          <w:lang w:eastAsia="ja-JP"/>
        </w:rPr>
        <w:t xml:space="preserve">In </w:t>
      </w:r>
      <w:r w:rsidR="00655338">
        <w:rPr>
          <w:lang w:eastAsia="ja-JP"/>
        </w:rPr>
        <w:t>Stud</w:t>
      </w:r>
      <w:r>
        <w:rPr>
          <w:lang w:eastAsia="ja-JP"/>
        </w:rPr>
        <w:t xml:space="preserve">y 002, </w:t>
      </w:r>
      <w:r w:rsidRPr="00CB5DDC">
        <w:rPr>
          <w:noProof/>
          <w:lang w:val="en-US"/>
        </w:rPr>
        <w:t xml:space="preserve">IFN-γ </w:t>
      </w:r>
      <w:r>
        <w:rPr>
          <w:noProof/>
          <w:lang w:val="en-US"/>
        </w:rPr>
        <w:t>and IL-6 increased approxinately 3</w:t>
      </w:r>
      <w:r w:rsidR="00A63E68">
        <w:rPr>
          <w:noProof/>
          <w:lang w:val="en-US"/>
        </w:rPr>
        <w:t xml:space="preserve"> fold</w:t>
      </w:r>
      <w:r>
        <w:rPr>
          <w:noProof/>
          <w:lang w:val="en-US"/>
        </w:rPr>
        <w:t xml:space="preserve"> in the 10 mg/kg dose group.</w:t>
      </w:r>
    </w:p>
    <w:p w14:paraId="542DE8BA" w14:textId="77777777" w:rsidR="00F447BC" w:rsidRDefault="00F447BC" w:rsidP="0063228A">
      <w:pPr>
        <w:pStyle w:val="Heading6"/>
        <w:rPr>
          <w:lang w:eastAsia="ja-JP"/>
        </w:rPr>
      </w:pPr>
      <w:r>
        <w:rPr>
          <w:lang w:eastAsia="ja-JP"/>
        </w:rPr>
        <w:t xml:space="preserve">Target </w:t>
      </w:r>
      <w:r w:rsidRPr="0063228A">
        <w:t>occupancy</w:t>
      </w:r>
    </w:p>
    <w:p w14:paraId="004616EB" w14:textId="77777777" w:rsidR="00F447BC" w:rsidRDefault="00F447BC" w:rsidP="0063228A">
      <w:pPr>
        <w:rPr>
          <w:lang w:eastAsia="ja-JP"/>
        </w:rPr>
      </w:pPr>
      <w:r>
        <w:rPr>
          <w:lang w:eastAsia="ja-JP"/>
        </w:rPr>
        <w:t xml:space="preserve">In </w:t>
      </w:r>
      <w:r w:rsidR="00655338">
        <w:rPr>
          <w:lang w:eastAsia="ja-JP"/>
        </w:rPr>
        <w:t>Stud</w:t>
      </w:r>
      <w:r>
        <w:rPr>
          <w:lang w:eastAsia="ja-JP"/>
        </w:rPr>
        <w:t xml:space="preserve">y 001, levels of PD-L1 receptor occupancy on </w:t>
      </w:r>
      <w:r>
        <w:t xml:space="preserve">circulating CD3+ T cells were measured. The median target occupancy at trough (prior to dosing on day 15) was </w:t>
      </w:r>
      <w:r w:rsidRPr="005260FE">
        <w:t>86.3%</w:t>
      </w:r>
      <w:r>
        <w:t xml:space="preserve"> (1 mg/kg), 93.5% (3 mg/kg) 92.9% (10 mg/kg) and 89.1% (20 mg/kg). The sponsor concluded that a 3 mg/kg dose given every 14 days would be sufficient to achieve high target occupancy throughout the entire dosing period.</w:t>
      </w:r>
      <w:bookmarkEnd w:id="104"/>
      <w:bookmarkEnd w:id="105"/>
      <w:bookmarkEnd w:id="106"/>
    </w:p>
    <w:p w14:paraId="1BE9E5B4" w14:textId="77777777" w:rsidR="00F447BC" w:rsidRDefault="00F447BC" w:rsidP="0063228A">
      <w:pPr>
        <w:rPr>
          <w:lang w:eastAsia="ja-JP"/>
        </w:rPr>
      </w:pPr>
      <w:r>
        <w:rPr>
          <w:lang w:eastAsia="ja-JP"/>
        </w:rPr>
        <w:t xml:space="preserve">Target occupancy </w:t>
      </w:r>
      <w:r w:rsidRPr="00A63E68">
        <w:rPr>
          <w:lang w:eastAsia="ja-JP"/>
        </w:rPr>
        <w:t>on tumour cells was</w:t>
      </w:r>
      <w:r>
        <w:rPr>
          <w:lang w:eastAsia="ja-JP"/>
        </w:rPr>
        <w:t xml:space="preserve"> not assessed. The sponsor stated that target occupancy in the tumour could be lower than that observed on peripheral cells, and that a 10 mg/kg dose would be expected to achieve higher tumour cell target occupancy.</w:t>
      </w:r>
    </w:p>
    <w:p w14:paraId="771DE3EF" w14:textId="77777777" w:rsidR="008E7846" w:rsidRDefault="00605AD4" w:rsidP="0063228A">
      <w:pPr>
        <w:pStyle w:val="Heading3"/>
      </w:pPr>
      <w:bookmarkStart w:id="107" w:name="_Toc8053064"/>
      <w:r>
        <w:t xml:space="preserve">Dosage selection for the pivotal </w:t>
      </w:r>
      <w:r w:rsidRPr="0063228A">
        <w:t>studies</w:t>
      </w:r>
      <w:bookmarkEnd w:id="107"/>
    </w:p>
    <w:p w14:paraId="50BE433B" w14:textId="77777777" w:rsidR="00F447BC" w:rsidRDefault="00F447BC" w:rsidP="00A227EF">
      <w:pPr>
        <w:rPr>
          <w:lang w:eastAsia="ja-JP"/>
        </w:rPr>
      </w:pPr>
      <w:r>
        <w:rPr>
          <w:lang w:eastAsia="ja-JP"/>
        </w:rPr>
        <w:t xml:space="preserve">According to the protocol for the pivotal study, </w:t>
      </w:r>
      <w:r w:rsidRPr="00B9688B">
        <w:rPr>
          <w:i/>
          <w:lang w:eastAsia="ja-JP"/>
        </w:rPr>
        <w:t>in vitro</w:t>
      </w:r>
      <w:r>
        <w:rPr>
          <w:lang w:eastAsia="ja-JP"/>
        </w:rPr>
        <w:t xml:space="preserve"> studies had demonstrated that target occupancy on peripheral blood CD3+ cells was at least 95% in all tested blood samples when avelumab concentrations were 1 </w:t>
      </w:r>
      <w:r>
        <w:rPr>
          <w:lang w:eastAsia="ja-JP"/>
        </w:rPr>
        <w:sym w:font="Symbol" w:char="F06D"/>
      </w:r>
      <w:r>
        <w:rPr>
          <w:lang w:eastAsia="ja-JP"/>
        </w:rPr>
        <w:t xml:space="preserve">g/mL. In </w:t>
      </w:r>
      <w:r w:rsidR="00655338">
        <w:rPr>
          <w:lang w:eastAsia="ja-JP"/>
        </w:rPr>
        <w:t>Stud</w:t>
      </w:r>
      <w:r>
        <w:rPr>
          <w:lang w:eastAsia="ja-JP"/>
        </w:rPr>
        <w:t xml:space="preserve">y 001, trough concentrations were sufficient to achieve full target occupancy throughout the entire dosing interval in all of the subjects receiving the 10 mg/kg dose. After the 3 mg/kg dose, trough values were insufficient in 3 of the 13 subjects to assure full target occupancy. </w:t>
      </w:r>
      <w:r>
        <w:rPr>
          <w:lang w:eastAsia="ja-JP"/>
        </w:rPr>
        <w:lastRenderedPageBreak/>
        <w:t>Therefore, the dose of 10 mg/kg every two weeks was selected as the dose for further investigation in subsequent clinical studies.</w:t>
      </w:r>
    </w:p>
    <w:p w14:paraId="2E260E91" w14:textId="77777777" w:rsidR="00F447BC" w:rsidRPr="00670FF0" w:rsidRDefault="00F447BC" w:rsidP="00A227EF">
      <w:pPr>
        <w:pStyle w:val="Heading4"/>
      </w:pPr>
      <w:bookmarkStart w:id="108" w:name="_Toc416353713"/>
      <w:bookmarkStart w:id="109" w:name="_Toc421005266"/>
      <w:bookmarkStart w:id="110" w:name="_Toc432079148"/>
      <w:bookmarkStart w:id="111" w:name="_Toc432080721"/>
      <w:bookmarkStart w:id="112" w:name="_Toc478484950"/>
      <w:r>
        <w:t xml:space="preserve">Evaluator’s conclusions </w:t>
      </w:r>
      <w:r w:rsidRPr="00A227EF">
        <w:t>on</w:t>
      </w:r>
      <w:r>
        <w:t xml:space="preserve"> dos</w:t>
      </w:r>
      <w:r w:rsidRPr="00670FF0">
        <w:t>e finding for the pivotal studies</w:t>
      </w:r>
      <w:bookmarkEnd w:id="108"/>
      <w:bookmarkEnd w:id="109"/>
      <w:bookmarkEnd w:id="110"/>
      <w:bookmarkEnd w:id="111"/>
      <w:bookmarkEnd w:id="112"/>
    </w:p>
    <w:p w14:paraId="0509AC3E" w14:textId="77777777" w:rsidR="00F447BC" w:rsidRDefault="00F447BC" w:rsidP="00A227EF">
      <w:pPr>
        <w:rPr>
          <w:lang w:eastAsia="ja-JP"/>
        </w:rPr>
      </w:pPr>
      <w:r>
        <w:rPr>
          <w:lang w:eastAsia="ja-JP"/>
        </w:rPr>
        <w:t>The choice of the 10 mg/kg dose for the pivotal study was acceptable.</w:t>
      </w:r>
    </w:p>
    <w:p w14:paraId="5F2178A6" w14:textId="77777777" w:rsidR="008E7846" w:rsidRPr="00254787" w:rsidRDefault="008E7846" w:rsidP="00A227EF">
      <w:pPr>
        <w:pStyle w:val="Heading3"/>
      </w:pPr>
      <w:bookmarkStart w:id="113" w:name="_Toc163441372"/>
      <w:bookmarkStart w:id="114" w:name="_Toc196046485"/>
      <w:bookmarkStart w:id="115" w:name="_Toc247691521"/>
      <w:bookmarkStart w:id="116" w:name="_Toc314842504"/>
      <w:bookmarkStart w:id="117" w:name="_Toc8053065"/>
      <w:r w:rsidRPr="00A227EF">
        <w:t>Efficacy</w:t>
      </w:r>
      <w:bookmarkEnd w:id="113"/>
      <w:bookmarkEnd w:id="114"/>
      <w:bookmarkEnd w:id="115"/>
      <w:bookmarkEnd w:id="116"/>
      <w:bookmarkEnd w:id="117"/>
    </w:p>
    <w:p w14:paraId="221E6600" w14:textId="77777777" w:rsidR="00605AD4" w:rsidRDefault="00605AD4" w:rsidP="00A227EF">
      <w:pPr>
        <w:pStyle w:val="Heading4"/>
      </w:pPr>
      <w:bookmarkStart w:id="118" w:name="_Toc184439992"/>
      <w:bookmarkStart w:id="119" w:name="_Toc184440279"/>
      <w:bookmarkStart w:id="120" w:name="_Toc184444657"/>
      <w:bookmarkStart w:id="121" w:name="_Toc196046487"/>
      <w:r w:rsidRPr="00A227EF">
        <w:t>Studies</w:t>
      </w:r>
      <w:r>
        <w:t xml:space="preserve"> providing efficacy data</w:t>
      </w:r>
    </w:p>
    <w:p w14:paraId="033BE4D9" w14:textId="77777777" w:rsidR="00500337" w:rsidRPr="00500337" w:rsidRDefault="00F447BC" w:rsidP="00A227EF">
      <w:r>
        <w:rPr>
          <w:lang w:eastAsia="ja-JP"/>
        </w:rPr>
        <w:t xml:space="preserve">There was only one study in the submission that assessed the efficacy of avelumab in </w:t>
      </w:r>
      <w:r w:rsidR="006C35DA">
        <w:rPr>
          <w:lang w:eastAsia="ja-JP"/>
        </w:rPr>
        <w:t>metastatic MCC</w:t>
      </w:r>
      <w:r w:rsidR="00A63E68">
        <w:rPr>
          <w:lang w:eastAsia="ja-JP"/>
        </w:rPr>
        <w:t>;</w:t>
      </w:r>
      <w:r>
        <w:rPr>
          <w:lang w:eastAsia="ja-JP"/>
        </w:rPr>
        <w:t xml:space="preserve"> </w:t>
      </w:r>
      <w:r w:rsidR="00655338">
        <w:rPr>
          <w:lang w:eastAsia="ja-JP"/>
        </w:rPr>
        <w:t>Stud</w:t>
      </w:r>
      <w:r>
        <w:rPr>
          <w:lang w:eastAsia="ja-JP"/>
        </w:rPr>
        <w:t xml:space="preserve">y 003. The sponsor also submitted a </w:t>
      </w:r>
      <w:r w:rsidRPr="00580BA2">
        <w:t xml:space="preserve">retrospective analysis of the efficacy of chemotherapy in </w:t>
      </w:r>
      <w:r w:rsidR="006C35DA">
        <w:t>metastatic MCC</w:t>
      </w:r>
      <w:r w:rsidRPr="00580BA2">
        <w:t xml:space="preserve"> (</w:t>
      </w:r>
      <w:r w:rsidRPr="00580BA2">
        <w:rPr>
          <w:lang w:eastAsia="ja-JP"/>
        </w:rPr>
        <w:t>Study 100070-Obs001</w:t>
      </w:r>
      <w:r w:rsidRPr="00580BA2">
        <w:t>).</w:t>
      </w:r>
    </w:p>
    <w:p w14:paraId="2BC6F9F4" w14:textId="77777777" w:rsidR="008E7846" w:rsidRDefault="00605AD4" w:rsidP="00A227EF">
      <w:pPr>
        <w:pStyle w:val="Heading4"/>
      </w:pPr>
      <w:r>
        <w:t xml:space="preserve">Evaluator’s </w:t>
      </w:r>
      <w:r w:rsidRPr="00A227EF">
        <w:t>conclusions</w:t>
      </w:r>
      <w:r>
        <w:t xml:space="preserve"> on efficacy</w:t>
      </w:r>
    </w:p>
    <w:p w14:paraId="0B6FC410" w14:textId="3CAEAE97" w:rsidR="00F447BC" w:rsidRDefault="00F447BC" w:rsidP="00A227EF">
      <w:pPr>
        <w:rPr>
          <w:lang w:eastAsia="ja-JP"/>
        </w:rPr>
      </w:pPr>
      <w:bookmarkStart w:id="122" w:name="_Toc163441378"/>
      <w:bookmarkStart w:id="123" w:name="_Toc196046495"/>
      <w:bookmarkStart w:id="124" w:name="_Toc247691522"/>
      <w:bookmarkStart w:id="125" w:name="_Toc314842505"/>
      <w:bookmarkEnd w:id="118"/>
      <w:bookmarkEnd w:id="119"/>
      <w:bookmarkEnd w:id="120"/>
      <w:bookmarkEnd w:id="121"/>
      <w:r w:rsidRPr="009554E7">
        <w:rPr>
          <w:lang w:eastAsia="ja-JP"/>
        </w:rPr>
        <w:t>Evidence to support the efficacy</w:t>
      </w:r>
      <w:r>
        <w:rPr>
          <w:lang w:eastAsia="ja-JP"/>
        </w:rPr>
        <w:t xml:space="preserve"> of avelumab in the treatment of </w:t>
      </w:r>
      <w:r w:rsidR="006C35DA">
        <w:rPr>
          <w:lang w:eastAsia="ja-JP"/>
        </w:rPr>
        <w:t>metastatic MCC</w:t>
      </w:r>
      <w:r>
        <w:rPr>
          <w:lang w:eastAsia="ja-JP"/>
        </w:rPr>
        <w:t xml:space="preserve"> comes from one </w:t>
      </w:r>
      <w:r w:rsidR="00A63E68">
        <w:rPr>
          <w:lang w:eastAsia="ja-JP"/>
        </w:rPr>
        <w:t>Phase</w:t>
      </w:r>
      <w:r w:rsidR="00655338">
        <w:rPr>
          <w:lang w:eastAsia="ja-JP"/>
        </w:rPr>
        <w:t xml:space="preserve"> II</w:t>
      </w:r>
      <w:r>
        <w:rPr>
          <w:lang w:eastAsia="ja-JP"/>
        </w:rPr>
        <w:t xml:space="preserve">, open, </w:t>
      </w:r>
      <w:r w:rsidR="00273D46">
        <w:rPr>
          <w:lang w:eastAsia="ja-JP"/>
        </w:rPr>
        <w:t>single arm</w:t>
      </w:r>
      <w:r>
        <w:rPr>
          <w:lang w:eastAsia="ja-JP"/>
        </w:rPr>
        <w:t xml:space="preserve"> trial (</w:t>
      </w:r>
      <w:r w:rsidR="00655338">
        <w:rPr>
          <w:lang w:eastAsia="ja-JP"/>
        </w:rPr>
        <w:t>Stud</w:t>
      </w:r>
      <w:r>
        <w:rPr>
          <w:lang w:eastAsia="ja-JP"/>
        </w:rPr>
        <w:t xml:space="preserve">y 003). The design and execution of the study was acceptable and complied with recommendations of the EMA anticancer medicines </w:t>
      </w:r>
      <w:r w:rsidRPr="00BD555D">
        <w:t>guideline</w:t>
      </w:r>
      <w:proofErr w:type="gramStart"/>
      <w:r w:rsidR="00D2514A">
        <w:t>;</w:t>
      </w:r>
      <w:proofErr w:type="gramEnd"/>
      <w:r w:rsidR="00212B36" w:rsidRPr="00212B36">
        <w:rPr>
          <w:highlight w:val="yellow"/>
          <w:vertAlign w:val="superscript"/>
        </w:rPr>
        <w:fldChar w:fldCharType="begin"/>
      </w:r>
      <w:r w:rsidR="00212B36" w:rsidRPr="00212B36">
        <w:rPr>
          <w:vertAlign w:val="superscript"/>
        </w:rPr>
        <w:instrText xml:space="preserve"> NOTEREF _Ref525643657 \h </w:instrText>
      </w:r>
      <w:r w:rsidR="00212B36" w:rsidRPr="00212B36">
        <w:rPr>
          <w:highlight w:val="yellow"/>
          <w:vertAlign w:val="superscript"/>
        </w:rPr>
        <w:instrText xml:space="preserve"> \* MERGEFORMAT </w:instrText>
      </w:r>
      <w:r w:rsidR="00212B36" w:rsidRPr="00212B36">
        <w:rPr>
          <w:highlight w:val="yellow"/>
          <w:vertAlign w:val="superscript"/>
        </w:rPr>
      </w:r>
      <w:r w:rsidR="00212B36" w:rsidRPr="00212B36">
        <w:rPr>
          <w:highlight w:val="yellow"/>
          <w:vertAlign w:val="superscript"/>
        </w:rPr>
        <w:fldChar w:fldCharType="separate"/>
      </w:r>
      <w:r w:rsidR="0016256C">
        <w:rPr>
          <w:vertAlign w:val="superscript"/>
        </w:rPr>
        <w:t>22</w:t>
      </w:r>
      <w:r w:rsidR="00212B36" w:rsidRPr="00212B36">
        <w:rPr>
          <w:highlight w:val="yellow"/>
          <w:vertAlign w:val="superscript"/>
        </w:rPr>
        <w:fldChar w:fldCharType="end"/>
      </w:r>
      <w:r w:rsidR="00BD555D">
        <w:t xml:space="preserve"> </w:t>
      </w:r>
      <w:r w:rsidRPr="00BD555D">
        <w:t>regarding</w:t>
      </w:r>
      <w:r>
        <w:rPr>
          <w:lang w:eastAsia="ja-JP"/>
        </w:rPr>
        <w:t xml:space="preserve"> </w:t>
      </w:r>
      <w:r w:rsidR="00A63E68">
        <w:rPr>
          <w:lang w:eastAsia="ja-JP"/>
        </w:rPr>
        <w:t>Phase</w:t>
      </w:r>
      <w:r w:rsidR="00655338">
        <w:rPr>
          <w:lang w:eastAsia="ja-JP"/>
        </w:rPr>
        <w:t xml:space="preserve"> II</w:t>
      </w:r>
      <w:r>
        <w:rPr>
          <w:lang w:eastAsia="ja-JP"/>
        </w:rPr>
        <w:t xml:space="preserve"> studies.</w:t>
      </w:r>
    </w:p>
    <w:p w14:paraId="59C149B1" w14:textId="77777777" w:rsidR="00F447BC" w:rsidRPr="00FE1D32" w:rsidRDefault="00F447BC" w:rsidP="00A227EF">
      <w:pPr>
        <w:rPr>
          <w:lang w:eastAsia="ja-JP"/>
        </w:rPr>
      </w:pPr>
      <w:r>
        <w:rPr>
          <w:lang w:eastAsia="ja-JP"/>
        </w:rPr>
        <w:t>The entry criteria for the study were generally appropriate. However, the study specifically excluded subjects with immunosuppression. Immunosuppressed patients are at increased risk of deve</w:t>
      </w:r>
      <w:r w:rsidR="00A63E68">
        <w:rPr>
          <w:lang w:eastAsia="ja-JP"/>
        </w:rPr>
        <w:t xml:space="preserve">loping MCC, and approximately 8 to </w:t>
      </w:r>
      <w:r>
        <w:rPr>
          <w:lang w:eastAsia="ja-JP"/>
        </w:rPr>
        <w:t>10% of MCC subjects are severely immunosuppressed</w:t>
      </w:r>
      <w:r w:rsidR="00FA42E4">
        <w:rPr>
          <w:lang w:eastAsia="ja-JP"/>
        </w:rPr>
        <w:t>.</w:t>
      </w:r>
      <w:r w:rsidR="00FA42E4" w:rsidRPr="00FA42E4">
        <w:rPr>
          <w:vertAlign w:val="superscript"/>
          <w:lang w:eastAsia="ja-JP"/>
        </w:rPr>
        <w:fldChar w:fldCharType="begin"/>
      </w:r>
      <w:r w:rsidR="00FA42E4" w:rsidRPr="00FA42E4">
        <w:rPr>
          <w:vertAlign w:val="superscript"/>
          <w:lang w:eastAsia="ja-JP"/>
        </w:rPr>
        <w:instrText xml:space="preserve"> NOTEREF _Ref527386492 \h  \* MERGEFORMAT </w:instrText>
      </w:r>
      <w:r w:rsidR="00FA42E4" w:rsidRPr="00FA42E4">
        <w:rPr>
          <w:vertAlign w:val="superscript"/>
          <w:lang w:eastAsia="ja-JP"/>
        </w:rPr>
      </w:r>
      <w:r w:rsidR="00FA42E4" w:rsidRPr="00FA42E4">
        <w:rPr>
          <w:vertAlign w:val="superscript"/>
          <w:lang w:eastAsia="ja-JP"/>
        </w:rPr>
        <w:fldChar w:fldCharType="separate"/>
      </w:r>
      <w:r w:rsidR="0016256C">
        <w:rPr>
          <w:vertAlign w:val="superscript"/>
          <w:lang w:eastAsia="ja-JP"/>
        </w:rPr>
        <w:t>1</w:t>
      </w:r>
      <w:r w:rsidR="00FA42E4" w:rsidRPr="00FA42E4">
        <w:rPr>
          <w:vertAlign w:val="superscript"/>
          <w:lang w:eastAsia="ja-JP"/>
        </w:rPr>
        <w:fldChar w:fldCharType="end"/>
      </w:r>
      <w:r w:rsidR="00FA42E4" w:rsidRPr="00A63E68">
        <w:rPr>
          <w:lang w:eastAsia="ja-JP"/>
        </w:rPr>
        <w:t xml:space="preserve"> </w:t>
      </w:r>
      <w:r w:rsidRPr="00FA42E4">
        <w:rPr>
          <w:lang w:eastAsia="ja-JP"/>
        </w:rPr>
        <w:t>Given</w:t>
      </w:r>
      <w:r>
        <w:rPr>
          <w:lang w:eastAsia="ja-JP"/>
        </w:rPr>
        <w:t xml:space="preserve"> its mechanism of action, it is possible that avelumab may be ineffective in such patients. Subjects with a history of organ transplantation were also excluded, presumably due to concerns regarding an increased risk of organ rejection. It would be appropriate to include precautionary statements in the PI regarding these two populations. It should also be noted that the trial only enrolled subjects with good performance status (</w:t>
      </w:r>
      <w:r w:rsidR="005049BA">
        <w:t>Eastern Cooperative Oncology Group</w:t>
      </w:r>
      <w:r w:rsidR="005049BA">
        <w:rPr>
          <w:lang w:eastAsia="ja-JP"/>
        </w:rPr>
        <w:t xml:space="preserve"> (</w:t>
      </w:r>
      <w:r>
        <w:rPr>
          <w:lang w:eastAsia="ja-JP"/>
        </w:rPr>
        <w:t>ECOG</w:t>
      </w:r>
      <w:r w:rsidR="005049BA">
        <w:rPr>
          <w:lang w:eastAsia="ja-JP"/>
        </w:rPr>
        <w:t>)</w:t>
      </w:r>
      <w:r>
        <w:rPr>
          <w:lang w:eastAsia="ja-JP"/>
        </w:rPr>
        <w:t xml:space="preserve"> PS 0 or 1) and hence efficacy has not been tested in subjects with poor performance statu</w:t>
      </w:r>
      <w:r w:rsidR="00212B36">
        <w:rPr>
          <w:lang w:eastAsia="ja-JP"/>
        </w:rPr>
        <w:t>s.</w:t>
      </w:r>
    </w:p>
    <w:p w14:paraId="6734E7C3" w14:textId="68014627" w:rsidR="00F447BC" w:rsidRDefault="00F447BC" w:rsidP="00A227EF">
      <w:pPr>
        <w:rPr>
          <w:lang w:eastAsia="ja-JP"/>
        </w:rPr>
      </w:pPr>
      <w:r w:rsidRPr="002D78D0">
        <w:rPr>
          <w:lang w:eastAsia="ja-JP"/>
        </w:rPr>
        <w:t xml:space="preserve">In the pivotal study, avelumab was diluted with 0.9% sodium chloride. The volume used was not stated and the sponsor should be asked to clarify. The proposed PI states that either 0.45% or 0.9% saline may be used. The use of 0.45% saline was not discussed in </w:t>
      </w:r>
      <w:r w:rsidR="00D2514A">
        <w:rPr>
          <w:lang w:eastAsia="ja-JP"/>
        </w:rPr>
        <w:t>the clinical data</w:t>
      </w:r>
      <w:r w:rsidRPr="002D78D0">
        <w:rPr>
          <w:lang w:eastAsia="ja-JP"/>
        </w:rPr>
        <w:t xml:space="preserve"> of </w:t>
      </w:r>
      <w:r w:rsidR="00D2514A" w:rsidRPr="002D78D0">
        <w:rPr>
          <w:lang w:eastAsia="ja-JP"/>
        </w:rPr>
        <w:t>th</w:t>
      </w:r>
      <w:r w:rsidR="00D2514A">
        <w:rPr>
          <w:lang w:eastAsia="ja-JP"/>
        </w:rPr>
        <w:t>is</w:t>
      </w:r>
      <w:r w:rsidR="00D2514A" w:rsidRPr="002D78D0">
        <w:rPr>
          <w:lang w:eastAsia="ja-JP"/>
        </w:rPr>
        <w:t xml:space="preserve"> </w:t>
      </w:r>
      <w:r w:rsidRPr="002D78D0">
        <w:rPr>
          <w:lang w:eastAsia="ja-JP"/>
        </w:rPr>
        <w:t>submission but may be justifiable on pharmaceutical chemistry grounds.</w:t>
      </w:r>
    </w:p>
    <w:p w14:paraId="73AC0339" w14:textId="77777777" w:rsidR="00F447BC" w:rsidRDefault="00F447BC" w:rsidP="00A227EF">
      <w:pPr>
        <w:rPr>
          <w:lang w:eastAsia="ja-JP"/>
        </w:rPr>
      </w:pPr>
      <w:r>
        <w:rPr>
          <w:lang w:eastAsia="ja-JP"/>
        </w:rPr>
        <w:t xml:space="preserve">The primary and secondary efficacy endpoints used in </w:t>
      </w:r>
      <w:r w:rsidR="00655338">
        <w:rPr>
          <w:lang w:eastAsia="ja-JP"/>
        </w:rPr>
        <w:t>Stud</w:t>
      </w:r>
      <w:r>
        <w:rPr>
          <w:lang w:eastAsia="ja-JP"/>
        </w:rPr>
        <w:t xml:space="preserve">y 003 were standard for </w:t>
      </w:r>
      <w:r w:rsidR="00A63E68">
        <w:rPr>
          <w:lang w:eastAsia="ja-JP"/>
        </w:rPr>
        <w:t>Phase </w:t>
      </w:r>
      <w:r w:rsidR="00655338">
        <w:rPr>
          <w:lang w:eastAsia="ja-JP"/>
        </w:rPr>
        <w:t>II</w:t>
      </w:r>
      <w:r>
        <w:rPr>
          <w:lang w:eastAsia="ja-JP"/>
        </w:rPr>
        <w:t xml:space="preserve"> oncology studies. The study was designed to establish a response rate of at least 20% for avelumab in </w:t>
      </w:r>
      <w:r w:rsidR="006C35DA">
        <w:rPr>
          <w:lang w:eastAsia="ja-JP"/>
        </w:rPr>
        <w:t>metastatic MCC</w:t>
      </w:r>
      <w:r>
        <w:rPr>
          <w:lang w:eastAsia="ja-JP"/>
        </w:rPr>
        <w:t xml:space="preserve">. Given the lack of established treatments for MCC, even in the </w:t>
      </w:r>
      <w:r w:rsidR="00212B36">
        <w:rPr>
          <w:lang w:eastAsia="ja-JP"/>
        </w:rPr>
        <w:t>first</w:t>
      </w:r>
      <w:r>
        <w:rPr>
          <w:lang w:eastAsia="ja-JP"/>
        </w:rPr>
        <w:t xml:space="preserve"> line setting, this aspect of the study design is considered acceptable.</w:t>
      </w:r>
    </w:p>
    <w:p w14:paraId="29048450" w14:textId="77777777" w:rsidR="00F447BC" w:rsidRDefault="00F447BC" w:rsidP="00A227EF">
      <w:pPr>
        <w:rPr>
          <w:lang w:eastAsia="ja-JP"/>
        </w:rPr>
      </w:pPr>
      <w:r>
        <w:rPr>
          <w:lang w:eastAsia="ja-JP"/>
        </w:rPr>
        <w:t xml:space="preserve">The study enrolled a total of 88 subjects. Apart from the lack of immunosuppressed subjects, the study population was representative of the population of </w:t>
      </w:r>
      <w:r w:rsidR="006C35DA">
        <w:rPr>
          <w:lang w:eastAsia="ja-JP"/>
        </w:rPr>
        <w:t>metastatic MCC</w:t>
      </w:r>
      <w:r>
        <w:rPr>
          <w:lang w:eastAsia="ja-JP"/>
        </w:rPr>
        <w:t xml:space="preserve"> subjects likely to be encountered in clinical practice in Australia.</w:t>
      </w:r>
    </w:p>
    <w:p w14:paraId="2D54CC67" w14:textId="647CE08C" w:rsidR="004A25E4" w:rsidRDefault="00F447BC" w:rsidP="00F447BC">
      <w:pPr>
        <w:rPr>
          <w:lang w:eastAsia="ja-JP"/>
        </w:rPr>
      </w:pPr>
      <w:r>
        <w:rPr>
          <w:lang w:eastAsia="ja-JP"/>
        </w:rPr>
        <w:t>The study demonstrated that avelumab results in an overall response rate of 31.8%. This response rate is not markedly higher than response rat</w:t>
      </w:r>
      <w:r w:rsidRPr="00A227EF">
        <w:t>e</w:t>
      </w:r>
      <w:r>
        <w:rPr>
          <w:lang w:eastAsia="ja-JP"/>
        </w:rPr>
        <w:t>s observed with 2</w:t>
      </w:r>
      <w:r w:rsidRPr="00C539DC">
        <w:rPr>
          <w:vertAlign w:val="superscript"/>
          <w:lang w:eastAsia="ja-JP"/>
        </w:rPr>
        <w:t>nd</w:t>
      </w:r>
      <w:r>
        <w:rPr>
          <w:lang w:eastAsia="ja-JP"/>
        </w:rPr>
        <w:t xml:space="preserve"> line chemotherapy. In Part </w:t>
      </w:r>
      <w:proofErr w:type="gramStart"/>
      <w:r>
        <w:rPr>
          <w:lang w:eastAsia="ja-JP"/>
        </w:rPr>
        <w:t>A</w:t>
      </w:r>
      <w:proofErr w:type="gramEnd"/>
      <w:r>
        <w:rPr>
          <w:lang w:eastAsia="ja-JP"/>
        </w:rPr>
        <w:t xml:space="preserve"> of </w:t>
      </w:r>
      <w:r w:rsidR="00655338">
        <w:rPr>
          <w:lang w:eastAsia="ja-JP"/>
        </w:rPr>
        <w:t>Stud</w:t>
      </w:r>
      <w:r>
        <w:rPr>
          <w:lang w:eastAsia="ja-JP"/>
        </w:rPr>
        <w:t xml:space="preserve">y </w:t>
      </w:r>
      <w:r w:rsidRPr="0076172E">
        <w:rPr>
          <w:lang w:eastAsia="ja-JP"/>
        </w:rPr>
        <w:t>100070-Obs001</w:t>
      </w:r>
      <w:r>
        <w:rPr>
          <w:lang w:eastAsia="ja-JP"/>
        </w:rPr>
        <w:t xml:space="preserve"> the estimated response rate was 28.6% and in a recently published retrospective analysis by </w:t>
      </w:r>
      <w:proofErr w:type="spellStart"/>
      <w:r>
        <w:rPr>
          <w:lang w:eastAsia="ja-JP"/>
        </w:rPr>
        <w:t>Iyer</w:t>
      </w:r>
      <w:proofErr w:type="spellEnd"/>
      <w:r>
        <w:rPr>
          <w:lang w:eastAsia="ja-JP"/>
        </w:rPr>
        <w:t xml:space="preserve"> et al, response rate was 23</w:t>
      </w:r>
      <w:r w:rsidR="005E07F5">
        <w:rPr>
          <w:lang w:eastAsia="ja-JP"/>
        </w:rPr>
        <w:t>.3</w:t>
      </w:r>
      <w:r>
        <w:rPr>
          <w:lang w:eastAsia="ja-JP"/>
        </w:rPr>
        <w:t>%</w:t>
      </w:r>
      <w:r w:rsidR="00212B36">
        <w:rPr>
          <w:lang w:eastAsia="ja-JP"/>
        </w:rPr>
        <w:t>.</w:t>
      </w:r>
      <w:r w:rsidR="00212B36" w:rsidRPr="00212B36">
        <w:rPr>
          <w:vertAlign w:val="superscript"/>
          <w:lang w:eastAsia="ja-JP"/>
        </w:rPr>
        <w:fldChar w:fldCharType="begin"/>
      </w:r>
      <w:r w:rsidR="00212B36" w:rsidRPr="00212B36">
        <w:rPr>
          <w:vertAlign w:val="superscript"/>
          <w:lang w:eastAsia="ja-JP"/>
        </w:rPr>
        <w:instrText xml:space="preserve"> NOTEREF _Ref525642968 \h </w:instrText>
      </w:r>
      <w:r w:rsidR="00212B36">
        <w:rPr>
          <w:vertAlign w:val="superscript"/>
          <w:lang w:eastAsia="ja-JP"/>
        </w:rPr>
        <w:instrText xml:space="preserve"> \* MERGEFORMAT </w:instrText>
      </w:r>
      <w:r w:rsidR="00212B36" w:rsidRPr="00212B36">
        <w:rPr>
          <w:vertAlign w:val="superscript"/>
          <w:lang w:eastAsia="ja-JP"/>
        </w:rPr>
      </w:r>
      <w:r w:rsidR="00212B36" w:rsidRPr="00212B36">
        <w:rPr>
          <w:vertAlign w:val="superscript"/>
          <w:lang w:eastAsia="ja-JP"/>
        </w:rPr>
        <w:fldChar w:fldCharType="separate"/>
      </w:r>
      <w:r w:rsidR="0016256C">
        <w:rPr>
          <w:vertAlign w:val="superscript"/>
          <w:lang w:eastAsia="ja-JP"/>
        </w:rPr>
        <w:t>13</w:t>
      </w:r>
      <w:r w:rsidR="00212B36" w:rsidRPr="00212B36">
        <w:rPr>
          <w:vertAlign w:val="superscript"/>
          <w:lang w:eastAsia="ja-JP"/>
        </w:rPr>
        <w:fldChar w:fldCharType="end"/>
      </w:r>
      <w:r w:rsidR="00212B36">
        <w:rPr>
          <w:lang w:eastAsia="ja-JP"/>
        </w:rPr>
        <w:t xml:space="preserve"> </w:t>
      </w:r>
      <w:r w:rsidRPr="00212B36">
        <w:rPr>
          <w:lang w:eastAsia="ja-JP"/>
        </w:rPr>
        <w:t>However</w:t>
      </w:r>
      <w:r>
        <w:rPr>
          <w:lang w:eastAsia="ja-JP"/>
        </w:rPr>
        <w:t xml:space="preserve">, the available data from </w:t>
      </w:r>
      <w:r w:rsidR="00655338">
        <w:rPr>
          <w:lang w:eastAsia="ja-JP"/>
        </w:rPr>
        <w:t>Stud</w:t>
      </w:r>
      <w:r>
        <w:rPr>
          <w:lang w:eastAsia="ja-JP"/>
        </w:rPr>
        <w:t xml:space="preserve">y 003 suggest that responses produced by avelumab in </w:t>
      </w:r>
      <w:r w:rsidR="006C35DA">
        <w:rPr>
          <w:lang w:eastAsia="ja-JP"/>
        </w:rPr>
        <w:t>metastatic MCC</w:t>
      </w:r>
      <w:r>
        <w:rPr>
          <w:lang w:eastAsia="ja-JP"/>
        </w:rPr>
        <w:t xml:space="preserve"> are longer-lasting. In </w:t>
      </w:r>
      <w:r w:rsidR="00655338">
        <w:rPr>
          <w:lang w:eastAsia="ja-JP"/>
        </w:rPr>
        <w:t>Stud</w:t>
      </w:r>
      <w:r>
        <w:rPr>
          <w:lang w:eastAsia="ja-JP"/>
        </w:rPr>
        <w:t xml:space="preserve">y </w:t>
      </w:r>
      <w:r w:rsidRPr="0076172E">
        <w:rPr>
          <w:lang w:eastAsia="ja-JP"/>
        </w:rPr>
        <w:t>100070-Obs001</w:t>
      </w:r>
      <w:r>
        <w:rPr>
          <w:lang w:eastAsia="ja-JP"/>
        </w:rPr>
        <w:t xml:space="preserve"> median duration of response was less than 2 months. In the retrospective analysis by </w:t>
      </w:r>
      <w:proofErr w:type="spellStart"/>
      <w:r>
        <w:rPr>
          <w:lang w:eastAsia="ja-JP"/>
        </w:rPr>
        <w:t>Iyer</w:t>
      </w:r>
      <w:proofErr w:type="spellEnd"/>
      <w:r>
        <w:rPr>
          <w:lang w:eastAsia="ja-JP"/>
        </w:rPr>
        <w:t xml:space="preserve"> et al</w:t>
      </w:r>
      <w:r w:rsidR="00D2514A">
        <w:rPr>
          <w:lang w:eastAsia="ja-JP"/>
        </w:rPr>
        <w:t>.</w:t>
      </w:r>
      <w:r>
        <w:rPr>
          <w:lang w:eastAsia="ja-JP"/>
        </w:rPr>
        <w:t>, median duration of response was 3.3 months (101 days)</w:t>
      </w:r>
      <w:r w:rsidR="004A25E4">
        <w:rPr>
          <w:lang w:eastAsia="ja-JP"/>
        </w:rPr>
        <w:t>.</w:t>
      </w:r>
      <w:r w:rsidR="00A63E68" w:rsidRPr="00A63E68">
        <w:rPr>
          <w:vertAlign w:val="superscript"/>
          <w:lang w:eastAsia="ja-JP"/>
        </w:rPr>
        <w:fldChar w:fldCharType="begin"/>
      </w:r>
      <w:r w:rsidR="00A63E68" w:rsidRPr="00A63E68">
        <w:rPr>
          <w:vertAlign w:val="superscript"/>
          <w:lang w:eastAsia="ja-JP"/>
        </w:rPr>
        <w:instrText xml:space="preserve"> NOTEREF _Ref525642968 \h </w:instrText>
      </w:r>
      <w:r w:rsidR="00A63E68">
        <w:rPr>
          <w:vertAlign w:val="superscript"/>
          <w:lang w:eastAsia="ja-JP"/>
        </w:rPr>
        <w:instrText xml:space="preserve"> \* MERGEFORMAT </w:instrText>
      </w:r>
      <w:r w:rsidR="00A63E68" w:rsidRPr="00A63E68">
        <w:rPr>
          <w:vertAlign w:val="superscript"/>
          <w:lang w:eastAsia="ja-JP"/>
        </w:rPr>
      </w:r>
      <w:r w:rsidR="00A63E68" w:rsidRPr="00A63E68">
        <w:rPr>
          <w:vertAlign w:val="superscript"/>
          <w:lang w:eastAsia="ja-JP"/>
        </w:rPr>
        <w:fldChar w:fldCharType="separate"/>
      </w:r>
      <w:r w:rsidR="00A63E68" w:rsidRPr="00A63E68">
        <w:rPr>
          <w:vertAlign w:val="superscript"/>
          <w:lang w:eastAsia="ja-JP"/>
        </w:rPr>
        <w:t>13</w:t>
      </w:r>
      <w:r w:rsidR="00A63E68" w:rsidRPr="00A63E68">
        <w:rPr>
          <w:vertAlign w:val="superscript"/>
          <w:lang w:eastAsia="ja-JP"/>
        </w:rPr>
        <w:fldChar w:fldCharType="end"/>
      </w:r>
    </w:p>
    <w:p w14:paraId="29324F01" w14:textId="77777777" w:rsidR="00F447BC" w:rsidRDefault="00F447BC" w:rsidP="00A227EF">
      <w:pPr>
        <w:rPr>
          <w:lang w:eastAsia="ja-JP"/>
        </w:rPr>
      </w:pPr>
      <w:r>
        <w:rPr>
          <w:lang w:eastAsia="ja-JP"/>
        </w:rPr>
        <w:lastRenderedPageBreak/>
        <w:t xml:space="preserve">In </w:t>
      </w:r>
      <w:r w:rsidR="00655338">
        <w:rPr>
          <w:lang w:eastAsia="ja-JP"/>
        </w:rPr>
        <w:t>Stud</w:t>
      </w:r>
      <w:r>
        <w:rPr>
          <w:lang w:eastAsia="ja-JP"/>
        </w:rPr>
        <w:t xml:space="preserve">y 003, the median duration of response had not been reached, however the </w:t>
      </w:r>
      <w:r w:rsidRPr="00A63E68">
        <w:rPr>
          <w:lang w:eastAsia="ja-JP"/>
        </w:rPr>
        <w:t xml:space="preserve">minimum </w:t>
      </w:r>
      <w:r>
        <w:rPr>
          <w:lang w:eastAsia="ja-JP"/>
        </w:rPr>
        <w:t>duration of response observed was 2.8 months and the lower 95%</w:t>
      </w:r>
      <w:r w:rsidR="005049BA" w:rsidRPr="005049BA">
        <w:t xml:space="preserve"> </w:t>
      </w:r>
      <w:r w:rsidR="005049BA">
        <w:t>confidence interval</w:t>
      </w:r>
      <w:r w:rsidR="005049BA">
        <w:rPr>
          <w:lang w:eastAsia="ja-JP"/>
        </w:rPr>
        <w:t xml:space="preserve"> (</w:t>
      </w:r>
      <w:r>
        <w:rPr>
          <w:lang w:eastAsia="ja-JP"/>
        </w:rPr>
        <w:t>CI</w:t>
      </w:r>
      <w:r w:rsidR="005049BA">
        <w:rPr>
          <w:lang w:eastAsia="ja-JP"/>
        </w:rPr>
        <w:t>)</w:t>
      </w:r>
      <w:r>
        <w:rPr>
          <w:lang w:eastAsia="ja-JP"/>
        </w:rPr>
        <w:t xml:space="preserve"> for the median was estimated to be 8.3 months. 27 of the 28</w:t>
      </w:r>
      <w:r w:rsidR="00A63E68">
        <w:rPr>
          <w:lang w:eastAsia="ja-JP"/>
        </w:rPr>
        <w:t xml:space="preserve"> responses were still ongoing 6 </w:t>
      </w:r>
      <w:r>
        <w:rPr>
          <w:lang w:eastAsia="ja-JP"/>
        </w:rPr>
        <w:t xml:space="preserve">months after the commencement of treatment. At the time of data cut-off, 19 of the 28 responses had lasted for at least 6 months. Although cross-trial comparisons may be unreliable, it is reasonable to conclude that avelumab is associated with more durable responses than </w:t>
      </w:r>
      <w:r w:rsidR="00A63E68">
        <w:rPr>
          <w:lang w:eastAsia="ja-JP"/>
        </w:rPr>
        <w:t>second</w:t>
      </w:r>
      <w:r>
        <w:rPr>
          <w:lang w:eastAsia="ja-JP"/>
        </w:rPr>
        <w:t xml:space="preserve"> line chemotherapy. The primary analysis of </w:t>
      </w:r>
      <w:r w:rsidR="00655338">
        <w:rPr>
          <w:lang w:eastAsia="ja-JP"/>
        </w:rPr>
        <w:t>Stud</w:t>
      </w:r>
      <w:r>
        <w:rPr>
          <w:lang w:eastAsia="ja-JP"/>
        </w:rPr>
        <w:t>y 003 was conducted after all subjects had completed at least 6 months of follow-up. A further analysis was to occur after all subjects had completed 12 months of follow-up. The results of this analysis should be sought from the sponsor.</w:t>
      </w:r>
    </w:p>
    <w:p w14:paraId="0A0DAD10" w14:textId="628B3A63" w:rsidR="004A25E4" w:rsidRDefault="00F447BC" w:rsidP="00A227EF">
      <w:pPr>
        <w:rPr>
          <w:lang w:eastAsia="ja-JP"/>
        </w:rPr>
      </w:pPr>
      <w:r>
        <w:rPr>
          <w:lang w:eastAsia="ja-JP"/>
        </w:rPr>
        <w:t>Responses only occurred in approximately one third of treated subjects. Subgroup analyses indicated that response rates were higher (</w:t>
      </w:r>
      <w:r w:rsidR="00A63E68">
        <w:rPr>
          <w:lang w:eastAsia="ja-JP"/>
        </w:rPr>
        <w:t xml:space="preserve">~ </w:t>
      </w:r>
      <w:r>
        <w:rPr>
          <w:lang w:eastAsia="ja-JP"/>
        </w:rPr>
        <w:t xml:space="preserve">50%) in subjects with PD-L1 expression on tumour </w:t>
      </w:r>
      <w:r w:rsidRPr="00A63E68">
        <w:rPr>
          <w:lang w:eastAsia="ja-JP"/>
        </w:rPr>
        <w:t>cells (</w:t>
      </w:r>
      <w:r w:rsidR="00B70C5D">
        <w:rPr>
          <w:lang w:eastAsia="ja-JP"/>
        </w:rPr>
        <w:t>Table 7</w:t>
      </w:r>
      <w:r w:rsidRPr="00A63E68">
        <w:rPr>
          <w:lang w:eastAsia="ja-JP"/>
        </w:rPr>
        <w:t>). Restriction of avelumab to subjects with tumours that express PD-L1 might enhance the overall</w:t>
      </w:r>
      <w:r>
        <w:rPr>
          <w:lang w:eastAsia="ja-JP"/>
        </w:rPr>
        <w:t xml:space="preserve"> efficacy profile of the drug. However, it appears that PD-L1 expression in </w:t>
      </w:r>
      <w:r w:rsidR="00655338">
        <w:rPr>
          <w:lang w:eastAsia="ja-JP"/>
        </w:rPr>
        <w:t>Stud</w:t>
      </w:r>
      <w:r>
        <w:rPr>
          <w:lang w:eastAsia="ja-JP"/>
        </w:rPr>
        <w:t xml:space="preserve">y 003 was determined using an assay that is not commercially available, and it cannot be assumed that commercially available </w:t>
      </w:r>
      <w:r w:rsidR="00D2514A">
        <w:rPr>
          <w:lang w:eastAsia="ja-JP"/>
        </w:rPr>
        <w:t>immunohistochemistry (</w:t>
      </w:r>
      <w:r>
        <w:rPr>
          <w:lang w:eastAsia="ja-JP"/>
        </w:rPr>
        <w:t>IHC</w:t>
      </w:r>
      <w:r w:rsidR="00D2514A">
        <w:rPr>
          <w:lang w:eastAsia="ja-JP"/>
        </w:rPr>
        <w:t>)</w:t>
      </w:r>
      <w:r>
        <w:rPr>
          <w:lang w:eastAsia="ja-JP"/>
        </w:rPr>
        <w:t xml:space="preserve"> assays would produce the same results. In addition, a response rate of approximately 20% was observed in subjects with PD-L1 negative tumours. In a condition with no established therapies and a life expectancy of less than 6</w:t>
      </w:r>
      <w:r w:rsidR="00D2514A">
        <w:rPr>
          <w:lang w:eastAsia="ja-JP"/>
        </w:rPr>
        <w:t> </w:t>
      </w:r>
      <w:r>
        <w:rPr>
          <w:lang w:eastAsia="ja-JP"/>
        </w:rPr>
        <w:t>months, this level of efficacy is still clinically meaningful</w:t>
      </w:r>
      <w:r w:rsidR="004A25E4">
        <w:rPr>
          <w:lang w:eastAsia="ja-JP"/>
        </w:rPr>
        <w:t>.</w:t>
      </w:r>
    </w:p>
    <w:p w14:paraId="49B4EE2B" w14:textId="77777777" w:rsidR="00A63E68" w:rsidRDefault="00B70C5D" w:rsidP="00A227EF">
      <w:pPr>
        <w:pStyle w:val="TableTitle"/>
      </w:pPr>
      <w:r>
        <w:rPr>
          <w:lang w:eastAsia="ja-JP"/>
        </w:rPr>
        <w:t xml:space="preserve">Table 7: </w:t>
      </w:r>
      <w:r>
        <w:t>Study 003.</w:t>
      </w:r>
      <w:r w:rsidR="00A63E68">
        <w:t xml:space="preserve"> </w:t>
      </w:r>
      <w:r w:rsidR="00CE012A" w:rsidRPr="0063228A">
        <w:t>Objective</w:t>
      </w:r>
      <w:r w:rsidR="00CE012A">
        <w:t xml:space="preserve"> </w:t>
      </w:r>
      <w:r w:rsidR="00CE012A" w:rsidRPr="00A227EF">
        <w:t>response</w:t>
      </w:r>
      <w:r w:rsidR="00CE012A">
        <w:t xml:space="preserve"> rate (</w:t>
      </w:r>
      <w:r w:rsidR="00A63E68">
        <w:t>ORR</w:t>
      </w:r>
      <w:r w:rsidR="00CE012A">
        <w:t>)</w:t>
      </w:r>
      <w:r w:rsidR="00A63E68">
        <w:t xml:space="preserve"> in PD-L1 expression subgroups</w:t>
      </w:r>
    </w:p>
    <w:p w14:paraId="3D21B9AB" w14:textId="77777777" w:rsidR="00A63E68" w:rsidRPr="00A63E68" w:rsidRDefault="00A63E68" w:rsidP="00A227EF">
      <w:r>
        <w:rPr>
          <w:noProof/>
          <w:lang w:eastAsia="en-AU"/>
        </w:rPr>
        <w:drawing>
          <wp:inline distT="0" distB="0" distL="0" distR="0" wp14:anchorId="4B8E1DD0" wp14:editId="261A9A78">
            <wp:extent cx="5400040" cy="1721551"/>
            <wp:effectExtent l="0" t="0" r="0" b="0"/>
            <wp:docPr id="13" name="Picture 13" descr="Table 7: Study 003. ORR in PD-L1 expression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721551"/>
                    </a:xfrm>
                    <a:prstGeom prst="rect">
                      <a:avLst/>
                    </a:prstGeom>
                  </pic:spPr>
                </pic:pic>
              </a:graphicData>
            </a:graphic>
          </wp:inline>
        </w:drawing>
      </w:r>
    </w:p>
    <w:p w14:paraId="51DCAAFD" w14:textId="34661F78" w:rsidR="00F447BC" w:rsidRDefault="00F447BC" w:rsidP="00F447BC">
      <w:pPr>
        <w:rPr>
          <w:lang w:eastAsia="ja-JP"/>
        </w:rPr>
      </w:pPr>
      <w:r>
        <w:rPr>
          <w:lang w:eastAsia="ja-JP"/>
        </w:rPr>
        <w:t>Quality of life</w:t>
      </w:r>
      <w:r w:rsidR="00D2514A">
        <w:rPr>
          <w:lang w:eastAsia="ja-JP"/>
        </w:rPr>
        <w:t xml:space="preserve"> (QoL)</w:t>
      </w:r>
      <w:r>
        <w:rPr>
          <w:lang w:eastAsia="ja-JP"/>
        </w:rPr>
        <w:t xml:space="preserve"> measures were used as exploratory endpoints in the study. The overall results suggest that avelumab has no clinically significant effect on these measures.</w:t>
      </w:r>
    </w:p>
    <w:p w14:paraId="19988BE5" w14:textId="124BD643" w:rsidR="00F447BC" w:rsidRDefault="00F447BC" w:rsidP="00BD555D">
      <w:pPr>
        <w:rPr>
          <w:lang w:eastAsia="ja-JP"/>
        </w:rPr>
      </w:pPr>
      <w:r>
        <w:rPr>
          <w:lang w:eastAsia="ja-JP"/>
        </w:rPr>
        <w:t xml:space="preserve">The EMA guideline on anticancer </w:t>
      </w:r>
      <w:r w:rsidRPr="00BD555D">
        <w:t>agents</w:t>
      </w:r>
      <w:proofErr w:type="gramStart"/>
      <w:r w:rsidR="00D2514A">
        <w:t>;</w:t>
      </w:r>
      <w:proofErr w:type="gramEnd"/>
      <w:r w:rsidR="00FA42E4" w:rsidRPr="00FA42E4">
        <w:rPr>
          <w:vertAlign w:val="superscript"/>
        </w:rPr>
        <w:fldChar w:fldCharType="begin"/>
      </w:r>
      <w:r w:rsidR="00FA42E4" w:rsidRPr="00FA42E4">
        <w:rPr>
          <w:vertAlign w:val="superscript"/>
        </w:rPr>
        <w:instrText xml:space="preserve"> NOTEREF _Ref525643657 \h  \* MERGEFORMAT </w:instrText>
      </w:r>
      <w:r w:rsidR="00FA42E4" w:rsidRPr="00FA42E4">
        <w:rPr>
          <w:vertAlign w:val="superscript"/>
        </w:rPr>
      </w:r>
      <w:r w:rsidR="00FA42E4" w:rsidRPr="00FA42E4">
        <w:rPr>
          <w:vertAlign w:val="superscript"/>
        </w:rPr>
        <w:fldChar w:fldCharType="separate"/>
      </w:r>
      <w:r w:rsidR="0016256C">
        <w:rPr>
          <w:vertAlign w:val="superscript"/>
        </w:rPr>
        <w:t>22</w:t>
      </w:r>
      <w:r w:rsidR="00FA42E4" w:rsidRPr="00FA42E4">
        <w:rPr>
          <w:vertAlign w:val="superscript"/>
        </w:rPr>
        <w:fldChar w:fldCharType="end"/>
      </w:r>
      <w:r w:rsidR="00BD555D" w:rsidRPr="00BD555D">
        <w:t xml:space="preserve"> </w:t>
      </w:r>
      <w:r w:rsidRPr="00BD555D">
        <w:t>generally</w:t>
      </w:r>
      <w:r>
        <w:rPr>
          <w:lang w:eastAsia="ja-JP"/>
        </w:rPr>
        <w:t xml:space="preserve"> requires randomised, comparative </w:t>
      </w:r>
      <w:r w:rsidR="00A63E68">
        <w:rPr>
          <w:lang w:eastAsia="ja-JP"/>
        </w:rPr>
        <w:t>Phase</w:t>
      </w:r>
      <w:r>
        <w:rPr>
          <w:lang w:eastAsia="ja-JP"/>
        </w:rPr>
        <w:t xml:space="preserve"> III studies for regulatory approval of new anticancer drugs. As an attachment to the covering letter for the submission the sponsor included a justification basing the submission on a </w:t>
      </w:r>
      <w:r w:rsidR="00273D46">
        <w:rPr>
          <w:lang w:eastAsia="ja-JP"/>
        </w:rPr>
        <w:t>single arm</w:t>
      </w:r>
      <w:r>
        <w:rPr>
          <w:lang w:eastAsia="ja-JP"/>
        </w:rPr>
        <w:t xml:space="preserve"> non-comparative study. The arguments put forward were the following:</w:t>
      </w:r>
    </w:p>
    <w:p w14:paraId="0C3B9DD2" w14:textId="02678A35" w:rsidR="00F447BC" w:rsidRPr="00510FDB" w:rsidRDefault="006C35DA" w:rsidP="00A227EF">
      <w:pPr>
        <w:pStyle w:val="ListBullet"/>
        <w:rPr>
          <w:lang w:eastAsia="ja-JP"/>
        </w:rPr>
      </w:pPr>
      <w:r>
        <w:rPr>
          <w:lang w:val="en-US" w:eastAsia="ja-JP"/>
        </w:rPr>
        <w:t>metastatic MCC</w:t>
      </w:r>
      <w:r w:rsidR="00F447BC">
        <w:rPr>
          <w:lang w:val="en-US" w:eastAsia="ja-JP"/>
        </w:rPr>
        <w:t xml:space="preserve"> is a very rare </w:t>
      </w:r>
      <w:r w:rsidR="00F447BC" w:rsidRPr="00A227EF">
        <w:t>condition</w:t>
      </w:r>
      <w:r w:rsidR="00F447BC">
        <w:rPr>
          <w:lang w:val="en-US" w:eastAsia="ja-JP"/>
        </w:rPr>
        <w:t>;</w:t>
      </w:r>
    </w:p>
    <w:p w14:paraId="66223BA8" w14:textId="77777777" w:rsidR="00F447BC" w:rsidRPr="00510FDB" w:rsidRDefault="006C35DA" w:rsidP="00F447BC">
      <w:pPr>
        <w:pStyle w:val="ListBullet"/>
        <w:numPr>
          <w:ilvl w:val="0"/>
          <w:numId w:val="3"/>
        </w:numPr>
        <w:rPr>
          <w:lang w:eastAsia="ja-JP"/>
        </w:rPr>
      </w:pPr>
      <w:r>
        <w:rPr>
          <w:lang w:val="en-US" w:eastAsia="ja-JP"/>
        </w:rPr>
        <w:t>metastatic MCC</w:t>
      </w:r>
      <w:r w:rsidR="00A63E68">
        <w:rPr>
          <w:lang w:val="en-US" w:eastAsia="ja-JP"/>
        </w:rPr>
        <w:t xml:space="preserve"> is a serious, life </w:t>
      </w:r>
      <w:r w:rsidR="00F447BC">
        <w:rPr>
          <w:lang w:val="en-US" w:eastAsia="ja-JP"/>
        </w:rPr>
        <w:t>threatening condition;</w:t>
      </w:r>
    </w:p>
    <w:p w14:paraId="4A5788FA" w14:textId="592DB9C4" w:rsidR="00F447BC" w:rsidRDefault="00D2514A" w:rsidP="00A227EF">
      <w:pPr>
        <w:pStyle w:val="ListBullet"/>
        <w:rPr>
          <w:lang w:eastAsia="ja-JP"/>
        </w:rPr>
      </w:pPr>
      <w:proofErr w:type="gramStart"/>
      <w:r>
        <w:rPr>
          <w:lang w:eastAsia="ja-JP"/>
        </w:rPr>
        <w:t>there</w:t>
      </w:r>
      <w:proofErr w:type="gramEnd"/>
      <w:r>
        <w:rPr>
          <w:lang w:eastAsia="ja-JP"/>
        </w:rPr>
        <w:t xml:space="preserve"> </w:t>
      </w:r>
      <w:r w:rsidR="00F447BC">
        <w:rPr>
          <w:lang w:eastAsia="ja-JP"/>
        </w:rPr>
        <w:t xml:space="preserve">are no approved therapies for the treatment of </w:t>
      </w:r>
      <w:r w:rsidR="006C35DA">
        <w:rPr>
          <w:lang w:eastAsia="ja-JP"/>
        </w:rPr>
        <w:t>metastatic MCC</w:t>
      </w:r>
      <w:r w:rsidR="00F447BC">
        <w:rPr>
          <w:lang w:eastAsia="ja-JP"/>
        </w:rPr>
        <w:t>. Although the disease has been shown to be sensitive to cytotoxic chemotherapy, responses are generally of short duration and chemotherapy has not been shown to produce improvements in overall survival. There is therefore an unmet medical need for treatments for the condition;</w:t>
      </w:r>
    </w:p>
    <w:p w14:paraId="1B2EBCB5" w14:textId="7AFBE3EC" w:rsidR="00F447BC" w:rsidRDefault="00F447BC" w:rsidP="00A227EF">
      <w:pPr>
        <w:pStyle w:val="ListBullet"/>
        <w:rPr>
          <w:lang w:eastAsia="ja-JP"/>
        </w:rPr>
      </w:pPr>
      <w:r>
        <w:rPr>
          <w:lang w:eastAsia="ja-JP"/>
        </w:rPr>
        <w:t xml:space="preserve">Study 003 establishes a favourable benefit-risk balance for avelumab in the treatment of </w:t>
      </w:r>
      <w:r w:rsidR="006C35DA">
        <w:rPr>
          <w:lang w:eastAsia="ja-JP"/>
        </w:rPr>
        <w:t>metastatic MCC</w:t>
      </w:r>
      <w:r>
        <w:rPr>
          <w:lang w:eastAsia="ja-JP"/>
        </w:rPr>
        <w:t xml:space="preserve"> (this claim is assessed in</w:t>
      </w:r>
      <w:r w:rsidR="00A63E68">
        <w:rPr>
          <w:lang w:eastAsia="ja-JP"/>
        </w:rPr>
        <w:t xml:space="preserve"> the benefit risk assessment section below</w:t>
      </w:r>
      <w:r>
        <w:rPr>
          <w:lang w:eastAsia="ja-JP"/>
        </w:rPr>
        <w:t>);</w:t>
      </w:r>
      <w:r w:rsidR="00D2514A">
        <w:rPr>
          <w:lang w:eastAsia="ja-JP"/>
        </w:rPr>
        <w:t xml:space="preserve"> and</w:t>
      </w:r>
    </w:p>
    <w:p w14:paraId="6B0A3615" w14:textId="4A3C7BFB" w:rsidR="00F447BC" w:rsidRPr="00FA5301" w:rsidRDefault="00D2514A" w:rsidP="00F447BC">
      <w:pPr>
        <w:pStyle w:val="ListBullet"/>
        <w:numPr>
          <w:ilvl w:val="0"/>
          <w:numId w:val="3"/>
        </w:numPr>
        <w:rPr>
          <w:lang w:eastAsia="ja-JP"/>
        </w:rPr>
      </w:pPr>
      <w:proofErr w:type="gramStart"/>
      <w:r>
        <w:rPr>
          <w:lang w:eastAsia="ja-JP"/>
        </w:rPr>
        <w:lastRenderedPageBreak/>
        <w:t>comparable</w:t>
      </w:r>
      <w:proofErr w:type="gramEnd"/>
      <w:r>
        <w:rPr>
          <w:lang w:eastAsia="ja-JP"/>
        </w:rPr>
        <w:t xml:space="preserve"> </w:t>
      </w:r>
      <w:r w:rsidR="00F447BC">
        <w:rPr>
          <w:lang w:eastAsia="ja-JP"/>
        </w:rPr>
        <w:t>regulatory authorities (</w:t>
      </w:r>
      <w:r>
        <w:rPr>
          <w:lang w:eastAsia="ja-JP"/>
        </w:rPr>
        <w:t>US Food and Drug Administration (</w:t>
      </w:r>
      <w:r w:rsidR="00F447BC">
        <w:rPr>
          <w:lang w:eastAsia="ja-JP"/>
        </w:rPr>
        <w:t>FDA</w:t>
      </w:r>
      <w:r>
        <w:rPr>
          <w:lang w:eastAsia="ja-JP"/>
        </w:rPr>
        <w:t>)</w:t>
      </w:r>
      <w:r w:rsidR="00F447BC">
        <w:rPr>
          <w:lang w:eastAsia="ja-JP"/>
        </w:rPr>
        <w:t xml:space="preserve">, EMA) have advised the sponsor that approval on the basis of </w:t>
      </w:r>
      <w:r w:rsidR="00655338">
        <w:rPr>
          <w:lang w:eastAsia="ja-JP"/>
        </w:rPr>
        <w:t>Stud</w:t>
      </w:r>
      <w:r w:rsidR="00F447BC">
        <w:rPr>
          <w:lang w:eastAsia="ja-JP"/>
        </w:rPr>
        <w:t>y 003 is possible, provided that the efficacy data were convincing and a favourable benefit-risk balance is established.</w:t>
      </w:r>
    </w:p>
    <w:p w14:paraId="01C9A4AA" w14:textId="77777777" w:rsidR="00F447BC" w:rsidRDefault="00F447BC" w:rsidP="00A227EF">
      <w:pPr>
        <w:rPr>
          <w:lang w:eastAsia="ja-JP"/>
        </w:rPr>
      </w:pPr>
      <w:r>
        <w:rPr>
          <w:lang w:eastAsia="ja-JP"/>
        </w:rPr>
        <w:t xml:space="preserve">The sponsor’s arguments for basing regulatory approval on </w:t>
      </w:r>
      <w:r w:rsidR="00A63E68">
        <w:rPr>
          <w:lang w:eastAsia="ja-JP"/>
        </w:rPr>
        <w:t>Phase</w:t>
      </w:r>
      <w:r w:rsidR="00655338">
        <w:rPr>
          <w:lang w:eastAsia="ja-JP"/>
        </w:rPr>
        <w:t xml:space="preserve"> II</w:t>
      </w:r>
      <w:r>
        <w:rPr>
          <w:lang w:eastAsia="ja-JP"/>
        </w:rPr>
        <w:t xml:space="preserve">, non-comparative data are acceptable in principle. It is noted that the TGA has in the past approved other agents on the basis of </w:t>
      </w:r>
      <w:r w:rsidR="00A63E68">
        <w:rPr>
          <w:lang w:eastAsia="ja-JP"/>
        </w:rPr>
        <w:t>Phase</w:t>
      </w:r>
      <w:r w:rsidR="00655338">
        <w:rPr>
          <w:lang w:eastAsia="ja-JP"/>
        </w:rPr>
        <w:t xml:space="preserve"> II</w:t>
      </w:r>
      <w:r>
        <w:rPr>
          <w:lang w:eastAsia="ja-JP"/>
        </w:rPr>
        <w:t xml:space="preserve">, non-comparative </w:t>
      </w:r>
      <w:r w:rsidR="00A63E68">
        <w:rPr>
          <w:lang w:eastAsia="ja-JP"/>
        </w:rPr>
        <w:t xml:space="preserve">data in situations where a life </w:t>
      </w:r>
      <w:r>
        <w:rPr>
          <w:lang w:eastAsia="ja-JP"/>
        </w:rPr>
        <w:t>threatening disease is rare and/or established treatments are not available.</w:t>
      </w:r>
    </w:p>
    <w:p w14:paraId="2FBEC9ED" w14:textId="77777777" w:rsidR="00F447BC" w:rsidRDefault="00F447BC" w:rsidP="00A227EF">
      <w:pPr>
        <w:rPr>
          <w:lang w:eastAsia="ja-JP"/>
        </w:rPr>
      </w:pPr>
      <w:r>
        <w:rPr>
          <w:lang w:eastAsia="ja-JP"/>
        </w:rPr>
        <w:t xml:space="preserve">The submission is based on a single pivotal study and the TGA has adopted an EMA guideline that deals with this </w:t>
      </w:r>
      <w:r w:rsidRPr="00BD555D">
        <w:t>situation</w:t>
      </w:r>
      <w:r w:rsidR="00BD555D">
        <w:t>.</w:t>
      </w:r>
      <w:r w:rsidR="00FA42E4" w:rsidRPr="00FA42E4">
        <w:rPr>
          <w:vertAlign w:val="superscript"/>
        </w:rPr>
        <w:fldChar w:fldCharType="begin"/>
      </w:r>
      <w:r w:rsidR="00FA42E4" w:rsidRPr="00FA42E4">
        <w:rPr>
          <w:vertAlign w:val="superscript"/>
        </w:rPr>
        <w:instrText xml:space="preserve"> NOTEREF _Ref525643657 \h  \* MERGEFORMAT </w:instrText>
      </w:r>
      <w:r w:rsidR="00FA42E4" w:rsidRPr="00FA42E4">
        <w:rPr>
          <w:vertAlign w:val="superscript"/>
        </w:rPr>
      </w:r>
      <w:r w:rsidR="00FA42E4" w:rsidRPr="00FA42E4">
        <w:rPr>
          <w:vertAlign w:val="superscript"/>
        </w:rPr>
        <w:fldChar w:fldCharType="separate"/>
      </w:r>
      <w:r w:rsidR="0016256C">
        <w:rPr>
          <w:vertAlign w:val="superscript"/>
        </w:rPr>
        <w:t>22</w:t>
      </w:r>
      <w:r w:rsidR="00FA42E4" w:rsidRPr="00FA42E4">
        <w:rPr>
          <w:vertAlign w:val="superscript"/>
        </w:rPr>
        <w:fldChar w:fldCharType="end"/>
      </w:r>
      <w:r w:rsidR="00BD555D">
        <w:t xml:space="preserve"> </w:t>
      </w:r>
      <w:r w:rsidRPr="00BD555D">
        <w:t>This</w:t>
      </w:r>
      <w:r>
        <w:rPr>
          <w:lang w:eastAsia="ja-JP"/>
        </w:rPr>
        <w:t xml:space="preserve"> guideline sets out certain ‘prerequisites’ that must be met for approval of such a submission. These are:</w:t>
      </w:r>
    </w:p>
    <w:p w14:paraId="45555D78" w14:textId="77777777" w:rsidR="00F447BC" w:rsidRDefault="00F447BC" w:rsidP="00A63E68">
      <w:pPr>
        <w:pStyle w:val="Numberbullet0"/>
        <w:numPr>
          <w:ilvl w:val="0"/>
          <w:numId w:val="44"/>
        </w:numPr>
        <w:rPr>
          <w:lang w:eastAsia="ja-JP"/>
        </w:rPr>
      </w:pPr>
      <w:r>
        <w:rPr>
          <w:lang w:eastAsia="ja-JP"/>
        </w:rPr>
        <w:t>The study must have internal validity, with n</w:t>
      </w:r>
      <w:r w:rsidR="00A63E68">
        <w:rPr>
          <w:lang w:eastAsia="ja-JP"/>
        </w:rPr>
        <w:t>o indications of potential bias</w:t>
      </w:r>
    </w:p>
    <w:p w14:paraId="76EFA34D" w14:textId="77777777" w:rsidR="00F447BC" w:rsidRDefault="00F447BC" w:rsidP="00A63E68">
      <w:pPr>
        <w:pStyle w:val="Numberbullet0"/>
        <w:numPr>
          <w:ilvl w:val="0"/>
          <w:numId w:val="44"/>
        </w:numPr>
        <w:rPr>
          <w:lang w:eastAsia="ja-JP"/>
        </w:rPr>
      </w:pPr>
      <w:r>
        <w:rPr>
          <w:lang w:eastAsia="ja-JP"/>
        </w:rPr>
        <w:t xml:space="preserve">The study must have external validity, with the population studied being suitable to allow extrapolation of data </w:t>
      </w:r>
      <w:r w:rsidR="00A63E68">
        <w:rPr>
          <w:lang w:eastAsia="ja-JP"/>
        </w:rPr>
        <w:t>to the population to be treated</w:t>
      </w:r>
    </w:p>
    <w:p w14:paraId="6258B197" w14:textId="77777777" w:rsidR="00F447BC" w:rsidRDefault="00F447BC" w:rsidP="00A63E68">
      <w:pPr>
        <w:pStyle w:val="Numberbullet0"/>
        <w:numPr>
          <w:ilvl w:val="0"/>
          <w:numId w:val="44"/>
        </w:numPr>
        <w:rPr>
          <w:lang w:eastAsia="ja-JP"/>
        </w:rPr>
      </w:pPr>
      <w:r>
        <w:rPr>
          <w:lang w:eastAsia="ja-JP"/>
        </w:rPr>
        <w:t>The size of the efficacy benefit must be large enough to be</w:t>
      </w:r>
      <w:r w:rsidR="00A63E68">
        <w:rPr>
          <w:lang w:eastAsia="ja-JP"/>
        </w:rPr>
        <w:t xml:space="preserve"> considered clinically valuable</w:t>
      </w:r>
    </w:p>
    <w:p w14:paraId="7FA1C7FE" w14:textId="77777777" w:rsidR="00F447BC" w:rsidRDefault="00F447BC" w:rsidP="00A63E68">
      <w:pPr>
        <w:pStyle w:val="Numberbullet0"/>
        <w:numPr>
          <w:ilvl w:val="0"/>
          <w:numId w:val="44"/>
        </w:numPr>
        <w:rPr>
          <w:lang w:eastAsia="ja-JP"/>
        </w:rPr>
      </w:pPr>
      <w:r>
        <w:rPr>
          <w:lang w:eastAsia="ja-JP"/>
        </w:rPr>
        <w:t xml:space="preserve">The degree of statistical significance should be </w:t>
      </w:r>
      <w:r w:rsidR="004A25E4">
        <w:rPr>
          <w:lang w:eastAsia="ja-JP"/>
        </w:rPr>
        <w:t>‘</w:t>
      </w:r>
      <w:r>
        <w:rPr>
          <w:lang w:eastAsia="ja-JP"/>
        </w:rPr>
        <w:t>considerably stronger</w:t>
      </w:r>
      <w:r w:rsidR="004A25E4">
        <w:rPr>
          <w:lang w:eastAsia="ja-JP"/>
        </w:rPr>
        <w:t>’</w:t>
      </w:r>
      <w:r>
        <w:rPr>
          <w:lang w:eastAsia="ja-JP"/>
        </w:rPr>
        <w:t xml:space="preserve"> than p </w:t>
      </w:r>
      <w:r w:rsidR="005E1E9B">
        <w:rPr>
          <w:lang w:eastAsia="ja-JP"/>
        </w:rPr>
        <w:t xml:space="preserve">&lt; </w:t>
      </w:r>
      <w:r>
        <w:rPr>
          <w:lang w:eastAsia="ja-JP"/>
        </w:rPr>
        <w:t>0.05, and confid</w:t>
      </w:r>
      <w:r w:rsidR="00A63E68">
        <w:rPr>
          <w:lang w:eastAsia="ja-JP"/>
        </w:rPr>
        <w:t>ence intervals should be narrow</w:t>
      </w:r>
    </w:p>
    <w:p w14:paraId="7C8248D1" w14:textId="77777777" w:rsidR="00F447BC" w:rsidRDefault="00F447BC" w:rsidP="00A63E68">
      <w:pPr>
        <w:pStyle w:val="Numberbullet0"/>
        <w:numPr>
          <w:ilvl w:val="0"/>
          <w:numId w:val="44"/>
        </w:numPr>
        <w:rPr>
          <w:lang w:eastAsia="ja-JP"/>
        </w:rPr>
      </w:pPr>
      <w:r>
        <w:rPr>
          <w:lang w:eastAsia="ja-JP"/>
        </w:rPr>
        <w:t xml:space="preserve">The data </w:t>
      </w:r>
      <w:r w:rsidR="00A63E68">
        <w:rPr>
          <w:lang w:eastAsia="ja-JP"/>
        </w:rPr>
        <w:t>should be of acceptable quality</w:t>
      </w:r>
    </w:p>
    <w:p w14:paraId="2D306958" w14:textId="77777777" w:rsidR="00F447BC" w:rsidRDefault="00F447BC" w:rsidP="00A63E68">
      <w:pPr>
        <w:pStyle w:val="Numberbullet0"/>
        <w:numPr>
          <w:ilvl w:val="0"/>
          <w:numId w:val="44"/>
        </w:numPr>
        <w:rPr>
          <w:lang w:eastAsia="ja-JP"/>
        </w:rPr>
      </w:pPr>
      <w:r>
        <w:rPr>
          <w:lang w:eastAsia="ja-JP"/>
        </w:rPr>
        <w:t>There should be internal consistency, with similar effects in sub-populations and important end</w:t>
      </w:r>
      <w:r w:rsidR="00A63E68">
        <w:rPr>
          <w:lang w:eastAsia="ja-JP"/>
        </w:rPr>
        <w:t>points showing similar findings</w:t>
      </w:r>
    </w:p>
    <w:p w14:paraId="354632B4" w14:textId="77777777" w:rsidR="00F447BC" w:rsidRDefault="00F447BC" w:rsidP="00A63E68">
      <w:pPr>
        <w:pStyle w:val="Numberbullet0"/>
        <w:numPr>
          <w:ilvl w:val="0"/>
          <w:numId w:val="44"/>
        </w:numPr>
        <w:rPr>
          <w:lang w:eastAsia="ja-JP"/>
        </w:rPr>
      </w:pPr>
      <w:r>
        <w:rPr>
          <w:lang w:eastAsia="ja-JP"/>
        </w:rPr>
        <w:t>Results should not diffe</w:t>
      </w:r>
      <w:r w:rsidR="00A63E68">
        <w:rPr>
          <w:lang w:eastAsia="ja-JP"/>
        </w:rPr>
        <w:t>r notably between study centres</w:t>
      </w:r>
    </w:p>
    <w:p w14:paraId="61140625" w14:textId="77777777" w:rsidR="00F447BC" w:rsidRDefault="00F447BC" w:rsidP="00A63E68">
      <w:pPr>
        <w:pStyle w:val="Numberbullet0"/>
        <w:numPr>
          <w:ilvl w:val="0"/>
          <w:numId w:val="44"/>
        </w:numPr>
        <w:rPr>
          <w:lang w:eastAsia="ja-JP"/>
        </w:rPr>
      </w:pPr>
      <w:r>
        <w:rPr>
          <w:lang w:eastAsia="ja-JP"/>
        </w:rPr>
        <w:t>The hypothesis being tested should be plausible.</w:t>
      </w:r>
    </w:p>
    <w:p w14:paraId="583CA2B7" w14:textId="77777777" w:rsidR="004A25E4" w:rsidRDefault="00F447BC" w:rsidP="00A227EF">
      <w:pPr>
        <w:rPr>
          <w:lang w:eastAsia="ja-JP"/>
        </w:rPr>
      </w:pPr>
      <w:r>
        <w:rPr>
          <w:lang w:eastAsia="ja-JP"/>
        </w:rPr>
        <w:t>Overall it is considered that these prerequisites have been met</w:t>
      </w:r>
      <w:r w:rsidR="004A25E4">
        <w:rPr>
          <w:lang w:eastAsia="ja-JP"/>
        </w:rPr>
        <w:t>.</w:t>
      </w:r>
    </w:p>
    <w:p w14:paraId="293B2830" w14:textId="77777777" w:rsidR="008E7846" w:rsidRPr="002E238E" w:rsidRDefault="008E7846" w:rsidP="00A227EF">
      <w:pPr>
        <w:pStyle w:val="Heading3"/>
      </w:pPr>
      <w:bookmarkStart w:id="126" w:name="_Toc8053066"/>
      <w:r w:rsidRPr="00A227EF">
        <w:t>Safety</w:t>
      </w:r>
      <w:bookmarkEnd w:id="122"/>
      <w:bookmarkEnd w:id="123"/>
      <w:bookmarkEnd w:id="124"/>
      <w:bookmarkEnd w:id="125"/>
      <w:bookmarkEnd w:id="126"/>
    </w:p>
    <w:p w14:paraId="5D818DE1" w14:textId="77777777" w:rsidR="00605AD4" w:rsidRDefault="00605AD4" w:rsidP="00A227EF">
      <w:pPr>
        <w:pStyle w:val="Heading4"/>
      </w:pPr>
      <w:bookmarkStart w:id="127" w:name="_Toc247691524"/>
      <w:bookmarkStart w:id="128" w:name="_Toc314842508"/>
      <w:bookmarkStart w:id="129" w:name="_Toc196046504"/>
      <w:bookmarkStart w:id="130" w:name="_Toc163441390"/>
      <w:r w:rsidRPr="00605AD4">
        <w:t xml:space="preserve">Studies </w:t>
      </w:r>
      <w:r w:rsidRPr="00A227EF">
        <w:t>providing</w:t>
      </w:r>
      <w:r w:rsidRPr="00605AD4">
        <w:t xml:space="preserve"> safety data</w:t>
      </w:r>
    </w:p>
    <w:p w14:paraId="4E2CE5C7" w14:textId="77777777" w:rsidR="00E330D0" w:rsidRDefault="00E330D0" w:rsidP="00A227EF">
      <w:pPr>
        <w:rPr>
          <w:lang w:eastAsia="ja-JP"/>
        </w:rPr>
      </w:pPr>
      <w:r>
        <w:rPr>
          <w:lang w:eastAsia="ja-JP"/>
        </w:rPr>
        <w:t>As indicated above, three clinical trials were included in the submission. Evaluable safety data were available as follows:</w:t>
      </w:r>
    </w:p>
    <w:p w14:paraId="2B77D27E" w14:textId="77777777" w:rsidR="00E330D0" w:rsidRDefault="00A63E68" w:rsidP="00A227EF">
      <w:pPr>
        <w:pStyle w:val="ListBullet"/>
        <w:rPr>
          <w:lang w:eastAsia="ja-JP"/>
        </w:rPr>
      </w:pPr>
      <w:r w:rsidRPr="00A227EF">
        <w:t>Study</w:t>
      </w:r>
      <w:r>
        <w:rPr>
          <w:lang w:eastAsia="ja-JP"/>
        </w:rPr>
        <w:t xml:space="preserve"> 003;</w:t>
      </w:r>
      <w:r w:rsidR="00E330D0">
        <w:rPr>
          <w:lang w:eastAsia="ja-JP"/>
        </w:rPr>
        <w:t xml:space="preserve"> 88 subjects with </w:t>
      </w:r>
      <w:r w:rsidR="006C35DA">
        <w:rPr>
          <w:lang w:eastAsia="ja-JP"/>
        </w:rPr>
        <w:t>metastatic MCC</w:t>
      </w:r>
    </w:p>
    <w:p w14:paraId="2ED30564" w14:textId="77777777" w:rsidR="00E330D0" w:rsidRDefault="00E330D0" w:rsidP="00E330D0">
      <w:pPr>
        <w:pStyle w:val="ListBullet"/>
        <w:numPr>
          <w:ilvl w:val="0"/>
          <w:numId w:val="3"/>
        </w:numPr>
        <w:rPr>
          <w:lang w:eastAsia="ja-JP"/>
        </w:rPr>
      </w:pPr>
      <w:r>
        <w:rPr>
          <w:lang w:eastAsia="ja-JP"/>
        </w:rPr>
        <w:t>Stud</w:t>
      </w:r>
      <w:r w:rsidR="00A63E68">
        <w:rPr>
          <w:lang w:eastAsia="ja-JP"/>
        </w:rPr>
        <w:t xml:space="preserve">y 001 (dose escalation phase); </w:t>
      </w:r>
      <w:r>
        <w:rPr>
          <w:lang w:eastAsia="ja-JP"/>
        </w:rPr>
        <w:t>53 subj</w:t>
      </w:r>
      <w:r w:rsidR="00A63E68">
        <w:rPr>
          <w:lang w:eastAsia="ja-JP"/>
        </w:rPr>
        <w:t>ects with various solid tumours</w:t>
      </w:r>
    </w:p>
    <w:p w14:paraId="70828A18" w14:textId="77777777" w:rsidR="00E330D0" w:rsidRDefault="00A63E68" w:rsidP="00E330D0">
      <w:pPr>
        <w:pStyle w:val="ListBullet"/>
        <w:numPr>
          <w:ilvl w:val="0"/>
          <w:numId w:val="3"/>
        </w:numPr>
        <w:rPr>
          <w:lang w:eastAsia="ja-JP"/>
        </w:rPr>
      </w:pPr>
      <w:r>
        <w:rPr>
          <w:lang w:eastAsia="ja-JP"/>
        </w:rPr>
        <w:t>Study 001 (expansion phase);</w:t>
      </w:r>
      <w:r w:rsidR="00E330D0">
        <w:rPr>
          <w:lang w:eastAsia="ja-JP"/>
        </w:rPr>
        <w:t xml:space="preserve"> 1,437 subj</w:t>
      </w:r>
      <w:r>
        <w:rPr>
          <w:lang w:eastAsia="ja-JP"/>
        </w:rPr>
        <w:t>ects with various solid tumours</w:t>
      </w:r>
    </w:p>
    <w:p w14:paraId="5AF8A078" w14:textId="77777777" w:rsidR="00E330D0" w:rsidRDefault="00E330D0" w:rsidP="00E330D0">
      <w:pPr>
        <w:pStyle w:val="ListBullet"/>
        <w:numPr>
          <w:ilvl w:val="0"/>
          <w:numId w:val="3"/>
        </w:numPr>
        <w:rPr>
          <w:lang w:eastAsia="ja-JP"/>
        </w:rPr>
      </w:pPr>
      <w:r>
        <w:rPr>
          <w:lang w:eastAsia="ja-JP"/>
        </w:rPr>
        <w:t>Stu</w:t>
      </w:r>
      <w:r w:rsidR="00A63E68">
        <w:rPr>
          <w:lang w:eastAsia="ja-JP"/>
        </w:rPr>
        <w:t>dy 002 (dose escalation phase);</w:t>
      </w:r>
      <w:r>
        <w:rPr>
          <w:lang w:eastAsia="ja-JP"/>
        </w:rPr>
        <w:t xml:space="preserve"> 17 Japanese subj</w:t>
      </w:r>
      <w:r w:rsidR="00A63E68">
        <w:rPr>
          <w:lang w:eastAsia="ja-JP"/>
        </w:rPr>
        <w:t>ects with various solid tumours</w:t>
      </w:r>
    </w:p>
    <w:p w14:paraId="0F310F36" w14:textId="77777777" w:rsidR="00E330D0" w:rsidRDefault="00A63E68" w:rsidP="00E330D0">
      <w:pPr>
        <w:pStyle w:val="ListBullet"/>
        <w:numPr>
          <w:ilvl w:val="0"/>
          <w:numId w:val="3"/>
        </w:numPr>
        <w:rPr>
          <w:lang w:eastAsia="ja-JP"/>
        </w:rPr>
      </w:pPr>
      <w:r>
        <w:rPr>
          <w:lang w:eastAsia="ja-JP"/>
        </w:rPr>
        <w:t>Stu</w:t>
      </w:r>
      <w:r w:rsidRPr="00A227EF">
        <w:t>d</w:t>
      </w:r>
      <w:r>
        <w:rPr>
          <w:lang w:eastAsia="ja-JP"/>
        </w:rPr>
        <w:t>y 002 (expansion phase);</w:t>
      </w:r>
      <w:r w:rsidR="00E330D0">
        <w:rPr>
          <w:lang w:eastAsia="ja-JP"/>
        </w:rPr>
        <w:t xml:space="preserve"> 34 Japanese subjects with gastric cancer.</w:t>
      </w:r>
    </w:p>
    <w:p w14:paraId="68214881" w14:textId="77777777" w:rsidR="00E330D0" w:rsidRDefault="00A63E68" w:rsidP="00E330D0">
      <w:pPr>
        <w:rPr>
          <w:lang w:eastAsia="ja-JP"/>
        </w:rPr>
      </w:pPr>
      <w:r>
        <w:rPr>
          <w:lang w:eastAsia="ja-JP"/>
        </w:rPr>
        <w:t>T</w:t>
      </w:r>
      <w:r w:rsidR="00E330D0">
        <w:rPr>
          <w:lang w:eastAsia="ja-JP"/>
        </w:rPr>
        <w:t xml:space="preserve">he sponsor presented an </w:t>
      </w:r>
      <w:r w:rsidR="00E330D0" w:rsidRPr="00E330D0">
        <w:rPr>
          <w:lang w:eastAsia="ja-JP"/>
        </w:rPr>
        <w:t>integrated analysis of safety data</w:t>
      </w:r>
      <w:r w:rsidR="00E330D0">
        <w:rPr>
          <w:lang w:eastAsia="ja-JP"/>
        </w:rPr>
        <w:t xml:space="preserve"> on a total of 1,540 subjects from the following studies:</w:t>
      </w:r>
    </w:p>
    <w:p w14:paraId="5FE77E6A" w14:textId="77777777" w:rsidR="00E330D0" w:rsidRDefault="00A63E68" w:rsidP="00A227EF">
      <w:pPr>
        <w:pStyle w:val="ListBullet"/>
        <w:rPr>
          <w:lang w:eastAsia="ja-JP"/>
        </w:rPr>
      </w:pPr>
      <w:r>
        <w:rPr>
          <w:lang w:eastAsia="ja-JP"/>
        </w:rPr>
        <w:t>Study 003; 88 subjects</w:t>
      </w:r>
    </w:p>
    <w:p w14:paraId="4EE98485" w14:textId="77777777" w:rsidR="00E330D0" w:rsidRDefault="00E330D0" w:rsidP="00E330D0">
      <w:pPr>
        <w:pStyle w:val="ListBullet"/>
        <w:numPr>
          <w:ilvl w:val="0"/>
          <w:numId w:val="3"/>
        </w:numPr>
        <w:rPr>
          <w:lang w:eastAsia="ja-JP"/>
        </w:rPr>
      </w:pPr>
      <w:r>
        <w:rPr>
          <w:lang w:eastAsia="ja-JP"/>
        </w:rPr>
        <w:t>Stu</w:t>
      </w:r>
      <w:r w:rsidR="00A63E68">
        <w:rPr>
          <w:lang w:eastAsia="ja-JP"/>
        </w:rPr>
        <w:t>dy 001 (dose escalation phase);</w:t>
      </w:r>
      <w:r>
        <w:rPr>
          <w:lang w:eastAsia="ja-JP"/>
        </w:rPr>
        <w:t xml:space="preserve"> 15 subjects who were treated with 1</w:t>
      </w:r>
      <w:r w:rsidR="00A63E68">
        <w:rPr>
          <w:lang w:eastAsia="ja-JP"/>
        </w:rPr>
        <w:t>0 mg/kg</w:t>
      </w:r>
    </w:p>
    <w:p w14:paraId="6F8DBE40" w14:textId="77777777" w:rsidR="00E330D0" w:rsidRDefault="00A63E68" w:rsidP="00E330D0">
      <w:pPr>
        <w:pStyle w:val="ListBullet"/>
        <w:numPr>
          <w:ilvl w:val="0"/>
          <w:numId w:val="3"/>
        </w:numPr>
        <w:rPr>
          <w:lang w:eastAsia="ja-JP"/>
        </w:rPr>
      </w:pPr>
      <w:r>
        <w:rPr>
          <w:lang w:eastAsia="ja-JP"/>
        </w:rPr>
        <w:t>Study 001 (expansion phase);</w:t>
      </w:r>
      <w:r w:rsidR="00E330D0">
        <w:rPr>
          <w:lang w:eastAsia="ja-JP"/>
        </w:rPr>
        <w:t xml:space="preserve"> 1,437 subjects.</w:t>
      </w:r>
    </w:p>
    <w:p w14:paraId="2BC89895" w14:textId="77777777" w:rsidR="00E330D0" w:rsidRDefault="00E330D0" w:rsidP="00B6291C">
      <w:pPr>
        <w:rPr>
          <w:lang w:eastAsia="ja-JP"/>
        </w:rPr>
      </w:pPr>
      <w:r>
        <w:rPr>
          <w:lang w:eastAsia="ja-JP"/>
        </w:rPr>
        <w:t>All subjects included in the pooled analysis had bee</w:t>
      </w:r>
      <w:r w:rsidR="00A63E68">
        <w:rPr>
          <w:lang w:eastAsia="ja-JP"/>
        </w:rPr>
        <w:t>n treated with 10 mg/kg every 2 </w:t>
      </w:r>
      <w:r>
        <w:rPr>
          <w:lang w:eastAsia="ja-JP"/>
        </w:rPr>
        <w:t>weeks. Review of the safety data for this evaluation will focus on the pooled analysis.</w:t>
      </w:r>
    </w:p>
    <w:p w14:paraId="4992655E" w14:textId="77777777" w:rsidR="00605AD4" w:rsidRDefault="00605AD4" w:rsidP="00B6291C">
      <w:pPr>
        <w:pStyle w:val="Heading4"/>
      </w:pPr>
      <w:r w:rsidRPr="00605AD4">
        <w:lastRenderedPageBreak/>
        <w:t>Patient exposure</w:t>
      </w:r>
    </w:p>
    <w:p w14:paraId="1047ADCE" w14:textId="77777777" w:rsidR="00500337" w:rsidRDefault="00E330D0" w:rsidP="00B6291C">
      <w:pPr>
        <w:rPr>
          <w:lang w:eastAsia="ja-JP"/>
        </w:rPr>
      </w:pPr>
      <w:r>
        <w:rPr>
          <w:lang w:eastAsia="ja-JP"/>
        </w:rPr>
        <w:t>A total of 1</w:t>
      </w:r>
      <w:r w:rsidR="00A63E68">
        <w:rPr>
          <w:lang w:eastAsia="ja-JP"/>
        </w:rPr>
        <w:t>,</w:t>
      </w:r>
      <w:r>
        <w:rPr>
          <w:lang w:eastAsia="ja-JP"/>
        </w:rPr>
        <w:t xml:space="preserve">629 subjects were treated with at least one dose of avelumab in the submitted studies, as shown in </w:t>
      </w:r>
      <w:r w:rsidR="00B70C5D">
        <w:rPr>
          <w:lang w:eastAsia="ja-JP"/>
        </w:rPr>
        <w:t>T</w:t>
      </w:r>
      <w:r>
        <w:rPr>
          <w:lang w:eastAsia="ja-JP"/>
        </w:rPr>
        <w:t>able</w:t>
      </w:r>
      <w:r w:rsidR="00B70C5D">
        <w:rPr>
          <w:lang w:eastAsia="ja-JP"/>
        </w:rPr>
        <w:t xml:space="preserve"> 8</w:t>
      </w:r>
      <w:r>
        <w:rPr>
          <w:lang w:eastAsia="ja-JP"/>
        </w:rPr>
        <w:t>.</w:t>
      </w:r>
    </w:p>
    <w:p w14:paraId="28E36578" w14:textId="77777777" w:rsidR="00E330D0" w:rsidRPr="005C188F" w:rsidRDefault="00E330D0" w:rsidP="00B6291C">
      <w:pPr>
        <w:pStyle w:val="TableTitle"/>
      </w:pPr>
      <w:bookmarkStart w:id="131" w:name="_Toc478485007"/>
      <w:r w:rsidRPr="007C6DE3">
        <w:t>Table</w:t>
      </w:r>
      <w:r w:rsidR="00B70C5D">
        <w:t xml:space="preserve"> 8</w:t>
      </w:r>
      <w:r w:rsidR="00A63E68">
        <w:t>:</w:t>
      </w:r>
      <w:r w:rsidRPr="007C6DE3">
        <w:t xml:space="preserve"> Exposure to </w:t>
      </w:r>
      <w:proofErr w:type="spellStart"/>
      <w:r w:rsidRPr="007C6DE3">
        <w:t>avelumab</w:t>
      </w:r>
      <w:proofErr w:type="spellEnd"/>
      <w:r w:rsidRPr="007C6DE3">
        <w:t xml:space="preserve"> in </w:t>
      </w:r>
      <w:r w:rsidRPr="00B6291C">
        <w:t>clinical</w:t>
      </w:r>
      <w:r w:rsidRPr="007C6DE3">
        <w:t xml:space="preserve"> studies</w:t>
      </w:r>
      <w:bookmarkEnd w:id="131"/>
    </w:p>
    <w:tbl>
      <w:tblPr>
        <w:tblStyle w:val="TableTGAblue"/>
        <w:tblW w:w="8588" w:type="dxa"/>
        <w:tblLayout w:type="fixed"/>
        <w:tblLook w:val="04A0" w:firstRow="1" w:lastRow="0" w:firstColumn="1" w:lastColumn="0" w:noHBand="0" w:noVBand="1"/>
      </w:tblPr>
      <w:tblGrid>
        <w:gridCol w:w="2258"/>
        <w:gridCol w:w="3906"/>
        <w:gridCol w:w="2424"/>
      </w:tblGrid>
      <w:tr w:rsidR="00E330D0" w:rsidRPr="00FA1BC9" w14:paraId="0F2A7C3B" w14:textId="77777777" w:rsidTr="00B6291C">
        <w:trPr>
          <w:cnfStyle w:val="100000000000" w:firstRow="1" w:lastRow="0" w:firstColumn="0" w:lastColumn="0" w:oddVBand="0" w:evenVBand="0" w:oddHBand="0" w:evenHBand="0" w:firstRowFirstColumn="0" w:firstRowLastColumn="0" w:lastRowFirstColumn="0" w:lastRowLastColumn="0"/>
          <w:trHeight w:val="922"/>
        </w:trPr>
        <w:tc>
          <w:tcPr>
            <w:tcW w:w="2258" w:type="dxa"/>
          </w:tcPr>
          <w:p w14:paraId="36B877D3" w14:textId="77777777" w:rsidR="00E330D0" w:rsidRPr="00FA1BC9" w:rsidRDefault="00E330D0" w:rsidP="00B6291C">
            <w:r w:rsidRPr="00FA1BC9">
              <w:t xml:space="preserve">Study </w:t>
            </w:r>
          </w:p>
        </w:tc>
        <w:tc>
          <w:tcPr>
            <w:tcW w:w="3906" w:type="dxa"/>
          </w:tcPr>
          <w:p w14:paraId="5DD99B37" w14:textId="77777777" w:rsidR="00E330D0" w:rsidRPr="00FA1BC9" w:rsidRDefault="00E330D0" w:rsidP="00B6291C">
            <w:r>
              <w:t>Study phase</w:t>
            </w:r>
          </w:p>
        </w:tc>
        <w:tc>
          <w:tcPr>
            <w:tcW w:w="2424" w:type="dxa"/>
          </w:tcPr>
          <w:p w14:paraId="0024645A" w14:textId="77777777" w:rsidR="00E330D0" w:rsidRPr="00FA1BC9" w:rsidRDefault="00E330D0" w:rsidP="00B6291C">
            <w:pPr>
              <w:jc w:val="center"/>
            </w:pPr>
            <w:r w:rsidRPr="00FA1BC9">
              <w:t>Total</w:t>
            </w:r>
            <w:r w:rsidR="00A63E68">
              <w:t xml:space="preserve">; </w:t>
            </w:r>
            <w:r>
              <w:t>Avelumab</w:t>
            </w:r>
          </w:p>
        </w:tc>
      </w:tr>
      <w:tr w:rsidR="00E330D0" w:rsidRPr="00FA1BC9" w14:paraId="335D4616" w14:textId="77777777" w:rsidTr="00B6291C">
        <w:trPr>
          <w:trHeight w:val="475"/>
        </w:trPr>
        <w:tc>
          <w:tcPr>
            <w:tcW w:w="2258" w:type="dxa"/>
            <w:vMerge w:val="restart"/>
          </w:tcPr>
          <w:p w14:paraId="6BECAB5D" w14:textId="77777777" w:rsidR="00E330D0" w:rsidRPr="00B6291C" w:rsidRDefault="00E330D0" w:rsidP="00B6291C">
            <w:pPr>
              <w:rPr>
                <w:b/>
              </w:rPr>
            </w:pPr>
            <w:r w:rsidRPr="00B6291C">
              <w:rPr>
                <w:b/>
              </w:rPr>
              <w:t xml:space="preserve">Study 001 </w:t>
            </w:r>
          </w:p>
        </w:tc>
        <w:tc>
          <w:tcPr>
            <w:tcW w:w="3906" w:type="dxa"/>
          </w:tcPr>
          <w:p w14:paraId="71770560" w14:textId="77777777" w:rsidR="00E330D0" w:rsidRPr="00B6291C" w:rsidRDefault="00E330D0" w:rsidP="00B6291C">
            <w:pPr>
              <w:rPr>
                <w:b/>
              </w:rPr>
            </w:pPr>
            <w:r w:rsidRPr="00B6291C">
              <w:rPr>
                <w:b/>
              </w:rPr>
              <w:t>Dose escalation phase</w:t>
            </w:r>
          </w:p>
        </w:tc>
        <w:tc>
          <w:tcPr>
            <w:tcW w:w="2424" w:type="dxa"/>
          </w:tcPr>
          <w:p w14:paraId="7E162A2F" w14:textId="77777777" w:rsidR="00E330D0" w:rsidRPr="005C188F" w:rsidRDefault="00E330D0" w:rsidP="00B6291C">
            <w:pPr>
              <w:jc w:val="center"/>
            </w:pPr>
            <w:r w:rsidRPr="005C188F">
              <w:t>53</w:t>
            </w:r>
          </w:p>
        </w:tc>
      </w:tr>
      <w:tr w:rsidR="00E330D0" w:rsidRPr="00FA1BC9" w14:paraId="14F38372" w14:textId="77777777" w:rsidTr="00B6291C">
        <w:trPr>
          <w:trHeight w:val="141"/>
        </w:trPr>
        <w:tc>
          <w:tcPr>
            <w:tcW w:w="2258" w:type="dxa"/>
            <w:vMerge/>
          </w:tcPr>
          <w:p w14:paraId="1C567AF5" w14:textId="77777777" w:rsidR="00E330D0" w:rsidRPr="00B6291C" w:rsidRDefault="00E330D0" w:rsidP="00B6291C">
            <w:pPr>
              <w:rPr>
                <w:b/>
              </w:rPr>
            </w:pPr>
          </w:p>
        </w:tc>
        <w:tc>
          <w:tcPr>
            <w:tcW w:w="3906" w:type="dxa"/>
          </w:tcPr>
          <w:p w14:paraId="3CB7CEFD" w14:textId="77777777" w:rsidR="00E330D0" w:rsidRPr="00B6291C" w:rsidRDefault="00E330D0" w:rsidP="00B6291C">
            <w:pPr>
              <w:rPr>
                <w:b/>
              </w:rPr>
            </w:pPr>
            <w:r w:rsidRPr="00B6291C">
              <w:rPr>
                <w:b/>
              </w:rPr>
              <w:t>Expansion phase</w:t>
            </w:r>
          </w:p>
        </w:tc>
        <w:tc>
          <w:tcPr>
            <w:tcW w:w="2424" w:type="dxa"/>
          </w:tcPr>
          <w:p w14:paraId="728C8C69" w14:textId="77777777" w:rsidR="00E330D0" w:rsidRPr="005C188F" w:rsidRDefault="00E330D0" w:rsidP="00B6291C">
            <w:pPr>
              <w:jc w:val="center"/>
            </w:pPr>
            <w:r w:rsidRPr="005C188F">
              <w:t>1437</w:t>
            </w:r>
          </w:p>
        </w:tc>
      </w:tr>
      <w:tr w:rsidR="00E330D0" w:rsidRPr="00FA1BC9" w14:paraId="13D4C669" w14:textId="77777777" w:rsidTr="00B6291C">
        <w:trPr>
          <w:trHeight w:val="475"/>
        </w:trPr>
        <w:tc>
          <w:tcPr>
            <w:tcW w:w="2258" w:type="dxa"/>
            <w:vMerge w:val="restart"/>
          </w:tcPr>
          <w:p w14:paraId="5D066416" w14:textId="77777777" w:rsidR="00E330D0" w:rsidRPr="00B6291C" w:rsidRDefault="00E330D0" w:rsidP="00B6291C">
            <w:pPr>
              <w:rPr>
                <w:b/>
              </w:rPr>
            </w:pPr>
            <w:r w:rsidRPr="00B6291C">
              <w:rPr>
                <w:b/>
              </w:rPr>
              <w:t>Study 002</w:t>
            </w:r>
          </w:p>
        </w:tc>
        <w:tc>
          <w:tcPr>
            <w:tcW w:w="3906" w:type="dxa"/>
          </w:tcPr>
          <w:p w14:paraId="593A7842" w14:textId="77777777" w:rsidR="00E330D0" w:rsidRPr="00B6291C" w:rsidRDefault="00E330D0" w:rsidP="00B6291C">
            <w:pPr>
              <w:rPr>
                <w:b/>
              </w:rPr>
            </w:pPr>
            <w:r w:rsidRPr="00B6291C">
              <w:rPr>
                <w:b/>
              </w:rPr>
              <w:t>Dose escalation phase</w:t>
            </w:r>
          </w:p>
        </w:tc>
        <w:tc>
          <w:tcPr>
            <w:tcW w:w="2424" w:type="dxa"/>
          </w:tcPr>
          <w:p w14:paraId="332454C5" w14:textId="77777777" w:rsidR="00E330D0" w:rsidRPr="00FA1BC9" w:rsidRDefault="00E330D0" w:rsidP="00B6291C">
            <w:pPr>
              <w:jc w:val="center"/>
            </w:pPr>
            <w:r>
              <w:t>17</w:t>
            </w:r>
          </w:p>
        </w:tc>
      </w:tr>
      <w:tr w:rsidR="00E330D0" w:rsidRPr="00FA1BC9" w14:paraId="547B3ACD" w14:textId="77777777" w:rsidTr="00B6291C">
        <w:trPr>
          <w:trHeight w:val="141"/>
        </w:trPr>
        <w:tc>
          <w:tcPr>
            <w:tcW w:w="2258" w:type="dxa"/>
            <w:vMerge/>
          </w:tcPr>
          <w:p w14:paraId="64CC7080" w14:textId="77777777" w:rsidR="00E330D0" w:rsidRPr="00B6291C" w:rsidRDefault="00E330D0" w:rsidP="00B6291C">
            <w:pPr>
              <w:rPr>
                <w:b/>
              </w:rPr>
            </w:pPr>
          </w:p>
        </w:tc>
        <w:tc>
          <w:tcPr>
            <w:tcW w:w="3906" w:type="dxa"/>
          </w:tcPr>
          <w:p w14:paraId="1204CDD9" w14:textId="77777777" w:rsidR="00E330D0" w:rsidRPr="00B6291C" w:rsidRDefault="00E330D0" w:rsidP="00B6291C">
            <w:pPr>
              <w:rPr>
                <w:b/>
              </w:rPr>
            </w:pPr>
            <w:r w:rsidRPr="00B6291C">
              <w:rPr>
                <w:b/>
              </w:rPr>
              <w:t>Expansion phase</w:t>
            </w:r>
          </w:p>
        </w:tc>
        <w:tc>
          <w:tcPr>
            <w:tcW w:w="2424" w:type="dxa"/>
          </w:tcPr>
          <w:p w14:paraId="5D59AE29" w14:textId="77777777" w:rsidR="00E330D0" w:rsidRPr="00FA1BC9" w:rsidRDefault="00E330D0" w:rsidP="00B6291C">
            <w:pPr>
              <w:jc w:val="center"/>
            </w:pPr>
            <w:r>
              <w:t>34</w:t>
            </w:r>
          </w:p>
        </w:tc>
      </w:tr>
      <w:tr w:rsidR="00E330D0" w:rsidRPr="00FA1BC9" w14:paraId="59862512" w14:textId="77777777" w:rsidTr="00B6291C">
        <w:trPr>
          <w:trHeight w:val="464"/>
        </w:trPr>
        <w:tc>
          <w:tcPr>
            <w:tcW w:w="2258" w:type="dxa"/>
          </w:tcPr>
          <w:p w14:paraId="168BB77F" w14:textId="77777777" w:rsidR="00E330D0" w:rsidRPr="00B6291C" w:rsidRDefault="00E330D0" w:rsidP="00B6291C">
            <w:pPr>
              <w:rPr>
                <w:b/>
              </w:rPr>
            </w:pPr>
            <w:r w:rsidRPr="00B6291C">
              <w:rPr>
                <w:b/>
              </w:rPr>
              <w:t>Study 003</w:t>
            </w:r>
          </w:p>
        </w:tc>
        <w:tc>
          <w:tcPr>
            <w:tcW w:w="3906" w:type="dxa"/>
          </w:tcPr>
          <w:p w14:paraId="090B41A1" w14:textId="77777777" w:rsidR="00E330D0" w:rsidRPr="00B6291C" w:rsidRDefault="00E330D0" w:rsidP="00B6291C">
            <w:pPr>
              <w:rPr>
                <w:b/>
              </w:rPr>
            </w:pPr>
            <w:r w:rsidRPr="00B6291C">
              <w:rPr>
                <w:b/>
              </w:rPr>
              <w:t xml:space="preserve"> -</w:t>
            </w:r>
          </w:p>
        </w:tc>
        <w:tc>
          <w:tcPr>
            <w:tcW w:w="2424" w:type="dxa"/>
          </w:tcPr>
          <w:p w14:paraId="0FE183B3" w14:textId="77777777" w:rsidR="00E330D0" w:rsidRPr="00FA1BC9" w:rsidRDefault="00E330D0" w:rsidP="00B6291C">
            <w:pPr>
              <w:jc w:val="center"/>
            </w:pPr>
            <w:r>
              <w:t>88</w:t>
            </w:r>
          </w:p>
        </w:tc>
      </w:tr>
      <w:tr w:rsidR="00E330D0" w:rsidRPr="00B6291C" w14:paraId="52C64448" w14:textId="77777777" w:rsidTr="00B6291C">
        <w:trPr>
          <w:trHeight w:val="475"/>
        </w:trPr>
        <w:tc>
          <w:tcPr>
            <w:tcW w:w="2258" w:type="dxa"/>
          </w:tcPr>
          <w:p w14:paraId="0A49027A" w14:textId="77777777" w:rsidR="00E330D0" w:rsidRPr="00B6291C" w:rsidRDefault="00E330D0" w:rsidP="00B6291C">
            <w:pPr>
              <w:rPr>
                <w:b/>
              </w:rPr>
            </w:pPr>
            <w:r w:rsidRPr="00B6291C">
              <w:rPr>
                <w:b/>
              </w:rPr>
              <w:t>TOTAL</w:t>
            </w:r>
          </w:p>
        </w:tc>
        <w:tc>
          <w:tcPr>
            <w:tcW w:w="3906" w:type="dxa"/>
          </w:tcPr>
          <w:p w14:paraId="2DF0BB1E" w14:textId="77777777" w:rsidR="00E330D0" w:rsidRPr="00B6291C" w:rsidRDefault="00E330D0" w:rsidP="00B6291C">
            <w:pPr>
              <w:rPr>
                <w:b/>
              </w:rPr>
            </w:pPr>
          </w:p>
        </w:tc>
        <w:tc>
          <w:tcPr>
            <w:tcW w:w="2424" w:type="dxa"/>
          </w:tcPr>
          <w:p w14:paraId="07473B9A" w14:textId="77777777" w:rsidR="00E330D0" w:rsidRPr="00B6291C" w:rsidRDefault="00E330D0" w:rsidP="00B6291C">
            <w:pPr>
              <w:jc w:val="center"/>
              <w:rPr>
                <w:b/>
              </w:rPr>
            </w:pPr>
            <w:r w:rsidRPr="00B6291C">
              <w:rPr>
                <w:b/>
              </w:rPr>
              <w:t>1629</w:t>
            </w:r>
          </w:p>
        </w:tc>
      </w:tr>
    </w:tbl>
    <w:p w14:paraId="11198972" w14:textId="77777777" w:rsidR="00605AD4" w:rsidRDefault="00605AD4" w:rsidP="00B6291C">
      <w:pPr>
        <w:pStyle w:val="Heading4"/>
      </w:pPr>
      <w:r w:rsidRPr="00605AD4">
        <w:t>Safety issues with the potential for major regulatory impact</w:t>
      </w:r>
    </w:p>
    <w:p w14:paraId="1BBAA139" w14:textId="77777777" w:rsidR="00E330D0" w:rsidRPr="00545B14" w:rsidRDefault="00E330D0" w:rsidP="00B6291C">
      <w:pPr>
        <w:pStyle w:val="Heading5"/>
      </w:pPr>
      <w:bookmarkStart w:id="132" w:name="_Toc272414669"/>
      <w:bookmarkStart w:id="133" w:name="_Toc290888533"/>
      <w:bookmarkStart w:id="134" w:name="_Toc416353749"/>
      <w:bookmarkStart w:id="135" w:name="_Toc421005292"/>
      <w:bookmarkStart w:id="136" w:name="_Toc432079169"/>
      <w:bookmarkStart w:id="137" w:name="_Toc432080742"/>
      <w:r w:rsidRPr="00B6291C">
        <w:t>Liver</w:t>
      </w:r>
      <w:r w:rsidRPr="00545B14">
        <w:t xml:space="preserve"> function</w:t>
      </w:r>
      <w:bookmarkEnd w:id="132"/>
      <w:bookmarkEnd w:id="133"/>
      <w:bookmarkEnd w:id="134"/>
      <w:bookmarkEnd w:id="135"/>
      <w:r>
        <w:t xml:space="preserve"> and liver toxicity</w:t>
      </w:r>
      <w:bookmarkEnd w:id="136"/>
      <w:bookmarkEnd w:id="137"/>
    </w:p>
    <w:p w14:paraId="61C7D422" w14:textId="77777777" w:rsidR="00E330D0" w:rsidRPr="002B7B05" w:rsidRDefault="00E330D0" w:rsidP="00B6291C">
      <w:pPr>
        <w:pStyle w:val="Heading6"/>
      </w:pPr>
      <w:r w:rsidRPr="00B6291C">
        <w:t>Integrated</w:t>
      </w:r>
      <w:r>
        <w:t xml:space="preserve"> safety analysi</w:t>
      </w:r>
      <w:r w:rsidRPr="002B7B05">
        <w:t>s</w:t>
      </w:r>
    </w:p>
    <w:p w14:paraId="4A2200AE" w14:textId="77777777" w:rsidR="004A25E4" w:rsidRDefault="00E330D0" w:rsidP="00B6291C">
      <w:pPr>
        <w:rPr>
          <w:lang w:eastAsia="ja-JP"/>
        </w:rPr>
      </w:pPr>
      <w:r>
        <w:rPr>
          <w:lang w:eastAsia="ja-JP"/>
        </w:rPr>
        <w:t>A total of four cases of auto-immune hepatitis were reported, two of which were fatal</w:t>
      </w:r>
      <w:r w:rsidR="004A25E4">
        <w:rPr>
          <w:lang w:eastAsia="ja-JP"/>
        </w:rPr>
        <w:t>.</w:t>
      </w:r>
    </w:p>
    <w:p w14:paraId="1580F55F" w14:textId="77777777" w:rsidR="00E330D0" w:rsidRDefault="00E330D0" w:rsidP="00E330D0">
      <w:pPr>
        <w:rPr>
          <w:lang w:eastAsia="ja-JP"/>
        </w:rPr>
      </w:pPr>
      <w:r>
        <w:rPr>
          <w:lang w:eastAsia="ja-JP"/>
        </w:rPr>
        <w:t>Abnormalities of liver function tests w</w:t>
      </w:r>
      <w:r w:rsidR="00B70C5D">
        <w:rPr>
          <w:lang w:eastAsia="ja-JP"/>
        </w:rPr>
        <w:t>ere common, as summarised in</w:t>
      </w:r>
      <w:r>
        <w:rPr>
          <w:lang w:eastAsia="ja-JP"/>
        </w:rPr>
        <w:t xml:space="preserve"> </w:t>
      </w:r>
      <w:r w:rsidR="00A63E68">
        <w:rPr>
          <w:lang w:eastAsia="ja-JP"/>
        </w:rPr>
        <w:t>T</w:t>
      </w:r>
      <w:r>
        <w:rPr>
          <w:lang w:eastAsia="ja-JP"/>
        </w:rPr>
        <w:t>able</w:t>
      </w:r>
      <w:r w:rsidR="00B70C5D">
        <w:rPr>
          <w:lang w:eastAsia="ja-JP"/>
        </w:rPr>
        <w:t xml:space="preserve"> 9</w:t>
      </w:r>
      <w:r w:rsidR="00A63E68">
        <w:rPr>
          <w:lang w:eastAsia="ja-JP"/>
        </w:rPr>
        <w:t>.</w:t>
      </w:r>
    </w:p>
    <w:p w14:paraId="0F51EF0B" w14:textId="1BC6CC12" w:rsidR="00E330D0" w:rsidRPr="00E330D0" w:rsidRDefault="00E330D0" w:rsidP="00B6291C">
      <w:pPr>
        <w:pStyle w:val="TableTitle"/>
      </w:pPr>
      <w:bookmarkStart w:id="138" w:name="_Toc478485010"/>
      <w:r>
        <w:t xml:space="preserve">Table </w:t>
      </w:r>
      <w:r w:rsidR="00B70C5D">
        <w:t>9</w:t>
      </w:r>
      <w:r w:rsidR="00A63E68">
        <w:t>:</w:t>
      </w:r>
      <w:r>
        <w:t xml:space="preserve"> </w:t>
      </w:r>
      <w:r w:rsidRPr="00B6291C">
        <w:t>Integrated</w:t>
      </w:r>
      <w:r>
        <w:t xml:space="preserve"> safety analysis</w:t>
      </w:r>
      <w:r w:rsidR="00D2514A">
        <w:t xml:space="preserve">; </w:t>
      </w:r>
      <w:r>
        <w:t xml:space="preserve">Abnormal </w:t>
      </w:r>
      <w:r w:rsidR="00D2514A">
        <w:t xml:space="preserve">liver </w:t>
      </w:r>
      <w:r w:rsidR="00CE012A">
        <w:t>function tests (</w:t>
      </w:r>
      <w:r>
        <w:t>LFT</w:t>
      </w:r>
      <w:bookmarkEnd w:id="138"/>
      <w:r w:rsidR="00CE012A">
        <w:t>)</w:t>
      </w:r>
    </w:p>
    <w:p w14:paraId="554C2EF2" w14:textId="77777777" w:rsidR="00500337" w:rsidRDefault="00E330D0" w:rsidP="00B6291C">
      <w:r>
        <w:rPr>
          <w:noProof/>
          <w:lang w:eastAsia="en-AU"/>
        </w:rPr>
        <w:drawing>
          <wp:inline distT="0" distB="0" distL="0" distR="0" wp14:anchorId="65A4A244" wp14:editId="77F1FF23">
            <wp:extent cx="5400040" cy="1534627"/>
            <wp:effectExtent l="0" t="0" r="0" b="8890"/>
            <wp:docPr id="1" name="Picture 1" descr="Table 9: Integrated safety analysis – Abnormal L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534627"/>
                    </a:xfrm>
                    <a:prstGeom prst="rect">
                      <a:avLst/>
                    </a:prstGeom>
                  </pic:spPr>
                </pic:pic>
              </a:graphicData>
            </a:graphic>
          </wp:inline>
        </w:drawing>
      </w:r>
    </w:p>
    <w:p w14:paraId="66B1CB5C" w14:textId="02A0AC6E" w:rsidR="00E330D0" w:rsidRDefault="00E330D0" w:rsidP="00B6291C">
      <w:pPr>
        <w:rPr>
          <w:lang w:eastAsia="ja-JP"/>
        </w:rPr>
      </w:pPr>
      <w:r>
        <w:rPr>
          <w:lang w:eastAsia="ja-JP"/>
        </w:rPr>
        <w:t xml:space="preserve">Two subjects met the criteria for </w:t>
      </w:r>
      <w:r w:rsidRPr="00A63E68">
        <w:rPr>
          <w:lang w:eastAsia="ja-JP"/>
        </w:rPr>
        <w:t xml:space="preserve">potential </w:t>
      </w:r>
      <w:r>
        <w:rPr>
          <w:lang w:eastAsia="ja-JP"/>
        </w:rPr>
        <w:t xml:space="preserve">Hy’s Law cases (concurrent elevation in transaminases and bilirubin </w:t>
      </w:r>
      <w:r w:rsidR="00D2514A">
        <w:rPr>
          <w:lang w:eastAsia="ja-JP"/>
        </w:rPr>
        <w:t>(</w:t>
      </w:r>
      <w:r>
        <w:rPr>
          <w:lang w:eastAsia="ja-JP"/>
        </w:rPr>
        <w:t xml:space="preserve">total bilirubin ≥ 2 x </w:t>
      </w:r>
      <w:r w:rsidR="00CE012A">
        <w:t>upper limit of normal</w:t>
      </w:r>
      <w:r w:rsidR="00CE012A">
        <w:rPr>
          <w:lang w:eastAsia="ja-JP"/>
        </w:rPr>
        <w:t xml:space="preserve"> (</w:t>
      </w:r>
      <w:r>
        <w:rPr>
          <w:lang w:eastAsia="ja-JP"/>
        </w:rPr>
        <w:t>ULN</w:t>
      </w:r>
      <w:r w:rsidR="00CE012A">
        <w:rPr>
          <w:lang w:eastAsia="ja-JP"/>
        </w:rPr>
        <w:t>)</w:t>
      </w:r>
      <w:r>
        <w:rPr>
          <w:lang w:eastAsia="ja-JP"/>
        </w:rPr>
        <w:t xml:space="preserve"> and </w:t>
      </w:r>
      <w:r w:rsidR="005049BA">
        <w:t>alanine transaminase</w:t>
      </w:r>
      <w:r w:rsidR="005049BA">
        <w:rPr>
          <w:lang w:eastAsia="ja-JP"/>
        </w:rPr>
        <w:t xml:space="preserve"> (</w:t>
      </w:r>
      <w:r>
        <w:rPr>
          <w:lang w:eastAsia="ja-JP"/>
        </w:rPr>
        <w:t>ALT</w:t>
      </w:r>
      <w:r w:rsidR="005049BA">
        <w:rPr>
          <w:lang w:eastAsia="ja-JP"/>
        </w:rPr>
        <w:t>)</w:t>
      </w:r>
      <w:r>
        <w:rPr>
          <w:lang w:eastAsia="ja-JP"/>
        </w:rPr>
        <w:t>/</w:t>
      </w:r>
      <w:r w:rsidR="005049BA" w:rsidRPr="005049BA">
        <w:t xml:space="preserve"> </w:t>
      </w:r>
      <w:r w:rsidR="005049BA">
        <w:t>aspartate transaminase</w:t>
      </w:r>
      <w:r w:rsidR="005049BA">
        <w:rPr>
          <w:lang w:eastAsia="ja-JP"/>
        </w:rPr>
        <w:t xml:space="preserve"> (</w:t>
      </w:r>
      <w:r>
        <w:rPr>
          <w:lang w:eastAsia="ja-JP"/>
        </w:rPr>
        <w:t>AST</w:t>
      </w:r>
      <w:r w:rsidR="005049BA">
        <w:rPr>
          <w:lang w:eastAsia="ja-JP"/>
        </w:rPr>
        <w:t>)</w:t>
      </w:r>
      <w:r>
        <w:rPr>
          <w:lang w:eastAsia="ja-JP"/>
        </w:rPr>
        <w:t xml:space="preserve"> ≥ 3 x ULN without concomitant elevated alkaline phosphatase, defined as alkaline phosphatase ≤ 2 x ULN</w:t>
      </w:r>
      <w:r w:rsidR="00D2514A">
        <w:rPr>
          <w:lang w:eastAsia="ja-JP"/>
        </w:rPr>
        <w:t>)</w:t>
      </w:r>
      <w:r>
        <w:rPr>
          <w:lang w:eastAsia="ja-JP"/>
        </w:rPr>
        <w:t xml:space="preserve">). However, both subjects had metastatic breast cancer with hepatic metastases. Neither of these subjects </w:t>
      </w:r>
      <w:proofErr w:type="gramStart"/>
      <w:r>
        <w:rPr>
          <w:lang w:eastAsia="ja-JP"/>
        </w:rPr>
        <w:t>were</w:t>
      </w:r>
      <w:proofErr w:type="gramEnd"/>
      <w:r>
        <w:rPr>
          <w:lang w:eastAsia="ja-JP"/>
        </w:rPr>
        <w:t xml:space="preserve"> diagnosed with autoimmune hepatitis.</w:t>
      </w:r>
    </w:p>
    <w:p w14:paraId="4DD37345" w14:textId="77777777" w:rsidR="00E330D0" w:rsidRPr="00073FEC" w:rsidRDefault="00E330D0" w:rsidP="00B6291C">
      <w:pPr>
        <w:pStyle w:val="Heading6"/>
      </w:pPr>
      <w:r w:rsidRPr="00B6291C">
        <w:t>Study</w:t>
      </w:r>
      <w:r>
        <w:t xml:space="preserve"> 002</w:t>
      </w:r>
    </w:p>
    <w:p w14:paraId="43F9F8A8" w14:textId="77777777" w:rsidR="00E330D0" w:rsidRDefault="00E330D0" w:rsidP="00B6291C">
      <w:pPr>
        <w:rPr>
          <w:lang w:eastAsia="ja-JP"/>
        </w:rPr>
      </w:pPr>
      <w:r>
        <w:rPr>
          <w:lang w:eastAsia="ja-JP"/>
        </w:rPr>
        <w:t xml:space="preserve">One subject in </w:t>
      </w:r>
      <w:r w:rsidR="00655338">
        <w:rPr>
          <w:lang w:eastAsia="ja-JP"/>
        </w:rPr>
        <w:t>Stud</w:t>
      </w:r>
      <w:r>
        <w:rPr>
          <w:lang w:eastAsia="ja-JP"/>
        </w:rPr>
        <w:t>y 002 (in the expansion phase) met the criteria for a potential Hy’s Law case. However, this subject was found to have biliary obstruction due to a stone. There were no cases of autoimmune hepatitis.</w:t>
      </w:r>
    </w:p>
    <w:p w14:paraId="67C50FA8" w14:textId="77777777" w:rsidR="00E330D0" w:rsidRPr="00545B14" w:rsidRDefault="00E330D0" w:rsidP="00B6291C">
      <w:pPr>
        <w:pStyle w:val="Heading5"/>
      </w:pPr>
      <w:r>
        <w:lastRenderedPageBreak/>
        <w:t xml:space="preserve">Renal </w:t>
      </w:r>
      <w:r w:rsidRPr="00545B14">
        <w:t>function</w:t>
      </w:r>
      <w:r>
        <w:t xml:space="preserve"> and renal toxicity</w:t>
      </w:r>
    </w:p>
    <w:p w14:paraId="0DF69CF1" w14:textId="77777777" w:rsidR="00E330D0" w:rsidRDefault="00E330D0" w:rsidP="00B6291C">
      <w:pPr>
        <w:pStyle w:val="Heading6"/>
      </w:pPr>
      <w:r>
        <w:t xml:space="preserve">Integrated safety </w:t>
      </w:r>
      <w:r w:rsidRPr="00B6291C">
        <w:t>analysis</w:t>
      </w:r>
    </w:p>
    <w:p w14:paraId="48EF7529" w14:textId="77777777" w:rsidR="00E330D0" w:rsidRDefault="00E330D0" w:rsidP="00B6291C">
      <w:pPr>
        <w:rPr>
          <w:lang w:eastAsia="ja-JP"/>
        </w:rPr>
      </w:pPr>
      <w:r>
        <w:rPr>
          <w:lang w:eastAsia="ja-JP"/>
        </w:rPr>
        <w:t xml:space="preserve">Elevations of serum creatinine were common, as summarised in </w:t>
      </w:r>
      <w:r w:rsidR="00B70C5D">
        <w:rPr>
          <w:lang w:eastAsia="ja-JP"/>
        </w:rPr>
        <w:t>T</w:t>
      </w:r>
      <w:r w:rsidR="00A63E68">
        <w:rPr>
          <w:lang w:eastAsia="ja-JP"/>
        </w:rPr>
        <w:t>able</w:t>
      </w:r>
      <w:r w:rsidR="00B70C5D">
        <w:rPr>
          <w:lang w:eastAsia="ja-JP"/>
        </w:rPr>
        <w:t xml:space="preserve"> 10</w:t>
      </w:r>
      <w:r w:rsidR="00A63E68">
        <w:rPr>
          <w:lang w:eastAsia="ja-JP"/>
        </w:rPr>
        <w:t>. However, G</w:t>
      </w:r>
      <w:r w:rsidR="00B70C5D">
        <w:rPr>
          <w:lang w:eastAsia="ja-JP"/>
        </w:rPr>
        <w:t>rade </w:t>
      </w:r>
      <w:r w:rsidRPr="002D6F31">
        <w:rPr>
          <w:lang w:eastAsia="ja-JP"/>
        </w:rPr>
        <w:t>≥</w:t>
      </w:r>
      <w:r>
        <w:rPr>
          <w:lang w:eastAsia="ja-JP"/>
        </w:rPr>
        <w:t xml:space="preserve"> 3 elevations were uncommon.</w:t>
      </w:r>
    </w:p>
    <w:p w14:paraId="256E74CC" w14:textId="69039721" w:rsidR="00E330D0" w:rsidRDefault="00E330D0" w:rsidP="00B6291C">
      <w:pPr>
        <w:pStyle w:val="TableTitle"/>
        <w:rPr>
          <w:lang w:eastAsia="ja-JP"/>
        </w:rPr>
      </w:pPr>
      <w:bookmarkStart w:id="139" w:name="_Toc478485011"/>
      <w:r>
        <w:t xml:space="preserve">Table </w:t>
      </w:r>
      <w:r w:rsidR="00B70C5D">
        <w:t xml:space="preserve">10: </w:t>
      </w:r>
      <w:r>
        <w:t>Integrated safety analysis</w:t>
      </w:r>
      <w:r w:rsidR="00D2514A">
        <w:t xml:space="preserve">; </w:t>
      </w:r>
      <w:proofErr w:type="gramStart"/>
      <w:r>
        <w:t>Abnormal</w:t>
      </w:r>
      <w:proofErr w:type="gramEnd"/>
      <w:r>
        <w:t xml:space="preserve"> serum creatinine</w:t>
      </w:r>
      <w:bookmarkEnd w:id="139"/>
    </w:p>
    <w:p w14:paraId="198373DA" w14:textId="77777777" w:rsidR="00E330D0" w:rsidRDefault="00E330D0" w:rsidP="00B6291C">
      <w:r>
        <w:rPr>
          <w:noProof/>
          <w:lang w:eastAsia="en-AU"/>
        </w:rPr>
        <w:drawing>
          <wp:inline distT="0" distB="0" distL="0" distR="0" wp14:anchorId="19D5EC43" wp14:editId="3ED57445">
            <wp:extent cx="5400040" cy="1011931"/>
            <wp:effectExtent l="0" t="0" r="0" b="0"/>
            <wp:docPr id="2" name="Picture 2" descr="Table 10: Integrated safety analysis – Abnormal serum creati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011931"/>
                    </a:xfrm>
                    <a:prstGeom prst="rect">
                      <a:avLst/>
                    </a:prstGeom>
                  </pic:spPr>
                </pic:pic>
              </a:graphicData>
            </a:graphic>
          </wp:inline>
        </w:drawing>
      </w:r>
    </w:p>
    <w:p w14:paraId="63003F72" w14:textId="77777777" w:rsidR="00E330D0" w:rsidRDefault="00E330D0" w:rsidP="00B6291C">
      <w:pPr>
        <w:rPr>
          <w:lang w:eastAsia="ja-JP"/>
        </w:rPr>
      </w:pPr>
      <w:r>
        <w:rPr>
          <w:lang w:eastAsia="ja-JP"/>
        </w:rPr>
        <w:t>Serious renal events were reported in 1.6% of subjects with the most common being acute kidney injury (1.0%) and renal failure (0.2%).</w:t>
      </w:r>
    </w:p>
    <w:p w14:paraId="1B8EDCAC" w14:textId="77777777" w:rsidR="00E330D0" w:rsidRPr="00073FEC" w:rsidRDefault="00E330D0" w:rsidP="00B6291C">
      <w:pPr>
        <w:pStyle w:val="Heading6"/>
      </w:pPr>
      <w:r w:rsidRPr="00B6291C">
        <w:t>Study</w:t>
      </w:r>
      <w:r>
        <w:t xml:space="preserve"> 002</w:t>
      </w:r>
    </w:p>
    <w:p w14:paraId="52B4674F" w14:textId="77777777" w:rsidR="00E330D0" w:rsidRDefault="00E330D0" w:rsidP="00B6291C">
      <w:pPr>
        <w:rPr>
          <w:lang w:eastAsia="ja-JP"/>
        </w:rPr>
      </w:pPr>
      <w:r>
        <w:rPr>
          <w:lang w:eastAsia="ja-JP"/>
        </w:rPr>
        <w:t xml:space="preserve">There were no shifts to </w:t>
      </w:r>
      <w:r w:rsidR="00A63E68">
        <w:rPr>
          <w:lang w:eastAsia="ja-JP"/>
        </w:rPr>
        <w:t>Grade</w:t>
      </w:r>
      <w:r>
        <w:rPr>
          <w:lang w:eastAsia="ja-JP"/>
        </w:rPr>
        <w:t xml:space="preserve"> 3 or 4 serum creatinine in the dose escalation phase. Two subjects (5.9%) developed </w:t>
      </w:r>
      <w:r w:rsidR="00A63E68">
        <w:rPr>
          <w:lang w:eastAsia="ja-JP"/>
        </w:rPr>
        <w:t>Grade</w:t>
      </w:r>
      <w:r>
        <w:rPr>
          <w:lang w:eastAsia="ja-JP"/>
        </w:rPr>
        <w:t xml:space="preserve"> 3 creatinine elevations in the expansion phase.</w:t>
      </w:r>
    </w:p>
    <w:p w14:paraId="6DEC1DB5" w14:textId="77777777" w:rsidR="00E330D0" w:rsidRDefault="00E330D0" w:rsidP="00E330D0">
      <w:pPr>
        <w:pStyle w:val="Heading5"/>
      </w:pPr>
      <w:r>
        <w:t>Amylase and lipase</w:t>
      </w:r>
    </w:p>
    <w:p w14:paraId="163CAB0F" w14:textId="77777777" w:rsidR="00E330D0" w:rsidRPr="002B7B05" w:rsidRDefault="00E330D0" w:rsidP="00B6291C">
      <w:pPr>
        <w:pStyle w:val="Heading6"/>
      </w:pPr>
      <w:r w:rsidRPr="00B6291C">
        <w:t>Integrated</w:t>
      </w:r>
      <w:r>
        <w:t xml:space="preserve"> safety analysi</w:t>
      </w:r>
      <w:r w:rsidRPr="002B7B05">
        <w:t>s</w:t>
      </w:r>
    </w:p>
    <w:p w14:paraId="307B0D21" w14:textId="77777777" w:rsidR="004A25E4" w:rsidRDefault="00E330D0" w:rsidP="00B6291C">
      <w:pPr>
        <w:rPr>
          <w:lang w:eastAsia="ja-JP"/>
        </w:rPr>
      </w:pPr>
      <w:r>
        <w:rPr>
          <w:lang w:eastAsia="ja-JP"/>
        </w:rPr>
        <w:t xml:space="preserve">Elevations of amylase or lipase were common, as summarised in </w:t>
      </w:r>
      <w:r w:rsidR="00A63E68">
        <w:rPr>
          <w:lang w:eastAsia="ja-JP"/>
        </w:rPr>
        <w:t>T</w:t>
      </w:r>
      <w:r>
        <w:rPr>
          <w:lang w:eastAsia="ja-JP"/>
        </w:rPr>
        <w:t>able</w:t>
      </w:r>
      <w:r w:rsidR="00B70C5D">
        <w:rPr>
          <w:lang w:eastAsia="ja-JP"/>
        </w:rPr>
        <w:t xml:space="preserve"> 11</w:t>
      </w:r>
      <w:r w:rsidR="004A25E4">
        <w:rPr>
          <w:lang w:eastAsia="ja-JP"/>
        </w:rPr>
        <w:t>.</w:t>
      </w:r>
    </w:p>
    <w:p w14:paraId="7BB38B0B" w14:textId="49C9BC69" w:rsidR="00E330D0" w:rsidRDefault="00E330D0" w:rsidP="00B6291C">
      <w:pPr>
        <w:pStyle w:val="TableTitle"/>
        <w:rPr>
          <w:lang w:eastAsia="ja-JP"/>
        </w:rPr>
      </w:pPr>
      <w:bookmarkStart w:id="140" w:name="_Toc478485012"/>
      <w:r>
        <w:t xml:space="preserve">Table </w:t>
      </w:r>
      <w:r w:rsidR="00B70C5D">
        <w:t>11</w:t>
      </w:r>
      <w:r w:rsidR="00A63E68">
        <w:t>:</w:t>
      </w:r>
      <w:r w:rsidRPr="003408DA">
        <w:t xml:space="preserve"> </w:t>
      </w:r>
      <w:r w:rsidRPr="00B6291C">
        <w:t>Integrated</w:t>
      </w:r>
      <w:r>
        <w:t xml:space="preserve"> safety analysis</w:t>
      </w:r>
      <w:r w:rsidR="00D2514A">
        <w:t xml:space="preserve">; </w:t>
      </w:r>
      <w:r>
        <w:t>Abnormalities in amylase and lipase</w:t>
      </w:r>
      <w:bookmarkEnd w:id="140"/>
    </w:p>
    <w:p w14:paraId="31EA1FF4" w14:textId="77777777" w:rsidR="00E330D0" w:rsidRDefault="00E330D0" w:rsidP="00B6291C">
      <w:r>
        <w:rPr>
          <w:noProof/>
          <w:lang w:eastAsia="en-AU"/>
        </w:rPr>
        <w:drawing>
          <wp:inline distT="0" distB="0" distL="0" distR="0" wp14:anchorId="1DDA622C" wp14:editId="5DF4E310">
            <wp:extent cx="5400040" cy="1230586"/>
            <wp:effectExtent l="0" t="0" r="0" b="8255"/>
            <wp:docPr id="4" name="Picture 4" descr="Table 11: Integrated safety analysis – Abnormalities in amylase and lip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230586"/>
                    </a:xfrm>
                    <a:prstGeom prst="rect">
                      <a:avLst/>
                    </a:prstGeom>
                  </pic:spPr>
                </pic:pic>
              </a:graphicData>
            </a:graphic>
          </wp:inline>
        </w:drawing>
      </w:r>
    </w:p>
    <w:p w14:paraId="7DD8B053" w14:textId="77777777" w:rsidR="00DF6972" w:rsidRDefault="00DF6972" w:rsidP="00B6291C">
      <w:pPr>
        <w:rPr>
          <w:lang w:eastAsia="ja-JP"/>
        </w:rPr>
      </w:pPr>
      <w:r>
        <w:rPr>
          <w:lang w:eastAsia="ja-JP"/>
        </w:rPr>
        <w:t>There were no reports of pancreatitis.</w:t>
      </w:r>
    </w:p>
    <w:p w14:paraId="7CF15470" w14:textId="77777777" w:rsidR="00DF6972" w:rsidRPr="00073FEC" w:rsidRDefault="00DF6972" w:rsidP="00B6291C">
      <w:pPr>
        <w:pStyle w:val="Heading6"/>
      </w:pPr>
      <w:r w:rsidRPr="00B6291C">
        <w:t>Study</w:t>
      </w:r>
      <w:r>
        <w:t xml:space="preserve"> 002</w:t>
      </w:r>
    </w:p>
    <w:p w14:paraId="5141494B" w14:textId="77777777" w:rsidR="00DF6972" w:rsidRDefault="00DF6972" w:rsidP="00B6291C">
      <w:pPr>
        <w:rPr>
          <w:lang w:eastAsia="ja-JP"/>
        </w:rPr>
      </w:pPr>
      <w:r>
        <w:rPr>
          <w:lang w:eastAsia="ja-JP"/>
        </w:rPr>
        <w:t xml:space="preserve">In the dose escalation phase, </w:t>
      </w:r>
      <w:r w:rsidR="00A63E68">
        <w:rPr>
          <w:lang w:eastAsia="ja-JP"/>
        </w:rPr>
        <w:t>Grade</w:t>
      </w:r>
      <w:r>
        <w:rPr>
          <w:lang w:eastAsia="ja-JP"/>
        </w:rPr>
        <w:t xml:space="preserve"> ≥ 3 elevations of amylase and lipase did not occur.</w:t>
      </w:r>
    </w:p>
    <w:p w14:paraId="50A59EC8" w14:textId="77777777" w:rsidR="00DF6972" w:rsidRDefault="00DF6972" w:rsidP="00B6291C">
      <w:pPr>
        <w:rPr>
          <w:lang w:eastAsia="ja-JP"/>
        </w:rPr>
      </w:pPr>
      <w:r>
        <w:rPr>
          <w:lang w:eastAsia="ja-JP"/>
        </w:rPr>
        <w:t xml:space="preserve">In the expansion phase </w:t>
      </w:r>
      <w:r w:rsidR="00A63E68">
        <w:rPr>
          <w:lang w:eastAsia="ja-JP"/>
        </w:rPr>
        <w:t>Grade</w:t>
      </w:r>
      <w:r>
        <w:rPr>
          <w:lang w:eastAsia="ja-JP"/>
        </w:rPr>
        <w:t xml:space="preserve"> ≥ 3 elevations of amylase and lipase were reported in 8.8% and 20.6% of subjects respectively.</w:t>
      </w:r>
    </w:p>
    <w:p w14:paraId="7CC94501" w14:textId="77777777" w:rsidR="00DF6972" w:rsidRDefault="00DF6972" w:rsidP="00B6291C">
      <w:pPr>
        <w:pStyle w:val="Heading5"/>
      </w:pPr>
      <w:r w:rsidRPr="00545B14">
        <w:t xml:space="preserve">Other </w:t>
      </w:r>
      <w:r w:rsidRPr="00B6291C">
        <w:t>clinical</w:t>
      </w:r>
      <w:r w:rsidRPr="00545B14">
        <w:t xml:space="preserve"> chemistry</w:t>
      </w:r>
    </w:p>
    <w:p w14:paraId="50693C36" w14:textId="77777777" w:rsidR="00DF6972" w:rsidRPr="002B7B05" w:rsidRDefault="00DF6972" w:rsidP="00B6291C">
      <w:pPr>
        <w:pStyle w:val="Heading6"/>
      </w:pPr>
      <w:bookmarkStart w:id="141" w:name="_Toc272414672"/>
      <w:bookmarkStart w:id="142" w:name="_Toc290888536"/>
      <w:bookmarkStart w:id="143" w:name="_Toc416353752"/>
      <w:bookmarkStart w:id="144" w:name="_Toc421005295"/>
      <w:bookmarkStart w:id="145" w:name="_Toc432079172"/>
      <w:bookmarkStart w:id="146" w:name="_Toc432080745"/>
      <w:r>
        <w:t xml:space="preserve">Integrated </w:t>
      </w:r>
      <w:r w:rsidRPr="00B6291C">
        <w:t>safety</w:t>
      </w:r>
      <w:r>
        <w:t xml:space="preserve"> analysi</w:t>
      </w:r>
      <w:r w:rsidRPr="002B7B05">
        <w:t>s</w:t>
      </w:r>
    </w:p>
    <w:p w14:paraId="7037BF67" w14:textId="77777777" w:rsidR="00DF6972" w:rsidRDefault="00DF6972" w:rsidP="00B6291C">
      <w:pPr>
        <w:rPr>
          <w:lang w:eastAsia="ja-JP"/>
        </w:rPr>
      </w:pPr>
      <w:r>
        <w:rPr>
          <w:lang w:eastAsia="ja-JP"/>
        </w:rPr>
        <w:t xml:space="preserve">In </w:t>
      </w:r>
      <w:r w:rsidR="00655338">
        <w:rPr>
          <w:lang w:eastAsia="ja-JP"/>
        </w:rPr>
        <w:t>Stud</w:t>
      </w:r>
      <w:r>
        <w:rPr>
          <w:lang w:eastAsia="ja-JP"/>
        </w:rPr>
        <w:t xml:space="preserve">y 003, </w:t>
      </w:r>
      <w:r w:rsidR="00A63E68">
        <w:rPr>
          <w:lang w:eastAsia="ja-JP"/>
        </w:rPr>
        <w:t>Grade</w:t>
      </w:r>
      <w:r>
        <w:rPr>
          <w:lang w:eastAsia="ja-JP"/>
        </w:rPr>
        <w:t xml:space="preserve"> 3 or 4 elevations in other biochemistry parameters were not common. </w:t>
      </w:r>
      <w:r w:rsidR="00A63E68">
        <w:rPr>
          <w:lang w:eastAsia="ja-JP"/>
        </w:rPr>
        <w:t>Seven</w:t>
      </w:r>
      <w:r>
        <w:rPr>
          <w:lang w:eastAsia="ja-JP"/>
        </w:rPr>
        <w:t xml:space="preserve"> subjects (8.0%) developed </w:t>
      </w:r>
      <w:r w:rsidR="00A63E68">
        <w:rPr>
          <w:lang w:eastAsia="ja-JP"/>
        </w:rPr>
        <w:t>Grade</w:t>
      </w:r>
      <w:r>
        <w:rPr>
          <w:lang w:eastAsia="ja-JP"/>
        </w:rPr>
        <w:t xml:space="preserve"> ≥ 3 elevations in blood glucose.</w:t>
      </w:r>
    </w:p>
    <w:p w14:paraId="25B6BFD1" w14:textId="77777777" w:rsidR="00DF6972" w:rsidRDefault="00DF6972" w:rsidP="00B6291C">
      <w:pPr>
        <w:rPr>
          <w:lang w:eastAsia="ja-JP"/>
        </w:rPr>
      </w:pPr>
      <w:r>
        <w:rPr>
          <w:lang w:eastAsia="ja-JP"/>
        </w:rPr>
        <w:t xml:space="preserve">In </w:t>
      </w:r>
      <w:r w:rsidR="00655338">
        <w:rPr>
          <w:lang w:eastAsia="ja-JP"/>
        </w:rPr>
        <w:t>Stud</w:t>
      </w:r>
      <w:r>
        <w:rPr>
          <w:lang w:eastAsia="ja-JP"/>
        </w:rPr>
        <w:t>y 001, blood chemistry abnormalities Grade ≥ 3 reported for ≥ 5% of subjects were:</w:t>
      </w:r>
    </w:p>
    <w:p w14:paraId="6EE96FE4" w14:textId="77777777" w:rsidR="00DF6972" w:rsidRPr="00B9688B" w:rsidRDefault="00DF6972" w:rsidP="00B6291C">
      <w:pPr>
        <w:pStyle w:val="ListBullet"/>
      </w:pPr>
      <w:r w:rsidRPr="00B9688B">
        <w:t>Hyperglycaemia: Grade 3 for 72 subjects (5.0%) and Grade 4 for 4 subjects (0.3%)</w:t>
      </w:r>
    </w:p>
    <w:p w14:paraId="0C767C29" w14:textId="3322A756" w:rsidR="00DF6972" w:rsidRPr="00B9688B" w:rsidRDefault="00DF6972" w:rsidP="00B9688B">
      <w:pPr>
        <w:pStyle w:val="ListBullet"/>
      </w:pPr>
      <w:r w:rsidRPr="00B9688B">
        <w:t>Hyponatr</w:t>
      </w:r>
      <w:r w:rsidR="00D2514A">
        <w:t>a</w:t>
      </w:r>
      <w:r w:rsidRPr="00B9688B">
        <w:t>emia: Grade 3 for 132 subjects (9.2%) and Grade 4 for 8 subjects (0.6%)</w:t>
      </w:r>
    </w:p>
    <w:p w14:paraId="3885EDF6" w14:textId="77777777" w:rsidR="00DF6972" w:rsidRPr="00073FEC" w:rsidRDefault="00DF6972" w:rsidP="00B6291C">
      <w:pPr>
        <w:pStyle w:val="Heading6"/>
      </w:pPr>
      <w:r>
        <w:t>Study 002</w:t>
      </w:r>
    </w:p>
    <w:p w14:paraId="0506D1A2" w14:textId="77777777" w:rsidR="00DF6972" w:rsidRDefault="00DF6972" w:rsidP="00B6291C">
      <w:pPr>
        <w:rPr>
          <w:lang w:eastAsia="ja-JP"/>
        </w:rPr>
      </w:pPr>
      <w:r>
        <w:rPr>
          <w:lang w:eastAsia="ja-JP"/>
        </w:rPr>
        <w:t xml:space="preserve">Results of other biochemistry testing in </w:t>
      </w:r>
      <w:r w:rsidR="00655338">
        <w:rPr>
          <w:lang w:eastAsia="ja-JP"/>
        </w:rPr>
        <w:t>Stud</w:t>
      </w:r>
      <w:r>
        <w:rPr>
          <w:lang w:eastAsia="ja-JP"/>
        </w:rPr>
        <w:t>y 002 were unremarkable.</w:t>
      </w:r>
    </w:p>
    <w:p w14:paraId="71A4F077" w14:textId="77777777" w:rsidR="00DF6972" w:rsidRPr="00545B14" w:rsidRDefault="00DF6972" w:rsidP="00DF6972">
      <w:pPr>
        <w:pStyle w:val="Heading5"/>
      </w:pPr>
      <w:r w:rsidRPr="00545B14">
        <w:lastRenderedPageBreak/>
        <w:t>Haematology</w:t>
      </w:r>
      <w:bookmarkEnd w:id="141"/>
      <w:bookmarkEnd w:id="142"/>
      <w:bookmarkEnd w:id="143"/>
      <w:bookmarkEnd w:id="144"/>
      <w:r>
        <w:t xml:space="preserve"> and haematologic</w:t>
      </w:r>
      <w:r w:rsidRPr="00B6291C">
        <w:t>a</w:t>
      </w:r>
      <w:r>
        <w:t>l toxicity</w:t>
      </w:r>
      <w:bookmarkEnd w:id="145"/>
      <w:bookmarkEnd w:id="146"/>
    </w:p>
    <w:p w14:paraId="5FAA0368" w14:textId="77777777" w:rsidR="00DF6972" w:rsidRPr="002B7B05" w:rsidRDefault="00DF6972" w:rsidP="00B6291C">
      <w:pPr>
        <w:pStyle w:val="Heading6"/>
      </w:pPr>
      <w:r>
        <w:t xml:space="preserve">Integrated </w:t>
      </w:r>
      <w:r w:rsidRPr="00B6291C">
        <w:t>safety</w:t>
      </w:r>
      <w:r>
        <w:t xml:space="preserve"> analysi</w:t>
      </w:r>
      <w:r w:rsidRPr="002B7B05">
        <w:t>s</w:t>
      </w:r>
    </w:p>
    <w:p w14:paraId="1851A87E" w14:textId="77777777" w:rsidR="00DF6972" w:rsidRDefault="00DF6972" w:rsidP="00B6291C">
      <w:pPr>
        <w:rPr>
          <w:lang w:eastAsia="ja-JP"/>
        </w:rPr>
      </w:pPr>
      <w:r>
        <w:rPr>
          <w:lang w:eastAsia="ja-JP"/>
        </w:rPr>
        <w:t xml:space="preserve">The incidence of haematological abnormalities is summarised in </w:t>
      </w:r>
      <w:r w:rsidR="00A63E68">
        <w:rPr>
          <w:lang w:eastAsia="ja-JP"/>
        </w:rPr>
        <w:t>T</w:t>
      </w:r>
      <w:r>
        <w:rPr>
          <w:lang w:eastAsia="ja-JP"/>
        </w:rPr>
        <w:t>able</w:t>
      </w:r>
      <w:r w:rsidR="00B70C5D">
        <w:rPr>
          <w:lang w:eastAsia="ja-JP"/>
        </w:rPr>
        <w:t xml:space="preserve"> 12</w:t>
      </w:r>
      <w:r>
        <w:rPr>
          <w:lang w:eastAsia="ja-JP"/>
        </w:rPr>
        <w:t>. Decreases in haemoglobin and lymphocyte count were common.</w:t>
      </w:r>
    </w:p>
    <w:p w14:paraId="0FB998FB" w14:textId="5B4DD671" w:rsidR="00DF6972" w:rsidRDefault="00DF6972" w:rsidP="00B6291C">
      <w:pPr>
        <w:pStyle w:val="TableTitle"/>
        <w:rPr>
          <w:lang w:eastAsia="ja-JP"/>
        </w:rPr>
      </w:pPr>
      <w:bookmarkStart w:id="147" w:name="_Toc478485013"/>
      <w:r>
        <w:t xml:space="preserve">Table </w:t>
      </w:r>
      <w:r w:rsidR="00B70C5D">
        <w:t>12</w:t>
      </w:r>
      <w:r w:rsidR="00A63E68">
        <w:t>:</w:t>
      </w:r>
      <w:r w:rsidR="00B70C5D">
        <w:t xml:space="preserve"> </w:t>
      </w:r>
      <w:r w:rsidRPr="00B6291C">
        <w:t>Integrated</w:t>
      </w:r>
      <w:r>
        <w:t xml:space="preserve"> safety analysis</w:t>
      </w:r>
      <w:r w:rsidR="00D2514A">
        <w:t xml:space="preserve">; </w:t>
      </w:r>
      <w:r>
        <w:t>Abnormalities in haematology parameters</w:t>
      </w:r>
      <w:bookmarkEnd w:id="147"/>
    </w:p>
    <w:p w14:paraId="5E2E994B" w14:textId="77777777" w:rsidR="00DF6972" w:rsidRDefault="00DF6972" w:rsidP="00B6291C">
      <w:r>
        <w:rPr>
          <w:noProof/>
          <w:lang w:eastAsia="en-AU"/>
        </w:rPr>
        <w:drawing>
          <wp:inline distT="0" distB="0" distL="0" distR="0" wp14:anchorId="16B7B5AE" wp14:editId="20C19806">
            <wp:extent cx="5400040" cy="3223293"/>
            <wp:effectExtent l="0" t="0" r="0" b="0"/>
            <wp:docPr id="5" name="Picture 5" descr="Table 12: Integrated safety analysis – Abnormalities in haematolog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223293"/>
                    </a:xfrm>
                    <a:prstGeom prst="rect">
                      <a:avLst/>
                    </a:prstGeom>
                  </pic:spPr>
                </pic:pic>
              </a:graphicData>
            </a:graphic>
          </wp:inline>
        </w:drawing>
      </w:r>
    </w:p>
    <w:p w14:paraId="3CBBB05B" w14:textId="77777777" w:rsidR="00DF6972" w:rsidRPr="00073FEC" w:rsidRDefault="00DF6972" w:rsidP="00B6291C">
      <w:pPr>
        <w:pStyle w:val="Heading6"/>
      </w:pPr>
      <w:r>
        <w:t>Study 002</w:t>
      </w:r>
    </w:p>
    <w:p w14:paraId="0769724C" w14:textId="77777777" w:rsidR="00DF6972" w:rsidRDefault="00DF6972" w:rsidP="00B6291C">
      <w:pPr>
        <w:rPr>
          <w:lang w:eastAsia="ja-JP"/>
        </w:rPr>
      </w:pPr>
      <w:r>
        <w:rPr>
          <w:lang w:eastAsia="ja-JP"/>
        </w:rPr>
        <w:t xml:space="preserve">In the dose escalation phase, 1 subject developed a </w:t>
      </w:r>
      <w:r w:rsidR="00A63E68">
        <w:rPr>
          <w:lang w:eastAsia="ja-JP"/>
        </w:rPr>
        <w:t>Grade</w:t>
      </w:r>
      <w:r>
        <w:rPr>
          <w:lang w:eastAsia="ja-JP"/>
        </w:rPr>
        <w:t xml:space="preserve"> 3 decrease in lymphocyte count. There </w:t>
      </w:r>
      <w:proofErr w:type="gramStart"/>
      <w:r>
        <w:rPr>
          <w:lang w:eastAsia="ja-JP"/>
        </w:rPr>
        <w:t>were</w:t>
      </w:r>
      <w:proofErr w:type="gramEnd"/>
      <w:r>
        <w:rPr>
          <w:lang w:eastAsia="ja-JP"/>
        </w:rPr>
        <w:t xml:space="preserve"> no other </w:t>
      </w:r>
      <w:r w:rsidR="00A63E68">
        <w:rPr>
          <w:lang w:eastAsia="ja-JP"/>
        </w:rPr>
        <w:t>Grade</w:t>
      </w:r>
      <w:r>
        <w:rPr>
          <w:lang w:eastAsia="ja-JP"/>
        </w:rPr>
        <w:t xml:space="preserve"> 3 or 4 haematological abnormalities.</w:t>
      </w:r>
    </w:p>
    <w:p w14:paraId="73527BEA" w14:textId="77777777" w:rsidR="00DF6972" w:rsidRDefault="00DF6972" w:rsidP="00DF6972">
      <w:pPr>
        <w:rPr>
          <w:lang w:eastAsia="ja-JP"/>
        </w:rPr>
      </w:pPr>
      <w:r>
        <w:rPr>
          <w:lang w:eastAsia="ja-JP"/>
        </w:rPr>
        <w:t xml:space="preserve">In the expansion phase, 3 subjects (8.8%) developed a </w:t>
      </w:r>
      <w:r w:rsidR="00A63E68">
        <w:rPr>
          <w:lang w:eastAsia="ja-JP"/>
        </w:rPr>
        <w:t>Grade</w:t>
      </w:r>
      <w:r>
        <w:rPr>
          <w:lang w:eastAsia="ja-JP"/>
        </w:rPr>
        <w:t xml:space="preserve"> 3 decrease in lymphocyte count and 9 subjects (26.5%) developed a </w:t>
      </w:r>
      <w:r w:rsidR="00A63E68">
        <w:rPr>
          <w:lang w:eastAsia="ja-JP"/>
        </w:rPr>
        <w:t>Grade</w:t>
      </w:r>
      <w:r>
        <w:rPr>
          <w:lang w:eastAsia="ja-JP"/>
        </w:rPr>
        <w:t xml:space="preserve"> 3 decrease in haemoglobin. There </w:t>
      </w:r>
      <w:proofErr w:type="gramStart"/>
      <w:r>
        <w:rPr>
          <w:lang w:eastAsia="ja-JP"/>
        </w:rPr>
        <w:t>were</w:t>
      </w:r>
      <w:proofErr w:type="gramEnd"/>
      <w:r>
        <w:rPr>
          <w:lang w:eastAsia="ja-JP"/>
        </w:rPr>
        <w:t xml:space="preserve"> no other </w:t>
      </w:r>
      <w:r w:rsidR="00A63E68">
        <w:rPr>
          <w:lang w:eastAsia="ja-JP"/>
        </w:rPr>
        <w:t>Grade</w:t>
      </w:r>
      <w:r>
        <w:rPr>
          <w:lang w:eastAsia="ja-JP"/>
        </w:rPr>
        <w:t xml:space="preserve"> 3 or 4 haematological abnormalities.</w:t>
      </w:r>
    </w:p>
    <w:p w14:paraId="3E68A397" w14:textId="77777777" w:rsidR="00DF6972" w:rsidRPr="00545B14" w:rsidRDefault="00DF6972" w:rsidP="00B6291C">
      <w:pPr>
        <w:pStyle w:val="Heading5"/>
      </w:pPr>
      <w:r>
        <w:t xml:space="preserve">Thyroid </w:t>
      </w:r>
      <w:r w:rsidRPr="00B6291C">
        <w:t>function</w:t>
      </w:r>
      <w:r>
        <w:t xml:space="preserve"> tests</w:t>
      </w:r>
    </w:p>
    <w:p w14:paraId="4F589AC4" w14:textId="77777777" w:rsidR="00DF6972" w:rsidRPr="002B7B05" w:rsidRDefault="00DF6972" w:rsidP="00DF6972">
      <w:pPr>
        <w:pStyle w:val="Heading6"/>
      </w:pPr>
      <w:r>
        <w:t>Integrated safety analysi</w:t>
      </w:r>
      <w:r w:rsidRPr="002B7B05">
        <w:t>s</w:t>
      </w:r>
    </w:p>
    <w:p w14:paraId="153632EA" w14:textId="77777777" w:rsidR="004A25E4" w:rsidRDefault="00DF6972" w:rsidP="00B6291C">
      <w:pPr>
        <w:rPr>
          <w:lang w:eastAsia="ja-JP"/>
        </w:rPr>
      </w:pPr>
      <w:r>
        <w:rPr>
          <w:lang w:eastAsia="ja-JP"/>
        </w:rPr>
        <w:t xml:space="preserve">In </w:t>
      </w:r>
      <w:r w:rsidR="00655338">
        <w:rPr>
          <w:lang w:eastAsia="ja-JP"/>
        </w:rPr>
        <w:t>Stud</w:t>
      </w:r>
      <w:r>
        <w:rPr>
          <w:lang w:eastAsia="ja-JP"/>
        </w:rPr>
        <w:t xml:space="preserve">y 003, average values for free </w:t>
      </w:r>
      <w:r w:rsidR="00273D46">
        <w:t>thyroxine</w:t>
      </w:r>
      <w:r w:rsidR="00273D46">
        <w:rPr>
          <w:lang w:eastAsia="ja-JP"/>
        </w:rPr>
        <w:t xml:space="preserve"> (</w:t>
      </w:r>
      <w:r>
        <w:rPr>
          <w:lang w:eastAsia="ja-JP"/>
        </w:rPr>
        <w:t>T4</w:t>
      </w:r>
      <w:r w:rsidR="00273D46">
        <w:rPr>
          <w:lang w:eastAsia="ja-JP"/>
        </w:rPr>
        <w:t>)</w:t>
      </w:r>
      <w:r>
        <w:rPr>
          <w:lang w:eastAsia="ja-JP"/>
        </w:rPr>
        <w:t xml:space="preserve"> and </w:t>
      </w:r>
      <w:r w:rsidR="00CE012A">
        <w:t>thyroid stimulating hormone</w:t>
      </w:r>
      <w:r w:rsidR="00CE012A">
        <w:rPr>
          <w:lang w:eastAsia="ja-JP"/>
        </w:rPr>
        <w:t> (</w:t>
      </w:r>
      <w:r>
        <w:rPr>
          <w:lang w:eastAsia="ja-JP"/>
        </w:rPr>
        <w:t>TSH</w:t>
      </w:r>
      <w:r w:rsidR="00CE012A">
        <w:rPr>
          <w:lang w:eastAsia="ja-JP"/>
        </w:rPr>
        <w:t>)</w:t>
      </w:r>
      <w:r>
        <w:rPr>
          <w:lang w:eastAsia="ja-JP"/>
        </w:rPr>
        <w:t xml:space="preserve"> did not change significantly over time. An analysis of individuals who developed abnormalities was not presented</w:t>
      </w:r>
      <w:r w:rsidR="004A25E4">
        <w:rPr>
          <w:lang w:eastAsia="ja-JP"/>
        </w:rPr>
        <w:t>.</w:t>
      </w:r>
    </w:p>
    <w:p w14:paraId="5B4BE916" w14:textId="77777777" w:rsidR="00DF6972" w:rsidRDefault="00DF6972" w:rsidP="00DF6972">
      <w:pPr>
        <w:rPr>
          <w:lang w:eastAsia="ja-JP"/>
        </w:rPr>
      </w:pPr>
      <w:r>
        <w:rPr>
          <w:lang w:eastAsia="ja-JP"/>
        </w:rPr>
        <w:t xml:space="preserve">In </w:t>
      </w:r>
      <w:r w:rsidR="00655338">
        <w:rPr>
          <w:lang w:eastAsia="ja-JP"/>
        </w:rPr>
        <w:t>Stud</w:t>
      </w:r>
      <w:r>
        <w:rPr>
          <w:lang w:eastAsia="ja-JP"/>
        </w:rPr>
        <w:t>y 001:</w:t>
      </w:r>
    </w:p>
    <w:p w14:paraId="0A39E609" w14:textId="5428A622" w:rsidR="00DF6972" w:rsidRPr="00DF6972" w:rsidRDefault="00DF6972" w:rsidP="00B6291C">
      <w:pPr>
        <w:pStyle w:val="ListBullet"/>
      </w:pPr>
      <w:r w:rsidRPr="00DF6972">
        <w:t xml:space="preserve">Of 748 subjects who had normal free T4 levels at </w:t>
      </w:r>
      <w:r w:rsidR="00D2514A">
        <w:t>B</w:t>
      </w:r>
      <w:r w:rsidR="00D2514A" w:rsidRPr="00DF6972">
        <w:t>aseline</w:t>
      </w:r>
      <w:r w:rsidRPr="00DF6972">
        <w:t>, 7.9% had at least one value below normal, and 9.4% had at least one value above normal, while on treatment;</w:t>
      </w:r>
    </w:p>
    <w:p w14:paraId="6A3A901A" w14:textId="367A5492" w:rsidR="00DF6972" w:rsidRPr="00DF6972" w:rsidRDefault="00DF6972" w:rsidP="00B6291C">
      <w:pPr>
        <w:pStyle w:val="ListBullet"/>
      </w:pPr>
      <w:r w:rsidRPr="00DF6972">
        <w:t xml:space="preserve">Of 781 subjects who had normal TSH levels at </w:t>
      </w:r>
      <w:r w:rsidR="00D2514A">
        <w:t>B</w:t>
      </w:r>
      <w:r w:rsidR="00D2514A" w:rsidRPr="00DF6972">
        <w:t>aseline</w:t>
      </w:r>
      <w:r w:rsidRPr="00DF6972">
        <w:t xml:space="preserve">, 7.9% had at least one value below normal, and 16.4% had </w:t>
      </w:r>
      <w:r w:rsidRPr="00B6291C">
        <w:t>at</w:t>
      </w:r>
      <w:r w:rsidRPr="00DF6972">
        <w:t xml:space="preserve"> least one value above normal, while on treatment.</w:t>
      </w:r>
    </w:p>
    <w:p w14:paraId="63B7356C" w14:textId="77777777" w:rsidR="00DF6972" w:rsidRPr="00073FEC" w:rsidRDefault="00DF6972" w:rsidP="00B6291C">
      <w:pPr>
        <w:pStyle w:val="Heading6"/>
      </w:pPr>
      <w:r w:rsidRPr="00B6291C">
        <w:t>Study</w:t>
      </w:r>
      <w:r>
        <w:t xml:space="preserve"> 002</w:t>
      </w:r>
    </w:p>
    <w:p w14:paraId="0689535E" w14:textId="77777777" w:rsidR="00DF6972" w:rsidRDefault="00DF6972" w:rsidP="00B6291C">
      <w:pPr>
        <w:rPr>
          <w:lang w:eastAsia="ja-JP"/>
        </w:rPr>
      </w:pPr>
      <w:r>
        <w:rPr>
          <w:lang w:eastAsia="ja-JP"/>
        </w:rPr>
        <w:t xml:space="preserve">An analysis of changes in thyroid function tests was not presented for </w:t>
      </w:r>
      <w:r w:rsidR="00655338">
        <w:rPr>
          <w:lang w:eastAsia="ja-JP"/>
        </w:rPr>
        <w:t>Stud</w:t>
      </w:r>
      <w:r>
        <w:rPr>
          <w:lang w:eastAsia="ja-JP"/>
        </w:rPr>
        <w:t>y 002.</w:t>
      </w:r>
    </w:p>
    <w:p w14:paraId="5D4FFC89" w14:textId="77777777" w:rsidR="00DF6972" w:rsidRPr="00545B14" w:rsidRDefault="00DF6972" w:rsidP="00DF6972">
      <w:pPr>
        <w:pStyle w:val="Heading5"/>
      </w:pPr>
      <w:r w:rsidRPr="00545B14">
        <w:t>Electrocardiograph</w:t>
      </w:r>
      <w:r>
        <w:t xml:space="preserve"> findings and cardiovascular</w:t>
      </w:r>
      <w:r w:rsidRPr="00B6291C">
        <w:t xml:space="preserve"> </w:t>
      </w:r>
      <w:r>
        <w:t>safety</w:t>
      </w:r>
    </w:p>
    <w:p w14:paraId="6098073B" w14:textId="77777777" w:rsidR="00DF6972" w:rsidRDefault="00DF6972" w:rsidP="00B6291C">
      <w:pPr>
        <w:rPr>
          <w:lang w:eastAsia="ja-JP"/>
        </w:rPr>
      </w:pPr>
      <w:bookmarkStart w:id="148" w:name="_Toc272414676"/>
      <w:bookmarkStart w:id="149" w:name="_Toc290888540"/>
      <w:bookmarkStart w:id="150" w:name="_Toc416353755"/>
      <w:bookmarkStart w:id="151" w:name="_Toc421005298"/>
      <w:bookmarkStart w:id="152" w:name="_Toc432079175"/>
      <w:bookmarkStart w:id="153" w:name="_Toc432080748"/>
      <w:r>
        <w:rPr>
          <w:lang w:eastAsia="ja-JP"/>
        </w:rPr>
        <w:t xml:space="preserve">The submission included an exposure-response analysis examining effects of avelumab on the QT interval, and a pooled analysis of potentially clinically significant </w:t>
      </w:r>
      <w:r w:rsidR="005049BA">
        <w:t>electrocardiograph</w:t>
      </w:r>
      <w:r w:rsidR="005049BA">
        <w:rPr>
          <w:lang w:eastAsia="ja-JP"/>
        </w:rPr>
        <w:t xml:space="preserve"> (</w:t>
      </w:r>
      <w:r>
        <w:rPr>
          <w:lang w:eastAsia="ja-JP"/>
        </w:rPr>
        <w:t>ECG</w:t>
      </w:r>
      <w:r w:rsidR="005049BA">
        <w:rPr>
          <w:lang w:eastAsia="ja-JP"/>
        </w:rPr>
        <w:t>)</w:t>
      </w:r>
      <w:r>
        <w:rPr>
          <w:lang w:eastAsia="ja-JP"/>
        </w:rPr>
        <w:t xml:space="preserve"> abnormalities. No clinically significant effect of avelumab on the </w:t>
      </w:r>
      <w:r>
        <w:rPr>
          <w:lang w:eastAsia="ja-JP"/>
        </w:rPr>
        <w:lastRenderedPageBreak/>
        <w:t>QT interval was detected. The incidence of other clinically significant ECG abnormalities was low.</w:t>
      </w:r>
    </w:p>
    <w:p w14:paraId="435A5F1D" w14:textId="77777777" w:rsidR="00DF6972" w:rsidRDefault="00DF6972" w:rsidP="00B6291C">
      <w:pPr>
        <w:rPr>
          <w:lang w:eastAsia="ja-JP"/>
        </w:rPr>
      </w:pPr>
      <w:r>
        <w:rPr>
          <w:lang w:eastAsia="ja-JP"/>
        </w:rPr>
        <w:t xml:space="preserve">Avelumab was not clearly associated with significant cardiovascular toxicity. For example, in the expansion phase of </w:t>
      </w:r>
      <w:r w:rsidR="00655338">
        <w:rPr>
          <w:lang w:eastAsia="ja-JP"/>
        </w:rPr>
        <w:t>Stud</w:t>
      </w:r>
      <w:r>
        <w:rPr>
          <w:lang w:eastAsia="ja-JP"/>
        </w:rPr>
        <w:t>y 001 (n = 1</w:t>
      </w:r>
      <w:r w:rsidR="00273D46">
        <w:rPr>
          <w:lang w:eastAsia="ja-JP"/>
        </w:rPr>
        <w:t>,</w:t>
      </w:r>
      <w:r>
        <w:rPr>
          <w:lang w:eastAsia="ja-JP"/>
        </w:rPr>
        <w:t>437), the overall incidence of serious cardiac disorders was 2.2%, with the most common events being atrial fibrillation (0.6%) and cardiac tamponade (0.3%). The overall incidence of serious vascular events was 2.0%, with the most common events being hypotension (0.6%) and deep venous thrombosis (0.4%). Such events are not unexpected in a population of elderly subjects with advanced cancer.</w:t>
      </w:r>
    </w:p>
    <w:p w14:paraId="7CFFBEF6" w14:textId="77777777" w:rsidR="00DF6972" w:rsidRPr="00545B14" w:rsidRDefault="00DF6972" w:rsidP="00B6291C">
      <w:pPr>
        <w:pStyle w:val="Heading5"/>
      </w:pPr>
      <w:r w:rsidRPr="00545B14">
        <w:t>Vital signs</w:t>
      </w:r>
      <w:bookmarkEnd w:id="148"/>
      <w:bookmarkEnd w:id="149"/>
      <w:bookmarkEnd w:id="150"/>
      <w:bookmarkEnd w:id="151"/>
      <w:r>
        <w:t xml:space="preserve"> and clinical </w:t>
      </w:r>
      <w:r w:rsidRPr="00B6291C">
        <w:t>examination</w:t>
      </w:r>
      <w:r>
        <w:t xml:space="preserve"> findings</w:t>
      </w:r>
      <w:bookmarkEnd w:id="152"/>
      <w:bookmarkEnd w:id="153"/>
    </w:p>
    <w:p w14:paraId="7A4DE4FD" w14:textId="77777777" w:rsidR="00DF6972" w:rsidRPr="002B7B05" w:rsidRDefault="00DF6972" w:rsidP="00DF6972">
      <w:pPr>
        <w:pStyle w:val="Heading6"/>
      </w:pPr>
      <w:r>
        <w:t>Integrated safety analysi</w:t>
      </w:r>
      <w:r w:rsidRPr="002B7B05">
        <w:t>s</w:t>
      </w:r>
    </w:p>
    <w:p w14:paraId="1956C768" w14:textId="77777777" w:rsidR="00DF6972" w:rsidRDefault="00DF6972" w:rsidP="00B6291C">
      <w:pPr>
        <w:rPr>
          <w:lang w:eastAsia="ja-JP"/>
        </w:rPr>
      </w:pPr>
      <w:r w:rsidRPr="00FB4F1C">
        <w:rPr>
          <w:lang w:eastAsia="ja-JP"/>
        </w:rPr>
        <w:t>Mean changes in systolic and diastolic blood pressure over time were small and not clinically significant.</w:t>
      </w:r>
    </w:p>
    <w:p w14:paraId="312CA03F" w14:textId="77777777" w:rsidR="00DF6972" w:rsidRPr="00FB4F1C" w:rsidRDefault="00DF6972" w:rsidP="00DF6972">
      <w:pPr>
        <w:rPr>
          <w:lang w:eastAsia="ja-JP"/>
        </w:rPr>
      </w:pPr>
      <w:r>
        <w:rPr>
          <w:lang w:eastAsia="ja-JP"/>
        </w:rPr>
        <w:t xml:space="preserve">The incidences of potentially clinically significant changes in vital signs in the expansion phase of </w:t>
      </w:r>
      <w:r w:rsidR="00655338">
        <w:rPr>
          <w:lang w:eastAsia="ja-JP"/>
        </w:rPr>
        <w:t>Stud</w:t>
      </w:r>
      <w:r>
        <w:rPr>
          <w:lang w:eastAsia="ja-JP"/>
        </w:rPr>
        <w:t xml:space="preserve">y 001 are summarised in </w:t>
      </w:r>
      <w:r w:rsidR="00B70C5D">
        <w:rPr>
          <w:lang w:eastAsia="ja-JP"/>
        </w:rPr>
        <w:t>Table 13</w:t>
      </w:r>
      <w:r w:rsidR="00273D46">
        <w:rPr>
          <w:lang w:eastAsia="ja-JP"/>
        </w:rPr>
        <w:t xml:space="preserve"> </w:t>
      </w:r>
      <w:r>
        <w:rPr>
          <w:lang w:eastAsia="ja-JP"/>
        </w:rPr>
        <w:t>below. Increases and decreases in blood pressure occurred with comparable frequency.</w:t>
      </w:r>
    </w:p>
    <w:p w14:paraId="180C64F6" w14:textId="6194A29B" w:rsidR="00DF6972" w:rsidRDefault="00DF6972" w:rsidP="00B6291C">
      <w:pPr>
        <w:pStyle w:val="TableTitle"/>
      </w:pPr>
      <w:bookmarkStart w:id="154" w:name="_Ref478457247"/>
      <w:bookmarkStart w:id="155" w:name="_Toc478485014"/>
      <w:r>
        <w:t xml:space="preserve">Table </w:t>
      </w:r>
      <w:bookmarkEnd w:id="154"/>
      <w:r w:rsidR="00B70C5D">
        <w:t>13</w:t>
      </w:r>
      <w:r w:rsidR="00273D46">
        <w:t>:</w:t>
      </w:r>
      <w:r>
        <w:t xml:space="preserve"> Study 001 (</w:t>
      </w:r>
      <w:r w:rsidRPr="00B6291C">
        <w:t>Expansion</w:t>
      </w:r>
      <w:r>
        <w:t xml:space="preserve"> phase)</w:t>
      </w:r>
      <w:r w:rsidR="003E04E9">
        <w:t>;</w:t>
      </w:r>
      <w:r>
        <w:t xml:space="preserve"> </w:t>
      </w:r>
      <w:r w:rsidR="003E04E9">
        <w:t>p</w:t>
      </w:r>
      <w:r>
        <w:t>otentially clinical significant changes in vital signs</w:t>
      </w:r>
      <w:bookmarkEnd w:id="155"/>
    </w:p>
    <w:p w14:paraId="2E89DD34" w14:textId="77777777" w:rsidR="00DF6972" w:rsidRDefault="00DF6972" w:rsidP="00B6291C">
      <w:r>
        <w:rPr>
          <w:noProof/>
          <w:lang w:eastAsia="en-AU"/>
        </w:rPr>
        <w:drawing>
          <wp:inline distT="0" distB="0" distL="0" distR="0" wp14:anchorId="3DF1E06B" wp14:editId="033B323B">
            <wp:extent cx="4674412" cy="3349995"/>
            <wp:effectExtent l="0" t="0" r="0" b="3175"/>
            <wp:docPr id="6" name="Picture 6" descr="Table 13: Study 001 (Expansion phase) - Potentially clinical significant changes in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75644" cy="3350878"/>
                    </a:xfrm>
                    <a:prstGeom prst="rect">
                      <a:avLst/>
                    </a:prstGeom>
                  </pic:spPr>
                </pic:pic>
              </a:graphicData>
            </a:graphic>
          </wp:inline>
        </w:drawing>
      </w:r>
    </w:p>
    <w:p w14:paraId="79F7D154" w14:textId="77777777" w:rsidR="00DF6972" w:rsidRDefault="00DF6972" w:rsidP="00B6291C">
      <w:pPr>
        <w:pStyle w:val="Heading5"/>
      </w:pPr>
      <w:r w:rsidRPr="00B6291C">
        <w:t>Immunogenicity</w:t>
      </w:r>
      <w:r>
        <w:t xml:space="preserve"> and immunological events</w:t>
      </w:r>
    </w:p>
    <w:p w14:paraId="3326819F" w14:textId="0B7B4212" w:rsidR="00DF6972" w:rsidRPr="00D52DD2" w:rsidRDefault="00273D46" w:rsidP="00B6291C">
      <w:pPr>
        <w:rPr>
          <w:lang w:eastAsia="ja-JP"/>
        </w:rPr>
      </w:pPr>
      <w:r>
        <w:rPr>
          <w:lang w:eastAsia="ja-JP"/>
        </w:rPr>
        <w:t>Immune related</w:t>
      </w:r>
      <w:r w:rsidR="00DF6972">
        <w:rPr>
          <w:lang w:eastAsia="ja-JP"/>
        </w:rPr>
        <w:t xml:space="preserve"> </w:t>
      </w:r>
      <w:r w:rsidR="005049BA">
        <w:t>adverse events</w:t>
      </w:r>
      <w:r w:rsidR="005049BA">
        <w:rPr>
          <w:lang w:eastAsia="ja-JP"/>
        </w:rPr>
        <w:t xml:space="preserve"> (</w:t>
      </w:r>
      <w:r w:rsidR="00DF6972">
        <w:rPr>
          <w:lang w:eastAsia="ja-JP"/>
        </w:rPr>
        <w:t>AEs</w:t>
      </w:r>
      <w:r w:rsidR="005049BA">
        <w:rPr>
          <w:lang w:eastAsia="ja-JP"/>
        </w:rPr>
        <w:t>)</w:t>
      </w:r>
      <w:r w:rsidR="00DF6972">
        <w:rPr>
          <w:lang w:eastAsia="ja-JP"/>
        </w:rPr>
        <w:t xml:space="preserve"> </w:t>
      </w:r>
      <w:r>
        <w:rPr>
          <w:lang w:eastAsia="ja-JP"/>
        </w:rPr>
        <w:t>wer</w:t>
      </w:r>
      <w:r w:rsidR="00DF6972">
        <w:rPr>
          <w:lang w:eastAsia="ja-JP"/>
        </w:rPr>
        <w:t>e summarised</w:t>
      </w:r>
      <w:r>
        <w:rPr>
          <w:lang w:eastAsia="ja-JP"/>
        </w:rPr>
        <w:t xml:space="preserve"> in the </w:t>
      </w:r>
      <w:r w:rsidR="00D2514A">
        <w:rPr>
          <w:lang w:eastAsia="ja-JP"/>
        </w:rPr>
        <w:t>clinical evaluation report</w:t>
      </w:r>
      <w:r w:rsidR="00DF6972">
        <w:rPr>
          <w:lang w:eastAsia="ja-JP"/>
        </w:rPr>
        <w:t xml:space="preserve">. Infusion-related reactions </w:t>
      </w:r>
      <w:r>
        <w:rPr>
          <w:lang w:eastAsia="ja-JP"/>
        </w:rPr>
        <w:t>we</w:t>
      </w:r>
      <w:r w:rsidR="00DF6972">
        <w:rPr>
          <w:lang w:eastAsia="ja-JP"/>
        </w:rPr>
        <w:t>re summarised</w:t>
      </w:r>
      <w:r>
        <w:rPr>
          <w:lang w:eastAsia="ja-JP"/>
        </w:rPr>
        <w:t xml:space="preserve"> in the </w:t>
      </w:r>
      <w:r w:rsidR="00D2514A">
        <w:rPr>
          <w:lang w:eastAsia="ja-JP"/>
        </w:rPr>
        <w:t>clinical evaluation report</w:t>
      </w:r>
      <w:r w:rsidR="00DF6972">
        <w:rPr>
          <w:lang w:eastAsia="ja-JP"/>
        </w:rPr>
        <w:t>.</w:t>
      </w:r>
    </w:p>
    <w:p w14:paraId="67477F36" w14:textId="77777777" w:rsidR="004A25E4" w:rsidRDefault="00DF6972" w:rsidP="00B6291C">
      <w:pPr>
        <w:rPr>
          <w:lang w:eastAsia="ja-JP"/>
        </w:rPr>
      </w:pPr>
      <w:r>
        <w:rPr>
          <w:lang w:eastAsia="ja-JP"/>
        </w:rPr>
        <w:t>Blood samples were collected at intervals during each of the clinical studies for detection of huma</w:t>
      </w:r>
      <w:r w:rsidR="005049BA">
        <w:rPr>
          <w:lang w:eastAsia="ja-JP"/>
        </w:rPr>
        <w:t>n anti-human antibodies (HAHA);</w:t>
      </w:r>
      <w:r>
        <w:rPr>
          <w:lang w:eastAsia="ja-JP"/>
        </w:rPr>
        <w:t xml:space="preserve"> </w:t>
      </w:r>
      <w:r w:rsidR="000E4114">
        <w:rPr>
          <w:lang w:eastAsia="ja-JP"/>
        </w:rPr>
        <w:t>that is</w:t>
      </w:r>
      <w:r>
        <w:rPr>
          <w:lang w:eastAsia="ja-JP"/>
        </w:rPr>
        <w:t xml:space="preserve"> anti-avelumab antibodies. Serum samples were analysed by a validated electrochemiluminescence immunoassay to detect the presence of anti-avelumab antibodies. Samples that screened positive were subsequently tested in a confirmatory assay</w:t>
      </w:r>
      <w:r w:rsidR="004A25E4">
        <w:rPr>
          <w:lang w:eastAsia="ja-JP"/>
        </w:rPr>
        <w:t>.</w:t>
      </w:r>
    </w:p>
    <w:p w14:paraId="3CE81B46" w14:textId="77777777" w:rsidR="00DF6972" w:rsidRPr="002B7B05" w:rsidRDefault="00DF6972" w:rsidP="00B6291C">
      <w:pPr>
        <w:pStyle w:val="Heading6"/>
      </w:pPr>
      <w:r>
        <w:lastRenderedPageBreak/>
        <w:t xml:space="preserve">Integrated safety </w:t>
      </w:r>
      <w:r w:rsidRPr="00B6291C">
        <w:t>analysis</w:t>
      </w:r>
    </w:p>
    <w:p w14:paraId="2F6B3269" w14:textId="77777777" w:rsidR="00DF6972" w:rsidRDefault="00DF6972" w:rsidP="00B6291C">
      <w:pPr>
        <w:rPr>
          <w:lang w:eastAsia="ja-JP"/>
        </w:rPr>
      </w:pPr>
      <w:r>
        <w:rPr>
          <w:lang w:eastAsia="ja-JP"/>
        </w:rPr>
        <w:t xml:space="preserve">Results of testing are summarised in </w:t>
      </w:r>
      <w:r w:rsidR="00B70C5D">
        <w:rPr>
          <w:lang w:eastAsia="ja-JP"/>
        </w:rPr>
        <w:t>T</w:t>
      </w:r>
      <w:r>
        <w:rPr>
          <w:lang w:eastAsia="ja-JP"/>
        </w:rPr>
        <w:t>able</w:t>
      </w:r>
      <w:r w:rsidR="00B70C5D">
        <w:rPr>
          <w:lang w:eastAsia="ja-JP"/>
        </w:rPr>
        <w:t xml:space="preserve"> 14</w:t>
      </w:r>
      <w:r w:rsidRPr="00273D46">
        <w:rPr>
          <w:lang w:eastAsia="ja-JP"/>
        </w:rPr>
        <w:t>. 3.5%</w:t>
      </w:r>
      <w:r>
        <w:rPr>
          <w:lang w:eastAsia="ja-JP"/>
        </w:rPr>
        <w:t xml:space="preserve"> of subjects developed antibodies during treatment.</w:t>
      </w:r>
    </w:p>
    <w:p w14:paraId="3E79A1CA" w14:textId="7D6C470A" w:rsidR="00DF6972" w:rsidRDefault="00DF6972" w:rsidP="00B6291C">
      <w:pPr>
        <w:pStyle w:val="TableTitle"/>
        <w:rPr>
          <w:lang w:eastAsia="ja-JP"/>
        </w:rPr>
      </w:pPr>
      <w:bookmarkStart w:id="156" w:name="_Toc478485015"/>
      <w:r>
        <w:t>Table</w:t>
      </w:r>
      <w:r w:rsidR="00B70C5D">
        <w:t>14</w:t>
      </w:r>
      <w:r w:rsidR="00273D46">
        <w:t>:</w:t>
      </w:r>
      <w:r w:rsidRPr="008C232E">
        <w:t xml:space="preserve"> </w:t>
      </w:r>
      <w:r w:rsidRPr="00B6291C">
        <w:t>Integrated</w:t>
      </w:r>
      <w:r>
        <w:t xml:space="preserve"> safety analysis</w:t>
      </w:r>
      <w:r w:rsidR="003E04E9">
        <w:t>;</w:t>
      </w:r>
      <w:r>
        <w:t xml:space="preserve"> </w:t>
      </w:r>
      <w:r w:rsidR="003E04E9">
        <w:t>a</w:t>
      </w:r>
      <w:r>
        <w:t>nti-</w:t>
      </w:r>
      <w:proofErr w:type="spellStart"/>
      <w:r>
        <w:t>avelumab</w:t>
      </w:r>
      <w:proofErr w:type="spellEnd"/>
      <w:r>
        <w:t xml:space="preserve"> antibodies</w:t>
      </w:r>
      <w:bookmarkEnd w:id="156"/>
    </w:p>
    <w:p w14:paraId="5B408C56" w14:textId="77777777" w:rsidR="00DF6972" w:rsidRDefault="00DF6972" w:rsidP="00B6291C">
      <w:pPr>
        <w:rPr>
          <w:lang w:eastAsia="ja-JP"/>
        </w:rPr>
      </w:pPr>
      <w:r>
        <w:rPr>
          <w:noProof/>
          <w:lang w:eastAsia="en-AU"/>
        </w:rPr>
        <w:drawing>
          <wp:inline distT="0" distB="0" distL="0" distR="0" wp14:anchorId="1102AE3E" wp14:editId="2EE34BD5">
            <wp:extent cx="5400040" cy="2584635"/>
            <wp:effectExtent l="0" t="0" r="0" b="6350"/>
            <wp:docPr id="7" name="Picture 7" descr="Table14: Integrated safety analysis – Anti-avelumab anti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584635"/>
                    </a:xfrm>
                    <a:prstGeom prst="rect">
                      <a:avLst/>
                    </a:prstGeom>
                  </pic:spPr>
                </pic:pic>
              </a:graphicData>
            </a:graphic>
          </wp:inline>
        </w:drawing>
      </w:r>
    </w:p>
    <w:p w14:paraId="5654A3CB" w14:textId="77777777" w:rsidR="00DF6972" w:rsidRDefault="00DF6972" w:rsidP="00B6291C">
      <w:pPr>
        <w:rPr>
          <w:lang w:eastAsia="ja-JP"/>
        </w:rPr>
      </w:pPr>
      <w:r>
        <w:rPr>
          <w:lang w:eastAsia="ja-JP"/>
        </w:rPr>
        <w:t>A total of 56 subjects were antibody-positive at some time. Compared to antibody-negative subjects, this group had a numerically higher incidence of infusion-related reactions (IRRs</w:t>
      </w:r>
      <w:r w:rsidR="00CE012A">
        <w:rPr>
          <w:lang w:eastAsia="ja-JP"/>
        </w:rPr>
        <w:t>);</w:t>
      </w:r>
      <w:r w:rsidRPr="007A171E">
        <w:rPr>
          <w:lang w:eastAsia="ja-JP"/>
        </w:rPr>
        <w:t xml:space="preserve"> </w:t>
      </w:r>
      <w:r>
        <w:rPr>
          <w:lang w:eastAsia="ja-JP"/>
        </w:rPr>
        <w:t xml:space="preserve">33.9% </w:t>
      </w:r>
      <w:r w:rsidR="00CE012A">
        <w:rPr>
          <w:lang w:eastAsia="ja-JP"/>
        </w:rPr>
        <w:t>versus</w:t>
      </w:r>
      <w:r>
        <w:rPr>
          <w:lang w:eastAsia="ja-JP"/>
        </w:rPr>
        <w:t xml:space="preserve"> 24.1%), as well as AEs leading to discontinuation (19.6% </w:t>
      </w:r>
      <w:r w:rsidR="00CE012A">
        <w:rPr>
          <w:lang w:eastAsia="ja-JP"/>
        </w:rPr>
        <w:t>versus</w:t>
      </w:r>
      <w:r>
        <w:rPr>
          <w:lang w:eastAsia="ja-JP"/>
        </w:rPr>
        <w:t xml:space="preserve"> 12.7%) a</w:t>
      </w:r>
      <w:r w:rsidR="00273D46">
        <w:rPr>
          <w:lang w:eastAsia="ja-JP"/>
        </w:rPr>
        <w:t xml:space="preserve">nd serious AEs (53.6% </w:t>
      </w:r>
      <w:r w:rsidR="00CE012A">
        <w:rPr>
          <w:lang w:eastAsia="ja-JP"/>
        </w:rPr>
        <w:t>versus</w:t>
      </w:r>
      <w:r w:rsidR="00273D46">
        <w:rPr>
          <w:lang w:eastAsia="ja-JP"/>
        </w:rPr>
        <w:t xml:space="preserve"> 39.5%), </w:t>
      </w:r>
      <w:r w:rsidRPr="00273D46">
        <w:rPr>
          <w:lang w:eastAsia="ja-JP"/>
        </w:rPr>
        <w:t xml:space="preserve">see </w:t>
      </w:r>
      <w:r w:rsidR="00273D46" w:rsidRPr="00273D46">
        <w:rPr>
          <w:lang w:eastAsia="ja-JP"/>
        </w:rPr>
        <w:t xml:space="preserve">Table </w:t>
      </w:r>
      <w:r w:rsidR="00B70C5D">
        <w:rPr>
          <w:lang w:eastAsia="ja-JP"/>
        </w:rPr>
        <w:t>15</w:t>
      </w:r>
      <w:r w:rsidRPr="00273D46">
        <w:rPr>
          <w:lang w:eastAsia="ja-JP"/>
        </w:rPr>
        <w:t>.</w:t>
      </w:r>
    </w:p>
    <w:p w14:paraId="081C99D0" w14:textId="77777777" w:rsidR="00DF6972" w:rsidRDefault="00DF6972" w:rsidP="00B6291C">
      <w:pPr>
        <w:rPr>
          <w:lang w:eastAsia="ja-JP"/>
        </w:rPr>
      </w:pPr>
      <w:r>
        <w:rPr>
          <w:lang w:eastAsia="ja-JP"/>
        </w:rPr>
        <w:t>The sponsor argued that antibody positivity was unlikely to represent a true increased risk of IRRs for the following reasons:</w:t>
      </w:r>
    </w:p>
    <w:p w14:paraId="4C4565BA" w14:textId="77777777" w:rsidR="00DF6972" w:rsidRPr="00DF6972" w:rsidRDefault="00DF6972" w:rsidP="00B6291C">
      <w:pPr>
        <w:pStyle w:val="ListBullet"/>
      </w:pPr>
      <w:r w:rsidRPr="00DF6972">
        <w:t xml:space="preserve">Most of the IRRs observed in this group occurred with the first or second avelumab infusion, prior to the </w:t>
      </w:r>
      <w:r w:rsidRPr="00B6291C">
        <w:t>onset</w:t>
      </w:r>
      <w:r w:rsidRPr="00DF6972">
        <w:t xml:space="preserve"> of </w:t>
      </w:r>
      <w:proofErr w:type="spellStart"/>
      <w:r w:rsidRPr="00DF6972">
        <w:t>seropositivity</w:t>
      </w:r>
      <w:proofErr w:type="spellEnd"/>
      <w:r w:rsidRPr="00DF6972">
        <w:t>;</w:t>
      </w:r>
    </w:p>
    <w:p w14:paraId="1D5C6E02" w14:textId="77777777" w:rsidR="00DF6972" w:rsidRPr="00DF6972" w:rsidRDefault="00DF6972" w:rsidP="00B6291C">
      <w:pPr>
        <w:pStyle w:val="ListBullet"/>
      </w:pPr>
      <w:r w:rsidRPr="00DF6972">
        <w:t xml:space="preserve">Antibody positive </w:t>
      </w:r>
      <w:r w:rsidRPr="00B6291C">
        <w:t>subjects</w:t>
      </w:r>
      <w:r w:rsidRPr="00DF6972">
        <w:t xml:space="preserve"> did not have a higher prevalence of anti-</w:t>
      </w:r>
      <w:proofErr w:type="spellStart"/>
      <w:r w:rsidRPr="00DF6972">
        <w:t>avelumab</w:t>
      </w:r>
      <w:proofErr w:type="spellEnd"/>
      <w:r w:rsidRPr="00DF6972">
        <w:t xml:space="preserve"> </w:t>
      </w:r>
      <w:proofErr w:type="spellStart"/>
      <w:r w:rsidRPr="00DF6972">
        <w:t>IgE</w:t>
      </w:r>
      <w:proofErr w:type="spellEnd"/>
      <w:r w:rsidRPr="00DF6972">
        <w:t xml:space="preserve"> antibodies.</w:t>
      </w:r>
    </w:p>
    <w:p w14:paraId="7DF5099B" w14:textId="77777777" w:rsidR="00DF6972" w:rsidRPr="00073FEC" w:rsidRDefault="00DF6972" w:rsidP="00B6291C">
      <w:pPr>
        <w:pStyle w:val="Heading6"/>
      </w:pPr>
      <w:r w:rsidRPr="00B6291C">
        <w:t>Study</w:t>
      </w:r>
      <w:r>
        <w:t xml:space="preserve"> 002</w:t>
      </w:r>
    </w:p>
    <w:p w14:paraId="3C7E7911" w14:textId="3DEE4B83" w:rsidR="00DF6972" w:rsidRDefault="00273D46" w:rsidP="00B6291C">
      <w:pPr>
        <w:rPr>
          <w:lang w:eastAsia="ja-JP"/>
        </w:rPr>
      </w:pPr>
      <w:r>
        <w:rPr>
          <w:lang w:eastAsia="ja-JP"/>
        </w:rPr>
        <w:t xml:space="preserve">In the dose </w:t>
      </w:r>
      <w:r w:rsidR="00DF6972">
        <w:rPr>
          <w:lang w:eastAsia="ja-JP"/>
        </w:rPr>
        <w:t xml:space="preserve">escalation </w:t>
      </w:r>
      <w:r w:rsidR="00D2514A">
        <w:rPr>
          <w:lang w:eastAsia="ja-JP"/>
        </w:rPr>
        <w:t xml:space="preserve">phase, </w:t>
      </w:r>
      <w:r>
        <w:rPr>
          <w:lang w:eastAsia="ja-JP"/>
        </w:rPr>
        <w:t>1</w:t>
      </w:r>
      <w:r w:rsidR="00DF6972">
        <w:rPr>
          <w:lang w:eastAsia="ja-JP"/>
        </w:rPr>
        <w:t xml:space="preserve"> of 17 subjects (5.9%) developed anti-avelumab antibodies. In the expansion </w:t>
      </w:r>
      <w:r w:rsidR="00A63E68">
        <w:rPr>
          <w:lang w:eastAsia="ja-JP"/>
        </w:rPr>
        <w:t>phase</w:t>
      </w:r>
      <w:r w:rsidR="00D2514A">
        <w:rPr>
          <w:lang w:eastAsia="ja-JP"/>
        </w:rPr>
        <w:t>,</w:t>
      </w:r>
      <w:r w:rsidR="00A63E68">
        <w:rPr>
          <w:lang w:eastAsia="ja-JP"/>
        </w:rPr>
        <w:t xml:space="preserve"> 11</w:t>
      </w:r>
      <w:r w:rsidR="00DF6972">
        <w:rPr>
          <w:lang w:eastAsia="ja-JP"/>
        </w:rPr>
        <w:t xml:space="preserve"> of 31 tested subjects (6.5%) developed anti-avelumab antibodies.</w:t>
      </w:r>
    </w:p>
    <w:p w14:paraId="5AF76175" w14:textId="79D3A43F" w:rsidR="00273D46" w:rsidRDefault="00B70C5D" w:rsidP="00B6291C">
      <w:pPr>
        <w:pStyle w:val="TableTitle"/>
      </w:pPr>
      <w:r>
        <w:rPr>
          <w:lang w:eastAsia="ja-JP"/>
        </w:rPr>
        <w:lastRenderedPageBreak/>
        <w:t>Table 15</w:t>
      </w:r>
      <w:r w:rsidR="00273D46">
        <w:rPr>
          <w:lang w:eastAsia="ja-JP"/>
        </w:rPr>
        <w:t>:</w:t>
      </w:r>
      <w:r w:rsidR="00273D46">
        <w:t xml:space="preserve"> </w:t>
      </w:r>
      <w:r w:rsidR="00273D46" w:rsidRPr="00366BA0">
        <w:t>Integrated safety analysis</w:t>
      </w:r>
      <w:r w:rsidR="003E04E9">
        <w:t>;</w:t>
      </w:r>
      <w:r w:rsidR="00273D46">
        <w:t xml:space="preserve"> AEs </w:t>
      </w:r>
      <w:r w:rsidR="00273D46" w:rsidRPr="00B6291C">
        <w:t>according</w:t>
      </w:r>
      <w:r w:rsidR="00273D46">
        <w:t xml:space="preserve"> to immunogenicity status</w:t>
      </w:r>
    </w:p>
    <w:p w14:paraId="5F62AF00" w14:textId="77777777" w:rsidR="00273D46" w:rsidRPr="00273D46" w:rsidRDefault="00273D46" w:rsidP="00B6291C">
      <w:r>
        <w:rPr>
          <w:noProof/>
          <w:lang w:eastAsia="en-AU"/>
        </w:rPr>
        <w:drawing>
          <wp:inline distT="0" distB="0" distL="0" distR="0" wp14:anchorId="60E0E38C" wp14:editId="2E866267">
            <wp:extent cx="5188577" cy="5223053"/>
            <wp:effectExtent l="0" t="0" r="0" b="0"/>
            <wp:docPr id="14" name="Picture 14" descr="Table 15: Integrated safety analysis – AEs according to immunogenic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89945" cy="5224430"/>
                    </a:xfrm>
                    <a:prstGeom prst="rect">
                      <a:avLst/>
                    </a:prstGeom>
                  </pic:spPr>
                </pic:pic>
              </a:graphicData>
            </a:graphic>
          </wp:inline>
        </w:drawing>
      </w:r>
    </w:p>
    <w:p w14:paraId="67E0899C" w14:textId="77777777" w:rsidR="00DF6972" w:rsidRPr="00E7113A" w:rsidRDefault="00DF6972" w:rsidP="00B6291C">
      <w:pPr>
        <w:pStyle w:val="Heading5"/>
      </w:pPr>
      <w:r w:rsidRPr="00E7113A">
        <w:t xml:space="preserve">Serious skin </w:t>
      </w:r>
      <w:r w:rsidRPr="00B6291C">
        <w:t>reactions</w:t>
      </w:r>
    </w:p>
    <w:p w14:paraId="2C0C141E" w14:textId="475105EA" w:rsidR="00DF6972" w:rsidRDefault="00273D46" w:rsidP="00B6291C">
      <w:pPr>
        <w:rPr>
          <w:lang w:eastAsia="ja-JP"/>
        </w:rPr>
      </w:pPr>
      <w:bookmarkStart w:id="157" w:name="_Toc272414678"/>
      <w:bookmarkStart w:id="158" w:name="_Toc290888542"/>
      <w:bookmarkStart w:id="159" w:name="_Toc416353757"/>
      <w:bookmarkStart w:id="160" w:name="_Toc421005300"/>
      <w:bookmarkStart w:id="161" w:name="_Toc432079178"/>
      <w:bookmarkStart w:id="162" w:name="_Toc432080751"/>
      <w:r>
        <w:rPr>
          <w:lang w:eastAsia="ja-JP"/>
        </w:rPr>
        <w:t>Immune related</w:t>
      </w:r>
      <w:r w:rsidR="00DF6972">
        <w:rPr>
          <w:lang w:eastAsia="ja-JP"/>
        </w:rPr>
        <w:t xml:space="preserve"> AEs affecting the skin were common (see</w:t>
      </w:r>
      <w:r w:rsidR="00B70C5D">
        <w:rPr>
          <w:lang w:eastAsia="ja-JP"/>
        </w:rPr>
        <w:t xml:space="preserve"> Table 16</w:t>
      </w:r>
      <w:r w:rsidR="00DF6972">
        <w:rPr>
          <w:lang w:eastAsia="ja-JP"/>
        </w:rPr>
        <w:t xml:space="preserve">). However, serious dermatological AEs were uncommon. For example, in the expansion phase of </w:t>
      </w:r>
      <w:r w:rsidR="00655338">
        <w:rPr>
          <w:lang w:eastAsia="ja-JP"/>
        </w:rPr>
        <w:t>Stud</w:t>
      </w:r>
      <w:r w:rsidR="00DF6972">
        <w:rPr>
          <w:lang w:eastAsia="ja-JP"/>
        </w:rPr>
        <w:t>y 001 (</w:t>
      </w:r>
      <w:r w:rsidR="005811FF">
        <w:rPr>
          <w:lang w:eastAsia="ja-JP"/>
        </w:rPr>
        <w:t>n</w:t>
      </w:r>
      <w:r w:rsidR="0027724D">
        <w:rPr>
          <w:lang w:eastAsia="ja-JP"/>
        </w:rPr>
        <w:t> </w:t>
      </w:r>
      <w:r w:rsidR="005811FF">
        <w:rPr>
          <w:lang w:eastAsia="ja-JP"/>
        </w:rPr>
        <w:t xml:space="preserve">= </w:t>
      </w:r>
      <w:r w:rsidR="00DF6972">
        <w:rPr>
          <w:lang w:eastAsia="ja-JP"/>
        </w:rPr>
        <w:t>1437) serious skin reactions occurred in only 3 subjects (0.2%).</w:t>
      </w:r>
    </w:p>
    <w:p w14:paraId="666C92B2" w14:textId="77777777" w:rsidR="004A25E4" w:rsidRDefault="00DF6972" w:rsidP="00B6291C">
      <w:pPr>
        <w:rPr>
          <w:lang w:eastAsia="ja-JP"/>
        </w:rPr>
      </w:pPr>
      <w:r>
        <w:rPr>
          <w:lang w:eastAsia="ja-JP"/>
        </w:rPr>
        <w:t xml:space="preserve">One case of erythema multiforme occurred in the expansion phase of </w:t>
      </w:r>
      <w:r w:rsidR="00655338">
        <w:rPr>
          <w:lang w:eastAsia="ja-JP"/>
        </w:rPr>
        <w:t>Stud</w:t>
      </w:r>
      <w:r>
        <w:rPr>
          <w:lang w:eastAsia="ja-JP"/>
        </w:rPr>
        <w:t xml:space="preserve">y 001. The case was assessed as </w:t>
      </w:r>
      <w:r w:rsidR="00A63E68">
        <w:rPr>
          <w:lang w:eastAsia="ja-JP"/>
        </w:rPr>
        <w:t>Grade</w:t>
      </w:r>
      <w:r>
        <w:rPr>
          <w:lang w:eastAsia="ja-JP"/>
        </w:rPr>
        <w:t xml:space="preserve"> 2 and non-serious</w:t>
      </w:r>
      <w:r w:rsidR="004A25E4">
        <w:rPr>
          <w:lang w:eastAsia="ja-JP"/>
        </w:rPr>
        <w:t>.</w:t>
      </w:r>
    </w:p>
    <w:p w14:paraId="6E44A1A9" w14:textId="216313BB" w:rsidR="00273D46" w:rsidRDefault="00B70C5D" w:rsidP="00B6291C">
      <w:pPr>
        <w:pStyle w:val="TableTitle"/>
      </w:pPr>
      <w:r>
        <w:rPr>
          <w:lang w:eastAsia="ja-JP"/>
        </w:rPr>
        <w:lastRenderedPageBreak/>
        <w:t>Table 16:</w:t>
      </w:r>
      <w:r w:rsidR="00273D46">
        <w:rPr>
          <w:lang w:eastAsia="ja-JP"/>
        </w:rPr>
        <w:t xml:space="preserve"> </w:t>
      </w:r>
      <w:r w:rsidR="00273D46" w:rsidRPr="00B6291C">
        <w:t>Integrated</w:t>
      </w:r>
      <w:r w:rsidR="00273D46" w:rsidRPr="00366BA0">
        <w:t xml:space="preserve"> safety analysi</w:t>
      </w:r>
      <w:r w:rsidR="009B5588">
        <w:t xml:space="preserve">s; </w:t>
      </w:r>
      <w:r w:rsidR="00273D46">
        <w:t xml:space="preserve">Immune related </w:t>
      </w:r>
      <w:r w:rsidR="00273D46" w:rsidRPr="00736D33">
        <w:t>AEs</w:t>
      </w:r>
      <w:r w:rsidR="00273D46">
        <w:t xml:space="preserve"> (</w:t>
      </w:r>
      <w:proofErr w:type="spellStart"/>
      <w:r w:rsidR="00273D46">
        <w:t>irAEs</w:t>
      </w:r>
      <w:proofErr w:type="spellEnd"/>
      <w:r w:rsidR="00273D46">
        <w:t>)</w:t>
      </w:r>
    </w:p>
    <w:p w14:paraId="4A4FC5E2" w14:textId="625CD0A1" w:rsidR="0006071F" w:rsidRDefault="0006071F" w:rsidP="00B6291C">
      <w:r>
        <w:rPr>
          <w:noProof/>
          <w:lang w:eastAsia="en-AU"/>
        </w:rPr>
        <w:drawing>
          <wp:inline distT="0" distB="0" distL="0" distR="0" wp14:anchorId="1DBCA767" wp14:editId="10534F4A">
            <wp:extent cx="5257800" cy="7629525"/>
            <wp:effectExtent l="0" t="0" r="0" b="9525"/>
            <wp:docPr id="28" name="Picture 28" descr="Table 16: Integrated safety analysis; Immune related AEs (ir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57800" cy="7629525"/>
                    </a:xfrm>
                    <a:prstGeom prst="rect">
                      <a:avLst/>
                    </a:prstGeom>
                  </pic:spPr>
                </pic:pic>
              </a:graphicData>
            </a:graphic>
          </wp:inline>
        </w:drawing>
      </w:r>
    </w:p>
    <w:p w14:paraId="0294F833" w14:textId="77777777" w:rsidR="00DF6972" w:rsidRPr="00545B14" w:rsidRDefault="00DF6972" w:rsidP="00B6291C">
      <w:pPr>
        <w:pStyle w:val="Heading4"/>
      </w:pPr>
      <w:bookmarkStart w:id="163" w:name="_Toc272414686"/>
      <w:bookmarkStart w:id="164" w:name="_Ref273005527"/>
      <w:bookmarkStart w:id="165" w:name="_Toc290888550"/>
      <w:bookmarkStart w:id="166" w:name="_Toc416353765"/>
      <w:bookmarkStart w:id="167" w:name="_Toc421005308"/>
      <w:bookmarkStart w:id="168" w:name="_Toc432079179"/>
      <w:bookmarkStart w:id="169" w:name="_Toc432080752"/>
      <w:bookmarkStart w:id="170" w:name="_Toc478484963"/>
      <w:bookmarkEnd w:id="157"/>
      <w:bookmarkEnd w:id="158"/>
      <w:bookmarkEnd w:id="159"/>
      <w:bookmarkEnd w:id="160"/>
      <w:bookmarkEnd w:id="161"/>
      <w:bookmarkEnd w:id="162"/>
      <w:r w:rsidRPr="00545B14">
        <w:lastRenderedPageBreak/>
        <w:t>Other safety issues</w:t>
      </w:r>
      <w:bookmarkEnd w:id="163"/>
      <w:bookmarkEnd w:id="164"/>
      <w:bookmarkEnd w:id="165"/>
      <w:bookmarkEnd w:id="166"/>
      <w:bookmarkEnd w:id="167"/>
      <w:bookmarkEnd w:id="168"/>
      <w:bookmarkEnd w:id="169"/>
      <w:bookmarkEnd w:id="170"/>
    </w:p>
    <w:p w14:paraId="2802746D" w14:textId="77777777" w:rsidR="00DF6972" w:rsidRPr="00545B14" w:rsidRDefault="00DF6972" w:rsidP="00B6291C">
      <w:pPr>
        <w:pStyle w:val="Heading5"/>
      </w:pPr>
      <w:bookmarkStart w:id="171" w:name="_Toc241374322"/>
      <w:bookmarkStart w:id="172" w:name="_Ref272331212"/>
      <w:bookmarkStart w:id="173" w:name="_Toc272414687"/>
      <w:bookmarkStart w:id="174" w:name="_Toc290888551"/>
      <w:bookmarkStart w:id="175" w:name="_Toc416353766"/>
      <w:bookmarkStart w:id="176" w:name="_Toc421005309"/>
      <w:bookmarkStart w:id="177" w:name="_Toc432079180"/>
      <w:bookmarkStart w:id="178" w:name="_Toc432080753"/>
      <w:r w:rsidRPr="00545B14">
        <w:t xml:space="preserve">Safety in special </w:t>
      </w:r>
      <w:r w:rsidRPr="00B6291C">
        <w:t>populations</w:t>
      </w:r>
      <w:bookmarkEnd w:id="171"/>
      <w:bookmarkEnd w:id="172"/>
      <w:bookmarkEnd w:id="173"/>
      <w:bookmarkEnd w:id="174"/>
      <w:bookmarkEnd w:id="175"/>
      <w:bookmarkEnd w:id="176"/>
      <w:bookmarkEnd w:id="177"/>
      <w:bookmarkEnd w:id="178"/>
    </w:p>
    <w:p w14:paraId="01394069" w14:textId="77777777" w:rsidR="00DF6972" w:rsidRDefault="00DF6972" w:rsidP="00B6291C">
      <w:pPr>
        <w:rPr>
          <w:lang w:eastAsia="ja-JP"/>
        </w:rPr>
      </w:pPr>
      <w:r>
        <w:rPr>
          <w:lang w:eastAsia="ja-JP"/>
        </w:rPr>
        <w:t>In the Summary of Clinical Safety of the submission the sponsor presented analyses of adverse event data in various subgroups of patients, based on the integrated safety analysis (</w:t>
      </w:r>
      <w:r w:rsidR="005811FF">
        <w:rPr>
          <w:lang w:eastAsia="ja-JP"/>
        </w:rPr>
        <w:t xml:space="preserve">n = </w:t>
      </w:r>
      <w:r>
        <w:rPr>
          <w:lang w:eastAsia="ja-JP"/>
        </w:rPr>
        <w:t>1</w:t>
      </w:r>
      <w:r w:rsidR="00273D46">
        <w:rPr>
          <w:lang w:eastAsia="ja-JP"/>
        </w:rPr>
        <w:t>,</w:t>
      </w:r>
      <w:r>
        <w:rPr>
          <w:lang w:eastAsia="ja-JP"/>
        </w:rPr>
        <w:t>540).</w:t>
      </w:r>
      <w:r w:rsidR="005E1E9B">
        <w:rPr>
          <w:lang w:eastAsia="ja-JP"/>
        </w:rPr>
        <w:t xml:space="preserve"> </w:t>
      </w:r>
      <w:r>
        <w:rPr>
          <w:lang w:eastAsia="ja-JP"/>
        </w:rPr>
        <w:t>Findings of these analyses included the following:</w:t>
      </w:r>
    </w:p>
    <w:p w14:paraId="0C68B937" w14:textId="77777777" w:rsidR="00DF6972" w:rsidRPr="00DF6972" w:rsidRDefault="00DF6972" w:rsidP="00B6291C">
      <w:pPr>
        <w:pStyle w:val="ListBullet"/>
      </w:pPr>
      <w:r w:rsidRPr="00DF6972">
        <w:t xml:space="preserve">Increasing age was </w:t>
      </w:r>
      <w:r w:rsidRPr="00B6291C">
        <w:t>not</w:t>
      </w:r>
      <w:r w:rsidRPr="00DF6972">
        <w:t xml:space="preserve"> associate</w:t>
      </w:r>
      <w:r w:rsidR="00273D46">
        <w:t>d with an increased risk of AEs</w:t>
      </w:r>
    </w:p>
    <w:p w14:paraId="289627E2" w14:textId="77777777" w:rsidR="00DF6972" w:rsidRPr="00DF6972" w:rsidRDefault="00DF6972" w:rsidP="00DF6972">
      <w:pPr>
        <w:pStyle w:val="ListBullet"/>
      </w:pPr>
      <w:r w:rsidRPr="00DF6972">
        <w:t>The incidence of AEs was similar</w:t>
      </w:r>
      <w:r w:rsidR="00273D46">
        <w:t xml:space="preserve"> among male and female subjects</w:t>
      </w:r>
    </w:p>
    <w:p w14:paraId="2384D139" w14:textId="77777777" w:rsidR="00DF6972" w:rsidRPr="00DF6972" w:rsidRDefault="00DF6972" w:rsidP="00DF6972">
      <w:pPr>
        <w:pStyle w:val="ListBullet"/>
      </w:pPr>
      <w:r w:rsidRPr="00DF6972">
        <w:t>The incidence of AEs did no</w:t>
      </w:r>
      <w:r w:rsidR="00273D46">
        <w:t>t vary noticeably between races</w:t>
      </w:r>
    </w:p>
    <w:p w14:paraId="395B37CF" w14:textId="77777777" w:rsidR="00DF6972" w:rsidRPr="00DF6972" w:rsidRDefault="00DF6972" w:rsidP="00DF6972">
      <w:pPr>
        <w:pStyle w:val="ListBullet"/>
      </w:pPr>
      <w:r w:rsidRPr="00DF6972">
        <w:t xml:space="preserve">Subjects with high </w:t>
      </w:r>
      <w:r w:rsidR="00273D46">
        <w:t>body mass index</w:t>
      </w:r>
      <w:r w:rsidR="00273D46" w:rsidRPr="00DF6972">
        <w:t xml:space="preserve"> </w:t>
      </w:r>
      <w:r w:rsidR="00273D46">
        <w:t>(</w:t>
      </w:r>
      <w:r w:rsidRPr="00DF6972">
        <w:t>BMI</w:t>
      </w:r>
      <w:r w:rsidR="00273D46">
        <w:t>)</w:t>
      </w:r>
      <w:r w:rsidRPr="00DF6972">
        <w:t xml:space="preserve"> (≥ 25 kg/</w:t>
      </w:r>
      <w:r w:rsidR="00273D46" w:rsidRPr="00DF6972">
        <w:t>m</w:t>
      </w:r>
      <w:r w:rsidR="00273D46" w:rsidRPr="00273D46">
        <w:rPr>
          <w:vertAlign w:val="superscript"/>
        </w:rPr>
        <w:t>2</w:t>
      </w:r>
      <w:r w:rsidRPr="00DF6972">
        <w:t xml:space="preserve">) had a modestly increased risk of </w:t>
      </w:r>
      <w:r w:rsidR="00A63E68">
        <w:t>Grade</w:t>
      </w:r>
      <w:r w:rsidRPr="00DF6972">
        <w:t xml:space="preserve"> ≥ 3 AEs and</w:t>
      </w:r>
      <w:r w:rsidR="00273D46">
        <w:t xml:space="preserve"> AEs leading to discontinuation</w:t>
      </w:r>
    </w:p>
    <w:p w14:paraId="7B78D5F4" w14:textId="77777777" w:rsidR="00DF6972" w:rsidRDefault="00DF6972" w:rsidP="00DF6972">
      <w:pPr>
        <w:pStyle w:val="ListBullet"/>
        <w:rPr>
          <w:lang w:eastAsia="ja-JP"/>
        </w:rPr>
      </w:pPr>
      <w:r>
        <w:rPr>
          <w:lang w:eastAsia="ja-JP"/>
        </w:rPr>
        <w:t>AEs were more common in subjects with an ECOG PS of 1, compared t</w:t>
      </w:r>
      <w:r w:rsidR="00273D46">
        <w:rPr>
          <w:lang w:eastAsia="ja-JP"/>
        </w:rPr>
        <w:t>o subjects with an ECOG PS of 0</w:t>
      </w:r>
    </w:p>
    <w:p w14:paraId="65B4DA63" w14:textId="77777777" w:rsidR="00DF6972" w:rsidRDefault="00DF6972" w:rsidP="00B6291C">
      <w:pPr>
        <w:pStyle w:val="ListBullet"/>
        <w:rPr>
          <w:lang w:eastAsia="ja-JP"/>
        </w:rPr>
      </w:pPr>
      <w:r>
        <w:rPr>
          <w:lang w:eastAsia="ja-JP"/>
        </w:rPr>
        <w:t xml:space="preserve">The </w:t>
      </w:r>
      <w:r w:rsidRPr="00B6291C">
        <w:t>incidence</w:t>
      </w:r>
      <w:r>
        <w:rPr>
          <w:lang w:eastAsia="ja-JP"/>
        </w:rPr>
        <w:t xml:space="preserve"> of AEs did not appear to be increased in subjects w</w:t>
      </w:r>
      <w:r w:rsidR="00273D46">
        <w:rPr>
          <w:lang w:eastAsia="ja-JP"/>
        </w:rPr>
        <w:t>ith hepatic or renal impairment</w:t>
      </w:r>
    </w:p>
    <w:p w14:paraId="662B05C4" w14:textId="77777777" w:rsidR="00DF6972" w:rsidRDefault="00DF6972" w:rsidP="00B6291C">
      <w:pPr>
        <w:pStyle w:val="ListBullet"/>
        <w:rPr>
          <w:lang w:eastAsia="ja-JP"/>
        </w:rPr>
      </w:pPr>
      <w:r>
        <w:rPr>
          <w:lang w:eastAsia="ja-JP"/>
        </w:rPr>
        <w:t xml:space="preserve">AEs were less frequent in subjects treated with avelumab manufactured by process B, compared to </w:t>
      </w:r>
      <w:r w:rsidRPr="00B6291C">
        <w:t>process</w:t>
      </w:r>
      <w:r>
        <w:rPr>
          <w:lang w:eastAsia="ja-JP"/>
        </w:rPr>
        <w:t xml:space="preserve"> A. However, this may have been confounded due to longer treatment duration in subjects treated with process </w:t>
      </w:r>
      <w:proofErr w:type="gramStart"/>
      <w:r>
        <w:rPr>
          <w:lang w:eastAsia="ja-JP"/>
        </w:rPr>
        <w:t>A</w:t>
      </w:r>
      <w:proofErr w:type="gramEnd"/>
      <w:r>
        <w:rPr>
          <w:lang w:eastAsia="ja-JP"/>
        </w:rPr>
        <w:t xml:space="preserve"> product.</w:t>
      </w:r>
    </w:p>
    <w:p w14:paraId="1B892F6F" w14:textId="77777777" w:rsidR="00DF6972" w:rsidRPr="00DF6972" w:rsidRDefault="00DF6972" w:rsidP="00B6291C">
      <w:pPr>
        <w:pStyle w:val="Heading4"/>
      </w:pPr>
      <w:r w:rsidRPr="00DF6972">
        <w:t>Ongoing studies</w:t>
      </w:r>
    </w:p>
    <w:p w14:paraId="78ED7922" w14:textId="272CD72D" w:rsidR="00DF6972" w:rsidRPr="00490F6D" w:rsidRDefault="00DF6972" w:rsidP="00B6291C">
      <w:pPr>
        <w:rPr>
          <w:lang w:eastAsia="ja-JP"/>
        </w:rPr>
      </w:pPr>
      <w:r>
        <w:rPr>
          <w:lang w:eastAsia="ja-JP"/>
        </w:rPr>
        <w:t xml:space="preserve">In the Summary of Clinical Safety, the sponsor included details of </w:t>
      </w:r>
      <w:r w:rsidR="00CE012A">
        <w:t>serious adverse events</w:t>
      </w:r>
      <w:r w:rsidR="00CE012A">
        <w:rPr>
          <w:lang w:eastAsia="ja-JP"/>
        </w:rPr>
        <w:t xml:space="preserve"> (</w:t>
      </w:r>
      <w:r>
        <w:rPr>
          <w:lang w:eastAsia="ja-JP"/>
        </w:rPr>
        <w:t>SAE</w:t>
      </w:r>
      <w:r w:rsidR="00CE012A">
        <w:rPr>
          <w:lang w:eastAsia="ja-JP"/>
        </w:rPr>
        <w:t>)</w:t>
      </w:r>
      <w:r>
        <w:rPr>
          <w:lang w:eastAsia="ja-JP"/>
        </w:rPr>
        <w:t xml:space="preserve"> reported from ongoing studies of avelumab (up to 30 April 2016). The SAEs reported were generally consistent with those reported in the 3 studies included in this submission. There were two fatal SAEs which were assesse</w:t>
      </w:r>
      <w:r w:rsidR="00273D46">
        <w:rPr>
          <w:lang w:eastAsia="ja-JP"/>
        </w:rPr>
        <w:t>d as being related to avelumab;</w:t>
      </w:r>
      <w:r w:rsidR="005E1E9B">
        <w:rPr>
          <w:lang w:eastAsia="ja-JP"/>
        </w:rPr>
        <w:t xml:space="preserve"> </w:t>
      </w:r>
      <w:r>
        <w:rPr>
          <w:lang w:eastAsia="ja-JP"/>
        </w:rPr>
        <w:t>1 case of fatal pneumonitis and 1 case of fatal myocarditis.</w:t>
      </w:r>
    </w:p>
    <w:p w14:paraId="494CF5F4" w14:textId="77777777" w:rsidR="00605AD4" w:rsidRDefault="00605AD4" w:rsidP="00B6291C">
      <w:pPr>
        <w:pStyle w:val="Heading4"/>
      </w:pPr>
      <w:r w:rsidRPr="00B6291C">
        <w:t>Post</w:t>
      </w:r>
      <w:r w:rsidR="00273D46">
        <w:t>-</w:t>
      </w:r>
      <w:r w:rsidRPr="00605AD4">
        <w:t>marketing data</w:t>
      </w:r>
    </w:p>
    <w:p w14:paraId="28845AFF" w14:textId="77777777" w:rsidR="00500337" w:rsidRPr="00500337" w:rsidRDefault="00DF6972" w:rsidP="00B6291C">
      <w:pPr>
        <w:rPr>
          <w:lang w:eastAsia="ja-JP"/>
        </w:rPr>
      </w:pPr>
      <w:r>
        <w:rPr>
          <w:lang w:eastAsia="ja-JP"/>
        </w:rPr>
        <w:t>There were no post-marketing data included in the submission.</w:t>
      </w:r>
    </w:p>
    <w:p w14:paraId="78A3BBCE" w14:textId="77777777" w:rsidR="00605AD4" w:rsidRPr="00605AD4" w:rsidRDefault="00605AD4" w:rsidP="00B6291C">
      <w:pPr>
        <w:pStyle w:val="Heading4"/>
      </w:pPr>
      <w:r w:rsidRPr="00605AD4">
        <w:t xml:space="preserve">Evaluator’s </w:t>
      </w:r>
      <w:r w:rsidRPr="00B6291C">
        <w:t>conclusions</w:t>
      </w:r>
      <w:r w:rsidRPr="00605AD4">
        <w:t xml:space="preserve"> on safety</w:t>
      </w:r>
    </w:p>
    <w:p w14:paraId="3C68BF81" w14:textId="77777777" w:rsidR="00DF6972" w:rsidRDefault="00DF6972" w:rsidP="00DF6972">
      <w:pPr>
        <w:rPr>
          <w:lang w:eastAsia="ja-JP"/>
        </w:rPr>
      </w:pPr>
      <w:r>
        <w:rPr>
          <w:lang w:eastAsia="ja-JP"/>
        </w:rPr>
        <w:t xml:space="preserve">All three studies included in the submission were </w:t>
      </w:r>
      <w:r w:rsidR="00273D46">
        <w:rPr>
          <w:lang w:eastAsia="ja-JP"/>
        </w:rPr>
        <w:t>single arm</w:t>
      </w:r>
      <w:r>
        <w:rPr>
          <w:lang w:eastAsia="ja-JP"/>
        </w:rPr>
        <w:t xml:space="preserve">, non-comparative studies. An accurate assessment of the toxicity of avelumab based on such studies is difficult, as many of the reported adverse events may have been caused by the subjects’ disease rather than avelumab. All three studies enrolled subjects with advanced cancer and </w:t>
      </w:r>
      <w:r w:rsidR="00273D46">
        <w:rPr>
          <w:lang w:eastAsia="ja-JP"/>
        </w:rPr>
        <w:t>disease related</w:t>
      </w:r>
      <w:r>
        <w:rPr>
          <w:lang w:eastAsia="ja-JP"/>
        </w:rPr>
        <w:t xml:space="preserve"> events would be expect</w:t>
      </w:r>
      <w:r w:rsidRPr="00B6291C">
        <w:t>e</w:t>
      </w:r>
      <w:r>
        <w:rPr>
          <w:lang w:eastAsia="ja-JP"/>
        </w:rPr>
        <w:t>d to be common in such populations. The sponsor is currently undertaking several randomised controlled trials in other oncology indications, and the toxicity profile of the drug will become clearer when the results of these studies are available.</w:t>
      </w:r>
    </w:p>
    <w:p w14:paraId="19878079" w14:textId="77777777" w:rsidR="00DF6972" w:rsidRDefault="00273D46" w:rsidP="00DF6972">
      <w:pPr>
        <w:rPr>
          <w:lang w:eastAsia="ja-JP"/>
        </w:rPr>
      </w:pPr>
      <w:r>
        <w:rPr>
          <w:lang w:eastAsia="ja-JP"/>
        </w:rPr>
        <w:t xml:space="preserve">In the early dose </w:t>
      </w:r>
      <w:r w:rsidR="00DF6972">
        <w:rPr>
          <w:lang w:eastAsia="ja-JP"/>
        </w:rPr>
        <w:t xml:space="preserve">escalation </w:t>
      </w:r>
      <w:r w:rsidR="00655338">
        <w:rPr>
          <w:lang w:eastAsia="ja-JP"/>
        </w:rPr>
        <w:t>Stud</w:t>
      </w:r>
      <w:r>
        <w:rPr>
          <w:lang w:eastAsia="ja-JP"/>
        </w:rPr>
        <w:t>ies 001 and 002</w:t>
      </w:r>
      <w:r w:rsidR="00DF6972">
        <w:rPr>
          <w:lang w:eastAsia="ja-JP"/>
        </w:rPr>
        <w:t xml:space="preserve"> a maximum tolerated dose was not reached, after </w:t>
      </w:r>
      <w:r w:rsidR="00DF6972" w:rsidRPr="00B6291C">
        <w:t>s</w:t>
      </w:r>
      <w:r w:rsidR="00DF6972">
        <w:rPr>
          <w:lang w:eastAsia="ja-JP"/>
        </w:rPr>
        <w:t>tudying doses up to 20 mg/kg every 14 days. A relationship between increased dose and increased toxicity was not apparent in these studies.</w:t>
      </w:r>
    </w:p>
    <w:p w14:paraId="7E5855CE" w14:textId="77777777" w:rsidR="00DF6972" w:rsidRDefault="00DF6972" w:rsidP="00B6291C">
      <w:pPr>
        <w:rPr>
          <w:lang w:eastAsia="ja-JP"/>
        </w:rPr>
      </w:pPr>
      <w:r>
        <w:rPr>
          <w:lang w:eastAsia="ja-JP"/>
        </w:rPr>
        <w:t>Despite the lack of comparative studies, the toxicity of avelumab appears qualitatively similar to that of other agents which interrupt the PD-1/PD-L1 pathway (</w:t>
      </w:r>
      <w:r w:rsidR="004A25E4">
        <w:rPr>
          <w:lang w:eastAsia="ja-JP"/>
        </w:rPr>
        <w:t>for example</w:t>
      </w:r>
      <w:r>
        <w:rPr>
          <w:lang w:eastAsia="ja-JP"/>
        </w:rPr>
        <w:t xml:space="preserve"> pembrolizumab, nivolumab), with various autoimmune phenomena (</w:t>
      </w:r>
      <w:r w:rsidR="00273D46">
        <w:rPr>
          <w:lang w:eastAsia="ja-JP"/>
        </w:rPr>
        <w:t>immune related</w:t>
      </w:r>
      <w:r>
        <w:rPr>
          <w:lang w:eastAsia="ja-JP"/>
        </w:rPr>
        <w:t xml:space="preserve"> AEs) having been observed in the submitted studies. These include autoimmune hepatitis, colitis, pneumonitis, acute kidney injury, thyroid dysfunction, hypopituitarism, iritis and various skin disorders. Such events may be life-threatening with fatal cases of auto-immune hepatitis and pneumonitis having been observed in the submitted studies.</w:t>
      </w:r>
    </w:p>
    <w:p w14:paraId="1DE0B45A" w14:textId="77777777" w:rsidR="00DF6972" w:rsidRDefault="00DF6972" w:rsidP="00DF6972">
      <w:pPr>
        <w:rPr>
          <w:lang w:eastAsia="ja-JP"/>
        </w:rPr>
      </w:pPr>
      <w:r>
        <w:rPr>
          <w:lang w:eastAsia="ja-JP"/>
        </w:rPr>
        <w:lastRenderedPageBreak/>
        <w:t>Infusion reactions were also commonly observed, occurring in 24.1% of subjects. However, most of these were mild or moderate in severity</w:t>
      </w:r>
    </w:p>
    <w:p w14:paraId="5073A58E" w14:textId="77777777" w:rsidR="00DF6972" w:rsidRDefault="00DF6972" w:rsidP="00B6291C">
      <w:pPr>
        <w:rPr>
          <w:lang w:eastAsia="ja-JP"/>
        </w:rPr>
      </w:pPr>
      <w:r>
        <w:rPr>
          <w:lang w:eastAsia="ja-JP"/>
        </w:rPr>
        <w:t xml:space="preserve">Other events which occurred commonly in </w:t>
      </w:r>
      <w:r w:rsidR="00273D46">
        <w:rPr>
          <w:lang w:eastAsia="ja-JP"/>
        </w:rPr>
        <w:t>avelumab treated</w:t>
      </w:r>
      <w:r>
        <w:rPr>
          <w:lang w:eastAsia="ja-JP"/>
        </w:rPr>
        <w:t xml:space="preserve"> subjects, and were assessed by investigators as being treatment-related, included fatigue and asthenia, nausea and vomiting, constipation, decreased appetite, arthralgia, myalgia and headache.</w:t>
      </w:r>
    </w:p>
    <w:p w14:paraId="7FA30FA6" w14:textId="77777777" w:rsidR="00DF6972" w:rsidRDefault="00DF6972" w:rsidP="00273D46">
      <w:pPr>
        <w:rPr>
          <w:lang w:eastAsia="ja-JP"/>
        </w:rPr>
      </w:pPr>
      <w:r>
        <w:rPr>
          <w:lang w:eastAsia="ja-JP"/>
        </w:rPr>
        <w:t xml:space="preserve">Overall avelumab appeared to be associated with significant toxicity, 50.5% of subjects experiencing </w:t>
      </w:r>
      <w:r w:rsidR="00A63E68">
        <w:rPr>
          <w:lang w:eastAsia="ja-JP"/>
        </w:rPr>
        <w:t>Grade</w:t>
      </w:r>
      <w:r>
        <w:rPr>
          <w:lang w:eastAsia="ja-JP"/>
        </w:rPr>
        <w:t xml:space="preserve"> ≥ 3 AEs, and 39.9% experiencing serious AEs. However, according to the investigators, </w:t>
      </w:r>
      <w:r w:rsidR="00A63E68">
        <w:rPr>
          <w:lang w:eastAsia="ja-JP"/>
        </w:rPr>
        <w:t>Grade</w:t>
      </w:r>
      <w:r w:rsidR="00273D46">
        <w:rPr>
          <w:lang w:eastAsia="ja-JP"/>
        </w:rPr>
        <w:t xml:space="preserve"> ≥ 3 AEs that were treatment </w:t>
      </w:r>
      <w:r>
        <w:rPr>
          <w:lang w:eastAsia="ja-JP"/>
        </w:rPr>
        <w:t>related only occurred in 9.7% of subjects and serious AEs that were treatment-related only occu</w:t>
      </w:r>
      <w:r w:rsidRPr="00B6291C">
        <w:t>r</w:t>
      </w:r>
      <w:r>
        <w:rPr>
          <w:lang w:eastAsia="ja-JP"/>
        </w:rPr>
        <w:t>red in 5.8% of subjects. Overall the toxicity of avelumab appears manageable as only 12.7% of subjects had to discontinue treatment due to an AE.</w:t>
      </w:r>
    </w:p>
    <w:p w14:paraId="2D9C560E" w14:textId="77777777" w:rsidR="00DF6972" w:rsidRDefault="00DF6972" w:rsidP="00DF6972">
      <w:pPr>
        <w:rPr>
          <w:lang w:eastAsia="ja-JP"/>
        </w:rPr>
      </w:pPr>
      <w:r>
        <w:rPr>
          <w:lang w:eastAsia="ja-JP"/>
        </w:rPr>
        <w:t>Approximately 3.5% of subjects develop antibodies to avelumab during treatment. The development of antibodies was not associated with clinically significant changes in avelumab pharmacokinetics. However, there is some evidence that subjects who develop antibodies have a higher incidence of AEs.</w:t>
      </w:r>
    </w:p>
    <w:p w14:paraId="619E2F93" w14:textId="77777777" w:rsidR="00DF6972" w:rsidRDefault="00DF6972" w:rsidP="00DF6972">
      <w:pPr>
        <w:rPr>
          <w:lang w:eastAsia="ja-JP"/>
        </w:rPr>
      </w:pPr>
      <w:r>
        <w:rPr>
          <w:lang w:eastAsia="ja-JP"/>
        </w:rPr>
        <w:t>In all, the submitted studies provided safety data on approximately 1</w:t>
      </w:r>
      <w:r w:rsidR="00273D46">
        <w:rPr>
          <w:lang w:eastAsia="ja-JP"/>
        </w:rPr>
        <w:t>,</w:t>
      </w:r>
      <w:r>
        <w:rPr>
          <w:lang w:eastAsia="ja-JP"/>
        </w:rPr>
        <w:t xml:space="preserve">600 subjects. Although most of these subjects had malignancies other than </w:t>
      </w:r>
      <w:r w:rsidR="006C35DA">
        <w:rPr>
          <w:lang w:eastAsia="ja-JP"/>
        </w:rPr>
        <w:t>met</w:t>
      </w:r>
      <w:r w:rsidR="006C35DA" w:rsidRPr="00B6291C">
        <w:t>a</w:t>
      </w:r>
      <w:r w:rsidR="006C35DA">
        <w:rPr>
          <w:lang w:eastAsia="ja-JP"/>
        </w:rPr>
        <w:t>static MCC</w:t>
      </w:r>
      <w:r>
        <w:rPr>
          <w:lang w:eastAsia="ja-JP"/>
        </w:rPr>
        <w:t>, the extent of safety data is considered adequate, especially as avelumab is an orphan drug.</w:t>
      </w:r>
    </w:p>
    <w:p w14:paraId="0C94081A" w14:textId="77777777" w:rsidR="00605AD4" w:rsidRPr="00605AD4" w:rsidRDefault="00273D46" w:rsidP="00B6291C">
      <w:r>
        <w:rPr>
          <w:lang w:eastAsia="ja-JP"/>
        </w:rPr>
        <w:t>M</w:t>
      </w:r>
      <w:r w:rsidR="006C35DA">
        <w:rPr>
          <w:lang w:eastAsia="ja-JP"/>
        </w:rPr>
        <w:t>etastatic MCC</w:t>
      </w:r>
      <w:r w:rsidR="00DF6972">
        <w:rPr>
          <w:lang w:eastAsia="ja-JP"/>
        </w:rPr>
        <w:t xml:space="preserve"> is a life-threatening condition and su</w:t>
      </w:r>
      <w:r>
        <w:rPr>
          <w:lang w:eastAsia="ja-JP"/>
        </w:rPr>
        <w:t xml:space="preserve">bjects have a very limited life </w:t>
      </w:r>
      <w:r w:rsidR="00DF6972">
        <w:rPr>
          <w:lang w:eastAsia="ja-JP"/>
        </w:rPr>
        <w:t>expectancy. There are currently no established treatments for those patients who have failed chemotherapy. In such circumstances, the toxicity profile of avelumab as described above is considered acceptable.</w:t>
      </w:r>
    </w:p>
    <w:p w14:paraId="26077DED" w14:textId="353405A7" w:rsidR="00605AD4" w:rsidRPr="00605AD4" w:rsidRDefault="00605AD4" w:rsidP="00B6291C">
      <w:pPr>
        <w:pStyle w:val="Heading3"/>
        <w:rPr>
          <w:rFonts w:eastAsia="Cambria"/>
        </w:rPr>
      </w:pPr>
      <w:bookmarkStart w:id="179" w:name="_Toc8053067"/>
      <w:r w:rsidRPr="00605AD4">
        <w:rPr>
          <w:rFonts w:eastAsia="Cambria"/>
        </w:rPr>
        <w:t xml:space="preserve">First </w:t>
      </w:r>
      <w:r w:rsidR="00B6291C">
        <w:rPr>
          <w:rFonts w:eastAsia="Cambria"/>
        </w:rPr>
        <w:t>r</w:t>
      </w:r>
      <w:r w:rsidRPr="00605AD4">
        <w:rPr>
          <w:rFonts w:eastAsia="Cambria"/>
        </w:rPr>
        <w:t xml:space="preserve">ound </w:t>
      </w:r>
      <w:r w:rsidR="00B6291C">
        <w:rPr>
          <w:rFonts w:eastAsia="Cambria"/>
        </w:rPr>
        <w:t>b</w:t>
      </w:r>
      <w:r w:rsidRPr="00605AD4">
        <w:rPr>
          <w:rFonts w:eastAsia="Cambria"/>
        </w:rPr>
        <w:t>enefit-</w:t>
      </w:r>
      <w:r w:rsidR="00B6291C">
        <w:rPr>
          <w:rFonts w:eastAsia="Cambria"/>
        </w:rPr>
        <w:t>r</w:t>
      </w:r>
      <w:r w:rsidRPr="00605AD4">
        <w:rPr>
          <w:rFonts w:eastAsia="Cambria"/>
        </w:rPr>
        <w:t xml:space="preserve">isk </w:t>
      </w:r>
      <w:r w:rsidR="00B6291C" w:rsidRPr="00B6291C">
        <w:rPr>
          <w:rFonts w:eastAsia="Cambria"/>
        </w:rPr>
        <w:t>a</w:t>
      </w:r>
      <w:r w:rsidRPr="00B6291C">
        <w:rPr>
          <w:rFonts w:eastAsia="Cambria"/>
        </w:rPr>
        <w:t>ssessment</w:t>
      </w:r>
      <w:bookmarkEnd w:id="179"/>
    </w:p>
    <w:p w14:paraId="0876B495" w14:textId="77777777" w:rsidR="00605AD4" w:rsidRDefault="00B70C5D" w:rsidP="00B6291C">
      <w:pPr>
        <w:pStyle w:val="TableTitle"/>
      </w:pPr>
      <w:r>
        <w:t>Table 17</w:t>
      </w:r>
      <w:r w:rsidR="0068094B">
        <w:t xml:space="preserve">: </w:t>
      </w:r>
      <w:r w:rsidR="00605AD4" w:rsidRPr="00605AD4">
        <w:t>First round assessment of benefits</w:t>
      </w:r>
    </w:p>
    <w:tbl>
      <w:tblPr>
        <w:tblStyle w:val="TableTGAblue"/>
        <w:tblW w:w="0" w:type="auto"/>
        <w:tblLook w:val="04A0" w:firstRow="1" w:lastRow="0" w:firstColumn="1" w:lastColumn="0" w:noHBand="0" w:noVBand="1"/>
      </w:tblPr>
      <w:tblGrid>
        <w:gridCol w:w="4412"/>
        <w:gridCol w:w="4200"/>
      </w:tblGrid>
      <w:tr w:rsidR="00DF6972" w:rsidRPr="00C37A1D" w14:paraId="5BB1DC9C" w14:textId="77777777" w:rsidTr="00B6291C">
        <w:trPr>
          <w:cnfStyle w:val="100000000000" w:firstRow="1" w:lastRow="0" w:firstColumn="0" w:lastColumn="0" w:oddVBand="0" w:evenVBand="0" w:oddHBand="0" w:evenHBand="0" w:firstRowFirstColumn="0" w:firstRowLastColumn="0" w:lastRowFirstColumn="0" w:lastRowLastColumn="0"/>
        </w:trPr>
        <w:tc>
          <w:tcPr>
            <w:tcW w:w="4412" w:type="dxa"/>
          </w:tcPr>
          <w:p w14:paraId="4CFA768B" w14:textId="77777777" w:rsidR="00DF6972" w:rsidRPr="0013182D" w:rsidRDefault="00DF6972" w:rsidP="00B6291C">
            <w:r w:rsidRPr="0013182D">
              <w:t>Benefits</w:t>
            </w:r>
          </w:p>
        </w:tc>
        <w:tc>
          <w:tcPr>
            <w:tcW w:w="4200" w:type="dxa"/>
          </w:tcPr>
          <w:p w14:paraId="3FA29819" w14:textId="77777777" w:rsidR="00DF6972" w:rsidRPr="0013182D" w:rsidRDefault="00DF6972" w:rsidP="00B6291C">
            <w:r w:rsidRPr="0013182D">
              <w:t>Strengths and Uncertainties</w:t>
            </w:r>
          </w:p>
        </w:tc>
      </w:tr>
      <w:tr w:rsidR="00DF6972" w:rsidRPr="00C37A1D" w14:paraId="654C3C97" w14:textId="77777777" w:rsidTr="00B6291C">
        <w:tc>
          <w:tcPr>
            <w:tcW w:w="4412" w:type="dxa"/>
          </w:tcPr>
          <w:p w14:paraId="51692B3B" w14:textId="77777777" w:rsidR="00DF6972" w:rsidRPr="009B5588" w:rsidRDefault="00DF6972" w:rsidP="00B6291C">
            <w:r w:rsidRPr="009B5588">
              <w:t xml:space="preserve">Avelumab treatment of subjects with </w:t>
            </w:r>
            <w:r w:rsidR="006C35DA" w:rsidRPr="009B5588">
              <w:t>metastatic MCC</w:t>
            </w:r>
            <w:r w:rsidRPr="009B5588">
              <w:t xml:space="preserve"> resulted in objective tumour responses in </w:t>
            </w:r>
            <w:r w:rsidR="00273D46" w:rsidRPr="009B5588">
              <w:t>31.8% of subjects (95%CI: 21.9 to 43.1)</w:t>
            </w:r>
          </w:p>
          <w:p w14:paraId="4AAC591D" w14:textId="6D4FF81C" w:rsidR="00DF6972" w:rsidRPr="009B5588" w:rsidRDefault="00DF6972" w:rsidP="00B6291C">
            <w:r w:rsidRPr="009B5588">
              <w:t xml:space="preserve">Responses were durable with an estimated 92% of subjects remaining in response after 6 months. Based on comparison with historical data, responses are more durable than those obtained with </w:t>
            </w:r>
            <w:r w:rsidR="009B5588" w:rsidRPr="009B5588">
              <w:t xml:space="preserve">second </w:t>
            </w:r>
            <w:r w:rsidR="00273D46" w:rsidRPr="009B5588">
              <w:t>line chemotherapy</w:t>
            </w:r>
          </w:p>
          <w:p w14:paraId="50E38FD7" w14:textId="77777777" w:rsidR="00DF6972" w:rsidRPr="00B1164F" w:rsidRDefault="00DF6972" w:rsidP="00B6291C">
            <w:r w:rsidRPr="00685885">
              <w:t>Complete responses were achieved by 9.1% of subjects.</w:t>
            </w:r>
          </w:p>
        </w:tc>
        <w:tc>
          <w:tcPr>
            <w:tcW w:w="4200" w:type="dxa"/>
          </w:tcPr>
          <w:p w14:paraId="451210EF" w14:textId="77777777" w:rsidR="00DF6972" w:rsidRPr="00B6291C" w:rsidRDefault="00DF6972" w:rsidP="00B6291C">
            <w:pPr>
              <w:rPr>
                <w:b/>
                <w:sz w:val="20"/>
                <w:szCs w:val="20"/>
              </w:rPr>
            </w:pPr>
            <w:r w:rsidRPr="00B6291C">
              <w:rPr>
                <w:b/>
                <w:sz w:val="20"/>
                <w:szCs w:val="20"/>
              </w:rPr>
              <w:t>Strengths</w:t>
            </w:r>
          </w:p>
          <w:p w14:paraId="612074E4" w14:textId="77777777" w:rsidR="00DF6972" w:rsidRPr="009B5588" w:rsidRDefault="00273D46" w:rsidP="00B6291C">
            <w:r w:rsidRPr="009B5588">
              <w:t xml:space="preserve">The pivotal study was well </w:t>
            </w:r>
            <w:r w:rsidR="00DF6972" w:rsidRPr="009B5588">
              <w:t>designed and executed. The trial design complied with EMA guidelines adopted by the TGA.</w:t>
            </w:r>
          </w:p>
          <w:p w14:paraId="35314764" w14:textId="77777777" w:rsidR="00DF6972" w:rsidRPr="009B5588" w:rsidRDefault="00DF6972" w:rsidP="00B6291C">
            <w:r w:rsidRPr="009B5588">
              <w:t>Responses were observed in a wide variety of subgroups.</w:t>
            </w:r>
          </w:p>
          <w:p w14:paraId="3E8C84C5" w14:textId="77777777" w:rsidR="00DF6972" w:rsidRPr="00B6291C" w:rsidRDefault="00DF6972" w:rsidP="00B6291C">
            <w:pPr>
              <w:rPr>
                <w:b/>
                <w:sz w:val="20"/>
                <w:szCs w:val="20"/>
              </w:rPr>
            </w:pPr>
            <w:r w:rsidRPr="00B6291C">
              <w:rPr>
                <w:b/>
                <w:sz w:val="20"/>
                <w:szCs w:val="20"/>
              </w:rPr>
              <w:t>Uncertainties</w:t>
            </w:r>
          </w:p>
          <w:p w14:paraId="2FCE514F" w14:textId="77777777" w:rsidR="00DF6972" w:rsidRPr="009B5588" w:rsidRDefault="00DF6972" w:rsidP="00B6291C">
            <w:r w:rsidRPr="009B5588">
              <w:t>It is uncertain whether the observed benefits in terms of tumour response will translate into improvements in overall survival.</w:t>
            </w:r>
          </w:p>
          <w:p w14:paraId="19121214" w14:textId="77777777" w:rsidR="00DF6972" w:rsidRPr="00273D46" w:rsidRDefault="00DF6972" w:rsidP="00B6291C">
            <w:r w:rsidRPr="009B5588">
              <w:t>Efficacy has not been established in immunosuppressed subjects or those with poor performance status or significant organ dysfunction.</w:t>
            </w:r>
          </w:p>
        </w:tc>
      </w:tr>
    </w:tbl>
    <w:p w14:paraId="52BDB045" w14:textId="77777777" w:rsidR="00605AD4" w:rsidRDefault="00B70C5D" w:rsidP="00B6291C">
      <w:pPr>
        <w:pStyle w:val="TableTitle"/>
      </w:pPr>
      <w:r>
        <w:lastRenderedPageBreak/>
        <w:t>Table 18</w:t>
      </w:r>
      <w:r w:rsidR="0068094B">
        <w:t xml:space="preserve">: </w:t>
      </w:r>
      <w:r w:rsidR="00605AD4" w:rsidRPr="00605AD4">
        <w:t>First round assessment of risks</w:t>
      </w:r>
    </w:p>
    <w:tbl>
      <w:tblPr>
        <w:tblStyle w:val="TableTGAblue"/>
        <w:tblW w:w="0" w:type="auto"/>
        <w:tblLook w:val="04A0" w:firstRow="1" w:lastRow="0" w:firstColumn="1" w:lastColumn="0" w:noHBand="0" w:noVBand="1"/>
      </w:tblPr>
      <w:tblGrid>
        <w:gridCol w:w="4355"/>
        <w:gridCol w:w="4365"/>
      </w:tblGrid>
      <w:tr w:rsidR="00DF6972" w:rsidRPr="00C37A1D" w14:paraId="17E33318" w14:textId="77777777" w:rsidTr="00B6291C">
        <w:trPr>
          <w:cnfStyle w:val="100000000000" w:firstRow="1" w:lastRow="0" w:firstColumn="0" w:lastColumn="0" w:oddVBand="0" w:evenVBand="0" w:oddHBand="0" w:evenHBand="0" w:firstRowFirstColumn="0" w:firstRowLastColumn="0" w:lastRowFirstColumn="0" w:lastRowLastColumn="0"/>
        </w:trPr>
        <w:tc>
          <w:tcPr>
            <w:tcW w:w="4395" w:type="dxa"/>
          </w:tcPr>
          <w:p w14:paraId="52203AE8" w14:textId="77777777" w:rsidR="00DF6972" w:rsidRPr="0013182D" w:rsidRDefault="00DF6972" w:rsidP="00B6291C">
            <w:r w:rsidRPr="0013182D">
              <w:t>Risks</w:t>
            </w:r>
          </w:p>
        </w:tc>
        <w:tc>
          <w:tcPr>
            <w:tcW w:w="4394" w:type="dxa"/>
          </w:tcPr>
          <w:p w14:paraId="3980A914" w14:textId="77777777" w:rsidR="00DF6972" w:rsidRPr="0013182D" w:rsidRDefault="00DF6972" w:rsidP="00B6291C">
            <w:r w:rsidRPr="0013182D">
              <w:t>Strengths and Uncertainties</w:t>
            </w:r>
          </w:p>
        </w:tc>
      </w:tr>
      <w:tr w:rsidR="00DF6972" w:rsidRPr="00C37A1D" w14:paraId="48FCF5C4" w14:textId="77777777" w:rsidTr="00B6291C">
        <w:tc>
          <w:tcPr>
            <w:tcW w:w="4395" w:type="dxa"/>
          </w:tcPr>
          <w:p w14:paraId="022BD67F" w14:textId="2FEE3B77" w:rsidR="00DF6972" w:rsidRPr="009B5588" w:rsidRDefault="00DF6972" w:rsidP="00B6291C">
            <w:r w:rsidRPr="009B5588">
              <w:t xml:space="preserve">Immune mediated adverse drug reactions such as pneumonitis, colitis, </w:t>
            </w:r>
            <w:r w:rsidRPr="00B9688B">
              <w:rPr>
                <w:lang w:eastAsia="en-US"/>
              </w:rPr>
              <w:t>thyroid dysfunction, skin disorders, hepatitis etc</w:t>
            </w:r>
            <w:r w:rsidR="00B9688B">
              <w:rPr>
                <w:lang w:eastAsia="en-US"/>
              </w:rPr>
              <w:t>etera</w:t>
            </w:r>
            <w:r w:rsidRPr="00B9688B">
              <w:rPr>
                <w:lang w:eastAsia="en-US"/>
              </w:rPr>
              <w:t xml:space="preserve">. </w:t>
            </w:r>
            <w:r w:rsidR="00273D46" w:rsidRPr="009B5588">
              <w:t>Some such events may be fatal</w:t>
            </w:r>
          </w:p>
          <w:p w14:paraId="66D07125" w14:textId="77777777" w:rsidR="00DF6972" w:rsidRPr="00B6291C" w:rsidRDefault="00273D46" w:rsidP="00B6291C">
            <w:pPr>
              <w:rPr>
                <w:b/>
              </w:rPr>
            </w:pPr>
            <w:r w:rsidRPr="00B6291C">
              <w:rPr>
                <w:b/>
              </w:rPr>
              <w:t>Infusion reactions</w:t>
            </w:r>
          </w:p>
          <w:p w14:paraId="65917C52" w14:textId="77777777" w:rsidR="00DF6972" w:rsidRPr="009B5588" w:rsidRDefault="00DF6972" w:rsidP="00B6291C">
            <w:r w:rsidRPr="009B5588">
              <w:t>A variety of other adverse events such as fatigue, nausea, vomiting, constipation, decreased appetite, arthralgia, myalgia and headache</w:t>
            </w:r>
          </w:p>
          <w:p w14:paraId="195B4B81" w14:textId="77777777" w:rsidR="00DF6972" w:rsidRPr="00273D46" w:rsidRDefault="00DF6972" w:rsidP="00B6291C">
            <w:r w:rsidRPr="009B5588">
              <w:t>Anti-avelumab antibodies develop in 3.5% of treated subjects. There is some evidence to suggest that they may be associated</w:t>
            </w:r>
            <w:r w:rsidR="00273D46" w:rsidRPr="009B5588">
              <w:t xml:space="preserve"> with an increased risk of AEs.</w:t>
            </w:r>
          </w:p>
        </w:tc>
        <w:tc>
          <w:tcPr>
            <w:tcW w:w="4394" w:type="dxa"/>
          </w:tcPr>
          <w:p w14:paraId="5E6C550D" w14:textId="77777777" w:rsidR="00DF6972" w:rsidRPr="00B6291C" w:rsidRDefault="00DF6972" w:rsidP="00B6291C">
            <w:pPr>
              <w:rPr>
                <w:b/>
              </w:rPr>
            </w:pPr>
            <w:r w:rsidRPr="00B6291C">
              <w:rPr>
                <w:b/>
              </w:rPr>
              <w:t>Strengths</w:t>
            </w:r>
          </w:p>
          <w:p w14:paraId="7D07AE9B" w14:textId="77777777" w:rsidR="00DF6972" w:rsidRPr="00B9688B" w:rsidRDefault="00DF6972" w:rsidP="00B6291C">
            <w:r w:rsidRPr="009B5588">
              <w:t>The majority of AEs were mild or moderate in severity;</w:t>
            </w:r>
          </w:p>
          <w:p w14:paraId="2AC27D2D" w14:textId="77777777" w:rsidR="00DF6972" w:rsidRPr="00B9688B" w:rsidRDefault="00DF6972" w:rsidP="00B6291C">
            <w:r w:rsidRPr="009B5588">
              <w:t>Only 12.7% of subjects discontinued treatment due to AEs;</w:t>
            </w:r>
          </w:p>
          <w:p w14:paraId="0248ED69" w14:textId="77777777" w:rsidR="00DF6972" w:rsidRDefault="00DF6972" w:rsidP="00B6291C">
            <w:r w:rsidRPr="009B5588">
              <w:t>Anti-avelumab antibodies were not associated with any effects on the pharmacokinetics of the drug</w:t>
            </w:r>
            <w:r w:rsidR="00273D46" w:rsidRPr="00685885">
              <w:t>.</w:t>
            </w:r>
          </w:p>
          <w:p w14:paraId="42C88240" w14:textId="77777777" w:rsidR="00DF6972" w:rsidRPr="00B6291C" w:rsidRDefault="00DF6972" w:rsidP="00B6291C">
            <w:pPr>
              <w:rPr>
                <w:b/>
              </w:rPr>
            </w:pPr>
            <w:r w:rsidRPr="00B6291C">
              <w:rPr>
                <w:b/>
              </w:rPr>
              <w:t>Uncertainties</w:t>
            </w:r>
          </w:p>
          <w:p w14:paraId="2139B86E" w14:textId="616C1048" w:rsidR="00DF6972" w:rsidRPr="009B5588" w:rsidRDefault="00DF6972" w:rsidP="00B6291C">
            <w:r w:rsidRPr="009B5588">
              <w:t>The study excluded subjects with immunosuppression, organ transplant, ECOG</w:t>
            </w:r>
            <w:r w:rsidR="009B5588">
              <w:t> </w:t>
            </w:r>
            <w:r w:rsidRPr="009B5588">
              <w:t xml:space="preserve">PS </w:t>
            </w:r>
            <w:r w:rsidR="005E1E9B" w:rsidRPr="009B5588">
              <w:t xml:space="preserve">&gt; </w:t>
            </w:r>
            <w:r w:rsidRPr="009B5588">
              <w:t>1 and those with significant organ dysfunction. Safety in these subjects has not been established.</w:t>
            </w:r>
          </w:p>
          <w:p w14:paraId="3E652303" w14:textId="77777777" w:rsidR="00DF6972" w:rsidRPr="004C12F7" w:rsidRDefault="00DF6972" w:rsidP="00B6291C">
            <w:r w:rsidRPr="009B5588">
              <w:t>All studies in the submission were non-comparative. Characterisation of the toxicity profile of av</w:t>
            </w:r>
            <w:r w:rsidR="00273D46" w:rsidRPr="009B5588">
              <w:t>elumab may have been imprecise.</w:t>
            </w:r>
          </w:p>
        </w:tc>
      </w:tr>
    </w:tbl>
    <w:p w14:paraId="1AF92B69" w14:textId="77777777" w:rsidR="00605AD4" w:rsidRPr="00605AD4" w:rsidRDefault="00605AD4" w:rsidP="00B6291C">
      <w:pPr>
        <w:pStyle w:val="Heading4"/>
      </w:pPr>
      <w:r w:rsidRPr="00605AD4">
        <w:t xml:space="preserve">First </w:t>
      </w:r>
      <w:r w:rsidRPr="00B6291C">
        <w:t>round</w:t>
      </w:r>
      <w:r w:rsidRPr="00605AD4">
        <w:t xml:space="preserve"> assessment of benefit-risk balance</w:t>
      </w:r>
    </w:p>
    <w:p w14:paraId="640308ED" w14:textId="77777777" w:rsidR="00DF6972" w:rsidRDefault="00273D46" w:rsidP="00B6291C">
      <w:pPr>
        <w:rPr>
          <w:lang w:eastAsia="ja-JP"/>
        </w:rPr>
      </w:pPr>
      <w:r>
        <w:rPr>
          <w:lang w:eastAsia="ja-JP"/>
        </w:rPr>
        <w:t>M</w:t>
      </w:r>
      <w:r w:rsidR="006C35DA">
        <w:rPr>
          <w:lang w:eastAsia="ja-JP"/>
        </w:rPr>
        <w:t>etastatic MCC</w:t>
      </w:r>
      <w:r>
        <w:rPr>
          <w:lang w:eastAsia="ja-JP"/>
        </w:rPr>
        <w:t xml:space="preserve"> is a life </w:t>
      </w:r>
      <w:r w:rsidR="00DF6972">
        <w:rPr>
          <w:lang w:eastAsia="ja-JP"/>
        </w:rPr>
        <w:t xml:space="preserve">threatening condition, and patients have a very limited life-expectancy. There are currently no established treatments for those in whom </w:t>
      </w:r>
      <w:r>
        <w:rPr>
          <w:lang w:eastAsia="ja-JP"/>
        </w:rPr>
        <w:t>first</w:t>
      </w:r>
      <w:r w:rsidR="00DF6972">
        <w:rPr>
          <w:lang w:eastAsia="ja-JP"/>
        </w:rPr>
        <w:t xml:space="preserve"> line chemotherapy has failed. Although evidence for the efficacy of avelumab is limited to one study, with response rate as the primary endpoint, the efficacy results (particularly those for duration of response) are considered convincing.</w:t>
      </w:r>
    </w:p>
    <w:p w14:paraId="637A4543" w14:textId="77777777" w:rsidR="00DF6972" w:rsidRDefault="00DF6972" w:rsidP="00DF6972">
      <w:pPr>
        <w:rPr>
          <w:lang w:eastAsia="ja-JP"/>
        </w:rPr>
      </w:pPr>
      <w:r>
        <w:rPr>
          <w:lang w:eastAsia="ja-JP"/>
        </w:rPr>
        <w:t xml:space="preserve">Given the seriousness of </w:t>
      </w:r>
      <w:r w:rsidR="006C35DA">
        <w:rPr>
          <w:lang w:eastAsia="ja-JP"/>
        </w:rPr>
        <w:t>metastatic MCC</w:t>
      </w:r>
      <w:r>
        <w:rPr>
          <w:lang w:eastAsia="ja-JP"/>
        </w:rPr>
        <w:t>, the toxicity profile of avelumab is considered acceptable.</w:t>
      </w:r>
    </w:p>
    <w:p w14:paraId="64BFFB05" w14:textId="77777777" w:rsidR="00605AD4" w:rsidRPr="00605AD4" w:rsidRDefault="00DF6972" w:rsidP="00B6291C">
      <w:pPr>
        <w:rPr>
          <w:lang w:eastAsia="ja-JP"/>
        </w:rPr>
      </w:pPr>
      <w:r>
        <w:rPr>
          <w:lang w:eastAsia="ja-JP"/>
        </w:rPr>
        <w:t>Overall it is considered that the benefits of avelumab outweigh its risks, and the benefit-risk balance is positive.</w:t>
      </w:r>
    </w:p>
    <w:p w14:paraId="340DED4C" w14:textId="7CE6F127" w:rsidR="00605AD4" w:rsidRPr="00605AD4" w:rsidRDefault="00605AD4" w:rsidP="00B6291C">
      <w:pPr>
        <w:pStyle w:val="Heading3"/>
        <w:rPr>
          <w:rFonts w:eastAsia="Cambria"/>
        </w:rPr>
      </w:pPr>
      <w:bookmarkStart w:id="180" w:name="_Toc8053068"/>
      <w:r w:rsidRPr="00605AD4">
        <w:rPr>
          <w:rFonts w:eastAsia="Cambria"/>
        </w:rPr>
        <w:t xml:space="preserve">First </w:t>
      </w:r>
      <w:r w:rsidR="00B6291C">
        <w:rPr>
          <w:rFonts w:eastAsia="Cambria"/>
        </w:rPr>
        <w:t>r</w:t>
      </w:r>
      <w:r w:rsidRPr="00605AD4">
        <w:rPr>
          <w:rFonts w:eastAsia="Cambria"/>
        </w:rPr>
        <w:t xml:space="preserve">ound </w:t>
      </w:r>
      <w:r w:rsidR="00B6291C">
        <w:rPr>
          <w:rFonts w:eastAsia="Cambria"/>
        </w:rPr>
        <w:t>r</w:t>
      </w:r>
      <w:r w:rsidRPr="00605AD4">
        <w:rPr>
          <w:rFonts w:eastAsia="Cambria"/>
        </w:rPr>
        <w:t xml:space="preserve">ecommendation </w:t>
      </w:r>
      <w:r w:rsidR="00B6291C">
        <w:rPr>
          <w:rFonts w:eastAsia="Cambria"/>
        </w:rPr>
        <w:t>r</w:t>
      </w:r>
      <w:r w:rsidRPr="00605AD4">
        <w:rPr>
          <w:rFonts w:eastAsia="Cambria"/>
        </w:rPr>
        <w:t xml:space="preserve">egarding </w:t>
      </w:r>
      <w:r w:rsidR="00B6291C" w:rsidRPr="00B6291C">
        <w:rPr>
          <w:rFonts w:eastAsia="Cambria"/>
        </w:rPr>
        <w:t>a</w:t>
      </w:r>
      <w:r w:rsidRPr="00B6291C">
        <w:rPr>
          <w:rFonts w:eastAsia="Cambria"/>
        </w:rPr>
        <w:t>uthorisation</w:t>
      </w:r>
      <w:bookmarkEnd w:id="180"/>
    </w:p>
    <w:p w14:paraId="15554777" w14:textId="77777777" w:rsidR="00E437AC" w:rsidRDefault="00E437AC" w:rsidP="00B6291C">
      <w:pPr>
        <w:rPr>
          <w:lang w:eastAsia="ja-JP"/>
        </w:rPr>
      </w:pPr>
      <w:r>
        <w:rPr>
          <w:lang w:eastAsia="ja-JP"/>
        </w:rPr>
        <w:t>It is recommended that the application be approved.</w:t>
      </w:r>
    </w:p>
    <w:p w14:paraId="03A36552" w14:textId="77777777" w:rsidR="00E437AC" w:rsidRDefault="00E437AC" w:rsidP="00B6291C">
      <w:pPr>
        <w:rPr>
          <w:lang w:eastAsia="ja-JP"/>
        </w:rPr>
      </w:pPr>
      <w:r>
        <w:rPr>
          <w:lang w:eastAsia="ja-JP"/>
        </w:rPr>
        <w:t>The indication proposed is as follows:</w:t>
      </w:r>
    </w:p>
    <w:p w14:paraId="2E729A09" w14:textId="77777777" w:rsidR="00E437AC" w:rsidRPr="00B75085" w:rsidRDefault="004A25E4" w:rsidP="00E437AC">
      <w:pPr>
        <w:ind w:left="426"/>
        <w:rPr>
          <w:i/>
          <w:lang w:eastAsia="ja-JP"/>
        </w:rPr>
      </w:pPr>
      <w:proofErr w:type="gramStart"/>
      <w:r>
        <w:rPr>
          <w:i/>
          <w:lang w:eastAsia="ja-JP"/>
        </w:rPr>
        <w:t>‘</w:t>
      </w:r>
      <w:r w:rsidR="00E437AC" w:rsidRPr="00B75085">
        <w:rPr>
          <w:i/>
          <w:lang w:eastAsia="ja-JP"/>
        </w:rPr>
        <w:t>... for the treatment of patients with metastatic Merkel Cell Carcinoma (</w:t>
      </w:r>
      <w:r w:rsidR="006C35DA">
        <w:rPr>
          <w:i/>
          <w:lang w:eastAsia="ja-JP"/>
        </w:rPr>
        <w:t>metastatic MCC</w:t>
      </w:r>
      <w:r w:rsidR="00E437AC" w:rsidRPr="00B75085">
        <w:rPr>
          <w:i/>
          <w:lang w:eastAsia="ja-JP"/>
        </w:rPr>
        <w:t>) whose disease has progressed after receiving at least one prior therapy.</w:t>
      </w:r>
      <w:r>
        <w:rPr>
          <w:i/>
          <w:lang w:eastAsia="ja-JP"/>
        </w:rPr>
        <w:t>’</w:t>
      </w:r>
      <w:proofErr w:type="gramEnd"/>
    </w:p>
    <w:p w14:paraId="7D8C1B4A" w14:textId="541743F2" w:rsidR="00E437AC" w:rsidRDefault="00E437AC" w:rsidP="00B6291C">
      <w:pPr>
        <w:rPr>
          <w:lang w:eastAsia="ja-JP"/>
        </w:rPr>
      </w:pPr>
      <w:r>
        <w:rPr>
          <w:lang w:eastAsia="ja-JP"/>
        </w:rPr>
        <w:t xml:space="preserve">If the application is approved it is recommended that the indication be amended </w:t>
      </w:r>
      <w:r w:rsidR="00273D46">
        <w:rPr>
          <w:lang w:eastAsia="ja-JP"/>
        </w:rPr>
        <w:t>(change in bold)</w:t>
      </w:r>
      <w:r w:rsidR="003E04E9">
        <w:rPr>
          <w:lang w:eastAsia="ja-JP"/>
        </w:rPr>
        <w:t xml:space="preserve"> </w:t>
      </w:r>
      <w:r>
        <w:rPr>
          <w:lang w:eastAsia="ja-JP"/>
        </w:rPr>
        <w:t xml:space="preserve">as follows to accurately reflect the population of subjects enrolled in </w:t>
      </w:r>
      <w:r w:rsidR="00655338">
        <w:rPr>
          <w:lang w:eastAsia="ja-JP"/>
        </w:rPr>
        <w:t>Stud</w:t>
      </w:r>
      <w:r>
        <w:rPr>
          <w:lang w:eastAsia="ja-JP"/>
        </w:rPr>
        <w:t>y 003:</w:t>
      </w:r>
    </w:p>
    <w:p w14:paraId="02FFE5CA" w14:textId="77777777" w:rsidR="00605AD4" w:rsidRPr="0068094B" w:rsidRDefault="004A25E4" w:rsidP="0068094B">
      <w:pPr>
        <w:ind w:left="426"/>
        <w:rPr>
          <w:i/>
          <w:lang w:eastAsia="ja-JP"/>
        </w:rPr>
      </w:pPr>
      <w:proofErr w:type="gramStart"/>
      <w:r>
        <w:rPr>
          <w:i/>
          <w:lang w:eastAsia="ja-JP"/>
        </w:rPr>
        <w:t>‘</w:t>
      </w:r>
      <w:r w:rsidR="00E437AC" w:rsidRPr="00B75085">
        <w:rPr>
          <w:i/>
          <w:lang w:eastAsia="ja-JP"/>
        </w:rPr>
        <w:t>... for the treatment of patients with metastatic Merkel Cell Carcinoma (</w:t>
      </w:r>
      <w:r w:rsidR="006C35DA">
        <w:rPr>
          <w:i/>
          <w:lang w:eastAsia="ja-JP"/>
        </w:rPr>
        <w:t>metastatic MCC</w:t>
      </w:r>
      <w:r w:rsidR="00E437AC" w:rsidRPr="00B75085">
        <w:rPr>
          <w:i/>
          <w:lang w:eastAsia="ja-JP"/>
        </w:rPr>
        <w:t xml:space="preserve">) whose disease has progressed after receiving </w:t>
      </w:r>
      <w:r w:rsidR="006C35DA" w:rsidRPr="00273D46">
        <w:rPr>
          <w:b/>
          <w:i/>
          <w:lang w:eastAsia="ja-JP"/>
        </w:rPr>
        <w:t>first line</w:t>
      </w:r>
      <w:r w:rsidR="00E437AC" w:rsidRPr="00273D46">
        <w:rPr>
          <w:b/>
          <w:i/>
          <w:lang w:eastAsia="ja-JP"/>
        </w:rPr>
        <w:t xml:space="preserve"> chemotherapy</w:t>
      </w:r>
      <w:r w:rsidR="00E437AC" w:rsidRPr="00B75085">
        <w:rPr>
          <w:i/>
          <w:lang w:eastAsia="ja-JP"/>
        </w:rPr>
        <w:t>.</w:t>
      </w:r>
      <w:r>
        <w:rPr>
          <w:i/>
          <w:lang w:eastAsia="ja-JP"/>
        </w:rPr>
        <w:t>’</w:t>
      </w:r>
      <w:proofErr w:type="gramEnd"/>
    </w:p>
    <w:p w14:paraId="2E1F2C42" w14:textId="1AD3FB40" w:rsidR="002F5122" w:rsidRPr="0068094B" w:rsidRDefault="002F5122" w:rsidP="00B6291C">
      <w:pPr>
        <w:pStyle w:val="Heading3"/>
      </w:pPr>
      <w:bookmarkStart w:id="181" w:name="_Toc8053069"/>
      <w:r w:rsidRPr="0068094B">
        <w:lastRenderedPageBreak/>
        <w:t xml:space="preserve">Clinical </w:t>
      </w:r>
      <w:r w:rsidR="00B6291C" w:rsidRPr="00B6291C">
        <w:t>q</w:t>
      </w:r>
      <w:r w:rsidRPr="00B6291C">
        <w:t>uestions</w:t>
      </w:r>
      <w:bookmarkEnd w:id="181"/>
    </w:p>
    <w:p w14:paraId="7CF1AA74" w14:textId="77777777" w:rsidR="00E437AC" w:rsidRPr="00E01445" w:rsidRDefault="00E437AC" w:rsidP="00B6291C">
      <w:pPr>
        <w:pStyle w:val="Heading4"/>
      </w:pPr>
      <w:bookmarkStart w:id="182" w:name="_Toc478484976"/>
      <w:r w:rsidRPr="00B6291C">
        <w:t>Efficacy</w:t>
      </w:r>
      <w:bookmarkEnd w:id="182"/>
    </w:p>
    <w:p w14:paraId="5E252A1C" w14:textId="77777777" w:rsidR="00E437AC" w:rsidRPr="00E437AC" w:rsidRDefault="00E437AC" w:rsidP="00E437AC">
      <w:pPr>
        <w:pStyle w:val="Numberbullet0"/>
        <w:numPr>
          <w:ilvl w:val="0"/>
          <w:numId w:val="26"/>
        </w:numPr>
      </w:pPr>
      <w:r w:rsidRPr="00E437AC">
        <w:t>The protocol for the pivotal study indicated that avelumab should be diluted in 0.9% saline prior to infusion. Please provide details of the instructions given to investigators regarding the volume of 0.9% saline to be used.</w:t>
      </w:r>
    </w:p>
    <w:p w14:paraId="52CD6BAF" w14:textId="77777777" w:rsidR="00E437AC" w:rsidRPr="00E437AC" w:rsidRDefault="00E437AC" w:rsidP="00E437AC">
      <w:pPr>
        <w:pStyle w:val="Numberbullet0"/>
      </w:pPr>
      <w:r w:rsidRPr="00E437AC">
        <w:t>In the pivotal study, 18 subjects were excluded from the per-protocol population because they did not have at least one post-baseline tumour assessment by the time of data cut-off, leaving 70 subjects who did have an assessment. Table 16 of the study report indicates that 74 subjects had ≥ 1 post-baseline assessment. Please clarify.</w:t>
      </w:r>
    </w:p>
    <w:p w14:paraId="2DA8E78D" w14:textId="77777777" w:rsidR="00E437AC" w:rsidRDefault="00E437AC" w:rsidP="00E437AC">
      <w:pPr>
        <w:pStyle w:val="Numberbullet0"/>
        <w:rPr>
          <w:lang w:eastAsia="ja-JP"/>
        </w:rPr>
      </w:pPr>
      <w:r w:rsidRPr="00DE6D0F">
        <w:rPr>
          <w:lang w:eastAsia="ja-JP"/>
        </w:rPr>
        <w:t>In the pivotal study, tumour PD-L1 expr</w:t>
      </w:r>
      <w:r w:rsidR="00273D46">
        <w:rPr>
          <w:lang w:eastAsia="ja-JP"/>
        </w:rPr>
        <w:t xml:space="preserve">ession was assessed in formalin fixed, paraffin </w:t>
      </w:r>
      <w:r w:rsidRPr="00DE6D0F">
        <w:rPr>
          <w:lang w:eastAsia="ja-JP"/>
        </w:rPr>
        <w:t xml:space="preserve">embedded biopsy samples using an </w:t>
      </w:r>
      <w:r w:rsidR="00962FB4">
        <w:t>immunohistochem</w:t>
      </w:r>
      <w:r w:rsidR="0086289D">
        <w:t>istry</w:t>
      </w:r>
      <w:r w:rsidRPr="00DE6D0F">
        <w:rPr>
          <w:lang w:eastAsia="ja-JP"/>
        </w:rPr>
        <w:t xml:space="preserve"> assay with an anti-PD-L1 antibody (clone 7310). Please advise whether </w:t>
      </w:r>
      <w:r>
        <w:rPr>
          <w:lang w:eastAsia="ja-JP"/>
        </w:rPr>
        <w:t xml:space="preserve">it is planned to make </w:t>
      </w:r>
      <w:r w:rsidRPr="00DE6D0F">
        <w:rPr>
          <w:lang w:eastAsia="ja-JP"/>
        </w:rPr>
        <w:t xml:space="preserve">this </w:t>
      </w:r>
      <w:r>
        <w:rPr>
          <w:lang w:eastAsia="ja-JP"/>
        </w:rPr>
        <w:t>assay</w:t>
      </w:r>
      <w:r w:rsidRPr="00DE6D0F">
        <w:rPr>
          <w:lang w:eastAsia="ja-JP"/>
        </w:rPr>
        <w:t xml:space="preserve"> commercially available.</w:t>
      </w:r>
    </w:p>
    <w:p w14:paraId="43C7D0EF" w14:textId="77777777" w:rsidR="002F5122" w:rsidRPr="002F5122" w:rsidRDefault="00E437AC" w:rsidP="002F5122">
      <w:pPr>
        <w:pStyle w:val="Numberbullet0"/>
        <w:rPr>
          <w:lang w:eastAsia="ja-JP"/>
        </w:rPr>
      </w:pPr>
      <w:r>
        <w:rPr>
          <w:lang w:eastAsia="ja-JP"/>
        </w:rPr>
        <w:t xml:space="preserve">For the pivotal study, please provide the results of the </w:t>
      </w:r>
      <w:r w:rsidRPr="004E2C04">
        <w:rPr>
          <w:lang w:eastAsia="ja-JP"/>
        </w:rPr>
        <w:t xml:space="preserve">exploratory </w:t>
      </w:r>
      <w:r>
        <w:rPr>
          <w:lang w:eastAsia="ja-JP"/>
        </w:rPr>
        <w:t xml:space="preserve">efficacy </w:t>
      </w:r>
      <w:r w:rsidRPr="004E2C04">
        <w:rPr>
          <w:lang w:eastAsia="ja-JP"/>
        </w:rPr>
        <w:t xml:space="preserve">analysis </w:t>
      </w:r>
      <w:r>
        <w:rPr>
          <w:lang w:eastAsia="ja-JP"/>
        </w:rPr>
        <w:t>that was to</w:t>
      </w:r>
      <w:r w:rsidRPr="004E2C04">
        <w:rPr>
          <w:lang w:eastAsia="ja-JP"/>
        </w:rPr>
        <w:t xml:space="preserve"> be conducted 12 months after the accrual of the last subject.</w:t>
      </w:r>
    </w:p>
    <w:p w14:paraId="63A729F4" w14:textId="20F4DB42" w:rsidR="00605AD4" w:rsidRPr="00605AD4" w:rsidRDefault="00605AD4" w:rsidP="00B6291C">
      <w:pPr>
        <w:pStyle w:val="Heading3"/>
        <w:rPr>
          <w:rFonts w:eastAsia="Cambria"/>
        </w:rPr>
      </w:pPr>
      <w:bookmarkStart w:id="183" w:name="_Toc8053070"/>
      <w:r w:rsidRPr="00605AD4">
        <w:rPr>
          <w:rFonts w:eastAsia="Cambria"/>
        </w:rPr>
        <w:t xml:space="preserve">Second </w:t>
      </w:r>
      <w:r w:rsidR="00B6291C">
        <w:rPr>
          <w:rFonts w:eastAsia="Cambria"/>
        </w:rPr>
        <w:t>r</w:t>
      </w:r>
      <w:r w:rsidRPr="00605AD4">
        <w:rPr>
          <w:rFonts w:eastAsia="Cambria"/>
        </w:rPr>
        <w:t xml:space="preserve">ound </w:t>
      </w:r>
      <w:r w:rsidR="00B6291C" w:rsidRPr="00B6291C">
        <w:rPr>
          <w:rFonts w:eastAsia="Cambria"/>
        </w:rPr>
        <w:t>e</w:t>
      </w:r>
      <w:r w:rsidRPr="00B6291C">
        <w:rPr>
          <w:rFonts w:eastAsia="Cambria"/>
        </w:rPr>
        <w:t>valuation</w:t>
      </w:r>
      <w:bookmarkEnd w:id="183"/>
    </w:p>
    <w:p w14:paraId="1F015A46" w14:textId="77777777" w:rsidR="00E437AC" w:rsidRDefault="00E437AC" w:rsidP="00B6291C">
      <w:pPr>
        <w:rPr>
          <w:lang w:eastAsia="ja-JP"/>
        </w:rPr>
      </w:pPr>
      <w:r>
        <w:rPr>
          <w:lang w:eastAsia="ja-JP"/>
        </w:rPr>
        <w:t>Q</w:t>
      </w:r>
      <w:r w:rsidR="0068094B">
        <w:rPr>
          <w:lang w:eastAsia="ja-JP"/>
        </w:rPr>
        <w:t xml:space="preserve">uestion </w:t>
      </w:r>
      <w:r>
        <w:rPr>
          <w:lang w:eastAsia="ja-JP"/>
        </w:rPr>
        <w:t>1: clarified by sponsor; response acceptable.</w:t>
      </w:r>
    </w:p>
    <w:p w14:paraId="11F0E0BC" w14:textId="77777777" w:rsidR="00E437AC" w:rsidRDefault="00E437AC" w:rsidP="00E437AC">
      <w:pPr>
        <w:rPr>
          <w:lang w:eastAsia="ja-JP"/>
        </w:rPr>
      </w:pPr>
      <w:r>
        <w:rPr>
          <w:lang w:eastAsia="ja-JP"/>
        </w:rPr>
        <w:t>Q</w:t>
      </w:r>
      <w:r w:rsidR="0068094B">
        <w:rPr>
          <w:lang w:eastAsia="ja-JP"/>
        </w:rPr>
        <w:t xml:space="preserve">uestion </w:t>
      </w:r>
      <w:r>
        <w:rPr>
          <w:lang w:eastAsia="ja-JP"/>
        </w:rPr>
        <w:t>2: clarified by sponsor; response acceptable.</w:t>
      </w:r>
    </w:p>
    <w:p w14:paraId="60EA53B4" w14:textId="77777777" w:rsidR="00E437AC" w:rsidRDefault="00E437AC" w:rsidP="00E437AC">
      <w:pPr>
        <w:rPr>
          <w:lang w:eastAsia="ja-JP"/>
        </w:rPr>
      </w:pPr>
      <w:r>
        <w:rPr>
          <w:lang w:eastAsia="ja-JP"/>
        </w:rPr>
        <w:t>Q</w:t>
      </w:r>
      <w:r w:rsidR="0068094B">
        <w:rPr>
          <w:lang w:eastAsia="ja-JP"/>
        </w:rPr>
        <w:t xml:space="preserve">uestion </w:t>
      </w:r>
      <w:r>
        <w:rPr>
          <w:lang w:eastAsia="ja-JP"/>
        </w:rPr>
        <w:t>3: clarified by sponsor; response acceptable.</w:t>
      </w:r>
    </w:p>
    <w:p w14:paraId="6D89CF4F" w14:textId="77777777" w:rsidR="009B5588" w:rsidRDefault="00E437AC" w:rsidP="00B6291C">
      <w:pPr>
        <w:rPr>
          <w:lang w:eastAsia="ja-JP"/>
        </w:rPr>
      </w:pPr>
      <w:r>
        <w:rPr>
          <w:lang w:eastAsia="ja-JP"/>
        </w:rPr>
        <w:t>Q</w:t>
      </w:r>
      <w:r w:rsidR="0068094B">
        <w:rPr>
          <w:lang w:eastAsia="ja-JP"/>
        </w:rPr>
        <w:t>uestion</w:t>
      </w:r>
      <w:r>
        <w:rPr>
          <w:lang w:eastAsia="ja-JP"/>
        </w:rPr>
        <w:t>4:</w:t>
      </w:r>
    </w:p>
    <w:p w14:paraId="1899FE34" w14:textId="09B98203" w:rsidR="0068094B" w:rsidRPr="00B9688B" w:rsidRDefault="009B5588" w:rsidP="00B9688B">
      <w:pPr>
        <w:ind w:left="720"/>
        <w:rPr>
          <w:i/>
          <w:lang w:eastAsia="ja-JP"/>
        </w:rPr>
      </w:pPr>
      <w:r>
        <w:rPr>
          <w:lang w:eastAsia="ja-JP"/>
        </w:rPr>
        <w:t>‘</w:t>
      </w:r>
      <w:r w:rsidR="0068094B" w:rsidRPr="00B9688B">
        <w:rPr>
          <w:i/>
          <w:lang w:eastAsia="ja-JP"/>
        </w:rPr>
        <w:t>For the pivotal study, please provide the results of the exploratory efficacy analysis that was to be conducted 12 months after the accrual of the last subject.</w:t>
      </w:r>
      <w:r>
        <w:rPr>
          <w:i/>
          <w:lang w:eastAsia="ja-JP"/>
        </w:rPr>
        <w:t>’</w:t>
      </w:r>
    </w:p>
    <w:p w14:paraId="02108068" w14:textId="3A48D0A1" w:rsidR="00E437AC" w:rsidRDefault="0068094B" w:rsidP="00B6291C">
      <w:pPr>
        <w:rPr>
          <w:lang w:eastAsia="ja-JP"/>
        </w:rPr>
      </w:pPr>
      <w:r w:rsidRPr="00B9688B">
        <w:rPr>
          <w:i/>
          <w:lang w:eastAsia="ja-JP"/>
        </w:rPr>
        <w:t>Evaluation of response</w:t>
      </w:r>
      <w:r w:rsidRPr="009B5588">
        <w:rPr>
          <w:i/>
          <w:lang w:eastAsia="ja-JP"/>
        </w:rPr>
        <w:t>:</w:t>
      </w:r>
      <w:r w:rsidR="009B5588">
        <w:rPr>
          <w:lang w:eastAsia="ja-JP"/>
        </w:rPr>
        <w:t xml:space="preserve"> </w:t>
      </w:r>
      <w:r w:rsidR="00E437AC">
        <w:rPr>
          <w:lang w:eastAsia="ja-JP"/>
        </w:rPr>
        <w:t>Updated data with a minimum of 18 months follow-up were provided by the sponsor. A summary is given below.</w:t>
      </w:r>
    </w:p>
    <w:p w14:paraId="4E1AD180" w14:textId="77777777" w:rsidR="00E437AC" w:rsidRPr="0068094B" w:rsidRDefault="00E437AC" w:rsidP="0068094B">
      <w:pPr>
        <w:pStyle w:val="ListBullet"/>
      </w:pPr>
      <w:r w:rsidRPr="0068094B">
        <w:t>Min</w:t>
      </w:r>
      <w:r w:rsidRPr="006F4C51">
        <w:t>i</w:t>
      </w:r>
      <w:r w:rsidRPr="0068094B">
        <w:t>mum follow-up of 18 months for all patients</w:t>
      </w:r>
    </w:p>
    <w:p w14:paraId="75E3EC6C" w14:textId="77777777" w:rsidR="00E437AC" w:rsidRDefault="00E437AC" w:rsidP="006F4C51">
      <w:pPr>
        <w:pStyle w:val="ListBullet"/>
      </w:pPr>
      <w:r w:rsidRPr="0068094B">
        <w:t xml:space="preserve">Best </w:t>
      </w:r>
      <w:r w:rsidRPr="006F4C51">
        <w:t>overall</w:t>
      </w:r>
      <w:r w:rsidRPr="0068094B">
        <w:t xml:space="preserve"> response, n (%), N</w:t>
      </w:r>
      <w:r w:rsidR="0068094B">
        <w:t xml:space="preserve"> </w:t>
      </w:r>
      <w:r w:rsidRPr="0068094B">
        <w:t>=</w:t>
      </w:r>
      <w:r w:rsidR="0068094B">
        <w:t xml:space="preserve"> </w:t>
      </w:r>
      <w:r w:rsidRPr="0068094B">
        <w:t>88</w:t>
      </w:r>
    </w:p>
    <w:p w14:paraId="43F1E2AC" w14:textId="77777777" w:rsidR="0068094B" w:rsidRPr="0068094B" w:rsidRDefault="0068094B" w:rsidP="006F4C51">
      <w:pPr>
        <w:pStyle w:val="TableTitle"/>
      </w:pPr>
      <w:r>
        <w:t xml:space="preserve">Table </w:t>
      </w:r>
      <w:r w:rsidR="00B70C5D">
        <w:t>19:</w:t>
      </w:r>
      <w:r>
        <w:t xml:space="preserve"> Summary of updated efficacy analysis for the pivotal study</w:t>
      </w:r>
    </w:p>
    <w:tbl>
      <w:tblPr>
        <w:tblStyle w:val="TableTGAblue"/>
        <w:tblW w:w="0" w:type="auto"/>
        <w:tblLook w:val="04A0" w:firstRow="1" w:lastRow="0" w:firstColumn="1" w:lastColumn="0" w:noHBand="0" w:noVBand="1"/>
      </w:tblPr>
      <w:tblGrid>
        <w:gridCol w:w="3227"/>
        <w:gridCol w:w="2835"/>
      </w:tblGrid>
      <w:tr w:rsidR="0068094B" w:rsidRPr="00E437AC" w14:paraId="51D280D8" w14:textId="77777777" w:rsidTr="0068094B">
        <w:trPr>
          <w:cnfStyle w:val="100000000000" w:firstRow="1" w:lastRow="0" w:firstColumn="0" w:lastColumn="0" w:oddVBand="0" w:evenVBand="0" w:oddHBand="0" w:evenHBand="0" w:firstRowFirstColumn="0" w:firstRowLastColumn="0" w:lastRowFirstColumn="0" w:lastRowLastColumn="0"/>
        </w:trPr>
        <w:tc>
          <w:tcPr>
            <w:tcW w:w="3227" w:type="dxa"/>
          </w:tcPr>
          <w:p w14:paraId="3191A8A4" w14:textId="77777777" w:rsidR="0068094B" w:rsidRPr="00E437AC" w:rsidRDefault="0068094B" w:rsidP="006F4C51">
            <w:r>
              <w:t>Efficacy endpoint</w:t>
            </w:r>
          </w:p>
        </w:tc>
        <w:tc>
          <w:tcPr>
            <w:tcW w:w="2835" w:type="dxa"/>
          </w:tcPr>
          <w:p w14:paraId="3BFF7258" w14:textId="77777777" w:rsidR="0068094B" w:rsidRPr="00E437AC" w:rsidRDefault="0068094B" w:rsidP="006F4C51"/>
        </w:tc>
      </w:tr>
      <w:tr w:rsidR="00E437AC" w:rsidRPr="00E437AC" w14:paraId="3F3EB9ED" w14:textId="77777777" w:rsidTr="0068094B">
        <w:tc>
          <w:tcPr>
            <w:tcW w:w="3227" w:type="dxa"/>
          </w:tcPr>
          <w:p w14:paraId="13A5C75F" w14:textId="77777777" w:rsidR="00E437AC" w:rsidRPr="00E437AC" w:rsidRDefault="00E437AC" w:rsidP="006F4C51">
            <w:r w:rsidRPr="00E437AC">
              <w:t>Complete response</w:t>
            </w:r>
          </w:p>
        </w:tc>
        <w:tc>
          <w:tcPr>
            <w:tcW w:w="2835" w:type="dxa"/>
          </w:tcPr>
          <w:p w14:paraId="59DE4660" w14:textId="77777777" w:rsidR="00E437AC" w:rsidRPr="00E437AC" w:rsidRDefault="00E437AC" w:rsidP="006F4C51">
            <w:r w:rsidRPr="00E437AC">
              <w:t>10 (11%)</w:t>
            </w:r>
          </w:p>
        </w:tc>
      </w:tr>
      <w:tr w:rsidR="00E437AC" w:rsidRPr="00E437AC" w14:paraId="6E1E2255" w14:textId="77777777" w:rsidTr="0068094B">
        <w:tc>
          <w:tcPr>
            <w:tcW w:w="3227" w:type="dxa"/>
          </w:tcPr>
          <w:p w14:paraId="646F85E6" w14:textId="77777777" w:rsidR="00E437AC" w:rsidRPr="00E437AC" w:rsidRDefault="00E437AC" w:rsidP="006F4C51">
            <w:r w:rsidRPr="00E437AC">
              <w:t>Partial response</w:t>
            </w:r>
          </w:p>
        </w:tc>
        <w:tc>
          <w:tcPr>
            <w:tcW w:w="2835" w:type="dxa"/>
          </w:tcPr>
          <w:p w14:paraId="2570A95D" w14:textId="77777777" w:rsidR="00E437AC" w:rsidRPr="00E437AC" w:rsidRDefault="00E437AC" w:rsidP="006F4C51">
            <w:r w:rsidRPr="00E437AC">
              <w:t>19 (22%)</w:t>
            </w:r>
          </w:p>
        </w:tc>
      </w:tr>
      <w:tr w:rsidR="00E437AC" w:rsidRPr="00E437AC" w14:paraId="62338336" w14:textId="77777777" w:rsidTr="0068094B">
        <w:tc>
          <w:tcPr>
            <w:tcW w:w="3227" w:type="dxa"/>
          </w:tcPr>
          <w:p w14:paraId="15181702" w14:textId="77777777" w:rsidR="00E437AC" w:rsidRPr="00E437AC" w:rsidRDefault="00E437AC" w:rsidP="006F4C51">
            <w:r w:rsidRPr="00E437AC">
              <w:t>Stable disease</w:t>
            </w:r>
          </w:p>
        </w:tc>
        <w:tc>
          <w:tcPr>
            <w:tcW w:w="2835" w:type="dxa"/>
          </w:tcPr>
          <w:p w14:paraId="58377294" w14:textId="77777777" w:rsidR="00E437AC" w:rsidRPr="00E437AC" w:rsidRDefault="00E437AC" w:rsidP="006F4C51">
            <w:r w:rsidRPr="00E437AC">
              <w:t>9 (10%)</w:t>
            </w:r>
          </w:p>
        </w:tc>
      </w:tr>
      <w:tr w:rsidR="00E437AC" w:rsidRPr="00E437AC" w14:paraId="5FBE2B47" w14:textId="77777777" w:rsidTr="0068094B">
        <w:tc>
          <w:tcPr>
            <w:tcW w:w="3227" w:type="dxa"/>
          </w:tcPr>
          <w:p w14:paraId="6D3D9A96" w14:textId="77777777" w:rsidR="00E437AC" w:rsidRPr="00E437AC" w:rsidRDefault="00E437AC" w:rsidP="006F4C51">
            <w:r w:rsidRPr="00E437AC">
              <w:t>Progressive disease</w:t>
            </w:r>
          </w:p>
        </w:tc>
        <w:tc>
          <w:tcPr>
            <w:tcW w:w="2835" w:type="dxa"/>
          </w:tcPr>
          <w:p w14:paraId="6F6062E0" w14:textId="77777777" w:rsidR="00E437AC" w:rsidRPr="00E437AC" w:rsidRDefault="00E437AC" w:rsidP="006F4C51">
            <w:r w:rsidRPr="00E437AC">
              <w:t>32 (36%)</w:t>
            </w:r>
          </w:p>
        </w:tc>
      </w:tr>
      <w:tr w:rsidR="00E437AC" w:rsidRPr="00E437AC" w14:paraId="0300DE93" w14:textId="77777777" w:rsidTr="0068094B">
        <w:tc>
          <w:tcPr>
            <w:tcW w:w="3227" w:type="dxa"/>
          </w:tcPr>
          <w:p w14:paraId="1D8F1F08" w14:textId="77777777" w:rsidR="00E437AC" w:rsidRPr="00E437AC" w:rsidRDefault="00E437AC" w:rsidP="006F4C51">
            <w:r w:rsidRPr="00E437AC">
              <w:t>Not assessable</w:t>
            </w:r>
          </w:p>
        </w:tc>
        <w:tc>
          <w:tcPr>
            <w:tcW w:w="2835" w:type="dxa"/>
          </w:tcPr>
          <w:p w14:paraId="16A64063" w14:textId="77777777" w:rsidR="00E437AC" w:rsidRPr="00E437AC" w:rsidRDefault="00E437AC" w:rsidP="006F4C51">
            <w:r w:rsidRPr="00E437AC">
              <w:t>18 (21%)</w:t>
            </w:r>
          </w:p>
        </w:tc>
      </w:tr>
    </w:tbl>
    <w:p w14:paraId="400AC8C4" w14:textId="77777777" w:rsidR="00E437AC" w:rsidRPr="0068094B" w:rsidRDefault="00E437AC" w:rsidP="006F4C51">
      <w:pPr>
        <w:pStyle w:val="ListBullet"/>
      </w:pPr>
      <w:r w:rsidRPr="0068094B">
        <w:t xml:space="preserve">Objective </w:t>
      </w:r>
      <w:r w:rsidRPr="006F4C51">
        <w:t>response</w:t>
      </w:r>
      <w:r w:rsidRPr="0068094B">
        <w:t>: n</w:t>
      </w:r>
      <w:r w:rsidR="0068094B">
        <w:t xml:space="preserve"> </w:t>
      </w:r>
      <w:r w:rsidRPr="0068094B">
        <w:t>=</w:t>
      </w:r>
      <w:r w:rsidR="0068094B">
        <w:t xml:space="preserve"> </w:t>
      </w:r>
      <w:r w:rsidRPr="0068094B">
        <w:t>29; 33%, 95% CI: 23%, 44%</w:t>
      </w:r>
    </w:p>
    <w:p w14:paraId="78C4E2FD" w14:textId="77777777" w:rsidR="00E437AC" w:rsidRPr="0068094B" w:rsidRDefault="00E437AC" w:rsidP="0068094B">
      <w:pPr>
        <w:pStyle w:val="ListBullet"/>
      </w:pPr>
      <w:r w:rsidRPr="0068094B">
        <w:t>Duration of response</w:t>
      </w:r>
      <w:r w:rsidR="0068094B">
        <w:t>:</w:t>
      </w:r>
    </w:p>
    <w:p w14:paraId="3444F14E" w14:textId="2CBD5720" w:rsidR="00E437AC" w:rsidRPr="0068094B" w:rsidRDefault="00E437AC" w:rsidP="006F4C51">
      <w:pPr>
        <w:pStyle w:val="ListBullet2"/>
      </w:pPr>
      <w:r w:rsidRPr="0068094B">
        <w:lastRenderedPageBreak/>
        <w:t xml:space="preserve">Based on </w:t>
      </w:r>
      <w:r w:rsidR="00CE012A" w:rsidRPr="006F4C51">
        <w:t>Kaplan</w:t>
      </w:r>
      <w:r w:rsidR="00CE012A">
        <w:t xml:space="preserve"> Meier</w:t>
      </w:r>
      <w:r w:rsidR="00CE012A" w:rsidRPr="0068094B">
        <w:t xml:space="preserve"> </w:t>
      </w:r>
      <w:r w:rsidR="00CE012A">
        <w:t>(</w:t>
      </w:r>
      <w:r w:rsidRPr="0068094B">
        <w:t>KM</w:t>
      </w:r>
      <w:r w:rsidR="00CE012A">
        <w:t>)</w:t>
      </w:r>
      <w:r w:rsidRPr="0068094B">
        <w:t xml:space="preserve"> estimates, of the 29 patients who had a response, 93% had a response of at least 6 months; 71% had a response of at least 12</w:t>
      </w:r>
      <w:r w:rsidR="009B5588">
        <w:t> </w:t>
      </w:r>
      <w:r w:rsidRPr="0068094B">
        <w:t>months.</w:t>
      </w:r>
    </w:p>
    <w:p w14:paraId="53EA1EAB" w14:textId="77777777" w:rsidR="00E437AC" w:rsidRPr="0068094B" w:rsidRDefault="00E437AC" w:rsidP="00B9688B">
      <w:pPr>
        <w:pStyle w:val="ListBullet2"/>
      </w:pPr>
      <w:r w:rsidRPr="0068094B">
        <w:t xml:space="preserve">At the time of data cut-off, duration of response ranged from 2.8 </w:t>
      </w:r>
      <w:r w:rsidR="0068094B">
        <w:t>months to at least 24.9 months.</w:t>
      </w:r>
    </w:p>
    <w:p w14:paraId="57A75E16" w14:textId="77777777" w:rsidR="00E437AC" w:rsidRPr="0068094B" w:rsidRDefault="00E437AC" w:rsidP="006F4C51">
      <w:pPr>
        <w:pStyle w:val="ListBullet"/>
      </w:pPr>
      <w:r w:rsidRPr="006F4C51">
        <w:t>Median</w:t>
      </w:r>
      <w:r w:rsidRPr="0068094B">
        <w:t xml:space="preserve"> duration of response was not reached, 95% CI (8.3 months, not estimable).</w:t>
      </w:r>
    </w:p>
    <w:p w14:paraId="4AD15546" w14:textId="77777777" w:rsidR="00E437AC" w:rsidRPr="0068094B" w:rsidRDefault="00E437AC" w:rsidP="0068094B">
      <w:pPr>
        <w:pStyle w:val="ListBullet"/>
      </w:pPr>
      <w:r w:rsidRPr="0068094B">
        <w:t>Median PFS: 2.7 months; 95% CI (1.4, 6.9)</w:t>
      </w:r>
    </w:p>
    <w:p w14:paraId="5BC12BC1" w14:textId="77777777" w:rsidR="00E437AC" w:rsidRPr="0068094B" w:rsidRDefault="00E437AC" w:rsidP="0068094B">
      <w:pPr>
        <w:pStyle w:val="ListBullet"/>
      </w:pPr>
      <w:r w:rsidRPr="0068094B">
        <w:t>PFS % at 12 months: 29%, 95% CI (19, 39)</w:t>
      </w:r>
    </w:p>
    <w:p w14:paraId="1CB87657" w14:textId="77777777" w:rsidR="00E437AC" w:rsidRPr="0068094B" w:rsidRDefault="00E437AC" w:rsidP="0068094B">
      <w:pPr>
        <w:pStyle w:val="ListBullet"/>
      </w:pPr>
      <w:r w:rsidRPr="0068094B">
        <w:t xml:space="preserve">Median </w:t>
      </w:r>
      <w:r w:rsidR="00CE012A">
        <w:t>overall survival</w:t>
      </w:r>
      <w:r w:rsidR="00CE012A" w:rsidRPr="0068094B">
        <w:t xml:space="preserve"> </w:t>
      </w:r>
      <w:r w:rsidR="00CE012A">
        <w:t>(</w:t>
      </w:r>
      <w:r w:rsidRPr="0068094B">
        <w:t>OS</w:t>
      </w:r>
      <w:r w:rsidR="00CE012A">
        <w:t>)</w:t>
      </w:r>
      <w:r w:rsidRPr="0068094B">
        <w:t>: 12.6 months; 95% CI (7.5, 19.0)</w:t>
      </w:r>
    </w:p>
    <w:p w14:paraId="6BA0984E" w14:textId="77777777" w:rsidR="006136D7" w:rsidRPr="0068094B" w:rsidRDefault="00E437AC" w:rsidP="006F4C51">
      <w:pPr>
        <w:pStyle w:val="ListBullet"/>
      </w:pPr>
      <w:r w:rsidRPr="0068094B">
        <w:t>OS% at 12 months: 51% 95% CI (40, 61)</w:t>
      </w:r>
    </w:p>
    <w:p w14:paraId="0AFFEB17" w14:textId="2E9D4F09" w:rsidR="00605AD4" w:rsidRPr="00605AD4" w:rsidRDefault="00605AD4" w:rsidP="006F4C51">
      <w:pPr>
        <w:pStyle w:val="Heading3"/>
        <w:rPr>
          <w:rFonts w:eastAsia="Cambria"/>
        </w:rPr>
      </w:pPr>
      <w:bookmarkStart w:id="184" w:name="_Toc8053071"/>
      <w:r w:rsidRPr="00605AD4">
        <w:rPr>
          <w:rFonts w:eastAsia="Cambria"/>
        </w:rPr>
        <w:t xml:space="preserve">Second </w:t>
      </w:r>
      <w:r w:rsidR="006F4C51">
        <w:rPr>
          <w:rFonts w:eastAsia="Cambria"/>
        </w:rPr>
        <w:t>r</w:t>
      </w:r>
      <w:r w:rsidRPr="00605AD4">
        <w:rPr>
          <w:rFonts w:eastAsia="Cambria"/>
        </w:rPr>
        <w:t xml:space="preserve">ound </w:t>
      </w:r>
      <w:r w:rsidR="006F4C51">
        <w:rPr>
          <w:rFonts w:eastAsia="Cambria"/>
        </w:rPr>
        <w:t>b</w:t>
      </w:r>
      <w:r w:rsidRPr="00605AD4">
        <w:rPr>
          <w:rFonts w:eastAsia="Cambria"/>
        </w:rPr>
        <w:t>enefit-</w:t>
      </w:r>
      <w:r w:rsidR="006F4C51">
        <w:rPr>
          <w:rFonts w:eastAsia="Cambria"/>
        </w:rPr>
        <w:t>r</w:t>
      </w:r>
      <w:r w:rsidRPr="00605AD4">
        <w:rPr>
          <w:rFonts w:eastAsia="Cambria"/>
        </w:rPr>
        <w:t xml:space="preserve">isk </w:t>
      </w:r>
      <w:r w:rsidR="006F4C51" w:rsidRPr="006F4C51">
        <w:rPr>
          <w:rFonts w:eastAsia="Cambria"/>
        </w:rPr>
        <w:t>a</w:t>
      </w:r>
      <w:r w:rsidRPr="006F4C51">
        <w:rPr>
          <w:rFonts w:eastAsia="Cambria"/>
        </w:rPr>
        <w:t>ssessment</w:t>
      </w:r>
      <w:bookmarkEnd w:id="184"/>
    </w:p>
    <w:p w14:paraId="16EA837C" w14:textId="76C43CA4" w:rsidR="00605AD4" w:rsidRPr="0068094B" w:rsidRDefault="0068094B" w:rsidP="0068094B">
      <w:r w:rsidRPr="0068094B">
        <w:t xml:space="preserve">The </w:t>
      </w:r>
      <w:r w:rsidR="009B5588">
        <w:t>benefit-</w:t>
      </w:r>
      <w:r w:rsidRPr="0068094B">
        <w:t>risk assessment is u</w:t>
      </w:r>
      <w:r w:rsidR="00E437AC" w:rsidRPr="0068094B">
        <w:t>nchanged</w:t>
      </w:r>
      <w:r w:rsidRPr="0068094B">
        <w:t xml:space="preserve"> from that in the first round</w:t>
      </w:r>
      <w:r w:rsidR="00E437AC" w:rsidRPr="0068094B">
        <w:t xml:space="preserve">. The comments from the sponsor on the indication have been carefully noted and referred to the </w:t>
      </w:r>
      <w:r w:rsidR="004A25E4" w:rsidRPr="0068094B">
        <w:t>Delegate</w:t>
      </w:r>
      <w:r w:rsidR="00E437AC" w:rsidRPr="0068094B">
        <w:t>.</w:t>
      </w:r>
    </w:p>
    <w:p w14:paraId="3DC2F361" w14:textId="77777777" w:rsidR="008E7846" w:rsidRPr="00E41208" w:rsidRDefault="008E7846" w:rsidP="006F4C51">
      <w:pPr>
        <w:pStyle w:val="Heading2"/>
      </w:pPr>
      <w:bookmarkStart w:id="185" w:name="_Toc8053072"/>
      <w:r w:rsidRPr="00E41208">
        <w:t>V</w:t>
      </w:r>
      <w:r w:rsidR="00500337">
        <w:t>I</w:t>
      </w:r>
      <w:r w:rsidRPr="00E41208">
        <w:t xml:space="preserve">. </w:t>
      </w:r>
      <w:r w:rsidRPr="006F4C51">
        <w:t>Pharmacovigilance</w:t>
      </w:r>
      <w:r w:rsidRPr="00E41208">
        <w:t xml:space="preserve"> </w:t>
      </w:r>
      <w:r>
        <w:t>f</w:t>
      </w:r>
      <w:r w:rsidRPr="00E41208">
        <w:t>indings</w:t>
      </w:r>
      <w:bookmarkEnd w:id="127"/>
      <w:bookmarkEnd w:id="128"/>
      <w:bookmarkEnd w:id="185"/>
    </w:p>
    <w:p w14:paraId="7AFFA714" w14:textId="77777777" w:rsidR="008E7846" w:rsidRPr="0068094B" w:rsidRDefault="00386150" w:rsidP="006F4C51">
      <w:pPr>
        <w:pStyle w:val="Heading3"/>
      </w:pPr>
      <w:bookmarkStart w:id="186" w:name="_Toc247691526"/>
      <w:bookmarkStart w:id="187" w:name="_Toc314842509"/>
      <w:bookmarkStart w:id="188" w:name="_Toc8053073"/>
      <w:r w:rsidRPr="0068094B">
        <w:t xml:space="preserve">Risk </w:t>
      </w:r>
      <w:r w:rsidRPr="006F4C51">
        <w:t>m</w:t>
      </w:r>
      <w:r w:rsidR="008E7846" w:rsidRPr="006F4C51">
        <w:t>anagement</w:t>
      </w:r>
      <w:r w:rsidR="008E7846" w:rsidRPr="0068094B">
        <w:t xml:space="preserve"> </w:t>
      </w:r>
      <w:r w:rsidRPr="0068094B">
        <w:t>p</w:t>
      </w:r>
      <w:r w:rsidR="008E7846" w:rsidRPr="0068094B">
        <w:t>lan</w:t>
      </w:r>
      <w:bookmarkEnd w:id="186"/>
      <w:bookmarkEnd w:id="187"/>
      <w:bookmarkEnd w:id="188"/>
    </w:p>
    <w:p w14:paraId="3CB9981C" w14:textId="77777777" w:rsidR="00456765" w:rsidRDefault="00456765" w:rsidP="006F4C51">
      <w:pPr>
        <w:pStyle w:val="Heading4"/>
        <w:rPr>
          <w:lang w:eastAsia="en-AU"/>
        </w:rPr>
      </w:pPr>
      <w:bookmarkStart w:id="189" w:name="_Toc247691527"/>
      <w:bookmarkStart w:id="190" w:name="_Toc314842510"/>
      <w:r>
        <w:rPr>
          <w:lang w:eastAsia="en-AU"/>
        </w:rPr>
        <w:t xml:space="preserve">Summary of RMP </w:t>
      </w:r>
      <w:r w:rsidRPr="006F4C51">
        <w:t>evaluation</w:t>
      </w:r>
      <w:r>
        <w:rPr>
          <w:rStyle w:val="FootnoteReference"/>
          <w:lang w:eastAsia="en-AU"/>
        </w:rPr>
        <w:footnoteReference w:id="24"/>
      </w:r>
    </w:p>
    <w:p w14:paraId="370D4F1A" w14:textId="1B1852ED" w:rsidR="004A25E4" w:rsidRDefault="009B5588" w:rsidP="006F4C51">
      <w:pPr>
        <w:pStyle w:val="ListBullet"/>
      </w:pPr>
      <w:r>
        <w:t>The sponsor</w:t>
      </w:r>
      <w:r w:rsidR="006163C0" w:rsidRPr="006163C0">
        <w:t xml:space="preserve"> has submitted EU-RMP version 1.0 (date</w:t>
      </w:r>
      <w:r>
        <w:t> </w:t>
      </w:r>
      <w:r w:rsidR="006163C0" w:rsidRPr="006163C0">
        <w:t xml:space="preserve">30 September 2016; </w:t>
      </w:r>
      <w:r>
        <w:t>data lock point (</w:t>
      </w:r>
      <w:r w:rsidR="006163C0" w:rsidRPr="006163C0">
        <w:t>DLP</w:t>
      </w:r>
      <w:r>
        <w:t>)</w:t>
      </w:r>
      <w:r w:rsidR="006163C0" w:rsidRPr="006163C0">
        <w:t xml:space="preserve"> 30 April 2016) and </w:t>
      </w:r>
      <w:r>
        <w:t>Australian specific annex (</w:t>
      </w:r>
      <w:r w:rsidR="006163C0" w:rsidRPr="006163C0">
        <w:t>ASA</w:t>
      </w:r>
      <w:r>
        <w:t>)</w:t>
      </w:r>
      <w:r w:rsidR="006163C0" w:rsidRPr="006163C0">
        <w:t xml:space="preserve"> version 1.0 (date</w:t>
      </w:r>
      <w:r>
        <w:t> </w:t>
      </w:r>
      <w:r w:rsidR="006163C0" w:rsidRPr="006163C0">
        <w:t>18</w:t>
      </w:r>
      <w:r>
        <w:t> </w:t>
      </w:r>
      <w:r w:rsidR="006163C0" w:rsidRPr="006163C0">
        <w:t>November 2016) in support of this application</w:t>
      </w:r>
      <w:r w:rsidR="004A25E4">
        <w:t>.</w:t>
      </w:r>
    </w:p>
    <w:p w14:paraId="14A065A0" w14:textId="77777777" w:rsidR="004A25E4" w:rsidRDefault="006163C0" w:rsidP="006163C0">
      <w:pPr>
        <w:pStyle w:val="ListBullet"/>
      </w:pPr>
      <w:r w:rsidRPr="006163C0">
        <w:t>The sponsor did not submit an updated RMP or ASA with responses but, proposed to revise the summary of safety concerns to align with the updated EU RMP version 1.2</w:t>
      </w:r>
      <w:r w:rsidR="004A25E4">
        <w:t>.</w:t>
      </w:r>
    </w:p>
    <w:p w14:paraId="6867620C" w14:textId="0CAF935D" w:rsidR="006163C0" w:rsidRPr="006163C0" w:rsidRDefault="006163C0" w:rsidP="006163C0">
      <w:pPr>
        <w:pStyle w:val="ListBullet"/>
      </w:pPr>
      <w:r w:rsidRPr="006163C0">
        <w:t xml:space="preserve">During </w:t>
      </w:r>
      <w:r w:rsidR="009B5588">
        <w:t xml:space="preserve">the </w:t>
      </w:r>
      <w:r w:rsidRPr="006163C0">
        <w:t>post-</w:t>
      </w:r>
      <w:r w:rsidR="009B5588">
        <w:t>second round</w:t>
      </w:r>
      <w:r w:rsidRPr="006163C0">
        <w:t xml:space="preserve"> phase, the sponsor provided an updated EU RMP version 1.6 (</w:t>
      </w:r>
      <w:r w:rsidRPr="006163C0">
        <w:rPr>
          <w:rStyle w:val="Hyperlink"/>
          <w:color w:val="auto"/>
          <w:u w:val="none"/>
        </w:rPr>
        <w:t>date 20 July 2017; DLP 9 June 2016) and an</w:t>
      </w:r>
      <w:r w:rsidRPr="006163C0">
        <w:t xml:space="preserve"> ASA version 1.1 (date 27</w:t>
      </w:r>
      <w:r w:rsidR="009B5588">
        <w:t> </w:t>
      </w:r>
      <w:r w:rsidRPr="006163C0">
        <w:t>November 2017).</w:t>
      </w:r>
    </w:p>
    <w:p w14:paraId="612945AB" w14:textId="77777777" w:rsidR="006163C0" w:rsidRDefault="006163C0" w:rsidP="006F4C51">
      <w:pPr>
        <w:pStyle w:val="ListBullet"/>
      </w:pPr>
      <w:r w:rsidRPr="006163C0">
        <w:t xml:space="preserve">The Summary of Safety Concerns and their associated risk monitoring and mitigation </w:t>
      </w:r>
      <w:r w:rsidRPr="006F4C51">
        <w:t>strategies</w:t>
      </w:r>
      <w:r w:rsidRPr="006163C0">
        <w:t xml:space="preserve"> (as described in EU-RMP version 1.6 and ASA ve</w:t>
      </w:r>
      <w:r w:rsidR="00AB42EE">
        <w:t xml:space="preserve">rsion 1.1) </w:t>
      </w:r>
      <w:r w:rsidR="00B70C5D">
        <w:t>are summarised below in Table 20.</w:t>
      </w:r>
    </w:p>
    <w:p w14:paraId="07628CC3" w14:textId="77777777" w:rsidR="00AB42EE" w:rsidRPr="006163C0" w:rsidRDefault="00AB42EE" w:rsidP="006F4C51">
      <w:pPr>
        <w:pStyle w:val="TableTitle"/>
      </w:pPr>
      <w:r w:rsidRPr="006F4C51">
        <w:lastRenderedPageBreak/>
        <w:t>Table</w:t>
      </w:r>
      <w:r>
        <w:t xml:space="preserve"> </w:t>
      </w:r>
      <w:r w:rsidR="00B70C5D">
        <w:t>20</w:t>
      </w:r>
      <w:r>
        <w:t xml:space="preserve">: </w:t>
      </w:r>
      <w:r w:rsidRPr="006163C0">
        <w:t>Summary of Safety Concerns and their associated risk monitoring and mitigation strategies</w:t>
      </w:r>
    </w:p>
    <w:tbl>
      <w:tblPr>
        <w:tblStyle w:val="TableTGAblue"/>
        <w:tblW w:w="8755" w:type="dxa"/>
        <w:tblLayout w:type="fixed"/>
        <w:tblLook w:val="04A0" w:firstRow="1" w:lastRow="0" w:firstColumn="1" w:lastColumn="0" w:noHBand="0" w:noVBand="1"/>
      </w:tblPr>
      <w:tblGrid>
        <w:gridCol w:w="1327"/>
        <w:gridCol w:w="3459"/>
        <w:gridCol w:w="851"/>
        <w:gridCol w:w="1026"/>
        <w:gridCol w:w="958"/>
        <w:gridCol w:w="1134"/>
      </w:tblGrid>
      <w:tr w:rsidR="006163C0" w:rsidRPr="004871FC" w14:paraId="5684EC63" w14:textId="77777777" w:rsidTr="006F4C51">
        <w:trPr>
          <w:cnfStyle w:val="100000000000" w:firstRow="1" w:lastRow="0" w:firstColumn="0" w:lastColumn="0" w:oddVBand="0" w:evenVBand="0" w:oddHBand="0" w:evenHBand="0" w:firstRowFirstColumn="0" w:firstRowLastColumn="0" w:lastRowFirstColumn="0" w:lastRowLastColumn="0"/>
          <w:trHeight w:val="129"/>
        </w:trPr>
        <w:tc>
          <w:tcPr>
            <w:tcW w:w="4786" w:type="dxa"/>
            <w:gridSpan w:val="2"/>
            <w:vMerge w:val="restart"/>
          </w:tcPr>
          <w:p w14:paraId="6ABECDEF" w14:textId="77777777" w:rsidR="006163C0" w:rsidRPr="004871FC" w:rsidRDefault="006163C0" w:rsidP="006F4C51">
            <w:pPr>
              <w:pStyle w:val="Tabletext"/>
              <w:ind w:left="0" w:right="0"/>
              <w:rPr>
                <w:b w:val="0"/>
                <w:sz w:val="18"/>
                <w:szCs w:val="18"/>
              </w:rPr>
            </w:pPr>
            <w:r w:rsidRPr="004871FC">
              <w:rPr>
                <w:color w:val="00B050"/>
                <w:sz w:val="18"/>
                <w:szCs w:val="18"/>
              </w:rPr>
              <w:br w:type="page"/>
            </w:r>
            <w:r w:rsidRPr="004871FC">
              <w:rPr>
                <w:sz w:val="18"/>
                <w:szCs w:val="18"/>
              </w:rPr>
              <w:t>Summary of safety concerns</w:t>
            </w:r>
          </w:p>
        </w:tc>
        <w:tc>
          <w:tcPr>
            <w:tcW w:w="1877" w:type="dxa"/>
            <w:gridSpan w:val="2"/>
          </w:tcPr>
          <w:p w14:paraId="34EF3366" w14:textId="77777777" w:rsidR="006163C0" w:rsidRPr="004871FC" w:rsidRDefault="006163C0" w:rsidP="006F4C51">
            <w:pPr>
              <w:pStyle w:val="Tabletext"/>
              <w:ind w:left="34" w:right="0"/>
              <w:jc w:val="center"/>
              <w:rPr>
                <w:b w:val="0"/>
                <w:sz w:val="18"/>
                <w:szCs w:val="18"/>
              </w:rPr>
            </w:pPr>
            <w:r w:rsidRPr="004871FC">
              <w:rPr>
                <w:sz w:val="18"/>
                <w:szCs w:val="18"/>
              </w:rPr>
              <w:t>Pharmacovigilance</w:t>
            </w:r>
          </w:p>
        </w:tc>
        <w:tc>
          <w:tcPr>
            <w:tcW w:w="2092" w:type="dxa"/>
            <w:gridSpan w:val="2"/>
          </w:tcPr>
          <w:p w14:paraId="5793A745" w14:textId="77777777" w:rsidR="006163C0" w:rsidRPr="004871FC" w:rsidRDefault="006163C0" w:rsidP="006F4C51">
            <w:pPr>
              <w:pStyle w:val="Tabletext"/>
              <w:ind w:left="0" w:right="34"/>
              <w:jc w:val="center"/>
              <w:rPr>
                <w:b w:val="0"/>
                <w:sz w:val="18"/>
                <w:szCs w:val="18"/>
              </w:rPr>
            </w:pPr>
            <w:r w:rsidRPr="004871FC">
              <w:rPr>
                <w:sz w:val="18"/>
                <w:szCs w:val="18"/>
              </w:rPr>
              <w:t>Risk Minimisation</w:t>
            </w:r>
          </w:p>
        </w:tc>
      </w:tr>
      <w:tr w:rsidR="006163C0" w:rsidRPr="004871FC" w14:paraId="76D623E1" w14:textId="77777777" w:rsidTr="006F4C51">
        <w:trPr>
          <w:cnfStyle w:val="100000000000" w:firstRow="1" w:lastRow="0" w:firstColumn="0" w:lastColumn="0" w:oddVBand="0" w:evenVBand="0" w:oddHBand="0" w:evenHBand="0" w:firstRowFirstColumn="0" w:firstRowLastColumn="0" w:lastRowFirstColumn="0" w:lastRowLastColumn="0"/>
          <w:trHeight w:val="458"/>
        </w:trPr>
        <w:tc>
          <w:tcPr>
            <w:tcW w:w="4786" w:type="dxa"/>
            <w:gridSpan w:val="2"/>
            <w:vMerge/>
          </w:tcPr>
          <w:p w14:paraId="446D8880" w14:textId="77777777" w:rsidR="006163C0" w:rsidRPr="004871FC" w:rsidRDefault="006163C0" w:rsidP="006F4C51">
            <w:pPr>
              <w:pStyle w:val="Tabletext"/>
              <w:ind w:left="0" w:right="0"/>
              <w:rPr>
                <w:b w:val="0"/>
                <w:sz w:val="18"/>
                <w:szCs w:val="18"/>
              </w:rPr>
            </w:pPr>
          </w:p>
        </w:tc>
        <w:tc>
          <w:tcPr>
            <w:tcW w:w="851" w:type="dxa"/>
          </w:tcPr>
          <w:p w14:paraId="391A7DFA" w14:textId="77777777" w:rsidR="006163C0" w:rsidRPr="004871FC" w:rsidRDefault="006163C0" w:rsidP="006F4C51">
            <w:pPr>
              <w:pStyle w:val="Tabletext"/>
              <w:ind w:left="34" w:right="-108"/>
              <w:jc w:val="center"/>
              <w:rPr>
                <w:b w:val="0"/>
                <w:sz w:val="18"/>
                <w:szCs w:val="18"/>
              </w:rPr>
            </w:pPr>
            <w:r w:rsidRPr="004871FC">
              <w:rPr>
                <w:b w:val="0"/>
                <w:sz w:val="18"/>
                <w:szCs w:val="18"/>
              </w:rPr>
              <w:t>Routine</w:t>
            </w:r>
          </w:p>
        </w:tc>
        <w:tc>
          <w:tcPr>
            <w:tcW w:w="1026" w:type="dxa"/>
          </w:tcPr>
          <w:p w14:paraId="485FB3BD" w14:textId="77777777" w:rsidR="006163C0" w:rsidRPr="004871FC" w:rsidRDefault="006163C0" w:rsidP="006F4C51">
            <w:pPr>
              <w:pStyle w:val="Tabletext"/>
              <w:ind w:left="-108" w:right="-216"/>
              <w:jc w:val="center"/>
              <w:rPr>
                <w:b w:val="0"/>
                <w:sz w:val="18"/>
                <w:szCs w:val="18"/>
              </w:rPr>
            </w:pPr>
            <w:r w:rsidRPr="004871FC">
              <w:rPr>
                <w:b w:val="0"/>
                <w:sz w:val="18"/>
                <w:szCs w:val="18"/>
              </w:rPr>
              <w:t>Additional</w:t>
            </w:r>
          </w:p>
        </w:tc>
        <w:tc>
          <w:tcPr>
            <w:tcW w:w="958" w:type="dxa"/>
          </w:tcPr>
          <w:p w14:paraId="1A7F4449" w14:textId="77777777" w:rsidR="006163C0" w:rsidRPr="004871FC" w:rsidRDefault="006163C0" w:rsidP="006F4C51">
            <w:pPr>
              <w:pStyle w:val="Tabletext"/>
              <w:ind w:left="0" w:right="34"/>
              <w:jc w:val="center"/>
              <w:rPr>
                <w:b w:val="0"/>
                <w:sz w:val="18"/>
                <w:szCs w:val="18"/>
              </w:rPr>
            </w:pPr>
            <w:r w:rsidRPr="004871FC">
              <w:rPr>
                <w:b w:val="0"/>
                <w:sz w:val="18"/>
                <w:szCs w:val="18"/>
              </w:rPr>
              <w:t>Routine</w:t>
            </w:r>
          </w:p>
        </w:tc>
        <w:tc>
          <w:tcPr>
            <w:tcW w:w="1134" w:type="dxa"/>
          </w:tcPr>
          <w:p w14:paraId="1F6B6A35" w14:textId="77777777" w:rsidR="006163C0" w:rsidRPr="004871FC" w:rsidRDefault="006163C0" w:rsidP="006F4C51">
            <w:pPr>
              <w:pStyle w:val="Tabletext"/>
              <w:ind w:left="34" w:right="0"/>
              <w:jc w:val="center"/>
              <w:rPr>
                <w:b w:val="0"/>
                <w:sz w:val="18"/>
                <w:szCs w:val="18"/>
              </w:rPr>
            </w:pPr>
            <w:r w:rsidRPr="004871FC">
              <w:rPr>
                <w:b w:val="0"/>
                <w:sz w:val="18"/>
                <w:szCs w:val="18"/>
              </w:rPr>
              <w:t>Additional</w:t>
            </w:r>
          </w:p>
        </w:tc>
      </w:tr>
      <w:tr w:rsidR="006163C0" w:rsidRPr="004871FC" w14:paraId="623A0512" w14:textId="77777777" w:rsidTr="00B9688B">
        <w:trPr>
          <w:trHeight w:val="135"/>
        </w:trPr>
        <w:tc>
          <w:tcPr>
            <w:tcW w:w="1327" w:type="dxa"/>
            <w:vMerge w:val="restart"/>
          </w:tcPr>
          <w:p w14:paraId="102B6A86" w14:textId="77777777" w:rsidR="006163C0" w:rsidRPr="004871FC" w:rsidRDefault="006163C0" w:rsidP="006F4C51">
            <w:pPr>
              <w:pStyle w:val="Tabletext"/>
              <w:ind w:left="0" w:right="0"/>
              <w:rPr>
                <w:b/>
                <w:sz w:val="18"/>
                <w:szCs w:val="18"/>
              </w:rPr>
            </w:pPr>
            <w:r w:rsidRPr="004871FC">
              <w:rPr>
                <w:b/>
                <w:sz w:val="18"/>
                <w:szCs w:val="18"/>
              </w:rPr>
              <w:t>Important identified risks</w:t>
            </w:r>
          </w:p>
        </w:tc>
        <w:tc>
          <w:tcPr>
            <w:tcW w:w="3459" w:type="dxa"/>
          </w:tcPr>
          <w:p w14:paraId="6CA24CDA" w14:textId="77777777" w:rsidR="006163C0" w:rsidRPr="004871FC" w:rsidRDefault="00273D46" w:rsidP="006F4C51">
            <w:pPr>
              <w:pStyle w:val="Tabletext"/>
              <w:ind w:left="0" w:right="0"/>
              <w:rPr>
                <w:sz w:val="18"/>
                <w:szCs w:val="18"/>
              </w:rPr>
            </w:pPr>
            <w:r w:rsidRPr="004871FC">
              <w:rPr>
                <w:rFonts w:cs="Arial"/>
                <w:sz w:val="18"/>
                <w:szCs w:val="18"/>
              </w:rPr>
              <w:t>Immune related</w:t>
            </w:r>
            <w:r w:rsidR="006163C0" w:rsidRPr="004871FC">
              <w:rPr>
                <w:rFonts w:cs="Arial"/>
                <w:sz w:val="18"/>
                <w:szCs w:val="18"/>
              </w:rPr>
              <w:t xml:space="preserve"> pneumonitis</w:t>
            </w:r>
          </w:p>
        </w:tc>
        <w:tc>
          <w:tcPr>
            <w:tcW w:w="851" w:type="dxa"/>
          </w:tcPr>
          <w:p w14:paraId="296B2D8D"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0FBF327F"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3500F56C"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00D40E6C" w14:textId="77777777" w:rsidR="006163C0" w:rsidRPr="004871FC" w:rsidRDefault="006163C0" w:rsidP="006F4C51">
            <w:pPr>
              <w:pStyle w:val="Tabletext"/>
              <w:jc w:val="center"/>
              <w:rPr>
                <w:sz w:val="18"/>
                <w:szCs w:val="18"/>
              </w:rPr>
            </w:pPr>
            <w:r w:rsidRPr="004871FC">
              <w:rPr>
                <w:sz w:val="18"/>
                <w:szCs w:val="18"/>
              </w:rPr>
              <w:sym w:font="Wingdings" w:char="F0FC"/>
            </w:r>
          </w:p>
        </w:tc>
      </w:tr>
      <w:tr w:rsidR="006163C0" w:rsidRPr="004871FC" w14:paraId="7A42CFBC" w14:textId="77777777" w:rsidTr="00B9688B">
        <w:trPr>
          <w:trHeight w:val="93"/>
        </w:trPr>
        <w:tc>
          <w:tcPr>
            <w:tcW w:w="1327" w:type="dxa"/>
            <w:vMerge/>
          </w:tcPr>
          <w:p w14:paraId="66E17A73" w14:textId="77777777" w:rsidR="006163C0" w:rsidRPr="004871FC" w:rsidRDefault="006163C0" w:rsidP="006F4C51">
            <w:pPr>
              <w:pStyle w:val="Tabletext"/>
              <w:ind w:left="0" w:right="0"/>
              <w:rPr>
                <w:b/>
                <w:sz w:val="18"/>
                <w:szCs w:val="18"/>
              </w:rPr>
            </w:pPr>
          </w:p>
        </w:tc>
        <w:tc>
          <w:tcPr>
            <w:tcW w:w="3459" w:type="dxa"/>
          </w:tcPr>
          <w:p w14:paraId="73237D31" w14:textId="77777777" w:rsidR="006163C0" w:rsidRPr="004871FC" w:rsidRDefault="00273D46" w:rsidP="006F4C51">
            <w:pPr>
              <w:pStyle w:val="Tabletext"/>
              <w:ind w:left="0" w:right="0"/>
              <w:rPr>
                <w:sz w:val="18"/>
                <w:szCs w:val="18"/>
              </w:rPr>
            </w:pPr>
            <w:r w:rsidRPr="004871FC">
              <w:rPr>
                <w:rFonts w:cs="Arial"/>
                <w:sz w:val="18"/>
                <w:szCs w:val="18"/>
              </w:rPr>
              <w:t>Immune related</w:t>
            </w:r>
            <w:r w:rsidR="006163C0" w:rsidRPr="004871FC">
              <w:rPr>
                <w:rFonts w:cs="Arial"/>
                <w:spacing w:val="-1"/>
                <w:sz w:val="18"/>
                <w:szCs w:val="18"/>
              </w:rPr>
              <w:t xml:space="preserve"> </w:t>
            </w:r>
            <w:r w:rsidR="006163C0" w:rsidRPr="004871FC">
              <w:rPr>
                <w:rFonts w:cs="Arial"/>
                <w:sz w:val="18"/>
                <w:szCs w:val="18"/>
              </w:rPr>
              <w:t>colitis</w:t>
            </w:r>
          </w:p>
        </w:tc>
        <w:tc>
          <w:tcPr>
            <w:tcW w:w="851" w:type="dxa"/>
          </w:tcPr>
          <w:p w14:paraId="3386C4D3"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5439AE97"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43EBABD3"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432B96BE" w14:textId="77777777" w:rsidR="006163C0" w:rsidRPr="004871FC" w:rsidRDefault="006163C0" w:rsidP="006F4C51">
            <w:pPr>
              <w:pStyle w:val="Tabletext"/>
              <w:jc w:val="center"/>
              <w:rPr>
                <w:sz w:val="18"/>
                <w:szCs w:val="18"/>
              </w:rPr>
            </w:pPr>
            <w:r w:rsidRPr="004871FC">
              <w:rPr>
                <w:sz w:val="18"/>
                <w:szCs w:val="18"/>
              </w:rPr>
              <w:sym w:font="Wingdings" w:char="F0FC"/>
            </w:r>
          </w:p>
        </w:tc>
      </w:tr>
      <w:tr w:rsidR="006163C0" w:rsidRPr="004871FC" w14:paraId="3C7B7AF7" w14:textId="77777777" w:rsidTr="00B9688B">
        <w:trPr>
          <w:trHeight w:val="93"/>
        </w:trPr>
        <w:tc>
          <w:tcPr>
            <w:tcW w:w="1327" w:type="dxa"/>
            <w:vMerge/>
          </w:tcPr>
          <w:p w14:paraId="702861E5" w14:textId="77777777" w:rsidR="006163C0" w:rsidRPr="004871FC" w:rsidRDefault="006163C0" w:rsidP="006F4C51">
            <w:pPr>
              <w:pStyle w:val="Tabletext"/>
              <w:ind w:left="0" w:right="0"/>
              <w:rPr>
                <w:b/>
                <w:sz w:val="18"/>
                <w:szCs w:val="18"/>
              </w:rPr>
            </w:pPr>
          </w:p>
        </w:tc>
        <w:tc>
          <w:tcPr>
            <w:tcW w:w="3459" w:type="dxa"/>
          </w:tcPr>
          <w:p w14:paraId="58407F1B" w14:textId="77777777" w:rsidR="006163C0" w:rsidRPr="004871FC" w:rsidRDefault="00273D46" w:rsidP="006F4C51">
            <w:pPr>
              <w:pStyle w:val="Tabletext"/>
              <w:ind w:left="0" w:right="0"/>
              <w:rPr>
                <w:rFonts w:cs="Arial"/>
                <w:sz w:val="18"/>
                <w:szCs w:val="18"/>
              </w:rPr>
            </w:pPr>
            <w:r w:rsidRPr="004871FC">
              <w:rPr>
                <w:rFonts w:cs="Arial"/>
                <w:sz w:val="18"/>
                <w:szCs w:val="18"/>
              </w:rPr>
              <w:t>Immune related</w:t>
            </w:r>
            <w:r w:rsidR="006163C0" w:rsidRPr="004871FC">
              <w:rPr>
                <w:rFonts w:cs="Arial"/>
                <w:spacing w:val="-1"/>
                <w:sz w:val="18"/>
                <w:szCs w:val="18"/>
              </w:rPr>
              <w:t xml:space="preserve"> </w:t>
            </w:r>
            <w:r w:rsidR="006163C0" w:rsidRPr="004871FC">
              <w:rPr>
                <w:rFonts w:cs="Arial"/>
                <w:sz w:val="18"/>
                <w:szCs w:val="18"/>
              </w:rPr>
              <w:t>hepatitis</w:t>
            </w:r>
          </w:p>
        </w:tc>
        <w:tc>
          <w:tcPr>
            <w:tcW w:w="851" w:type="dxa"/>
          </w:tcPr>
          <w:p w14:paraId="3D5924D2"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1FE6695A"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65646C19"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5893E315" w14:textId="77777777" w:rsidR="006163C0" w:rsidRPr="004871FC" w:rsidRDefault="006163C0" w:rsidP="006F4C51">
            <w:pPr>
              <w:pStyle w:val="Tabletext"/>
              <w:jc w:val="center"/>
              <w:rPr>
                <w:sz w:val="18"/>
                <w:szCs w:val="18"/>
              </w:rPr>
            </w:pPr>
            <w:r w:rsidRPr="004871FC">
              <w:rPr>
                <w:sz w:val="18"/>
                <w:szCs w:val="18"/>
              </w:rPr>
              <w:sym w:font="Wingdings" w:char="F0FC"/>
            </w:r>
          </w:p>
        </w:tc>
      </w:tr>
      <w:tr w:rsidR="006163C0" w:rsidRPr="004871FC" w14:paraId="754C74B5" w14:textId="77777777" w:rsidTr="00B9688B">
        <w:trPr>
          <w:trHeight w:val="93"/>
        </w:trPr>
        <w:tc>
          <w:tcPr>
            <w:tcW w:w="1327" w:type="dxa"/>
            <w:vMerge/>
          </w:tcPr>
          <w:p w14:paraId="68292381" w14:textId="77777777" w:rsidR="006163C0" w:rsidRPr="004871FC" w:rsidRDefault="006163C0" w:rsidP="006F4C51">
            <w:pPr>
              <w:pStyle w:val="Tabletext"/>
              <w:ind w:left="0" w:right="0"/>
              <w:rPr>
                <w:b/>
                <w:sz w:val="18"/>
                <w:szCs w:val="18"/>
              </w:rPr>
            </w:pPr>
          </w:p>
        </w:tc>
        <w:tc>
          <w:tcPr>
            <w:tcW w:w="3459" w:type="dxa"/>
          </w:tcPr>
          <w:p w14:paraId="0D43FA89" w14:textId="77777777" w:rsidR="006163C0" w:rsidRPr="004871FC" w:rsidRDefault="00273D46" w:rsidP="006F4C51">
            <w:pPr>
              <w:pStyle w:val="Tabletext"/>
              <w:ind w:left="0" w:right="0"/>
              <w:rPr>
                <w:sz w:val="18"/>
                <w:szCs w:val="18"/>
              </w:rPr>
            </w:pPr>
            <w:r w:rsidRPr="004871FC">
              <w:rPr>
                <w:sz w:val="18"/>
                <w:szCs w:val="18"/>
              </w:rPr>
              <w:t>Immune related</w:t>
            </w:r>
            <w:r w:rsidR="006163C0" w:rsidRPr="004871FC">
              <w:rPr>
                <w:sz w:val="18"/>
                <w:szCs w:val="18"/>
              </w:rPr>
              <w:t xml:space="preserve"> endocrinopathies (thyroid disorders, adrenal insufficiency, type 1 diabetes mellitus, pituitary disorders)</w:t>
            </w:r>
          </w:p>
        </w:tc>
        <w:tc>
          <w:tcPr>
            <w:tcW w:w="851" w:type="dxa"/>
          </w:tcPr>
          <w:p w14:paraId="03EF181D"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067CC8CF"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7C30707B"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6958233B" w14:textId="77777777" w:rsidR="006163C0" w:rsidRPr="004871FC" w:rsidRDefault="006163C0" w:rsidP="006F4C51">
            <w:pPr>
              <w:pStyle w:val="Tabletext"/>
              <w:jc w:val="center"/>
              <w:rPr>
                <w:sz w:val="18"/>
                <w:szCs w:val="18"/>
              </w:rPr>
            </w:pPr>
            <w:r w:rsidRPr="004871FC">
              <w:rPr>
                <w:sz w:val="18"/>
                <w:szCs w:val="18"/>
              </w:rPr>
              <w:sym w:font="Wingdings" w:char="F0FC"/>
            </w:r>
          </w:p>
        </w:tc>
      </w:tr>
      <w:tr w:rsidR="006163C0" w:rsidRPr="004871FC" w14:paraId="128C7663" w14:textId="77777777" w:rsidTr="00B9688B">
        <w:trPr>
          <w:trHeight w:val="93"/>
        </w:trPr>
        <w:tc>
          <w:tcPr>
            <w:tcW w:w="1327" w:type="dxa"/>
            <w:vMerge/>
          </w:tcPr>
          <w:p w14:paraId="112641A3" w14:textId="77777777" w:rsidR="006163C0" w:rsidRPr="004871FC" w:rsidRDefault="006163C0" w:rsidP="006F4C51">
            <w:pPr>
              <w:pStyle w:val="Tabletext"/>
              <w:ind w:left="0" w:right="0"/>
              <w:rPr>
                <w:b/>
                <w:sz w:val="18"/>
                <w:szCs w:val="18"/>
              </w:rPr>
            </w:pPr>
          </w:p>
        </w:tc>
        <w:tc>
          <w:tcPr>
            <w:tcW w:w="3459" w:type="dxa"/>
          </w:tcPr>
          <w:p w14:paraId="03B0C3B0" w14:textId="77777777" w:rsidR="006163C0" w:rsidRPr="004871FC" w:rsidRDefault="006163C0" w:rsidP="006F4C51">
            <w:pPr>
              <w:pStyle w:val="Tabletext"/>
              <w:ind w:left="0" w:right="0"/>
              <w:rPr>
                <w:sz w:val="18"/>
                <w:szCs w:val="18"/>
              </w:rPr>
            </w:pPr>
            <w:r w:rsidRPr="004871FC">
              <w:rPr>
                <w:sz w:val="18"/>
                <w:szCs w:val="18"/>
              </w:rPr>
              <w:t xml:space="preserve">Other </w:t>
            </w:r>
            <w:r w:rsidR="00273D46" w:rsidRPr="004871FC">
              <w:rPr>
                <w:sz w:val="18"/>
                <w:szCs w:val="18"/>
              </w:rPr>
              <w:t>Immune related</w:t>
            </w:r>
            <w:r w:rsidRPr="004871FC">
              <w:rPr>
                <w:sz w:val="18"/>
                <w:szCs w:val="18"/>
              </w:rPr>
              <w:t xml:space="preserve"> events (myositis, myocarditis, Guillain-Barre Syndrome, uveitis)</w:t>
            </w:r>
          </w:p>
        </w:tc>
        <w:tc>
          <w:tcPr>
            <w:tcW w:w="851" w:type="dxa"/>
          </w:tcPr>
          <w:p w14:paraId="2F4FF6A1"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29B5411A"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298F4848"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78D4B0B8" w14:textId="77777777" w:rsidR="006163C0" w:rsidRPr="004871FC" w:rsidRDefault="006163C0" w:rsidP="006F4C51">
            <w:pPr>
              <w:pStyle w:val="Tabletext"/>
              <w:jc w:val="center"/>
              <w:rPr>
                <w:sz w:val="18"/>
                <w:szCs w:val="18"/>
              </w:rPr>
            </w:pPr>
            <w:r w:rsidRPr="004871FC">
              <w:rPr>
                <w:sz w:val="18"/>
                <w:szCs w:val="18"/>
              </w:rPr>
              <w:sym w:font="Wingdings" w:char="F0FC"/>
            </w:r>
          </w:p>
        </w:tc>
      </w:tr>
      <w:tr w:rsidR="006163C0" w:rsidRPr="004871FC" w14:paraId="16BAD991" w14:textId="77777777" w:rsidTr="00B9688B">
        <w:trPr>
          <w:trHeight w:val="93"/>
        </w:trPr>
        <w:tc>
          <w:tcPr>
            <w:tcW w:w="1327" w:type="dxa"/>
            <w:vMerge/>
          </w:tcPr>
          <w:p w14:paraId="31A66B0A" w14:textId="77777777" w:rsidR="006163C0" w:rsidRPr="004871FC" w:rsidRDefault="006163C0" w:rsidP="006F4C51">
            <w:pPr>
              <w:pStyle w:val="Tabletext"/>
              <w:ind w:left="0" w:right="0"/>
              <w:rPr>
                <w:b/>
                <w:sz w:val="18"/>
                <w:szCs w:val="18"/>
              </w:rPr>
            </w:pPr>
          </w:p>
        </w:tc>
        <w:tc>
          <w:tcPr>
            <w:tcW w:w="3459" w:type="dxa"/>
          </w:tcPr>
          <w:p w14:paraId="58652584" w14:textId="77777777" w:rsidR="006163C0" w:rsidRPr="004871FC" w:rsidRDefault="00273D46" w:rsidP="006F4C51">
            <w:pPr>
              <w:pStyle w:val="Tabletext"/>
              <w:ind w:left="0" w:right="0"/>
              <w:rPr>
                <w:sz w:val="18"/>
                <w:szCs w:val="18"/>
              </w:rPr>
            </w:pPr>
            <w:r w:rsidRPr="004871FC">
              <w:rPr>
                <w:sz w:val="18"/>
                <w:szCs w:val="18"/>
              </w:rPr>
              <w:t>Immune related</w:t>
            </w:r>
            <w:r w:rsidR="006163C0" w:rsidRPr="004871FC">
              <w:rPr>
                <w:sz w:val="18"/>
                <w:szCs w:val="18"/>
              </w:rPr>
              <w:t xml:space="preserve"> nephritis and renal dysfunction</w:t>
            </w:r>
          </w:p>
        </w:tc>
        <w:tc>
          <w:tcPr>
            <w:tcW w:w="851" w:type="dxa"/>
          </w:tcPr>
          <w:p w14:paraId="3B5D0C59"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7BAF9289"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19959AAB"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1B5B4034" w14:textId="77777777" w:rsidR="006163C0" w:rsidRPr="004871FC" w:rsidRDefault="006163C0" w:rsidP="006F4C51">
            <w:pPr>
              <w:pStyle w:val="Tabletext"/>
              <w:jc w:val="center"/>
              <w:rPr>
                <w:sz w:val="18"/>
                <w:szCs w:val="18"/>
              </w:rPr>
            </w:pPr>
            <w:r w:rsidRPr="004871FC">
              <w:rPr>
                <w:sz w:val="18"/>
                <w:szCs w:val="18"/>
              </w:rPr>
              <w:sym w:font="Wingdings" w:char="F0FC"/>
            </w:r>
          </w:p>
        </w:tc>
      </w:tr>
      <w:tr w:rsidR="006163C0" w:rsidRPr="004871FC" w14:paraId="043B1749" w14:textId="77777777" w:rsidTr="00B9688B">
        <w:trPr>
          <w:trHeight w:val="183"/>
        </w:trPr>
        <w:tc>
          <w:tcPr>
            <w:tcW w:w="1327" w:type="dxa"/>
            <w:vMerge/>
          </w:tcPr>
          <w:p w14:paraId="19395EE1" w14:textId="77777777" w:rsidR="006163C0" w:rsidRPr="004871FC" w:rsidRDefault="006163C0" w:rsidP="006F4C51">
            <w:pPr>
              <w:pStyle w:val="Tabletext"/>
              <w:ind w:left="0" w:right="0"/>
              <w:rPr>
                <w:b/>
                <w:sz w:val="18"/>
                <w:szCs w:val="18"/>
              </w:rPr>
            </w:pPr>
          </w:p>
        </w:tc>
        <w:tc>
          <w:tcPr>
            <w:tcW w:w="3459" w:type="dxa"/>
          </w:tcPr>
          <w:p w14:paraId="48F990FD" w14:textId="77777777" w:rsidR="006163C0" w:rsidRPr="004871FC" w:rsidRDefault="006163C0" w:rsidP="006F4C51">
            <w:pPr>
              <w:pStyle w:val="Tabletext"/>
              <w:ind w:left="0" w:right="0"/>
              <w:rPr>
                <w:sz w:val="18"/>
                <w:szCs w:val="18"/>
              </w:rPr>
            </w:pPr>
            <w:r w:rsidRPr="004871FC">
              <w:rPr>
                <w:sz w:val="18"/>
                <w:szCs w:val="18"/>
              </w:rPr>
              <w:t>Severe infusion-related reactions (</w:t>
            </w:r>
            <w:r w:rsidR="00A63E68" w:rsidRPr="004871FC">
              <w:rPr>
                <w:sz w:val="18"/>
                <w:szCs w:val="18"/>
              </w:rPr>
              <w:t>Grade</w:t>
            </w:r>
            <w:r w:rsidR="00AB42EE" w:rsidRPr="004871FC">
              <w:rPr>
                <w:sz w:val="18"/>
                <w:szCs w:val="18"/>
              </w:rPr>
              <w:t> </w:t>
            </w:r>
            <w:r w:rsidRPr="004871FC">
              <w:rPr>
                <w:sz w:val="18"/>
                <w:szCs w:val="18"/>
              </w:rPr>
              <w:t>≥ 3)</w:t>
            </w:r>
          </w:p>
        </w:tc>
        <w:tc>
          <w:tcPr>
            <w:tcW w:w="851" w:type="dxa"/>
          </w:tcPr>
          <w:p w14:paraId="293C1D0B"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0232EE64"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76F01910"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73FE777E" w14:textId="77777777" w:rsidR="006163C0" w:rsidRPr="004871FC" w:rsidRDefault="006163C0" w:rsidP="006F4C51">
            <w:pPr>
              <w:pStyle w:val="Tabletext"/>
              <w:jc w:val="center"/>
              <w:rPr>
                <w:sz w:val="18"/>
                <w:szCs w:val="18"/>
              </w:rPr>
            </w:pPr>
            <w:r w:rsidRPr="004871FC">
              <w:rPr>
                <w:sz w:val="18"/>
                <w:szCs w:val="18"/>
              </w:rPr>
              <w:sym w:font="Wingdings" w:char="F0FC"/>
            </w:r>
          </w:p>
        </w:tc>
      </w:tr>
      <w:tr w:rsidR="006163C0" w:rsidRPr="004871FC" w14:paraId="2A2AFDC9" w14:textId="77777777" w:rsidTr="00B9688B">
        <w:trPr>
          <w:trHeight w:val="156"/>
        </w:trPr>
        <w:tc>
          <w:tcPr>
            <w:tcW w:w="1327" w:type="dxa"/>
            <w:vMerge w:val="restart"/>
          </w:tcPr>
          <w:p w14:paraId="69F8FE65" w14:textId="77777777" w:rsidR="006163C0" w:rsidRPr="004871FC" w:rsidRDefault="006163C0" w:rsidP="006F4C51">
            <w:pPr>
              <w:pStyle w:val="Tabletext"/>
              <w:ind w:left="0" w:right="0"/>
              <w:rPr>
                <w:b/>
                <w:sz w:val="18"/>
                <w:szCs w:val="18"/>
              </w:rPr>
            </w:pPr>
            <w:r w:rsidRPr="004871FC">
              <w:rPr>
                <w:b/>
                <w:sz w:val="18"/>
                <w:szCs w:val="18"/>
              </w:rPr>
              <w:t>Important potential risks</w:t>
            </w:r>
          </w:p>
        </w:tc>
        <w:tc>
          <w:tcPr>
            <w:tcW w:w="3459" w:type="dxa"/>
          </w:tcPr>
          <w:p w14:paraId="10444F59" w14:textId="77777777" w:rsidR="006163C0" w:rsidRPr="004871FC" w:rsidRDefault="006163C0" w:rsidP="006F4C51">
            <w:pPr>
              <w:pStyle w:val="Tabletext"/>
              <w:ind w:left="0" w:right="0"/>
              <w:rPr>
                <w:strike/>
                <w:sz w:val="18"/>
                <w:szCs w:val="18"/>
                <w:highlight w:val="yellow"/>
              </w:rPr>
            </w:pPr>
            <w:r w:rsidRPr="004871FC">
              <w:rPr>
                <w:sz w:val="18"/>
                <w:szCs w:val="18"/>
              </w:rPr>
              <w:t>Severe cutaneous reactions</w:t>
            </w:r>
          </w:p>
        </w:tc>
        <w:tc>
          <w:tcPr>
            <w:tcW w:w="851" w:type="dxa"/>
          </w:tcPr>
          <w:p w14:paraId="27A4B6F7"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750BECF5" w14:textId="77777777" w:rsidR="006163C0" w:rsidRPr="004871FC" w:rsidRDefault="006163C0" w:rsidP="006F4C51">
            <w:pPr>
              <w:pStyle w:val="Tabletext"/>
              <w:jc w:val="center"/>
              <w:rPr>
                <w:sz w:val="18"/>
                <w:szCs w:val="18"/>
              </w:rPr>
            </w:pPr>
            <w:r w:rsidRPr="004871FC">
              <w:rPr>
                <w:sz w:val="18"/>
                <w:szCs w:val="18"/>
              </w:rPr>
              <w:t>–</w:t>
            </w:r>
          </w:p>
        </w:tc>
        <w:tc>
          <w:tcPr>
            <w:tcW w:w="958" w:type="dxa"/>
          </w:tcPr>
          <w:p w14:paraId="658E5AED"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214333E8"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3A9B3944" w14:textId="77777777" w:rsidTr="00B9688B">
        <w:trPr>
          <w:trHeight w:val="120"/>
        </w:trPr>
        <w:tc>
          <w:tcPr>
            <w:tcW w:w="1327" w:type="dxa"/>
            <w:vMerge/>
          </w:tcPr>
          <w:p w14:paraId="4E56CBD4" w14:textId="77777777" w:rsidR="006163C0" w:rsidRPr="004871FC" w:rsidRDefault="006163C0" w:rsidP="006F4C51">
            <w:pPr>
              <w:pStyle w:val="Tabletext"/>
              <w:ind w:left="0" w:right="0"/>
              <w:rPr>
                <w:b/>
                <w:sz w:val="18"/>
                <w:szCs w:val="18"/>
              </w:rPr>
            </w:pPr>
          </w:p>
        </w:tc>
        <w:tc>
          <w:tcPr>
            <w:tcW w:w="3459" w:type="dxa"/>
          </w:tcPr>
          <w:p w14:paraId="72D66C9D" w14:textId="77777777" w:rsidR="006163C0" w:rsidRPr="004871FC" w:rsidRDefault="006163C0" w:rsidP="006F4C51">
            <w:pPr>
              <w:pStyle w:val="Tabletext"/>
              <w:ind w:left="0" w:right="0"/>
              <w:rPr>
                <w:sz w:val="18"/>
                <w:szCs w:val="18"/>
              </w:rPr>
            </w:pPr>
            <w:r w:rsidRPr="004871FC">
              <w:rPr>
                <w:sz w:val="18"/>
                <w:szCs w:val="18"/>
              </w:rPr>
              <w:t xml:space="preserve">Other </w:t>
            </w:r>
            <w:r w:rsidR="00273D46" w:rsidRPr="004871FC">
              <w:rPr>
                <w:sz w:val="18"/>
                <w:szCs w:val="18"/>
              </w:rPr>
              <w:t>Immune related</w:t>
            </w:r>
            <w:r w:rsidRPr="004871FC">
              <w:rPr>
                <w:sz w:val="18"/>
                <w:szCs w:val="18"/>
              </w:rPr>
              <w:t xml:space="preserve"> events (encephalitis, myasthenic syndrome, pancreatitis)</w:t>
            </w:r>
          </w:p>
        </w:tc>
        <w:tc>
          <w:tcPr>
            <w:tcW w:w="851" w:type="dxa"/>
          </w:tcPr>
          <w:p w14:paraId="2711B2C1"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6D03695B"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36EDC0B2"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5A063139"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63D6BF36" w14:textId="77777777" w:rsidTr="00B9688B">
        <w:trPr>
          <w:trHeight w:val="120"/>
        </w:trPr>
        <w:tc>
          <w:tcPr>
            <w:tcW w:w="1327" w:type="dxa"/>
            <w:vMerge/>
          </w:tcPr>
          <w:p w14:paraId="6FF0AC35" w14:textId="77777777" w:rsidR="006163C0" w:rsidRPr="004871FC" w:rsidRDefault="006163C0" w:rsidP="006F4C51">
            <w:pPr>
              <w:pStyle w:val="Tabletext"/>
              <w:ind w:left="0" w:right="0"/>
              <w:rPr>
                <w:b/>
                <w:sz w:val="18"/>
                <w:szCs w:val="18"/>
              </w:rPr>
            </w:pPr>
          </w:p>
        </w:tc>
        <w:tc>
          <w:tcPr>
            <w:tcW w:w="3459" w:type="dxa"/>
          </w:tcPr>
          <w:p w14:paraId="7F0B6A88" w14:textId="77777777" w:rsidR="006163C0" w:rsidRPr="004871FC" w:rsidRDefault="006163C0" w:rsidP="006F4C51">
            <w:pPr>
              <w:pStyle w:val="Tabletext"/>
              <w:ind w:left="0" w:right="0"/>
              <w:rPr>
                <w:sz w:val="18"/>
                <w:szCs w:val="18"/>
              </w:rPr>
            </w:pPr>
            <w:r w:rsidRPr="004871FC">
              <w:rPr>
                <w:sz w:val="18"/>
                <w:szCs w:val="18"/>
              </w:rPr>
              <w:t>Embryofetal toxicity</w:t>
            </w:r>
          </w:p>
        </w:tc>
        <w:tc>
          <w:tcPr>
            <w:tcW w:w="851" w:type="dxa"/>
          </w:tcPr>
          <w:p w14:paraId="7402D837"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2C2DBD14" w14:textId="77777777" w:rsidR="006163C0" w:rsidRPr="004871FC" w:rsidRDefault="006163C0" w:rsidP="006F4C51">
            <w:pPr>
              <w:pStyle w:val="Tabletext"/>
              <w:jc w:val="center"/>
              <w:rPr>
                <w:sz w:val="18"/>
                <w:szCs w:val="18"/>
              </w:rPr>
            </w:pPr>
            <w:r w:rsidRPr="004871FC">
              <w:rPr>
                <w:sz w:val="18"/>
                <w:szCs w:val="18"/>
              </w:rPr>
              <w:t>–</w:t>
            </w:r>
          </w:p>
        </w:tc>
        <w:tc>
          <w:tcPr>
            <w:tcW w:w="958" w:type="dxa"/>
          </w:tcPr>
          <w:p w14:paraId="71BB6EEC"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3E9B3897"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29782F16" w14:textId="77777777" w:rsidTr="00B9688B">
        <w:trPr>
          <w:trHeight w:val="110"/>
        </w:trPr>
        <w:tc>
          <w:tcPr>
            <w:tcW w:w="1327" w:type="dxa"/>
            <w:vMerge/>
          </w:tcPr>
          <w:p w14:paraId="407269F6" w14:textId="77777777" w:rsidR="006163C0" w:rsidRPr="004871FC" w:rsidRDefault="006163C0" w:rsidP="006F4C51">
            <w:pPr>
              <w:pStyle w:val="Tabletext"/>
              <w:ind w:left="0" w:right="0"/>
              <w:rPr>
                <w:b/>
                <w:sz w:val="18"/>
                <w:szCs w:val="18"/>
              </w:rPr>
            </w:pPr>
          </w:p>
        </w:tc>
        <w:tc>
          <w:tcPr>
            <w:tcW w:w="3459" w:type="dxa"/>
          </w:tcPr>
          <w:p w14:paraId="0057D910" w14:textId="77777777" w:rsidR="006163C0" w:rsidRPr="004871FC" w:rsidRDefault="006163C0" w:rsidP="006F4C51">
            <w:pPr>
              <w:pStyle w:val="Tabletext"/>
              <w:ind w:left="0" w:right="0"/>
              <w:rPr>
                <w:sz w:val="18"/>
                <w:szCs w:val="18"/>
              </w:rPr>
            </w:pPr>
            <w:r w:rsidRPr="004871FC">
              <w:rPr>
                <w:sz w:val="18"/>
                <w:szCs w:val="18"/>
              </w:rPr>
              <w:t>Immunogenicity</w:t>
            </w:r>
          </w:p>
        </w:tc>
        <w:tc>
          <w:tcPr>
            <w:tcW w:w="851" w:type="dxa"/>
          </w:tcPr>
          <w:p w14:paraId="452EF45C"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35613415"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6D17D681"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468CFAA4"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3E0A5332" w14:textId="77777777" w:rsidTr="00B9688B">
        <w:trPr>
          <w:trHeight w:val="175"/>
        </w:trPr>
        <w:tc>
          <w:tcPr>
            <w:tcW w:w="1327" w:type="dxa"/>
            <w:vMerge w:val="restart"/>
          </w:tcPr>
          <w:p w14:paraId="02B319BD" w14:textId="77777777" w:rsidR="006163C0" w:rsidRPr="004871FC" w:rsidRDefault="006163C0" w:rsidP="006F4C51">
            <w:pPr>
              <w:pStyle w:val="Tabletext"/>
              <w:ind w:left="0" w:right="0"/>
              <w:rPr>
                <w:b/>
                <w:sz w:val="18"/>
                <w:szCs w:val="18"/>
              </w:rPr>
            </w:pPr>
            <w:r w:rsidRPr="004871FC">
              <w:rPr>
                <w:b/>
                <w:sz w:val="18"/>
                <w:szCs w:val="18"/>
              </w:rPr>
              <w:t>Missing information</w:t>
            </w:r>
          </w:p>
        </w:tc>
        <w:tc>
          <w:tcPr>
            <w:tcW w:w="3459" w:type="dxa"/>
          </w:tcPr>
          <w:p w14:paraId="2BEF2AB9" w14:textId="77777777" w:rsidR="006163C0" w:rsidRPr="004871FC" w:rsidRDefault="006163C0" w:rsidP="006F4C51">
            <w:pPr>
              <w:pStyle w:val="Tabletext"/>
              <w:ind w:left="0" w:right="0"/>
              <w:rPr>
                <w:rFonts w:cs="Arial"/>
                <w:sz w:val="18"/>
                <w:szCs w:val="18"/>
              </w:rPr>
            </w:pPr>
            <w:r w:rsidRPr="004871FC">
              <w:rPr>
                <w:rFonts w:cs="Arial"/>
                <w:sz w:val="18"/>
                <w:szCs w:val="18"/>
              </w:rPr>
              <w:t>Safety in patients with:</w:t>
            </w:r>
          </w:p>
        </w:tc>
        <w:tc>
          <w:tcPr>
            <w:tcW w:w="851" w:type="dxa"/>
          </w:tcPr>
          <w:p w14:paraId="1146C47E" w14:textId="77777777" w:rsidR="006163C0" w:rsidRPr="004871FC" w:rsidRDefault="006163C0" w:rsidP="006F4C51">
            <w:pPr>
              <w:pStyle w:val="Tabletext"/>
              <w:jc w:val="center"/>
              <w:rPr>
                <w:sz w:val="18"/>
                <w:szCs w:val="18"/>
              </w:rPr>
            </w:pPr>
          </w:p>
        </w:tc>
        <w:tc>
          <w:tcPr>
            <w:tcW w:w="1026" w:type="dxa"/>
          </w:tcPr>
          <w:p w14:paraId="62ECD29D" w14:textId="77777777" w:rsidR="006163C0" w:rsidRPr="004871FC" w:rsidRDefault="006163C0" w:rsidP="006F4C51">
            <w:pPr>
              <w:pStyle w:val="Tabletext"/>
              <w:jc w:val="center"/>
              <w:rPr>
                <w:sz w:val="18"/>
                <w:szCs w:val="18"/>
              </w:rPr>
            </w:pPr>
          </w:p>
        </w:tc>
        <w:tc>
          <w:tcPr>
            <w:tcW w:w="958" w:type="dxa"/>
          </w:tcPr>
          <w:p w14:paraId="3258BDC2" w14:textId="77777777" w:rsidR="006163C0" w:rsidRPr="004871FC" w:rsidRDefault="006163C0" w:rsidP="006F4C51">
            <w:pPr>
              <w:pStyle w:val="Tabletext"/>
              <w:jc w:val="center"/>
              <w:rPr>
                <w:sz w:val="18"/>
                <w:szCs w:val="18"/>
              </w:rPr>
            </w:pPr>
          </w:p>
        </w:tc>
        <w:tc>
          <w:tcPr>
            <w:tcW w:w="1134" w:type="dxa"/>
          </w:tcPr>
          <w:p w14:paraId="11748476" w14:textId="77777777" w:rsidR="006163C0" w:rsidRPr="004871FC" w:rsidRDefault="006163C0" w:rsidP="006F4C51">
            <w:pPr>
              <w:pStyle w:val="Tabletext"/>
              <w:jc w:val="center"/>
              <w:rPr>
                <w:sz w:val="18"/>
                <w:szCs w:val="18"/>
              </w:rPr>
            </w:pPr>
          </w:p>
        </w:tc>
      </w:tr>
      <w:tr w:rsidR="006163C0" w:rsidRPr="004871FC" w14:paraId="14DC0BDB" w14:textId="77777777" w:rsidTr="00B9688B">
        <w:trPr>
          <w:trHeight w:val="102"/>
        </w:trPr>
        <w:tc>
          <w:tcPr>
            <w:tcW w:w="1327" w:type="dxa"/>
            <w:vMerge/>
          </w:tcPr>
          <w:p w14:paraId="2D268513" w14:textId="77777777" w:rsidR="006163C0" w:rsidRPr="004871FC" w:rsidRDefault="006163C0" w:rsidP="006F4C51">
            <w:pPr>
              <w:pStyle w:val="Tabletext"/>
              <w:ind w:left="0" w:right="0"/>
              <w:rPr>
                <w:sz w:val="18"/>
                <w:szCs w:val="18"/>
              </w:rPr>
            </w:pPr>
          </w:p>
        </w:tc>
        <w:tc>
          <w:tcPr>
            <w:tcW w:w="3459" w:type="dxa"/>
          </w:tcPr>
          <w:p w14:paraId="39CBF08F" w14:textId="77777777" w:rsidR="006163C0" w:rsidRPr="004871FC" w:rsidRDefault="006163C0" w:rsidP="006F4C51">
            <w:pPr>
              <w:pStyle w:val="Tabletext"/>
              <w:ind w:left="0" w:right="0"/>
              <w:rPr>
                <w:rFonts w:cs="Arial"/>
                <w:sz w:val="18"/>
                <w:szCs w:val="18"/>
              </w:rPr>
            </w:pPr>
            <w:r w:rsidRPr="004871FC">
              <w:rPr>
                <w:rFonts w:cs="Arial"/>
                <w:sz w:val="18"/>
                <w:szCs w:val="18"/>
              </w:rPr>
              <w:t>Autoimmune disease</w:t>
            </w:r>
          </w:p>
        </w:tc>
        <w:tc>
          <w:tcPr>
            <w:tcW w:w="851" w:type="dxa"/>
          </w:tcPr>
          <w:p w14:paraId="5FD882CD"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101EDF0C" w14:textId="77777777" w:rsidR="006163C0" w:rsidRPr="004871FC" w:rsidRDefault="006163C0" w:rsidP="006F4C51">
            <w:pPr>
              <w:pStyle w:val="Tabletext"/>
              <w:jc w:val="center"/>
              <w:rPr>
                <w:sz w:val="18"/>
                <w:szCs w:val="18"/>
              </w:rPr>
            </w:pPr>
            <w:r w:rsidRPr="004871FC">
              <w:rPr>
                <w:sz w:val="18"/>
                <w:szCs w:val="18"/>
              </w:rPr>
              <w:t>–</w:t>
            </w:r>
          </w:p>
        </w:tc>
        <w:tc>
          <w:tcPr>
            <w:tcW w:w="958" w:type="dxa"/>
          </w:tcPr>
          <w:p w14:paraId="0B5F8A68"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6B4D705A"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7306535C" w14:textId="77777777" w:rsidTr="00B9688B">
        <w:trPr>
          <w:trHeight w:val="102"/>
        </w:trPr>
        <w:tc>
          <w:tcPr>
            <w:tcW w:w="1327" w:type="dxa"/>
            <w:vMerge/>
          </w:tcPr>
          <w:p w14:paraId="58BF9E68" w14:textId="77777777" w:rsidR="006163C0" w:rsidRPr="004871FC" w:rsidRDefault="006163C0" w:rsidP="006F4C51">
            <w:pPr>
              <w:pStyle w:val="Tabletext"/>
              <w:ind w:left="0" w:right="0"/>
              <w:rPr>
                <w:sz w:val="18"/>
                <w:szCs w:val="18"/>
              </w:rPr>
            </w:pPr>
          </w:p>
        </w:tc>
        <w:tc>
          <w:tcPr>
            <w:tcW w:w="3459" w:type="dxa"/>
          </w:tcPr>
          <w:p w14:paraId="4A2CF16B" w14:textId="77777777" w:rsidR="006163C0" w:rsidRPr="004871FC" w:rsidRDefault="006163C0" w:rsidP="006F4C51">
            <w:pPr>
              <w:pStyle w:val="Tabletext"/>
              <w:ind w:left="0" w:right="0"/>
              <w:rPr>
                <w:rFonts w:cs="Arial"/>
                <w:sz w:val="18"/>
                <w:szCs w:val="18"/>
              </w:rPr>
            </w:pPr>
            <w:r w:rsidRPr="004871FC">
              <w:rPr>
                <w:rFonts w:cs="Arial"/>
                <w:sz w:val="18"/>
                <w:szCs w:val="18"/>
              </w:rPr>
              <w:t>HIV, Hepatitis B or C infections</w:t>
            </w:r>
          </w:p>
        </w:tc>
        <w:tc>
          <w:tcPr>
            <w:tcW w:w="851" w:type="dxa"/>
          </w:tcPr>
          <w:p w14:paraId="39367674"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796B1F26" w14:textId="77777777" w:rsidR="006163C0" w:rsidRPr="004871FC" w:rsidRDefault="006163C0" w:rsidP="006F4C51">
            <w:pPr>
              <w:pStyle w:val="Tabletext"/>
              <w:jc w:val="center"/>
              <w:rPr>
                <w:sz w:val="18"/>
                <w:szCs w:val="18"/>
              </w:rPr>
            </w:pPr>
            <w:r w:rsidRPr="004871FC">
              <w:rPr>
                <w:sz w:val="18"/>
                <w:szCs w:val="18"/>
              </w:rPr>
              <w:t>–</w:t>
            </w:r>
          </w:p>
        </w:tc>
        <w:tc>
          <w:tcPr>
            <w:tcW w:w="958" w:type="dxa"/>
          </w:tcPr>
          <w:p w14:paraId="1D96DAEF"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3F59CC7B"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1EE219A8" w14:textId="77777777" w:rsidTr="00B9688B">
        <w:trPr>
          <w:trHeight w:val="102"/>
        </w:trPr>
        <w:tc>
          <w:tcPr>
            <w:tcW w:w="1327" w:type="dxa"/>
            <w:vMerge/>
          </w:tcPr>
          <w:p w14:paraId="54B8F7F7" w14:textId="77777777" w:rsidR="006163C0" w:rsidRPr="004871FC" w:rsidRDefault="006163C0" w:rsidP="006F4C51">
            <w:pPr>
              <w:pStyle w:val="Tabletext"/>
              <w:ind w:left="0" w:right="0"/>
              <w:rPr>
                <w:sz w:val="18"/>
                <w:szCs w:val="18"/>
              </w:rPr>
            </w:pPr>
          </w:p>
        </w:tc>
        <w:tc>
          <w:tcPr>
            <w:tcW w:w="3459" w:type="dxa"/>
          </w:tcPr>
          <w:p w14:paraId="570DAF32" w14:textId="77777777" w:rsidR="006163C0" w:rsidRPr="004871FC" w:rsidRDefault="006163C0" w:rsidP="006F4C51">
            <w:pPr>
              <w:pStyle w:val="Tabletext"/>
              <w:ind w:left="0" w:right="0"/>
              <w:rPr>
                <w:rFonts w:cs="Arial"/>
                <w:sz w:val="18"/>
                <w:szCs w:val="18"/>
              </w:rPr>
            </w:pPr>
            <w:r w:rsidRPr="004871FC">
              <w:rPr>
                <w:rFonts w:cs="Arial"/>
                <w:sz w:val="18"/>
                <w:szCs w:val="18"/>
              </w:rPr>
              <w:t>Organ transplants</w:t>
            </w:r>
          </w:p>
        </w:tc>
        <w:tc>
          <w:tcPr>
            <w:tcW w:w="851" w:type="dxa"/>
          </w:tcPr>
          <w:p w14:paraId="430703A8"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7F240C7C" w14:textId="77777777" w:rsidR="006163C0" w:rsidRPr="004871FC" w:rsidRDefault="006163C0" w:rsidP="006F4C51">
            <w:pPr>
              <w:pStyle w:val="Tabletext"/>
              <w:jc w:val="center"/>
              <w:rPr>
                <w:sz w:val="18"/>
                <w:szCs w:val="18"/>
              </w:rPr>
            </w:pPr>
            <w:r w:rsidRPr="004871FC">
              <w:rPr>
                <w:sz w:val="18"/>
                <w:szCs w:val="18"/>
              </w:rPr>
              <w:t>–</w:t>
            </w:r>
          </w:p>
        </w:tc>
        <w:tc>
          <w:tcPr>
            <w:tcW w:w="958" w:type="dxa"/>
          </w:tcPr>
          <w:p w14:paraId="24FFE3B0"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07CEAD7C"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1DB3AAAD" w14:textId="77777777" w:rsidTr="00B9688B">
        <w:trPr>
          <w:trHeight w:val="138"/>
        </w:trPr>
        <w:tc>
          <w:tcPr>
            <w:tcW w:w="1327" w:type="dxa"/>
            <w:vMerge/>
          </w:tcPr>
          <w:p w14:paraId="62FF10EE" w14:textId="77777777" w:rsidR="006163C0" w:rsidRPr="004871FC" w:rsidRDefault="006163C0" w:rsidP="006F4C51">
            <w:pPr>
              <w:pStyle w:val="Tabletext"/>
              <w:ind w:left="0" w:right="0"/>
              <w:rPr>
                <w:sz w:val="18"/>
                <w:szCs w:val="18"/>
              </w:rPr>
            </w:pPr>
          </w:p>
        </w:tc>
        <w:tc>
          <w:tcPr>
            <w:tcW w:w="3459" w:type="dxa"/>
          </w:tcPr>
          <w:p w14:paraId="6E395E90" w14:textId="77777777" w:rsidR="006163C0" w:rsidRPr="004871FC" w:rsidRDefault="006163C0" w:rsidP="006F4C51">
            <w:pPr>
              <w:pStyle w:val="Tabletext"/>
              <w:ind w:left="0" w:right="0"/>
              <w:rPr>
                <w:rFonts w:cs="Arial"/>
                <w:sz w:val="18"/>
                <w:szCs w:val="18"/>
              </w:rPr>
            </w:pPr>
            <w:r w:rsidRPr="004871FC">
              <w:rPr>
                <w:rFonts w:cs="Arial"/>
                <w:sz w:val="18"/>
                <w:szCs w:val="18"/>
              </w:rPr>
              <w:t xml:space="preserve">Use during Lactation </w:t>
            </w:r>
          </w:p>
        </w:tc>
        <w:tc>
          <w:tcPr>
            <w:tcW w:w="851" w:type="dxa"/>
          </w:tcPr>
          <w:p w14:paraId="29EDADEE"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1E36416E" w14:textId="77777777" w:rsidR="006163C0" w:rsidRPr="004871FC" w:rsidRDefault="006163C0" w:rsidP="006F4C51">
            <w:pPr>
              <w:pStyle w:val="Tabletext"/>
              <w:jc w:val="center"/>
              <w:rPr>
                <w:sz w:val="18"/>
                <w:szCs w:val="18"/>
              </w:rPr>
            </w:pPr>
            <w:r w:rsidRPr="004871FC">
              <w:rPr>
                <w:sz w:val="18"/>
                <w:szCs w:val="18"/>
              </w:rPr>
              <w:t>–</w:t>
            </w:r>
          </w:p>
        </w:tc>
        <w:tc>
          <w:tcPr>
            <w:tcW w:w="958" w:type="dxa"/>
          </w:tcPr>
          <w:p w14:paraId="2278D4C1"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1086C802"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559A5022" w14:textId="77777777" w:rsidTr="00B9688B">
        <w:trPr>
          <w:trHeight w:val="138"/>
        </w:trPr>
        <w:tc>
          <w:tcPr>
            <w:tcW w:w="1327" w:type="dxa"/>
            <w:vMerge/>
          </w:tcPr>
          <w:p w14:paraId="10A7804C" w14:textId="77777777" w:rsidR="006163C0" w:rsidRPr="004871FC" w:rsidRDefault="006163C0" w:rsidP="006F4C51">
            <w:pPr>
              <w:pStyle w:val="Tabletext"/>
              <w:ind w:left="0" w:right="0"/>
              <w:rPr>
                <w:sz w:val="18"/>
                <w:szCs w:val="18"/>
              </w:rPr>
            </w:pPr>
          </w:p>
        </w:tc>
        <w:tc>
          <w:tcPr>
            <w:tcW w:w="3459" w:type="dxa"/>
          </w:tcPr>
          <w:p w14:paraId="04F1A819" w14:textId="77777777" w:rsidR="006163C0" w:rsidRPr="004871FC" w:rsidRDefault="006163C0" w:rsidP="006F4C51">
            <w:pPr>
              <w:pStyle w:val="Tabletext"/>
              <w:ind w:left="0" w:right="0"/>
              <w:rPr>
                <w:rFonts w:cs="Arial"/>
                <w:sz w:val="18"/>
                <w:szCs w:val="18"/>
              </w:rPr>
            </w:pPr>
            <w:r w:rsidRPr="004871FC">
              <w:rPr>
                <w:rFonts w:cs="Arial"/>
                <w:sz w:val="18"/>
                <w:szCs w:val="18"/>
              </w:rPr>
              <w:t>Long-term treatment</w:t>
            </w:r>
          </w:p>
        </w:tc>
        <w:tc>
          <w:tcPr>
            <w:tcW w:w="851" w:type="dxa"/>
          </w:tcPr>
          <w:p w14:paraId="45CA7B4F"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03E95055" w14:textId="77777777" w:rsidR="006163C0" w:rsidRPr="004871FC" w:rsidRDefault="006163C0" w:rsidP="006F4C51">
            <w:pPr>
              <w:pStyle w:val="Tabletext"/>
              <w:jc w:val="center"/>
              <w:rPr>
                <w:sz w:val="18"/>
                <w:szCs w:val="18"/>
              </w:rPr>
            </w:pPr>
            <w:r w:rsidRPr="004871FC">
              <w:rPr>
                <w:sz w:val="18"/>
                <w:szCs w:val="18"/>
              </w:rPr>
              <w:t>–</w:t>
            </w:r>
          </w:p>
        </w:tc>
        <w:tc>
          <w:tcPr>
            <w:tcW w:w="958" w:type="dxa"/>
          </w:tcPr>
          <w:p w14:paraId="28BB7D0F" w14:textId="77777777" w:rsidR="006163C0" w:rsidRPr="004871FC" w:rsidRDefault="006163C0" w:rsidP="006F4C51">
            <w:pPr>
              <w:pStyle w:val="Tabletext"/>
              <w:jc w:val="center"/>
              <w:rPr>
                <w:sz w:val="18"/>
                <w:szCs w:val="18"/>
              </w:rPr>
            </w:pPr>
            <w:r w:rsidRPr="004871FC">
              <w:rPr>
                <w:sz w:val="18"/>
                <w:szCs w:val="18"/>
              </w:rPr>
              <w:t>–</w:t>
            </w:r>
          </w:p>
        </w:tc>
        <w:tc>
          <w:tcPr>
            <w:tcW w:w="1134" w:type="dxa"/>
          </w:tcPr>
          <w:p w14:paraId="3BB97A6C" w14:textId="77777777" w:rsidR="006163C0" w:rsidRPr="004871FC" w:rsidRDefault="006163C0" w:rsidP="006F4C51">
            <w:pPr>
              <w:pStyle w:val="Tabletext"/>
              <w:jc w:val="center"/>
              <w:rPr>
                <w:sz w:val="18"/>
                <w:szCs w:val="18"/>
              </w:rPr>
            </w:pPr>
            <w:r w:rsidRPr="004871FC">
              <w:rPr>
                <w:sz w:val="18"/>
                <w:szCs w:val="18"/>
              </w:rPr>
              <w:t>–</w:t>
            </w:r>
          </w:p>
        </w:tc>
      </w:tr>
      <w:tr w:rsidR="006163C0" w:rsidRPr="004871FC" w14:paraId="4DDC8499" w14:textId="77777777" w:rsidTr="00B9688B">
        <w:trPr>
          <w:trHeight w:val="138"/>
        </w:trPr>
        <w:tc>
          <w:tcPr>
            <w:tcW w:w="1327" w:type="dxa"/>
            <w:vMerge/>
          </w:tcPr>
          <w:p w14:paraId="1C010C75" w14:textId="77777777" w:rsidR="006163C0" w:rsidRPr="004871FC" w:rsidRDefault="006163C0" w:rsidP="006F4C51">
            <w:pPr>
              <w:pStyle w:val="Tabletext"/>
              <w:ind w:left="0" w:right="0"/>
              <w:rPr>
                <w:sz w:val="18"/>
                <w:szCs w:val="18"/>
              </w:rPr>
            </w:pPr>
          </w:p>
        </w:tc>
        <w:tc>
          <w:tcPr>
            <w:tcW w:w="3459" w:type="dxa"/>
          </w:tcPr>
          <w:p w14:paraId="6F47B1C1" w14:textId="77777777" w:rsidR="006163C0" w:rsidRPr="004871FC" w:rsidRDefault="006163C0" w:rsidP="006F4C51">
            <w:pPr>
              <w:pStyle w:val="Tabletext"/>
              <w:ind w:left="0" w:right="0"/>
              <w:rPr>
                <w:rFonts w:cs="Arial"/>
                <w:sz w:val="18"/>
                <w:szCs w:val="18"/>
              </w:rPr>
            </w:pPr>
            <w:r w:rsidRPr="004871FC">
              <w:rPr>
                <w:rFonts w:cs="Arial"/>
                <w:sz w:val="18"/>
                <w:szCs w:val="18"/>
              </w:rPr>
              <w:t>Safety and</w:t>
            </w:r>
            <w:r w:rsidR="00AB42EE" w:rsidRPr="004871FC">
              <w:rPr>
                <w:rFonts w:cs="Arial"/>
                <w:sz w:val="18"/>
                <w:szCs w:val="18"/>
              </w:rPr>
              <w:t xml:space="preserve"> efficacy in immune compromised p</w:t>
            </w:r>
            <w:r w:rsidRPr="004871FC">
              <w:rPr>
                <w:rFonts w:cs="Arial"/>
                <w:sz w:val="18"/>
                <w:szCs w:val="18"/>
              </w:rPr>
              <w:t>atients</w:t>
            </w:r>
          </w:p>
        </w:tc>
        <w:tc>
          <w:tcPr>
            <w:tcW w:w="851" w:type="dxa"/>
          </w:tcPr>
          <w:p w14:paraId="2C7B1D5E"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026" w:type="dxa"/>
          </w:tcPr>
          <w:p w14:paraId="0A227A7D"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958" w:type="dxa"/>
          </w:tcPr>
          <w:p w14:paraId="67C1D0FE" w14:textId="77777777" w:rsidR="006163C0" w:rsidRPr="004871FC" w:rsidRDefault="006163C0" w:rsidP="006F4C51">
            <w:pPr>
              <w:pStyle w:val="Tabletext"/>
              <w:jc w:val="center"/>
              <w:rPr>
                <w:sz w:val="18"/>
                <w:szCs w:val="18"/>
              </w:rPr>
            </w:pPr>
            <w:r w:rsidRPr="004871FC">
              <w:rPr>
                <w:sz w:val="18"/>
                <w:szCs w:val="18"/>
              </w:rPr>
              <w:sym w:font="Wingdings" w:char="F0FC"/>
            </w:r>
          </w:p>
        </w:tc>
        <w:tc>
          <w:tcPr>
            <w:tcW w:w="1134" w:type="dxa"/>
          </w:tcPr>
          <w:p w14:paraId="117B9A56" w14:textId="77777777" w:rsidR="006163C0" w:rsidRPr="004871FC" w:rsidRDefault="006163C0" w:rsidP="006F4C51">
            <w:pPr>
              <w:pStyle w:val="Tabletext"/>
              <w:jc w:val="center"/>
              <w:rPr>
                <w:sz w:val="18"/>
                <w:szCs w:val="18"/>
              </w:rPr>
            </w:pPr>
            <w:r w:rsidRPr="004871FC">
              <w:rPr>
                <w:sz w:val="18"/>
                <w:szCs w:val="18"/>
              </w:rPr>
              <w:t>–</w:t>
            </w:r>
          </w:p>
        </w:tc>
      </w:tr>
    </w:tbl>
    <w:p w14:paraId="3112FD5B" w14:textId="77777777" w:rsidR="006163C0" w:rsidRPr="006163C0" w:rsidRDefault="006163C0" w:rsidP="0020460B">
      <w:pPr>
        <w:pStyle w:val="ListBullet"/>
      </w:pPr>
      <w:r w:rsidRPr="006163C0">
        <w:t>Additional pharmacovigilance activities comprise of clinical trials.</w:t>
      </w:r>
    </w:p>
    <w:p w14:paraId="408E6C0B" w14:textId="28CDAFBB" w:rsidR="006163C0" w:rsidRPr="006163C0" w:rsidRDefault="006163C0" w:rsidP="0020460B">
      <w:pPr>
        <w:pStyle w:val="ListBullet"/>
      </w:pPr>
      <w:r w:rsidRPr="006163C0">
        <w:lastRenderedPageBreak/>
        <w:t xml:space="preserve">The additional risk minimisation activities include </w:t>
      </w:r>
      <w:r w:rsidR="009B5588">
        <w:t>a Health Care Professional (</w:t>
      </w:r>
      <w:r w:rsidRPr="006163C0">
        <w:t>HCP</w:t>
      </w:r>
      <w:r w:rsidR="009B5588">
        <w:t>)</w:t>
      </w:r>
      <w:r w:rsidRPr="006163C0">
        <w:t xml:space="preserve"> Frequently Asked Questions (FAQ) </w:t>
      </w:r>
      <w:r w:rsidR="009B5588">
        <w:t>b</w:t>
      </w:r>
      <w:r w:rsidR="009B5588" w:rsidRPr="006163C0">
        <w:t>rochure</w:t>
      </w:r>
      <w:r w:rsidRPr="006163C0">
        <w:t xml:space="preserve">, Patient Information </w:t>
      </w:r>
      <w:r w:rsidR="00685885">
        <w:t>b</w:t>
      </w:r>
      <w:r w:rsidR="00685885" w:rsidRPr="006163C0">
        <w:t xml:space="preserve">rochure </w:t>
      </w:r>
      <w:r w:rsidRPr="006163C0">
        <w:t>and a Patient Alert Card.</w:t>
      </w:r>
    </w:p>
    <w:p w14:paraId="32D3AF9F" w14:textId="77777777" w:rsidR="00456765" w:rsidRDefault="00456765" w:rsidP="001E3882">
      <w:pPr>
        <w:pStyle w:val="Heading4"/>
      </w:pPr>
      <w:bookmarkStart w:id="191" w:name="_Toc477354123"/>
      <w:r>
        <w:t xml:space="preserve">New and </w:t>
      </w:r>
      <w:r w:rsidRPr="001E3882">
        <w:t>outstanding</w:t>
      </w:r>
      <w:r>
        <w:t xml:space="preserve"> recommendations from second round evaluation</w:t>
      </w:r>
      <w:bookmarkEnd w:id="191"/>
    </w:p>
    <w:p w14:paraId="7E05477E" w14:textId="77777777" w:rsidR="006163C0" w:rsidRPr="006163C0" w:rsidRDefault="006163C0" w:rsidP="001E3882">
      <w:r w:rsidRPr="006163C0">
        <w:t>The summary of safety concerns in the ASA has been revised to align with the safety summary of the EU RMP version 1.6 (date 20 July 2017, DLP 9 June 2016). Additional risk minimisation measures in the form of HCP and patient education have been proposed for Australia. The ASA has been updated (version 1.1, date 27 November 2017) and the educational materials have been appended to the ASA.</w:t>
      </w:r>
    </w:p>
    <w:p w14:paraId="2B9499B9" w14:textId="77777777" w:rsidR="006163C0" w:rsidRPr="006163C0" w:rsidRDefault="006163C0" w:rsidP="006163C0">
      <w:r w:rsidRPr="006163C0">
        <w:t>It is expected that the ASA will be updated when the results of the studies relevant to Australia become available.</w:t>
      </w:r>
    </w:p>
    <w:p w14:paraId="7EDA05E0" w14:textId="77777777" w:rsidR="00456765" w:rsidRDefault="006163C0" w:rsidP="001E3882">
      <w:r w:rsidRPr="006163C0">
        <w:t>There are no major outstanding RMP recommendations. It is noted that this product is included in the Black Triangle Scheme, and that the sponsor has included the symbol and relevant accompanying text in the additional risk minimisation activities. The sponsor is recommended to ensure that adverse events reports also collect information on the management of the adverse event, and that this information is used to inform the effectiveness of these additional risk minimisation activities.</w:t>
      </w:r>
    </w:p>
    <w:p w14:paraId="0D206102" w14:textId="77777777" w:rsidR="00456765" w:rsidRPr="00BB4B51" w:rsidRDefault="00456765" w:rsidP="001E3882">
      <w:pPr>
        <w:pStyle w:val="Heading4"/>
      </w:pPr>
      <w:bookmarkStart w:id="192" w:name="_Toc477354124"/>
      <w:r>
        <w:t>Proposed wording for conditions of registration</w:t>
      </w:r>
      <w:bookmarkEnd w:id="192"/>
    </w:p>
    <w:p w14:paraId="2E363C4E" w14:textId="77777777" w:rsidR="006163C0" w:rsidRPr="006163C0" w:rsidRDefault="006163C0" w:rsidP="001E3882">
      <w:r w:rsidRPr="006163C0">
        <w:t>Any changes to which the sponsor has agreed should be included in a revised RMP and ASA. However, irrespective of whether or not they are included in the currently available version of the RMP document, the agreed changes become part of the r</w:t>
      </w:r>
      <w:r>
        <w:t>isk management system.</w:t>
      </w:r>
    </w:p>
    <w:p w14:paraId="71B4471D" w14:textId="77777777" w:rsidR="006163C0" w:rsidRDefault="006163C0" w:rsidP="001E3882">
      <w:r w:rsidRPr="006163C0">
        <w:t>The suggested wording is</w:t>
      </w:r>
      <w:r>
        <w:t>:</w:t>
      </w:r>
    </w:p>
    <w:p w14:paraId="2C190804" w14:textId="77777777" w:rsidR="006163C0" w:rsidRPr="006163C0" w:rsidRDefault="006163C0" w:rsidP="00B9688B">
      <w:pPr>
        <w:ind w:left="720"/>
      </w:pPr>
      <w:r w:rsidRPr="006163C0">
        <w:t>Implement EU-RMP (version 1.6, date 20 July 2017, data lock point 9 June 2016), with Australian Specific Annex (version 1.1, date 27 November 2017) and any future updates as a condition of registration.</w:t>
      </w:r>
    </w:p>
    <w:p w14:paraId="57554B42" w14:textId="77777777" w:rsidR="008E7846" w:rsidRPr="00792A32" w:rsidRDefault="008E7846" w:rsidP="001E3882">
      <w:pPr>
        <w:pStyle w:val="Heading2"/>
      </w:pPr>
      <w:bookmarkStart w:id="193" w:name="_Toc8053074"/>
      <w:r>
        <w:t>V</w:t>
      </w:r>
      <w:r w:rsidR="00456765">
        <w:t>I</w:t>
      </w:r>
      <w:r>
        <w:t xml:space="preserve">I. </w:t>
      </w:r>
      <w:r w:rsidRPr="00792A32">
        <w:t xml:space="preserve">Overall </w:t>
      </w:r>
      <w:r>
        <w:t>c</w:t>
      </w:r>
      <w:r w:rsidRPr="00792A32">
        <w:t xml:space="preserve">onclusion </w:t>
      </w:r>
      <w:r w:rsidRPr="001E3882">
        <w:t>and</w:t>
      </w:r>
      <w:r w:rsidRPr="00792A32">
        <w:t xml:space="preserve"> </w:t>
      </w:r>
      <w:r>
        <w:t>r</w:t>
      </w:r>
      <w:r w:rsidRPr="00792A32">
        <w:t>isk/</w:t>
      </w:r>
      <w:r>
        <w:t>b</w:t>
      </w:r>
      <w:r w:rsidRPr="00792A32">
        <w:t xml:space="preserve">enefit </w:t>
      </w:r>
      <w:r>
        <w:t>a</w:t>
      </w:r>
      <w:r w:rsidRPr="00792A32">
        <w:t>ssessment</w:t>
      </w:r>
      <w:bookmarkEnd w:id="129"/>
      <w:bookmarkEnd w:id="189"/>
      <w:bookmarkEnd w:id="190"/>
      <w:bookmarkEnd w:id="193"/>
    </w:p>
    <w:p w14:paraId="7E34F997" w14:textId="77777777" w:rsidR="008E7846" w:rsidRDefault="008E7846" w:rsidP="001E3882">
      <w:bookmarkStart w:id="194" w:name="_Toc247691528"/>
      <w:r>
        <w:t xml:space="preserve">The submission was summarised in the following </w:t>
      </w:r>
      <w:r w:rsidRPr="00EF5C48">
        <w:t xml:space="preserve">Delegate’s </w:t>
      </w:r>
      <w:r>
        <w:t>overview</w:t>
      </w:r>
      <w:r w:rsidRPr="00EF5C48">
        <w:t xml:space="preserve"> and recommendation</w:t>
      </w:r>
      <w:r>
        <w:t>s:</w:t>
      </w:r>
    </w:p>
    <w:p w14:paraId="51581528" w14:textId="77777777" w:rsidR="00BE121F" w:rsidRPr="00BE121F" w:rsidRDefault="00BE121F" w:rsidP="001E3882">
      <w:pPr>
        <w:pStyle w:val="Heading3"/>
      </w:pPr>
      <w:bookmarkStart w:id="195" w:name="_Toc8053075"/>
      <w:r w:rsidRPr="001E3882">
        <w:t>Background</w:t>
      </w:r>
      <w:bookmarkEnd w:id="195"/>
    </w:p>
    <w:p w14:paraId="3B3090C0" w14:textId="77777777" w:rsidR="00BE121F" w:rsidRPr="00BE121F" w:rsidRDefault="00BE121F" w:rsidP="001E3882">
      <w:r w:rsidRPr="00BE121F">
        <w:t>Avelumab is a human anti–PD-L1 IgG1 monoclo</w:t>
      </w:r>
      <w:r>
        <w:t xml:space="preserve">nal antibody that inhibits the </w:t>
      </w:r>
      <w:r w:rsidRPr="00BE121F">
        <w:t>inte</w:t>
      </w:r>
      <w:r>
        <w:t>raction between PD-L1 and PD-1.</w:t>
      </w:r>
    </w:p>
    <w:p w14:paraId="512DDAD5" w14:textId="77777777" w:rsidR="00BE121F" w:rsidRPr="00BE121F" w:rsidRDefault="00BE121F" w:rsidP="001E3882">
      <w:pPr>
        <w:pStyle w:val="Heading4"/>
      </w:pPr>
      <w:r>
        <w:t xml:space="preserve">Merkel cell </w:t>
      </w:r>
      <w:r w:rsidRPr="001E3882">
        <w:t>carcinoma</w:t>
      </w:r>
    </w:p>
    <w:p w14:paraId="67310959" w14:textId="71A37156" w:rsidR="00BE121F" w:rsidRPr="00BE121F" w:rsidRDefault="00BE121F" w:rsidP="001E3882">
      <w:r w:rsidRPr="00BE121F">
        <w:t xml:space="preserve">Merkel cell carcinoma </w:t>
      </w:r>
      <w:r w:rsidR="00685885">
        <w:t xml:space="preserve">(MCC) </w:t>
      </w:r>
      <w:r w:rsidRPr="00BE121F">
        <w:t>is a rare, often aggressive, neuroendocrine skin cancer. It is distinguished from other skin cancers by its expression of cytokeratin 20 (CK20) and an association with the M</w:t>
      </w:r>
      <w:r>
        <w:t>erkel cell polyomavirus (</w:t>
      </w:r>
      <w:proofErr w:type="spellStart"/>
      <w:r>
        <w:t>MCpV</w:t>
      </w:r>
      <w:proofErr w:type="spellEnd"/>
      <w:r>
        <w:t>).</w:t>
      </w:r>
    </w:p>
    <w:p w14:paraId="5F4091B8" w14:textId="570F62EB" w:rsidR="00BE121F" w:rsidRPr="00BE121F" w:rsidRDefault="00AB42EE" w:rsidP="001E3882">
      <w:r>
        <w:t>About 200 to</w:t>
      </w:r>
      <w:r w:rsidR="00BE121F" w:rsidRPr="00BE121F">
        <w:t xml:space="preserve"> 400 cases are diagnosed annually in Australia each year. It mainly occurs on sun-damaged skin of patients older than 70 years (median ~ 75 years); perhaps 10% of patients are younger than 65 years. Risk factors include UV exposure, infection with </w:t>
      </w:r>
      <w:proofErr w:type="spellStart"/>
      <w:r w:rsidR="00BE121F" w:rsidRPr="00BE121F">
        <w:t>MCpV</w:t>
      </w:r>
      <w:proofErr w:type="spellEnd"/>
      <w:r w:rsidR="00BE121F" w:rsidRPr="00BE121F">
        <w:t xml:space="preserve">, and immunosuppression (perhaps 10% of patients with </w:t>
      </w:r>
      <w:r w:rsidR="00685885">
        <w:t>MCC</w:t>
      </w:r>
      <w:r w:rsidR="00BE121F" w:rsidRPr="00BE121F">
        <w:t xml:space="preserve"> are imm</w:t>
      </w:r>
      <w:r w:rsidR="00BE121F">
        <w:t>unosuppressed).</w:t>
      </w:r>
    </w:p>
    <w:p w14:paraId="4B231962" w14:textId="77777777" w:rsidR="004A25E4" w:rsidRDefault="00BE121F" w:rsidP="001E3882">
      <w:r w:rsidRPr="00BE121F">
        <w:lastRenderedPageBreak/>
        <w:t>Localised disease can be cured with surgical resection. However, about one-third of patients develop metastases to draining lymph nodes, distant skin, lung, central nervous</w:t>
      </w:r>
      <w:r w:rsidR="00AB42EE">
        <w:t xml:space="preserve"> system, bone, and liver (5% to </w:t>
      </w:r>
      <w:r w:rsidRPr="00BE121F">
        <w:t>10% of patients present with metastatic, rather than localised disease). Median overall survival from diag</w:t>
      </w:r>
      <w:r w:rsidR="00AB42EE">
        <w:t>nosis of metastases is about 12 </w:t>
      </w:r>
      <w:r w:rsidRPr="00BE121F">
        <w:t>months; various estimates of five-year survival after diagnosis of metastases (from various studies) range from 0% to 18%</w:t>
      </w:r>
      <w:r w:rsidR="004A25E4">
        <w:t>.</w:t>
      </w:r>
    </w:p>
    <w:p w14:paraId="1C91A0C4" w14:textId="77777777" w:rsidR="00BE121F" w:rsidRPr="00BE121F" w:rsidRDefault="00BE121F" w:rsidP="001E3882">
      <w:pPr>
        <w:pStyle w:val="Heading4"/>
      </w:pPr>
      <w:r w:rsidRPr="00BE121F">
        <w:t>Treatment algorithm for m</w:t>
      </w:r>
      <w:r w:rsidR="00AB42EE">
        <w:t xml:space="preserve">etastatic </w:t>
      </w:r>
      <w:r w:rsidR="00AB42EE" w:rsidRPr="001E3882">
        <w:t>Merkel</w:t>
      </w:r>
      <w:r w:rsidR="00AB42EE">
        <w:t xml:space="preserve"> cell carcinoma</w:t>
      </w:r>
    </w:p>
    <w:p w14:paraId="19D142B7" w14:textId="74D4ED63" w:rsidR="004A25E4" w:rsidRDefault="00BE121F" w:rsidP="00AB42EE">
      <w:r w:rsidRPr="00BE121F">
        <w:t xml:space="preserve">There are currently no medicines on the ARTG for metastatic </w:t>
      </w:r>
      <w:r w:rsidR="006C35DA">
        <w:t>MCC</w:t>
      </w:r>
      <w:r w:rsidRPr="00BE121F">
        <w:t xml:space="preserve">). Current guidelines suggest: off-label cisplatin or carboplatin +/- etoposide, single agent topotecan, or combination therapy with cyclophosphamide, doxorubicin, and vincristine (CAV). These are similar to chemotherapy regimens for small cell lung cancer (SCLC); and, in some ways, </w:t>
      </w:r>
      <w:r w:rsidR="006C35DA">
        <w:t>metastatic MCC</w:t>
      </w:r>
      <w:r w:rsidRPr="00BE121F">
        <w:t xml:space="preserve"> behaves like SCLC</w:t>
      </w:r>
      <w:r w:rsidR="004A25E4">
        <w:t>.</w:t>
      </w:r>
    </w:p>
    <w:p w14:paraId="0BF93336" w14:textId="550FEDE7" w:rsidR="004A25E4" w:rsidRDefault="00BE121F" w:rsidP="001E3882">
      <w:r w:rsidRPr="00BE121F">
        <w:t xml:space="preserve">Metastatic </w:t>
      </w:r>
      <w:r w:rsidR="00685885">
        <w:t>MCC</w:t>
      </w:r>
      <w:r w:rsidRPr="00BE121F">
        <w:t xml:space="preserve"> is usually chemo-sensitive</w:t>
      </w:r>
      <w:r w:rsidR="00AB42EE">
        <w:t xml:space="preserve"> with response rates between 50 to </w:t>
      </w:r>
      <w:r w:rsidRPr="00BE121F">
        <w:t xml:space="preserve">60% for patients with newly diagnosed metastatic Merkel cell carcinoma; however, responses are not durable (median duration </w:t>
      </w:r>
      <w:r w:rsidR="005E1E9B">
        <w:t xml:space="preserve">&lt; </w:t>
      </w:r>
      <w:r w:rsidRPr="00BE121F">
        <w:t>3months), and chemotherapy has not been shown to improve OS in patients with metastatic disease. Also, the toxicity of chemotherapy includes serious and sometimes fatal adverse reactions, particularly in older patients, who typically have comorbidities</w:t>
      </w:r>
      <w:r w:rsidR="004A25E4">
        <w:t>.</w:t>
      </w:r>
    </w:p>
    <w:p w14:paraId="722E5217" w14:textId="5F26AC67" w:rsidR="004A25E4" w:rsidRDefault="00BE121F" w:rsidP="001E3882">
      <w:r w:rsidRPr="00BE121F">
        <w:t xml:space="preserve">That is, metastatic </w:t>
      </w:r>
      <w:r w:rsidR="00685885">
        <w:t>MCC</w:t>
      </w:r>
      <w:r w:rsidRPr="00BE121F">
        <w:t xml:space="preserve"> is currently incurable and does not have an approved, on-label medicine. There is high unmet medical need</w:t>
      </w:r>
      <w:r w:rsidR="004A25E4">
        <w:t>.</w:t>
      </w:r>
    </w:p>
    <w:p w14:paraId="76103463" w14:textId="77777777" w:rsidR="00BE121F" w:rsidRPr="00BE121F" w:rsidRDefault="00BE121F" w:rsidP="001E3882">
      <w:pPr>
        <w:pStyle w:val="Heading4"/>
      </w:pPr>
      <w:r>
        <w:t xml:space="preserve">Orphan </w:t>
      </w:r>
      <w:r w:rsidRPr="001E3882">
        <w:t>designation</w:t>
      </w:r>
    </w:p>
    <w:p w14:paraId="66B6B9DE" w14:textId="6CF1F8EE" w:rsidR="004A25E4" w:rsidRDefault="00BE121F" w:rsidP="001E3882">
      <w:r w:rsidRPr="00BE121F">
        <w:t>Avelumab was designated as an orphan drug by the TGA in July 2016; indication:</w:t>
      </w:r>
      <w:r w:rsidR="00685885">
        <w:t xml:space="preserve"> </w:t>
      </w:r>
      <w:r w:rsidR="004A25E4">
        <w:t>’</w:t>
      </w:r>
      <w:r w:rsidRPr="00BE121F">
        <w:t>… for the treatment of Merkel cell carcinoma</w:t>
      </w:r>
      <w:r w:rsidR="004A25E4">
        <w:t>’.</w:t>
      </w:r>
    </w:p>
    <w:p w14:paraId="0B0555E4" w14:textId="69B0E46D" w:rsidR="00BE121F" w:rsidRDefault="00BE121F" w:rsidP="00BE121F">
      <w:pPr>
        <w:pStyle w:val="Heading4"/>
      </w:pPr>
      <w:r w:rsidRPr="00BE121F">
        <w:t>O</w:t>
      </w:r>
      <w:r w:rsidR="00685885">
        <w:t>verseas</w:t>
      </w:r>
      <w:r w:rsidRPr="00BE121F">
        <w:t xml:space="preserve"> regis</w:t>
      </w:r>
      <w:r w:rsidRPr="001E3882">
        <w:t>t</w:t>
      </w:r>
      <w:r w:rsidRPr="00BE121F">
        <w:t>ration status</w:t>
      </w:r>
    </w:p>
    <w:p w14:paraId="66BCAFF1" w14:textId="19E7C3B7" w:rsidR="00BE121F" w:rsidRDefault="00AB42EE" w:rsidP="001E3882">
      <w:r>
        <w:t>Please see Table 1</w:t>
      </w:r>
      <w:r w:rsidR="00685885">
        <w:t xml:space="preserve"> (above)</w:t>
      </w:r>
      <w:r>
        <w:t xml:space="preserve"> for a description of the overseas registration status.</w:t>
      </w:r>
    </w:p>
    <w:p w14:paraId="4C128B88" w14:textId="5E04A79F" w:rsidR="005811FF" w:rsidRDefault="00BE121F" w:rsidP="001E3882">
      <w:r w:rsidRPr="00B9688B">
        <w:rPr>
          <w:i/>
        </w:rPr>
        <w:t xml:space="preserve">Comments on </w:t>
      </w:r>
      <w:r w:rsidR="00685885">
        <w:rPr>
          <w:i/>
        </w:rPr>
        <w:t>overseas</w:t>
      </w:r>
      <w:r w:rsidRPr="00B9688B">
        <w:rPr>
          <w:i/>
        </w:rPr>
        <w:t xml:space="preserve"> indications</w:t>
      </w:r>
      <w:r w:rsidR="00685885">
        <w:t xml:space="preserve">: </w:t>
      </w:r>
      <w:r w:rsidRPr="00BE121F">
        <w:t>The pivotal Study-003 was in adult patients who were having second or subsequent line treatment after chemotherapy (</w:t>
      </w:r>
      <w:r w:rsidR="005E1E9B">
        <w:t>that is</w:t>
      </w:r>
      <w:r w:rsidRPr="00BE121F">
        <w:t>, previously tre</w:t>
      </w:r>
      <w:r w:rsidR="001E3882">
        <w:t>ated with chemotherapy).</w:t>
      </w:r>
    </w:p>
    <w:p w14:paraId="7E7FAE8E" w14:textId="77777777" w:rsidR="00BE121F" w:rsidRPr="00BE121F" w:rsidRDefault="00BE121F" w:rsidP="001E3882">
      <w:r w:rsidRPr="00BE121F">
        <w:t xml:space="preserve">The FDA </w:t>
      </w:r>
      <w:r w:rsidR="00AB42EE">
        <w:t>extrapolated the indication to:</w:t>
      </w:r>
    </w:p>
    <w:p w14:paraId="035868BD" w14:textId="77777777" w:rsidR="004A25E4" w:rsidRDefault="006C35DA" w:rsidP="001E3882">
      <w:pPr>
        <w:pStyle w:val="ListBullet"/>
      </w:pPr>
      <w:r>
        <w:t>First line</w:t>
      </w:r>
      <w:r w:rsidR="00BE121F" w:rsidRPr="00BE121F">
        <w:t xml:space="preserve"> treatment (</w:t>
      </w:r>
      <w:r w:rsidR="005E1E9B">
        <w:t>that is</w:t>
      </w:r>
      <w:r w:rsidR="00BE121F" w:rsidRPr="00BE121F">
        <w:t>, untreated)</w:t>
      </w:r>
      <w:r w:rsidR="004A25E4">
        <w:t>.</w:t>
      </w:r>
    </w:p>
    <w:p w14:paraId="71B6C48B" w14:textId="77777777" w:rsidR="004A25E4" w:rsidRDefault="00BE121F" w:rsidP="00BE121F">
      <w:pPr>
        <w:pStyle w:val="ListBullet"/>
      </w:pPr>
      <w:r w:rsidRPr="00BE121F">
        <w:t>C</w:t>
      </w:r>
      <w:r>
        <w:t>hildren/adolescents 12+ years</w:t>
      </w:r>
      <w:r w:rsidR="004A25E4">
        <w:t>.</w:t>
      </w:r>
    </w:p>
    <w:p w14:paraId="0B9EF6F2" w14:textId="77777777" w:rsidR="00BE121F" w:rsidRPr="00BE121F" w:rsidRDefault="00BE121F" w:rsidP="00BE121F">
      <w:r w:rsidRPr="00BE121F">
        <w:t xml:space="preserve">The EMA have </w:t>
      </w:r>
      <w:r w:rsidR="00962FB4">
        <w:t>extrapolated the indication to:</w:t>
      </w:r>
    </w:p>
    <w:p w14:paraId="6C744B7F" w14:textId="77777777" w:rsidR="00BE121F" w:rsidRPr="00BE121F" w:rsidRDefault="006C35DA" w:rsidP="001E3882">
      <w:pPr>
        <w:pStyle w:val="ListBullet"/>
      </w:pPr>
      <w:r>
        <w:t>First line</w:t>
      </w:r>
      <w:r w:rsidR="005811FF">
        <w:t xml:space="preserve"> treatment. </w:t>
      </w:r>
      <w:r w:rsidR="00BE121F" w:rsidRPr="00BE121F">
        <w:t>But not: children/adolescents 12</w:t>
      </w:r>
      <w:r w:rsidR="00962FB4">
        <w:t>+</w:t>
      </w:r>
      <w:r w:rsidR="00BE121F" w:rsidRPr="00BE121F">
        <w:t xml:space="preserve"> years.</w:t>
      </w:r>
    </w:p>
    <w:p w14:paraId="44814012" w14:textId="77777777" w:rsidR="008E7846" w:rsidRDefault="008E7846" w:rsidP="001E3882">
      <w:pPr>
        <w:pStyle w:val="Heading3"/>
      </w:pPr>
      <w:bookmarkStart w:id="196" w:name="_Toc247691530"/>
      <w:bookmarkStart w:id="197" w:name="_Toc314842513"/>
      <w:bookmarkStart w:id="198" w:name="_Toc8053076"/>
      <w:bookmarkEnd w:id="194"/>
      <w:r w:rsidRPr="001E3882">
        <w:t>Clinical</w:t>
      </w:r>
      <w:bookmarkEnd w:id="196"/>
      <w:bookmarkEnd w:id="197"/>
      <w:bookmarkEnd w:id="198"/>
    </w:p>
    <w:p w14:paraId="2D83D2F9" w14:textId="77777777" w:rsidR="005049BA" w:rsidRPr="005049BA" w:rsidRDefault="005049BA" w:rsidP="001E3882">
      <w:r>
        <w:t>The TGA clinical evaluator recommended approval.</w:t>
      </w:r>
    </w:p>
    <w:p w14:paraId="35416B88" w14:textId="77777777" w:rsidR="00BE121F" w:rsidRPr="00BE121F" w:rsidRDefault="00BE121F" w:rsidP="001E3882">
      <w:pPr>
        <w:pStyle w:val="Heading4"/>
      </w:pPr>
      <w:bookmarkStart w:id="199" w:name="_Toc314842514"/>
      <w:r w:rsidRPr="001E3882">
        <w:t>Pharmacokinetics</w:t>
      </w:r>
    </w:p>
    <w:p w14:paraId="29C7086A" w14:textId="77777777" w:rsidR="004A25E4" w:rsidRDefault="00BE121F" w:rsidP="001E3882">
      <w:r w:rsidRPr="00BE121F">
        <w:t xml:space="preserve">PK parameters were generally typical of those seen with a monoclonal antibody, with a small volume of distribution and slow clearance. The half-life of avelumab (4 to 6 days) was shorter than that typically observed for monoclonal antibodies. The effects of moderate or severe hepatic </w:t>
      </w:r>
      <w:r w:rsidR="005811FF" w:rsidRPr="00BE121F">
        <w:t>impairment</w:t>
      </w:r>
      <w:r w:rsidRPr="00BE121F">
        <w:t xml:space="preserve"> or severe renal impairment have not been adequately studied</w:t>
      </w:r>
      <w:r w:rsidR="004A25E4">
        <w:t>.</w:t>
      </w:r>
    </w:p>
    <w:p w14:paraId="539A9356" w14:textId="77777777" w:rsidR="00BE121F" w:rsidRPr="00BE121F" w:rsidRDefault="00BE121F" w:rsidP="001E3882">
      <w:pPr>
        <w:pStyle w:val="Heading4"/>
      </w:pPr>
      <w:r w:rsidRPr="001E3882">
        <w:lastRenderedPageBreak/>
        <w:t>Efficacy</w:t>
      </w:r>
    </w:p>
    <w:p w14:paraId="6C13395C" w14:textId="0A24FA3E" w:rsidR="00BE121F" w:rsidRPr="00BE121F" w:rsidRDefault="00BE121F" w:rsidP="001E3882">
      <w:r w:rsidRPr="00BE121F">
        <w:t xml:space="preserve">The submitted efficacy data for </w:t>
      </w:r>
      <w:r w:rsidR="005811FF" w:rsidRPr="00BE121F">
        <w:t>avelumab</w:t>
      </w:r>
      <w:r w:rsidRPr="00BE121F">
        <w:t xml:space="preserve"> were from a </w:t>
      </w:r>
      <w:r w:rsidR="00273D46">
        <w:t>single arm</w:t>
      </w:r>
      <w:r w:rsidRPr="00BE121F">
        <w:t xml:space="preserve">, </w:t>
      </w:r>
      <w:r w:rsidR="005811FF">
        <w:t>Phase II</w:t>
      </w:r>
      <w:r w:rsidRPr="00BE121F">
        <w:t xml:space="preserve"> trial, with the surrogate endpoint of objective response, based on RECIST criteria</w:t>
      </w:r>
      <w:r w:rsidR="003E04E9">
        <w:t>;</w:t>
      </w:r>
      <w:r w:rsidR="00CE012A">
        <w:rPr>
          <w:rStyle w:val="FootnoteReference"/>
        </w:rPr>
        <w:footnoteReference w:id="25"/>
      </w:r>
      <w:r w:rsidRPr="00BE121F">
        <w:t xml:space="preserve"> </w:t>
      </w:r>
      <w:r w:rsidR="005811FF">
        <w:t xml:space="preserve">n = </w:t>
      </w:r>
      <w:r w:rsidRPr="00BE121F">
        <w:t>88 (Study 003</w:t>
      </w:r>
      <w:r>
        <w:t>, Part A).</w:t>
      </w:r>
    </w:p>
    <w:p w14:paraId="388C6693" w14:textId="77777777" w:rsidR="00BE121F" w:rsidRPr="00BE121F" w:rsidRDefault="00BE121F" w:rsidP="001E3882">
      <w:r w:rsidRPr="00BE121F">
        <w:t xml:space="preserve">Part B of Study 003 is </w:t>
      </w:r>
      <w:r w:rsidR="006C35DA">
        <w:t>first line</w:t>
      </w:r>
      <w:r w:rsidRPr="00BE121F">
        <w:t xml:space="preserve"> and completion is a FDA post-marketing requirement. The sponsor provided the TGA with a poster reporting early results from Part-B (presented </w:t>
      </w:r>
      <w:r w:rsidR="005811FF">
        <w:t xml:space="preserve">September </w:t>
      </w:r>
      <w:r w:rsidRPr="00BE121F">
        <w:t>2017, at</w:t>
      </w:r>
      <w:r>
        <w:t xml:space="preserve"> </w:t>
      </w:r>
      <w:r w:rsidR="005049BA">
        <w:t>European Society for Medical Oncology (</w:t>
      </w:r>
      <w:r>
        <w:t>ESMO</w:t>
      </w:r>
      <w:r w:rsidR="005049BA">
        <w:t>)</w:t>
      </w:r>
      <w:r>
        <w:t xml:space="preserve">). The </w:t>
      </w:r>
      <w:r w:rsidR="00CE012A">
        <w:t>objective response rate (</w:t>
      </w:r>
      <w:r>
        <w:t>ORR</w:t>
      </w:r>
      <w:r w:rsidR="00CE012A">
        <w:t>)</w:t>
      </w:r>
      <w:r>
        <w:t xml:space="preserve"> was 62%: 18/29.</w:t>
      </w:r>
    </w:p>
    <w:p w14:paraId="7D47DB75" w14:textId="01E7C431" w:rsidR="00BE121F" w:rsidRDefault="00BE121F" w:rsidP="00BE121F">
      <w:r w:rsidRPr="00BE121F">
        <w:t>Study 003 also contributed safety data.</w:t>
      </w:r>
    </w:p>
    <w:p w14:paraId="48BB1156" w14:textId="335E2BF2" w:rsidR="004A25E4" w:rsidRDefault="00BE121F" w:rsidP="001E3882">
      <w:r w:rsidRPr="00BE121F">
        <w:t xml:space="preserve">Also submitted was </w:t>
      </w:r>
      <w:r w:rsidR="00655338">
        <w:t>Stud</w:t>
      </w:r>
      <w:r w:rsidRPr="00BE121F">
        <w:t xml:space="preserve">y Obs001. This was a review of electronic medical records obtained in community and academic centres that collected information on the outcomes of untreated (first line) and previously treated (second line) patients with metastatic </w:t>
      </w:r>
      <w:r w:rsidR="00685885">
        <w:t>MCC</w:t>
      </w:r>
      <w:r w:rsidRPr="00BE121F">
        <w:t xml:space="preserve"> (</w:t>
      </w:r>
      <w:r w:rsidR="005E1E9B">
        <w:t>that is</w:t>
      </w:r>
      <w:r w:rsidRPr="00BE121F">
        <w:t>, historical, external controls). Indirect comparisons were made between Studies 003 and Obs001</w:t>
      </w:r>
      <w:r w:rsidR="004A25E4">
        <w:t>.</w:t>
      </w:r>
    </w:p>
    <w:p w14:paraId="4B94F791" w14:textId="77777777" w:rsidR="00BE121F" w:rsidRPr="00BE121F" w:rsidRDefault="005811FF" w:rsidP="001E3882">
      <w:pPr>
        <w:pStyle w:val="Heading5"/>
      </w:pPr>
      <w:r w:rsidRPr="001E3882">
        <w:t>NCT02155647</w:t>
      </w:r>
      <w:r>
        <w:t xml:space="preserve"> (Study 003)</w:t>
      </w:r>
    </w:p>
    <w:p w14:paraId="2CEA6206" w14:textId="77777777" w:rsidR="00BE121F" w:rsidRPr="00BE121F" w:rsidRDefault="005811FF" w:rsidP="001E3882">
      <w:r>
        <w:t>This study has been p</w:t>
      </w:r>
      <w:r w:rsidR="00BE121F" w:rsidRPr="00BE121F">
        <w:t>ublished</w:t>
      </w:r>
      <w:r>
        <w:t>.</w:t>
      </w:r>
      <w:r>
        <w:rPr>
          <w:rStyle w:val="FootnoteReference"/>
        </w:rPr>
        <w:footnoteReference w:id="26"/>
      </w:r>
      <w:r w:rsidR="00BE121F" w:rsidRPr="00BE121F">
        <w:t xml:space="preserve"> The results in this publication were for a median follow-up of 10.4 months. During the evaluation the sponsor provided data for 18</w:t>
      </w:r>
      <w:r w:rsidR="005E1E9B">
        <w:t xml:space="preserve"> month</w:t>
      </w:r>
      <w:r w:rsidR="00BE121F" w:rsidRPr="00BE121F">
        <w:t xml:space="preserve"> minimum follow-up; and these are the re</w:t>
      </w:r>
      <w:r>
        <w:t>sults that are presented below.</w:t>
      </w:r>
    </w:p>
    <w:p w14:paraId="36BF4CAF" w14:textId="77777777" w:rsidR="00BE121F" w:rsidRPr="005811FF" w:rsidRDefault="005811FF" w:rsidP="001E3882">
      <w:pPr>
        <w:pStyle w:val="Heading6"/>
      </w:pPr>
      <w:r w:rsidRPr="001E3882">
        <w:t>Design</w:t>
      </w:r>
    </w:p>
    <w:p w14:paraId="094D219C" w14:textId="1F4C849D" w:rsidR="00BE121F" w:rsidRDefault="00685885" w:rsidP="001E3882">
      <w:r>
        <w:t>Study 003 was a m</w:t>
      </w:r>
      <w:r w:rsidR="00BE121F" w:rsidRPr="00BE121F">
        <w:t xml:space="preserve">ulticentre, international, </w:t>
      </w:r>
      <w:r w:rsidR="005811FF">
        <w:t xml:space="preserve">prospective, single group, open </w:t>
      </w:r>
      <w:r w:rsidR="00BE121F" w:rsidRPr="00BE121F">
        <w:t xml:space="preserve">label, </w:t>
      </w:r>
      <w:r w:rsidR="00A63E68">
        <w:t>Phase</w:t>
      </w:r>
      <w:r w:rsidR="00655338">
        <w:t xml:space="preserve"> II</w:t>
      </w:r>
      <w:r w:rsidR="005811FF">
        <w:t xml:space="preserve"> trial</w:t>
      </w:r>
      <w:r>
        <w:t xml:space="preserve"> across </w:t>
      </w:r>
      <w:r w:rsidR="00BE121F" w:rsidRPr="00BE121F">
        <w:t>35 treatment centres in</w:t>
      </w:r>
      <w:r w:rsidR="00962FB4">
        <w:t xml:space="preserve"> N</w:t>
      </w:r>
      <w:r>
        <w:t>orth</w:t>
      </w:r>
      <w:r w:rsidR="00962FB4">
        <w:t xml:space="preserve"> Am</w:t>
      </w:r>
      <w:r>
        <w:t>erica</w:t>
      </w:r>
      <w:r w:rsidR="00962FB4">
        <w:t xml:space="preserve">, Europe, Australia, </w:t>
      </w:r>
      <w:proofErr w:type="gramStart"/>
      <w:r w:rsidR="00962FB4">
        <w:t>Asia</w:t>
      </w:r>
      <w:proofErr w:type="gramEnd"/>
      <w:r w:rsidR="00962FB4">
        <w:t>.</w:t>
      </w:r>
      <w:r>
        <w:t xml:space="preserve"> </w:t>
      </w:r>
      <w:r w:rsidR="005811FF">
        <w:t>Enrolment</w:t>
      </w:r>
      <w:r>
        <w:t xml:space="preserve"> was from</w:t>
      </w:r>
      <w:r w:rsidR="005811FF">
        <w:t xml:space="preserve"> 2014 to </w:t>
      </w:r>
      <w:r w:rsidR="00BE121F" w:rsidRPr="00BE121F">
        <w:t>2015</w:t>
      </w:r>
      <w:r w:rsidR="00962FB4">
        <w:t>.</w:t>
      </w:r>
    </w:p>
    <w:p w14:paraId="6F0F1019" w14:textId="77777777" w:rsidR="005811FF" w:rsidRPr="00BE121F" w:rsidRDefault="00B70C5D" w:rsidP="001E3882">
      <w:pPr>
        <w:pStyle w:val="TableTitle"/>
      </w:pPr>
      <w:r>
        <w:t>Table 21</w:t>
      </w:r>
      <w:r w:rsidR="005811FF">
        <w:t>: Brief synopsis of NCT02155647 (Study 003)</w:t>
      </w:r>
    </w:p>
    <w:tbl>
      <w:tblPr>
        <w:tblStyle w:val="TableTGAblue"/>
        <w:tblW w:w="0" w:type="auto"/>
        <w:tblLook w:val="04A0" w:firstRow="1" w:lastRow="0" w:firstColumn="1" w:lastColumn="0" w:noHBand="0" w:noVBand="1"/>
      </w:tblPr>
      <w:tblGrid>
        <w:gridCol w:w="3085"/>
        <w:gridCol w:w="5635"/>
      </w:tblGrid>
      <w:tr w:rsidR="00376174" w:rsidRPr="001E3882" w14:paraId="0303DE82" w14:textId="77777777" w:rsidTr="00376174">
        <w:trPr>
          <w:cnfStyle w:val="100000000000" w:firstRow="1" w:lastRow="0" w:firstColumn="0" w:lastColumn="0" w:oddVBand="0" w:evenVBand="0" w:oddHBand="0" w:evenHBand="0" w:firstRowFirstColumn="0" w:firstRowLastColumn="0" w:lastRowFirstColumn="0" w:lastRowLastColumn="0"/>
        </w:trPr>
        <w:tc>
          <w:tcPr>
            <w:tcW w:w="3085" w:type="dxa"/>
          </w:tcPr>
          <w:p w14:paraId="2FE9724A" w14:textId="77777777" w:rsidR="00376174" w:rsidRPr="001E3882" w:rsidRDefault="005811FF" w:rsidP="001E3882">
            <w:pPr>
              <w:rPr>
                <w:sz w:val="20"/>
                <w:szCs w:val="20"/>
              </w:rPr>
            </w:pPr>
            <w:r w:rsidRPr="001E3882">
              <w:rPr>
                <w:sz w:val="20"/>
                <w:szCs w:val="20"/>
              </w:rPr>
              <w:t>Description</w:t>
            </w:r>
          </w:p>
        </w:tc>
        <w:tc>
          <w:tcPr>
            <w:tcW w:w="5635" w:type="dxa"/>
          </w:tcPr>
          <w:p w14:paraId="29D2473E" w14:textId="77777777" w:rsidR="00376174" w:rsidRPr="001E3882" w:rsidRDefault="005811FF" w:rsidP="001E3882">
            <w:pPr>
              <w:rPr>
                <w:sz w:val="20"/>
                <w:szCs w:val="20"/>
              </w:rPr>
            </w:pPr>
            <w:r w:rsidRPr="001E3882">
              <w:rPr>
                <w:sz w:val="20"/>
                <w:szCs w:val="20"/>
              </w:rPr>
              <w:t>Parameters</w:t>
            </w:r>
          </w:p>
        </w:tc>
      </w:tr>
      <w:tr w:rsidR="00376174" w:rsidRPr="001E3882" w14:paraId="1644BED9" w14:textId="77777777" w:rsidTr="00376174">
        <w:tc>
          <w:tcPr>
            <w:tcW w:w="3085" w:type="dxa"/>
          </w:tcPr>
          <w:p w14:paraId="467BD18E" w14:textId="77777777" w:rsidR="00376174" w:rsidRPr="001E3882" w:rsidRDefault="00376174" w:rsidP="001E3882">
            <w:pPr>
              <w:rPr>
                <w:sz w:val="20"/>
                <w:szCs w:val="20"/>
              </w:rPr>
            </w:pPr>
            <w:r w:rsidRPr="001E3882">
              <w:rPr>
                <w:sz w:val="20"/>
                <w:szCs w:val="20"/>
              </w:rPr>
              <w:t>Patients</w:t>
            </w:r>
          </w:p>
        </w:tc>
        <w:tc>
          <w:tcPr>
            <w:tcW w:w="5635" w:type="dxa"/>
          </w:tcPr>
          <w:p w14:paraId="17231480" w14:textId="77777777" w:rsidR="00376174" w:rsidRPr="001E3882" w:rsidRDefault="005811FF" w:rsidP="001E3882">
            <w:pPr>
              <w:rPr>
                <w:sz w:val="20"/>
                <w:szCs w:val="20"/>
              </w:rPr>
            </w:pPr>
            <w:r w:rsidRPr="001E3882">
              <w:rPr>
                <w:sz w:val="20"/>
                <w:szCs w:val="20"/>
              </w:rPr>
              <w:t>N = 88</w:t>
            </w:r>
          </w:p>
          <w:p w14:paraId="37D629CC" w14:textId="77777777" w:rsidR="00376174" w:rsidRPr="001E3882" w:rsidRDefault="005811FF" w:rsidP="001E3882">
            <w:pPr>
              <w:rPr>
                <w:sz w:val="20"/>
                <w:szCs w:val="20"/>
              </w:rPr>
            </w:pPr>
            <w:r w:rsidRPr="001E3882">
              <w:rPr>
                <w:sz w:val="20"/>
                <w:szCs w:val="20"/>
              </w:rPr>
              <w:t>18+ years</w:t>
            </w:r>
          </w:p>
          <w:p w14:paraId="2E0E52E6" w14:textId="77777777" w:rsidR="00376174" w:rsidRPr="001E3882" w:rsidRDefault="005811FF" w:rsidP="001E3882">
            <w:pPr>
              <w:rPr>
                <w:sz w:val="20"/>
                <w:szCs w:val="20"/>
              </w:rPr>
            </w:pPr>
            <w:r w:rsidRPr="001E3882">
              <w:rPr>
                <w:sz w:val="20"/>
                <w:szCs w:val="20"/>
              </w:rPr>
              <w:t>Chemotherapy refractory</w:t>
            </w:r>
          </w:p>
          <w:p w14:paraId="768F0895" w14:textId="55883D59" w:rsidR="00376174" w:rsidRPr="001E3882" w:rsidRDefault="005811FF" w:rsidP="001E3882">
            <w:pPr>
              <w:rPr>
                <w:sz w:val="20"/>
                <w:szCs w:val="20"/>
              </w:rPr>
            </w:pPr>
            <w:r w:rsidRPr="001E3882">
              <w:rPr>
                <w:sz w:val="20"/>
                <w:szCs w:val="20"/>
              </w:rPr>
              <w:t>ECOG PS</w:t>
            </w:r>
            <w:r w:rsidR="00685885" w:rsidRPr="001E3882">
              <w:rPr>
                <w:sz w:val="20"/>
                <w:szCs w:val="20"/>
              </w:rPr>
              <w:t xml:space="preserve"> </w:t>
            </w:r>
            <w:r w:rsidRPr="001E3882">
              <w:rPr>
                <w:sz w:val="20"/>
                <w:szCs w:val="20"/>
              </w:rPr>
              <w:t>=</w:t>
            </w:r>
            <w:r w:rsidR="00685885" w:rsidRPr="001E3882">
              <w:rPr>
                <w:sz w:val="20"/>
                <w:szCs w:val="20"/>
              </w:rPr>
              <w:t xml:space="preserve"> </w:t>
            </w:r>
            <w:r w:rsidRPr="001E3882">
              <w:rPr>
                <w:sz w:val="20"/>
                <w:szCs w:val="20"/>
              </w:rPr>
              <w:t>0</w:t>
            </w:r>
            <w:r w:rsidR="00685885" w:rsidRPr="001E3882">
              <w:rPr>
                <w:sz w:val="20"/>
                <w:szCs w:val="20"/>
              </w:rPr>
              <w:t xml:space="preserve"> or </w:t>
            </w:r>
            <w:r w:rsidRPr="001E3882">
              <w:rPr>
                <w:sz w:val="20"/>
                <w:szCs w:val="20"/>
              </w:rPr>
              <w:t>1</w:t>
            </w:r>
          </w:p>
          <w:p w14:paraId="684943D2" w14:textId="30385369" w:rsidR="00376174" w:rsidRPr="001E3882" w:rsidRDefault="00376174" w:rsidP="001E3882">
            <w:pPr>
              <w:rPr>
                <w:sz w:val="20"/>
                <w:szCs w:val="20"/>
              </w:rPr>
            </w:pPr>
            <w:r w:rsidRPr="001E3882">
              <w:rPr>
                <w:i/>
                <w:sz w:val="20"/>
                <w:szCs w:val="20"/>
              </w:rPr>
              <w:t>Selected</w:t>
            </w:r>
            <w:r w:rsidRPr="001E3882">
              <w:rPr>
                <w:sz w:val="20"/>
                <w:szCs w:val="20"/>
              </w:rPr>
              <w:t xml:space="preserve"> exclusio</w:t>
            </w:r>
            <w:r w:rsidR="005811FF" w:rsidRPr="001E3882">
              <w:rPr>
                <w:sz w:val="20"/>
                <w:szCs w:val="20"/>
              </w:rPr>
              <w:t>ns (standard for immunotherapy)</w:t>
            </w:r>
            <w:r w:rsidR="00685885" w:rsidRPr="001E3882">
              <w:rPr>
                <w:sz w:val="20"/>
                <w:szCs w:val="20"/>
              </w:rPr>
              <w:t>:</w:t>
            </w:r>
          </w:p>
          <w:p w14:paraId="5DBBCDB1" w14:textId="77777777" w:rsidR="00376174" w:rsidRPr="001E3882" w:rsidRDefault="005811FF" w:rsidP="001E3882">
            <w:pPr>
              <w:pStyle w:val="ListBullet2"/>
              <w:ind w:left="601"/>
              <w:rPr>
                <w:sz w:val="20"/>
                <w:szCs w:val="20"/>
              </w:rPr>
            </w:pPr>
            <w:r w:rsidRPr="001E3882">
              <w:rPr>
                <w:sz w:val="20"/>
                <w:szCs w:val="20"/>
              </w:rPr>
              <w:t>autoimmune disease</w:t>
            </w:r>
          </w:p>
          <w:p w14:paraId="08CEE98E" w14:textId="77777777" w:rsidR="00376174" w:rsidRPr="001E3882" w:rsidRDefault="00376174" w:rsidP="001E3882">
            <w:pPr>
              <w:pStyle w:val="ListBullet2"/>
              <w:ind w:left="601"/>
              <w:rPr>
                <w:sz w:val="20"/>
                <w:szCs w:val="20"/>
              </w:rPr>
            </w:pPr>
            <w:r w:rsidRPr="001E3882">
              <w:rPr>
                <w:sz w:val="20"/>
                <w:szCs w:val="20"/>
              </w:rPr>
              <w:t>medical conditi</w:t>
            </w:r>
            <w:r w:rsidR="005811FF" w:rsidRPr="001E3882">
              <w:rPr>
                <w:sz w:val="20"/>
                <w:szCs w:val="20"/>
              </w:rPr>
              <w:t>ons requiring immunosuppression</w:t>
            </w:r>
          </w:p>
          <w:p w14:paraId="04E28F6E" w14:textId="77777777" w:rsidR="00376174" w:rsidRPr="001E3882" w:rsidRDefault="00376174" w:rsidP="001E3882">
            <w:pPr>
              <w:pStyle w:val="ListBullet2"/>
              <w:ind w:left="601"/>
              <w:rPr>
                <w:sz w:val="20"/>
                <w:szCs w:val="20"/>
              </w:rPr>
            </w:pPr>
            <w:r w:rsidRPr="001E3882">
              <w:rPr>
                <w:sz w:val="20"/>
                <w:szCs w:val="20"/>
              </w:rPr>
              <w:t>prior organ or allog</w:t>
            </w:r>
            <w:r w:rsidR="005811FF" w:rsidRPr="001E3882">
              <w:rPr>
                <w:sz w:val="20"/>
                <w:szCs w:val="20"/>
              </w:rPr>
              <w:t>eneic stem cell transplantation</w:t>
            </w:r>
          </w:p>
          <w:p w14:paraId="02A53433" w14:textId="77777777" w:rsidR="00376174" w:rsidRPr="001E3882" w:rsidRDefault="00376174" w:rsidP="001E3882">
            <w:pPr>
              <w:pStyle w:val="ListBullet2"/>
              <w:ind w:left="601"/>
              <w:rPr>
                <w:sz w:val="20"/>
                <w:szCs w:val="20"/>
              </w:rPr>
            </w:pPr>
            <w:r w:rsidRPr="001E3882">
              <w:rPr>
                <w:sz w:val="20"/>
                <w:szCs w:val="20"/>
              </w:rPr>
              <w:t>prior treatment with PD-1, PD-L1, C</w:t>
            </w:r>
            <w:r w:rsidR="005811FF" w:rsidRPr="001E3882">
              <w:rPr>
                <w:sz w:val="20"/>
                <w:szCs w:val="20"/>
              </w:rPr>
              <w:t>TLA-4 antibodies</w:t>
            </w:r>
          </w:p>
          <w:p w14:paraId="16D035B6" w14:textId="77777777" w:rsidR="00376174" w:rsidRPr="001E3882" w:rsidRDefault="00376174" w:rsidP="001E3882">
            <w:pPr>
              <w:pStyle w:val="ListBullet2"/>
              <w:ind w:left="601"/>
              <w:rPr>
                <w:sz w:val="20"/>
                <w:szCs w:val="20"/>
              </w:rPr>
            </w:pPr>
            <w:r w:rsidRPr="001E3882">
              <w:rPr>
                <w:sz w:val="20"/>
                <w:szCs w:val="20"/>
              </w:rPr>
              <w:t xml:space="preserve">CNS </w:t>
            </w:r>
            <w:r w:rsidR="005811FF" w:rsidRPr="001E3882">
              <w:rPr>
                <w:sz w:val="20"/>
                <w:szCs w:val="20"/>
              </w:rPr>
              <w:t>metastases</w:t>
            </w:r>
            <w:r w:rsidRPr="001E3882">
              <w:rPr>
                <w:sz w:val="20"/>
                <w:szCs w:val="20"/>
              </w:rPr>
              <w:t xml:space="preserve"> (these are not common in </w:t>
            </w:r>
            <w:r w:rsidR="006C35DA" w:rsidRPr="001E3882">
              <w:rPr>
                <w:sz w:val="20"/>
                <w:szCs w:val="20"/>
              </w:rPr>
              <w:t>metastatic MCC</w:t>
            </w:r>
            <w:r w:rsidR="005811FF" w:rsidRPr="001E3882">
              <w:rPr>
                <w:sz w:val="20"/>
                <w:szCs w:val="20"/>
              </w:rPr>
              <w:t>)</w:t>
            </w:r>
          </w:p>
          <w:p w14:paraId="4CA94EE6" w14:textId="77777777" w:rsidR="00376174" w:rsidRPr="001E3882" w:rsidRDefault="00376174" w:rsidP="001E3882">
            <w:pPr>
              <w:pStyle w:val="ListBullet2"/>
              <w:ind w:left="601"/>
              <w:rPr>
                <w:sz w:val="20"/>
                <w:szCs w:val="20"/>
              </w:rPr>
            </w:pPr>
            <w:r w:rsidRPr="001E3882">
              <w:rPr>
                <w:sz w:val="20"/>
                <w:szCs w:val="20"/>
              </w:rPr>
              <w:t>I</w:t>
            </w:r>
            <w:r w:rsidR="005811FF" w:rsidRPr="001E3882">
              <w:rPr>
                <w:sz w:val="20"/>
                <w:szCs w:val="20"/>
              </w:rPr>
              <w:t>nfection with HIV, Hep-B, Hep-C</w:t>
            </w:r>
          </w:p>
        </w:tc>
      </w:tr>
      <w:tr w:rsidR="00376174" w:rsidRPr="001E3882" w14:paraId="24D8780A" w14:textId="77777777" w:rsidTr="00376174">
        <w:tc>
          <w:tcPr>
            <w:tcW w:w="3085" w:type="dxa"/>
          </w:tcPr>
          <w:p w14:paraId="665A56E2" w14:textId="77777777" w:rsidR="00376174" w:rsidRPr="001E3882" w:rsidRDefault="005811FF" w:rsidP="001E3882">
            <w:pPr>
              <w:rPr>
                <w:sz w:val="20"/>
                <w:szCs w:val="20"/>
              </w:rPr>
            </w:pPr>
            <w:r w:rsidRPr="001E3882">
              <w:rPr>
                <w:sz w:val="20"/>
                <w:szCs w:val="20"/>
              </w:rPr>
              <w:t>Intervention</w:t>
            </w:r>
          </w:p>
        </w:tc>
        <w:tc>
          <w:tcPr>
            <w:tcW w:w="5635" w:type="dxa"/>
          </w:tcPr>
          <w:p w14:paraId="32C403F4" w14:textId="77777777" w:rsidR="00376174" w:rsidRPr="001E3882" w:rsidRDefault="00376174" w:rsidP="001E3882">
            <w:pPr>
              <w:rPr>
                <w:sz w:val="20"/>
                <w:szCs w:val="20"/>
              </w:rPr>
            </w:pPr>
            <w:r w:rsidRPr="001E3882">
              <w:rPr>
                <w:sz w:val="20"/>
                <w:szCs w:val="20"/>
              </w:rPr>
              <w:t xml:space="preserve">Avelumab IV </w:t>
            </w:r>
            <w:r w:rsidR="005811FF" w:rsidRPr="001E3882">
              <w:rPr>
                <w:sz w:val="20"/>
                <w:szCs w:val="20"/>
              </w:rPr>
              <w:t>10 mg/kg every 2 weeks, over 60 </w:t>
            </w:r>
            <w:r w:rsidRPr="001E3882">
              <w:rPr>
                <w:sz w:val="20"/>
                <w:szCs w:val="20"/>
              </w:rPr>
              <w:t>minutes, until disease progression or unacceptable toxicity.</w:t>
            </w:r>
          </w:p>
        </w:tc>
      </w:tr>
      <w:tr w:rsidR="00376174" w:rsidRPr="001E3882" w14:paraId="10616175" w14:textId="77777777" w:rsidTr="00376174">
        <w:tc>
          <w:tcPr>
            <w:tcW w:w="3085" w:type="dxa"/>
          </w:tcPr>
          <w:p w14:paraId="1F81EDA7" w14:textId="77777777" w:rsidR="00376174" w:rsidRPr="001E3882" w:rsidRDefault="005811FF" w:rsidP="001E3882">
            <w:pPr>
              <w:rPr>
                <w:sz w:val="20"/>
                <w:szCs w:val="20"/>
              </w:rPr>
            </w:pPr>
            <w:r w:rsidRPr="001E3882">
              <w:rPr>
                <w:sz w:val="20"/>
                <w:szCs w:val="20"/>
              </w:rPr>
              <w:lastRenderedPageBreak/>
              <w:t>Comparator</w:t>
            </w:r>
          </w:p>
        </w:tc>
        <w:tc>
          <w:tcPr>
            <w:tcW w:w="5635" w:type="dxa"/>
          </w:tcPr>
          <w:p w14:paraId="5686E739" w14:textId="77777777" w:rsidR="00376174" w:rsidRPr="001E3882" w:rsidRDefault="00376174" w:rsidP="001E3882">
            <w:pPr>
              <w:rPr>
                <w:sz w:val="20"/>
                <w:szCs w:val="20"/>
              </w:rPr>
            </w:pPr>
            <w:r w:rsidRPr="001E3882">
              <w:rPr>
                <w:sz w:val="20"/>
                <w:szCs w:val="20"/>
              </w:rPr>
              <w:t>Nil, single arm</w:t>
            </w:r>
          </w:p>
        </w:tc>
      </w:tr>
      <w:tr w:rsidR="00376174" w:rsidRPr="001E3882" w14:paraId="35F0588D" w14:textId="77777777" w:rsidTr="00B9688B">
        <w:trPr>
          <w:cantSplit/>
        </w:trPr>
        <w:tc>
          <w:tcPr>
            <w:tcW w:w="3085" w:type="dxa"/>
          </w:tcPr>
          <w:p w14:paraId="02E480A0" w14:textId="77777777" w:rsidR="00376174" w:rsidRPr="001E3882" w:rsidRDefault="00376174" w:rsidP="001E3882">
            <w:pPr>
              <w:rPr>
                <w:sz w:val="20"/>
                <w:szCs w:val="20"/>
              </w:rPr>
            </w:pPr>
            <w:r w:rsidRPr="001E3882">
              <w:rPr>
                <w:sz w:val="20"/>
                <w:szCs w:val="20"/>
              </w:rPr>
              <w:t>End</w:t>
            </w:r>
            <w:r w:rsidR="005811FF" w:rsidRPr="001E3882">
              <w:rPr>
                <w:sz w:val="20"/>
                <w:szCs w:val="20"/>
              </w:rPr>
              <w:t>point</w:t>
            </w:r>
          </w:p>
        </w:tc>
        <w:tc>
          <w:tcPr>
            <w:tcW w:w="5635" w:type="dxa"/>
          </w:tcPr>
          <w:p w14:paraId="132739AB" w14:textId="77777777" w:rsidR="00376174" w:rsidRPr="001E3882" w:rsidRDefault="005811FF" w:rsidP="001E3882">
            <w:pPr>
              <w:rPr>
                <w:sz w:val="20"/>
                <w:szCs w:val="20"/>
              </w:rPr>
            </w:pPr>
            <w:r w:rsidRPr="001E3882">
              <w:rPr>
                <w:sz w:val="20"/>
                <w:szCs w:val="20"/>
              </w:rPr>
              <w:t>Primary</w:t>
            </w:r>
          </w:p>
          <w:p w14:paraId="62DC09CC" w14:textId="77777777" w:rsidR="00376174" w:rsidRPr="001E3882" w:rsidRDefault="00376174" w:rsidP="001E3882">
            <w:pPr>
              <w:rPr>
                <w:sz w:val="20"/>
                <w:szCs w:val="20"/>
              </w:rPr>
            </w:pPr>
            <w:r w:rsidRPr="001E3882">
              <w:rPr>
                <w:sz w:val="20"/>
                <w:szCs w:val="20"/>
              </w:rPr>
              <w:t>Best overall response (complete or partial respons</w:t>
            </w:r>
            <w:r w:rsidR="005811FF" w:rsidRPr="001E3882">
              <w:rPr>
                <w:sz w:val="20"/>
                <w:szCs w:val="20"/>
              </w:rPr>
              <w:t>e; stable, progressive disease)</w:t>
            </w:r>
          </w:p>
          <w:p w14:paraId="2E70BC30" w14:textId="77777777" w:rsidR="00376174" w:rsidRPr="001E3882" w:rsidRDefault="00376174" w:rsidP="001E3882">
            <w:pPr>
              <w:rPr>
                <w:sz w:val="20"/>
                <w:szCs w:val="20"/>
              </w:rPr>
            </w:pPr>
            <w:r w:rsidRPr="001E3882">
              <w:rPr>
                <w:sz w:val="20"/>
                <w:szCs w:val="20"/>
              </w:rPr>
              <w:t>RECIST 1.1, blinded independent review committee</w:t>
            </w:r>
          </w:p>
        </w:tc>
      </w:tr>
    </w:tbl>
    <w:p w14:paraId="23A4BB70" w14:textId="69ED77E3" w:rsidR="00BE121F" w:rsidRPr="00376174" w:rsidRDefault="00376174" w:rsidP="001E3882">
      <w:r w:rsidRPr="00376174">
        <w:t>Median number of doses of avelumab: 7</w:t>
      </w:r>
      <w:r w:rsidR="00685885">
        <w:t>; m</w:t>
      </w:r>
      <w:r w:rsidR="00685885" w:rsidRPr="00376174">
        <w:t xml:space="preserve">edian </w:t>
      </w:r>
      <w:r w:rsidRPr="00376174">
        <w:t>duration of treatment: 17 weeks</w:t>
      </w:r>
      <w:r w:rsidR="00685885">
        <w:t>.</w:t>
      </w:r>
    </w:p>
    <w:p w14:paraId="01B76E04" w14:textId="77777777" w:rsidR="00BE121F" w:rsidRPr="00376174" w:rsidRDefault="00376174" w:rsidP="001E3882">
      <w:pPr>
        <w:pStyle w:val="Heading5"/>
      </w:pPr>
      <w:r w:rsidRPr="00376174">
        <w:t xml:space="preserve">Baseline </w:t>
      </w:r>
      <w:r w:rsidRPr="001E3882">
        <w:t>characteristics</w:t>
      </w:r>
    </w:p>
    <w:p w14:paraId="3DBF6AB3" w14:textId="36690B1C" w:rsidR="00376174" w:rsidRDefault="005811FF" w:rsidP="00376174">
      <w:r>
        <w:t xml:space="preserve">N = </w:t>
      </w:r>
      <w:r w:rsidR="00376174" w:rsidRPr="00376174">
        <w:t>88</w:t>
      </w:r>
      <w:r w:rsidR="00685885">
        <w:t xml:space="preserve">; baseline </w:t>
      </w:r>
      <w:r w:rsidR="00376174">
        <w:t xml:space="preserve">characteristics are </w:t>
      </w:r>
      <w:r w:rsidR="00B70C5D">
        <w:t>displayed in Table 22</w:t>
      </w:r>
      <w:r w:rsidR="00685885">
        <w:t xml:space="preserve"> (see below)</w:t>
      </w:r>
      <w:r w:rsidR="00376174">
        <w:t>.</w:t>
      </w:r>
    </w:p>
    <w:p w14:paraId="736D2220" w14:textId="77777777" w:rsidR="00376174" w:rsidRPr="00376174" w:rsidRDefault="00B70C5D" w:rsidP="001E3882">
      <w:pPr>
        <w:pStyle w:val="TableTitle"/>
      </w:pPr>
      <w:r>
        <w:t>Table 22:</w:t>
      </w:r>
      <w:r w:rsidR="00376174">
        <w:t xml:space="preserve"> </w:t>
      </w:r>
      <w:r w:rsidR="00376174" w:rsidRPr="001E3882">
        <w:t>Baseline</w:t>
      </w:r>
      <w:r w:rsidR="00376174">
        <w:t xml:space="preserve"> characteristics Study </w:t>
      </w:r>
      <w:r w:rsidR="00376174" w:rsidRPr="00BE121F">
        <w:t>NCT02155647 (Study 003)</w:t>
      </w:r>
    </w:p>
    <w:p w14:paraId="3CC3224E" w14:textId="77777777" w:rsidR="00BE121F" w:rsidRDefault="00376174" w:rsidP="001E3882">
      <w:r>
        <w:rPr>
          <w:noProof/>
          <w:lang w:eastAsia="en-AU"/>
        </w:rPr>
        <w:drawing>
          <wp:inline distT="0" distB="0" distL="0" distR="0" wp14:anchorId="59CC7B89" wp14:editId="14AC09A5">
            <wp:extent cx="3277209" cy="4684443"/>
            <wp:effectExtent l="0" t="0" r="0" b="1905"/>
            <wp:docPr id="3" name="Picture 3" descr="Table 22: Baseline characteristics Study NCT02155647 (Study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78072" cy="4685676"/>
                    </a:xfrm>
                    <a:prstGeom prst="rect">
                      <a:avLst/>
                    </a:prstGeom>
                  </pic:spPr>
                </pic:pic>
              </a:graphicData>
            </a:graphic>
          </wp:inline>
        </w:drawing>
      </w:r>
    </w:p>
    <w:p w14:paraId="2507EDC5" w14:textId="77777777" w:rsidR="00376174" w:rsidRPr="00376174" w:rsidRDefault="002E1F19" w:rsidP="001E3882">
      <w:pPr>
        <w:pStyle w:val="Heading5"/>
      </w:pPr>
      <w:r w:rsidRPr="001E3882">
        <w:t>Results</w:t>
      </w:r>
    </w:p>
    <w:p w14:paraId="3C395377" w14:textId="77777777" w:rsidR="00BE121F" w:rsidRDefault="00376174" w:rsidP="001E3882">
      <w:proofErr w:type="gramStart"/>
      <w:r w:rsidRPr="00376174">
        <w:t>Minimum follow-up of 18 months for all patients</w:t>
      </w:r>
      <w:r w:rsidR="005811FF">
        <w:t>.</w:t>
      </w:r>
      <w:proofErr w:type="gramEnd"/>
    </w:p>
    <w:p w14:paraId="7E43DF35" w14:textId="77777777" w:rsidR="00885F05" w:rsidRDefault="00885F05" w:rsidP="001E3882">
      <w:pPr>
        <w:pStyle w:val="Heading6"/>
      </w:pPr>
      <w:r w:rsidRPr="002E1F19">
        <w:t xml:space="preserve">Best </w:t>
      </w:r>
      <w:r w:rsidRPr="001E3882">
        <w:t>overall</w:t>
      </w:r>
      <w:r w:rsidRPr="002E1F19">
        <w:t xml:space="preserve"> response</w:t>
      </w:r>
    </w:p>
    <w:p w14:paraId="0CD6F270" w14:textId="76DC0F0E" w:rsidR="002E1F19" w:rsidRDefault="002E1F19" w:rsidP="001E3882">
      <w:r w:rsidRPr="002E1F19">
        <w:t xml:space="preserve">Best overall response, n (%), </w:t>
      </w:r>
      <w:r w:rsidR="005811FF">
        <w:t xml:space="preserve">N = </w:t>
      </w:r>
      <w:r w:rsidRPr="002E1F19">
        <w:t>88</w:t>
      </w:r>
      <w:r>
        <w:t xml:space="preserve"> is displayed in Table 2</w:t>
      </w:r>
      <w:r w:rsidR="00B70C5D">
        <w:t>3</w:t>
      </w:r>
      <w:r w:rsidR="00685885">
        <w:t>, below</w:t>
      </w:r>
      <w:r>
        <w:t>.</w:t>
      </w:r>
    </w:p>
    <w:p w14:paraId="2D1F61AB" w14:textId="77777777" w:rsidR="002E1F19" w:rsidRPr="002E1F19" w:rsidRDefault="00885F05" w:rsidP="001E3882">
      <w:pPr>
        <w:pStyle w:val="TableTitle"/>
      </w:pPr>
      <w:r>
        <w:lastRenderedPageBreak/>
        <w:t>Table 2</w:t>
      </w:r>
      <w:r w:rsidR="00B70C5D">
        <w:t>3</w:t>
      </w:r>
      <w:r>
        <w:t>:</w:t>
      </w:r>
      <w:r w:rsidR="002E1F19">
        <w:t xml:space="preserve"> </w:t>
      </w:r>
      <w:r w:rsidR="002E1F19" w:rsidRPr="001E3882">
        <w:t>Response</w:t>
      </w:r>
      <w:r w:rsidR="002E1F19">
        <w:t xml:space="preserve"> rates for NCT02155647 (Study 003)</w:t>
      </w:r>
    </w:p>
    <w:p w14:paraId="27F2B2B1" w14:textId="77777777" w:rsidR="002E1F19" w:rsidRDefault="002E1F19" w:rsidP="001E3882">
      <w:r>
        <w:rPr>
          <w:noProof/>
          <w:lang w:eastAsia="en-AU"/>
        </w:rPr>
        <w:drawing>
          <wp:inline distT="0" distB="0" distL="0" distR="0" wp14:anchorId="26FAC560" wp14:editId="7D72C3D2">
            <wp:extent cx="2860243" cy="1147423"/>
            <wp:effectExtent l="0" t="0" r="0" b="0"/>
            <wp:docPr id="8" name="Picture 8" descr="Table 23: Response rates for NCT02155647 (Study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59711" cy="1147210"/>
                    </a:xfrm>
                    <a:prstGeom prst="rect">
                      <a:avLst/>
                    </a:prstGeom>
                  </pic:spPr>
                </pic:pic>
              </a:graphicData>
            </a:graphic>
          </wp:inline>
        </w:drawing>
      </w:r>
    </w:p>
    <w:p w14:paraId="26563E42" w14:textId="397F8FB5" w:rsidR="002E1F19" w:rsidRPr="002E1F19" w:rsidRDefault="002E1F19" w:rsidP="001E3882">
      <w:r w:rsidRPr="002E1F19">
        <w:t xml:space="preserve">Objective response: </w:t>
      </w:r>
      <w:r w:rsidR="005811FF">
        <w:t xml:space="preserve">n = </w:t>
      </w:r>
      <w:r w:rsidRPr="002E1F19">
        <w:t>29; 33%, 95% CI: 23%, 44%</w:t>
      </w:r>
      <w:r w:rsidR="00685885">
        <w:t>; m</w:t>
      </w:r>
      <w:r w:rsidR="00685885" w:rsidRPr="002E1F19">
        <w:t xml:space="preserve">edian </w:t>
      </w:r>
      <w:r w:rsidRPr="002E1F19">
        <w:t>time to response: 6 weeks</w:t>
      </w:r>
      <w:r w:rsidR="00685885">
        <w:t>.</w:t>
      </w:r>
    </w:p>
    <w:p w14:paraId="559F22D9" w14:textId="77777777" w:rsidR="002E1F19" w:rsidRPr="002E1F19" w:rsidRDefault="00885F05" w:rsidP="00885F05">
      <w:pPr>
        <w:pStyle w:val="Heading6"/>
      </w:pPr>
      <w:r>
        <w:t>Duration of res</w:t>
      </w:r>
      <w:r w:rsidRPr="001E3882">
        <w:t>p</w:t>
      </w:r>
      <w:r>
        <w:t>onse</w:t>
      </w:r>
    </w:p>
    <w:p w14:paraId="5508B380" w14:textId="77777777" w:rsidR="004A25E4" w:rsidRDefault="002E1F19" w:rsidP="001E3882">
      <w:pPr>
        <w:pStyle w:val="ListBullet"/>
      </w:pPr>
      <w:r w:rsidRPr="001E3882">
        <w:t>Durable</w:t>
      </w:r>
      <w:r w:rsidRPr="002E1F19">
        <w:t xml:space="preserve"> response rate: Of the </w:t>
      </w:r>
      <w:r w:rsidR="005811FF">
        <w:t xml:space="preserve">N = </w:t>
      </w:r>
      <w:r w:rsidRPr="002E1F19">
        <w:t xml:space="preserve">88 study participants; percentage with a response lasting at least 6 months: </w:t>
      </w:r>
      <w:r w:rsidR="00F24F1E">
        <w:t>30.6</w:t>
      </w:r>
      <w:r w:rsidRPr="002E1F19">
        <w:t xml:space="preserve">%, 95% CI: </w:t>
      </w:r>
      <w:r w:rsidR="00B53409">
        <w:t>21</w:t>
      </w:r>
      <w:r w:rsidRPr="002E1F19">
        <w:t xml:space="preserve">%, </w:t>
      </w:r>
      <w:r w:rsidR="00B53409">
        <w:t>40.3</w:t>
      </w:r>
      <w:r w:rsidRPr="002E1F19">
        <w:t>%</w:t>
      </w:r>
      <w:r w:rsidR="004A25E4">
        <w:t>.</w:t>
      </w:r>
    </w:p>
    <w:p w14:paraId="49DB1914" w14:textId="77777777" w:rsidR="004A25E4" w:rsidRDefault="002E1F19" w:rsidP="002E1F19">
      <w:pPr>
        <w:pStyle w:val="ListBullet"/>
      </w:pPr>
      <w:r w:rsidRPr="002E1F19">
        <w:t>Based on KM estimates (to allow for censoring: patients not followed-up for the full 6 months or 12 months), of the 29 patients who had a response, 93% had a response of at least 6 months; 71% had a response of at least 12 months</w:t>
      </w:r>
      <w:r w:rsidR="004A25E4">
        <w:t>.</w:t>
      </w:r>
    </w:p>
    <w:p w14:paraId="755DFD76" w14:textId="77777777" w:rsidR="004A25E4" w:rsidRDefault="002E1F19" w:rsidP="002E1F19">
      <w:pPr>
        <w:pStyle w:val="ListBullet"/>
      </w:pPr>
      <w:r w:rsidRPr="002E1F19">
        <w:t>At the time of data cut-off, duration of response ranged from 2.8 months to at least 24</w:t>
      </w:r>
      <w:r w:rsidRPr="001E3882">
        <w:t>.</w:t>
      </w:r>
      <w:r w:rsidRPr="002E1F19">
        <w:t>9 months</w:t>
      </w:r>
      <w:r w:rsidR="004A25E4">
        <w:t>.</w:t>
      </w:r>
    </w:p>
    <w:p w14:paraId="31D198F8" w14:textId="77777777" w:rsidR="004A25E4" w:rsidRDefault="002E1F19" w:rsidP="001E3882">
      <w:pPr>
        <w:pStyle w:val="ListBullet"/>
      </w:pPr>
      <w:r w:rsidRPr="002E1F19">
        <w:t xml:space="preserve">Median duration of response was not reached, 95% </w:t>
      </w:r>
      <w:r>
        <w:t>CI (18 months, not estimable)</w:t>
      </w:r>
      <w:r w:rsidR="004A25E4">
        <w:t>.</w:t>
      </w:r>
    </w:p>
    <w:p w14:paraId="50E63ABC" w14:textId="77777777" w:rsidR="00885F05" w:rsidRDefault="00885F05" w:rsidP="001E3882">
      <w:pPr>
        <w:pStyle w:val="Heading6"/>
      </w:pPr>
      <w:r>
        <w:t xml:space="preserve">Other </w:t>
      </w:r>
      <w:r w:rsidRPr="001E3882">
        <w:t>endpoints</w:t>
      </w:r>
    </w:p>
    <w:p w14:paraId="2B681391" w14:textId="77777777" w:rsidR="002E1F19" w:rsidRPr="002E1F19" w:rsidRDefault="002E1F19" w:rsidP="00B9688B">
      <w:pPr>
        <w:pStyle w:val="ListBullet"/>
      </w:pPr>
      <w:r w:rsidRPr="002E1F19">
        <w:t>Median PFS: 2.7 months; 95% CI (1.4, 6.9)</w:t>
      </w:r>
    </w:p>
    <w:p w14:paraId="52C37046" w14:textId="77777777" w:rsidR="002E1F19" w:rsidRPr="002E1F19" w:rsidRDefault="002E1F19" w:rsidP="00B9688B">
      <w:pPr>
        <w:pStyle w:val="ListBullet"/>
      </w:pPr>
      <w:r w:rsidRPr="002E1F19">
        <w:t xml:space="preserve">PFS % at 12 months: 29%, 95% CI (19, 39) </w:t>
      </w:r>
    </w:p>
    <w:p w14:paraId="2EB71C06" w14:textId="77777777" w:rsidR="002E1F19" w:rsidRPr="002E1F19" w:rsidRDefault="002E1F19" w:rsidP="00B9688B">
      <w:pPr>
        <w:pStyle w:val="ListBullet"/>
      </w:pPr>
      <w:r w:rsidRPr="002E1F19">
        <w:t xml:space="preserve">Median OS: 12.6 months; 95% CI (7.5, 19.0) </w:t>
      </w:r>
    </w:p>
    <w:p w14:paraId="41BAEFEA" w14:textId="77777777" w:rsidR="002E1F19" w:rsidRPr="002E1F19" w:rsidRDefault="002E1F19" w:rsidP="001E3882">
      <w:pPr>
        <w:pStyle w:val="ListBullet"/>
      </w:pPr>
      <w:r w:rsidRPr="002E1F19">
        <w:t xml:space="preserve">OS% at 12 months: 51% 95% CI (40, 61) </w:t>
      </w:r>
    </w:p>
    <w:p w14:paraId="3B92C6C4" w14:textId="77777777" w:rsidR="004A25E4" w:rsidRDefault="002E1F19" w:rsidP="001E3882">
      <w:r w:rsidRPr="002E1F19">
        <w:t xml:space="preserve">Post hoc, exploratory, sub group analyses did not show any particular pattern. Results for PD-L1 expression and Merkel cell polyomavirus large T antigen expression are given in </w:t>
      </w:r>
      <w:r w:rsidR="00885F05">
        <w:t>T</w:t>
      </w:r>
      <w:r w:rsidRPr="002E1F19">
        <w:t xml:space="preserve">able </w:t>
      </w:r>
      <w:r w:rsidR="00B70C5D">
        <w:t>2</w:t>
      </w:r>
      <w:r w:rsidR="00885F05">
        <w:t>4</w:t>
      </w:r>
      <w:r w:rsidR="004A25E4">
        <w:t>.</w:t>
      </w:r>
    </w:p>
    <w:p w14:paraId="08E0101E" w14:textId="6DB8F7D4" w:rsidR="002E1F19" w:rsidRDefault="002E1F19" w:rsidP="001E3882">
      <w:r w:rsidRPr="002E1F19">
        <w:t>PD-L1 expression was assessed with a proprietary research-use-only assay (</w:t>
      </w:r>
      <w:proofErr w:type="spellStart"/>
      <w:r w:rsidRPr="002E1F19">
        <w:t>Dako</w:t>
      </w:r>
      <w:proofErr w:type="spellEnd"/>
      <w:r w:rsidRPr="002E1F19">
        <w:t xml:space="preserve">, </w:t>
      </w:r>
      <w:proofErr w:type="spellStart"/>
      <w:r w:rsidRPr="002E1F19">
        <w:t>Carpinteria</w:t>
      </w:r>
      <w:proofErr w:type="spellEnd"/>
      <w:r w:rsidRPr="002E1F19">
        <w:t>, CA, USA) based on an anti-PD-L1 rabbit monoclonal antibody clone (clone 73</w:t>
      </w:r>
      <w:r w:rsidR="00685885">
        <w:noBreakHyphen/>
      </w:r>
      <w:r w:rsidRPr="002E1F19">
        <w:t xml:space="preserve">10; Merck </w:t>
      </w:r>
      <w:proofErr w:type="spellStart"/>
      <w:r w:rsidRPr="002E1F19">
        <w:t>KGaA</w:t>
      </w:r>
      <w:proofErr w:type="spellEnd"/>
      <w:r w:rsidRPr="002E1F19">
        <w:t>, Darmstadt, Germany), and PD-L1 positivity was defined in this study as a threshold level of 1% positive tumour cells of any intensity.</w:t>
      </w:r>
    </w:p>
    <w:p w14:paraId="16D70A3F" w14:textId="6C08817D" w:rsidR="002E1F19" w:rsidRDefault="002E1F19" w:rsidP="002E1F19">
      <w:pPr>
        <w:pStyle w:val="TableTitle"/>
      </w:pPr>
      <w:r>
        <w:t xml:space="preserve">Table </w:t>
      </w:r>
      <w:r w:rsidR="00B70C5D">
        <w:t>2</w:t>
      </w:r>
      <w:r>
        <w:t>4:</w:t>
      </w:r>
      <w:r w:rsidRPr="002E1F19">
        <w:t xml:space="preserve"> Results for PD-L1 expr</w:t>
      </w:r>
      <w:r w:rsidRPr="001E3882">
        <w:t>e</w:t>
      </w:r>
      <w:r w:rsidRPr="002E1F19">
        <w:t>ssion and Merkel cell polyomavirus large T</w:t>
      </w:r>
      <w:r w:rsidR="00685885">
        <w:t> </w:t>
      </w:r>
      <w:r w:rsidRPr="002E1F19">
        <w:t>antigen expression</w:t>
      </w:r>
    </w:p>
    <w:p w14:paraId="52B0C0F8" w14:textId="77777777" w:rsidR="002E1F19" w:rsidRDefault="00B53409" w:rsidP="001E3882">
      <w:r w:rsidRPr="00B53409">
        <w:rPr>
          <w:noProof/>
          <w:lang w:eastAsia="en-AU"/>
        </w:rPr>
        <w:drawing>
          <wp:inline distT="0" distB="0" distL="0" distR="0" wp14:anchorId="36CF4839" wp14:editId="49129324">
            <wp:extent cx="3514725" cy="2038350"/>
            <wp:effectExtent l="0" t="0" r="9525" b="0"/>
            <wp:docPr id="16" name="Picture 16" descr="Table 24: Results for PD-L1 expression and Merkel cell polyomavirus large T antige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14725" cy="2038350"/>
                    </a:xfrm>
                    <a:prstGeom prst="rect">
                      <a:avLst/>
                    </a:prstGeom>
                  </pic:spPr>
                </pic:pic>
              </a:graphicData>
            </a:graphic>
          </wp:inline>
        </w:drawing>
      </w:r>
    </w:p>
    <w:p w14:paraId="61E7B8C4" w14:textId="77777777" w:rsidR="002E1F19" w:rsidRPr="002E1F19" w:rsidRDefault="00885F05" w:rsidP="001E3882">
      <w:pPr>
        <w:pStyle w:val="Heading5"/>
      </w:pPr>
      <w:r>
        <w:rPr>
          <w:lang w:eastAsia="ja-JP"/>
        </w:rPr>
        <w:lastRenderedPageBreak/>
        <w:t xml:space="preserve">Study </w:t>
      </w:r>
      <w:r w:rsidRPr="001E3882">
        <w:t>100070</w:t>
      </w:r>
      <w:r>
        <w:rPr>
          <w:lang w:eastAsia="ja-JP"/>
        </w:rPr>
        <w:t>-Obs001</w:t>
      </w:r>
    </w:p>
    <w:p w14:paraId="11A82CC5" w14:textId="1D5C93D2" w:rsidR="004A25E4" w:rsidRDefault="002E1F19" w:rsidP="001E3882">
      <w:r w:rsidRPr="002E1F19">
        <w:t>From a registry/database of hundreds of patients (</w:t>
      </w:r>
      <w:r w:rsidR="004A25E4">
        <w:t>for example</w:t>
      </w:r>
      <w:r w:rsidRPr="002E1F19">
        <w:t>, n</w:t>
      </w:r>
      <w:r>
        <w:t xml:space="preserve"> </w:t>
      </w:r>
      <w:r w:rsidR="005E1E9B">
        <w:t xml:space="preserve">&gt; </w:t>
      </w:r>
      <w:r w:rsidRPr="002E1F19">
        <w:t xml:space="preserve">600 in Part A) with </w:t>
      </w:r>
      <w:r w:rsidR="008B1356">
        <w:t>MCC</w:t>
      </w:r>
      <w:r w:rsidRPr="002E1F19">
        <w:t xml:space="preserve">, the sponsor identified patients who matched the inclusion criteria for the pivotal </w:t>
      </w:r>
      <w:r w:rsidR="00655338">
        <w:t>Stud</w:t>
      </w:r>
      <w:r w:rsidR="00885F05">
        <w:t>y 003</w:t>
      </w:r>
      <w:r w:rsidRPr="002E1F19">
        <w:t>; for example, previously treated metastatic disease (</w:t>
      </w:r>
      <w:r w:rsidR="005E1E9B">
        <w:t>that is</w:t>
      </w:r>
      <w:r w:rsidRPr="002E1F19">
        <w:t xml:space="preserve">, at least </w:t>
      </w:r>
      <w:r w:rsidR="006C35DA">
        <w:t>first line</w:t>
      </w:r>
      <w:r w:rsidRPr="002E1F19">
        <w:t xml:space="preserve"> chemotherapy between 2004 and 2015), no concomitant autoimmune disease, immune-competent</w:t>
      </w:r>
      <w:r w:rsidR="004A25E4">
        <w:t>.</w:t>
      </w:r>
    </w:p>
    <w:p w14:paraId="7BCA34D0" w14:textId="77777777" w:rsidR="002E1F19" w:rsidRDefault="002E1F19" w:rsidP="002E1F19">
      <w:r w:rsidRPr="002E1F19">
        <w:t>Part A (</w:t>
      </w:r>
      <w:r w:rsidR="005811FF">
        <w:t xml:space="preserve">n = </w:t>
      </w:r>
      <w:r w:rsidRPr="002E1F19">
        <w:t>14) was in the US; part B (</w:t>
      </w:r>
      <w:r w:rsidR="005811FF">
        <w:t xml:space="preserve">n = </w:t>
      </w:r>
      <w:r w:rsidRPr="002E1F19">
        <w:t>29) was in Germany, Austria, and Switzerland.</w:t>
      </w:r>
    </w:p>
    <w:p w14:paraId="1759190F" w14:textId="77777777" w:rsidR="002E1F19" w:rsidRPr="002E1F19" w:rsidRDefault="00885F05" w:rsidP="001E3882">
      <w:pPr>
        <w:pStyle w:val="TableTitle"/>
      </w:pPr>
      <w:r>
        <w:t xml:space="preserve">Table </w:t>
      </w:r>
      <w:r w:rsidR="00B70C5D">
        <w:t>2</w:t>
      </w:r>
      <w:r>
        <w:t>5:</w:t>
      </w:r>
      <w:r w:rsidR="002E1F19">
        <w:t xml:space="preserve"> Results from </w:t>
      </w:r>
      <w:r w:rsidRPr="001E3882">
        <w:t>Study</w:t>
      </w:r>
      <w:r>
        <w:t xml:space="preserve"> </w:t>
      </w:r>
      <w:r>
        <w:rPr>
          <w:lang w:eastAsia="ja-JP"/>
        </w:rPr>
        <w:t>100070-</w:t>
      </w:r>
      <w:r w:rsidR="002E1F19">
        <w:t>Obs001</w:t>
      </w:r>
    </w:p>
    <w:p w14:paraId="502313EA" w14:textId="77777777" w:rsidR="002E1F19" w:rsidRDefault="002E1F19" w:rsidP="001E3882">
      <w:r>
        <w:rPr>
          <w:noProof/>
          <w:lang w:eastAsia="en-AU"/>
        </w:rPr>
        <w:drawing>
          <wp:inline distT="0" distB="0" distL="0" distR="0" wp14:anchorId="68A39D26" wp14:editId="67D0A92C">
            <wp:extent cx="4567479" cy="1594714"/>
            <wp:effectExtent l="0" t="0" r="5080" b="5715"/>
            <wp:docPr id="10" name="Picture 10" descr="Table 25: Results from Study 100070-Ob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68683" cy="1595134"/>
                    </a:xfrm>
                    <a:prstGeom prst="rect">
                      <a:avLst/>
                    </a:prstGeom>
                  </pic:spPr>
                </pic:pic>
              </a:graphicData>
            </a:graphic>
          </wp:inline>
        </w:drawing>
      </w:r>
    </w:p>
    <w:p w14:paraId="6CBFCC13" w14:textId="10EEA7B7" w:rsidR="002E1F19" w:rsidRPr="002E1F19" w:rsidRDefault="002E1F19" w:rsidP="001E3882">
      <w:r w:rsidRPr="002E1F19">
        <w:t xml:space="preserve">The pivotal </w:t>
      </w:r>
      <w:r w:rsidR="00655338">
        <w:t>Stud</w:t>
      </w:r>
      <w:r w:rsidR="000E4114">
        <w:t>y 003</w:t>
      </w:r>
      <w:r w:rsidRPr="002E1F19">
        <w:t xml:space="preserve"> does not have contemporaneous controls (</w:t>
      </w:r>
      <w:r w:rsidR="005E1E9B">
        <w:t>that is</w:t>
      </w:r>
      <w:r w:rsidRPr="002E1F19">
        <w:t xml:space="preserve">, it is single arm). Given </w:t>
      </w:r>
      <w:r w:rsidR="008B1356">
        <w:t>MCC</w:t>
      </w:r>
      <w:r w:rsidRPr="002E1F19">
        <w:t xml:space="preserve"> is a rare </w:t>
      </w:r>
      <w:proofErr w:type="gramStart"/>
      <w:r w:rsidRPr="002E1F19">
        <w:t>disease,</w:t>
      </w:r>
      <w:proofErr w:type="gramEnd"/>
      <w:r w:rsidRPr="002E1F19">
        <w:t xml:space="preserve"> it would be difficult to conduct a randomised study with contemporaneous controls. </w:t>
      </w:r>
      <w:r w:rsidR="000E4114">
        <w:t xml:space="preserve">Study </w:t>
      </w:r>
      <w:r w:rsidR="000E4114">
        <w:rPr>
          <w:lang w:eastAsia="ja-JP"/>
        </w:rPr>
        <w:t>100070-</w:t>
      </w:r>
      <w:r w:rsidRPr="002E1F19">
        <w:t xml:space="preserve">Obs001 suggests longer </w:t>
      </w:r>
      <w:r w:rsidR="000E4114">
        <w:t>duration of response</w:t>
      </w:r>
      <w:r w:rsidRPr="002E1F19">
        <w:t xml:space="preserve"> with avelumab versus chemotherapy, but this is an indirect comparison.</w:t>
      </w:r>
    </w:p>
    <w:p w14:paraId="1504ED77" w14:textId="77777777" w:rsidR="008C4529" w:rsidRPr="008C4529" w:rsidRDefault="008C4529" w:rsidP="001E3882">
      <w:pPr>
        <w:pStyle w:val="Heading4"/>
      </w:pPr>
      <w:r w:rsidRPr="001E3882">
        <w:t>Safety</w:t>
      </w:r>
    </w:p>
    <w:p w14:paraId="7916ABBE" w14:textId="337897F3" w:rsidR="008C4529" w:rsidRPr="008C4529" w:rsidRDefault="008C4529" w:rsidP="001E3882">
      <w:r w:rsidRPr="008C4529">
        <w:t>The integrate</w:t>
      </w:r>
      <w:r w:rsidR="000E4114">
        <w:t>d safety data set consisted of</w:t>
      </w:r>
      <w:r w:rsidR="008B1356">
        <w:t>:</w:t>
      </w:r>
    </w:p>
    <w:p w14:paraId="75C79D18" w14:textId="2EA4C410" w:rsidR="008C4529" w:rsidRPr="008C4529" w:rsidRDefault="008C4529" w:rsidP="001E3882">
      <w:pPr>
        <w:pStyle w:val="ListBullet"/>
      </w:pPr>
      <w:r w:rsidRPr="008C4529">
        <w:t xml:space="preserve">Study 003 (Part A): </w:t>
      </w:r>
      <w:r w:rsidRPr="001E3882">
        <w:t>88</w:t>
      </w:r>
      <w:r w:rsidRPr="008C4529">
        <w:t xml:space="preserve"> patients</w:t>
      </w:r>
    </w:p>
    <w:p w14:paraId="05E29257" w14:textId="77777777" w:rsidR="008C4529" w:rsidRPr="008C4529" w:rsidRDefault="008C4529" w:rsidP="008C4529">
      <w:pPr>
        <w:pStyle w:val="ListBullet"/>
      </w:pPr>
      <w:r w:rsidRPr="008C4529">
        <w:t xml:space="preserve">Study 001 (dose escalation phase): 15 patients treated with 10 mg/kg </w:t>
      </w:r>
    </w:p>
    <w:p w14:paraId="6014C761" w14:textId="346A1B85" w:rsidR="002E1F19" w:rsidRPr="008C4529" w:rsidRDefault="008C4529" w:rsidP="001E3882">
      <w:pPr>
        <w:pStyle w:val="ListBullet"/>
      </w:pPr>
      <w:r w:rsidRPr="008C4529">
        <w:t xml:space="preserve">Study 001 (expansion </w:t>
      </w:r>
      <w:r w:rsidRPr="001E3882">
        <w:t>phase</w:t>
      </w:r>
      <w:r w:rsidRPr="008C4529">
        <w:t>): 1437 patients</w:t>
      </w:r>
      <w:r w:rsidR="008B1356">
        <w:t>.</w:t>
      </w:r>
    </w:p>
    <w:p w14:paraId="1831C1C9" w14:textId="77777777" w:rsidR="004A25E4" w:rsidRDefault="008C4529" w:rsidP="001E3882">
      <w:r w:rsidRPr="008C4529">
        <w:t xml:space="preserve">Despite the lack of comparative data, the safety profile of avelumab was qualitatively consistent with other anti-PD-L1/PD-1 antibodies used in other tumour types. Rarely, </w:t>
      </w:r>
      <w:r w:rsidR="00273D46">
        <w:t>Immune related</w:t>
      </w:r>
      <w:r w:rsidRPr="008C4529">
        <w:t xml:space="preserve"> events with anti-PD-L1/PD-1 antibodies can be fatal</w:t>
      </w:r>
      <w:r w:rsidR="004A25E4">
        <w:t>.</w:t>
      </w:r>
    </w:p>
    <w:p w14:paraId="47E404ED" w14:textId="77777777" w:rsidR="004A25E4" w:rsidRDefault="008C4529" w:rsidP="008C4529">
      <w:r w:rsidRPr="008C4529">
        <w:t>13% of patients discontinued treatment due to AEs</w:t>
      </w:r>
      <w:r w:rsidR="004A25E4">
        <w:t>.</w:t>
      </w:r>
    </w:p>
    <w:p w14:paraId="119DC7D3" w14:textId="02027694" w:rsidR="00456765" w:rsidRPr="00456765" w:rsidRDefault="008C4529" w:rsidP="001E3882">
      <w:r w:rsidRPr="008C4529">
        <w:t xml:space="preserve">A point of difference between </w:t>
      </w:r>
      <w:r w:rsidR="00931044">
        <w:t>avelumab</w:t>
      </w:r>
      <w:r w:rsidRPr="008C4529">
        <w:t xml:space="preserve"> and other anti-PD-L1/PD-1 antibodies was that infusion reactions were more common at 24%; most were mild to moderate in severity.</w:t>
      </w:r>
    </w:p>
    <w:p w14:paraId="6D07A751" w14:textId="77777777" w:rsidR="008E7846" w:rsidRDefault="00386150" w:rsidP="001E3882">
      <w:pPr>
        <w:pStyle w:val="Heading3"/>
        <w:rPr>
          <w:lang w:eastAsia="en-AU"/>
        </w:rPr>
      </w:pPr>
      <w:bookmarkStart w:id="200" w:name="_Toc8053077"/>
      <w:r>
        <w:rPr>
          <w:lang w:eastAsia="en-AU"/>
        </w:rPr>
        <w:t>Risk m</w:t>
      </w:r>
      <w:r w:rsidR="008E7846">
        <w:rPr>
          <w:lang w:eastAsia="en-AU"/>
        </w:rPr>
        <w:t xml:space="preserve">anagement </w:t>
      </w:r>
      <w:r>
        <w:rPr>
          <w:lang w:eastAsia="en-AU"/>
        </w:rPr>
        <w:t>p</w:t>
      </w:r>
      <w:r w:rsidR="008E7846">
        <w:rPr>
          <w:lang w:eastAsia="en-AU"/>
        </w:rPr>
        <w:t>lan</w:t>
      </w:r>
      <w:bookmarkEnd w:id="199"/>
      <w:bookmarkEnd w:id="200"/>
    </w:p>
    <w:p w14:paraId="59AABB12" w14:textId="764E46AC" w:rsidR="008E7846" w:rsidRDefault="008C4529" w:rsidP="001E3882">
      <w:r w:rsidRPr="008C4529">
        <w:t>Summary of safety concerns</w:t>
      </w:r>
      <w:r w:rsidR="00B70C5D">
        <w:t xml:space="preserve"> are as detailed in Table 20</w:t>
      </w:r>
      <w:r w:rsidR="000E4114">
        <w:t xml:space="preserve"> in RMP section</w:t>
      </w:r>
      <w:r w:rsidR="008B1356">
        <w:t>, shown</w:t>
      </w:r>
      <w:r w:rsidR="000E4114">
        <w:t xml:space="preserve"> above</w:t>
      </w:r>
      <w:r w:rsidR="008B1356">
        <w:t>.</w:t>
      </w:r>
    </w:p>
    <w:p w14:paraId="05D78A11" w14:textId="2214667B" w:rsidR="004A25E4" w:rsidRDefault="000E4114" w:rsidP="001E3882">
      <w:r>
        <w:t>The p</w:t>
      </w:r>
      <w:r w:rsidR="008C4529" w:rsidRPr="008C4529">
        <w:t>h</w:t>
      </w:r>
      <w:r>
        <w:t xml:space="preserve">armacovigilance </w:t>
      </w:r>
      <w:r w:rsidR="008C4529" w:rsidRPr="008C4529">
        <w:t>plan includes further follow-up and results from</w:t>
      </w:r>
      <w:r>
        <w:t xml:space="preserve"> the studies;</w:t>
      </w:r>
      <w:r w:rsidR="008C4529" w:rsidRPr="008C4529">
        <w:t xml:space="preserve"> JAVELIN solid tumour (</w:t>
      </w:r>
      <w:r w:rsidR="008B1356">
        <w:t xml:space="preserve">Study </w:t>
      </w:r>
      <w:r w:rsidR="008C4529" w:rsidRPr="008C4529">
        <w:t>EMR 100070-011, Phase I/IIb) and JAVELIN Merkel (</w:t>
      </w:r>
      <w:r w:rsidR="008B1356">
        <w:t>Study </w:t>
      </w:r>
      <w:r w:rsidR="008C4529" w:rsidRPr="008C4529">
        <w:t>EMR 100070-003, Phase I/II)</w:t>
      </w:r>
      <w:r w:rsidR="004A25E4">
        <w:t>.</w:t>
      </w:r>
    </w:p>
    <w:p w14:paraId="38D87090" w14:textId="77777777" w:rsidR="008C4529" w:rsidRPr="008C4529" w:rsidRDefault="008C4529" w:rsidP="001E3882">
      <w:r w:rsidRPr="008C4529">
        <w:t>Risk mitigation includes routine measures (statements in the PI) and additional measures (HCP education, patient card).</w:t>
      </w:r>
    </w:p>
    <w:p w14:paraId="62631B9A" w14:textId="77777777" w:rsidR="008E7846" w:rsidRDefault="00AA0ED0" w:rsidP="001E3882">
      <w:pPr>
        <w:pStyle w:val="Heading3"/>
      </w:pPr>
      <w:bookmarkStart w:id="201" w:name="_Toc247691531"/>
      <w:bookmarkStart w:id="202" w:name="_Toc314842515"/>
      <w:bookmarkStart w:id="203" w:name="_Toc196046505"/>
      <w:bookmarkStart w:id="204" w:name="_Toc196046949"/>
      <w:bookmarkStart w:id="205" w:name="_Toc8053078"/>
      <w:r>
        <w:lastRenderedPageBreak/>
        <w:t>Risk-benefit a</w:t>
      </w:r>
      <w:r w:rsidR="008E7846">
        <w:t>nalysis</w:t>
      </w:r>
      <w:bookmarkEnd w:id="201"/>
      <w:bookmarkEnd w:id="202"/>
      <w:bookmarkEnd w:id="205"/>
    </w:p>
    <w:p w14:paraId="0F26D43D" w14:textId="77777777" w:rsidR="004A25E4" w:rsidRDefault="008C4529" w:rsidP="001E3882">
      <w:r w:rsidRPr="008C4529">
        <w:t xml:space="preserve">The response rate of 33% was not markedly higher than with chemotherapy. For example, in Part </w:t>
      </w:r>
      <w:proofErr w:type="gramStart"/>
      <w:r w:rsidRPr="008C4529">
        <w:t>A</w:t>
      </w:r>
      <w:proofErr w:type="gramEnd"/>
      <w:r w:rsidRPr="008C4529">
        <w:t xml:space="preserve"> of </w:t>
      </w:r>
      <w:r w:rsidR="00655338">
        <w:t>Stud</w:t>
      </w:r>
      <w:r w:rsidRPr="008C4529">
        <w:t xml:space="preserve">y 100070-Obs001 (an observational study of chemotherapy), the estimated response rate with chemotherapy was 28.6%; and in a recently published retrospective analysis by </w:t>
      </w:r>
      <w:proofErr w:type="spellStart"/>
      <w:r w:rsidRPr="008C4529">
        <w:t>Iyer</w:t>
      </w:r>
      <w:proofErr w:type="spellEnd"/>
      <w:r w:rsidRPr="008C4529">
        <w:t xml:space="preserve"> et al, response rate with chemotherapy was 23</w:t>
      </w:r>
      <w:r w:rsidR="005E07F5">
        <w:t>.3</w:t>
      </w:r>
      <w:r w:rsidRPr="008C4529">
        <w:t>%</w:t>
      </w:r>
      <w:r w:rsidR="004A25E4">
        <w:t>.</w:t>
      </w:r>
      <w:r w:rsidR="000E4114" w:rsidRPr="000E4114">
        <w:rPr>
          <w:vertAlign w:val="superscript"/>
        </w:rPr>
        <w:fldChar w:fldCharType="begin"/>
      </w:r>
      <w:r w:rsidR="000E4114" w:rsidRPr="000E4114">
        <w:rPr>
          <w:vertAlign w:val="superscript"/>
        </w:rPr>
        <w:instrText xml:space="preserve"> NOTEREF _Ref525642968 \h </w:instrText>
      </w:r>
      <w:r w:rsidR="000E4114">
        <w:rPr>
          <w:vertAlign w:val="superscript"/>
        </w:rPr>
        <w:instrText xml:space="preserve"> \* MERGEFORMAT </w:instrText>
      </w:r>
      <w:r w:rsidR="000E4114" w:rsidRPr="000E4114">
        <w:rPr>
          <w:vertAlign w:val="superscript"/>
        </w:rPr>
      </w:r>
      <w:r w:rsidR="000E4114" w:rsidRPr="000E4114">
        <w:rPr>
          <w:vertAlign w:val="superscript"/>
        </w:rPr>
        <w:fldChar w:fldCharType="separate"/>
      </w:r>
      <w:r w:rsidR="000E4114" w:rsidRPr="000E4114">
        <w:rPr>
          <w:vertAlign w:val="superscript"/>
        </w:rPr>
        <w:t>13</w:t>
      </w:r>
      <w:r w:rsidR="000E4114" w:rsidRPr="000E4114">
        <w:rPr>
          <w:vertAlign w:val="superscript"/>
        </w:rPr>
        <w:fldChar w:fldCharType="end"/>
      </w:r>
    </w:p>
    <w:p w14:paraId="5FA8F436" w14:textId="77777777" w:rsidR="008C4529" w:rsidRPr="008C4529" w:rsidRDefault="008C4529" w:rsidP="008C4529">
      <w:r w:rsidRPr="008C4529">
        <w:t xml:space="preserve">However, the available data suggest that responses produced by avelumab are longer-lasting than </w:t>
      </w:r>
      <w:r w:rsidR="000E4114">
        <w:t>those produced by chemotherapy:</w:t>
      </w:r>
    </w:p>
    <w:p w14:paraId="6FADA377" w14:textId="77777777" w:rsidR="004A25E4" w:rsidRDefault="000E4114" w:rsidP="001E3882">
      <w:pPr>
        <w:pStyle w:val="ListBullet"/>
      </w:pPr>
      <w:r w:rsidRPr="001E3882">
        <w:t>Most</w:t>
      </w:r>
      <w:r>
        <w:t xml:space="preserve"> durations of </w:t>
      </w:r>
      <w:r w:rsidR="008C4529" w:rsidRPr="008C4529">
        <w:t>response were at least 6 months; b</w:t>
      </w:r>
      <w:r>
        <w:t>ased on the KM analysis, the 6 </w:t>
      </w:r>
      <w:r w:rsidR="008C4529" w:rsidRPr="008C4529">
        <w:t>month estimate of durability was 93%; 12 months: 71%</w:t>
      </w:r>
      <w:r w:rsidR="004A25E4">
        <w:t>.</w:t>
      </w:r>
    </w:p>
    <w:p w14:paraId="736502FD" w14:textId="77777777" w:rsidR="004A25E4" w:rsidRDefault="008C4529" w:rsidP="001E3882">
      <w:pPr>
        <w:pStyle w:val="ListBullet"/>
      </w:pPr>
      <w:r w:rsidRPr="008C4529">
        <w:t xml:space="preserve">In contrast in </w:t>
      </w:r>
      <w:r w:rsidR="00655338">
        <w:t>Stud</w:t>
      </w:r>
      <w:r w:rsidRPr="008C4529">
        <w:t xml:space="preserve">y 100070-Obs001 median duration of response with chemotherapy was less </w:t>
      </w:r>
      <w:r w:rsidRPr="001E3882">
        <w:t>than</w:t>
      </w:r>
      <w:r w:rsidRPr="008C4529">
        <w:t xml:space="preserve"> 2 months. In the retrospective analysis by </w:t>
      </w:r>
      <w:proofErr w:type="spellStart"/>
      <w:r w:rsidRPr="008C4529">
        <w:t>Iyer</w:t>
      </w:r>
      <w:proofErr w:type="spellEnd"/>
      <w:r w:rsidRPr="008C4529">
        <w:t xml:space="preserve"> et al, median duration of respo</w:t>
      </w:r>
      <w:r>
        <w:t>nse was 3.3 months (101 days)</w:t>
      </w:r>
      <w:r w:rsidR="004A25E4">
        <w:t>.</w:t>
      </w:r>
    </w:p>
    <w:p w14:paraId="0530A05F" w14:textId="77777777" w:rsidR="008C4529" w:rsidRDefault="008C4529" w:rsidP="001E3882">
      <w:r w:rsidRPr="008C4529">
        <w:t>In the context of a rare disease with high unmet clinical need, durable objective response rate is a reasonable surrogate and is likely to predict clinical benefit (</w:t>
      </w:r>
      <w:r w:rsidR="000E4114">
        <w:t>that is</w:t>
      </w:r>
      <w:r w:rsidRPr="008C4529">
        <w:t xml:space="preserve">, improvement in survival, or how patients function or feel). Also, the treatment effect size for avelumab on ORR and </w:t>
      </w:r>
      <w:r w:rsidR="005049BA">
        <w:t>duration of response</w:t>
      </w:r>
      <w:r w:rsidR="005049BA" w:rsidRPr="008C4529">
        <w:t xml:space="preserve"> </w:t>
      </w:r>
      <w:r w:rsidR="005049BA">
        <w:t>(</w:t>
      </w:r>
      <w:r w:rsidRPr="008C4529">
        <w:t>DOR</w:t>
      </w:r>
      <w:r w:rsidR="005049BA">
        <w:t>)</w:t>
      </w:r>
      <w:r w:rsidRPr="008C4529">
        <w:t xml:space="preserve"> represents substantial improvement over use of salvage chemotherapy in this setting.</w:t>
      </w:r>
    </w:p>
    <w:p w14:paraId="358504C0" w14:textId="77777777" w:rsidR="004A25E4" w:rsidRDefault="008C4529" w:rsidP="008C4529">
      <w:r w:rsidRPr="008C4529">
        <w:t xml:space="preserve">Obviously there are uncertainties associated with efficacy results from a </w:t>
      </w:r>
      <w:r w:rsidR="00273D46">
        <w:t>single arm</w:t>
      </w:r>
      <w:r w:rsidRPr="008C4529">
        <w:t xml:space="preserve"> study. However, given the rarity of </w:t>
      </w:r>
      <w:r w:rsidR="006C35DA">
        <w:t>metastatic MCC</w:t>
      </w:r>
      <w:r w:rsidRPr="008C4529">
        <w:t>, a study with contemporaneous controls is not feasible</w:t>
      </w:r>
      <w:r w:rsidR="004A25E4">
        <w:t>.</w:t>
      </w:r>
    </w:p>
    <w:p w14:paraId="4B1401FB" w14:textId="36B55E82" w:rsidR="004A25E4" w:rsidRDefault="008C4529" w:rsidP="001E3882">
      <w:r w:rsidRPr="008C4529">
        <w:t xml:space="preserve">Safety data are available on about </w:t>
      </w:r>
      <w:r w:rsidR="0006071F">
        <w:t xml:space="preserve">1,500 </w:t>
      </w:r>
      <w:r w:rsidRPr="008C4529">
        <w:t>patients. Based on the available data, the safety profile of avelumab is similar to that of other checkpoint inhibitors. Infusion reactions are a point of difference; but, based on the available data, these are mostly mild and manageable</w:t>
      </w:r>
      <w:r w:rsidR="004A25E4">
        <w:t>.</w:t>
      </w:r>
    </w:p>
    <w:p w14:paraId="599CD7EB" w14:textId="77777777" w:rsidR="004A25E4" w:rsidRDefault="008C4529" w:rsidP="001E3882">
      <w:r w:rsidRPr="008C4529">
        <w:t xml:space="preserve">As with all immunotherapies used in oncology, immune-mediated adverse events are a concern. However, in spite of this, for most patients (especially the elderly with comorbid conditions), </w:t>
      </w:r>
      <w:r w:rsidR="000E4114" w:rsidRPr="008C4529">
        <w:t>avelumab</w:t>
      </w:r>
      <w:r w:rsidRPr="008C4529">
        <w:t xml:space="preserve"> is probab</w:t>
      </w:r>
      <w:r w:rsidR="000E4114">
        <w:t xml:space="preserve">ly more tolerable than platinum </w:t>
      </w:r>
      <w:r w:rsidRPr="008C4529">
        <w:t>based chemotherapy</w:t>
      </w:r>
      <w:r w:rsidR="004A25E4">
        <w:t>.</w:t>
      </w:r>
    </w:p>
    <w:p w14:paraId="71143520" w14:textId="66F77764" w:rsidR="008C4529" w:rsidRPr="008C4529" w:rsidRDefault="008C4529" w:rsidP="001E3882">
      <w:pPr>
        <w:pStyle w:val="Heading4"/>
      </w:pPr>
      <w:r w:rsidRPr="001E3882">
        <w:t>Extrapolation</w:t>
      </w:r>
      <w:r w:rsidRPr="008C4529">
        <w:t xml:space="preserve"> from the </w:t>
      </w:r>
      <w:r w:rsidR="000E4114">
        <w:t>second line</w:t>
      </w:r>
      <w:r w:rsidRPr="008C4529">
        <w:t xml:space="preserve"> adult patients in the pivotal trial to the indication</w:t>
      </w:r>
    </w:p>
    <w:p w14:paraId="2F46F5E7" w14:textId="77777777" w:rsidR="008C4529" w:rsidRPr="008C4529" w:rsidRDefault="000E4114" w:rsidP="001E3882">
      <w:pPr>
        <w:pStyle w:val="Heading5"/>
      </w:pPr>
      <w:r>
        <w:t>Second line</w:t>
      </w:r>
      <w:r w:rsidR="008C4529" w:rsidRPr="008C4529">
        <w:t xml:space="preserve"> in the pivotal </w:t>
      </w:r>
      <w:r w:rsidR="008C4529" w:rsidRPr="001E3882">
        <w:t>trial</w:t>
      </w:r>
      <w:r w:rsidR="008C4529" w:rsidRPr="008C4529">
        <w:t xml:space="preserve"> extrapolated to </w:t>
      </w:r>
      <w:r>
        <w:t>line agnostic in the indication</w:t>
      </w:r>
    </w:p>
    <w:p w14:paraId="50545A56" w14:textId="77777777" w:rsidR="004A25E4" w:rsidRDefault="008C4529" w:rsidP="001E3882">
      <w:r w:rsidRPr="008C4529">
        <w:t xml:space="preserve">Although the pivotal trial was in the </w:t>
      </w:r>
      <w:r w:rsidR="000E4114">
        <w:t>second line</w:t>
      </w:r>
      <w:r w:rsidRPr="008C4529">
        <w:t xml:space="preserve"> setting, the FDA and EMA have approved an indication that covers </w:t>
      </w:r>
      <w:r w:rsidR="000E4114">
        <w:t>first line</w:t>
      </w:r>
      <w:r w:rsidRPr="008C4529">
        <w:t xml:space="preserve"> use (</w:t>
      </w:r>
      <w:r w:rsidR="000E4114">
        <w:t>that is</w:t>
      </w:r>
      <w:r w:rsidRPr="008C4529">
        <w:t xml:space="preserve">, is line agnostic). The reasoning was that treated and untreated adults with </w:t>
      </w:r>
      <w:r w:rsidR="006C35DA">
        <w:t>metastatic MCC</w:t>
      </w:r>
      <w:r w:rsidRPr="008C4529">
        <w:t xml:space="preserve"> appear to have similar disease biology. Since there’s no approved </w:t>
      </w:r>
      <w:r w:rsidR="000E4114">
        <w:t>first line</w:t>
      </w:r>
      <w:r w:rsidRPr="008C4529">
        <w:t xml:space="preserve"> chemotherapy, there is no reason to suspect that avelumab treatment would be any less efficacious in the </w:t>
      </w:r>
      <w:r w:rsidR="000E4114">
        <w:t>first line</w:t>
      </w:r>
      <w:r w:rsidRPr="008C4529">
        <w:t xml:space="preserve"> setting</w:t>
      </w:r>
      <w:r w:rsidR="004A25E4">
        <w:t>.</w:t>
      </w:r>
    </w:p>
    <w:p w14:paraId="4F1A70A7" w14:textId="3EAC332F" w:rsidR="008C4529" w:rsidRDefault="008C4529" w:rsidP="008C4529">
      <w:r w:rsidRPr="008C4529">
        <w:t>The sponsor provided the TGA with a poster reporting early results from Part-B (1L</w:t>
      </w:r>
      <w:r w:rsidR="008B1356">
        <w:t> </w:t>
      </w:r>
      <w:r w:rsidRPr="008C4529">
        <w:t xml:space="preserve">patients) (presented </w:t>
      </w:r>
      <w:r w:rsidR="005811FF">
        <w:t xml:space="preserve">September </w:t>
      </w:r>
      <w:r w:rsidRPr="008C4529">
        <w:t>2017, at ESMO). The ORR was 62</w:t>
      </w:r>
      <w:r w:rsidR="00092CD0">
        <w:t>.1</w:t>
      </w:r>
      <w:r w:rsidRPr="008C4529">
        <w:t>%: 18/29.</w:t>
      </w:r>
    </w:p>
    <w:p w14:paraId="4460A796" w14:textId="77777777" w:rsidR="00E02C81" w:rsidRPr="00E02C81" w:rsidRDefault="00E02C81" w:rsidP="001E3882">
      <w:pPr>
        <w:pStyle w:val="Heading5"/>
      </w:pPr>
      <w:r w:rsidRPr="00E02C81">
        <w:t xml:space="preserve">Adults in the </w:t>
      </w:r>
      <w:r w:rsidRPr="001E3882">
        <w:t>pivotal</w:t>
      </w:r>
      <w:r w:rsidRPr="00E02C81">
        <w:t xml:space="preserve"> trial extrapolated</w:t>
      </w:r>
      <w:r w:rsidR="000E4114">
        <w:t xml:space="preserve"> to 12+ years in the indication</w:t>
      </w:r>
    </w:p>
    <w:p w14:paraId="4B09F511" w14:textId="77777777" w:rsidR="004A25E4" w:rsidRDefault="00E02C81" w:rsidP="001E3882">
      <w:r w:rsidRPr="00E02C81">
        <w:t xml:space="preserve">Although the pivotal trial was in adults, the FDA (but not the EMA) has approved the indication in paediatric patients 12 years and older. The reasoning was that there are no significant differences in this disease and its natural history between adults and children. The extreme rarity of this disease in children makes a clinical trial of avelumab in </w:t>
      </w:r>
      <w:r w:rsidR="000E4114" w:rsidRPr="00E02C81">
        <w:t>paediatric</w:t>
      </w:r>
      <w:r w:rsidRPr="00E02C81">
        <w:t xml:space="preserve"> patients infeasible. Given the very poor prognosis for adolescents with Merkel cell </w:t>
      </w:r>
      <w:r w:rsidR="000E4114" w:rsidRPr="00E02C81">
        <w:t>tumour</w:t>
      </w:r>
      <w:r w:rsidRPr="00E02C81">
        <w:t>, and the similar physiology and pharmacokinetics between adolescents and adults, the benefits clearly outweighed the risks for the adolescent population</w:t>
      </w:r>
      <w:r w:rsidR="004A25E4">
        <w:t>.</w:t>
      </w:r>
    </w:p>
    <w:p w14:paraId="580B6344" w14:textId="1203C747" w:rsidR="00E02C81" w:rsidRPr="00E02C81" w:rsidRDefault="00E02C81" w:rsidP="00E02C81">
      <w:r w:rsidRPr="00E02C81">
        <w:lastRenderedPageBreak/>
        <w:t xml:space="preserve">Population PK </w:t>
      </w:r>
      <w:r w:rsidR="000E4114" w:rsidRPr="00E02C81">
        <w:t>modelling</w:t>
      </w:r>
      <w:r w:rsidRPr="00E02C81">
        <w:t xml:space="preserve"> provided in the application included simulation of PK exposure at steady state after repeat in</w:t>
      </w:r>
      <w:r w:rsidR="000E4114">
        <w:t>travenous dosing of avelumab 10 </w:t>
      </w:r>
      <w:r w:rsidRPr="00E02C81">
        <w:t>mg/kg every 2 week</w:t>
      </w:r>
      <w:r w:rsidR="000E4114">
        <w:t>s</w:t>
      </w:r>
      <w:r w:rsidRPr="00E02C81">
        <w:t xml:space="preserve"> for patients with body weights of 30</w:t>
      </w:r>
      <w:r w:rsidR="000E4114">
        <w:t xml:space="preserve"> </w:t>
      </w:r>
      <w:r w:rsidRPr="00E02C81">
        <w:t xml:space="preserve">kg to 90 kg, which are equivalent to weights of adolescents. The PK data were obtained from patients aged 20 to 91 years who were treated with avelumab in Study 001, Study </w:t>
      </w:r>
      <w:r w:rsidR="008B1356">
        <w:t>00</w:t>
      </w:r>
      <w:r w:rsidR="008B1356" w:rsidRPr="00E02C81">
        <w:t>3</w:t>
      </w:r>
      <w:r w:rsidRPr="00E02C81">
        <w:t xml:space="preserve">, and </w:t>
      </w:r>
      <w:r w:rsidR="008B1356">
        <w:t>Study </w:t>
      </w:r>
      <w:r w:rsidRPr="00E02C81">
        <w:t>EMR</w:t>
      </w:r>
      <w:r w:rsidR="008B1356">
        <w:t> </w:t>
      </w:r>
      <w:r w:rsidRPr="00E02C81">
        <w:t xml:space="preserve">1000070-002 (Study 002). The results of this analysis demonstrate comparable PK between patients with body weights of 30 to 90 kg and adults. Also demonstrated were no differences in PK based on age. In addition, based on data from the population PK </w:t>
      </w:r>
      <w:r w:rsidR="000E4114" w:rsidRPr="00E02C81">
        <w:t>modelling</w:t>
      </w:r>
      <w:r w:rsidRPr="00E02C81">
        <w:t xml:space="preserve"> simulating minimum concentration (C</w:t>
      </w:r>
      <w:r w:rsidRPr="000E4114">
        <w:rPr>
          <w:vertAlign w:val="subscript"/>
        </w:rPr>
        <w:t>min</w:t>
      </w:r>
      <w:r w:rsidRPr="00E02C81">
        <w:t xml:space="preserve">) and the data from an in vitro target occupancy study provided by the sponsor, high target occupancy was predicted for </w:t>
      </w:r>
      <w:r w:rsidR="000E4114" w:rsidRPr="00E02C81">
        <w:t>paediatric</w:t>
      </w:r>
      <w:r w:rsidRPr="00E02C81">
        <w:t xml:space="preserve"> patients 12 years and older during the entire dose interval at 10</w:t>
      </w:r>
      <w:r w:rsidR="008B1356">
        <w:t> </w:t>
      </w:r>
      <w:r w:rsidRPr="00E02C81">
        <w:t>mg/kg every 2 weeks.</w:t>
      </w:r>
    </w:p>
    <w:p w14:paraId="47EC1C97" w14:textId="77777777" w:rsidR="00E02C81" w:rsidRPr="00E02C81" w:rsidRDefault="000E4114" w:rsidP="001E3882">
      <w:pPr>
        <w:pStyle w:val="Heading5"/>
      </w:pPr>
      <w:r w:rsidRPr="001E3882">
        <w:t>Indications</w:t>
      </w:r>
    </w:p>
    <w:p w14:paraId="4811B47B" w14:textId="098BCAAF" w:rsidR="000E4114" w:rsidRDefault="00E02C81" w:rsidP="001E3882">
      <w:r w:rsidRPr="00E02C81">
        <w:t>The indications should match the FDA-appro</w:t>
      </w:r>
      <w:r w:rsidR="001E3882">
        <w:t>ved indications:</w:t>
      </w:r>
    </w:p>
    <w:p w14:paraId="6A45B48A" w14:textId="77777777" w:rsidR="00E02C81" w:rsidRPr="000E4114" w:rsidRDefault="004A25E4" w:rsidP="000E4114">
      <w:pPr>
        <w:ind w:left="720"/>
        <w:rPr>
          <w:rFonts w:asciiTheme="minorHAnsi" w:hAnsiTheme="minorHAnsi"/>
          <w:i/>
        </w:rPr>
      </w:pPr>
      <w:r w:rsidRPr="000E4114">
        <w:rPr>
          <w:rFonts w:asciiTheme="minorHAnsi" w:hAnsiTheme="minorHAnsi"/>
          <w:i/>
        </w:rPr>
        <w:t>Bavencio</w:t>
      </w:r>
      <w:r w:rsidR="00E02C81" w:rsidRPr="000E4114">
        <w:rPr>
          <w:rFonts w:asciiTheme="minorHAnsi" w:hAnsiTheme="minorHAnsi"/>
          <w:i/>
        </w:rPr>
        <w:t xml:space="preserve"> is indicated for the treatment of adults and paediatric patients 12 years and older with metastatic Merkel cell carcinoma (MCC).</w:t>
      </w:r>
    </w:p>
    <w:p w14:paraId="39E9916F" w14:textId="77777777" w:rsidR="008B1356" w:rsidRPr="00B9688B" w:rsidRDefault="00E02C81" w:rsidP="00B9688B">
      <w:r w:rsidRPr="005049BA">
        <w:t>If approved, the registration would be based on a single arm study. The indications should therefore include the following note:</w:t>
      </w:r>
    </w:p>
    <w:p w14:paraId="0F2BF484" w14:textId="3600998A" w:rsidR="004A25E4" w:rsidRPr="000E4114" w:rsidRDefault="00E02C81" w:rsidP="00B9688B">
      <w:pPr>
        <w:ind w:left="720"/>
        <w:rPr>
          <w:i/>
        </w:rPr>
      </w:pPr>
      <w:r w:rsidRPr="000E4114">
        <w:rPr>
          <w:i/>
        </w:rPr>
        <w:t>This indication is approved based on tumour response rate and duration of response in a single arm study. Continued approval for this indication may be contingent upon verification and description of clinical benefit in confirmatory trials</w:t>
      </w:r>
      <w:r w:rsidR="004A25E4" w:rsidRPr="000E4114">
        <w:rPr>
          <w:i/>
        </w:rPr>
        <w:t>.</w:t>
      </w:r>
    </w:p>
    <w:p w14:paraId="24503263" w14:textId="77777777" w:rsidR="00E02C81" w:rsidRPr="00E02C81" w:rsidRDefault="000E4114" w:rsidP="001E3882">
      <w:pPr>
        <w:pStyle w:val="Heading5"/>
      </w:pPr>
      <w:r>
        <w:t xml:space="preserve">Post marketing </w:t>
      </w:r>
      <w:r w:rsidRPr="001E3882">
        <w:t>requirements</w:t>
      </w:r>
    </w:p>
    <w:p w14:paraId="33A9CFEA" w14:textId="3389118F" w:rsidR="004A25E4" w:rsidRDefault="00E02C81" w:rsidP="001E3882">
      <w:r w:rsidRPr="00E02C81">
        <w:t>The sponsor should submit the results of the following post-mark</w:t>
      </w:r>
      <w:r w:rsidR="00962FB4">
        <w:t xml:space="preserve">eting studies to the </w:t>
      </w:r>
      <w:proofErr w:type="spellStart"/>
      <w:r w:rsidR="00962FB4">
        <w:t>TGAas</w:t>
      </w:r>
      <w:proofErr w:type="spellEnd"/>
      <w:r w:rsidR="00B9688B">
        <w:t xml:space="preserve"> a new</w:t>
      </w:r>
      <w:r w:rsidRPr="00E02C81">
        <w:t xml:space="preserve"> application</w:t>
      </w:r>
      <w:r w:rsidR="00B9688B">
        <w:t>:</w:t>
      </w:r>
    </w:p>
    <w:p w14:paraId="149A1695" w14:textId="39E3FDA6" w:rsidR="00E02C81" w:rsidRDefault="000E4114" w:rsidP="001E3882">
      <w:pPr>
        <w:pStyle w:val="ListBullet"/>
      </w:pPr>
      <w:r>
        <w:t>First line</w:t>
      </w:r>
      <w:r w:rsidR="00E02C81" w:rsidRPr="00E02C81">
        <w:t xml:space="preserve"> study in patients with </w:t>
      </w:r>
      <w:r w:rsidR="006C35DA">
        <w:t>metastatic MCC</w:t>
      </w:r>
      <w:r w:rsidR="00E02C81" w:rsidRPr="00E02C81">
        <w:t xml:space="preserve"> that will </w:t>
      </w:r>
      <w:r w:rsidRPr="00E02C81">
        <w:t>enrol</w:t>
      </w:r>
      <w:r w:rsidR="00E02C81" w:rsidRPr="00E02C81">
        <w:t xml:space="preserve"> at least 100 patients followed for a minimum of 12 months, to establish the objective response rate and </w:t>
      </w:r>
      <w:r w:rsidR="008B1356" w:rsidRPr="00E02C81">
        <w:t>characteri</w:t>
      </w:r>
      <w:r w:rsidR="008B1356">
        <w:t>s</w:t>
      </w:r>
      <w:r w:rsidR="008B1356" w:rsidRPr="00E02C81">
        <w:t xml:space="preserve">e </w:t>
      </w:r>
      <w:r w:rsidR="00E02C81" w:rsidRPr="00E02C81">
        <w:t xml:space="preserve">the durability of response. All patients will be followed for overall survival until at </w:t>
      </w:r>
      <w:r w:rsidR="00E02C81" w:rsidRPr="001E3882">
        <w:t>least</w:t>
      </w:r>
      <w:r w:rsidR="00E02C81" w:rsidRPr="00E02C81">
        <w:t xml:space="preserve"> 70% of patients have died in order to </w:t>
      </w:r>
      <w:r w:rsidR="008B1356" w:rsidRPr="00E02C81">
        <w:t>characteri</w:t>
      </w:r>
      <w:r w:rsidR="008B1356">
        <w:t>s</w:t>
      </w:r>
      <w:r w:rsidR="008B1356" w:rsidRPr="00E02C81">
        <w:t xml:space="preserve">e </w:t>
      </w:r>
      <w:r w:rsidR="00E02C81" w:rsidRPr="00E02C81">
        <w:t>effects on survival. An analysis of overall survival compared to historical control data will be provided</w:t>
      </w:r>
      <w:r>
        <w:t>.</w:t>
      </w:r>
      <w:r w:rsidR="008B1356">
        <w:t xml:space="preserve"> </w:t>
      </w:r>
      <w:r>
        <w:t xml:space="preserve">Trial </w:t>
      </w:r>
      <w:r w:rsidR="008B1356">
        <w:t>completion</w:t>
      </w:r>
      <w:r>
        <w:t>: June 2026</w:t>
      </w:r>
      <w:r w:rsidR="008B1356">
        <w:t>; f</w:t>
      </w:r>
      <w:r w:rsidR="00E02C81" w:rsidRPr="00E02C81">
        <w:t xml:space="preserve">inal </w:t>
      </w:r>
      <w:r w:rsidR="008B1356">
        <w:t>r</w:t>
      </w:r>
      <w:r w:rsidR="008B1356" w:rsidRPr="00E02C81">
        <w:t xml:space="preserve">eport </w:t>
      </w:r>
      <w:r w:rsidR="008B1356">
        <w:t>s</w:t>
      </w:r>
      <w:r w:rsidR="008B1356" w:rsidRPr="00E02C81">
        <w:t>ubmissi</w:t>
      </w:r>
      <w:r w:rsidR="008B1356">
        <w:t>on</w:t>
      </w:r>
      <w:r>
        <w:t xml:space="preserve">: December 2026 </w:t>
      </w:r>
      <w:r w:rsidR="008B1356">
        <w:t>(t</w:t>
      </w:r>
      <w:r w:rsidR="00E02C81" w:rsidRPr="00E02C81">
        <w:t xml:space="preserve">his is </w:t>
      </w:r>
      <w:r w:rsidR="008B1356">
        <w:t>P</w:t>
      </w:r>
      <w:r w:rsidR="008B1356" w:rsidRPr="00E02C81">
        <w:t>art</w:t>
      </w:r>
      <w:r w:rsidR="008B1356">
        <w:t xml:space="preserve"> </w:t>
      </w:r>
      <w:r w:rsidR="00E02C81" w:rsidRPr="00E02C81">
        <w:t>B of</w:t>
      </w:r>
      <w:r w:rsidR="008B1356">
        <w:t xml:space="preserve"> the</w:t>
      </w:r>
      <w:r w:rsidR="00E02C81" w:rsidRPr="00E02C81">
        <w:t xml:space="preserve"> JAVELIN</w:t>
      </w:r>
      <w:r w:rsidR="008B1356">
        <w:t xml:space="preserve"> trial).</w:t>
      </w:r>
    </w:p>
    <w:p w14:paraId="76610C0C" w14:textId="482D66B7" w:rsidR="00E02C81" w:rsidRPr="00E02C81" w:rsidRDefault="00E02C81" w:rsidP="001E3882">
      <w:pPr>
        <w:pStyle w:val="ListBullet"/>
      </w:pPr>
      <w:r w:rsidRPr="00E02C81">
        <w:t xml:space="preserve">A trial in a sufficient number of </w:t>
      </w:r>
      <w:r w:rsidR="000E4114" w:rsidRPr="00E02C81">
        <w:t>paediatric</w:t>
      </w:r>
      <w:r w:rsidR="000E4114">
        <w:t xml:space="preserve"> patients ages 12 to </w:t>
      </w:r>
      <w:r w:rsidRPr="00E02C81">
        <w:t>18 to adequately characterise baseline risk factors, safety outcomes, and clinical responses following exposure to avelumab</w:t>
      </w:r>
      <w:r w:rsidR="000E4114">
        <w:t xml:space="preserve">. </w:t>
      </w:r>
      <w:r w:rsidRPr="00E02C81">
        <w:t xml:space="preserve">Trial </w:t>
      </w:r>
      <w:r w:rsidR="008B1356">
        <w:t>c</w:t>
      </w:r>
      <w:r w:rsidR="008B1356" w:rsidRPr="00E02C81">
        <w:t>ompletion</w:t>
      </w:r>
      <w:r w:rsidRPr="00E02C81">
        <w:t>: Octob</w:t>
      </w:r>
      <w:r w:rsidR="000E4114">
        <w:t>er 2022</w:t>
      </w:r>
      <w:r w:rsidR="008B1356">
        <w:t>;</w:t>
      </w:r>
      <w:r w:rsidR="000E4114">
        <w:t xml:space="preserve"> </w:t>
      </w:r>
      <w:r w:rsidR="008B1356">
        <w:t>f</w:t>
      </w:r>
      <w:r w:rsidRPr="00E02C81">
        <w:t xml:space="preserve">inal </w:t>
      </w:r>
      <w:r w:rsidR="008B1356">
        <w:t>r</w:t>
      </w:r>
      <w:r w:rsidR="008B1356" w:rsidRPr="00E02C81">
        <w:t xml:space="preserve">eport </w:t>
      </w:r>
      <w:r w:rsidR="008B1356">
        <w:t>s</w:t>
      </w:r>
      <w:r w:rsidR="008B1356" w:rsidRPr="00E02C81">
        <w:t>ubmission</w:t>
      </w:r>
      <w:r w:rsidRPr="00E02C81">
        <w:t>: June 2023</w:t>
      </w:r>
      <w:r w:rsidR="008B1356">
        <w:t>.</w:t>
      </w:r>
    </w:p>
    <w:p w14:paraId="041811DD" w14:textId="77777777" w:rsidR="00D23139" w:rsidRDefault="000E4114" w:rsidP="001E3882">
      <w:pPr>
        <w:pStyle w:val="Heading4"/>
      </w:pPr>
      <w:r>
        <w:t>Delegate’s considerations</w:t>
      </w:r>
    </w:p>
    <w:p w14:paraId="2A71F52C" w14:textId="77777777" w:rsidR="004A25E4" w:rsidRDefault="008421D9" w:rsidP="001E3882">
      <w:r w:rsidRPr="008421D9">
        <w:t xml:space="preserve">There are currently no medicines on the ARTG for </w:t>
      </w:r>
      <w:r w:rsidR="006C35DA">
        <w:t>metastatic MCC</w:t>
      </w:r>
      <w:r w:rsidRPr="008421D9">
        <w:t>, which is a rare, aggressive, and incurable neuroendocrine tumour of the skin</w:t>
      </w:r>
      <w:r w:rsidR="004A25E4">
        <w:t>.</w:t>
      </w:r>
    </w:p>
    <w:p w14:paraId="70D76110" w14:textId="77777777" w:rsidR="004A25E4" w:rsidRDefault="008421D9" w:rsidP="008421D9">
      <w:r w:rsidRPr="008421D9">
        <w:t>There is high unmet clinical need</w:t>
      </w:r>
      <w:r w:rsidR="004A25E4">
        <w:t>.</w:t>
      </w:r>
    </w:p>
    <w:p w14:paraId="11B398FA" w14:textId="77777777" w:rsidR="004A25E4" w:rsidRDefault="008421D9" w:rsidP="001E3882">
      <w:pPr>
        <w:pStyle w:val="ListBullet"/>
      </w:pPr>
      <w:r w:rsidRPr="001E3882">
        <w:t>Chemotherapy</w:t>
      </w:r>
      <w:r w:rsidRPr="008421D9">
        <w:t xml:space="preserve"> is used off-label (</w:t>
      </w:r>
      <w:r w:rsidR="004A25E4">
        <w:t>for example</w:t>
      </w:r>
      <w:r w:rsidRPr="008421D9">
        <w:t>, cisplatin or carboplatin in combination with etoposide), but the responses are not durable</w:t>
      </w:r>
      <w:r w:rsidR="004A25E4">
        <w:t>.</w:t>
      </w:r>
    </w:p>
    <w:p w14:paraId="32007388" w14:textId="77777777" w:rsidR="008421D9" w:rsidRDefault="008421D9" w:rsidP="001E3882">
      <w:pPr>
        <w:pStyle w:val="ListBullet"/>
      </w:pPr>
      <w:r w:rsidRPr="008421D9">
        <w:t>Most patients are older than 70 years (often have concomitant illnesses) and usually find (off-label) platinum-based chemotherapy challenging.</w:t>
      </w:r>
    </w:p>
    <w:p w14:paraId="565CF189" w14:textId="77777777" w:rsidR="004A25E4" w:rsidRDefault="000E4114" w:rsidP="001E3882">
      <w:r w:rsidRPr="008421D9">
        <w:t>Avelumab</w:t>
      </w:r>
      <w:r w:rsidR="008421D9" w:rsidRPr="008421D9">
        <w:t xml:space="preserve"> showed durable responses: In a </w:t>
      </w:r>
      <w:r w:rsidR="00273D46">
        <w:t>single arm</w:t>
      </w:r>
      <w:r w:rsidR="008421D9" w:rsidRPr="008421D9">
        <w:t xml:space="preserve"> study (</w:t>
      </w:r>
      <w:r w:rsidR="005811FF">
        <w:t xml:space="preserve">n = </w:t>
      </w:r>
      <w:r w:rsidR="008421D9" w:rsidRPr="008421D9">
        <w:t xml:space="preserve">88), in the </w:t>
      </w:r>
      <w:r>
        <w:t>second line</w:t>
      </w:r>
      <w:r w:rsidR="008421D9" w:rsidRPr="008421D9">
        <w:t xml:space="preserve"> setting</w:t>
      </w:r>
      <w:r w:rsidR="00D35D8A">
        <w:t xml:space="preserve"> or later (2L+) setting</w:t>
      </w:r>
      <w:r w:rsidR="008421D9" w:rsidRPr="008421D9">
        <w:t>, 33% of patients had a response and the response lasted at least 6 months in 93% of responders; at least 12 months in 71% of responders (KM estimates)</w:t>
      </w:r>
      <w:r w:rsidR="004A25E4">
        <w:t>.</w:t>
      </w:r>
    </w:p>
    <w:p w14:paraId="46AAF966" w14:textId="77777777" w:rsidR="008421D9" w:rsidRPr="008421D9" w:rsidRDefault="008421D9" w:rsidP="008421D9">
      <w:r w:rsidRPr="008421D9">
        <w:lastRenderedPageBreak/>
        <w:t xml:space="preserve">Although the pivotal trial was in the </w:t>
      </w:r>
      <w:r w:rsidR="000E4114">
        <w:t>second line</w:t>
      </w:r>
      <w:r w:rsidRPr="008421D9">
        <w:t xml:space="preserve"> </w:t>
      </w:r>
      <w:r w:rsidR="004E65B9">
        <w:t xml:space="preserve">(2L+) </w:t>
      </w:r>
      <w:r w:rsidRPr="008421D9">
        <w:t xml:space="preserve">setting, the FDA and EMA have approved an indication that covers </w:t>
      </w:r>
      <w:r w:rsidR="000E4114">
        <w:t>first line</w:t>
      </w:r>
      <w:r w:rsidRPr="008421D9">
        <w:t xml:space="preserve"> use. Reasoning: treated and untreated adults with </w:t>
      </w:r>
      <w:r w:rsidR="006C35DA">
        <w:t>metastatic MCC</w:t>
      </w:r>
      <w:r w:rsidRPr="008421D9">
        <w:t xml:space="preserve"> appear to have similar disease biology; there is no reason to suspect that avelumab treatment would be any less</w:t>
      </w:r>
      <w:r>
        <w:t xml:space="preserve"> efficacious in the </w:t>
      </w:r>
      <w:r w:rsidR="000E4114">
        <w:t>first line</w:t>
      </w:r>
      <w:r>
        <w:t xml:space="preserve"> setting.</w:t>
      </w:r>
    </w:p>
    <w:p w14:paraId="282E95B9" w14:textId="10CA4DBB" w:rsidR="004A25E4" w:rsidRDefault="008421D9" w:rsidP="001E3882">
      <w:r w:rsidRPr="008421D9">
        <w:t>The sponsor provided the TGA with a poster reporting early results from Part</w:t>
      </w:r>
      <w:r w:rsidR="008B1356">
        <w:t xml:space="preserve"> </w:t>
      </w:r>
      <w:r w:rsidRPr="008421D9">
        <w:t>B (1L patients) of</w:t>
      </w:r>
      <w:r w:rsidR="008B1356">
        <w:t xml:space="preserve"> the</w:t>
      </w:r>
      <w:r w:rsidRPr="008421D9">
        <w:t xml:space="preserve"> JAVELIN </w:t>
      </w:r>
      <w:r w:rsidR="008B1356">
        <w:t xml:space="preserve">trial </w:t>
      </w:r>
      <w:r w:rsidRPr="008421D9">
        <w:t xml:space="preserve">(presented </w:t>
      </w:r>
      <w:r w:rsidR="005811FF">
        <w:t xml:space="preserve">September </w:t>
      </w:r>
      <w:r w:rsidRPr="008421D9">
        <w:t>2017, at ESMO). The ORR was 62%: 18/29</w:t>
      </w:r>
      <w:r w:rsidR="004A25E4">
        <w:t>.</w:t>
      </w:r>
    </w:p>
    <w:p w14:paraId="1E32A19E" w14:textId="77777777" w:rsidR="00456765" w:rsidRPr="008421D9" w:rsidRDefault="008421D9" w:rsidP="001E3882">
      <w:r w:rsidRPr="008421D9">
        <w:t>Although the pivotal trial was in adults, the FDA (but not the EMA) have approved the indication in paediatric patients 12 years and older. The reasoning was that there are no significant differences in this disease and its natural history between adults and adolescents</w:t>
      </w:r>
      <w:r w:rsidR="000E4114">
        <w:t xml:space="preserve"> </w:t>
      </w:r>
      <w:r w:rsidR="005E1E9B">
        <w:t xml:space="preserve">&gt; </w:t>
      </w:r>
      <w:r w:rsidRPr="008421D9">
        <w:t>12 years. The extreme rarity of this disease in adolescents makes a clinical trial of avelumab in these patients infeasible. Given the very poor prognosis for adolescents with Merkel cell tumour, and the similar physiology and pharmacokinetics between adolescents and adults, the extrapolation is reasonable.</w:t>
      </w:r>
    </w:p>
    <w:p w14:paraId="176EE1D9" w14:textId="77777777" w:rsidR="00D23139" w:rsidRDefault="00D23139" w:rsidP="001E3882">
      <w:pPr>
        <w:pStyle w:val="Heading4"/>
      </w:pPr>
      <w:r w:rsidRPr="00D23139">
        <w:t xml:space="preserve">Proposed </w:t>
      </w:r>
      <w:r w:rsidRPr="001E3882">
        <w:t>action</w:t>
      </w:r>
    </w:p>
    <w:p w14:paraId="13DB0532" w14:textId="77777777" w:rsidR="00456765" w:rsidRPr="00456765" w:rsidRDefault="00BE121F" w:rsidP="001E3882">
      <w:r w:rsidRPr="00BE121F">
        <w:t>The Delegate had</w:t>
      </w:r>
      <w:r w:rsidR="005E1E9B">
        <w:t xml:space="preserve"> </w:t>
      </w:r>
      <w:r w:rsidRPr="00BE121F">
        <w:t>no reason to say, at this time, that Bavencio should n</w:t>
      </w:r>
      <w:r w:rsidR="006163C0">
        <w:t>ot be approved for registration</w:t>
      </w:r>
      <w:r w:rsidR="000E4114">
        <w:t>.</w:t>
      </w:r>
    </w:p>
    <w:p w14:paraId="54630DF4" w14:textId="77777777" w:rsidR="00D23139" w:rsidRDefault="00A22D57" w:rsidP="001E3882">
      <w:pPr>
        <w:pStyle w:val="Heading4"/>
      </w:pPr>
      <w:r>
        <w:t xml:space="preserve">Request for </w:t>
      </w:r>
      <w:r w:rsidRPr="001E3882">
        <w:t>AC</w:t>
      </w:r>
      <w:r w:rsidR="00D23139" w:rsidRPr="001E3882">
        <w:t>M</w:t>
      </w:r>
      <w:r w:rsidR="00D23139" w:rsidRPr="00D23139">
        <w:t xml:space="preserve"> advice</w:t>
      </w:r>
    </w:p>
    <w:p w14:paraId="771B2BB8" w14:textId="3C14AAD8" w:rsidR="00456765" w:rsidRPr="00456765" w:rsidRDefault="006163C0" w:rsidP="001E3882">
      <w:r>
        <w:t>The Delegate did not refer this application to the Advisory Committee on Medicines (ACM) for advice.</w:t>
      </w:r>
    </w:p>
    <w:p w14:paraId="68692921" w14:textId="77777777" w:rsidR="00D23139" w:rsidRDefault="00456765" w:rsidP="001E3882">
      <w:pPr>
        <w:pStyle w:val="Heading4"/>
      </w:pPr>
      <w:r w:rsidRPr="001E3882">
        <w:t>Response</w:t>
      </w:r>
      <w:r>
        <w:t xml:space="preserve"> from </w:t>
      </w:r>
      <w:r w:rsidR="004A25E4">
        <w:t>sponsor</w:t>
      </w:r>
    </w:p>
    <w:p w14:paraId="255BB76C" w14:textId="77777777" w:rsidR="003E460F" w:rsidRPr="003E460F" w:rsidRDefault="003E460F" w:rsidP="003E460F">
      <w:pPr>
        <w:pStyle w:val="Heading5"/>
        <w:rPr>
          <w:rFonts w:eastAsiaTheme="minorHAnsi"/>
        </w:rPr>
      </w:pPr>
      <w:r w:rsidRPr="003E460F">
        <w:rPr>
          <w:rFonts w:eastAsiaTheme="minorHAnsi"/>
        </w:rPr>
        <w:t>I</w:t>
      </w:r>
      <w:r w:rsidRPr="003E460F">
        <w:t>ntroduction</w:t>
      </w:r>
    </w:p>
    <w:p w14:paraId="4A987B4E" w14:textId="3D2D3D3A" w:rsidR="003E460F" w:rsidRPr="003E460F" w:rsidRDefault="003E460F" w:rsidP="001E3882">
      <w:r w:rsidRPr="003E460F">
        <w:t xml:space="preserve">Merck Serono Australia Ltd (the </w:t>
      </w:r>
      <w:r w:rsidR="004A25E4">
        <w:t>sponsor</w:t>
      </w:r>
      <w:r w:rsidRPr="003E460F">
        <w:t>) welcome</w:t>
      </w:r>
      <w:r>
        <w:t xml:space="preserve">s the opportunity to respond to </w:t>
      </w:r>
      <w:r w:rsidRPr="003E460F">
        <w:t xml:space="preserve">the Delegate’s </w:t>
      </w:r>
      <w:r w:rsidR="00962FB4">
        <w:t>Overview</w:t>
      </w:r>
      <w:r w:rsidRPr="003E460F">
        <w:t xml:space="preserve"> (dated 27 October 20</w:t>
      </w:r>
      <w:r>
        <w:t xml:space="preserve">17) concerning our </w:t>
      </w:r>
      <w:r w:rsidRPr="003E460F">
        <w:t xml:space="preserve">application to register </w:t>
      </w:r>
      <w:r w:rsidR="004A25E4">
        <w:t>Bavencio</w:t>
      </w:r>
      <w:r>
        <w:t xml:space="preserve"> (avelumab) as a new biological </w:t>
      </w:r>
      <w:r w:rsidRPr="003E460F">
        <w:t xml:space="preserve">entity for the treatment of patients with metastatic </w:t>
      </w:r>
      <w:r w:rsidR="008B1356">
        <w:t>MCC.</w:t>
      </w:r>
    </w:p>
    <w:p w14:paraId="56BF4DB4" w14:textId="77777777" w:rsidR="003E460F" w:rsidRPr="003E460F" w:rsidRDefault="003E460F" w:rsidP="003E460F">
      <w:r w:rsidRPr="003E460F">
        <w:t xml:space="preserve">Enclosed are our comments regarding the Delegate’s </w:t>
      </w:r>
      <w:proofErr w:type="gramStart"/>
      <w:r w:rsidRPr="003E460F">
        <w:t>Overview.</w:t>
      </w:r>
      <w:proofErr w:type="gramEnd"/>
    </w:p>
    <w:p w14:paraId="0414E197" w14:textId="77777777" w:rsidR="00D23139" w:rsidRDefault="003E460F" w:rsidP="003E460F">
      <w:r w:rsidRPr="003E460F">
        <w:t xml:space="preserve">The </w:t>
      </w:r>
      <w:r w:rsidR="004A25E4">
        <w:t>sponsor</w:t>
      </w:r>
      <w:r w:rsidRPr="003E460F">
        <w:t xml:space="preserve"> accepts the Delegate’s proposal for the following indication:</w:t>
      </w:r>
    </w:p>
    <w:p w14:paraId="301F0040" w14:textId="0B92B689" w:rsidR="003E460F" w:rsidRPr="003E460F" w:rsidRDefault="004A25E4" w:rsidP="00907760">
      <w:pPr>
        <w:ind w:left="720"/>
        <w:rPr>
          <w:i/>
        </w:rPr>
      </w:pPr>
      <w:r>
        <w:rPr>
          <w:i/>
        </w:rPr>
        <w:t>Bavencio</w:t>
      </w:r>
      <w:r w:rsidR="003E460F" w:rsidRPr="003E460F">
        <w:rPr>
          <w:i/>
        </w:rPr>
        <w:t xml:space="preserve"> is indicated for the treatment of adults and paediatric patients 12 years and older with metastatic Merkel cell carcinoma (</w:t>
      </w:r>
      <w:proofErr w:type="spellStart"/>
      <w:r w:rsidR="006C35DA">
        <w:rPr>
          <w:i/>
        </w:rPr>
        <w:t>mMCC</w:t>
      </w:r>
      <w:proofErr w:type="spellEnd"/>
      <w:r w:rsidR="003E460F" w:rsidRPr="003E460F">
        <w:rPr>
          <w:i/>
        </w:rPr>
        <w:t>).</w:t>
      </w:r>
    </w:p>
    <w:p w14:paraId="3059590A" w14:textId="77777777" w:rsidR="003E460F" w:rsidRDefault="003E460F" w:rsidP="00907760">
      <w:pPr>
        <w:ind w:left="720"/>
        <w:rPr>
          <w:i/>
        </w:rPr>
      </w:pPr>
      <w:r w:rsidRPr="003E460F">
        <w:rPr>
          <w:i/>
        </w:rPr>
        <w:t>This indication is approved based on tumour response rate and duration of response in a single arm study. Continued approval for this indication may be contingent upon verification and description of clinical benefit in confirmatory trials</w:t>
      </w:r>
      <w:r w:rsidR="00907760">
        <w:rPr>
          <w:i/>
        </w:rPr>
        <w:t>.</w:t>
      </w:r>
    </w:p>
    <w:p w14:paraId="6EB99A8A" w14:textId="77777777" w:rsidR="003E460F" w:rsidRPr="003E460F" w:rsidRDefault="003E460F" w:rsidP="001E3882">
      <w:pPr>
        <w:pStyle w:val="Heading5"/>
        <w:rPr>
          <w:rFonts w:eastAsiaTheme="minorHAnsi"/>
        </w:rPr>
      </w:pPr>
      <w:r w:rsidRPr="001E3882">
        <w:rPr>
          <w:rFonts w:eastAsiaTheme="minorHAnsi"/>
        </w:rPr>
        <w:t>B</w:t>
      </w:r>
      <w:r w:rsidRPr="001E3882">
        <w:t>ackground</w:t>
      </w:r>
    </w:p>
    <w:p w14:paraId="616A8C07" w14:textId="77777777" w:rsidR="003E460F" w:rsidRPr="003E460F" w:rsidRDefault="003E460F" w:rsidP="001E3882">
      <w:r w:rsidRPr="003E460F">
        <w:t>MCC is a rare and aggressive skin cancer that typical</w:t>
      </w:r>
      <w:r>
        <w:t xml:space="preserve">ly presents as painless growths </w:t>
      </w:r>
      <w:r w:rsidRPr="003E460F">
        <w:t>that are clinically unremarkable in appearance and a</w:t>
      </w:r>
      <w:r w:rsidR="00D35D8A">
        <w:t xml:space="preserve">re usually found on sun </w:t>
      </w:r>
      <w:r>
        <w:t xml:space="preserve">exposed </w:t>
      </w:r>
      <w:r w:rsidRPr="003E460F">
        <w:t>areas, such as the head and neck. However, these t</w:t>
      </w:r>
      <w:r>
        <w:t xml:space="preserve">umours grow rapidly and tend to </w:t>
      </w:r>
      <w:r w:rsidRPr="003E460F">
        <w:t>metastasise early and frequently to local regions</w:t>
      </w:r>
      <w:r>
        <w:t xml:space="preserve"> of the body, leading to a poor </w:t>
      </w:r>
      <w:r w:rsidRPr="003E460F">
        <w:t>prognosis.</w:t>
      </w:r>
    </w:p>
    <w:p w14:paraId="4F8AD7F6" w14:textId="77777777" w:rsidR="003E460F" w:rsidRPr="003E460F" w:rsidRDefault="003E460F" w:rsidP="001E3882">
      <w:r w:rsidRPr="003E460F">
        <w:t>MCC typically occurs in the older population (</w:t>
      </w:r>
      <w:r w:rsidR="005E1E9B">
        <w:t xml:space="preserve">&gt; </w:t>
      </w:r>
      <w:r w:rsidRPr="003E460F">
        <w:t>70 y</w:t>
      </w:r>
      <w:r>
        <w:t xml:space="preserve">ears) and the mortality rate of </w:t>
      </w:r>
      <w:r w:rsidRPr="003E460F">
        <w:t>patients with MCC is greater than that of other sk</w:t>
      </w:r>
      <w:r>
        <w:t xml:space="preserve">in cancers, including melanoma. </w:t>
      </w:r>
      <w:r w:rsidRPr="003E460F">
        <w:t>However, given the rarity of MCC, its greater aggressiv</w:t>
      </w:r>
      <w:r>
        <w:t xml:space="preserve">eness and mortality relative to </w:t>
      </w:r>
      <w:r w:rsidRPr="003E460F">
        <w:t>melanoma remain unrecognised in the public eye and m</w:t>
      </w:r>
      <w:r>
        <w:t xml:space="preserve">edia. Australia has the highest </w:t>
      </w:r>
      <w:r w:rsidRPr="003E460F">
        <w:t>incidence worldwide of MCC (1.6 per 100,000) and, w</w:t>
      </w:r>
      <w:r>
        <w:t xml:space="preserve">hilst rare, it is becoming more </w:t>
      </w:r>
      <w:r w:rsidRPr="003E460F">
        <w:t xml:space="preserve">common. The estimated </w:t>
      </w:r>
      <w:r w:rsidRPr="003E460F">
        <w:lastRenderedPageBreak/>
        <w:t xml:space="preserve">prevalence of </w:t>
      </w:r>
      <w:r w:rsidR="006C35DA">
        <w:t>metastatic MCC</w:t>
      </w:r>
      <w:r w:rsidRPr="003E460F">
        <w:t xml:space="preserve"> is 1,865</w:t>
      </w:r>
      <w:r>
        <w:t xml:space="preserve"> cases in Australia. Due to the </w:t>
      </w:r>
      <w:r w:rsidRPr="003E460F">
        <w:t>rarity of this disease, an orphan designation was granted in July 2016.</w:t>
      </w:r>
    </w:p>
    <w:p w14:paraId="1C8BD608" w14:textId="77777777" w:rsidR="003E460F" w:rsidRPr="003E460F" w:rsidRDefault="00D35D8A" w:rsidP="001E3882">
      <w:r>
        <w:t xml:space="preserve">There is no evidence </w:t>
      </w:r>
      <w:r w:rsidR="003E460F" w:rsidRPr="003E460F">
        <w:t>based standard therapeutic reg</w:t>
      </w:r>
      <w:r w:rsidR="003E460F">
        <w:t xml:space="preserve">imen and no approved therapy in </w:t>
      </w:r>
      <w:r w:rsidR="003E460F" w:rsidRPr="003E460F">
        <w:t xml:space="preserve">Australia for </w:t>
      </w:r>
      <w:r w:rsidR="006C35DA">
        <w:t>metastatic MCC</w:t>
      </w:r>
      <w:r w:rsidR="003E460F" w:rsidRPr="003E460F">
        <w:t xml:space="preserve">. Treatment is generally limited to </w:t>
      </w:r>
      <w:r w:rsidR="003E460F">
        <w:t xml:space="preserve">off-label systemic chemotherapy </w:t>
      </w:r>
      <w:r w:rsidR="003E460F" w:rsidRPr="003E460F">
        <w:t>such as carboplatin or cisplatin, with or without etoposide or topotecan, which are</w:t>
      </w:r>
      <w:r w:rsidR="003E460F">
        <w:t xml:space="preserve"> </w:t>
      </w:r>
      <w:r w:rsidR="003E460F" w:rsidRPr="003E460F">
        <w:t>associated with high toxicity. Consequently, consideration needs to be given as to</w:t>
      </w:r>
      <w:r w:rsidR="00907760">
        <w:t xml:space="preserve"> </w:t>
      </w:r>
      <w:r w:rsidR="003E460F" w:rsidRPr="003E460F">
        <w:t>whether chemotherapy is appropriate in the elderly population.</w:t>
      </w:r>
    </w:p>
    <w:p w14:paraId="3B9EA655" w14:textId="77777777" w:rsidR="003E460F" w:rsidRPr="003E460F" w:rsidRDefault="003E460F" w:rsidP="001E3882">
      <w:pPr>
        <w:pStyle w:val="Heading5"/>
        <w:rPr>
          <w:rFonts w:eastAsiaTheme="minorHAnsi"/>
        </w:rPr>
      </w:pPr>
      <w:r w:rsidRPr="001E3882">
        <w:rPr>
          <w:rFonts w:eastAsiaTheme="minorHAnsi"/>
        </w:rPr>
        <w:t>C</w:t>
      </w:r>
      <w:r w:rsidR="00907760" w:rsidRPr="001E3882">
        <w:t>omments</w:t>
      </w:r>
      <w:r w:rsidR="00907760" w:rsidRPr="003E460F">
        <w:t xml:space="preserve"> from the </w:t>
      </w:r>
      <w:r w:rsidR="004A25E4">
        <w:t>Delegate</w:t>
      </w:r>
    </w:p>
    <w:p w14:paraId="505FD1E9" w14:textId="16715ECB" w:rsidR="003E460F" w:rsidRPr="00B9688B" w:rsidRDefault="003E460F" w:rsidP="00907760">
      <w:pPr>
        <w:pStyle w:val="Numberbullet0"/>
        <w:numPr>
          <w:ilvl w:val="0"/>
          <w:numId w:val="43"/>
        </w:numPr>
        <w:rPr>
          <w:i/>
        </w:rPr>
      </w:pPr>
      <w:r w:rsidRPr="00B9688B">
        <w:rPr>
          <w:i/>
        </w:rPr>
        <w:t>Proposal for the Australian indication to match t</w:t>
      </w:r>
      <w:r w:rsidR="00907760" w:rsidRPr="00B9688B">
        <w:rPr>
          <w:i/>
        </w:rPr>
        <w:t xml:space="preserve">he approved FDA indication for </w:t>
      </w:r>
      <w:r w:rsidRPr="00B9688B">
        <w:rPr>
          <w:i/>
        </w:rPr>
        <w:t>metastatic Merkel cell carcinoma (</w:t>
      </w:r>
      <w:proofErr w:type="spellStart"/>
      <w:r w:rsidR="006C35DA" w:rsidRPr="00B9688B">
        <w:rPr>
          <w:i/>
        </w:rPr>
        <w:t>mMCC</w:t>
      </w:r>
      <w:proofErr w:type="spellEnd"/>
      <w:r w:rsidRPr="00B9688B">
        <w:rPr>
          <w:i/>
        </w:rPr>
        <w:t>)</w:t>
      </w:r>
    </w:p>
    <w:p w14:paraId="0704B8FB" w14:textId="5512BE3F" w:rsidR="003E460F" w:rsidRPr="003E460F" w:rsidRDefault="003E460F" w:rsidP="001E3882">
      <w:r w:rsidRPr="003E460F">
        <w:t>Although MCC is generally co</w:t>
      </w:r>
      <w:r w:rsidR="00907760">
        <w:t xml:space="preserve">nsidered to be a </w:t>
      </w:r>
      <w:r w:rsidR="00D35D8A">
        <w:t>chemo sensitive</w:t>
      </w:r>
      <w:r w:rsidR="00907760">
        <w:t xml:space="preserve"> </w:t>
      </w:r>
      <w:r w:rsidRPr="003E460F">
        <w:t>tumour, off-label use of chemotherapies provide sho</w:t>
      </w:r>
      <w:r w:rsidR="00D35D8A">
        <w:t xml:space="preserve">rt </w:t>
      </w:r>
      <w:r w:rsidR="00907760">
        <w:t xml:space="preserve">lived responses with serious </w:t>
      </w:r>
      <w:r w:rsidRPr="003E460F">
        <w:t xml:space="preserve">toxicities and without proven survival benefit. Since MCC </w:t>
      </w:r>
      <w:r w:rsidR="00907760">
        <w:t xml:space="preserve">is aggressive relative to other </w:t>
      </w:r>
      <w:r w:rsidRPr="003E460F">
        <w:t>skin cancers and is associated with poor survival in the m</w:t>
      </w:r>
      <w:r w:rsidR="00907760">
        <w:t xml:space="preserve">etastatic setting, this lack of </w:t>
      </w:r>
      <w:r w:rsidRPr="003E460F">
        <w:t xml:space="preserve">durability means that treatment of </w:t>
      </w:r>
      <w:r w:rsidR="006C35DA">
        <w:t>metastatic MCC</w:t>
      </w:r>
      <w:r w:rsidRPr="003E460F">
        <w:t xml:space="preserve"> has remaine</w:t>
      </w:r>
      <w:r w:rsidR="00907760">
        <w:t xml:space="preserve">d an area of high unmet medical </w:t>
      </w:r>
      <w:r w:rsidRPr="003E460F">
        <w:t>need.</w:t>
      </w:r>
    </w:p>
    <w:p w14:paraId="5B3926C9" w14:textId="27A4C570" w:rsidR="00907760" w:rsidRPr="00907760" w:rsidRDefault="00907760" w:rsidP="00D35D8A">
      <w:r w:rsidRPr="00907760">
        <w:t>In contrast to chemotherapy, long durable responses with avelumab were reported in</w:t>
      </w:r>
      <w:r>
        <w:t xml:space="preserve"> </w:t>
      </w:r>
      <w:r w:rsidRPr="00907760">
        <w:t xml:space="preserve">a prospective </w:t>
      </w:r>
      <w:r w:rsidR="00273D46">
        <w:t>single arm</w:t>
      </w:r>
      <w:r w:rsidRPr="00907760">
        <w:t xml:space="preserve"> study in this metastatic diseas</w:t>
      </w:r>
      <w:r>
        <w:t xml:space="preserve">e population, with an objective </w:t>
      </w:r>
      <w:r w:rsidRPr="00907760">
        <w:t xml:space="preserve">response rate (ORR) of 33.0% (95% CI: 23.3, 43.8) and a </w:t>
      </w:r>
      <w:r>
        <w:t xml:space="preserve">Kaplan Meier estimate of </w:t>
      </w:r>
      <w:r w:rsidRPr="00907760">
        <w:t>93% for 6</w:t>
      </w:r>
      <w:r w:rsidR="005E1E9B">
        <w:t xml:space="preserve"> month</w:t>
      </w:r>
      <w:r w:rsidRPr="00907760">
        <w:t xml:space="preserve"> durability among response</w:t>
      </w:r>
      <w:r>
        <w:t xml:space="preserve">s in subjects whose disease had </w:t>
      </w:r>
      <w:r w:rsidRPr="00907760">
        <w:t>progressed after at least 1 prior line of chemoth</w:t>
      </w:r>
      <w:r>
        <w:t xml:space="preserve">erapy in the metastatic setting </w:t>
      </w:r>
      <w:r w:rsidRPr="00907760">
        <w:t>(</w:t>
      </w:r>
      <w:r w:rsidR="008B1356">
        <w:t xml:space="preserve">Study </w:t>
      </w:r>
      <w:r w:rsidRPr="00907760">
        <w:t>EMR100070-003</w:t>
      </w:r>
      <w:r w:rsidR="008B1356">
        <w:t>,</w:t>
      </w:r>
      <w:r w:rsidRPr="00907760">
        <w:t xml:space="preserve"> Part</w:t>
      </w:r>
      <w:r w:rsidR="008B1356">
        <w:t> </w:t>
      </w:r>
      <w:r w:rsidRPr="00907760">
        <w:t>A). In addition to continued durable response (both overa</w:t>
      </w:r>
      <w:r>
        <w:t xml:space="preserve">ll and </w:t>
      </w:r>
      <w:r w:rsidRPr="00907760">
        <w:t>among the various subgroups evaluated), the obs</w:t>
      </w:r>
      <w:r>
        <w:t xml:space="preserve">erved progression-free survival </w:t>
      </w:r>
      <w:r w:rsidRPr="00907760">
        <w:t>(PFS) curve with plateau and reported overall surviv</w:t>
      </w:r>
      <w:r>
        <w:t xml:space="preserve">al (now with a median exceeding </w:t>
      </w:r>
      <w:r w:rsidRPr="00907760">
        <w:t xml:space="preserve">a year) in </w:t>
      </w:r>
      <w:r w:rsidR="003A4B14">
        <w:t>Study </w:t>
      </w:r>
      <w:r w:rsidRPr="00907760">
        <w:t>EMR100070</w:t>
      </w:r>
      <w:r w:rsidR="003A4B14">
        <w:noBreakHyphen/>
      </w:r>
      <w:r w:rsidRPr="00907760">
        <w:t>003 Part A, support meaningful c</w:t>
      </w:r>
      <w:r>
        <w:t xml:space="preserve">linical benefit for avelumab in </w:t>
      </w:r>
      <w:r w:rsidRPr="00907760">
        <w:t xml:space="preserve">subjects with </w:t>
      </w:r>
      <w:r w:rsidR="006C35DA">
        <w:t>metastatic MCC</w:t>
      </w:r>
      <w:r w:rsidRPr="00907760">
        <w:t>.</w:t>
      </w:r>
    </w:p>
    <w:p w14:paraId="3A91D04D" w14:textId="77372F67" w:rsidR="00907760" w:rsidRPr="00907760" w:rsidRDefault="00907760" w:rsidP="001E3882">
      <w:r w:rsidRPr="00907760">
        <w:t>The high ORR reported of 62.1% (95% CI: 42.3, 79.3</w:t>
      </w:r>
      <w:r>
        <w:t xml:space="preserve">) in the per protocol specified </w:t>
      </w:r>
      <w:r w:rsidRPr="00907760">
        <w:t>interim analysis of Part B (</w:t>
      </w:r>
      <w:r w:rsidR="003A4B14">
        <w:t xml:space="preserve">Study </w:t>
      </w:r>
      <w:r w:rsidRPr="00907760">
        <w:t>EMR 100070-003</w:t>
      </w:r>
      <w:proofErr w:type="gramStart"/>
      <w:r w:rsidR="003A4B14">
        <w:t>,</w:t>
      </w:r>
      <w:r w:rsidRPr="00907760">
        <w:t>Part</w:t>
      </w:r>
      <w:proofErr w:type="gramEnd"/>
      <w:r w:rsidRPr="00907760">
        <w:t xml:space="preserve"> B </w:t>
      </w:r>
      <w:r>
        <w:t xml:space="preserve">confirmatory trial cohort) with </w:t>
      </w:r>
      <w:r w:rsidRPr="00907760">
        <w:t xml:space="preserve">avelumab in </w:t>
      </w:r>
      <w:r w:rsidR="006C35DA">
        <w:t>first line</w:t>
      </w:r>
      <w:r w:rsidRPr="00907760">
        <w:t xml:space="preserve"> treatment is consistent with the results of the su</w:t>
      </w:r>
      <w:r>
        <w:t xml:space="preserve">bgroup analysis </w:t>
      </w:r>
      <w:r w:rsidRPr="00907760">
        <w:t>by number of prior treatment lines in Part A with a res</w:t>
      </w:r>
      <w:r>
        <w:t xml:space="preserve">ponse rate of 40.4% in subjects </w:t>
      </w:r>
      <w:r w:rsidRPr="00907760">
        <w:t>with one prior line of systemic therapy, versus 22.2% i</w:t>
      </w:r>
      <w:r>
        <w:t xml:space="preserve">n subjects with 2 or more prior </w:t>
      </w:r>
      <w:r w:rsidRPr="00907760">
        <w:t>lines of systemic therapy.</w:t>
      </w:r>
    </w:p>
    <w:p w14:paraId="06F0E74D" w14:textId="77777777" w:rsidR="003E460F" w:rsidRPr="00907760" w:rsidRDefault="00907760" w:rsidP="001E3882">
      <w:r w:rsidRPr="00907760">
        <w:t>There is early evidence in Part B of durability of responses</w:t>
      </w:r>
      <w:r>
        <w:t xml:space="preserve"> in </w:t>
      </w:r>
      <w:r w:rsidR="006C35DA">
        <w:t>first line</w:t>
      </w:r>
      <w:r>
        <w:t xml:space="preserve"> treatment, given </w:t>
      </w:r>
      <w:r w:rsidRPr="00907760">
        <w:t>the high estimated proportion of responses with at le</w:t>
      </w:r>
      <w:r>
        <w:t xml:space="preserve">ast 3 months duration (93%) and </w:t>
      </w:r>
      <w:r w:rsidRPr="00907760">
        <w:t>the presence of continuing responses with at least 6 months of duration (</w:t>
      </w:r>
      <w:r w:rsidR="005811FF">
        <w:t xml:space="preserve">n = </w:t>
      </w:r>
      <w:r w:rsidRPr="00907760">
        <w:t>5).</w:t>
      </w:r>
    </w:p>
    <w:p w14:paraId="62E639D4" w14:textId="77777777" w:rsidR="00907760" w:rsidRPr="00907760" w:rsidRDefault="00907760" w:rsidP="00907760">
      <w:r w:rsidRPr="00907760">
        <w:t>In summary, the data from the available interim analysis of Study EMR100070-003</w:t>
      </w:r>
      <w:r>
        <w:t xml:space="preserve"> </w:t>
      </w:r>
      <w:r w:rsidRPr="00907760">
        <w:t>Part B further support the expected increased cl</w:t>
      </w:r>
      <w:r>
        <w:t xml:space="preserve">inical benefit of more subjects </w:t>
      </w:r>
      <w:r w:rsidRPr="00907760">
        <w:t xml:space="preserve">achieving a </w:t>
      </w:r>
      <w:proofErr w:type="gramStart"/>
      <w:r w:rsidRPr="00907760">
        <w:t>response</w:t>
      </w:r>
      <w:proofErr w:type="gramEnd"/>
      <w:r w:rsidRPr="00907760">
        <w:t xml:space="preserve"> with avelumab treatment earlier i</w:t>
      </w:r>
      <w:r>
        <w:t>n the metastatic setting (</w:t>
      </w:r>
      <w:r w:rsidR="000E4114">
        <w:t>that is</w:t>
      </w:r>
      <w:r>
        <w:t xml:space="preserve">, </w:t>
      </w:r>
      <w:r w:rsidRPr="00907760">
        <w:t>fewer prior lines of therapy). The data demonstrat</w:t>
      </w:r>
      <w:r>
        <w:t xml:space="preserve">ed continuing responses with </w:t>
      </w:r>
      <w:r w:rsidRPr="00907760">
        <w:t xml:space="preserve">avelumab in </w:t>
      </w:r>
      <w:r w:rsidR="006C35DA">
        <w:t>first line</w:t>
      </w:r>
      <w:r w:rsidRPr="00907760">
        <w:t xml:space="preserve"> treatment. These data fur</w:t>
      </w:r>
      <w:r>
        <w:t xml:space="preserve">ther support avelumab treatment </w:t>
      </w:r>
      <w:r w:rsidRPr="00907760">
        <w:t>regardless of line of therapy in the metastatic setting for MCC.</w:t>
      </w:r>
    </w:p>
    <w:p w14:paraId="35457772" w14:textId="1B227AD5" w:rsidR="00907760" w:rsidRPr="00907760" w:rsidRDefault="00907760" w:rsidP="001E3882">
      <w:r w:rsidRPr="00907760">
        <w:t xml:space="preserve">Furthermore, </w:t>
      </w:r>
      <w:r w:rsidR="003A4B14">
        <w:t>the sponsor</w:t>
      </w:r>
      <w:r w:rsidR="003A4B14" w:rsidRPr="00907760">
        <w:t xml:space="preserve"> </w:t>
      </w:r>
      <w:r w:rsidRPr="00907760">
        <w:t>is fully supportive of the Delegate’s recommendation to include</w:t>
      </w:r>
      <w:r>
        <w:t xml:space="preserve"> </w:t>
      </w:r>
      <w:r w:rsidRPr="00907760">
        <w:t xml:space="preserve">adolescent patients </w:t>
      </w:r>
      <w:r w:rsidR="005E1E9B">
        <w:t xml:space="preserve">&gt; </w:t>
      </w:r>
      <w:r w:rsidRPr="00907760">
        <w:t>12 years. Given the very poor pro</w:t>
      </w:r>
      <w:r>
        <w:t xml:space="preserve">gnosis for adolescents, the use </w:t>
      </w:r>
      <w:r w:rsidRPr="00907760">
        <w:t xml:space="preserve">of </w:t>
      </w:r>
      <w:r w:rsidR="004A25E4">
        <w:t>Bavencio</w:t>
      </w:r>
      <w:r w:rsidRPr="00907760">
        <w:t xml:space="preserve"> in this age group was supported by evidence from adequate and well-controlled studies of </w:t>
      </w:r>
      <w:r w:rsidR="004A25E4">
        <w:t>Bavencio</w:t>
      </w:r>
      <w:r w:rsidRPr="00907760">
        <w:t xml:space="preserve"> in adults with additional population pharmacokinetic</w:t>
      </w:r>
      <w:r>
        <w:t xml:space="preserve"> </w:t>
      </w:r>
      <w:r w:rsidRPr="00907760">
        <w:t>data demonstrating that age and body weight had no clin</w:t>
      </w:r>
      <w:r>
        <w:t xml:space="preserve">ically meaningful effect on the </w:t>
      </w:r>
      <w:r w:rsidRPr="00907760">
        <w:t>steady state exposure of avelumab. Drug exposure is g</w:t>
      </w:r>
      <w:r>
        <w:t xml:space="preserve">enerally similar between adults </w:t>
      </w:r>
      <w:r w:rsidRPr="00907760">
        <w:t xml:space="preserve">and paediatric </w:t>
      </w:r>
      <w:r w:rsidR="00D35D8A" w:rsidRPr="00907760">
        <w:t>patient’s</w:t>
      </w:r>
      <w:r w:rsidRPr="00907760">
        <w:t xml:space="preserve"> aged 12 years and older for </w:t>
      </w:r>
      <w:r>
        <w:t xml:space="preserve">monoclonal antibodies, and that </w:t>
      </w:r>
      <w:r w:rsidRPr="00907760">
        <w:t>the course of MCC is sufficiently similar in adults a</w:t>
      </w:r>
      <w:r>
        <w:t xml:space="preserve">nd paediatric patients to allow </w:t>
      </w:r>
      <w:r w:rsidRPr="00907760">
        <w:t>extrapolation of data in adults to paediatric patients.</w:t>
      </w:r>
    </w:p>
    <w:p w14:paraId="45042CCD" w14:textId="77777777" w:rsidR="00907760" w:rsidRDefault="00907760" w:rsidP="003E460F">
      <w:r w:rsidRPr="00907760">
        <w:lastRenderedPageBreak/>
        <w:t xml:space="preserve">The </w:t>
      </w:r>
      <w:r w:rsidR="00962FB4" w:rsidRPr="00907760">
        <w:t xml:space="preserve">indication and precaution </w:t>
      </w:r>
      <w:r w:rsidR="00D35D8A">
        <w:t xml:space="preserve">sections </w:t>
      </w:r>
      <w:r w:rsidR="00962FB4">
        <w:t>of the PI have</w:t>
      </w:r>
      <w:r w:rsidRPr="00907760">
        <w:t xml:space="preserve"> been rev</w:t>
      </w:r>
      <w:r>
        <w:t xml:space="preserve">ised accordingly to reflect the </w:t>
      </w:r>
      <w:r w:rsidRPr="00907760">
        <w:t>indication proposed by the Delegate.</w:t>
      </w:r>
    </w:p>
    <w:p w14:paraId="4C378CE3" w14:textId="77777777" w:rsidR="00907760" w:rsidRPr="00907760" w:rsidRDefault="00907760" w:rsidP="001E3882">
      <w:pPr>
        <w:pStyle w:val="Heading5"/>
        <w:rPr>
          <w:rFonts w:eastAsiaTheme="minorHAnsi"/>
        </w:rPr>
      </w:pPr>
      <w:r w:rsidRPr="00907760">
        <w:rPr>
          <w:rFonts w:eastAsiaTheme="minorHAnsi"/>
        </w:rPr>
        <w:t xml:space="preserve">Post marketing </w:t>
      </w:r>
      <w:r w:rsidRPr="001E3882">
        <w:rPr>
          <w:rFonts w:eastAsiaTheme="minorHAnsi"/>
        </w:rPr>
        <w:t>requirements</w:t>
      </w:r>
    </w:p>
    <w:p w14:paraId="0A24C732" w14:textId="6DAD58AA" w:rsidR="00907760" w:rsidRPr="00907760" w:rsidRDefault="003A4B14" w:rsidP="001E3882">
      <w:r>
        <w:t xml:space="preserve">The sponsor </w:t>
      </w:r>
      <w:r w:rsidR="00907760" w:rsidRPr="00907760">
        <w:t>confirms the submission of the following post-</w:t>
      </w:r>
      <w:r w:rsidR="00907760">
        <w:t xml:space="preserve">marketing studies to the TGA </w:t>
      </w:r>
      <w:r w:rsidR="00B9688B">
        <w:t xml:space="preserve">as new applications </w:t>
      </w:r>
      <w:r w:rsidR="00907760" w:rsidRPr="00907760">
        <w:t>when the final results are made available:</w:t>
      </w:r>
    </w:p>
    <w:p w14:paraId="3FFA7DC4" w14:textId="3D909D81" w:rsidR="00907760" w:rsidRPr="00907760" w:rsidRDefault="00907760" w:rsidP="001E3882">
      <w:pPr>
        <w:pStyle w:val="ListBullet"/>
      </w:pPr>
      <w:r w:rsidRPr="00907760">
        <w:t xml:space="preserve">Protocol </w:t>
      </w:r>
      <w:r w:rsidR="003A4B14">
        <w:t xml:space="preserve">for </w:t>
      </w:r>
      <w:r w:rsidR="003A4B14" w:rsidRPr="001E3882">
        <w:t>Study</w:t>
      </w:r>
      <w:r w:rsidR="003A4B14">
        <w:t xml:space="preserve"> </w:t>
      </w:r>
      <w:r w:rsidRPr="00907760">
        <w:t>EMR100070-003 Part B (</w:t>
      </w:r>
      <w:r w:rsidR="00D35D8A" w:rsidRPr="00907760">
        <w:t>JAVELIN</w:t>
      </w:r>
      <w:r w:rsidRPr="00907760">
        <w:t xml:space="preserve"> Merke</w:t>
      </w:r>
      <w:r>
        <w:t>l 200</w:t>
      </w:r>
      <w:r w:rsidR="003A4B14">
        <w:t xml:space="preserve"> trial</w:t>
      </w:r>
      <w:r>
        <w:t xml:space="preserve">). Final report submission </w:t>
      </w:r>
      <w:r w:rsidRPr="00907760">
        <w:t>by December 2026</w:t>
      </w:r>
    </w:p>
    <w:p w14:paraId="07B78F50" w14:textId="6FF740D7" w:rsidR="00907760" w:rsidRPr="00907760" w:rsidRDefault="00D35D8A" w:rsidP="00907760">
      <w:pPr>
        <w:pStyle w:val="ListBullet"/>
      </w:pPr>
      <w:r>
        <w:t xml:space="preserve">Paediatric patients study </w:t>
      </w:r>
      <w:r w:rsidR="003A4B14">
        <w:t xml:space="preserve">in patients between </w:t>
      </w:r>
      <w:r>
        <w:t>12 to</w:t>
      </w:r>
      <w:r w:rsidR="00907760" w:rsidRPr="00907760">
        <w:t xml:space="preserve"> 18 years old. Final report submission June 2023.</w:t>
      </w:r>
    </w:p>
    <w:p w14:paraId="2801B200" w14:textId="77777777" w:rsidR="00907760" w:rsidRPr="00907760" w:rsidRDefault="00907760" w:rsidP="001E3882">
      <w:pPr>
        <w:pStyle w:val="Heading5"/>
        <w:rPr>
          <w:rFonts w:eastAsiaTheme="minorHAnsi"/>
        </w:rPr>
      </w:pPr>
      <w:r w:rsidRPr="001E3882">
        <w:rPr>
          <w:rFonts w:eastAsiaTheme="minorHAnsi"/>
        </w:rPr>
        <w:t>C</w:t>
      </w:r>
      <w:r w:rsidRPr="001E3882">
        <w:t>onclusion</w:t>
      </w:r>
    </w:p>
    <w:p w14:paraId="64167DD8" w14:textId="4B7AAF81" w:rsidR="003E460F" w:rsidRPr="003E460F" w:rsidRDefault="00907760" w:rsidP="001E3882">
      <w:r w:rsidRPr="00907760">
        <w:t>In summary, the substantial response rate and co</w:t>
      </w:r>
      <w:r>
        <w:t xml:space="preserve">ntinuing durable responses with </w:t>
      </w:r>
      <w:r w:rsidRPr="00907760">
        <w:t>avelumab are clinically meaningful, based on a con</w:t>
      </w:r>
      <w:r>
        <w:t xml:space="preserve">firmed ORR of 33.0%, the </w:t>
      </w:r>
      <w:r w:rsidR="003A4B14">
        <w:t>KM</w:t>
      </w:r>
      <w:r w:rsidRPr="00907760">
        <w:t xml:space="preserve"> estimate of 93% for 6</w:t>
      </w:r>
      <w:r w:rsidR="005E1E9B">
        <w:t xml:space="preserve"> month</w:t>
      </w:r>
      <w:r w:rsidRPr="00907760">
        <w:t xml:space="preserve"> durability among responses, the 30% 12</w:t>
      </w:r>
      <w:r w:rsidR="005E1E9B">
        <w:t xml:space="preserve"> month</w:t>
      </w:r>
      <w:r>
        <w:t xml:space="preserve"> </w:t>
      </w:r>
      <w:r w:rsidRPr="00907760">
        <w:t>and 15</w:t>
      </w:r>
      <w:r w:rsidR="00D35D8A">
        <w:t> </w:t>
      </w:r>
      <w:r w:rsidR="005E1E9B">
        <w:t>month</w:t>
      </w:r>
      <w:r w:rsidRPr="00907760">
        <w:t xml:space="preserve"> PFS rates with observed plateau of </w:t>
      </w:r>
      <w:r>
        <w:t xml:space="preserve">the PFS </w:t>
      </w:r>
      <w:r w:rsidR="003A4B14">
        <w:t>KM</w:t>
      </w:r>
      <w:r>
        <w:t xml:space="preserve"> curve, and </w:t>
      </w:r>
      <w:r w:rsidRPr="00907760">
        <w:t xml:space="preserve">favourable OS now with a median exceeding a year. </w:t>
      </w:r>
      <w:r>
        <w:t xml:space="preserve">In addition, data from an early </w:t>
      </w:r>
      <w:r w:rsidRPr="00907760">
        <w:t>interim analysis from Study EMR100070-003 Part B,</w:t>
      </w:r>
      <w:r>
        <w:t xml:space="preserve"> with avelumab as 1L treatment, </w:t>
      </w:r>
      <w:r w:rsidRPr="00907760">
        <w:t>demonstrate a high ORR of 62.5% reported for ave</w:t>
      </w:r>
      <w:r>
        <w:t xml:space="preserve">lumab as 1L treatment. Combined </w:t>
      </w:r>
      <w:r w:rsidRPr="00907760">
        <w:t xml:space="preserve">with the fact that </w:t>
      </w:r>
      <w:r w:rsidR="006C35DA">
        <w:t>metastatic MCC</w:t>
      </w:r>
      <w:r w:rsidRPr="00907760">
        <w:t xml:space="preserve"> is a rare disease of high u</w:t>
      </w:r>
      <w:r>
        <w:t xml:space="preserve">nmet medical need, the clinical </w:t>
      </w:r>
      <w:r w:rsidRPr="00907760">
        <w:t>results with avelumab demonstrates the opportunity t</w:t>
      </w:r>
      <w:r>
        <w:t xml:space="preserve">o provide clinically meaningful </w:t>
      </w:r>
      <w:r w:rsidRPr="00907760">
        <w:t xml:space="preserve">benefit to patients with </w:t>
      </w:r>
      <w:r w:rsidR="006C35DA">
        <w:t>metastatic MCC</w:t>
      </w:r>
      <w:r w:rsidRPr="00907760">
        <w:t>.</w:t>
      </w:r>
    </w:p>
    <w:p w14:paraId="4DE6AB1F" w14:textId="3F7DF2F2" w:rsidR="008E7846" w:rsidRDefault="008E7846" w:rsidP="001E3882">
      <w:pPr>
        <w:pStyle w:val="Heading4"/>
      </w:pPr>
      <w:r>
        <w:t xml:space="preserve">Advisory </w:t>
      </w:r>
      <w:r w:rsidR="001E3882">
        <w:t>c</w:t>
      </w:r>
      <w:r>
        <w:t xml:space="preserve">ommittee </w:t>
      </w:r>
      <w:r w:rsidR="001E3882" w:rsidRPr="001E3882">
        <w:t>c</w:t>
      </w:r>
      <w:r w:rsidRPr="001E3882">
        <w:t>onsiderations</w:t>
      </w:r>
      <w:r w:rsidR="00456765">
        <w:rPr>
          <w:rStyle w:val="FootnoteReference"/>
        </w:rPr>
        <w:footnoteReference w:id="27"/>
      </w:r>
    </w:p>
    <w:p w14:paraId="253FB46E" w14:textId="28475744" w:rsidR="00456765" w:rsidRPr="00A322B3" w:rsidRDefault="00456765" w:rsidP="008E7846">
      <w:r>
        <w:rPr>
          <w:bCs/>
        </w:rPr>
        <w:t>The</w:t>
      </w:r>
      <w:r w:rsidRPr="001E3882">
        <w:t xml:space="preserve"> </w:t>
      </w:r>
      <w:r>
        <w:rPr>
          <w:bCs/>
        </w:rPr>
        <w:t>Delegate did not refer this applicati</w:t>
      </w:r>
      <w:r w:rsidR="001E3882">
        <w:rPr>
          <w:bCs/>
        </w:rPr>
        <w:t>on to the Advisory Committee on</w:t>
      </w:r>
      <w:r>
        <w:rPr>
          <w:bCs/>
        </w:rPr>
        <w:t xml:space="preserve"> Medicines (ACM) for advice.</w:t>
      </w:r>
    </w:p>
    <w:p w14:paraId="17F9B695" w14:textId="77777777" w:rsidR="008E7846" w:rsidRPr="002E238E" w:rsidRDefault="008E7846" w:rsidP="001E3882">
      <w:pPr>
        <w:pStyle w:val="Heading3"/>
      </w:pPr>
      <w:bookmarkStart w:id="206" w:name="_Toc247691532"/>
      <w:bookmarkStart w:id="207" w:name="_Toc314842516"/>
      <w:bookmarkStart w:id="208" w:name="_Toc8053079"/>
      <w:bookmarkEnd w:id="130"/>
      <w:bookmarkEnd w:id="203"/>
      <w:bookmarkEnd w:id="204"/>
      <w:r w:rsidRPr="001E3882">
        <w:t>Outcome</w:t>
      </w:r>
      <w:bookmarkEnd w:id="206"/>
      <w:bookmarkEnd w:id="207"/>
      <w:bookmarkEnd w:id="208"/>
    </w:p>
    <w:p w14:paraId="61DE24B4" w14:textId="77777777" w:rsidR="00D23139" w:rsidRPr="006163C0" w:rsidRDefault="00D23139" w:rsidP="001E3882">
      <w:bookmarkStart w:id="209" w:name="_Toc247691533"/>
      <w:bookmarkStart w:id="210" w:name="_Toc314842517"/>
      <w:r w:rsidRPr="006163C0">
        <w:t xml:space="preserve">Based on a review of quality, safety and efficacy, TGA approved the registration of </w:t>
      </w:r>
      <w:r w:rsidR="004A25E4">
        <w:t>Bavencio</w:t>
      </w:r>
      <w:r w:rsidR="00773AC2" w:rsidRPr="006163C0">
        <w:t xml:space="preserve"> avelumab (rch) 200 mg/10 mL concentrated solution for intravenous infusion vial </w:t>
      </w:r>
      <w:r w:rsidRPr="006163C0">
        <w:t>indicated for:</w:t>
      </w:r>
    </w:p>
    <w:p w14:paraId="2232FE89" w14:textId="49CC6695" w:rsidR="00773AC2" w:rsidRPr="00773AC2" w:rsidRDefault="004A25E4" w:rsidP="00773AC2">
      <w:pPr>
        <w:ind w:left="720"/>
        <w:rPr>
          <w:i/>
        </w:rPr>
      </w:pPr>
      <w:r>
        <w:rPr>
          <w:i/>
        </w:rPr>
        <w:t>Bavencio</w:t>
      </w:r>
      <w:r w:rsidR="00773AC2" w:rsidRPr="00773AC2">
        <w:rPr>
          <w:i/>
        </w:rPr>
        <w:t xml:space="preserve"> is indicated for the treatment of adults and paediatric patients 12 years and older with metastatic Merkel Cell Carcinoma (</w:t>
      </w:r>
      <w:r w:rsidR="006C35DA">
        <w:rPr>
          <w:i/>
        </w:rPr>
        <w:t>MCC</w:t>
      </w:r>
      <w:r w:rsidR="00773AC2" w:rsidRPr="00773AC2">
        <w:rPr>
          <w:i/>
        </w:rPr>
        <w:t>).</w:t>
      </w:r>
    </w:p>
    <w:p w14:paraId="195B8BE3" w14:textId="77777777" w:rsidR="00D23139" w:rsidRPr="00773AC2" w:rsidRDefault="00773AC2" w:rsidP="00773AC2">
      <w:pPr>
        <w:ind w:left="720"/>
        <w:rPr>
          <w:i/>
        </w:rPr>
      </w:pPr>
      <w:r w:rsidRPr="00773AC2">
        <w:rPr>
          <w:i/>
        </w:rPr>
        <w:t>This indication is approved based on tumour response rate, duration of response in a single arm study.</w:t>
      </w:r>
    </w:p>
    <w:p w14:paraId="68124D31" w14:textId="77777777" w:rsidR="00D23139" w:rsidRDefault="00D23139" w:rsidP="001E3882">
      <w:pPr>
        <w:pStyle w:val="Heading4"/>
      </w:pPr>
      <w:r w:rsidRPr="00D23139">
        <w:t xml:space="preserve">Specific </w:t>
      </w:r>
      <w:r w:rsidRPr="001E3882">
        <w:t>conditions</w:t>
      </w:r>
      <w:r w:rsidRPr="00D23139">
        <w:t xml:space="preserve"> of registration applying to these goods</w:t>
      </w:r>
    </w:p>
    <w:p w14:paraId="212846D1" w14:textId="77777777" w:rsidR="00773AC2" w:rsidRPr="00773AC2" w:rsidRDefault="00773AC2" w:rsidP="001E3882">
      <w:pPr>
        <w:pStyle w:val="ListBullet"/>
      </w:pPr>
      <w:r w:rsidRPr="00773AC2">
        <w:t xml:space="preserve">Any changes to </w:t>
      </w:r>
      <w:r w:rsidRPr="001E3882">
        <w:t>which</w:t>
      </w:r>
      <w:r w:rsidRPr="00773AC2">
        <w:t xml:space="preserve"> the sponsor has agreed should be included in a revised RMP and</w:t>
      </w:r>
      <w:r>
        <w:t xml:space="preserve"> </w:t>
      </w:r>
      <w:r w:rsidRPr="00773AC2">
        <w:t>ASA. However, irrespective of whether or not the</w:t>
      </w:r>
      <w:r>
        <w:t xml:space="preserve">y are included in the currently </w:t>
      </w:r>
      <w:r w:rsidRPr="00773AC2">
        <w:t xml:space="preserve">available version of the RMP document, the agreed </w:t>
      </w:r>
      <w:r>
        <w:t xml:space="preserve">changes become part of the risk </w:t>
      </w:r>
      <w:r w:rsidRPr="00773AC2">
        <w:t>management system.</w:t>
      </w:r>
    </w:p>
    <w:p w14:paraId="213176A0" w14:textId="77777777" w:rsidR="00773AC2" w:rsidRDefault="00773AC2" w:rsidP="001E3882">
      <w:pPr>
        <w:pStyle w:val="ListBullet"/>
      </w:pPr>
      <w:r w:rsidRPr="00773AC2">
        <w:lastRenderedPageBreak/>
        <w:t xml:space="preserve">The </w:t>
      </w:r>
      <w:proofErr w:type="spellStart"/>
      <w:r w:rsidR="004A25E4">
        <w:t>Bavencio</w:t>
      </w:r>
      <w:proofErr w:type="spellEnd"/>
      <w:r w:rsidRPr="00773AC2">
        <w:t xml:space="preserve"> </w:t>
      </w:r>
      <w:proofErr w:type="spellStart"/>
      <w:r w:rsidRPr="00773AC2">
        <w:t>avelumab</w:t>
      </w:r>
      <w:proofErr w:type="spellEnd"/>
      <w:r w:rsidRPr="00773AC2">
        <w:t xml:space="preserve"> EU Risk Management</w:t>
      </w:r>
      <w:r>
        <w:t xml:space="preserve"> Plan (RMP), version 1.6, dated </w:t>
      </w:r>
      <w:r w:rsidRPr="00773AC2">
        <w:t>20 July 2017 (data lock point 9 June 2016), with Australi</w:t>
      </w:r>
      <w:r>
        <w:t xml:space="preserve">an Specific Annex, version 1.1, </w:t>
      </w:r>
      <w:r w:rsidRPr="00773AC2">
        <w:t>dated 27 November 2017, and any subsequent revisions,</w:t>
      </w:r>
      <w:r>
        <w:t xml:space="preserve"> as agreed with the TGA will be </w:t>
      </w:r>
      <w:r w:rsidRPr="00773AC2">
        <w:t>implemented in Australia.</w:t>
      </w:r>
    </w:p>
    <w:p w14:paraId="01A0A288" w14:textId="77777777" w:rsidR="00773AC2" w:rsidRPr="00773AC2" w:rsidRDefault="00773AC2" w:rsidP="001E3882">
      <w:pPr>
        <w:pStyle w:val="ListBullet"/>
      </w:pPr>
      <w:r w:rsidRPr="00773AC2">
        <w:t>Provide the interim analysis (data cut off 26 Sept 2017) of efficacy outcomes from</w:t>
      </w:r>
      <w:r>
        <w:t xml:space="preserve"> </w:t>
      </w:r>
      <w:r w:rsidRPr="00773AC2">
        <w:t xml:space="preserve">Part A and </w:t>
      </w:r>
      <w:r w:rsidRPr="001E3882">
        <w:t>Part</w:t>
      </w:r>
      <w:r w:rsidRPr="00773AC2">
        <w:t xml:space="preserve"> B of Study 003 to the TGA when </w:t>
      </w:r>
      <w:r>
        <w:t xml:space="preserve">they become available (expected </w:t>
      </w:r>
      <w:r w:rsidRPr="00773AC2">
        <w:t>Q1 2018). (This does not need to be provided as a Cat</w:t>
      </w:r>
      <w:r>
        <w:t xml:space="preserve">egory 1 application, unless the </w:t>
      </w:r>
      <w:r w:rsidRPr="00773AC2">
        <w:t>sponsor is proposing to update the PI.)</w:t>
      </w:r>
    </w:p>
    <w:p w14:paraId="0A87FD0C" w14:textId="77777777" w:rsidR="00773AC2" w:rsidRPr="00773AC2" w:rsidRDefault="00773AC2" w:rsidP="00773AC2">
      <w:pPr>
        <w:pStyle w:val="ListBullet"/>
      </w:pPr>
      <w:r w:rsidRPr="00773AC2">
        <w:t xml:space="preserve">Submit a Category 1 application reporting the results of the 1L study in </w:t>
      </w:r>
      <w:r>
        <w:t xml:space="preserve">patients with </w:t>
      </w:r>
      <w:proofErr w:type="gramStart"/>
      <w:r w:rsidR="006C35DA">
        <w:t>metastatic</w:t>
      </w:r>
      <w:proofErr w:type="gramEnd"/>
      <w:r w:rsidR="006C35DA">
        <w:t xml:space="preserve"> MCC</w:t>
      </w:r>
      <w:r w:rsidRPr="00773AC2">
        <w:t xml:space="preserve"> that will </w:t>
      </w:r>
      <w:r w:rsidR="008A5060" w:rsidRPr="00773AC2">
        <w:t>enrol</w:t>
      </w:r>
      <w:r w:rsidRPr="00773AC2">
        <w:t xml:space="preserve"> at least 100 patients followed</w:t>
      </w:r>
      <w:r>
        <w:t xml:space="preserve"> for a minimum of 12 months, to </w:t>
      </w:r>
      <w:r w:rsidRPr="00773AC2">
        <w:t xml:space="preserve">establish the objective response rate and characterise </w:t>
      </w:r>
      <w:r>
        <w:t xml:space="preserve">the durability of response. The </w:t>
      </w:r>
      <w:r w:rsidRPr="00773AC2">
        <w:t xml:space="preserve">expected trial completion date is June 2026. The expected final report </w:t>
      </w:r>
      <w:r>
        <w:t xml:space="preserve">submission date </w:t>
      </w:r>
      <w:r w:rsidRPr="00773AC2">
        <w:t>is December 2026.</w:t>
      </w:r>
    </w:p>
    <w:p w14:paraId="1E036D56" w14:textId="77777777" w:rsidR="00773AC2" w:rsidRDefault="00773AC2" w:rsidP="00773AC2">
      <w:pPr>
        <w:pStyle w:val="ListBullet"/>
      </w:pPr>
      <w:r w:rsidRPr="00773AC2">
        <w:t xml:space="preserve">Submit a Category 1 application reporting the results of a </w:t>
      </w:r>
      <w:r>
        <w:t xml:space="preserve">trial in a sufficient number of </w:t>
      </w:r>
      <w:r w:rsidR="008A5060" w:rsidRPr="00773AC2">
        <w:t>paediatric</w:t>
      </w:r>
      <w:r w:rsidRPr="00773AC2">
        <w:t xml:space="preserve"> patients ages 12-18 to adequately characteris</w:t>
      </w:r>
      <w:r>
        <w:t xml:space="preserve">e baseline risk factors, safety </w:t>
      </w:r>
      <w:r w:rsidRPr="00773AC2">
        <w:t xml:space="preserve">outcomes, and clinical responses following exposure </w:t>
      </w:r>
      <w:r>
        <w:t xml:space="preserve">to avelumab. The expected trial </w:t>
      </w:r>
      <w:r w:rsidRPr="00773AC2">
        <w:t xml:space="preserve">completion date is October 2022. The expected </w:t>
      </w:r>
      <w:r>
        <w:t xml:space="preserve">final report submission date is </w:t>
      </w:r>
      <w:r w:rsidRPr="00773AC2">
        <w:t>June 2023.</w:t>
      </w:r>
    </w:p>
    <w:p w14:paraId="04862F29" w14:textId="77777777" w:rsidR="00773AC2" w:rsidRPr="00773AC2" w:rsidRDefault="00773AC2" w:rsidP="001E3882">
      <w:pPr>
        <w:pStyle w:val="ListBullet"/>
      </w:pPr>
      <w:r w:rsidRPr="00773AC2">
        <w:t>Batch</w:t>
      </w:r>
      <w:r w:rsidR="008A5060">
        <w:t xml:space="preserve"> release testing and</w:t>
      </w:r>
      <w:r w:rsidRPr="00773AC2">
        <w:t xml:space="preserve"> compliance with </w:t>
      </w:r>
      <w:r w:rsidR="008A5060">
        <w:t xml:space="preserve">Certified Product Details (CPD) (as detailed in the </w:t>
      </w:r>
      <w:r w:rsidR="008A5060" w:rsidRPr="001E3882">
        <w:t>approval</w:t>
      </w:r>
      <w:r w:rsidR="008A5060">
        <w:t xml:space="preserve"> letter).</w:t>
      </w:r>
    </w:p>
    <w:p w14:paraId="2ACBE87D" w14:textId="77777777" w:rsidR="008E7846" w:rsidRDefault="00A80B5B" w:rsidP="001E3882">
      <w:pPr>
        <w:pStyle w:val="Heading2"/>
      </w:pPr>
      <w:bookmarkStart w:id="211" w:name="_Toc8053080"/>
      <w:proofErr w:type="gramStart"/>
      <w:r>
        <w:t>Attachment 1.</w:t>
      </w:r>
      <w:proofErr w:type="gramEnd"/>
      <w:r>
        <w:t xml:space="preserve"> </w:t>
      </w:r>
      <w:r w:rsidR="008E7846" w:rsidRPr="001E3882">
        <w:t>Product</w:t>
      </w:r>
      <w:r w:rsidR="008E7846">
        <w:t xml:space="preserve"> </w:t>
      </w:r>
      <w:r w:rsidR="00AA0ED0">
        <w:t>I</w:t>
      </w:r>
      <w:r w:rsidR="008E7846">
        <w:t>nformation</w:t>
      </w:r>
      <w:bookmarkEnd w:id="209"/>
      <w:bookmarkEnd w:id="210"/>
      <w:bookmarkEnd w:id="211"/>
    </w:p>
    <w:p w14:paraId="6BA2C229" w14:textId="3F54C116" w:rsidR="00C80137" w:rsidRDefault="006136D7" w:rsidP="00C80137">
      <w:pPr>
        <w:rPr>
          <w:color w:val="000000"/>
          <w:lang w:eastAsia="en-AU"/>
        </w:rPr>
      </w:pPr>
      <w:r w:rsidRPr="002B3624">
        <w:t xml:space="preserve">The </w:t>
      </w:r>
      <w:r>
        <w:t>PI</w:t>
      </w:r>
      <w:r w:rsidRPr="002B3624">
        <w:t xml:space="preserve"> for </w:t>
      </w:r>
      <w:r w:rsidR="00773AC2">
        <w:t xml:space="preserve">Bavencio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1E3882">
        <w:t>&lt;</w:t>
      </w:r>
      <w:hyperlink r:id="rId30" w:history="1">
        <w:r w:rsidR="007C6B9B" w:rsidRPr="007C6B9B">
          <w:rPr>
            <w:rStyle w:val="Hyperlink"/>
          </w:rPr>
          <w:t>https://www.tga.gov.au/product-information-pi</w:t>
        </w:r>
      </w:hyperlink>
      <w:r w:rsidR="001E3882">
        <w:t>&gt;</w:t>
      </w:r>
      <w:r w:rsidR="00773AC2">
        <w:t>.</w:t>
      </w:r>
    </w:p>
    <w:p w14:paraId="5DFF90AC" w14:textId="77777777" w:rsidR="00C80137" w:rsidRPr="001D043B" w:rsidRDefault="008E7846" w:rsidP="00773AC2">
      <w:pPr>
        <w:autoSpaceDE w:val="0"/>
        <w:autoSpaceDN w:val="0"/>
        <w:adjustRightInd w:val="0"/>
        <w:spacing w:after="0"/>
        <w:rPr>
          <w:lang w:eastAsia="ja-JP"/>
        </w:rPr>
        <w:sectPr w:rsidR="00C80137" w:rsidRPr="001D043B"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0B69C5C" w14:textId="77777777" w:rsidTr="00A05FA4">
        <w:trPr>
          <w:trHeight w:hRule="exact" w:val="704"/>
        </w:trPr>
        <w:tc>
          <w:tcPr>
            <w:tcW w:w="9175" w:type="dxa"/>
          </w:tcPr>
          <w:p w14:paraId="305DFCC3" w14:textId="77777777" w:rsidR="001C32CD" w:rsidRPr="00487162" w:rsidRDefault="001C32CD" w:rsidP="00A05FA4">
            <w:pPr>
              <w:pStyle w:val="TGASignoff"/>
            </w:pPr>
            <w:r w:rsidRPr="00487162">
              <w:lastRenderedPageBreak/>
              <w:t>Therapeutic Goods Administration</w:t>
            </w:r>
          </w:p>
        </w:tc>
      </w:tr>
      <w:tr w:rsidR="001C32CD" w:rsidRPr="004C239D" w14:paraId="7E89C84F" w14:textId="77777777" w:rsidTr="00A05FA4">
        <w:trPr>
          <w:trHeight w:val="1221"/>
        </w:trPr>
        <w:tc>
          <w:tcPr>
            <w:tcW w:w="9175" w:type="dxa"/>
            <w:tcMar>
              <w:top w:w="28" w:type="dxa"/>
            </w:tcMar>
          </w:tcPr>
          <w:p w14:paraId="18992EE5" w14:textId="77777777" w:rsidR="001C32CD" w:rsidRPr="00487162" w:rsidRDefault="001C32CD" w:rsidP="00A05FA4">
            <w:pPr>
              <w:pStyle w:val="Address"/>
            </w:pPr>
            <w:r w:rsidRPr="00487162">
              <w:t>PO Box 100 Woden ACT 2606 Australia</w:t>
            </w:r>
          </w:p>
          <w:p w14:paraId="47A8C6E1" w14:textId="77777777" w:rsidR="001C32CD" w:rsidRPr="00487162" w:rsidRDefault="001C32CD" w:rsidP="00A05FA4">
            <w:pPr>
              <w:pStyle w:val="Address"/>
            </w:pPr>
            <w:r w:rsidRPr="00487162">
              <w:t xml:space="preserve">Email: </w:t>
            </w:r>
            <w:hyperlink r:id="rId35" w:history="1">
              <w:r w:rsidRPr="004C239D">
                <w:rPr>
                  <w:rStyle w:val="Hyperlink"/>
                </w:rPr>
                <w:t>info@tga.gov.au</w:t>
              </w:r>
            </w:hyperlink>
            <w:r w:rsidR="005E1E9B">
              <w:t xml:space="preserve"> </w:t>
            </w:r>
            <w:r w:rsidRPr="00487162">
              <w:t>Phone: 1800 020 653</w:t>
            </w:r>
            <w:r w:rsidR="005E1E9B">
              <w:t xml:space="preserve"> </w:t>
            </w:r>
            <w:r w:rsidRPr="00487162">
              <w:t>Fax: 02 6232 8605</w:t>
            </w:r>
          </w:p>
          <w:p w14:paraId="30E28EB7" w14:textId="77777777" w:rsidR="001C32CD" w:rsidRPr="004C239D" w:rsidRDefault="00BD7F12"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14:paraId="06D689FF" w14:textId="77777777"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864924" w15:done="0"/>
  <w15:commentEx w15:paraId="1AF41715" w15:done="0"/>
  <w15:commentEx w15:paraId="4AF6EC2D" w15:done="0"/>
  <w15:commentEx w15:paraId="57699A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64924" w16cid:durableId="1F8ECEB1"/>
  <w16cid:commentId w16cid:paraId="1AF41715" w16cid:durableId="1F8ED016"/>
  <w16cid:commentId w16cid:paraId="4AF6EC2D" w16cid:durableId="1F845392"/>
  <w16cid:commentId w16cid:paraId="57699AD4" w16cid:durableId="1F8EDF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AFF47" w14:textId="77777777" w:rsidR="00BD7F12" w:rsidRDefault="00BD7F12" w:rsidP="00C40A36">
      <w:pPr>
        <w:spacing w:after="0"/>
      </w:pPr>
      <w:r>
        <w:separator/>
      </w:r>
    </w:p>
  </w:endnote>
  <w:endnote w:type="continuationSeparator" w:id="0">
    <w:p w14:paraId="451D4151" w14:textId="77777777" w:rsidR="00BD7F12" w:rsidRDefault="00BD7F1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D7F12" w:rsidRPr="00487162" w14:paraId="7C176FBC" w14:textId="77777777" w:rsidTr="00DB750B">
      <w:trPr>
        <w:trHeight w:val="269"/>
      </w:trPr>
      <w:tc>
        <w:tcPr>
          <w:tcW w:w="7371" w:type="dxa"/>
          <w:tcMar>
            <w:top w:w="142" w:type="dxa"/>
            <w:bottom w:w="0" w:type="dxa"/>
          </w:tcMar>
        </w:tcPr>
        <w:p w14:paraId="19EBFDC0" w14:textId="5A5D3180" w:rsidR="00BD7F12" w:rsidRPr="00487162" w:rsidRDefault="00BD7F12" w:rsidP="00B6291C">
          <w:pPr>
            <w:pStyle w:val="Footer"/>
          </w:pPr>
          <w:proofErr w:type="spellStart"/>
          <w:r w:rsidRPr="00487162">
            <w:t>AusPA</w:t>
          </w:r>
          <w:r>
            <w:t>R</w:t>
          </w:r>
          <w:proofErr w:type="spellEnd"/>
          <w:r>
            <w:t xml:space="preserve"> </w:t>
          </w:r>
          <w:proofErr w:type="spellStart"/>
          <w:r w:rsidRPr="004E315F">
            <w:t>Bavencio</w:t>
          </w:r>
          <w:proofErr w:type="spellEnd"/>
          <w:r w:rsidRPr="004E315F">
            <w:t xml:space="preserve"> - </w:t>
          </w:r>
          <w:proofErr w:type="spellStart"/>
          <w:r w:rsidRPr="004E315F">
            <w:t>Avelumab</w:t>
          </w:r>
          <w:proofErr w:type="spellEnd"/>
          <w:r w:rsidRPr="004E315F">
            <w:t xml:space="preserve"> (</w:t>
          </w:r>
          <w:proofErr w:type="spellStart"/>
          <w:r w:rsidRPr="004E315F">
            <w:t>rch</w:t>
          </w:r>
          <w:proofErr w:type="spellEnd"/>
          <w:r w:rsidRPr="004E315F">
            <w:t xml:space="preserve">) - Merck </w:t>
          </w:r>
          <w:proofErr w:type="spellStart"/>
          <w:r>
            <w:t>Serono</w:t>
          </w:r>
          <w:proofErr w:type="spellEnd"/>
          <w:r w:rsidRPr="004E315F">
            <w:t xml:space="preserve"> Australia Pty Ltd - PM-2016-03575-1-4</w:t>
          </w:r>
          <w:r w:rsidR="00B6291C">
            <w:br/>
          </w:r>
          <w:r>
            <w:t>FINAL 22 January 2019</w:t>
          </w:r>
        </w:p>
      </w:tc>
      <w:tc>
        <w:tcPr>
          <w:tcW w:w="1490" w:type="dxa"/>
          <w:tcMar>
            <w:top w:w="142" w:type="dxa"/>
            <w:bottom w:w="0" w:type="dxa"/>
          </w:tcMar>
        </w:tcPr>
        <w:p w14:paraId="0D727C4E" w14:textId="77777777" w:rsidR="00BD7F12" w:rsidRPr="00487162" w:rsidRDefault="00BD7F12" w:rsidP="00DB750B">
          <w:pPr>
            <w:pStyle w:val="Footer"/>
            <w:jc w:val="right"/>
          </w:pPr>
          <w:r w:rsidRPr="00487162">
            <w:t xml:space="preserve">Page </w:t>
          </w:r>
          <w:r>
            <w:fldChar w:fldCharType="begin"/>
          </w:r>
          <w:r>
            <w:instrText xml:space="preserve"> PAGE  \* Arabic </w:instrText>
          </w:r>
          <w:r>
            <w:fldChar w:fldCharType="separate"/>
          </w:r>
          <w:r w:rsidR="00D32655">
            <w:rPr>
              <w:noProof/>
            </w:rPr>
            <w:t>4</w:t>
          </w:r>
          <w:r>
            <w:fldChar w:fldCharType="end"/>
          </w:r>
          <w:r w:rsidRPr="00487162">
            <w:t xml:space="preserve"> of </w:t>
          </w:r>
          <w:fldSimple w:instr=" NUMPAGES  \* Arabic ">
            <w:r w:rsidR="00D32655">
              <w:rPr>
                <w:noProof/>
              </w:rPr>
              <w:t>54</w:t>
            </w:r>
          </w:fldSimple>
        </w:p>
      </w:tc>
    </w:tr>
  </w:tbl>
  <w:p w14:paraId="2A26705E" w14:textId="77777777" w:rsidR="00BD7F12" w:rsidRDefault="00BD7F1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D7F12" w:rsidRPr="00487162" w14:paraId="4F0B603B" w14:textId="77777777" w:rsidTr="00E45619">
      <w:trPr>
        <w:trHeight w:val="269"/>
      </w:trPr>
      <w:tc>
        <w:tcPr>
          <w:tcW w:w="4519" w:type="dxa"/>
          <w:tcBorders>
            <w:top w:val="single" w:sz="4" w:space="0" w:color="auto"/>
          </w:tcBorders>
          <w:tcMar>
            <w:top w:w="142" w:type="dxa"/>
            <w:bottom w:w="0" w:type="dxa"/>
          </w:tcMar>
        </w:tcPr>
        <w:p w14:paraId="6DC4A281" w14:textId="77777777" w:rsidR="00BD7F12" w:rsidRPr="00487162" w:rsidRDefault="00BD7F12" w:rsidP="00FE1DEE">
          <w:pPr>
            <w:pStyle w:val="Footer"/>
          </w:pPr>
          <w:r w:rsidRPr="00487162">
            <w:t>Document title, Part #, Section # - Section title</w:t>
          </w:r>
        </w:p>
        <w:p w14:paraId="2B9B0F73" w14:textId="77777777" w:rsidR="00BD7F12" w:rsidRPr="00487162" w:rsidRDefault="00BD7F12" w:rsidP="00FE1DEE">
          <w:pPr>
            <w:pStyle w:val="Footer"/>
          </w:pPr>
          <w:r w:rsidRPr="00487162">
            <w:t>V1.0 October 2010</w:t>
          </w:r>
        </w:p>
      </w:tc>
      <w:tc>
        <w:tcPr>
          <w:tcW w:w="4342" w:type="dxa"/>
          <w:tcBorders>
            <w:top w:val="single" w:sz="4" w:space="0" w:color="auto"/>
          </w:tcBorders>
          <w:tcMar>
            <w:top w:w="142" w:type="dxa"/>
            <w:bottom w:w="0" w:type="dxa"/>
          </w:tcMar>
        </w:tcPr>
        <w:p w14:paraId="76AC677F" w14:textId="77777777" w:rsidR="00BD7F12" w:rsidRPr="00487162" w:rsidRDefault="00BD7F1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0277A342" w14:textId="77777777" w:rsidR="00BD7F12" w:rsidRDefault="00BD7F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F6B67" w14:textId="77777777" w:rsidR="00BD7F12" w:rsidRPr="001C32CD" w:rsidRDefault="00BD7F1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D7F12" w14:paraId="23226242" w14:textId="77777777" w:rsidTr="0010601F">
      <w:trPr>
        <w:trHeight w:val="108"/>
      </w:trPr>
      <w:tc>
        <w:tcPr>
          <w:tcW w:w="8875" w:type="dxa"/>
          <w:gridSpan w:val="2"/>
          <w:tcBorders>
            <w:bottom w:val="single" w:sz="4" w:space="0" w:color="auto"/>
          </w:tcBorders>
          <w:tcMar>
            <w:right w:w="284" w:type="dxa"/>
          </w:tcMar>
        </w:tcPr>
        <w:p w14:paraId="6F428B8C" w14:textId="77777777" w:rsidR="00BD7F12" w:rsidRDefault="00BD7F12" w:rsidP="006E08B3">
          <w:pPr>
            <w:pStyle w:val="Heading3"/>
          </w:pPr>
          <w:r>
            <w:t>Copyright</w:t>
          </w:r>
        </w:p>
        <w:p w14:paraId="66F06561" w14:textId="77777777" w:rsidR="00BD7F12" w:rsidRDefault="00BD7F12" w:rsidP="006E08B3">
          <w:r>
            <w:rPr>
              <w:rFonts w:cs="Arial"/>
            </w:rPr>
            <w:t>©</w:t>
          </w:r>
          <w:r>
            <w:t xml:space="preserve"> Commonwealth of Australia [add year]</w:t>
          </w:r>
        </w:p>
        <w:p w14:paraId="2F6E2D41" w14:textId="77777777" w:rsidR="00BD7F12" w:rsidRDefault="00BD7F12" w:rsidP="006E08B3"/>
        <w:p w14:paraId="30CAE97C" w14:textId="77777777" w:rsidR="00BD7F12" w:rsidRDefault="00BD7F1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36C0FD6" w14:textId="77777777" w:rsidR="00BD7F12" w:rsidRDefault="00BD7F12" w:rsidP="006E08B3"/>
        <w:p w14:paraId="13A88420" w14:textId="77777777" w:rsidR="00BD7F12" w:rsidRDefault="00BD7F12" w:rsidP="006E08B3">
          <w:pPr>
            <w:pStyle w:val="Heading3"/>
          </w:pPr>
          <w:r>
            <w:t>Confidentiality</w:t>
          </w:r>
        </w:p>
        <w:p w14:paraId="42E16B02" w14:textId="77777777" w:rsidR="00BD7F12" w:rsidRDefault="00BD7F1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CD30C15" w14:textId="77777777" w:rsidR="00BD7F12" w:rsidRDefault="00BD7F12" w:rsidP="006E08B3"/>
        <w:p w14:paraId="27837219" w14:textId="77777777" w:rsidR="00BD7F12" w:rsidRDefault="00BD7F12" w:rsidP="006E08B3">
          <w:r>
            <w:t>For submission made by individuals, all personal details, other than your name, will be removed from your submission before it is published on the TGA’s Internet site.</w:t>
          </w:r>
        </w:p>
        <w:p w14:paraId="78BCF535" w14:textId="77777777" w:rsidR="00BD7F12" w:rsidRDefault="00BD7F12" w:rsidP="006E08B3"/>
        <w:p w14:paraId="0417E114" w14:textId="77777777" w:rsidR="00BD7F12" w:rsidRDefault="00BD7F1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D7F12" w14:paraId="28126C45" w14:textId="77777777" w:rsidTr="0010601F">
      <w:trPr>
        <w:trHeight w:val="417"/>
      </w:trPr>
      <w:tc>
        <w:tcPr>
          <w:tcW w:w="4519" w:type="dxa"/>
          <w:tcBorders>
            <w:top w:val="single" w:sz="4" w:space="0" w:color="auto"/>
          </w:tcBorders>
          <w:tcMar>
            <w:top w:w="142" w:type="dxa"/>
            <w:bottom w:w="0" w:type="dxa"/>
          </w:tcMar>
        </w:tcPr>
        <w:p w14:paraId="792034F9" w14:textId="77777777" w:rsidR="00BD7F12" w:rsidRDefault="00BD7F12" w:rsidP="006E08B3">
          <w:r>
            <w:t>Document title, Part #, Section # - Section title</w:t>
          </w:r>
        </w:p>
        <w:p w14:paraId="639D1ABB" w14:textId="77777777" w:rsidR="00BD7F12" w:rsidRDefault="00BD7F12" w:rsidP="006E08B3">
          <w:r>
            <w:t>V1.0 October 2010</w:t>
          </w:r>
        </w:p>
      </w:tc>
      <w:tc>
        <w:tcPr>
          <w:tcW w:w="4356" w:type="dxa"/>
          <w:tcBorders>
            <w:top w:val="single" w:sz="4" w:space="0" w:color="auto"/>
          </w:tcBorders>
          <w:tcMar>
            <w:top w:w="142" w:type="dxa"/>
            <w:bottom w:w="0" w:type="dxa"/>
          </w:tcMar>
        </w:tcPr>
        <w:p w14:paraId="1D1775E4" w14:textId="77777777" w:rsidR="00BD7F12" w:rsidRDefault="00BD7F1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65D04EA2" w14:textId="77777777" w:rsidR="00BD7F12" w:rsidRDefault="00BD7F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DE262" w14:textId="77777777" w:rsidR="00BD7F12" w:rsidRDefault="00BD7F12" w:rsidP="00C40A36">
      <w:pPr>
        <w:spacing w:after="0"/>
      </w:pPr>
      <w:r>
        <w:separator/>
      </w:r>
    </w:p>
  </w:footnote>
  <w:footnote w:type="continuationSeparator" w:id="0">
    <w:p w14:paraId="113E19DE" w14:textId="77777777" w:rsidR="00BD7F12" w:rsidRDefault="00BD7F12" w:rsidP="00C40A36">
      <w:pPr>
        <w:spacing w:after="0"/>
      </w:pPr>
      <w:r>
        <w:continuationSeparator/>
      </w:r>
    </w:p>
  </w:footnote>
  <w:footnote w:id="1">
    <w:p w14:paraId="2CED8F3F" w14:textId="77777777" w:rsidR="00BD7F12" w:rsidRPr="00294EAC" w:rsidRDefault="00BD7F12" w:rsidP="00E90D4F">
      <w:pPr>
        <w:pStyle w:val="FootnoteText"/>
      </w:pPr>
      <w:r>
        <w:rPr>
          <w:rStyle w:val="FootnoteReference"/>
        </w:rPr>
        <w:footnoteRef/>
      </w:r>
      <w:r>
        <w:t xml:space="preserve"> </w:t>
      </w:r>
      <w:proofErr w:type="spellStart"/>
      <w:r w:rsidRPr="00294EAC">
        <w:rPr>
          <w:rStyle w:val="FootnoteTextChar"/>
        </w:rPr>
        <w:t>Schadendorf</w:t>
      </w:r>
      <w:proofErr w:type="spellEnd"/>
      <w:r w:rsidRPr="00294EAC">
        <w:rPr>
          <w:rStyle w:val="FootnoteTextChar"/>
        </w:rPr>
        <w:t xml:space="preserve"> D, et al. Merkel cell carcinoma: Epidemiology, prognosis, therapy and unmet medical needs. </w:t>
      </w:r>
      <w:proofErr w:type="spellStart"/>
      <w:r w:rsidRPr="00E5589B">
        <w:rPr>
          <w:rStyle w:val="FootnoteTextChar"/>
          <w:i/>
        </w:rPr>
        <w:t>Eur</w:t>
      </w:r>
      <w:proofErr w:type="spellEnd"/>
      <w:r w:rsidRPr="00E5589B">
        <w:rPr>
          <w:rStyle w:val="FootnoteTextChar"/>
          <w:i/>
        </w:rPr>
        <w:t xml:space="preserve"> J Cancer</w:t>
      </w:r>
      <w:r w:rsidRPr="00294EAC">
        <w:rPr>
          <w:rStyle w:val="FootnoteTextChar"/>
        </w:rPr>
        <w:t>. 2017; 71: 53-69</w:t>
      </w:r>
    </w:p>
  </w:footnote>
  <w:footnote w:id="2">
    <w:p w14:paraId="309D2FCA" w14:textId="77777777" w:rsidR="00BD7F12" w:rsidRPr="004A25E4" w:rsidRDefault="00BD7F12" w:rsidP="004A25E4">
      <w:pPr>
        <w:pStyle w:val="FootnoteText"/>
      </w:pPr>
      <w:r w:rsidRPr="004A25E4">
        <w:rPr>
          <w:rStyle w:val="FootnoteReference"/>
          <w:vertAlign w:val="baseline"/>
        </w:rPr>
        <w:footnoteRef/>
      </w:r>
      <w:r w:rsidRPr="004A25E4">
        <w:t xml:space="preserve"> B7 is a type of peripheral membrane protein found on act</w:t>
      </w:r>
      <w:r>
        <w:t>ivated antigen presenting cells</w:t>
      </w:r>
    </w:p>
  </w:footnote>
  <w:footnote w:id="3">
    <w:p w14:paraId="193F324D" w14:textId="237CBEBE" w:rsidR="00BD7F12" w:rsidRPr="00B72CA3" w:rsidRDefault="00BD7F12" w:rsidP="008A5060">
      <w:pPr>
        <w:pStyle w:val="FootnoteText"/>
        <w:contextualSpacing/>
      </w:pPr>
      <w:r>
        <w:rPr>
          <w:rStyle w:val="FootnoteReference"/>
        </w:rPr>
        <w:footnoteRef/>
      </w:r>
      <w:r>
        <w:t xml:space="preserve"> ICH S6</w:t>
      </w:r>
      <w:r w:rsidRPr="00E27545">
        <w:rPr>
          <w:w w:val="50"/>
        </w:rPr>
        <w:t xml:space="preserve"> </w:t>
      </w:r>
      <w:r>
        <w:t>(R1): Preclinical Safety Evaluation of Biotechnology-Derived Pharmaceuticals; ICH S9: Nonclinical Evaluation for Anticancer Pharmaceuticals.</w:t>
      </w:r>
    </w:p>
  </w:footnote>
  <w:footnote w:id="4">
    <w:p w14:paraId="28796640" w14:textId="77777777" w:rsidR="00BD7F12" w:rsidRDefault="00BD7F12" w:rsidP="008A5060">
      <w:pPr>
        <w:pStyle w:val="FootnoteText"/>
      </w:pPr>
      <w:r>
        <w:rPr>
          <w:rStyle w:val="FootnoteReference"/>
        </w:rPr>
        <w:footnoteRef/>
      </w:r>
      <w:r>
        <w:t xml:space="preserve"> </w:t>
      </w:r>
      <w:r>
        <w:rPr>
          <w:u w:color="A9C4E1"/>
        </w:rPr>
        <w:t>TGA quality evaluation reports</w:t>
      </w:r>
    </w:p>
  </w:footnote>
  <w:footnote w:id="5">
    <w:p w14:paraId="54547A84" w14:textId="2259C27D" w:rsidR="00BD7F12" w:rsidRDefault="00BD7F12" w:rsidP="008A5060">
      <w:pPr>
        <w:pStyle w:val="FootnoteText"/>
      </w:pPr>
      <w:r>
        <w:rPr>
          <w:rStyle w:val="FootnoteReference"/>
        </w:rPr>
        <w:footnoteRef/>
      </w:r>
      <w:r>
        <w:t xml:space="preserve"> Lipson E.J., et al.</w:t>
      </w:r>
      <w:r w:rsidRPr="00692E1A">
        <w:t xml:space="preserve"> </w:t>
      </w:r>
      <w:r>
        <w:t xml:space="preserve">(2013) PD-L1 expression in the Merkel cell carcinoma microenvironment: association with inflammation, Merkel cell polyomavirus and overall survival. </w:t>
      </w:r>
      <w:proofErr w:type="gramStart"/>
      <w:r w:rsidRPr="00692E1A">
        <w:rPr>
          <w:i/>
        </w:rPr>
        <w:t>Cancer Immunol.</w:t>
      </w:r>
      <w:proofErr w:type="gramEnd"/>
      <w:r w:rsidRPr="00692E1A">
        <w:rPr>
          <w:i/>
        </w:rPr>
        <w:t xml:space="preserve"> Res.</w:t>
      </w:r>
      <w:r>
        <w:t xml:space="preserve"> 1:</w:t>
      </w:r>
      <w:r w:rsidRPr="00521522">
        <w:rPr>
          <w:w w:val="50"/>
        </w:rPr>
        <w:t xml:space="preserve"> </w:t>
      </w:r>
      <w:r w:rsidR="001E3882">
        <w:t>54–63.</w:t>
      </w:r>
    </w:p>
  </w:footnote>
  <w:footnote w:id="6">
    <w:p w14:paraId="47ED0EEB" w14:textId="03AE326E" w:rsidR="00BD7F12" w:rsidRDefault="00BD7F12" w:rsidP="008A5060">
      <w:pPr>
        <w:pStyle w:val="FootnoteText"/>
      </w:pPr>
      <w:r>
        <w:rPr>
          <w:rStyle w:val="FootnoteReference"/>
        </w:rPr>
        <w:footnoteRef/>
      </w:r>
      <w:r>
        <w:t xml:space="preserve"> </w:t>
      </w:r>
      <w:r w:rsidRPr="004B6E45">
        <w:t>EMA/CHMP/BWP/532517/2008</w:t>
      </w:r>
      <w:r>
        <w:t>: Guideline on development, production, characterisation and specification for monoclonal antibodies and related products.</w:t>
      </w:r>
    </w:p>
  </w:footnote>
  <w:footnote w:id="7">
    <w:p w14:paraId="6C621599" w14:textId="77777777" w:rsidR="00BD7F12" w:rsidRPr="005E1E9B" w:rsidRDefault="00BD7F12">
      <w:pPr>
        <w:pStyle w:val="FootnoteText"/>
        <w:rPr>
          <w:lang w:val="en-US"/>
        </w:rPr>
      </w:pPr>
      <w:r>
        <w:rPr>
          <w:rStyle w:val="FootnoteReference"/>
        </w:rPr>
        <w:footnoteRef/>
      </w:r>
      <w:r>
        <w:t xml:space="preserve"> </w:t>
      </w:r>
      <w:r w:rsidRPr="004D6CEC">
        <w:t>ICH S9</w:t>
      </w:r>
      <w:r>
        <w:t xml:space="preserve"> ICH harmonised tripartite guideline. </w:t>
      </w:r>
      <w:proofErr w:type="gramStart"/>
      <w:r>
        <w:t>Nonclinical evaluation for anticancer pharmaceuticals.</w:t>
      </w:r>
      <w:proofErr w:type="gramEnd"/>
    </w:p>
  </w:footnote>
  <w:footnote w:id="8">
    <w:p w14:paraId="09E392AF" w14:textId="77777777" w:rsidR="00BD7F12" w:rsidRDefault="00BD7F12" w:rsidP="00B21567">
      <w:pPr>
        <w:pStyle w:val="FootnoteText"/>
      </w:pPr>
      <w:r>
        <w:rPr>
          <w:rStyle w:val="FootnoteReference"/>
        </w:rPr>
        <w:footnoteRef/>
      </w:r>
      <w:r>
        <w:t xml:space="preserve"> </w:t>
      </w:r>
      <w:r w:rsidRPr="00D6742C">
        <w:t>ICH S1A — Note for Guidance on The Need for Carcinogenicity Studies of Pharmaceuticals</w:t>
      </w:r>
      <w:r>
        <w:t>.</w:t>
      </w:r>
    </w:p>
  </w:footnote>
  <w:footnote w:id="9">
    <w:p w14:paraId="7A7F000A" w14:textId="77777777" w:rsidR="00BD7F12" w:rsidRDefault="00BD7F12" w:rsidP="005C7BB4">
      <w:pPr>
        <w:pStyle w:val="FootnoteText"/>
      </w:pPr>
      <w:r>
        <w:rPr>
          <w:rStyle w:val="FootnoteReference"/>
        </w:rPr>
        <w:footnoteRef/>
      </w:r>
      <w:r>
        <w:t xml:space="preserve"> </w:t>
      </w:r>
      <w:proofErr w:type="spellStart"/>
      <w:proofErr w:type="gramStart"/>
      <w:r>
        <w:t>Guleria</w:t>
      </w:r>
      <w:proofErr w:type="spellEnd"/>
      <w:r>
        <w:t xml:space="preserve"> I., et al.</w:t>
      </w:r>
      <w:r w:rsidRPr="00475711">
        <w:t xml:space="preserve"> </w:t>
      </w:r>
      <w:r>
        <w:t>(2005)</w:t>
      </w:r>
      <w:r w:rsidRPr="00475711">
        <w:t xml:space="preserve"> </w:t>
      </w:r>
      <w:r>
        <w:t xml:space="preserve">A critical role for the programmed death ligand 1 in </w:t>
      </w:r>
      <w:proofErr w:type="spellStart"/>
      <w:r>
        <w:t>fetomaternal</w:t>
      </w:r>
      <w:proofErr w:type="spellEnd"/>
      <w:r>
        <w:t xml:space="preserve"> tolerance.</w:t>
      </w:r>
      <w:proofErr w:type="gramEnd"/>
      <w:r w:rsidRPr="00475711">
        <w:t xml:space="preserve"> </w:t>
      </w:r>
      <w:r w:rsidRPr="00475711">
        <w:rPr>
          <w:i/>
        </w:rPr>
        <w:t>J. Exp. Med.</w:t>
      </w:r>
      <w:r>
        <w:t xml:space="preserve"> </w:t>
      </w:r>
      <w:r w:rsidRPr="00475711">
        <w:t>202:</w:t>
      </w:r>
      <w:r w:rsidRPr="00475711">
        <w:rPr>
          <w:w w:val="50"/>
        </w:rPr>
        <w:t xml:space="preserve"> </w:t>
      </w:r>
      <w:r>
        <w:t>231–237.</w:t>
      </w:r>
    </w:p>
  </w:footnote>
  <w:footnote w:id="10">
    <w:p w14:paraId="75316FDF" w14:textId="77777777" w:rsidR="00BD7F12" w:rsidRDefault="00BD7F12" w:rsidP="005C7BB4">
      <w:pPr>
        <w:pStyle w:val="FootnoteText"/>
      </w:pPr>
      <w:r>
        <w:rPr>
          <w:rStyle w:val="FootnoteReference"/>
        </w:rPr>
        <w:footnoteRef/>
      </w:r>
      <w:r>
        <w:t xml:space="preserve"> </w:t>
      </w:r>
      <w:proofErr w:type="spellStart"/>
      <w:r>
        <w:t>Wafula</w:t>
      </w:r>
      <w:proofErr w:type="spellEnd"/>
      <w:r>
        <w:t xml:space="preserve"> P.O., et al.</w:t>
      </w:r>
      <w:r w:rsidRPr="00475711">
        <w:t xml:space="preserve"> </w:t>
      </w:r>
      <w:r>
        <w:t>(2009)</w:t>
      </w:r>
      <w:r w:rsidRPr="00475711">
        <w:t xml:space="preserve"> </w:t>
      </w:r>
      <w:r>
        <w:t>PD</w:t>
      </w:r>
      <w:r>
        <w:noBreakHyphen/>
        <w:t>1 but not CTLA</w:t>
      </w:r>
      <w:r>
        <w:noBreakHyphen/>
        <w:t xml:space="preserve">4 blockage abrogates the protective effect of regulatory T cells in a pregnancy murine model. </w:t>
      </w:r>
      <w:r w:rsidRPr="00475711">
        <w:rPr>
          <w:i/>
        </w:rPr>
        <w:t xml:space="preserve">Am. J. </w:t>
      </w:r>
      <w:proofErr w:type="spellStart"/>
      <w:r w:rsidRPr="00475711">
        <w:rPr>
          <w:i/>
        </w:rPr>
        <w:t>Reprod</w:t>
      </w:r>
      <w:proofErr w:type="spellEnd"/>
      <w:r w:rsidRPr="00475711">
        <w:rPr>
          <w:i/>
        </w:rPr>
        <w:t xml:space="preserve">. </w:t>
      </w:r>
      <w:proofErr w:type="gramStart"/>
      <w:r w:rsidRPr="00475711">
        <w:rPr>
          <w:i/>
        </w:rPr>
        <w:t>Immunol.</w:t>
      </w:r>
      <w:proofErr w:type="gramEnd"/>
      <w:r>
        <w:t xml:space="preserve"> 62:</w:t>
      </w:r>
      <w:r w:rsidRPr="00521522">
        <w:rPr>
          <w:w w:val="50"/>
        </w:rPr>
        <w:t xml:space="preserve"> </w:t>
      </w:r>
      <w:r>
        <w:t>283–292.</w:t>
      </w:r>
    </w:p>
  </w:footnote>
  <w:footnote w:id="11">
    <w:p w14:paraId="049DC21D" w14:textId="77777777" w:rsidR="00BD7F12" w:rsidRPr="0016256C" w:rsidRDefault="00BD7F12">
      <w:pPr>
        <w:pStyle w:val="FootnoteText"/>
        <w:rPr>
          <w:lang w:val="en-US"/>
        </w:rPr>
      </w:pPr>
      <w:r>
        <w:rPr>
          <w:rStyle w:val="FootnoteReference"/>
        </w:rPr>
        <w:footnoteRef/>
      </w:r>
      <w:r>
        <w:t xml:space="preserve"> Pregnancy Category D is classified as </w:t>
      </w:r>
      <w:r w:rsidRPr="0016256C">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2">
    <w:p w14:paraId="332C8F01" w14:textId="77777777" w:rsidR="00BD7F12" w:rsidRPr="00927483" w:rsidRDefault="00BD7F12" w:rsidP="00294EAC">
      <w:pPr>
        <w:pStyle w:val="FootnoteText"/>
        <w:rPr>
          <w:lang w:val="en-US"/>
        </w:rPr>
      </w:pPr>
      <w:r>
        <w:rPr>
          <w:rStyle w:val="FootnoteReference"/>
        </w:rPr>
        <w:footnoteRef/>
      </w:r>
      <w:r>
        <w:rPr>
          <w:lang w:val="en-US"/>
        </w:rPr>
        <w:t xml:space="preserve"> </w:t>
      </w:r>
      <w:r w:rsidRPr="00927483">
        <w:t xml:space="preserve">Murphy GF, </w:t>
      </w:r>
      <w:r>
        <w:t>et al.</w:t>
      </w:r>
      <w:r w:rsidRPr="00927483">
        <w:t xml:space="preserve"> Pathological Basis of Disease. 7th ed. Philadelphia: Elsevier Saunders</w:t>
      </w:r>
      <w:r>
        <w:t>; 2005. Chapter 25, The Skin;</w:t>
      </w:r>
      <w:r w:rsidRPr="00927483">
        <w:t xml:space="preserve"> 1227-1271</w:t>
      </w:r>
    </w:p>
  </w:footnote>
  <w:footnote w:id="13">
    <w:p w14:paraId="4F76E33E" w14:textId="77777777" w:rsidR="00BD7F12" w:rsidRPr="00294EAC" w:rsidRDefault="00BD7F12">
      <w:pPr>
        <w:pStyle w:val="FootnoteText"/>
        <w:rPr>
          <w:lang w:val="en-US"/>
        </w:rPr>
      </w:pPr>
      <w:r>
        <w:rPr>
          <w:rStyle w:val="FootnoteReference"/>
        </w:rPr>
        <w:footnoteRef/>
      </w:r>
      <w:r>
        <w:t xml:space="preserve"> </w:t>
      </w:r>
      <w:proofErr w:type="spellStart"/>
      <w:r w:rsidRPr="00294EAC">
        <w:t>Iyer</w:t>
      </w:r>
      <w:proofErr w:type="spellEnd"/>
      <w:r w:rsidRPr="00294EAC">
        <w:t xml:space="preserve"> JG, et al. Response rates and durability of chemotherapy among 62 patients with metastatic Merkel cell carcinoma. </w:t>
      </w:r>
      <w:proofErr w:type="gramStart"/>
      <w:r w:rsidRPr="00212B36">
        <w:rPr>
          <w:i/>
        </w:rPr>
        <w:t>Cancer Med</w:t>
      </w:r>
      <w:r>
        <w:t>. 2016; 5</w:t>
      </w:r>
      <w:r w:rsidRPr="00294EAC">
        <w:t>: 2294-</w:t>
      </w:r>
      <w:r>
        <w:t>2</w:t>
      </w:r>
      <w:r w:rsidRPr="00294EAC">
        <w:t>301</w:t>
      </w:r>
      <w:r>
        <w:t>.</w:t>
      </w:r>
      <w:proofErr w:type="gramEnd"/>
    </w:p>
  </w:footnote>
  <w:footnote w:id="14">
    <w:p w14:paraId="1EF89F1C" w14:textId="77777777" w:rsidR="00BD7F12" w:rsidRPr="00294EAC" w:rsidRDefault="00BD7F12" w:rsidP="006C35DA">
      <w:pPr>
        <w:pStyle w:val="FootnoteText"/>
        <w:rPr>
          <w:lang w:val="en-US"/>
        </w:rPr>
      </w:pPr>
      <w:r>
        <w:rPr>
          <w:rStyle w:val="FootnoteReference"/>
        </w:rPr>
        <w:footnoteRef/>
      </w:r>
      <w:r>
        <w:t xml:space="preserve"> </w:t>
      </w:r>
      <w:r w:rsidRPr="00294EAC">
        <w:t xml:space="preserve">Harms KL, et al. Analysis of prognostic factors from 9387 Merkel cell carcinoma cases forms the basis of the new 8th Edition AJCC Staging System. </w:t>
      </w:r>
      <w:r w:rsidRPr="00212B36">
        <w:rPr>
          <w:i/>
        </w:rPr>
        <w:t xml:space="preserve">Ann </w:t>
      </w:r>
      <w:proofErr w:type="spellStart"/>
      <w:r w:rsidRPr="00212B36">
        <w:rPr>
          <w:i/>
        </w:rPr>
        <w:t>Surg</w:t>
      </w:r>
      <w:proofErr w:type="spellEnd"/>
      <w:r w:rsidRPr="00212B36">
        <w:rPr>
          <w:i/>
        </w:rPr>
        <w:t xml:space="preserve"> </w:t>
      </w:r>
      <w:proofErr w:type="spellStart"/>
      <w:r w:rsidRPr="00212B36">
        <w:rPr>
          <w:i/>
        </w:rPr>
        <w:t>Oncol</w:t>
      </w:r>
      <w:proofErr w:type="spellEnd"/>
      <w:r w:rsidRPr="00294EAC">
        <w:t xml:space="preserve"> 2016; DOI 10.1245/s10434-016-5266-4</w:t>
      </w:r>
    </w:p>
  </w:footnote>
  <w:footnote w:id="15">
    <w:p w14:paraId="42FCC9FE" w14:textId="77777777" w:rsidR="00BD7F12" w:rsidRPr="00294EAC" w:rsidRDefault="00BD7F12">
      <w:pPr>
        <w:pStyle w:val="FootnoteText"/>
        <w:rPr>
          <w:lang w:val="en-US"/>
        </w:rPr>
      </w:pPr>
      <w:r>
        <w:rPr>
          <w:rStyle w:val="FootnoteReference"/>
        </w:rPr>
        <w:footnoteRef/>
      </w:r>
      <w:r>
        <w:t xml:space="preserve"> </w:t>
      </w:r>
      <w:proofErr w:type="spellStart"/>
      <w:r w:rsidRPr="00294EAC">
        <w:t>Youlden</w:t>
      </w:r>
      <w:proofErr w:type="spellEnd"/>
      <w:r w:rsidRPr="00294EAC">
        <w:t xml:space="preserve"> DR, et al. Incidence and survival for Merkel cell carcinoma in Queensland, Australia, </w:t>
      </w:r>
      <w:proofErr w:type="gramStart"/>
      <w:r w:rsidRPr="00294EAC">
        <w:t>1993</w:t>
      </w:r>
      <w:proofErr w:type="gramEnd"/>
      <w:r w:rsidRPr="00294EAC">
        <w:t xml:space="preserve">-2010. </w:t>
      </w:r>
      <w:proofErr w:type="gramStart"/>
      <w:r w:rsidRPr="00212B36">
        <w:rPr>
          <w:i/>
        </w:rPr>
        <w:t>JAMA Dermatol</w:t>
      </w:r>
      <w:r>
        <w:t>.</w:t>
      </w:r>
      <w:proofErr w:type="gramEnd"/>
      <w:r>
        <w:t xml:space="preserve"> 2014; 150</w:t>
      </w:r>
      <w:r w:rsidRPr="00294EAC">
        <w:t>: 864-</w:t>
      </w:r>
      <w:r>
        <w:t>8</w:t>
      </w:r>
      <w:r w:rsidRPr="00294EAC">
        <w:t>72</w:t>
      </w:r>
    </w:p>
  </w:footnote>
  <w:footnote w:id="16">
    <w:p w14:paraId="76DDE06C" w14:textId="77777777" w:rsidR="00BD7F12" w:rsidRPr="00294EAC" w:rsidRDefault="00BD7F12">
      <w:pPr>
        <w:pStyle w:val="FootnoteText"/>
        <w:rPr>
          <w:lang w:val="en-US"/>
        </w:rPr>
      </w:pPr>
      <w:r>
        <w:rPr>
          <w:rStyle w:val="FootnoteReference"/>
        </w:rPr>
        <w:footnoteRef/>
      </w:r>
      <w:r>
        <w:t xml:space="preserve"> </w:t>
      </w:r>
      <w:proofErr w:type="spellStart"/>
      <w:r w:rsidRPr="00294EAC">
        <w:t>Girschik</w:t>
      </w:r>
      <w:proofErr w:type="spellEnd"/>
      <w:r w:rsidRPr="00294EAC">
        <w:t xml:space="preserve"> J, et al. Merkel cell carcinoma in Western Australia: a population-based study of incidence and survival</w:t>
      </w:r>
      <w:r w:rsidRPr="00212B36">
        <w:rPr>
          <w:i/>
        </w:rPr>
        <w:t xml:space="preserve">. </w:t>
      </w:r>
      <w:proofErr w:type="gramStart"/>
      <w:r w:rsidRPr="00212B36">
        <w:rPr>
          <w:i/>
        </w:rPr>
        <w:t>Br J Dermatol</w:t>
      </w:r>
      <w:r>
        <w:t>.</w:t>
      </w:r>
      <w:proofErr w:type="gramEnd"/>
      <w:r>
        <w:t xml:space="preserve"> 2011; 165</w:t>
      </w:r>
      <w:r w:rsidRPr="00294EAC">
        <w:t>: 1051-</w:t>
      </w:r>
      <w:r>
        <w:t>105</w:t>
      </w:r>
      <w:r w:rsidRPr="00294EAC">
        <w:t>7</w:t>
      </w:r>
    </w:p>
  </w:footnote>
  <w:footnote w:id="17">
    <w:p w14:paraId="38F7968E" w14:textId="77777777" w:rsidR="00BD7F12" w:rsidRPr="00294EAC" w:rsidRDefault="00BD7F12">
      <w:pPr>
        <w:pStyle w:val="FootnoteText"/>
        <w:rPr>
          <w:lang w:val="en-US"/>
        </w:rPr>
      </w:pPr>
      <w:r>
        <w:rPr>
          <w:rStyle w:val="FootnoteReference"/>
        </w:rPr>
        <w:footnoteRef/>
      </w:r>
      <w:r>
        <w:t xml:space="preserve"> </w:t>
      </w:r>
      <w:r w:rsidRPr="00BD555D">
        <w:t xml:space="preserve">National Comprehensive Cancer Network (NCCN). </w:t>
      </w:r>
      <w:proofErr w:type="gramStart"/>
      <w:r w:rsidRPr="00BD555D">
        <w:t>NCCN Clinical Practice Guidelines in Oncology – Merkel Cell C</w:t>
      </w:r>
      <w:r>
        <w:t>arcinoma.</w:t>
      </w:r>
      <w:proofErr w:type="gramEnd"/>
      <w:r>
        <w:t xml:space="preserve"> </w:t>
      </w:r>
      <w:proofErr w:type="gramStart"/>
      <w:r>
        <w:t>Version 1.2017.</w:t>
      </w:r>
      <w:proofErr w:type="gramEnd"/>
      <w:r>
        <w:t xml:space="preserve"> 2016.</w:t>
      </w:r>
    </w:p>
  </w:footnote>
  <w:footnote w:id="18">
    <w:p w14:paraId="0D57A13A" w14:textId="77777777" w:rsidR="00BD7F12" w:rsidRPr="00294EAC" w:rsidRDefault="00BD7F12">
      <w:pPr>
        <w:pStyle w:val="FootnoteText"/>
        <w:rPr>
          <w:lang w:val="en-US"/>
        </w:rPr>
      </w:pPr>
      <w:r>
        <w:rPr>
          <w:rStyle w:val="FootnoteReference"/>
        </w:rPr>
        <w:footnoteRef/>
      </w:r>
      <w:r>
        <w:t xml:space="preserve"> </w:t>
      </w:r>
      <w:proofErr w:type="spellStart"/>
      <w:proofErr w:type="gramStart"/>
      <w:r w:rsidRPr="00BD555D">
        <w:t>Lebbe</w:t>
      </w:r>
      <w:proofErr w:type="spellEnd"/>
      <w:r w:rsidRPr="00BD555D">
        <w:t xml:space="preserve"> C, et al. Diagnosis and treatment of Merkel Cell Carcinoma.</w:t>
      </w:r>
      <w:proofErr w:type="gramEnd"/>
      <w:r w:rsidRPr="00BD555D">
        <w:t xml:space="preserve"> </w:t>
      </w:r>
      <w:proofErr w:type="gramStart"/>
      <w:r w:rsidRPr="00BD555D">
        <w:t>European consensus-based interdisciplinary guideline.</w:t>
      </w:r>
      <w:proofErr w:type="gramEnd"/>
      <w:r w:rsidRPr="00BD555D">
        <w:t xml:space="preserve"> </w:t>
      </w:r>
      <w:proofErr w:type="spellStart"/>
      <w:r w:rsidRPr="00212B36">
        <w:rPr>
          <w:i/>
        </w:rPr>
        <w:t>Eur</w:t>
      </w:r>
      <w:proofErr w:type="spellEnd"/>
      <w:r w:rsidRPr="00212B36">
        <w:rPr>
          <w:i/>
        </w:rPr>
        <w:t xml:space="preserve"> J Cancer</w:t>
      </w:r>
      <w:r>
        <w:t>. 2015; 51</w:t>
      </w:r>
      <w:r w:rsidRPr="00BD555D">
        <w:t>: 2396-</w:t>
      </w:r>
      <w:r>
        <w:t>2</w:t>
      </w:r>
      <w:r w:rsidRPr="00BD555D">
        <w:t>403</w:t>
      </w:r>
    </w:p>
  </w:footnote>
  <w:footnote w:id="19">
    <w:p w14:paraId="75D0E72A" w14:textId="77777777" w:rsidR="00BD7F12" w:rsidRPr="00BD555D" w:rsidRDefault="00BD7F12">
      <w:pPr>
        <w:pStyle w:val="FootnoteText"/>
        <w:rPr>
          <w:lang w:val="en-US"/>
        </w:rPr>
      </w:pPr>
      <w:r>
        <w:rPr>
          <w:rStyle w:val="FootnoteReference"/>
        </w:rPr>
        <w:footnoteRef/>
      </w:r>
      <w:r>
        <w:t xml:space="preserve"> </w:t>
      </w:r>
      <w:proofErr w:type="spellStart"/>
      <w:r w:rsidRPr="002A2B37">
        <w:rPr>
          <w:lang w:eastAsia="ja-JP"/>
        </w:rPr>
        <w:t>Boussiotis</w:t>
      </w:r>
      <w:proofErr w:type="spellEnd"/>
      <w:r w:rsidRPr="002A2B37">
        <w:rPr>
          <w:lang w:eastAsia="ja-JP"/>
        </w:rPr>
        <w:t xml:space="preserve"> VA. </w:t>
      </w:r>
      <w:proofErr w:type="gramStart"/>
      <w:r w:rsidRPr="002A2B37">
        <w:rPr>
          <w:lang w:eastAsia="ja-JP"/>
        </w:rPr>
        <w:t>Molecular and Biochemical Aspects of the PD-1 Checkpoint Pathway.</w:t>
      </w:r>
      <w:proofErr w:type="gramEnd"/>
      <w:r w:rsidRPr="002A2B37">
        <w:rPr>
          <w:lang w:eastAsia="ja-JP"/>
        </w:rPr>
        <w:t xml:space="preserve"> </w:t>
      </w:r>
      <w:r w:rsidRPr="00212B36">
        <w:rPr>
          <w:i/>
          <w:lang w:eastAsia="ja-JP"/>
        </w:rPr>
        <w:t xml:space="preserve">N </w:t>
      </w:r>
      <w:proofErr w:type="spellStart"/>
      <w:r w:rsidRPr="00212B36">
        <w:rPr>
          <w:i/>
          <w:lang w:eastAsia="ja-JP"/>
        </w:rPr>
        <w:t>Engl</w:t>
      </w:r>
      <w:proofErr w:type="spellEnd"/>
      <w:r w:rsidRPr="00212B36">
        <w:rPr>
          <w:i/>
          <w:lang w:eastAsia="ja-JP"/>
        </w:rPr>
        <w:t xml:space="preserve"> J Med</w:t>
      </w:r>
      <w:r w:rsidRPr="002A2B37">
        <w:rPr>
          <w:lang w:eastAsia="ja-JP"/>
        </w:rPr>
        <w:t xml:space="preserve"> 2016; 375:1767-</w:t>
      </w:r>
      <w:r>
        <w:rPr>
          <w:lang w:eastAsia="ja-JP"/>
        </w:rPr>
        <w:t>17</w:t>
      </w:r>
      <w:r w:rsidRPr="002A2B37">
        <w:rPr>
          <w:lang w:eastAsia="ja-JP"/>
        </w:rPr>
        <w:t>78</w:t>
      </w:r>
    </w:p>
  </w:footnote>
  <w:footnote w:id="20">
    <w:p w14:paraId="6A411FD4" w14:textId="77777777" w:rsidR="00BD7F12" w:rsidRPr="00BD555D" w:rsidRDefault="00BD7F12">
      <w:pPr>
        <w:pStyle w:val="FootnoteText"/>
        <w:rPr>
          <w:lang w:val="en-US"/>
        </w:rPr>
      </w:pPr>
      <w:r>
        <w:rPr>
          <w:rStyle w:val="FootnoteReference"/>
        </w:rPr>
        <w:footnoteRef/>
      </w:r>
      <w:r>
        <w:t xml:space="preserve"> </w:t>
      </w:r>
      <w:r w:rsidRPr="00BD555D">
        <w:t xml:space="preserve">Lipson EJ, et al. PD-L1 expression in the Merkel cell carcinoma microenvironment: association with inflammation, Merkel cell polyomavirus and overall survival. </w:t>
      </w:r>
      <w:r w:rsidRPr="00212B36">
        <w:rPr>
          <w:i/>
        </w:rPr>
        <w:t>Cancer Immunol Res</w:t>
      </w:r>
      <w:r>
        <w:t>. 2013; 1</w:t>
      </w:r>
      <w:r w:rsidRPr="00BD555D">
        <w:t>: 54-63</w:t>
      </w:r>
    </w:p>
  </w:footnote>
  <w:footnote w:id="21">
    <w:p w14:paraId="5F6F05AB" w14:textId="77777777" w:rsidR="00BD7F12" w:rsidRPr="00BD555D" w:rsidRDefault="00BD7F12">
      <w:pPr>
        <w:pStyle w:val="FootnoteText"/>
        <w:rPr>
          <w:lang w:val="en-US"/>
        </w:rPr>
      </w:pPr>
      <w:r>
        <w:rPr>
          <w:rStyle w:val="FootnoteReference"/>
        </w:rPr>
        <w:footnoteRef/>
      </w:r>
      <w:r>
        <w:t xml:space="preserve"> </w:t>
      </w:r>
      <w:r w:rsidRPr="00BD555D">
        <w:t xml:space="preserve">Nghiem PT, et al. PD-1 Blockade with Pembrolizumab in Advanced Merkel-Cell Carcinoma. </w:t>
      </w:r>
      <w:r w:rsidRPr="00212B36">
        <w:rPr>
          <w:i/>
        </w:rPr>
        <w:t xml:space="preserve">N </w:t>
      </w:r>
      <w:proofErr w:type="spellStart"/>
      <w:r w:rsidRPr="00212B36">
        <w:rPr>
          <w:i/>
        </w:rPr>
        <w:t>Engl</w:t>
      </w:r>
      <w:proofErr w:type="spellEnd"/>
      <w:r w:rsidRPr="00212B36">
        <w:rPr>
          <w:i/>
        </w:rPr>
        <w:t xml:space="preserve"> J Med</w:t>
      </w:r>
      <w:r>
        <w:t>. 2016; 374</w:t>
      </w:r>
      <w:r w:rsidRPr="00BD555D">
        <w:t>: 2542-</w:t>
      </w:r>
      <w:r>
        <w:t>25</w:t>
      </w:r>
      <w:r w:rsidRPr="00BD555D">
        <w:t>52</w:t>
      </w:r>
    </w:p>
  </w:footnote>
  <w:footnote w:id="22">
    <w:p w14:paraId="4139626A" w14:textId="77777777" w:rsidR="00BD7F12" w:rsidRPr="00BD555D" w:rsidRDefault="00BD7F12">
      <w:pPr>
        <w:pStyle w:val="FootnoteText"/>
        <w:rPr>
          <w:lang w:val="en-US"/>
        </w:rPr>
      </w:pPr>
      <w:r>
        <w:rPr>
          <w:rStyle w:val="FootnoteReference"/>
        </w:rPr>
        <w:footnoteRef/>
      </w:r>
      <w:r>
        <w:t xml:space="preserve"> </w:t>
      </w:r>
      <w:proofErr w:type="gramStart"/>
      <w:r w:rsidRPr="00BD555D">
        <w:t>European Medicines Agency.</w:t>
      </w:r>
      <w:proofErr w:type="gramEnd"/>
      <w:r w:rsidRPr="00BD555D">
        <w:t xml:space="preserve"> </w:t>
      </w:r>
      <w:proofErr w:type="gramStart"/>
      <w:r w:rsidRPr="00BD555D">
        <w:t>Guideline on the evaluation of anticancer medicinal products in man.</w:t>
      </w:r>
      <w:proofErr w:type="gramEnd"/>
      <w:r w:rsidRPr="00BD555D">
        <w:t xml:space="preserve"> EMA/CHMP/205/95/Rev.4; (2012). Available from: </w:t>
      </w:r>
      <w:r w:rsidRPr="00A63E68">
        <w:t>http://www.tga.gov.au/clinical-efficacy-and-safety-guidelines</w:t>
      </w:r>
      <w:r>
        <w:rPr>
          <w:lang w:val="en-US"/>
        </w:rPr>
        <w:t>.</w:t>
      </w:r>
    </w:p>
  </w:footnote>
  <w:footnote w:id="23">
    <w:p w14:paraId="5181488F" w14:textId="77777777" w:rsidR="00BD7F12" w:rsidRPr="00BD555D" w:rsidRDefault="00BD7F12">
      <w:pPr>
        <w:pStyle w:val="FootnoteText"/>
        <w:rPr>
          <w:lang w:val="en-US"/>
        </w:rPr>
      </w:pPr>
      <w:r>
        <w:rPr>
          <w:rStyle w:val="FootnoteReference"/>
        </w:rPr>
        <w:footnoteRef/>
      </w:r>
      <w:r>
        <w:t xml:space="preserve"> </w:t>
      </w:r>
      <w:proofErr w:type="gramStart"/>
      <w:r w:rsidRPr="00BD555D">
        <w:t>European Medicines Agency.</w:t>
      </w:r>
      <w:proofErr w:type="gramEnd"/>
      <w:r w:rsidRPr="00BD555D">
        <w:t xml:space="preserve">  </w:t>
      </w:r>
      <w:proofErr w:type="gramStart"/>
      <w:r w:rsidRPr="00BD555D">
        <w:t>Points to consider on application with 1.</w:t>
      </w:r>
      <w:proofErr w:type="gramEnd"/>
      <w:r w:rsidRPr="00BD555D">
        <w:t xml:space="preserve"> </w:t>
      </w:r>
      <w:proofErr w:type="gramStart"/>
      <w:r w:rsidRPr="00BD555D">
        <w:t>Meta-analyses; 2.</w:t>
      </w:r>
      <w:proofErr w:type="gramEnd"/>
      <w:r w:rsidRPr="00BD555D">
        <w:t xml:space="preserve"> </w:t>
      </w:r>
      <w:proofErr w:type="gramStart"/>
      <w:r w:rsidRPr="00BD555D">
        <w:t>One pivotal study; CPMP/EWP/2330/99 (2001).</w:t>
      </w:r>
      <w:proofErr w:type="gramEnd"/>
      <w:r w:rsidRPr="00BD555D">
        <w:t xml:space="preserve"> Available from: </w:t>
      </w:r>
      <w:r w:rsidRPr="00A63E68">
        <w:t>http://www.tga.gov.au/clinical-efficacy-and-safety-guidelines</w:t>
      </w:r>
      <w:r>
        <w:rPr>
          <w:lang w:val="en-US"/>
        </w:rPr>
        <w:t>.</w:t>
      </w:r>
    </w:p>
  </w:footnote>
  <w:footnote w:id="24">
    <w:p w14:paraId="67C97DCC" w14:textId="77777777" w:rsidR="00BD7F12" w:rsidRDefault="00BD7F12"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37EBF1DF" w14:textId="77777777" w:rsidR="00BD7F12" w:rsidRDefault="00BD7F12" w:rsidP="00456765">
      <w:pPr>
        <w:pStyle w:val="FootnoteText"/>
      </w:pPr>
      <w:r w:rsidRPr="00F12492">
        <w:rPr>
          <w:i/>
        </w:rPr>
        <w:t>Routine pharmacovigilance</w:t>
      </w:r>
      <w:r>
        <w:t xml:space="preserve"> practices involve the following activities:</w:t>
      </w:r>
    </w:p>
    <w:p w14:paraId="71AACE07" w14:textId="77777777" w:rsidR="00BD7F12" w:rsidRDefault="00BD7F12" w:rsidP="00456765">
      <w:pPr>
        <w:pStyle w:val="FootnoteText"/>
        <w:numPr>
          <w:ilvl w:val="0"/>
          <w:numId w:val="28"/>
        </w:numPr>
      </w:pPr>
      <w:r>
        <w:t>All suspected adverse reactions that are reported to the personnel of the company are collected and collated in an accessible manner;</w:t>
      </w:r>
    </w:p>
    <w:p w14:paraId="40AED077" w14:textId="77777777" w:rsidR="00BD7F12" w:rsidRDefault="00BD7F12" w:rsidP="00456765">
      <w:pPr>
        <w:pStyle w:val="FootnoteText"/>
        <w:numPr>
          <w:ilvl w:val="0"/>
          <w:numId w:val="28"/>
        </w:numPr>
      </w:pPr>
      <w:r>
        <w:t>Reporting to regulatory authorities;</w:t>
      </w:r>
    </w:p>
    <w:p w14:paraId="0D802AB1" w14:textId="77777777" w:rsidR="00BD7F12" w:rsidRDefault="00BD7F12" w:rsidP="00456765">
      <w:pPr>
        <w:pStyle w:val="FootnoteText"/>
        <w:numPr>
          <w:ilvl w:val="0"/>
          <w:numId w:val="28"/>
        </w:numPr>
      </w:pPr>
      <w:r>
        <w:t xml:space="preserve">Continuous monitoring of the safety profiles of approved products including signal detection and updating of </w:t>
      </w:r>
      <w:proofErr w:type="spellStart"/>
      <w:r>
        <w:t>labeling</w:t>
      </w:r>
      <w:proofErr w:type="spellEnd"/>
      <w:r>
        <w:t>;</w:t>
      </w:r>
    </w:p>
    <w:p w14:paraId="08F28A64" w14:textId="77777777" w:rsidR="00BD7F12" w:rsidRDefault="00BD7F12" w:rsidP="00456765">
      <w:pPr>
        <w:pStyle w:val="FootnoteText"/>
        <w:numPr>
          <w:ilvl w:val="0"/>
          <w:numId w:val="28"/>
        </w:numPr>
      </w:pPr>
      <w:r>
        <w:t>Submission of PSURs;</w:t>
      </w:r>
    </w:p>
    <w:p w14:paraId="5BB3D9BF" w14:textId="77777777" w:rsidR="00BD7F12" w:rsidRPr="00F12492" w:rsidRDefault="00BD7F12" w:rsidP="00456765">
      <w:pPr>
        <w:pStyle w:val="FootnoteText"/>
        <w:numPr>
          <w:ilvl w:val="0"/>
          <w:numId w:val="28"/>
        </w:numPr>
        <w:rPr>
          <w:lang w:val="en-US"/>
        </w:rPr>
      </w:pPr>
      <w:r>
        <w:t>Meeting other local regulatory agency requirements.</w:t>
      </w:r>
    </w:p>
  </w:footnote>
  <w:footnote w:id="25">
    <w:p w14:paraId="1DB54FCD" w14:textId="77777777" w:rsidR="00BD7F12" w:rsidRPr="00CE012A" w:rsidRDefault="00BD7F12">
      <w:pPr>
        <w:pStyle w:val="FootnoteText"/>
        <w:rPr>
          <w:lang w:val="en-US"/>
        </w:rPr>
      </w:pPr>
      <w:r>
        <w:rPr>
          <w:rStyle w:val="FootnoteReference"/>
        </w:rPr>
        <w:footnoteRef/>
      </w:r>
      <w:r>
        <w:t xml:space="preserve"> RECIST: Response evaluation criteria in solid tumours</w:t>
      </w:r>
    </w:p>
  </w:footnote>
  <w:footnote w:id="26">
    <w:p w14:paraId="4FC33607" w14:textId="77777777" w:rsidR="00BD7F12" w:rsidRPr="005811FF" w:rsidRDefault="00BD7F12">
      <w:pPr>
        <w:pStyle w:val="FootnoteText"/>
        <w:rPr>
          <w:lang w:val="en-US"/>
        </w:rPr>
      </w:pPr>
      <w:r>
        <w:rPr>
          <w:rStyle w:val="FootnoteReference"/>
        </w:rPr>
        <w:footnoteRef/>
      </w:r>
      <w:r>
        <w:t xml:space="preserve"> </w:t>
      </w:r>
      <w:r w:rsidRPr="00BE121F">
        <w:t>Kaufman HL et al</w:t>
      </w:r>
      <w:r>
        <w:t xml:space="preserve"> </w:t>
      </w:r>
      <w:r w:rsidRPr="00BE121F">
        <w:t>Avelumab in patient</w:t>
      </w:r>
      <w:r>
        <w:t xml:space="preserve">s with chemotherapy-refractory </w:t>
      </w:r>
      <w:r w:rsidRPr="00BE121F">
        <w:t xml:space="preserve">metastatic Merkel cell carcinoma: a multicentre, single-group, open-label, </w:t>
      </w:r>
      <w:r>
        <w:t>Phase II</w:t>
      </w:r>
      <w:r w:rsidRPr="00BE121F">
        <w:t xml:space="preserve"> trial. </w:t>
      </w:r>
      <w:r w:rsidRPr="005811FF">
        <w:rPr>
          <w:i/>
        </w:rPr>
        <w:t>Lancet Oncol</w:t>
      </w:r>
      <w:r w:rsidRPr="00BE121F">
        <w:t xml:space="preserve"> 2016; 17: 1374–</w:t>
      </w:r>
      <w:r>
        <w:t>13</w:t>
      </w:r>
      <w:r w:rsidRPr="00BE121F">
        <w:t>85.</w:t>
      </w:r>
    </w:p>
  </w:footnote>
  <w:footnote w:id="27">
    <w:p w14:paraId="0EFC7A1F" w14:textId="77777777" w:rsidR="00BD7F12" w:rsidRDefault="00BD7F12"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6E5A6FF" w14:textId="77777777" w:rsidR="00BD7F12" w:rsidRPr="00456765" w:rsidRDefault="00BD7F12"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2E0B9" w14:textId="77777777" w:rsidR="00BD7F12" w:rsidRDefault="00BD7F1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37A54" w14:textId="77777777" w:rsidR="00BD7F12" w:rsidRDefault="00BD7F12">
    <w:pPr>
      <w:rPr>
        <w:noProof/>
        <w:lang w:eastAsia="en-AU"/>
      </w:rPr>
    </w:pPr>
    <w:r w:rsidRPr="00347824">
      <w:rPr>
        <w:noProof/>
        <w:lang w:eastAsia="en-AU"/>
      </w:rPr>
      <w:drawing>
        <wp:anchor distT="0" distB="0" distL="114300" distR="114300" simplePos="0" relativeHeight="251659264" behindDoc="1" locked="0" layoutInCell="1" allowOverlap="1" wp14:anchorId="2BD69541" wp14:editId="6228AD36">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718DA09" w14:textId="77777777" w:rsidR="00BD7F12" w:rsidRDefault="00BD7F12" w:rsidP="00593AD1">
    <w:pPr>
      <w:pStyle w:val="HeaderNoLine"/>
    </w:pPr>
    <w:r>
      <w:rPr>
        <w:noProof/>
        <w:lang w:eastAsia="en-AU"/>
      </w:rPr>
      <w:drawing>
        <wp:inline distT="0" distB="0" distL="0" distR="0" wp14:anchorId="4D89DF36" wp14:editId="3D44F85A">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EAA5" w14:textId="77777777" w:rsidR="00BD7F12" w:rsidRDefault="00BD7F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9808A" w14:textId="77777777" w:rsidR="00BD7F12" w:rsidRDefault="00BD7F1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B0740" w14:textId="77777777" w:rsidR="00BD7F12" w:rsidRDefault="00BD7F1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39099" w14:textId="77777777" w:rsidR="00BD7F12" w:rsidRDefault="00BD7F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173B4" w14:textId="77777777" w:rsidR="00BD7F12" w:rsidRDefault="00BD7F1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DD35" w14:textId="77777777" w:rsidR="00BD7F12" w:rsidRDefault="00BD7F12" w:rsidP="006E08B3">
    <w:r>
      <w:t>Therapeutic Goods Administration</w:t>
    </w:r>
  </w:p>
  <w:p w14:paraId="6135F55F" w14:textId="77777777" w:rsidR="00BD7F12" w:rsidRDefault="00BD7F1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CCC5AC4"/>
    <w:lvl w:ilvl="0">
      <w:start w:val="1"/>
      <w:numFmt w:val="lowerRoman"/>
      <w:pStyle w:val="ListNumber2"/>
      <w:lvlText w:val="(%1)"/>
      <w:lvlJc w:val="left"/>
      <w:pPr>
        <w:ind w:left="720" w:hanging="360"/>
      </w:pPr>
      <w:rPr>
        <w:rFonts w:hint="default"/>
      </w:rPr>
    </w:lvl>
  </w:abstractNum>
  <w:abstractNum w:abstractNumId="1">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B8320B0A"/>
    <w:lvl w:ilvl="0">
      <w:numFmt w:val="bullet"/>
      <w:lvlText w:val="*"/>
      <w:lvlJc w:val="left"/>
    </w:lvl>
  </w:abstractNum>
  <w:abstractNum w:abstractNumId="5">
    <w:nsid w:val="0AF637B2"/>
    <w:multiLevelType w:val="hybridMultilevel"/>
    <w:tmpl w:val="CB7E22C6"/>
    <w:lvl w:ilvl="0" w:tplc="6C6E1760">
      <w:start w:val="1"/>
      <w:numFmt w:val="decimal"/>
      <w:lvlText w:val="%1)"/>
      <w:lvlJc w:val="left"/>
      <w:pPr>
        <w:ind w:left="360" w:hanging="360"/>
      </w:pPr>
      <w:rPr>
        <w:rFonts w:ascii="Cambria" w:eastAsiaTheme="minorHAnsi" w:hAnsi="Cambria" w:cs="Calibri"/>
      </w:rPr>
    </w:lvl>
    <w:lvl w:ilvl="1" w:tplc="6D3C0D12">
      <w:start w:val="1"/>
      <w:numFmt w:val="lowerLetter"/>
      <w:pStyle w:val="List"/>
      <w:lvlText w:val="%2."/>
      <w:lvlJc w:val="left"/>
      <w:pPr>
        <w:ind w:left="108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F090693A"/>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69466BC"/>
    <w:multiLevelType w:val="hybridMultilevel"/>
    <w:tmpl w:val="AD2E5B7C"/>
    <w:lvl w:ilvl="0" w:tplc="04090001">
      <w:start w:val="1"/>
      <w:numFmt w:val="bullet"/>
      <w:lvlText w:val=""/>
      <w:lvlJc w:val="left"/>
      <w:pPr>
        <w:ind w:left="720" w:hanging="360"/>
      </w:pPr>
      <w:rPr>
        <w:rFonts w:ascii="Symbol" w:hAnsi="Symbol" w:hint="default"/>
      </w:rPr>
    </w:lvl>
    <w:lvl w:ilvl="1" w:tplc="D3142EF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E8023C"/>
    <w:multiLevelType w:val="hybridMultilevel"/>
    <w:tmpl w:val="AE4AC182"/>
    <w:lvl w:ilvl="0" w:tplc="1FD22C02">
      <w:start w:val="1"/>
      <w:numFmt w:val="lowerRoman"/>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A584EC7"/>
    <w:multiLevelType w:val="hybridMultilevel"/>
    <w:tmpl w:val="020C0658"/>
    <w:lvl w:ilvl="0" w:tplc="D3142EF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3734B2"/>
    <w:multiLevelType w:val="hybridMultilevel"/>
    <w:tmpl w:val="C62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9A4E56"/>
    <w:multiLevelType w:val="hybridMultilevel"/>
    <w:tmpl w:val="E956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DF7EE6"/>
    <w:multiLevelType w:val="hybridMultilevel"/>
    <w:tmpl w:val="B9EC1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7381F4D"/>
    <w:multiLevelType w:val="hybridMultilevel"/>
    <w:tmpl w:val="DB2E338A"/>
    <w:lvl w:ilvl="0" w:tplc="94B09256">
      <w:start w:val="1"/>
      <w:numFmt w:val="decimal"/>
      <w:pStyle w:val="ListNumber"/>
      <w:lvlText w:val="%1."/>
      <w:lvlJc w:val="left"/>
      <w:pPr>
        <w:ind w:left="72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8"/>
  </w:num>
  <w:num w:numId="4">
    <w:abstractNumId w:val="8"/>
  </w:num>
  <w:num w:numId="5">
    <w:abstractNumId w:val="1"/>
  </w:num>
  <w:num w:numId="6">
    <w:abstractNumId w:val="8"/>
  </w:num>
  <w:num w:numId="7">
    <w:abstractNumId w:val="8"/>
  </w:num>
  <w:num w:numId="8">
    <w:abstractNumId w:val="7"/>
  </w:num>
  <w:num w:numId="9">
    <w:abstractNumId w:val="7"/>
  </w:num>
  <w:num w:numId="10">
    <w:abstractNumId w:val="7"/>
  </w:num>
  <w:num w:numId="11">
    <w:abstractNumId w:val="7"/>
  </w:num>
  <w:num w:numId="12">
    <w:abstractNumId w:val="4"/>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0"/>
  </w:num>
  <w:num w:numId="29">
    <w:abstractNumId w:val="12"/>
  </w:num>
  <w:num w:numId="30">
    <w:abstractNumId w:val="9"/>
  </w:num>
  <w:num w:numId="31">
    <w:abstractNumId w:val="11"/>
  </w:num>
  <w:num w:numId="32">
    <w:abstractNumId w:val="19"/>
  </w:num>
  <w:num w:numId="33">
    <w:abstractNumId w:val="1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0"/>
  </w:num>
  <w:num w:numId="37">
    <w:abstractNumId w:val="5"/>
  </w:num>
  <w:num w:numId="38">
    <w:abstractNumId w:val="17"/>
  </w:num>
  <w:num w:numId="39">
    <w:abstractNumId w:val="10"/>
  </w:num>
  <w:num w:numId="40">
    <w:abstractNumId w:val="13"/>
  </w:num>
  <w:num w:numId="41">
    <w:abstractNumId w:val="6"/>
  </w:num>
  <w:num w:numId="42">
    <w:abstractNumId w:val="14"/>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604"/>
    <w:rsid w:val="00002031"/>
    <w:rsid w:val="000020B0"/>
    <w:rsid w:val="00004734"/>
    <w:rsid w:val="00006B22"/>
    <w:rsid w:val="0001276A"/>
    <w:rsid w:val="000246AE"/>
    <w:rsid w:val="00025C67"/>
    <w:rsid w:val="00044772"/>
    <w:rsid w:val="00045921"/>
    <w:rsid w:val="0005559E"/>
    <w:rsid w:val="000604D6"/>
    <w:rsid w:val="0006071F"/>
    <w:rsid w:val="000734D8"/>
    <w:rsid w:val="00075827"/>
    <w:rsid w:val="00077775"/>
    <w:rsid w:val="00090471"/>
    <w:rsid w:val="00092CD0"/>
    <w:rsid w:val="00092F68"/>
    <w:rsid w:val="00096AA7"/>
    <w:rsid w:val="000A3AED"/>
    <w:rsid w:val="000B3532"/>
    <w:rsid w:val="000B3A75"/>
    <w:rsid w:val="000C00C2"/>
    <w:rsid w:val="000C690F"/>
    <w:rsid w:val="000D1295"/>
    <w:rsid w:val="000D391B"/>
    <w:rsid w:val="000D3D6D"/>
    <w:rsid w:val="000D4FC7"/>
    <w:rsid w:val="000E4114"/>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33F37"/>
    <w:rsid w:val="0014197B"/>
    <w:rsid w:val="001447CD"/>
    <w:rsid w:val="001516B1"/>
    <w:rsid w:val="00154EBB"/>
    <w:rsid w:val="00156316"/>
    <w:rsid w:val="00161181"/>
    <w:rsid w:val="0016256C"/>
    <w:rsid w:val="00162D14"/>
    <w:rsid w:val="00163780"/>
    <w:rsid w:val="00165389"/>
    <w:rsid w:val="0017693F"/>
    <w:rsid w:val="0018110E"/>
    <w:rsid w:val="00181684"/>
    <w:rsid w:val="001843C6"/>
    <w:rsid w:val="001850E0"/>
    <w:rsid w:val="001A2158"/>
    <w:rsid w:val="001A4B5C"/>
    <w:rsid w:val="001A525F"/>
    <w:rsid w:val="001B09F9"/>
    <w:rsid w:val="001B5C90"/>
    <w:rsid w:val="001B6448"/>
    <w:rsid w:val="001C32CD"/>
    <w:rsid w:val="001D2984"/>
    <w:rsid w:val="001E07CF"/>
    <w:rsid w:val="001E3882"/>
    <w:rsid w:val="001E59F1"/>
    <w:rsid w:val="001F2CEE"/>
    <w:rsid w:val="001F49EB"/>
    <w:rsid w:val="001F6297"/>
    <w:rsid w:val="001F6CBA"/>
    <w:rsid w:val="00201D4E"/>
    <w:rsid w:val="0020460B"/>
    <w:rsid w:val="002076C9"/>
    <w:rsid w:val="00212B36"/>
    <w:rsid w:val="00212F4B"/>
    <w:rsid w:val="00220B8A"/>
    <w:rsid w:val="002257F3"/>
    <w:rsid w:val="00233456"/>
    <w:rsid w:val="002339A5"/>
    <w:rsid w:val="00256946"/>
    <w:rsid w:val="00257848"/>
    <w:rsid w:val="0027084A"/>
    <w:rsid w:val="00273D46"/>
    <w:rsid w:val="0027724D"/>
    <w:rsid w:val="00286434"/>
    <w:rsid w:val="00286C59"/>
    <w:rsid w:val="00291957"/>
    <w:rsid w:val="002942D1"/>
    <w:rsid w:val="00294EAC"/>
    <w:rsid w:val="0029501A"/>
    <w:rsid w:val="002A3721"/>
    <w:rsid w:val="002B1638"/>
    <w:rsid w:val="002B3624"/>
    <w:rsid w:val="002D0952"/>
    <w:rsid w:val="002E1F19"/>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70CE3"/>
    <w:rsid w:val="003728F3"/>
    <w:rsid w:val="003735BC"/>
    <w:rsid w:val="0037496E"/>
    <w:rsid w:val="00376174"/>
    <w:rsid w:val="00383221"/>
    <w:rsid w:val="00386150"/>
    <w:rsid w:val="003874CE"/>
    <w:rsid w:val="00390900"/>
    <w:rsid w:val="003A4B14"/>
    <w:rsid w:val="003A7F6C"/>
    <w:rsid w:val="003B4D60"/>
    <w:rsid w:val="003B7E39"/>
    <w:rsid w:val="003C58DC"/>
    <w:rsid w:val="003D1E62"/>
    <w:rsid w:val="003E04E9"/>
    <w:rsid w:val="003E0B99"/>
    <w:rsid w:val="003E2486"/>
    <w:rsid w:val="003E3208"/>
    <w:rsid w:val="003E460F"/>
    <w:rsid w:val="003F0B04"/>
    <w:rsid w:val="003F1796"/>
    <w:rsid w:val="0040010F"/>
    <w:rsid w:val="0040134E"/>
    <w:rsid w:val="004334C7"/>
    <w:rsid w:val="00440A2D"/>
    <w:rsid w:val="00441C3F"/>
    <w:rsid w:val="004564A7"/>
    <w:rsid w:val="00456765"/>
    <w:rsid w:val="004617BF"/>
    <w:rsid w:val="00463658"/>
    <w:rsid w:val="004637A0"/>
    <w:rsid w:val="004722CC"/>
    <w:rsid w:val="004871FC"/>
    <w:rsid w:val="004936E4"/>
    <w:rsid w:val="00494E60"/>
    <w:rsid w:val="00497487"/>
    <w:rsid w:val="004A25E4"/>
    <w:rsid w:val="004A6189"/>
    <w:rsid w:val="004A7390"/>
    <w:rsid w:val="004B7B76"/>
    <w:rsid w:val="004C239D"/>
    <w:rsid w:val="004C2DCA"/>
    <w:rsid w:val="004C61D2"/>
    <w:rsid w:val="004E315F"/>
    <w:rsid w:val="004E65B9"/>
    <w:rsid w:val="004F0C4A"/>
    <w:rsid w:val="004F0F38"/>
    <w:rsid w:val="004F47D6"/>
    <w:rsid w:val="00500337"/>
    <w:rsid w:val="00501921"/>
    <w:rsid w:val="005049BA"/>
    <w:rsid w:val="005147C8"/>
    <w:rsid w:val="00523BCF"/>
    <w:rsid w:val="00530354"/>
    <w:rsid w:val="0053625B"/>
    <w:rsid w:val="005434C6"/>
    <w:rsid w:val="00543B39"/>
    <w:rsid w:val="00546154"/>
    <w:rsid w:val="00550096"/>
    <w:rsid w:val="00555194"/>
    <w:rsid w:val="00555280"/>
    <w:rsid w:val="00556964"/>
    <w:rsid w:val="00557E41"/>
    <w:rsid w:val="00557FF9"/>
    <w:rsid w:val="00562327"/>
    <w:rsid w:val="005711D5"/>
    <w:rsid w:val="00576378"/>
    <w:rsid w:val="00577130"/>
    <w:rsid w:val="00577945"/>
    <w:rsid w:val="00577E38"/>
    <w:rsid w:val="005811FF"/>
    <w:rsid w:val="00585322"/>
    <w:rsid w:val="005857C6"/>
    <w:rsid w:val="00592F6E"/>
    <w:rsid w:val="00593A0E"/>
    <w:rsid w:val="00593AD1"/>
    <w:rsid w:val="005A68B6"/>
    <w:rsid w:val="005C5570"/>
    <w:rsid w:val="005C79A4"/>
    <w:rsid w:val="005C7BB4"/>
    <w:rsid w:val="005D5442"/>
    <w:rsid w:val="005E07F5"/>
    <w:rsid w:val="005E1E9B"/>
    <w:rsid w:val="00603F32"/>
    <w:rsid w:val="00605AD4"/>
    <w:rsid w:val="006136D7"/>
    <w:rsid w:val="006163C0"/>
    <w:rsid w:val="00625A6E"/>
    <w:rsid w:val="0063228A"/>
    <w:rsid w:val="00632398"/>
    <w:rsid w:val="00640FC3"/>
    <w:rsid w:val="00642020"/>
    <w:rsid w:val="0065337B"/>
    <w:rsid w:val="0065419D"/>
    <w:rsid w:val="00655338"/>
    <w:rsid w:val="006603BC"/>
    <w:rsid w:val="006604D8"/>
    <w:rsid w:val="00664A5B"/>
    <w:rsid w:val="0066735C"/>
    <w:rsid w:val="006703EC"/>
    <w:rsid w:val="006763D2"/>
    <w:rsid w:val="0068094B"/>
    <w:rsid w:val="00680C08"/>
    <w:rsid w:val="00685885"/>
    <w:rsid w:val="006916A0"/>
    <w:rsid w:val="00692890"/>
    <w:rsid w:val="006931B1"/>
    <w:rsid w:val="006A15C0"/>
    <w:rsid w:val="006C35DA"/>
    <w:rsid w:val="006C3E2A"/>
    <w:rsid w:val="006C642F"/>
    <w:rsid w:val="006D03E5"/>
    <w:rsid w:val="006D5D3E"/>
    <w:rsid w:val="006E08B3"/>
    <w:rsid w:val="006F17AC"/>
    <w:rsid w:val="006F25B8"/>
    <w:rsid w:val="006F4C51"/>
    <w:rsid w:val="006F572E"/>
    <w:rsid w:val="007046D6"/>
    <w:rsid w:val="00705DB0"/>
    <w:rsid w:val="00722B57"/>
    <w:rsid w:val="0072513E"/>
    <w:rsid w:val="00730F8A"/>
    <w:rsid w:val="00735A8C"/>
    <w:rsid w:val="0074253D"/>
    <w:rsid w:val="0074429B"/>
    <w:rsid w:val="00757F90"/>
    <w:rsid w:val="007615BC"/>
    <w:rsid w:val="00762F05"/>
    <w:rsid w:val="007652FF"/>
    <w:rsid w:val="00770CAC"/>
    <w:rsid w:val="00770EF1"/>
    <w:rsid w:val="00773AC2"/>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6B9B"/>
    <w:rsid w:val="00805D27"/>
    <w:rsid w:val="00806DCB"/>
    <w:rsid w:val="00814B8C"/>
    <w:rsid w:val="00821776"/>
    <w:rsid w:val="008321F5"/>
    <w:rsid w:val="00832369"/>
    <w:rsid w:val="00834660"/>
    <w:rsid w:val="00836BC2"/>
    <w:rsid w:val="008421D9"/>
    <w:rsid w:val="0085156D"/>
    <w:rsid w:val="00852B28"/>
    <w:rsid w:val="0085641B"/>
    <w:rsid w:val="00857136"/>
    <w:rsid w:val="00861FD9"/>
    <w:rsid w:val="0086289D"/>
    <w:rsid w:val="008730C4"/>
    <w:rsid w:val="00875A6B"/>
    <w:rsid w:val="00880F96"/>
    <w:rsid w:val="00885B11"/>
    <w:rsid w:val="00885F05"/>
    <w:rsid w:val="00886D15"/>
    <w:rsid w:val="00887DD8"/>
    <w:rsid w:val="00891BA9"/>
    <w:rsid w:val="00896018"/>
    <w:rsid w:val="008960DD"/>
    <w:rsid w:val="0089635C"/>
    <w:rsid w:val="008A2B9D"/>
    <w:rsid w:val="008A3D9F"/>
    <w:rsid w:val="008A5060"/>
    <w:rsid w:val="008A5E0B"/>
    <w:rsid w:val="008A6D59"/>
    <w:rsid w:val="008B1356"/>
    <w:rsid w:val="008B4B03"/>
    <w:rsid w:val="008B596F"/>
    <w:rsid w:val="008C159F"/>
    <w:rsid w:val="008C1623"/>
    <w:rsid w:val="008C1850"/>
    <w:rsid w:val="008C4529"/>
    <w:rsid w:val="008C51A9"/>
    <w:rsid w:val="008E7846"/>
    <w:rsid w:val="008F02E5"/>
    <w:rsid w:val="008F1CCC"/>
    <w:rsid w:val="008F2967"/>
    <w:rsid w:val="008F4269"/>
    <w:rsid w:val="008F6943"/>
    <w:rsid w:val="00902A21"/>
    <w:rsid w:val="00907760"/>
    <w:rsid w:val="00914E4E"/>
    <w:rsid w:val="0091523F"/>
    <w:rsid w:val="00920330"/>
    <w:rsid w:val="009219D7"/>
    <w:rsid w:val="00922D53"/>
    <w:rsid w:val="00923B70"/>
    <w:rsid w:val="00924482"/>
    <w:rsid w:val="00927483"/>
    <w:rsid w:val="00930237"/>
    <w:rsid w:val="00931044"/>
    <w:rsid w:val="00937C17"/>
    <w:rsid w:val="00940A89"/>
    <w:rsid w:val="00946EA5"/>
    <w:rsid w:val="00962FB4"/>
    <w:rsid w:val="00963C08"/>
    <w:rsid w:val="0097134D"/>
    <w:rsid w:val="009752A5"/>
    <w:rsid w:val="0098585A"/>
    <w:rsid w:val="009A4CED"/>
    <w:rsid w:val="009A690D"/>
    <w:rsid w:val="009B1D12"/>
    <w:rsid w:val="009B416B"/>
    <w:rsid w:val="009B5588"/>
    <w:rsid w:val="009C4BD5"/>
    <w:rsid w:val="009D7B77"/>
    <w:rsid w:val="009E0BB0"/>
    <w:rsid w:val="009E3FBB"/>
    <w:rsid w:val="009F05D3"/>
    <w:rsid w:val="009F0604"/>
    <w:rsid w:val="009F7353"/>
    <w:rsid w:val="00A04F85"/>
    <w:rsid w:val="00A05FA4"/>
    <w:rsid w:val="00A102E4"/>
    <w:rsid w:val="00A12C42"/>
    <w:rsid w:val="00A14DF7"/>
    <w:rsid w:val="00A227EF"/>
    <w:rsid w:val="00A22D57"/>
    <w:rsid w:val="00A3246D"/>
    <w:rsid w:val="00A36FA7"/>
    <w:rsid w:val="00A44DDB"/>
    <w:rsid w:val="00A475B7"/>
    <w:rsid w:val="00A47AF7"/>
    <w:rsid w:val="00A47C3E"/>
    <w:rsid w:val="00A50226"/>
    <w:rsid w:val="00A5112D"/>
    <w:rsid w:val="00A60BAD"/>
    <w:rsid w:val="00A62BB1"/>
    <w:rsid w:val="00A63E68"/>
    <w:rsid w:val="00A77F87"/>
    <w:rsid w:val="00A80B5B"/>
    <w:rsid w:val="00A84E36"/>
    <w:rsid w:val="00A964D1"/>
    <w:rsid w:val="00A97975"/>
    <w:rsid w:val="00A97D3F"/>
    <w:rsid w:val="00AA0ED0"/>
    <w:rsid w:val="00AB42EE"/>
    <w:rsid w:val="00AC2B40"/>
    <w:rsid w:val="00AC2BB2"/>
    <w:rsid w:val="00AC2C3C"/>
    <w:rsid w:val="00AC512D"/>
    <w:rsid w:val="00AC7B76"/>
    <w:rsid w:val="00AD0083"/>
    <w:rsid w:val="00AD3935"/>
    <w:rsid w:val="00AE65EB"/>
    <w:rsid w:val="00AE67A7"/>
    <w:rsid w:val="00AF1D94"/>
    <w:rsid w:val="00AF4511"/>
    <w:rsid w:val="00AF60C5"/>
    <w:rsid w:val="00B009C6"/>
    <w:rsid w:val="00B01548"/>
    <w:rsid w:val="00B13EBD"/>
    <w:rsid w:val="00B21567"/>
    <w:rsid w:val="00B21D29"/>
    <w:rsid w:val="00B25034"/>
    <w:rsid w:val="00B33588"/>
    <w:rsid w:val="00B33863"/>
    <w:rsid w:val="00B37D17"/>
    <w:rsid w:val="00B4175E"/>
    <w:rsid w:val="00B41C85"/>
    <w:rsid w:val="00B452CE"/>
    <w:rsid w:val="00B53409"/>
    <w:rsid w:val="00B54C25"/>
    <w:rsid w:val="00B6291C"/>
    <w:rsid w:val="00B70C5D"/>
    <w:rsid w:val="00B76B91"/>
    <w:rsid w:val="00B77EB1"/>
    <w:rsid w:val="00B811C6"/>
    <w:rsid w:val="00B855B0"/>
    <w:rsid w:val="00B92E08"/>
    <w:rsid w:val="00B9688B"/>
    <w:rsid w:val="00BC622A"/>
    <w:rsid w:val="00BD555D"/>
    <w:rsid w:val="00BD7F12"/>
    <w:rsid w:val="00BE0A78"/>
    <w:rsid w:val="00BE121F"/>
    <w:rsid w:val="00BE6EC5"/>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844A0"/>
    <w:rsid w:val="00C92C9D"/>
    <w:rsid w:val="00C94CD4"/>
    <w:rsid w:val="00C9747E"/>
    <w:rsid w:val="00CB6BC0"/>
    <w:rsid w:val="00CC1B7C"/>
    <w:rsid w:val="00CC727F"/>
    <w:rsid w:val="00CD2BCD"/>
    <w:rsid w:val="00CE012A"/>
    <w:rsid w:val="00CF15C3"/>
    <w:rsid w:val="00CF1813"/>
    <w:rsid w:val="00CF2B6F"/>
    <w:rsid w:val="00CF2F3E"/>
    <w:rsid w:val="00CF58B6"/>
    <w:rsid w:val="00D0062D"/>
    <w:rsid w:val="00D017ED"/>
    <w:rsid w:val="00D040D3"/>
    <w:rsid w:val="00D04C65"/>
    <w:rsid w:val="00D201D2"/>
    <w:rsid w:val="00D224FE"/>
    <w:rsid w:val="00D23139"/>
    <w:rsid w:val="00D2514A"/>
    <w:rsid w:val="00D32655"/>
    <w:rsid w:val="00D35D8A"/>
    <w:rsid w:val="00D425BB"/>
    <w:rsid w:val="00D453FA"/>
    <w:rsid w:val="00D62ABA"/>
    <w:rsid w:val="00D6493E"/>
    <w:rsid w:val="00D7195D"/>
    <w:rsid w:val="00D7301E"/>
    <w:rsid w:val="00D83AE1"/>
    <w:rsid w:val="00D855D4"/>
    <w:rsid w:val="00D902C9"/>
    <w:rsid w:val="00D93466"/>
    <w:rsid w:val="00DA1124"/>
    <w:rsid w:val="00DB06B8"/>
    <w:rsid w:val="00DB4C2B"/>
    <w:rsid w:val="00DB6124"/>
    <w:rsid w:val="00DB750B"/>
    <w:rsid w:val="00DB75B7"/>
    <w:rsid w:val="00DC6E02"/>
    <w:rsid w:val="00DD28CD"/>
    <w:rsid w:val="00DE02AE"/>
    <w:rsid w:val="00DE39D1"/>
    <w:rsid w:val="00DF1D7F"/>
    <w:rsid w:val="00DF4BE4"/>
    <w:rsid w:val="00DF6972"/>
    <w:rsid w:val="00E02382"/>
    <w:rsid w:val="00E02C81"/>
    <w:rsid w:val="00E02FB4"/>
    <w:rsid w:val="00E13FC7"/>
    <w:rsid w:val="00E20571"/>
    <w:rsid w:val="00E235F7"/>
    <w:rsid w:val="00E23659"/>
    <w:rsid w:val="00E239D4"/>
    <w:rsid w:val="00E26130"/>
    <w:rsid w:val="00E330D0"/>
    <w:rsid w:val="00E40B22"/>
    <w:rsid w:val="00E437AC"/>
    <w:rsid w:val="00E44ED1"/>
    <w:rsid w:val="00E45619"/>
    <w:rsid w:val="00E4588F"/>
    <w:rsid w:val="00E46DA3"/>
    <w:rsid w:val="00E51BB1"/>
    <w:rsid w:val="00E5589B"/>
    <w:rsid w:val="00E624A5"/>
    <w:rsid w:val="00E64BA4"/>
    <w:rsid w:val="00E72B69"/>
    <w:rsid w:val="00E7344E"/>
    <w:rsid w:val="00E82665"/>
    <w:rsid w:val="00E90D4F"/>
    <w:rsid w:val="00EB0798"/>
    <w:rsid w:val="00EB40AD"/>
    <w:rsid w:val="00EB586E"/>
    <w:rsid w:val="00EB5FC8"/>
    <w:rsid w:val="00EC463D"/>
    <w:rsid w:val="00EC7A85"/>
    <w:rsid w:val="00ED2922"/>
    <w:rsid w:val="00ED3CAD"/>
    <w:rsid w:val="00ED5A41"/>
    <w:rsid w:val="00EE1DE8"/>
    <w:rsid w:val="00EE22BF"/>
    <w:rsid w:val="00EE27C2"/>
    <w:rsid w:val="00EF4BAD"/>
    <w:rsid w:val="00EF59DC"/>
    <w:rsid w:val="00F033EC"/>
    <w:rsid w:val="00F04F68"/>
    <w:rsid w:val="00F12670"/>
    <w:rsid w:val="00F14953"/>
    <w:rsid w:val="00F14B27"/>
    <w:rsid w:val="00F24F1E"/>
    <w:rsid w:val="00F3148D"/>
    <w:rsid w:val="00F325C5"/>
    <w:rsid w:val="00F32FE0"/>
    <w:rsid w:val="00F35298"/>
    <w:rsid w:val="00F447BC"/>
    <w:rsid w:val="00F47333"/>
    <w:rsid w:val="00F47E37"/>
    <w:rsid w:val="00F53C07"/>
    <w:rsid w:val="00F53E76"/>
    <w:rsid w:val="00F54B65"/>
    <w:rsid w:val="00F60689"/>
    <w:rsid w:val="00F640B6"/>
    <w:rsid w:val="00F66DF2"/>
    <w:rsid w:val="00F80E40"/>
    <w:rsid w:val="00F848D9"/>
    <w:rsid w:val="00FA42E4"/>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D45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3265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qFormat/>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523BCF"/>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730C4"/>
    <w:pPr>
      <w:ind w:left="720"/>
      <w:contextualSpacing/>
    </w:pPr>
  </w:style>
  <w:style w:type="paragraph" w:customStyle="1" w:styleId="TableBullet">
    <w:name w:val="Table Bullet"/>
    <w:basedOn w:val="Normal"/>
    <w:rsid w:val="00E330D0"/>
    <w:pPr>
      <w:numPr>
        <w:numId w:val="3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mine">
    <w:name w:val="mine"/>
    <w:basedOn w:val="Normal"/>
    <w:next w:val="Normal"/>
    <w:qFormat/>
    <w:rsid w:val="00E437AC"/>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table">
    <w:name w:val="table"/>
    <w:next w:val="NoSpacing"/>
    <w:link w:val="tableChar"/>
    <w:qFormat/>
    <w:rsid w:val="00E437AC"/>
    <w:pPr>
      <w:adjustRightInd w:val="0"/>
      <w:snapToGrid w:val="0"/>
      <w:spacing w:after="0" w:line="240" w:lineRule="auto"/>
    </w:pPr>
    <w:rPr>
      <w:rFonts w:ascii="Times New Roman" w:eastAsia="MS Mincho" w:hAnsi="Times New Roman" w:cs="Times New Roman"/>
      <w:sz w:val="18"/>
      <w:szCs w:val="20"/>
      <w:lang w:eastAsia="ja-JP"/>
    </w:rPr>
  </w:style>
  <w:style w:type="character" w:customStyle="1" w:styleId="tableChar">
    <w:name w:val="table Char"/>
    <w:basedOn w:val="DefaultParagraphFont"/>
    <w:link w:val="table"/>
    <w:rsid w:val="00E437AC"/>
    <w:rPr>
      <w:rFonts w:ascii="Times New Roman" w:eastAsia="MS Mincho" w:hAnsi="Times New Roman" w:cs="Times New Roman"/>
      <w:sz w:val="18"/>
      <w:szCs w:val="20"/>
      <w:lang w:eastAsia="ja-JP"/>
    </w:rPr>
  </w:style>
  <w:style w:type="paragraph" w:styleId="NoSpacing">
    <w:name w:val="No Spacing"/>
    <w:uiPriority w:val="1"/>
    <w:rsid w:val="00E437AC"/>
    <w:pPr>
      <w:spacing w:after="0" w:line="240" w:lineRule="auto"/>
    </w:pPr>
    <w:rPr>
      <w:rFonts w:ascii="Cambria" w:eastAsia="Cambria" w:hAnsi="Cambria" w:cs="Times New Roman"/>
    </w:rPr>
  </w:style>
  <w:style w:type="paragraph" w:customStyle="1" w:styleId="Bulletpoint">
    <w:name w:val="Bullet point"/>
    <w:basedOn w:val="Normal"/>
    <w:rsid w:val="008A5060"/>
    <w:pPr>
      <w:numPr>
        <w:numId w:val="3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8A5060"/>
    <w:pPr>
      <w:spacing w:before="0" w:after="200" w:line="252" w:lineRule="auto"/>
    </w:pPr>
    <w:rPr>
      <w:rFonts w:eastAsia="Times New Roman"/>
      <w:snapToGrid w:val="0"/>
      <w:kern w:val="16"/>
      <w:szCs w:val="24"/>
    </w:rPr>
  </w:style>
  <w:style w:type="paragraph" w:customStyle="1" w:styleId="WhiteSpace">
    <w:name w:val="White Space"/>
    <w:basedOn w:val="Standard"/>
    <w:next w:val="Standard"/>
    <w:link w:val="WhiteSpaceChar"/>
    <w:rsid w:val="008A5060"/>
    <w:pPr>
      <w:spacing w:after="0"/>
    </w:pPr>
    <w:rPr>
      <w:sz w:val="16"/>
      <w:szCs w:val="16"/>
    </w:rPr>
  </w:style>
  <w:style w:type="character" w:customStyle="1" w:styleId="StandardChar">
    <w:name w:val="Standard Char"/>
    <w:basedOn w:val="DefaultParagraphFont"/>
    <w:link w:val="Standard"/>
    <w:rsid w:val="008A5060"/>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rsid w:val="008A5060"/>
    <w:rPr>
      <w:rFonts w:ascii="Cambria" w:eastAsia="Times New Roman" w:hAnsi="Cambria" w:cs="Times New Roman"/>
      <w:snapToGrid w:val="0"/>
      <w:kern w:val="16"/>
      <w:sz w:val="16"/>
      <w:szCs w:val="16"/>
    </w:rPr>
  </w:style>
  <w:style w:type="paragraph" w:customStyle="1" w:styleId="AssessmentSection">
    <w:name w:val="Assessment Section"/>
    <w:basedOn w:val="Normal"/>
    <w:next w:val="Standard"/>
    <w:rsid w:val="008A5060"/>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Normal"/>
    <w:next w:val="Normal"/>
    <w:rsid w:val="008A5060"/>
    <w:pPr>
      <w:keepNext/>
      <w:spacing w:before="0" w:after="110" w:line="252" w:lineRule="auto"/>
      <w:outlineLvl w:val="2"/>
    </w:pPr>
    <w:rPr>
      <w:rFonts w:eastAsia="Times New Roman"/>
      <w:b/>
      <w:i/>
      <w:snapToGrid w:val="0"/>
      <w:kern w:val="16"/>
      <w:szCs w:val="24"/>
    </w:rPr>
  </w:style>
  <w:style w:type="character" w:customStyle="1" w:styleId="TableTitleChar">
    <w:name w:val="Table Title Char"/>
    <w:basedOn w:val="StandardChar"/>
    <w:link w:val="TableTitle"/>
    <w:rsid w:val="008A5060"/>
    <w:rPr>
      <w:rFonts w:ascii="Cambria" w:eastAsia="Cambria" w:hAnsi="Cambria" w:cs="Times New Roman"/>
      <w:b/>
      <w:snapToGrid/>
      <w:kern w:val="16"/>
      <w:szCs w:val="24"/>
    </w:rPr>
  </w:style>
  <w:style w:type="paragraph" w:customStyle="1" w:styleId="AssessmentSubsection2">
    <w:name w:val="Assessment Subsection 2"/>
    <w:basedOn w:val="AssessmentSubsection"/>
    <w:next w:val="Standard"/>
    <w:rsid w:val="008A5060"/>
    <w:pPr>
      <w:outlineLvl w:val="3"/>
    </w:pPr>
    <w:rPr>
      <w:b w:val="0"/>
    </w:rPr>
  </w:style>
  <w:style w:type="character" w:customStyle="1" w:styleId="TabletextChar">
    <w:name w:val="Table text Char"/>
    <w:basedOn w:val="DefaultParagraphFont"/>
    <w:link w:val="Tabletext"/>
    <w:rsid w:val="00B21567"/>
    <w:rPr>
      <w:rFonts w:ascii="Cambria" w:eastAsia="Cambria" w:hAnsi="Cambria" w:cs="Times New Roman"/>
      <w:sz w:val="19"/>
    </w:rPr>
  </w:style>
  <w:style w:type="paragraph" w:customStyle="1" w:styleId="TableHeader">
    <w:name w:val="Table Header"/>
    <w:basedOn w:val="Normal"/>
    <w:rsid w:val="00B21567"/>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B21567"/>
    <w:pPr>
      <w:spacing w:before="0" w:after="0" w:line="200" w:lineRule="atLeast"/>
      <w:jc w:val="center"/>
    </w:pPr>
    <w:rPr>
      <w:rFonts w:eastAsia="Times New Roman"/>
      <w:snapToGrid w:val="0"/>
      <w:kern w:val="16"/>
      <w:sz w:val="18"/>
      <w:szCs w:val="19"/>
    </w:rPr>
  </w:style>
  <w:style w:type="paragraph" w:customStyle="1" w:styleId="TableCaption">
    <w:name w:val="Table Caption"/>
    <w:basedOn w:val="Normal"/>
    <w:next w:val="Normal"/>
    <w:link w:val="TableCaptionChar"/>
    <w:rsid w:val="00B21567"/>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B21567"/>
    <w:rPr>
      <w:rFonts w:ascii="Cambria" w:eastAsia="Times New Roman" w:hAnsi="Cambria" w:cs="Times New Roman"/>
      <w:snapToGrid w:val="0"/>
      <w:kern w:val="16"/>
      <w:sz w:val="18"/>
      <w:szCs w:val="19"/>
    </w:rPr>
  </w:style>
  <w:style w:type="paragraph" w:customStyle="1" w:styleId="Default">
    <w:name w:val="Default"/>
    <w:rsid w:val="008421D9"/>
    <w:pPr>
      <w:autoSpaceDE w:val="0"/>
      <w:autoSpaceDN w:val="0"/>
      <w:adjustRightInd w:val="0"/>
      <w:spacing w:after="0" w:line="240" w:lineRule="auto"/>
    </w:pPr>
    <w:rPr>
      <w:rFonts w:ascii="Times New Roman" w:hAnsi="Times New Roman" w:cs="Times New Roman"/>
      <w:color w:val="000000"/>
      <w:sz w:val="24"/>
      <w:szCs w:val="24"/>
    </w:rPr>
  </w:style>
  <w:style w:type="paragraph" w:styleId="ListNumber">
    <w:name w:val="List Number"/>
    <w:basedOn w:val="ListParagraph"/>
    <w:uiPriority w:val="99"/>
    <w:unhideWhenUsed/>
    <w:rsid w:val="00555194"/>
    <w:pPr>
      <w:numPr>
        <w:numId w:val="38"/>
      </w:numPr>
      <w:tabs>
        <w:tab w:val="num" w:pos="360"/>
      </w:tabs>
      <w:spacing w:before="0" w:line="240" w:lineRule="auto"/>
      <w:ind w:left="426" w:hanging="426"/>
    </w:pPr>
    <w:rPr>
      <w:rFonts w:asciiTheme="minorHAnsi" w:eastAsia="Times New Roman" w:hAnsiTheme="minorHAnsi"/>
      <w:b/>
      <w:lang w:eastAsia="en-AU"/>
    </w:rPr>
  </w:style>
  <w:style w:type="paragraph" w:styleId="List">
    <w:name w:val="List"/>
    <w:basedOn w:val="Normal"/>
    <w:uiPriority w:val="99"/>
    <w:unhideWhenUsed/>
    <w:rsid w:val="00555194"/>
    <w:pPr>
      <w:numPr>
        <w:ilvl w:val="1"/>
        <w:numId w:val="37"/>
      </w:numPr>
      <w:adjustRightInd w:val="0"/>
      <w:snapToGrid w:val="0"/>
      <w:spacing w:before="0"/>
      <w:ind w:left="851" w:hanging="425"/>
    </w:pPr>
    <w:rPr>
      <w:rFonts w:eastAsia="MS Mincho"/>
      <w:szCs w:val="20"/>
      <w:lang w:eastAsia="ja-JP"/>
    </w:rPr>
  </w:style>
  <w:style w:type="paragraph" w:styleId="ListNumber2">
    <w:name w:val="List Number 2"/>
    <w:basedOn w:val="Normal"/>
    <w:uiPriority w:val="99"/>
    <w:unhideWhenUsed/>
    <w:rsid w:val="00555194"/>
    <w:pPr>
      <w:numPr>
        <w:numId w:val="36"/>
      </w:numPr>
      <w:adjustRightInd w:val="0"/>
      <w:snapToGrid w:val="0"/>
      <w:spacing w:before="0"/>
      <w:ind w:left="0" w:firstLine="0"/>
      <w:contextualSpacing/>
    </w:pPr>
    <w:rPr>
      <w:rFonts w:eastAsia="MS Mincho"/>
      <w:szCs w:val="20"/>
      <w:lang w:eastAsia="ja-JP"/>
    </w:rPr>
  </w:style>
  <w:style w:type="paragraph" w:customStyle="1" w:styleId="Bulletlist">
    <w:name w:val="Bullet list"/>
    <w:basedOn w:val="Normal"/>
    <w:link w:val="BulletlistChar"/>
    <w:qFormat/>
    <w:rsid w:val="006163C0"/>
    <w:pPr>
      <w:numPr>
        <w:numId w:val="41"/>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6163C0"/>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6163C0"/>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6163C0"/>
    <w:rPr>
      <w:rFonts w:ascii="Cambria" w:eastAsia="Times New Roman" w:hAnsi="Cambria" w:cs="Times New Roman"/>
      <w:b/>
      <w:snapToGrid w:val="0"/>
      <w:kern w:val="16"/>
      <w:sz w:val="20"/>
      <w:szCs w:val="24"/>
    </w:rPr>
  </w:style>
  <w:style w:type="character" w:styleId="Emphasis">
    <w:name w:val="Emphasis"/>
    <w:basedOn w:val="DefaultParagraphFont"/>
    <w:uiPriority w:val="20"/>
    <w:qFormat/>
    <w:rsid w:val="005E1E9B"/>
    <w:rPr>
      <w:i/>
      <w:iCs/>
    </w:rPr>
  </w:style>
  <w:style w:type="character" w:customStyle="1" w:styleId="apple-converted-space">
    <w:name w:val="apple-converted-space"/>
    <w:basedOn w:val="DefaultParagraphFont"/>
    <w:rsid w:val="005E1E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3265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qFormat/>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523BCF"/>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730C4"/>
    <w:pPr>
      <w:ind w:left="720"/>
      <w:contextualSpacing/>
    </w:pPr>
  </w:style>
  <w:style w:type="paragraph" w:customStyle="1" w:styleId="TableBullet">
    <w:name w:val="Table Bullet"/>
    <w:basedOn w:val="Normal"/>
    <w:rsid w:val="00E330D0"/>
    <w:pPr>
      <w:numPr>
        <w:numId w:val="3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mine">
    <w:name w:val="mine"/>
    <w:basedOn w:val="Normal"/>
    <w:next w:val="Normal"/>
    <w:qFormat/>
    <w:rsid w:val="00E437AC"/>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table">
    <w:name w:val="table"/>
    <w:next w:val="NoSpacing"/>
    <w:link w:val="tableChar"/>
    <w:qFormat/>
    <w:rsid w:val="00E437AC"/>
    <w:pPr>
      <w:adjustRightInd w:val="0"/>
      <w:snapToGrid w:val="0"/>
      <w:spacing w:after="0" w:line="240" w:lineRule="auto"/>
    </w:pPr>
    <w:rPr>
      <w:rFonts w:ascii="Times New Roman" w:eastAsia="MS Mincho" w:hAnsi="Times New Roman" w:cs="Times New Roman"/>
      <w:sz w:val="18"/>
      <w:szCs w:val="20"/>
      <w:lang w:eastAsia="ja-JP"/>
    </w:rPr>
  </w:style>
  <w:style w:type="character" w:customStyle="1" w:styleId="tableChar">
    <w:name w:val="table Char"/>
    <w:basedOn w:val="DefaultParagraphFont"/>
    <w:link w:val="table"/>
    <w:rsid w:val="00E437AC"/>
    <w:rPr>
      <w:rFonts w:ascii="Times New Roman" w:eastAsia="MS Mincho" w:hAnsi="Times New Roman" w:cs="Times New Roman"/>
      <w:sz w:val="18"/>
      <w:szCs w:val="20"/>
      <w:lang w:eastAsia="ja-JP"/>
    </w:rPr>
  </w:style>
  <w:style w:type="paragraph" w:styleId="NoSpacing">
    <w:name w:val="No Spacing"/>
    <w:uiPriority w:val="1"/>
    <w:rsid w:val="00E437AC"/>
    <w:pPr>
      <w:spacing w:after="0" w:line="240" w:lineRule="auto"/>
    </w:pPr>
    <w:rPr>
      <w:rFonts w:ascii="Cambria" w:eastAsia="Cambria" w:hAnsi="Cambria" w:cs="Times New Roman"/>
    </w:rPr>
  </w:style>
  <w:style w:type="paragraph" w:customStyle="1" w:styleId="Bulletpoint">
    <w:name w:val="Bullet point"/>
    <w:basedOn w:val="Normal"/>
    <w:rsid w:val="008A5060"/>
    <w:pPr>
      <w:numPr>
        <w:numId w:val="3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8A5060"/>
    <w:pPr>
      <w:spacing w:before="0" w:after="200" w:line="252" w:lineRule="auto"/>
    </w:pPr>
    <w:rPr>
      <w:rFonts w:eastAsia="Times New Roman"/>
      <w:snapToGrid w:val="0"/>
      <w:kern w:val="16"/>
      <w:szCs w:val="24"/>
    </w:rPr>
  </w:style>
  <w:style w:type="paragraph" w:customStyle="1" w:styleId="WhiteSpace">
    <w:name w:val="White Space"/>
    <w:basedOn w:val="Standard"/>
    <w:next w:val="Standard"/>
    <w:link w:val="WhiteSpaceChar"/>
    <w:rsid w:val="008A5060"/>
    <w:pPr>
      <w:spacing w:after="0"/>
    </w:pPr>
    <w:rPr>
      <w:sz w:val="16"/>
      <w:szCs w:val="16"/>
    </w:rPr>
  </w:style>
  <w:style w:type="character" w:customStyle="1" w:styleId="StandardChar">
    <w:name w:val="Standard Char"/>
    <w:basedOn w:val="DefaultParagraphFont"/>
    <w:link w:val="Standard"/>
    <w:rsid w:val="008A5060"/>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rsid w:val="008A5060"/>
    <w:rPr>
      <w:rFonts w:ascii="Cambria" w:eastAsia="Times New Roman" w:hAnsi="Cambria" w:cs="Times New Roman"/>
      <w:snapToGrid w:val="0"/>
      <w:kern w:val="16"/>
      <w:sz w:val="16"/>
      <w:szCs w:val="16"/>
    </w:rPr>
  </w:style>
  <w:style w:type="paragraph" w:customStyle="1" w:styleId="AssessmentSection">
    <w:name w:val="Assessment Section"/>
    <w:basedOn w:val="Normal"/>
    <w:next w:val="Standard"/>
    <w:rsid w:val="008A5060"/>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Normal"/>
    <w:next w:val="Normal"/>
    <w:rsid w:val="008A5060"/>
    <w:pPr>
      <w:keepNext/>
      <w:spacing w:before="0" w:after="110" w:line="252" w:lineRule="auto"/>
      <w:outlineLvl w:val="2"/>
    </w:pPr>
    <w:rPr>
      <w:rFonts w:eastAsia="Times New Roman"/>
      <w:b/>
      <w:i/>
      <w:snapToGrid w:val="0"/>
      <w:kern w:val="16"/>
      <w:szCs w:val="24"/>
    </w:rPr>
  </w:style>
  <w:style w:type="character" w:customStyle="1" w:styleId="TableTitleChar">
    <w:name w:val="Table Title Char"/>
    <w:basedOn w:val="StandardChar"/>
    <w:link w:val="TableTitle"/>
    <w:rsid w:val="008A5060"/>
    <w:rPr>
      <w:rFonts w:ascii="Cambria" w:eastAsia="Cambria" w:hAnsi="Cambria" w:cs="Times New Roman"/>
      <w:b/>
      <w:snapToGrid/>
      <w:kern w:val="16"/>
      <w:szCs w:val="24"/>
    </w:rPr>
  </w:style>
  <w:style w:type="paragraph" w:customStyle="1" w:styleId="AssessmentSubsection2">
    <w:name w:val="Assessment Subsection 2"/>
    <w:basedOn w:val="AssessmentSubsection"/>
    <w:next w:val="Standard"/>
    <w:rsid w:val="008A5060"/>
    <w:pPr>
      <w:outlineLvl w:val="3"/>
    </w:pPr>
    <w:rPr>
      <w:b w:val="0"/>
    </w:rPr>
  </w:style>
  <w:style w:type="character" w:customStyle="1" w:styleId="TabletextChar">
    <w:name w:val="Table text Char"/>
    <w:basedOn w:val="DefaultParagraphFont"/>
    <w:link w:val="Tabletext"/>
    <w:rsid w:val="00B21567"/>
    <w:rPr>
      <w:rFonts w:ascii="Cambria" w:eastAsia="Cambria" w:hAnsi="Cambria" w:cs="Times New Roman"/>
      <w:sz w:val="19"/>
    </w:rPr>
  </w:style>
  <w:style w:type="paragraph" w:customStyle="1" w:styleId="TableHeader">
    <w:name w:val="Table Header"/>
    <w:basedOn w:val="Normal"/>
    <w:rsid w:val="00B21567"/>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B21567"/>
    <w:pPr>
      <w:spacing w:before="0" w:after="0" w:line="200" w:lineRule="atLeast"/>
      <w:jc w:val="center"/>
    </w:pPr>
    <w:rPr>
      <w:rFonts w:eastAsia="Times New Roman"/>
      <w:snapToGrid w:val="0"/>
      <w:kern w:val="16"/>
      <w:sz w:val="18"/>
      <w:szCs w:val="19"/>
    </w:rPr>
  </w:style>
  <w:style w:type="paragraph" w:customStyle="1" w:styleId="TableCaption">
    <w:name w:val="Table Caption"/>
    <w:basedOn w:val="Normal"/>
    <w:next w:val="Normal"/>
    <w:link w:val="TableCaptionChar"/>
    <w:rsid w:val="00B21567"/>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B21567"/>
    <w:rPr>
      <w:rFonts w:ascii="Cambria" w:eastAsia="Times New Roman" w:hAnsi="Cambria" w:cs="Times New Roman"/>
      <w:snapToGrid w:val="0"/>
      <w:kern w:val="16"/>
      <w:sz w:val="18"/>
      <w:szCs w:val="19"/>
    </w:rPr>
  </w:style>
  <w:style w:type="paragraph" w:customStyle="1" w:styleId="Default">
    <w:name w:val="Default"/>
    <w:rsid w:val="008421D9"/>
    <w:pPr>
      <w:autoSpaceDE w:val="0"/>
      <w:autoSpaceDN w:val="0"/>
      <w:adjustRightInd w:val="0"/>
      <w:spacing w:after="0" w:line="240" w:lineRule="auto"/>
    </w:pPr>
    <w:rPr>
      <w:rFonts w:ascii="Times New Roman" w:hAnsi="Times New Roman" w:cs="Times New Roman"/>
      <w:color w:val="000000"/>
      <w:sz w:val="24"/>
      <w:szCs w:val="24"/>
    </w:rPr>
  </w:style>
  <w:style w:type="paragraph" w:styleId="ListNumber">
    <w:name w:val="List Number"/>
    <w:basedOn w:val="ListParagraph"/>
    <w:uiPriority w:val="99"/>
    <w:unhideWhenUsed/>
    <w:rsid w:val="00555194"/>
    <w:pPr>
      <w:numPr>
        <w:numId w:val="38"/>
      </w:numPr>
      <w:tabs>
        <w:tab w:val="num" w:pos="360"/>
      </w:tabs>
      <w:spacing w:before="0" w:line="240" w:lineRule="auto"/>
      <w:ind w:left="426" w:hanging="426"/>
    </w:pPr>
    <w:rPr>
      <w:rFonts w:asciiTheme="minorHAnsi" w:eastAsia="Times New Roman" w:hAnsiTheme="minorHAnsi"/>
      <w:b/>
      <w:lang w:eastAsia="en-AU"/>
    </w:rPr>
  </w:style>
  <w:style w:type="paragraph" w:styleId="List">
    <w:name w:val="List"/>
    <w:basedOn w:val="Normal"/>
    <w:uiPriority w:val="99"/>
    <w:unhideWhenUsed/>
    <w:rsid w:val="00555194"/>
    <w:pPr>
      <w:numPr>
        <w:ilvl w:val="1"/>
        <w:numId w:val="37"/>
      </w:numPr>
      <w:adjustRightInd w:val="0"/>
      <w:snapToGrid w:val="0"/>
      <w:spacing w:before="0"/>
      <w:ind w:left="851" w:hanging="425"/>
    </w:pPr>
    <w:rPr>
      <w:rFonts w:eastAsia="MS Mincho"/>
      <w:szCs w:val="20"/>
      <w:lang w:eastAsia="ja-JP"/>
    </w:rPr>
  </w:style>
  <w:style w:type="paragraph" w:styleId="ListNumber2">
    <w:name w:val="List Number 2"/>
    <w:basedOn w:val="Normal"/>
    <w:uiPriority w:val="99"/>
    <w:unhideWhenUsed/>
    <w:rsid w:val="00555194"/>
    <w:pPr>
      <w:numPr>
        <w:numId w:val="36"/>
      </w:numPr>
      <w:adjustRightInd w:val="0"/>
      <w:snapToGrid w:val="0"/>
      <w:spacing w:before="0"/>
      <w:ind w:left="0" w:firstLine="0"/>
      <w:contextualSpacing/>
    </w:pPr>
    <w:rPr>
      <w:rFonts w:eastAsia="MS Mincho"/>
      <w:szCs w:val="20"/>
      <w:lang w:eastAsia="ja-JP"/>
    </w:rPr>
  </w:style>
  <w:style w:type="paragraph" w:customStyle="1" w:styleId="Bulletlist">
    <w:name w:val="Bullet list"/>
    <w:basedOn w:val="Normal"/>
    <w:link w:val="BulletlistChar"/>
    <w:qFormat/>
    <w:rsid w:val="006163C0"/>
    <w:pPr>
      <w:numPr>
        <w:numId w:val="41"/>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6163C0"/>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6163C0"/>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6163C0"/>
    <w:rPr>
      <w:rFonts w:ascii="Cambria" w:eastAsia="Times New Roman" w:hAnsi="Cambria" w:cs="Times New Roman"/>
      <w:b/>
      <w:snapToGrid w:val="0"/>
      <w:kern w:val="16"/>
      <w:sz w:val="20"/>
      <w:szCs w:val="24"/>
    </w:rPr>
  </w:style>
  <w:style w:type="character" w:styleId="Emphasis">
    <w:name w:val="Emphasis"/>
    <w:basedOn w:val="DefaultParagraphFont"/>
    <w:uiPriority w:val="20"/>
    <w:qFormat/>
    <w:rsid w:val="005E1E9B"/>
    <w:rPr>
      <w:i/>
      <w:iCs/>
    </w:rPr>
  </w:style>
  <w:style w:type="character" w:customStyle="1" w:styleId="apple-converted-space">
    <w:name w:val="apple-converted-space"/>
    <w:basedOn w:val="DefaultParagraphFont"/>
    <w:rsid w:val="005E1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fontTable" Target="fontTable.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header" Target="header7.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 Id="rId48"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812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1628C-A823-47C8-B731-98A5F8097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56</TotalTime>
  <Pages>54</Pages>
  <Words>16653</Words>
  <Characters>93094</Characters>
  <Application>Microsoft Office Word</Application>
  <DocSecurity>0</DocSecurity>
  <Lines>2216</Lines>
  <Paragraphs>1276</Paragraphs>
  <ScaleCrop>false</ScaleCrop>
  <HeadingPairs>
    <vt:vector size="2" baseType="variant">
      <vt:variant>
        <vt:lpstr>Title</vt:lpstr>
      </vt:variant>
      <vt:variant>
        <vt:i4>1</vt:i4>
      </vt:variant>
    </vt:vector>
  </HeadingPairs>
  <TitlesOfParts>
    <vt:vector size="1" baseType="lpstr">
      <vt:lpstr>Australian Public Assessment Report for Avelumab</vt:lpstr>
    </vt:vector>
  </TitlesOfParts>
  <Company>Therapeutic Goods Administration</Company>
  <LinksUpToDate>false</LinksUpToDate>
  <CharactersWithSpaces>108471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Avelumab</dc:title>
  <dc:subject>Prescription medicines</dc:subject>
  <dc:creator>Therapeutic Goods Administration</dc:creator>
  <cp:keywords>AusPARs</cp:keywords>
  <cp:lastPrinted>2015-09-22T23:39:00Z</cp:lastPrinted>
  <dcterms:created xsi:type="dcterms:W3CDTF">2019-05-06T05:41:00Z</dcterms:created>
  <dcterms:modified xsi:type="dcterms:W3CDTF">2019-05-06T06:37:00Z</dcterms:modified>
</cp:coreProperties>
</file>