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95"/>
      </w:tblGrid>
      <w:tr w:rsidR="008E7846" w:rsidRPr="00487162" w:rsidTr="0081345B">
        <w:trPr>
          <w:trHeight w:val="1863"/>
        </w:trPr>
        <w:tc>
          <w:tcPr>
            <w:tcW w:w="5495" w:type="dxa"/>
            <w:tcBorders>
              <w:top w:val="nil"/>
              <w:left w:val="nil"/>
              <w:bottom w:val="nil"/>
              <w:right w:val="nil"/>
            </w:tcBorders>
          </w:tcPr>
          <w:p w:rsidR="008E7846" w:rsidRPr="0017078F" w:rsidRDefault="00941CC9" w:rsidP="0017078F">
            <w:pPr>
              <w:rPr>
                <w:rFonts w:ascii="Arial" w:hAnsi="Arial" w:cs="Arial"/>
                <w:b/>
                <w:color w:val="002C47"/>
                <w:sz w:val="36"/>
                <w:szCs w:val="36"/>
              </w:rPr>
            </w:pPr>
            <w:r>
              <w:rPr>
                <w:rFonts w:ascii="Arial" w:hAnsi="Arial" w:cs="Arial"/>
                <w:b/>
                <w:color w:val="002C47"/>
                <w:sz w:val="36"/>
                <w:szCs w:val="36"/>
              </w:rPr>
              <w:t xml:space="preserve">Date of CER: </w:t>
            </w:r>
            <w:r w:rsidR="0081345B">
              <w:rPr>
                <w:rFonts w:ascii="Arial" w:hAnsi="Arial" w:cs="Arial"/>
                <w:b/>
                <w:color w:val="002C47"/>
                <w:sz w:val="36"/>
                <w:szCs w:val="36"/>
              </w:rPr>
              <w:t>13 June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rPr>
            </w:pPr>
            <w:proofErr w:type="spellStart"/>
            <w:r>
              <w:rPr>
                <w:color w:val="FFFFFF"/>
              </w:rPr>
              <w:t>AusPAR</w:t>
            </w:r>
            <w:proofErr w:type="spellEnd"/>
            <w:r>
              <w:rPr>
                <w:color w:val="FFFFFF"/>
              </w:rPr>
              <w:t xml:space="preserve"> Attachment 2</w:t>
            </w:r>
          </w:p>
        </w:tc>
      </w:tr>
      <w:tr w:rsidR="00E07F15" w:rsidRPr="00A964D1" w:rsidTr="00E07F15">
        <w:trPr>
          <w:trHeight w:val="868"/>
        </w:trPr>
        <w:tc>
          <w:tcPr>
            <w:tcW w:w="9079" w:type="dxa"/>
          </w:tcPr>
          <w:p w:rsidR="00E07F15" w:rsidRPr="00A964D1" w:rsidRDefault="00E07F15" w:rsidP="00E07F15">
            <w:pPr>
              <w:pStyle w:val="Title"/>
              <w:rPr>
                <w:color w:val="FFFFFF"/>
              </w:rPr>
            </w:pPr>
            <w:r>
              <w:rPr>
                <w:color w:val="FFFFFF"/>
              </w:rPr>
              <w:t>Extract from the Clinical Evaluation Report</w:t>
            </w:r>
            <w:r w:rsidRPr="00A964D1">
              <w:rPr>
                <w:color w:val="FFFFFF"/>
              </w:rPr>
              <w:t xml:space="preserve"> for </w:t>
            </w:r>
            <w:proofErr w:type="spellStart"/>
            <w:r w:rsidR="0081345B">
              <w:rPr>
                <w:color w:val="FFFFFF"/>
              </w:rPr>
              <w:t>azacitidine</w:t>
            </w:r>
            <w:proofErr w:type="spellEnd"/>
          </w:p>
        </w:tc>
      </w:tr>
      <w:tr w:rsidR="00E07F15" w:rsidRPr="00B64760" w:rsidTr="00E07F15">
        <w:tc>
          <w:tcPr>
            <w:tcW w:w="9079" w:type="dxa"/>
          </w:tcPr>
          <w:p w:rsidR="00E07F15" w:rsidRPr="008E7846" w:rsidRDefault="00E07F15" w:rsidP="0081345B">
            <w:pPr>
              <w:pStyle w:val="Subtitle"/>
              <w:ind w:left="142"/>
              <w:rPr>
                <w:color w:val="FFFFFF"/>
              </w:rPr>
            </w:pPr>
            <w:r w:rsidRPr="008E7846">
              <w:rPr>
                <w:color w:val="FFFFFF"/>
              </w:rPr>
              <w:t xml:space="preserve">Proprietary Product Name: </w:t>
            </w:r>
            <w:proofErr w:type="spellStart"/>
            <w:r w:rsidR="0081345B">
              <w:rPr>
                <w:color w:val="FFFFFF"/>
              </w:rPr>
              <w:t>Vidaza</w:t>
            </w:r>
            <w:proofErr w:type="spellEnd"/>
            <w:r w:rsidRPr="008E7846">
              <w:rPr>
                <w:color w:val="FFFFFF"/>
              </w:rPr>
              <w:t xml:space="preserve"> </w:t>
            </w:r>
          </w:p>
        </w:tc>
      </w:tr>
      <w:tr w:rsidR="00E07F15" w:rsidRPr="00B64760" w:rsidTr="00E07F15">
        <w:trPr>
          <w:trHeight w:val="486"/>
        </w:trPr>
        <w:tc>
          <w:tcPr>
            <w:tcW w:w="9079" w:type="dxa"/>
          </w:tcPr>
          <w:p w:rsidR="00E07F15" w:rsidRPr="008E7846" w:rsidRDefault="0081345B" w:rsidP="004A43CC">
            <w:pPr>
              <w:pStyle w:val="Subtitle"/>
              <w:ind w:left="142"/>
              <w:rPr>
                <w:color w:val="FFFFFF"/>
              </w:rPr>
            </w:pPr>
            <w:r>
              <w:rPr>
                <w:color w:val="FFFFFF"/>
              </w:rPr>
              <w:t xml:space="preserve">Sponsor: </w:t>
            </w:r>
            <w:proofErr w:type="spellStart"/>
            <w:r>
              <w:rPr>
                <w:color w:val="FFFFFF"/>
              </w:rPr>
              <w:t>Celgene</w:t>
            </w:r>
            <w:proofErr w:type="spellEnd"/>
            <w:r>
              <w:rPr>
                <w:color w:val="FFFFFF"/>
              </w:rPr>
              <w:t xml:space="preserve">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2903B5" w:rsidRDefault="003D0A3B" w:rsidP="002903B5">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472A28" w:rsidRDefault="002903B5" w:rsidP="00472A28">
      <w:pPr>
        <w:pStyle w:val="LegalCopy"/>
        <w:spacing w:before="3600"/>
        <w:rPr>
          <w:rFonts w:cs="Arial"/>
          <w:b/>
          <w:lang w:val="en-GB"/>
        </w:rPr>
      </w:pPr>
      <w:r w:rsidRPr="002903B5">
        <w:rPr>
          <w:rFonts w:cs="Arial"/>
          <w:b/>
          <w:lang w:val="en-GB"/>
        </w:rPr>
        <w:t>Copyright</w:t>
      </w:r>
    </w:p>
    <w:p w:rsidR="00924482" w:rsidRDefault="00924482" w:rsidP="00924482">
      <w:pPr>
        <w:pStyle w:val="LegalCopy"/>
        <w:rPr>
          <w:rFonts w:cs="Arial"/>
        </w:rPr>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2903B5" w:rsidRDefault="002903B5" w:rsidP="00924482">
      <w:pPr>
        <w:pStyle w:val="LegalCopy"/>
      </w:pPr>
    </w:p>
    <w:p w:rsidR="00924482" w:rsidRDefault="00924482" w:rsidP="00924482">
      <w:pPr>
        <w:pStyle w:val="LegalCopy"/>
        <w:sectPr w:rsidR="00924482" w:rsidSect="003D1E62">
          <w:headerReference w:type="even" r:id="rId11"/>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196046425"/>
      <w:bookmarkStart w:id="1" w:name="_Toc247691501"/>
      <w:r w:rsidRPr="0010788A">
        <w:lastRenderedPageBreak/>
        <w:t>Contents</w:t>
      </w:r>
    </w:p>
    <w:p w:rsidR="009C0832" w:rsidRDefault="006116B9">
      <w:pPr>
        <w:pStyle w:val="TOC2"/>
        <w:rPr>
          <w:rFonts w:ascii="Calibri" w:eastAsia="Times New Roman" w:hAnsi="Calibri"/>
          <w:b w:val="0"/>
          <w:noProof/>
          <w:sz w:val="22"/>
          <w:lang w:eastAsia="en-AU"/>
        </w:rPr>
      </w:pPr>
      <w:r>
        <w:fldChar w:fldCharType="begin"/>
      </w:r>
      <w:r w:rsidR="0089635C">
        <w:instrText xml:space="preserve"> TOC \o "1-3" \h \z \u </w:instrText>
      </w:r>
      <w:r>
        <w:fldChar w:fldCharType="separate"/>
      </w:r>
      <w:hyperlink w:anchor="_Toc362534144" w:history="1">
        <w:r w:rsidR="009C0832" w:rsidRPr="000D0CD1">
          <w:rPr>
            <w:rStyle w:val="Hyperlink"/>
            <w:noProof/>
          </w:rPr>
          <w:t>List of abbreviations</w:t>
        </w:r>
        <w:r w:rsidR="009C0832">
          <w:rPr>
            <w:noProof/>
            <w:webHidden/>
          </w:rPr>
          <w:tab/>
        </w:r>
        <w:r>
          <w:rPr>
            <w:noProof/>
            <w:webHidden/>
          </w:rPr>
          <w:fldChar w:fldCharType="begin"/>
        </w:r>
        <w:r w:rsidR="009C0832">
          <w:rPr>
            <w:noProof/>
            <w:webHidden/>
          </w:rPr>
          <w:instrText xml:space="preserve"> PAGEREF _Toc362534144 \h </w:instrText>
        </w:r>
        <w:r>
          <w:rPr>
            <w:noProof/>
            <w:webHidden/>
          </w:rPr>
        </w:r>
        <w:r>
          <w:rPr>
            <w:noProof/>
            <w:webHidden/>
          </w:rPr>
          <w:fldChar w:fldCharType="separate"/>
        </w:r>
        <w:r w:rsidR="009C0832">
          <w:rPr>
            <w:noProof/>
            <w:webHidden/>
          </w:rPr>
          <w:t>4</w:t>
        </w:r>
        <w:r>
          <w:rPr>
            <w:noProof/>
            <w:webHidden/>
          </w:rPr>
          <w:fldChar w:fldCharType="end"/>
        </w:r>
      </w:hyperlink>
    </w:p>
    <w:p w:rsidR="009C0832" w:rsidRDefault="006116B9">
      <w:pPr>
        <w:pStyle w:val="TOC2"/>
        <w:tabs>
          <w:tab w:val="left" w:pos="1100"/>
        </w:tabs>
        <w:rPr>
          <w:rFonts w:ascii="Calibri" w:eastAsia="Times New Roman" w:hAnsi="Calibri"/>
          <w:b w:val="0"/>
          <w:noProof/>
          <w:sz w:val="22"/>
          <w:lang w:eastAsia="en-AU"/>
        </w:rPr>
      </w:pPr>
      <w:hyperlink w:anchor="_Toc362534145" w:history="1">
        <w:r w:rsidR="009C0832" w:rsidRPr="000D0CD1">
          <w:rPr>
            <w:rStyle w:val="Hyperlink"/>
            <w:noProof/>
            <w:lang w:eastAsia="en-AU"/>
          </w:rPr>
          <w:t>1.</w:t>
        </w:r>
        <w:r w:rsidR="009C0832">
          <w:rPr>
            <w:rFonts w:ascii="Calibri" w:eastAsia="Times New Roman" w:hAnsi="Calibri"/>
            <w:b w:val="0"/>
            <w:noProof/>
            <w:sz w:val="22"/>
            <w:lang w:eastAsia="en-AU"/>
          </w:rPr>
          <w:tab/>
        </w:r>
        <w:r w:rsidR="009C0832" w:rsidRPr="000D0CD1">
          <w:rPr>
            <w:rStyle w:val="Hyperlink"/>
            <w:noProof/>
            <w:lang w:eastAsia="en-AU"/>
          </w:rPr>
          <w:t>Clinical rationale</w:t>
        </w:r>
        <w:r w:rsidR="009C0832">
          <w:rPr>
            <w:noProof/>
            <w:webHidden/>
          </w:rPr>
          <w:tab/>
        </w:r>
        <w:r>
          <w:rPr>
            <w:noProof/>
            <w:webHidden/>
          </w:rPr>
          <w:fldChar w:fldCharType="begin"/>
        </w:r>
        <w:r w:rsidR="009C0832">
          <w:rPr>
            <w:noProof/>
            <w:webHidden/>
          </w:rPr>
          <w:instrText xml:space="preserve"> PAGEREF _Toc362534145 \h </w:instrText>
        </w:r>
        <w:r>
          <w:rPr>
            <w:noProof/>
            <w:webHidden/>
          </w:rPr>
        </w:r>
        <w:r>
          <w:rPr>
            <w:noProof/>
            <w:webHidden/>
          </w:rPr>
          <w:fldChar w:fldCharType="separate"/>
        </w:r>
        <w:r w:rsidR="009C0832">
          <w:rPr>
            <w:noProof/>
            <w:webHidden/>
          </w:rPr>
          <w:t>6</w:t>
        </w:r>
        <w:r>
          <w:rPr>
            <w:noProof/>
            <w:webHidden/>
          </w:rPr>
          <w:fldChar w:fldCharType="end"/>
        </w:r>
      </w:hyperlink>
    </w:p>
    <w:p w:rsidR="009C0832" w:rsidRDefault="006116B9">
      <w:pPr>
        <w:pStyle w:val="TOC2"/>
        <w:tabs>
          <w:tab w:val="left" w:pos="1100"/>
        </w:tabs>
        <w:rPr>
          <w:rFonts w:ascii="Calibri" w:eastAsia="Times New Roman" w:hAnsi="Calibri"/>
          <w:b w:val="0"/>
          <w:noProof/>
          <w:sz w:val="22"/>
          <w:lang w:eastAsia="en-AU"/>
        </w:rPr>
      </w:pPr>
      <w:hyperlink w:anchor="_Toc362534146" w:history="1">
        <w:r w:rsidR="009C0832" w:rsidRPr="000D0CD1">
          <w:rPr>
            <w:rStyle w:val="Hyperlink"/>
            <w:noProof/>
            <w:lang w:eastAsia="en-AU"/>
          </w:rPr>
          <w:t>2.</w:t>
        </w:r>
        <w:r w:rsidR="009C0832">
          <w:rPr>
            <w:rFonts w:ascii="Calibri" w:eastAsia="Times New Roman" w:hAnsi="Calibri"/>
            <w:b w:val="0"/>
            <w:noProof/>
            <w:sz w:val="22"/>
            <w:lang w:eastAsia="en-AU"/>
          </w:rPr>
          <w:tab/>
        </w:r>
        <w:r w:rsidR="009C0832" w:rsidRPr="000D0CD1">
          <w:rPr>
            <w:rStyle w:val="Hyperlink"/>
            <w:noProof/>
            <w:lang w:eastAsia="en-AU"/>
          </w:rPr>
          <w:t>Contents of the clinical dossier</w:t>
        </w:r>
        <w:r w:rsidR="009C0832">
          <w:rPr>
            <w:noProof/>
            <w:webHidden/>
          </w:rPr>
          <w:tab/>
        </w:r>
        <w:r>
          <w:rPr>
            <w:noProof/>
            <w:webHidden/>
          </w:rPr>
          <w:fldChar w:fldCharType="begin"/>
        </w:r>
        <w:r w:rsidR="009C0832">
          <w:rPr>
            <w:noProof/>
            <w:webHidden/>
          </w:rPr>
          <w:instrText xml:space="preserve"> PAGEREF _Toc362534146 \h </w:instrText>
        </w:r>
        <w:r>
          <w:rPr>
            <w:noProof/>
            <w:webHidden/>
          </w:rPr>
        </w:r>
        <w:r>
          <w:rPr>
            <w:noProof/>
            <w:webHidden/>
          </w:rPr>
          <w:fldChar w:fldCharType="separate"/>
        </w:r>
        <w:r w:rsidR="009C0832">
          <w:rPr>
            <w:noProof/>
            <w:webHidden/>
          </w:rPr>
          <w:t>6</w:t>
        </w:r>
        <w:r>
          <w:rPr>
            <w:noProof/>
            <w:webHidden/>
          </w:rPr>
          <w:fldChar w:fldCharType="end"/>
        </w:r>
      </w:hyperlink>
    </w:p>
    <w:p w:rsidR="009C0832" w:rsidRDefault="006116B9">
      <w:pPr>
        <w:pStyle w:val="TOC3"/>
        <w:tabs>
          <w:tab w:val="left" w:pos="1760"/>
        </w:tabs>
        <w:rPr>
          <w:rFonts w:ascii="Calibri" w:eastAsia="Times New Roman" w:hAnsi="Calibri"/>
          <w:noProof/>
          <w:lang w:eastAsia="en-AU"/>
        </w:rPr>
      </w:pPr>
      <w:hyperlink w:anchor="_Toc362534147" w:history="1">
        <w:r w:rsidR="009C0832" w:rsidRPr="000D0CD1">
          <w:rPr>
            <w:rStyle w:val="Hyperlink"/>
            <w:noProof/>
          </w:rPr>
          <w:t>2.1.</w:t>
        </w:r>
        <w:r w:rsidR="009C0832">
          <w:rPr>
            <w:rFonts w:ascii="Calibri" w:eastAsia="Times New Roman" w:hAnsi="Calibri"/>
            <w:noProof/>
            <w:lang w:eastAsia="en-AU"/>
          </w:rPr>
          <w:tab/>
        </w:r>
        <w:r w:rsidR="009C0832" w:rsidRPr="000D0CD1">
          <w:rPr>
            <w:rStyle w:val="Hyperlink"/>
            <w:noProof/>
          </w:rPr>
          <w:t>Scope of the clinical dossier</w:t>
        </w:r>
        <w:r w:rsidR="009C0832">
          <w:rPr>
            <w:noProof/>
            <w:webHidden/>
          </w:rPr>
          <w:tab/>
        </w:r>
        <w:r>
          <w:rPr>
            <w:noProof/>
            <w:webHidden/>
          </w:rPr>
          <w:fldChar w:fldCharType="begin"/>
        </w:r>
        <w:r w:rsidR="009C0832">
          <w:rPr>
            <w:noProof/>
            <w:webHidden/>
          </w:rPr>
          <w:instrText xml:space="preserve"> PAGEREF _Toc362534147 \h </w:instrText>
        </w:r>
        <w:r>
          <w:rPr>
            <w:noProof/>
            <w:webHidden/>
          </w:rPr>
        </w:r>
        <w:r>
          <w:rPr>
            <w:noProof/>
            <w:webHidden/>
          </w:rPr>
          <w:fldChar w:fldCharType="separate"/>
        </w:r>
        <w:r w:rsidR="009C0832">
          <w:rPr>
            <w:noProof/>
            <w:webHidden/>
          </w:rPr>
          <w:t>6</w:t>
        </w:r>
        <w:r>
          <w:rPr>
            <w:noProof/>
            <w:webHidden/>
          </w:rPr>
          <w:fldChar w:fldCharType="end"/>
        </w:r>
      </w:hyperlink>
    </w:p>
    <w:p w:rsidR="009C0832" w:rsidRDefault="006116B9">
      <w:pPr>
        <w:pStyle w:val="TOC3"/>
        <w:tabs>
          <w:tab w:val="left" w:pos="1760"/>
        </w:tabs>
        <w:rPr>
          <w:rFonts w:ascii="Calibri" w:eastAsia="Times New Roman" w:hAnsi="Calibri"/>
          <w:noProof/>
          <w:lang w:eastAsia="en-AU"/>
        </w:rPr>
      </w:pPr>
      <w:hyperlink w:anchor="_Toc362534148" w:history="1">
        <w:r w:rsidR="009C0832" w:rsidRPr="000D0CD1">
          <w:rPr>
            <w:rStyle w:val="Hyperlink"/>
            <w:noProof/>
          </w:rPr>
          <w:t>2.2.</w:t>
        </w:r>
        <w:r w:rsidR="009C0832">
          <w:rPr>
            <w:rFonts w:ascii="Calibri" w:eastAsia="Times New Roman" w:hAnsi="Calibri"/>
            <w:noProof/>
            <w:lang w:eastAsia="en-AU"/>
          </w:rPr>
          <w:tab/>
        </w:r>
        <w:r w:rsidR="009C0832" w:rsidRPr="000D0CD1">
          <w:rPr>
            <w:rStyle w:val="Hyperlink"/>
            <w:noProof/>
          </w:rPr>
          <w:t>Paediatric data</w:t>
        </w:r>
        <w:r w:rsidR="009C0832">
          <w:rPr>
            <w:noProof/>
            <w:webHidden/>
          </w:rPr>
          <w:tab/>
        </w:r>
        <w:r>
          <w:rPr>
            <w:noProof/>
            <w:webHidden/>
          </w:rPr>
          <w:fldChar w:fldCharType="begin"/>
        </w:r>
        <w:r w:rsidR="009C0832">
          <w:rPr>
            <w:noProof/>
            <w:webHidden/>
          </w:rPr>
          <w:instrText xml:space="preserve"> PAGEREF _Toc362534148 \h </w:instrText>
        </w:r>
        <w:r>
          <w:rPr>
            <w:noProof/>
            <w:webHidden/>
          </w:rPr>
        </w:r>
        <w:r>
          <w:rPr>
            <w:noProof/>
            <w:webHidden/>
          </w:rPr>
          <w:fldChar w:fldCharType="separate"/>
        </w:r>
        <w:r w:rsidR="009C0832">
          <w:rPr>
            <w:noProof/>
            <w:webHidden/>
          </w:rPr>
          <w:t>6</w:t>
        </w:r>
        <w:r>
          <w:rPr>
            <w:noProof/>
            <w:webHidden/>
          </w:rPr>
          <w:fldChar w:fldCharType="end"/>
        </w:r>
      </w:hyperlink>
    </w:p>
    <w:p w:rsidR="009C0832" w:rsidRDefault="006116B9">
      <w:pPr>
        <w:pStyle w:val="TOC3"/>
        <w:tabs>
          <w:tab w:val="left" w:pos="1760"/>
        </w:tabs>
        <w:rPr>
          <w:rFonts w:ascii="Calibri" w:eastAsia="Times New Roman" w:hAnsi="Calibri"/>
          <w:noProof/>
          <w:lang w:eastAsia="en-AU"/>
        </w:rPr>
      </w:pPr>
      <w:hyperlink w:anchor="_Toc362534149" w:history="1">
        <w:r w:rsidR="009C0832" w:rsidRPr="000D0CD1">
          <w:rPr>
            <w:rStyle w:val="Hyperlink"/>
            <w:noProof/>
          </w:rPr>
          <w:t>2.3.</w:t>
        </w:r>
        <w:r w:rsidR="009C0832">
          <w:rPr>
            <w:rFonts w:ascii="Calibri" w:eastAsia="Times New Roman" w:hAnsi="Calibri"/>
            <w:noProof/>
            <w:lang w:eastAsia="en-AU"/>
          </w:rPr>
          <w:tab/>
        </w:r>
        <w:r w:rsidR="009C0832" w:rsidRPr="000D0CD1">
          <w:rPr>
            <w:rStyle w:val="Hyperlink"/>
            <w:noProof/>
          </w:rPr>
          <w:t>Good clinical practice</w:t>
        </w:r>
        <w:r w:rsidR="009C0832">
          <w:rPr>
            <w:noProof/>
            <w:webHidden/>
          </w:rPr>
          <w:tab/>
        </w:r>
        <w:r>
          <w:rPr>
            <w:noProof/>
            <w:webHidden/>
          </w:rPr>
          <w:fldChar w:fldCharType="begin"/>
        </w:r>
        <w:r w:rsidR="009C0832">
          <w:rPr>
            <w:noProof/>
            <w:webHidden/>
          </w:rPr>
          <w:instrText xml:space="preserve"> PAGEREF _Toc362534149 \h </w:instrText>
        </w:r>
        <w:r>
          <w:rPr>
            <w:noProof/>
            <w:webHidden/>
          </w:rPr>
        </w:r>
        <w:r>
          <w:rPr>
            <w:noProof/>
            <w:webHidden/>
          </w:rPr>
          <w:fldChar w:fldCharType="separate"/>
        </w:r>
        <w:r w:rsidR="009C0832">
          <w:rPr>
            <w:noProof/>
            <w:webHidden/>
          </w:rPr>
          <w:t>6</w:t>
        </w:r>
        <w:r>
          <w:rPr>
            <w:noProof/>
            <w:webHidden/>
          </w:rPr>
          <w:fldChar w:fldCharType="end"/>
        </w:r>
      </w:hyperlink>
    </w:p>
    <w:p w:rsidR="009C0832" w:rsidRDefault="006116B9">
      <w:pPr>
        <w:pStyle w:val="TOC2"/>
        <w:tabs>
          <w:tab w:val="left" w:pos="1100"/>
        </w:tabs>
        <w:rPr>
          <w:rFonts w:ascii="Calibri" w:eastAsia="Times New Roman" w:hAnsi="Calibri"/>
          <w:b w:val="0"/>
          <w:noProof/>
          <w:sz w:val="22"/>
          <w:lang w:eastAsia="en-AU"/>
        </w:rPr>
      </w:pPr>
      <w:hyperlink w:anchor="_Toc362534150" w:history="1">
        <w:r w:rsidR="009C0832" w:rsidRPr="000D0CD1">
          <w:rPr>
            <w:rStyle w:val="Hyperlink"/>
            <w:noProof/>
          </w:rPr>
          <w:t>3.</w:t>
        </w:r>
        <w:r w:rsidR="009C0832">
          <w:rPr>
            <w:rFonts w:ascii="Calibri" w:eastAsia="Times New Roman" w:hAnsi="Calibri"/>
            <w:b w:val="0"/>
            <w:noProof/>
            <w:sz w:val="22"/>
            <w:lang w:eastAsia="en-AU"/>
          </w:rPr>
          <w:tab/>
        </w:r>
        <w:r w:rsidR="009C0832" w:rsidRPr="000D0CD1">
          <w:rPr>
            <w:rStyle w:val="Hyperlink"/>
            <w:noProof/>
          </w:rPr>
          <w:t>Pharmacokinetics</w:t>
        </w:r>
        <w:r w:rsidR="009C0832">
          <w:rPr>
            <w:noProof/>
            <w:webHidden/>
          </w:rPr>
          <w:tab/>
        </w:r>
        <w:r>
          <w:rPr>
            <w:noProof/>
            <w:webHidden/>
          </w:rPr>
          <w:fldChar w:fldCharType="begin"/>
        </w:r>
        <w:r w:rsidR="009C0832">
          <w:rPr>
            <w:noProof/>
            <w:webHidden/>
          </w:rPr>
          <w:instrText xml:space="preserve"> PAGEREF _Toc362534150 \h </w:instrText>
        </w:r>
        <w:r>
          <w:rPr>
            <w:noProof/>
            <w:webHidden/>
          </w:rPr>
        </w:r>
        <w:r>
          <w:rPr>
            <w:noProof/>
            <w:webHidden/>
          </w:rPr>
          <w:fldChar w:fldCharType="separate"/>
        </w:r>
        <w:r w:rsidR="009C0832">
          <w:rPr>
            <w:noProof/>
            <w:webHidden/>
          </w:rPr>
          <w:t>7</w:t>
        </w:r>
        <w:r>
          <w:rPr>
            <w:noProof/>
            <w:webHidden/>
          </w:rPr>
          <w:fldChar w:fldCharType="end"/>
        </w:r>
      </w:hyperlink>
    </w:p>
    <w:p w:rsidR="009C0832" w:rsidRDefault="006116B9">
      <w:pPr>
        <w:pStyle w:val="TOC3"/>
        <w:tabs>
          <w:tab w:val="left" w:pos="1760"/>
        </w:tabs>
        <w:rPr>
          <w:rFonts w:ascii="Calibri" w:eastAsia="Times New Roman" w:hAnsi="Calibri"/>
          <w:noProof/>
          <w:lang w:eastAsia="en-AU"/>
        </w:rPr>
      </w:pPr>
      <w:hyperlink w:anchor="_Toc362534151" w:history="1">
        <w:r w:rsidR="009C0832" w:rsidRPr="000D0CD1">
          <w:rPr>
            <w:rStyle w:val="Hyperlink"/>
            <w:noProof/>
          </w:rPr>
          <w:t>3.1.</w:t>
        </w:r>
        <w:r w:rsidR="009C0832">
          <w:rPr>
            <w:rFonts w:ascii="Calibri" w:eastAsia="Times New Roman" w:hAnsi="Calibri"/>
            <w:noProof/>
            <w:lang w:eastAsia="en-AU"/>
          </w:rPr>
          <w:tab/>
        </w:r>
        <w:r w:rsidR="009C0832" w:rsidRPr="000D0CD1">
          <w:rPr>
            <w:rStyle w:val="Hyperlink"/>
            <w:noProof/>
          </w:rPr>
          <w:t>Studies providing pharmacokinetic data</w:t>
        </w:r>
        <w:r w:rsidR="009C0832">
          <w:rPr>
            <w:noProof/>
            <w:webHidden/>
          </w:rPr>
          <w:tab/>
        </w:r>
        <w:r>
          <w:rPr>
            <w:noProof/>
            <w:webHidden/>
          </w:rPr>
          <w:fldChar w:fldCharType="begin"/>
        </w:r>
        <w:r w:rsidR="009C0832">
          <w:rPr>
            <w:noProof/>
            <w:webHidden/>
          </w:rPr>
          <w:instrText xml:space="preserve"> PAGEREF _Toc362534151 \h </w:instrText>
        </w:r>
        <w:r>
          <w:rPr>
            <w:noProof/>
            <w:webHidden/>
          </w:rPr>
        </w:r>
        <w:r>
          <w:rPr>
            <w:noProof/>
            <w:webHidden/>
          </w:rPr>
          <w:fldChar w:fldCharType="separate"/>
        </w:r>
        <w:r w:rsidR="009C0832">
          <w:rPr>
            <w:noProof/>
            <w:webHidden/>
          </w:rPr>
          <w:t>7</w:t>
        </w:r>
        <w:r>
          <w:rPr>
            <w:noProof/>
            <w:webHidden/>
          </w:rPr>
          <w:fldChar w:fldCharType="end"/>
        </w:r>
      </w:hyperlink>
    </w:p>
    <w:p w:rsidR="009C0832" w:rsidRDefault="006116B9">
      <w:pPr>
        <w:pStyle w:val="TOC3"/>
        <w:tabs>
          <w:tab w:val="left" w:pos="1760"/>
        </w:tabs>
        <w:rPr>
          <w:rFonts w:ascii="Calibri" w:eastAsia="Times New Roman" w:hAnsi="Calibri"/>
          <w:noProof/>
          <w:lang w:eastAsia="en-AU"/>
        </w:rPr>
      </w:pPr>
      <w:hyperlink w:anchor="_Toc362534152" w:history="1">
        <w:r w:rsidR="009C0832" w:rsidRPr="000D0CD1">
          <w:rPr>
            <w:rStyle w:val="Hyperlink"/>
            <w:noProof/>
          </w:rPr>
          <w:t>3.2.</w:t>
        </w:r>
        <w:r w:rsidR="009C0832">
          <w:rPr>
            <w:rFonts w:ascii="Calibri" w:eastAsia="Times New Roman" w:hAnsi="Calibri"/>
            <w:noProof/>
            <w:lang w:eastAsia="en-AU"/>
          </w:rPr>
          <w:tab/>
        </w:r>
        <w:r w:rsidR="009C0832" w:rsidRPr="000D0CD1">
          <w:rPr>
            <w:rStyle w:val="Hyperlink"/>
            <w:noProof/>
          </w:rPr>
          <w:t>Summary of pharmacokinetics</w:t>
        </w:r>
        <w:r w:rsidR="009C0832">
          <w:rPr>
            <w:noProof/>
            <w:webHidden/>
          </w:rPr>
          <w:tab/>
        </w:r>
        <w:r>
          <w:rPr>
            <w:noProof/>
            <w:webHidden/>
          </w:rPr>
          <w:fldChar w:fldCharType="begin"/>
        </w:r>
        <w:r w:rsidR="009C0832">
          <w:rPr>
            <w:noProof/>
            <w:webHidden/>
          </w:rPr>
          <w:instrText xml:space="preserve"> PAGEREF _Toc362534152 \h </w:instrText>
        </w:r>
        <w:r>
          <w:rPr>
            <w:noProof/>
            <w:webHidden/>
          </w:rPr>
        </w:r>
        <w:r>
          <w:rPr>
            <w:noProof/>
            <w:webHidden/>
          </w:rPr>
          <w:fldChar w:fldCharType="separate"/>
        </w:r>
        <w:r w:rsidR="009C0832">
          <w:rPr>
            <w:noProof/>
            <w:webHidden/>
          </w:rPr>
          <w:t>7</w:t>
        </w:r>
        <w:r>
          <w:rPr>
            <w:noProof/>
            <w:webHidden/>
          </w:rPr>
          <w:fldChar w:fldCharType="end"/>
        </w:r>
      </w:hyperlink>
    </w:p>
    <w:p w:rsidR="009C0832" w:rsidRDefault="006116B9">
      <w:pPr>
        <w:pStyle w:val="TOC3"/>
        <w:tabs>
          <w:tab w:val="left" w:pos="1760"/>
        </w:tabs>
        <w:rPr>
          <w:rFonts w:ascii="Calibri" w:eastAsia="Times New Roman" w:hAnsi="Calibri"/>
          <w:noProof/>
          <w:lang w:eastAsia="en-AU"/>
        </w:rPr>
      </w:pPr>
      <w:hyperlink w:anchor="_Toc362534153" w:history="1">
        <w:r w:rsidR="009C0832" w:rsidRPr="000D0CD1">
          <w:rPr>
            <w:rStyle w:val="Hyperlink"/>
            <w:noProof/>
          </w:rPr>
          <w:t>3.3.</w:t>
        </w:r>
        <w:r w:rsidR="009C0832">
          <w:rPr>
            <w:rFonts w:ascii="Calibri" w:eastAsia="Times New Roman" w:hAnsi="Calibri"/>
            <w:noProof/>
            <w:lang w:eastAsia="en-AU"/>
          </w:rPr>
          <w:tab/>
        </w:r>
        <w:r w:rsidR="009C0832" w:rsidRPr="000D0CD1">
          <w:rPr>
            <w:rStyle w:val="Hyperlink"/>
            <w:noProof/>
          </w:rPr>
          <w:t>Evaluator’s overall conclusions on pharmacokinetics</w:t>
        </w:r>
        <w:r w:rsidR="009C0832">
          <w:rPr>
            <w:noProof/>
            <w:webHidden/>
          </w:rPr>
          <w:tab/>
        </w:r>
        <w:r>
          <w:rPr>
            <w:noProof/>
            <w:webHidden/>
          </w:rPr>
          <w:fldChar w:fldCharType="begin"/>
        </w:r>
        <w:r w:rsidR="009C0832">
          <w:rPr>
            <w:noProof/>
            <w:webHidden/>
          </w:rPr>
          <w:instrText xml:space="preserve"> PAGEREF _Toc362534153 \h </w:instrText>
        </w:r>
        <w:r>
          <w:rPr>
            <w:noProof/>
            <w:webHidden/>
          </w:rPr>
        </w:r>
        <w:r>
          <w:rPr>
            <w:noProof/>
            <w:webHidden/>
          </w:rPr>
          <w:fldChar w:fldCharType="separate"/>
        </w:r>
        <w:r w:rsidR="009C0832">
          <w:rPr>
            <w:noProof/>
            <w:webHidden/>
          </w:rPr>
          <w:t>8</w:t>
        </w:r>
        <w:r>
          <w:rPr>
            <w:noProof/>
            <w:webHidden/>
          </w:rPr>
          <w:fldChar w:fldCharType="end"/>
        </w:r>
      </w:hyperlink>
    </w:p>
    <w:p w:rsidR="009C0832" w:rsidRDefault="006116B9">
      <w:pPr>
        <w:pStyle w:val="TOC2"/>
        <w:tabs>
          <w:tab w:val="left" w:pos="1100"/>
        </w:tabs>
        <w:rPr>
          <w:rFonts w:ascii="Calibri" w:eastAsia="Times New Roman" w:hAnsi="Calibri"/>
          <w:b w:val="0"/>
          <w:noProof/>
          <w:sz w:val="22"/>
          <w:lang w:eastAsia="en-AU"/>
        </w:rPr>
      </w:pPr>
      <w:hyperlink w:anchor="_Toc362534154" w:history="1">
        <w:r w:rsidR="009C0832" w:rsidRPr="000D0CD1">
          <w:rPr>
            <w:rStyle w:val="Hyperlink"/>
            <w:noProof/>
          </w:rPr>
          <w:t>4.</w:t>
        </w:r>
        <w:r w:rsidR="009C0832">
          <w:rPr>
            <w:rFonts w:ascii="Calibri" w:eastAsia="Times New Roman" w:hAnsi="Calibri"/>
            <w:b w:val="0"/>
            <w:noProof/>
            <w:sz w:val="22"/>
            <w:lang w:eastAsia="en-AU"/>
          </w:rPr>
          <w:tab/>
        </w:r>
        <w:r w:rsidR="009C0832" w:rsidRPr="000D0CD1">
          <w:rPr>
            <w:rStyle w:val="Hyperlink"/>
            <w:noProof/>
          </w:rPr>
          <w:t>Pharmacodynamics</w:t>
        </w:r>
        <w:r w:rsidR="009C0832">
          <w:rPr>
            <w:noProof/>
            <w:webHidden/>
          </w:rPr>
          <w:tab/>
        </w:r>
        <w:r>
          <w:rPr>
            <w:noProof/>
            <w:webHidden/>
          </w:rPr>
          <w:fldChar w:fldCharType="begin"/>
        </w:r>
        <w:r w:rsidR="009C0832">
          <w:rPr>
            <w:noProof/>
            <w:webHidden/>
          </w:rPr>
          <w:instrText xml:space="preserve"> PAGEREF _Toc362534154 \h </w:instrText>
        </w:r>
        <w:r>
          <w:rPr>
            <w:noProof/>
            <w:webHidden/>
          </w:rPr>
        </w:r>
        <w:r>
          <w:rPr>
            <w:noProof/>
            <w:webHidden/>
          </w:rPr>
          <w:fldChar w:fldCharType="separate"/>
        </w:r>
        <w:r w:rsidR="009C0832">
          <w:rPr>
            <w:noProof/>
            <w:webHidden/>
          </w:rPr>
          <w:t>8</w:t>
        </w:r>
        <w:r>
          <w:rPr>
            <w:noProof/>
            <w:webHidden/>
          </w:rPr>
          <w:fldChar w:fldCharType="end"/>
        </w:r>
      </w:hyperlink>
    </w:p>
    <w:p w:rsidR="009C0832" w:rsidRDefault="006116B9">
      <w:pPr>
        <w:pStyle w:val="TOC2"/>
        <w:tabs>
          <w:tab w:val="left" w:pos="1100"/>
        </w:tabs>
        <w:rPr>
          <w:rFonts w:ascii="Calibri" w:eastAsia="Times New Roman" w:hAnsi="Calibri"/>
          <w:b w:val="0"/>
          <w:noProof/>
          <w:sz w:val="22"/>
          <w:lang w:eastAsia="en-AU"/>
        </w:rPr>
      </w:pPr>
      <w:hyperlink w:anchor="_Toc362534155" w:history="1">
        <w:r w:rsidR="009C0832" w:rsidRPr="000D0CD1">
          <w:rPr>
            <w:rStyle w:val="Hyperlink"/>
            <w:noProof/>
          </w:rPr>
          <w:t>5.</w:t>
        </w:r>
        <w:r w:rsidR="009C0832">
          <w:rPr>
            <w:rFonts w:ascii="Calibri" w:eastAsia="Times New Roman" w:hAnsi="Calibri"/>
            <w:b w:val="0"/>
            <w:noProof/>
            <w:sz w:val="22"/>
            <w:lang w:eastAsia="en-AU"/>
          </w:rPr>
          <w:tab/>
        </w:r>
        <w:r w:rsidR="009C0832" w:rsidRPr="000D0CD1">
          <w:rPr>
            <w:rStyle w:val="Hyperlink"/>
            <w:noProof/>
          </w:rPr>
          <w:t>Dosage selection for the pivotal studies</w:t>
        </w:r>
        <w:r w:rsidR="009C0832">
          <w:rPr>
            <w:noProof/>
            <w:webHidden/>
          </w:rPr>
          <w:tab/>
        </w:r>
        <w:r>
          <w:rPr>
            <w:noProof/>
            <w:webHidden/>
          </w:rPr>
          <w:fldChar w:fldCharType="begin"/>
        </w:r>
        <w:r w:rsidR="009C0832">
          <w:rPr>
            <w:noProof/>
            <w:webHidden/>
          </w:rPr>
          <w:instrText xml:space="preserve"> PAGEREF _Toc362534155 \h </w:instrText>
        </w:r>
        <w:r>
          <w:rPr>
            <w:noProof/>
            <w:webHidden/>
          </w:rPr>
        </w:r>
        <w:r>
          <w:rPr>
            <w:noProof/>
            <w:webHidden/>
          </w:rPr>
          <w:fldChar w:fldCharType="separate"/>
        </w:r>
        <w:r w:rsidR="009C0832">
          <w:rPr>
            <w:noProof/>
            <w:webHidden/>
          </w:rPr>
          <w:t>8</w:t>
        </w:r>
        <w:r>
          <w:rPr>
            <w:noProof/>
            <w:webHidden/>
          </w:rPr>
          <w:fldChar w:fldCharType="end"/>
        </w:r>
      </w:hyperlink>
    </w:p>
    <w:p w:rsidR="009C0832" w:rsidRDefault="006116B9">
      <w:pPr>
        <w:pStyle w:val="TOC2"/>
        <w:tabs>
          <w:tab w:val="left" w:pos="1100"/>
        </w:tabs>
        <w:rPr>
          <w:rFonts w:ascii="Calibri" w:eastAsia="Times New Roman" w:hAnsi="Calibri"/>
          <w:b w:val="0"/>
          <w:noProof/>
          <w:sz w:val="22"/>
          <w:lang w:eastAsia="en-AU"/>
        </w:rPr>
      </w:pPr>
      <w:hyperlink w:anchor="_Toc362534156" w:history="1">
        <w:r w:rsidR="009C0832" w:rsidRPr="000D0CD1">
          <w:rPr>
            <w:rStyle w:val="Hyperlink"/>
            <w:noProof/>
          </w:rPr>
          <w:t>6.</w:t>
        </w:r>
        <w:r w:rsidR="009C0832">
          <w:rPr>
            <w:rFonts w:ascii="Calibri" w:eastAsia="Times New Roman" w:hAnsi="Calibri"/>
            <w:b w:val="0"/>
            <w:noProof/>
            <w:sz w:val="22"/>
            <w:lang w:eastAsia="en-AU"/>
          </w:rPr>
          <w:tab/>
        </w:r>
        <w:r w:rsidR="009C0832" w:rsidRPr="000D0CD1">
          <w:rPr>
            <w:rStyle w:val="Hyperlink"/>
            <w:noProof/>
          </w:rPr>
          <w:t>Clinical efficacy</w:t>
        </w:r>
        <w:r w:rsidR="009C0832">
          <w:rPr>
            <w:noProof/>
            <w:webHidden/>
          </w:rPr>
          <w:tab/>
        </w:r>
        <w:r>
          <w:rPr>
            <w:noProof/>
            <w:webHidden/>
          </w:rPr>
          <w:fldChar w:fldCharType="begin"/>
        </w:r>
        <w:r w:rsidR="009C0832">
          <w:rPr>
            <w:noProof/>
            <w:webHidden/>
          </w:rPr>
          <w:instrText xml:space="preserve"> PAGEREF _Toc362534156 \h </w:instrText>
        </w:r>
        <w:r>
          <w:rPr>
            <w:noProof/>
            <w:webHidden/>
          </w:rPr>
        </w:r>
        <w:r>
          <w:rPr>
            <w:noProof/>
            <w:webHidden/>
          </w:rPr>
          <w:fldChar w:fldCharType="separate"/>
        </w:r>
        <w:r w:rsidR="009C0832">
          <w:rPr>
            <w:noProof/>
            <w:webHidden/>
          </w:rPr>
          <w:t>9</w:t>
        </w:r>
        <w:r>
          <w:rPr>
            <w:noProof/>
            <w:webHidden/>
          </w:rPr>
          <w:fldChar w:fldCharType="end"/>
        </w:r>
      </w:hyperlink>
    </w:p>
    <w:p w:rsidR="009C0832" w:rsidRDefault="006116B9">
      <w:pPr>
        <w:pStyle w:val="TOC3"/>
        <w:tabs>
          <w:tab w:val="left" w:pos="1760"/>
        </w:tabs>
        <w:rPr>
          <w:rFonts w:ascii="Calibri" w:eastAsia="Times New Roman" w:hAnsi="Calibri"/>
          <w:noProof/>
          <w:lang w:eastAsia="en-AU"/>
        </w:rPr>
      </w:pPr>
      <w:hyperlink w:anchor="_Toc362534157" w:history="1">
        <w:r w:rsidR="009C0832" w:rsidRPr="000D0CD1">
          <w:rPr>
            <w:rStyle w:val="Hyperlink"/>
            <w:noProof/>
          </w:rPr>
          <w:t>6.1.</w:t>
        </w:r>
        <w:r w:rsidR="009C0832">
          <w:rPr>
            <w:rFonts w:ascii="Calibri" w:eastAsia="Times New Roman" w:hAnsi="Calibri"/>
            <w:noProof/>
            <w:lang w:eastAsia="en-AU"/>
          </w:rPr>
          <w:tab/>
        </w:r>
        <w:r w:rsidR="009C0832" w:rsidRPr="000D0CD1">
          <w:rPr>
            <w:rStyle w:val="Hyperlink"/>
            <w:noProof/>
          </w:rPr>
          <w:t>Efficacy in MDS</w:t>
        </w:r>
        <w:r w:rsidR="009C0832">
          <w:rPr>
            <w:noProof/>
            <w:webHidden/>
          </w:rPr>
          <w:tab/>
        </w:r>
        <w:r>
          <w:rPr>
            <w:noProof/>
            <w:webHidden/>
          </w:rPr>
          <w:fldChar w:fldCharType="begin"/>
        </w:r>
        <w:r w:rsidR="009C0832">
          <w:rPr>
            <w:noProof/>
            <w:webHidden/>
          </w:rPr>
          <w:instrText xml:space="preserve"> PAGEREF _Toc362534157 \h </w:instrText>
        </w:r>
        <w:r>
          <w:rPr>
            <w:noProof/>
            <w:webHidden/>
          </w:rPr>
        </w:r>
        <w:r>
          <w:rPr>
            <w:noProof/>
            <w:webHidden/>
          </w:rPr>
          <w:fldChar w:fldCharType="separate"/>
        </w:r>
        <w:r w:rsidR="009C0832">
          <w:rPr>
            <w:noProof/>
            <w:webHidden/>
          </w:rPr>
          <w:t>9</w:t>
        </w:r>
        <w:r>
          <w:rPr>
            <w:noProof/>
            <w:webHidden/>
          </w:rPr>
          <w:fldChar w:fldCharType="end"/>
        </w:r>
      </w:hyperlink>
    </w:p>
    <w:p w:rsidR="009C0832" w:rsidRDefault="006116B9">
      <w:pPr>
        <w:pStyle w:val="TOC2"/>
        <w:tabs>
          <w:tab w:val="left" w:pos="1100"/>
        </w:tabs>
        <w:rPr>
          <w:rFonts w:ascii="Calibri" w:eastAsia="Times New Roman" w:hAnsi="Calibri"/>
          <w:b w:val="0"/>
          <w:noProof/>
          <w:sz w:val="22"/>
          <w:lang w:eastAsia="en-AU"/>
        </w:rPr>
      </w:pPr>
      <w:hyperlink w:anchor="_Toc362534158" w:history="1">
        <w:r w:rsidR="009C0832" w:rsidRPr="000D0CD1">
          <w:rPr>
            <w:rStyle w:val="Hyperlink"/>
            <w:noProof/>
          </w:rPr>
          <w:t>7.</w:t>
        </w:r>
        <w:r w:rsidR="009C0832">
          <w:rPr>
            <w:rFonts w:ascii="Calibri" w:eastAsia="Times New Roman" w:hAnsi="Calibri"/>
            <w:b w:val="0"/>
            <w:noProof/>
            <w:sz w:val="22"/>
            <w:lang w:eastAsia="en-AU"/>
          </w:rPr>
          <w:tab/>
        </w:r>
        <w:r w:rsidR="009C0832" w:rsidRPr="000D0CD1">
          <w:rPr>
            <w:rStyle w:val="Hyperlink"/>
            <w:noProof/>
          </w:rPr>
          <w:t>Clinical safety</w:t>
        </w:r>
        <w:r w:rsidR="009C0832">
          <w:rPr>
            <w:noProof/>
            <w:webHidden/>
          </w:rPr>
          <w:tab/>
        </w:r>
        <w:r>
          <w:rPr>
            <w:noProof/>
            <w:webHidden/>
          </w:rPr>
          <w:fldChar w:fldCharType="begin"/>
        </w:r>
        <w:r w:rsidR="009C0832">
          <w:rPr>
            <w:noProof/>
            <w:webHidden/>
          </w:rPr>
          <w:instrText xml:space="preserve"> PAGEREF _Toc362534158 \h </w:instrText>
        </w:r>
        <w:r>
          <w:rPr>
            <w:noProof/>
            <w:webHidden/>
          </w:rPr>
        </w:r>
        <w:r>
          <w:rPr>
            <w:noProof/>
            <w:webHidden/>
          </w:rPr>
          <w:fldChar w:fldCharType="separate"/>
        </w:r>
        <w:r w:rsidR="009C0832">
          <w:rPr>
            <w:noProof/>
            <w:webHidden/>
          </w:rPr>
          <w:t>11</w:t>
        </w:r>
        <w:r>
          <w:rPr>
            <w:noProof/>
            <w:webHidden/>
          </w:rPr>
          <w:fldChar w:fldCharType="end"/>
        </w:r>
      </w:hyperlink>
    </w:p>
    <w:p w:rsidR="009C0832" w:rsidRDefault="006116B9">
      <w:pPr>
        <w:pStyle w:val="TOC3"/>
        <w:tabs>
          <w:tab w:val="left" w:pos="1760"/>
        </w:tabs>
        <w:rPr>
          <w:rFonts w:ascii="Calibri" w:eastAsia="Times New Roman" w:hAnsi="Calibri"/>
          <w:noProof/>
          <w:lang w:eastAsia="en-AU"/>
        </w:rPr>
      </w:pPr>
      <w:hyperlink w:anchor="_Toc362534159" w:history="1">
        <w:r w:rsidR="009C0832" w:rsidRPr="000D0CD1">
          <w:rPr>
            <w:rStyle w:val="Hyperlink"/>
            <w:noProof/>
          </w:rPr>
          <w:t>7.1.</w:t>
        </w:r>
        <w:r w:rsidR="009C0832">
          <w:rPr>
            <w:rFonts w:ascii="Calibri" w:eastAsia="Times New Roman" w:hAnsi="Calibri"/>
            <w:noProof/>
            <w:lang w:eastAsia="en-AU"/>
          </w:rPr>
          <w:tab/>
        </w:r>
        <w:r w:rsidR="009C0832" w:rsidRPr="000D0CD1">
          <w:rPr>
            <w:rStyle w:val="Hyperlink"/>
            <w:noProof/>
          </w:rPr>
          <w:t>Studies providing evaluable safety data</w:t>
        </w:r>
        <w:r w:rsidR="009C0832">
          <w:rPr>
            <w:noProof/>
            <w:webHidden/>
          </w:rPr>
          <w:tab/>
        </w:r>
        <w:r>
          <w:rPr>
            <w:noProof/>
            <w:webHidden/>
          </w:rPr>
          <w:fldChar w:fldCharType="begin"/>
        </w:r>
        <w:r w:rsidR="009C0832">
          <w:rPr>
            <w:noProof/>
            <w:webHidden/>
          </w:rPr>
          <w:instrText xml:space="preserve"> PAGEREF _Toc362534159 \h </w:instrText>
        </w:r>
        <w:r>
          <w:rPr>
            <w:noProof/>
            <w:webHidden/>
          </w:rPr>
        </w:r>
        <w:r>
          <w:rPr>
            <w:noProof/>
            <w:webHidden/>
          </w:rPr>
          <w:fldChar w:fldCharType="separate"/>
        </w:r>
        <w:r w:rsidR="009C0832">
          <w:rPr>
            <w:noProof/>
            <w:webHidden/>
          </w:rPr>
          <w:t>11</w:t>
        </w:r>
        <w:r>
          <w:rPr>
            <w:noProof/>
            <w:webHidden/>
          </w:rPr>
          <w:fldChar w:fldCharType="end"/>
        </w:r>
      </w:hyperlink>
    </w:p>
    <w:p w:rsidR="009C0832" w:rsidRDefault="006116B9">
      <w:pPr>
        <w:pStyle w:val="TOC3"/>
        <w:tabs>
          <w:tab w:val="left" w:pos="1760"/>
        </w:tabs>
        <w:rPr>
          <w:rFonts w:ascii="Calibri" w:eastAsia="Times New Roman" w:hAnsi="Calibri"/>
          <w:noProof/>
          <w:lang w:eastAsia="en-AU"/>
        </w:rPr>
      </w:pPr>
      <w:hyperlink w:anchor="_Toc362534160" w:history="1">
        <w:r w:rsidR="009C0832" w:rsidRPr="000D0CD1">
          <w:rPr>
            <w:rStyle w:val="Hyperlink"/>
            <w:noProof/>
          </w:rPr>
          <w:t>7.2.</w:t>
        </w:r>
        <w:r w:rsidR="009C0832">
          <w:rPr>
            <w:rFonts w:ascii="Calibri" w:eastAsia="Times New Roman" w:hAnsi="Calibri"/>
            <w:noProof/>
            <w:lang w:eastAsia="en-AU"/>
          </w:rPr>
          <w:tab/>
        </w:r>
        <w:r w:rsidR="009C0832" w:rsidRPr="000D0CD1">
          <w:rPr>
            <w:rStyle w:val="Hyperlink"/>
            <w:noProof/>
          </w:rPr>
          <w:t>Patient exposure</w:t>
        </w:r>
        <w:r w:rsidR="009C0832">
          <w:rPr>
            <w:noProof/>
            <w:webHidden/>
          </w:rPr>
          <w:tab/>
        </w:r>
        <w:r>
          <w:rPr>
            <w:noProof/>
            <w:webHidden/>
          </w:rPr>
          <w:fldChar w:fldCharType="begin"/>
        </w:r>
        <w:r w:rsidR="009C0832">
          <w:rPr>
            <w:noProof/>
            <w:webHidden/>
          </w:rPr>
          <w:instrText xml:space="preserve"> PAGEREF _Toc362534160 \h </w:instrText>
        </w:r>
        <w:r>
          <w:rPr>
            <w:noProof/>
            <w:webHidden/>
          </w:rPr>
        </w:r>
        <w:r>
          <w:rPr>
            <w:noProof/>
            <w:webHidden/>
          </w:rPr>
          <w:fldChar w:fldCharType="separate"/>
        </w:r>
        <w:r w:rsidR="009C0832">
          <w:rPr>
            <w:noProof/>
            <w:webHidden/>
          </w:rPr>
          <w:t>12</w:t>
        </w:r>
        <w:r>
          <w:rPr>
            <w:noProof/>
            <w:webHidden/>
          </w:rPr>
          <w:fldChar w:fldCharType="end"/>
        </w:r>
      </w:hyperlink>
    </w:p>
    <w:p w:rsidR="009C0832" w:rsidRDefault="006116B9">
      <w:pPr>
        <w:pStyle w:val="TOC2"/>
        <w:tabs>
          <w:tab w:val="left" w:pos="1320"/>
        </w:tabs>
        <w:rPr>
          <w:rFonts w:ascii="Calibri" w:eastAsia="Times New Roman" w:hAnsi="Calibri"/>
          <w:b w:val="0"/>
          <w:noProof/>
          <w:sz w:val="22"/>
          <w:lang w:eastAsia="en-AU"/>
        </w:rPr>
      </w:pPr>
      <w:hyperlink w:anchor="_Toc362534161" w:history="1">
        <w:r w:rsidR="009C0832" w:rsidRPr="000D0CD1">
          <w:rPr>
            <w:rStyle w:val="Hyperlink"/>
            <w:noProof/>
          </w:rPr>
          <w:t>7.3.</w:t>
        </w:r>
        <w:r w:rsidR="009C0832">
          <w:rPr>
            <w:rFonts w:ascii="Calibri" w:eastAsia="Times New Roman" w:hAnsi="Calibri"/>
            <w:b w:val="0"/>
            <w:noProof/>
            <w:sz w:val="22"/>
            <w:lang w:eastAsia="en-AU"/>
          </w:rPr>
          <w:tab/>
        </w:r>
        <w:r w:rsidR="009C0832" w:rsidRPr="000D0CD1">
          <w:rPr>
            <w:rStyle w:val="Hyperlink"/>
            <w:noProof/>
          </w:rPr>
          <w:t>Adverse events</w:t>
        </w:r>
        <w:r w:rsidR="009C0832">
          <w:rPr>
            <w:noProof/>
            <w:webHidden/>
          </w:rPr>
          <w:tab/>
        </w:r>
        <w:r>
          <w:rPr>
            <w:noProof/>
            <w:webHidden/>
          </w:rPr>
          <w:fldChar w:fldCharType="begin"/>
        </w:r>
        <w:r w:rsidR="009C0832">
          <w:rPr>
            <w:noProof/>
            <w:webHidden/>
          </w:rPr>
          <w:instrText xml:space="preserve"> PAGEREF _Toc362534161 \h </w:instrText>
        </w:r>
        <w:r>
          <w:rPr>
            <w:noProof/>
            <w:webHidden/>
          </w:rPr>
        </w:r>
        <w:r>
          <w:rPr>
            <w:noProof/>
            <w:webHidden/>
          </w:rPr>
          <w:fldChar w:fldCharType="separate"/>
        </w:r>
        <w:r w:rsidR="009C0832">
          <w:rPr>
            <w:noProof/>
            <w:webHidden/>
          </w:rPr>
          <w:t>12</w:t>
        </w:r>
        <w:r>
          <w:rPr>
            <w:noProof/>
            <w:webHidden/>
          </w:rPr>
          <w:fldChar w:fldCharType="end"/>
        </w:r>
      </w:hyperlink>
    </w:p>
    <w:p w:rsidR="009C0832" w:rsidRDefault="006116B9">
      <w:pPr>
        <w:pStyle w:val="TOC3"/>
        <w:tabs>
          <w:tab w:val="left" w:pos="1760"/>
        </w:tabs>
        <w:rPr>
          <w:rFonts w:ascii="Calibri" w:eastAsia="Times New Roman" w:hAnsi="Calibri"/>
          <w:noProof/>
          <w:lang w:eastAsia="en-AU"/>
        </w:rPr>
      </w:pPr>
      <w:hyperlink w:anchor="_Toc362534162" w:history="1">
        <w:r w:rsidR="009C0832" w:rsidRPr="000D0CD1">
          <w:rPr>
            <w:rStyle w:val="Hyperlink"/>
            <w:noProof/>
          </w:rPr>
          <w:t>7.4.</w:t>
        </w:r>
        <w:r w:rsidR="009C0832">
          <w:rPr>
            <w:rFonts w:ascii="Calibri" w:eastAsia="Times New Roman" w:hAnsi="Calibri"/>
            <w:noProof/>
            <w:lang w:eastAsia="en-AU"/>
          </w:rPr>
          <w:tab/>
        </w:r>
        <w:r w:rsidR="009C0832" w:rsidRPr="000D0CD1">
          <w:rPr>
            <w:rStyle w:val="Hyperlink"/>
            <w:noProof/>
          </w:rPr>
          <w:t>Laboratory tests</w:t>
        </w:r>
        <w:r w:rsidR="009C0832">
          <w:rPr>
            <w:noProof/>
            <w:webHidden/>
          </w:rPr>
          <w:tab/>
        </w:r>
        <w:r>
          <w:rPr>
            <w:noProof/>
            <w:webHidden/>
          </w:rPr>
          <w:fldChar w:fldCharType="begin"/>
        </w:r>
        <w:r w:rsidR="009C0832">
          <w:rPr>
            <w:noProof/>
            <w:webHidden/>
          </w:rPr>
          <w:instrText xml:space="preserve"> PAGEREF _Toc362534162 \h </w:instrText>
        </w:r>
        <w:r>
          <w:rPr>
            <w:noProof/>
            <w:webHidden/>
          </w:rPr>
        </w:r>
        <w:r>
          <w:rPr>
            <w:noProof/>
            <w:webHidden/>
          </w:rPr>
          <w:fldChar w:fldCharType="separate"/>
        </w:r>
        <w:r w:rsidR="009C0832">
          <w:rPr>
            <w:noProof/>
            <w:webHidden/>
          </w:rPr>
          <w:t>15</w:t>
        </w:r>
        <w:r>
          <w:rPr>
            <w:noProof/>
            <w:webHidden/>
          </w:rPr>
          <w:fldChar w:fldCharType="end"/>
        </w:r>
      </w:hyperlink>
    </w:p>
    <w:p w:rsidR="009C0832" w:rsidRDefault="006116B9">
      <w:pPr>
        <w:pStyle w:val="TOC3"/>
        <w:tabs>
          <w:tab w:val="left" w:pos="1760"/>
        </w:tabs>
        <w:rPr>
          <w:rFonts w:ascii="Calibri" w:eastAsia="Times New Roman" w:hAnsi="Calibri"/>
          <w:noProof/>
          <w:lang w:eastAsia="en-AU"/>
        </w:rPr>
      </w:pPr>
      <w:hyperlink w:anchor="_Toc362534163" w:history="1">
        <w:r w:rsidR="009C0832" w:rsidRPr="000D0CD1">
          <w:rPr>
            <w:rStyle w:val="Hyperlink"/>
            <w:noProof/>
          </w:rPr>
          <w:t>7.5.</w:t>
        </w:r>
        <w:r w:rsidR="009C0832">
          <w:rPr>
            <w:rFonts w:ascii="Calibri" w:eastAsia="Times New Roman" w:hAnsi="Calibri"/>
            <w:noProof/>
            <w:lang w:eastAsia="en-AU"/>
          </w:rPr>
          <w:tab/>
        </w:r>
        <w:r w:rsidR="009C0832" w:rsidRPr="000D0CD1">
          <w:rPr>
            <w:rStyle w:val="Hyperlink"/>
            <w:noProof/>
          </w:rPr>
          <w:t>Post-marketing experience</w:t>
        </w:r>
        <w:r w:rsidR="009C0832">
          <w:rPr>
            <w:noProof/>
            <w:webHidden/>
          </w:rPr>
          <w:tab/>
        </w:r>
        <w:r>
          <w:rPr>
            <w:noProof/>
            <w:webHidden/>
          </w:rPr>
          <w:fldChar w:fldCharType="begin"/>
        </w:r>
        <w:r w:rsidR="009C0832">
          <w:rPr>
            <w:noProof/>
            <w:webHidden/>
          </w:rPr>
          <w:instrText xml:space="preserve"> PAGEREF _Toc362534163 \h </w:instrText>
        </w:r>
        <w:r>
          <w:rPr>
            <w:noProof/>
            <w:webHidden/>
          </w:rPr>
        </w:r>
        <w:r>
          <w:rPr>
            <w:noProof/>
            <w:webHidden/>
          </w:rPr>
          <w:fldChar w:fldCharType="separate"/>
        </w:r>
        <w:r w:rsidR="009C0832">
          <w:rPr>
            <w:noProof/>
            <w:webHidden/>
          </w:rPr>
          <w:t>15</w:t>
        </w:r>
        <w:r>
          <w:rPr>
            <w:noProof/>
            <w:webHidden/>
          </w:rPr>
          <w:fldChar w:fldCharType="end"/>
        </w:r>
      </w:hyperlink>
    </w:p>
    <w:p w:rsidR="009C0832" w:rsidRDefault="006116B9">
      <w:pPr>
        <w:pStyle w:val="TOC3"/>
        <w:tabs>
          <w:tab w:val="left" w:pos="1760"/>
        </w:tabs>
        <w:rPr>
          <w:rFonts w:ascii="Calibri" w:eastAsia="Times New Roman" w:hAnsi="Calibri"/>
          <w:noProof/>
          <w:lang w:eastAsia="en-AU"/>
        </w:rPr>
      </w:pPr>
      <w:hyperlink w:anchor="_Toc362534164" w:history="1">
        <w:r w:rsidR="009C0832" w:rsidRPr="000D0CD1">
          <w:rPr>
            <w:rStyle w:val="Hyperlink"/>
            <w:noProof/>
          </w:rPr>
          <w:t>7.6.</w:t>
        </w:r>
        <w:r w:rsidR="009C0832">
          <w:rPr>
            <w:rFonts w:ascii="Calibri" w:eastAsia="Times New Roman" w:hAnsi="Calibri"/>
            <w:noProof/>
            <w:lang w:eastAsia="en-AU"/>
          </w:rPr>
          <w:tab/>
        </w:r>
        <w:r w:rsidR="009C0832" w:rsidRPr="000D0CD1">
          <w:rPr>
            <w:rStyle w:val="Hyperlink"/>
            <w:noProof/>
          </w:rPr>
          <w:t>Evaluator’s overall conclusions on clinical safety</w:t>
        </w:r>
        <w:r w:rsidR="009C0832">
          <w:rPr>
            <w:noProof/>
            <w:webHidden/>
          </w:rPr>
          <w:tab/>
        </w:r>
        <w:r>
          <w:rPr>
            <w:noProof/>
            <w:webHidden/>
          </w:rPr>
          <w:fldChar w:fldCharType="begin"/>
        </w:r>
        <w:r w:rsidR="009C0832">
          <w:rPr>
            <w:noProof/>
            <w:webHidden/>
          </w:rPr>
          <w:instrText xml:space="preserve"> PAGEREF _Toc362534164 \h </w:instrText>
        </w:r>
        <w:r>
          <w:rPr>
            <w:noProof/>
            <w:webHidden/>
          </w:rPr>
        </w:r>
        <w:r>
          <w:rPr>
            <w:noProof/>
            <w:webHidden/>
          </w:rPr>
          <w:fldChar w:fldCharType="separate"/>
        </w:r>
        <w:r w:rsidR="009C0832">
          <w:rPr>
            <w:noProof/>
            <w:webHidden/>
          </w:rPr>
          <w:t>15</w:t>
        </w:r>
        <w:r>
          <w:rPr>
            <w:noProof/>
            <w:webHidden/>
          </w:rPr>
          <w:fldChar w:fldCharType="end"/>
        </w:r>
      </w:hyperlink>
    </w:p>
    <w:p w:rsidR="009C0832" w:rsidRDefault="006116B9">
      <w:pPr>
        <w:pStyle w:val="TOC2"/>
        <w:tabs>
          <w:tab w:val="left" w:pos="1100"/>
        </w:tabs>
        <w:rPr>
          <w:rFonts w:ascii="Calibri" w:eastAsia="Times New Roman" w:hAnsi="Calibri"/>
          <w:b w:val="0"/>
          <w:noProof/>
          <w:sz w:val="22"/>
          <w:lang w:eastAsia="en-AU"/>
        </w:rPr>
      </w:pPr>
      <w:hyperlink w:anchor="_Toc362534165" w:history="1">
        <w:r w:rsidR="009C0832" w:rsidRPr="000D0CD1">
          <w:rPr>
            <w:rStyle w:val="Hyperlink"/>
            <w:noProof/>
          </w:rPr>
          <w:t>8.</w:t>
        </w:r>
        <w:r w:rsidR="009C0832">
          <w:rPr>
            <w:rFonts w:ascii="Calibri" w:eastAsia="Times New Roman" w:hAnsi="Calibri"/>
            <w:b w:val="0"/>
            <w:noProof/>
            <w:sz w:val="22"/>
            <w:lang w:eastAsia="en-AU"/>
          </w:rPr>
          <w:tab/>
        </w:r>
        <w:r w:rsidR="009C0832" w:rsidRPr="000D0CD1">
          <w:rPr>
            <w:rStyle w:val="Hyperlink"/>
            <w:noProof/>
          </w:rPr>
          <w:t>First round benefit-risk assessment</w:t>
        </w:r>
        <w:r w:rsidR="009C0832">
          <w:rPr>
            <w:noProof/>
            <w:webHidden/>
          </w:rPr>
          <w:tab/>
        </w:r>
        <w:r>
          <w:rPr>
            <w:noProof/>
            <w:webHidden/>
          </w:rPr>
          <w:fldChar w:fldCharType="begin"/>
        </w:r>
        <w:r w:rsidR="009C0832">
          <w:rPr>
            <w:noProof/>
            <w:webHidden/>
          </w:rPr>
          <w:instrText xml:space="preserve"> PAGEREF _Toc362534165 \h </w:instrText>
        </w:r>
        <w:r>
          <w:rPr>
            <w:noProof/>
            <w:webHidden/>
          </w:rPr>
        </w:r>
        <w:r>
          <w:rPr>
            <w:noProof/>
            <w:webHidden/>
          </w:rPr>
          <w:fldChar w:fldCharType="separate"/>
        </w:r>
        <w:r w:rsidR="009C0832">
          <w:rPr>
            <w:noProof/>
            <w:webHidden/>
          </w:rPr>
          <w:t>16</w:t>
        </w:r>
        <w:r>
          <w:rPr>
            <w:noProof/>
            <w:webHidden/>
          </w:rPr>
          <w:fldChar w:fldCharType="end"/>
        </w:r>
      </w:hyperlink>
    </w:p>
    <w:p w:rsidR="009C0832" w:rsidRDefault="006116B9">
      <w:pPr>
        <w:pStyle w:val="TOC3"/>
        <w:tabs>
          <w:tab w:val="left" w:pos="1760"/>
        </w:tabs>
        <w:rPr>
          <w:rFonts w:ascii="Calibri" w:eastAsia="Times New Roman" w:hAnsi="Calibri"/>
          <w:noProof/>
          <w:lang w:eastAsia="en-AU"/>
        </w:rPr>
      </w:pPr>
      <w:hyperlink w:anchor="_Toc362534166" w:history="1">
        <w:r w:rsidR="009C0832" w:rsidRPr="000D0CD1">
          <w:rPr>
            <w:rStyle w:val="Hyperlink"/>
            <w:noProof/>
          </w:rPr>
          <w:t>8.1.</w:t>
        </w:r>
        <w:r w:rsidR="009C0832">
          <w:rPr>
            <w:rFonts w:ascii="Calibri" w:eastAsia="Times New Roman" w:hAnsi="Calibri"/>
            <w:noProof/>
            <w:lang w:eastAsia="en-AU"/>
          </w:rPr>
          <w:tab/>
        </w:r>
        <w:r w:rsidR="009C0832" w:rsidRPr="000D0CD1">
          <w:rPr>
            <w:rStyle w:val="Hyperlink"/>
            <w:noProof/>
          </w:rPr>
          <w:t>First round assessment of benefits</w:t>
        </w:r>
        <w:r w:rsidR="009C0832">
          <w:rPr>
            <w:noProof/>
            <w:webHidden/>
          </w:rPr>
          <w:tab/>
        </w:r>
        <w:r>
          <w:rPr>
            <w:noProof/>
            <w:webHidden/>
          </w:rPr>
          <w:fldChar w:fldCharType="begin"/>
        </w:r>
        <w:r w:rsidR="009C0832">
          <w:rPr>
            <w:noProof/>
            <w:webHidden/>
          </w:rPr>
          <w:instrText xml:space="preserve"> PAGEREF _Toc362534166 \h </w:instrText>
        </w:r>
        <w:r>
          <w:rPr>
            <w:noProof/>
            <w:webHidden/>
          </w:rPr>
        </w:r>
        <w:r>
          <w:rPr>
            <w:noProof/>
            <w:webHidden/>
          </w:rPr>
          <w:fldChar w:fldCharType="separate"/>
        </w:r>
        <w:r w:rsidR="009C0832">
          <w:rPr>
            <w:noProof/>
            <w:webHidden/>
          </w:rPr>
          <w:t>16</w:t>
        </w:r>
        <w:r>
          <w:rPr>
            <w:noProof/>
            <w:webHidden/>
          </w:rPr>
          <w:fldChar w:fldCharType="end"/>
        </w:r>
      </w:hyperlink>
    </w:p>
    <w:p w:rsidR="009C0832" w:rsidRDefault="006116B9">
      <w:pPr>
        <w:pStyle w:val="TOC3"/>
        <w:tabs>
          <w:tab w:val="left" w:pos="1760"/>
        </w:tabs>
        <w:rPr>
          <w:rFonts w:ascii="Calibri" w:eastAsia="Times New Roman" w:hAnsi="Calibri"/>
          <w:noProof/>
          <w:lang w:eastAsia="en-AU"/>
        </w:rPr>
      </w:pPr>
      <w:hyperlink w:anchor="_Toc362534167" w:history="1">
        <w:r w:rsidR="009C0832" w:rsidRPr="000D0CD1">
          <w:rPr>
            <w:rStyle w:val="Hyperlink"/>
            <w:noProof/>
          </w:rPr>
          <w:t>8.2.</w:t>
        </w:r>
        <w:r w:rsidR="009C0832">
          <w:rPr>
            <w:rFonts w:ascii="Calibri" w:eastAsia="Times New Roman" w:hAnsi="Calibri"/>
            <w:noProof/>
            <w:lang w:eastAsia="en-AU"/>
          </w:rPr>
          <w:tab/>
        </w:r>
        <w:r w:rsidR="009C0832" w:rsidRPr="000D0CD1">
          <w:rPr>
            <w:rStyle w:val="Hyperlink"/>
            <w:noProof/>
          </w:rPr>
          <w:t>First round assessment of risks</w:t>
        </w:r>
        <w:r w:rsidR="009C0832">
          <w:rPr>
            <w:noProof/>
            <w:webHidden/>
          </w:rPr>
          <w:tab/>
        </w:r>
        <w:r>
          <w:rPr>
            <w:noProof/>
            <w:webHidden/>
          </w:rPr>
          <w:fldChar w:fldCharType="begin"/>
        </w:r>
        <w:r w:rsidR="009C0832">
          <w:rPr>
            <w:noProof/>
            <w:webHidden/>
          </w:rPr>
          <w:instrText xml:space="preserve"> PAGEREF _Toc362534167 \h </w:instrText>
        </w:r>
        <w:r>
          <w:rPr>
            <w:noProof/>
            <w:webHidden/>
          </w:rPr>
        </w:r>
        <w:r>
          <w:rPr>
            <w:noProof/>
            <w:webHidden/>
          </w:rPr>
          <w:fldChar w:fldCharType="separate"/>
        </w:r>
        <w:r w:rsidR="009C0832">
          <w:rPr>
            <w:noProof/>
            <w:webHidden/>
          </w:rPr>
          <w:t>16</w:t>
        </w:r>
        <w:r>
          <w:rPr>
            <w:noProof/>
            <w:webHidden/>
          </w:rPr>
          <w:fldChar w:fldCharType="end"/>
        </w:r>
      </w:hyperlink>
    </w:p>
    <w:p w:rsidR="009C0832" w:rsidRDefault="006116B9">
      <w:pPr>
        <w:pStyle w:val="TOC3"/>
        <w:tabs>
          <w:tab w:val="left" w:pos="1760"/>
        </w:tabs>
        <w:rPr>
          <w:rFonts w:ascii="Calibri" w:eastAsia="Times New Roman" w:hAnsi="Calibri"/>
          <w:noProof/>
          <w:lang w:eastAsia="en-AU"/>
        </w:rPr>
      </w:pPr>
      <w:hyperlink w:anchor="_Toc362534168" w:history="1">
        <w:r w:rsidR="009C0832" w:rsidRPr="000D0CD1">
          <w:rPr>
            <w:rStyle w:val="Hyperlink"/>
            <w:noProof/>
          </w:rPr>
          <w:t>8.3.</w:t>
        </w:r>
        <w:r w:rsidR="009C0832">
          <w:rPr>
            <w:rFonts w:ascii="Calibri" w:eastAsia="Times New Roman" w:hAnsi="Calibri"/>
            <w:noProof/>
            <w:lang w:eastAsia="en-AU"/>
          </w:rPr>
          <w:tab/>
        </w:r>
        <w:r w:rsidR="009C0832" w:rsidRPr="000D0CD1">
          <w:rPr>
            <w:rStyle w:val="Hyperlink"/>
            <w:noProof/>
          </w:rPr>
          <w:t>First round assessment of benefit-risk balance</w:t>
        </w:r>
        <w:r w:rsidR="009C0832">
          <w:rPr>
            <w:noProof/>
            <w:webHidden/>
          </w:rPr>
          <w:tab/>
        </w:r>
        <w:r>
          <w:rPr>
            <w:noProof/>
            <w:webHidden/>
          </w:rPr>
          <w:fldChar w:fldCharType="begin"/>
        </w:r>
        <w:r w:rsidR="009C0832">
          <w:rPr>
            <w:noProof/>
            <w:webHidden/>
          </w:rPr>
          <w:instrText xml:space="preserve"> PAGEREF _Toc362534168 \h </w:instrText>
        </w:r>
        <w:r>
          <w:rPr>
            <w:noProof/>
            <w:webHidden/>
          </w:rPr>
        </w:r>
        <w:r>
          <w:rPr>
            <w:noProof/>
            <w:webHidden/>
          </w:rPr>
          <w:fldChar w:fldCharType="separate"/>
        </w:r>
        <w:r w:rsidR="009C0832">
          <w:rPr>
            <w:noProof/>
            <w:webHidden/>
          </w:rPr>
          <w:t>16</w:t>
        </w:r>
        <w:r>
          <w:rPr>
            <w:noProof/>
            <w:webHidden/>
          </w:rPr>
          <w:fldChar w:fldCharType="end"/>
        </w:r>
      </w:hyperlink>
    </w:p>
    <w:p w:rsidR="009C0832" w:rsidRDefault="006116B9">
      <w:pPr>
        <w:pStyle w:val="TOC2"/>
        <w:tabs>
          <w:tab w:val="left" w:pos="1100"/>
        </w:tabs>
        <w:rPr>
          <w:rFonts w:ascii="Calibri" w:eastAsia="Times New Roman" w:hAnsi="Calibri"/>
          <w:b w:val="0"/>
          <w:noProof/>
          <w:sz w:val="22"/>
          <w:lang w:eastAsia="en-AU"/>
        </w:rPr>
      </w:pPr>
      <w:hyperlink w:anchor="_Toc362534169" w:history="1">
        <w:r w:rsidR="009C0832" w:rsidRPr="000D0CD1">
          <w:rPr>
            <w:rStyle w:val="Hyperlink"/>
            <w:noProof/>
          </w:rPr>
          <w:t>9.</w:t>
        </w:r>
        <w:r w:rsidR="009C0832">
          <w:rPr>
            <w:rFonts w:ascii="Calibri" w:eastAsia="Times New Roman" w:hAnsi="Calibri"/>
            <w:b w:val="0"/>
            <w:noProof/>
            <w:sz w:val="22"/>
            <w:lang w:eastAsia="en-AU"/>
          </w:rPr>
          <w:tab/>
        </w:r>
        <w:r w:rsidR="009C0832" w:rsidRPr="000D0CD1">
          <w:rPr>
            <w:rStyle w:val="Hyperlink"/>
            <w:noProof/>
          </w:rPr>
          <w:t>First round recommendation regarding authorisation</w:t>
        </w:r>
        <w:r w:rsidR="009C0832">
          <w:rPr>
            <w:noProof/>
            <w:webHidden/>
          </w:rPr>
          <w:tab/>
        </w:r>
        <w:r>
          <w:rPr>
            <w:noProof/>
            <w:webHidden/>
          </w:rPr>
          <w:fldChar w:fldCharType="begin"/>
        </w:r>
        <w:r w:rsidR="009C0832">
          <w:rPr>
            <w:noProof/>
            <w:webHidden/>
          </w:rPr>
          <w:instrText xml:space="preserve"> PAGEREF _Toc362534169 \h </w:instrText>
        </w:r>
        <w:r>
          <w:rPr>
            <w:noProof/>
            <w:webHidden/>
          </w:rPr>
        </w:r>
        <w:r>
          <w:rPr>
            <w:noProof/>
            <w:webHidden/>
          </w:rPr>
          <w:fldChar w:fldCharType="separate"/>
        </w:r>
        <w:r w:rsidR="009C0832">
          <w:rPr>
            <w:noProof/>
            <w:webHidden/>
          </w:rPr>
          <w:t>16</w:t>
        </w:r>
        <w:r>
          <w:rPr>
            <w:noProof/>
            <w:webHidden/>
          </w:rPr>
          <w:fldChar w:fldCharType="end"/>
        </w:r>
      </w:hyperlink>
    </w:p>
    <w:p w:rsidR="009C0832" w:rsidRDefault="006116B9">
      <w:pPr>
        <w:pStyle w:val="TOC2"/>
        <w:tabs>
          <w:tab w:val="left" w:pos="1320"/>
        </w:tabs>
        <w:rPr>
          <w:rFonts w:ascii="Calibri" w:eastAsia="Times New Roman" w:hAnsi="Calibri"/>
          <w:b w:val="0"/>
          <w:noProof/>
          <w:sz w:val="22"/>
          <w:lang w:eastAsia="en-AU"/>
        </w:rPr>
      </w:pPr>
      <w:hyperlink w:anchor="_Toc362534170" w:history="1">
        <w:r w:rsidR="009C0832" w:rsidRPr="000D0CD1">
          <w:rPr>
            <w:rStyle w:val="Hyperlink"/>
            <w:noProof/>
          </w:rPr>
          <w:t>10.</w:t>
        </w:r>
        <w:r w:rsidR="009C0832">
          <w:rPr>
            <w:rFonts w:ascii="Calibri" w:eastAsia="Times New Roman" w:hAnsi="Calibri"/>
            <w:b w:val="0"/>
            <w:noProof/>
            <w:sz w:val="22"/>
            <w:lang w:eastAsia="en-AU"/>
          </w:rPr>
          <w:tab/>
        </w:r>
        <w:r w:rsidR="009C0832" w:rsidRPr="000D0CD1">
          <w:rPr>
            <w:rStyle w:val="Hyperlink"/>
            <w:noProof/>
          </w:rPr>
          <w:t>Clinical questions</w:t>
        </w:r>
        <w:r w:rsidR="009C0832">
          <w:rPr>
            <w:noProof/>
            <w:webHidden/>
          </w:rPr>
          <w:tab/>
        </w:r>
        <w:r>
          <w:rPr>
            <w:noProof/>
            <w:webHidden/>
          </w:rPr>
          <w:fldChar w:fldCharType="begin"/>
        </w:r>
        <w:r w:rsidR="009C0832">
          <w:rPr>
            <w:noProof/>
            <w:webHidden/>
          </w:rPr>
          <w:instrText xml:space="preserve"> PAGEREF _Toc362534170 \h </w:instrText>
        </w:r>
        <w:r>
          <w:rPr>
            <w:noProof/>
            <w:webHidden/>
          </w:rPr>
        </w:r>
        <w:r>
          <w:rPr>
            <w:noProof/>
            <w:webHidden/>
          </w:rPr>
          <w:fldChar w:fldCharType="separate"/>
        </w:r>
        <w:r w:rsidR="009C0832">
          <w:rPr>
            <w:noProof/>
            <w:webHidden/>
          </w:rPr>
          <w:t>16</w:t>
        </w:r>
        <w:r>
          <w:rPr>
            <w:noProof/>
            <w:webHidden/>
          </w:rPr>
          <w:fldChar w:fldCharType="end"/>
        </w:r>
      </w:hyperlink>
    </w:p>
    <w:p w:rsidR="009C0832" w:rsidRDefault="006116B9">
      <w:pPr>
        <w:pStyle w:val="TOC3"/>
        <w:tabs>
          <w:tab w:val="left" w:pos="1760"/>
        </w:tabs>
        <w:rPr>
          <w:rFonts w:ascii="Calibri" w:eastAsia="Times New Roman" w:hAnsi="Calibri"/>
          <w:noProof/>
          <w:lang w:eastAsia="en-AU"/>
        </w:rPr>
      </w:pPr>
      <w:hyperlink w:anchor="_Toc362534171" w:history="1">
        <w:r w:rsidR="009C0832" w:rsidRPr="000D0CD1">
          <w:rPr>
            <w:rStyle w:val="Hyperlink"/>
            <w:noProof/>
          </w:rPr>
          <w:t>10.1.</w:t>
        </w:r>
        <w:r w:rsidR="009C0832">
          <w:rPr>
            <w:rFonts w:ascii="Calibri" w:eastAsia="Times New Roman" w:hAnsi="Calibri"/>
            <w:noProof/>
            <w:lang w:eastAsia="en-AU"/>
          </w:rPr>
          <w:tab/>
        </w:r>
        <w:r w:rsidR="009C0832" w:rsidRPr="000D0CD1">
          <w:rPr>
            <w:rStyle w:val="Hyperlink"/>
            <w:noProof/>
          </w:rPr>
          <w:t>Safety</w:t>
        </w:r>
        <w:r w:rsidR="009C0832">
          <w:rPr>
            <w:noProof/>
            <w:webHidden/>
          </w:rPr>
          <w:tab/>
        </w:r>
        <w:r>
          <w:rPr>
            <w:noProof/>
            <w:webHidden/>
          </w:rPr>
          <w:fldChar w:fldCharType="begin"/>
        </w:r>
        <w:r w:rsidR="009C0832">
          <w:rPr>
            <w:noProof/>
            <w:webHidden/>
          </w:rPr>
          <w:instrText xml:space="preserve"> PAGEREF _Toc362534171 \h </w:instrText>
        </w:r>
        <w:r>
          <w:rPr>
            <w:noProof/>
            <w:webHidden/>
          </w:rPr>
        </w:r>
        <w:r>
          <w:rPr>
            <w:noProof/>
            <w:webHidden/>
          </w:rPr>
          <w:fldChar w:fldCharType="separate"/>
        </w:r>
        <w:r w:rsidR="009C0832">
          <w:rPr>
            <w:noProof/>
            <w:webHidden/>
          </w:rPr>
          <w:t>16</w:t>
        </w:r>
        <w:r>
          <w:rPr>
            <w:noProof/>
            <w:webHidden/>
          </w:rPr>
          <w:fldChar w:fldCharType="end"/>
        </w:r>
      </w:hyperlink>
    </w:p>
    <w:p w:rsidR="009C0832" w:rsidRDefault="006116B9">
      <w:pPr>
        <w:pStyle w:val="TOC2"/>
        <w:tabs>
          <w:tab w:val="left" w:pos="1320"/>
        </w:tabs>
        <w:rPr>
          <w:rFonts w:ascii="Calibri" w:eastAsia="Times New Roman" w:hAnsi="Calibri"/>
          <w:b w:val="0"/>
          <w:noProof/>
          <w:sz w:val="22"/>
          <w:lang w:eastAsia="en-AU"/>
        </w:rPr>
      </w:pPr>
      <w:hyperlink w:anchor="_Toc362534172" w:history="1">
        <w:r w:rsidR="009C0832" w:rsidRPr="000D0CD1">
          <w:rPr>
            <w:rStyle w:val="Hyperlink"/>
            <w:noProof/>
          </w:rPr>
          <w:t>11.</w:t>
        </w:r>
        <w:r w:rsidR="009C0832">
          <w:rPr>
            <w:rFonts w:ascii="Calibri" w:eastAsia="Times New Roman" w:hAnsi="Calibri"/>
            <w:b w:val="0"/>
            <w:noProof/>
            <w:sz w:val="22"/>
            <w:lang w:eastAsia="en-AU"/>
          </w:rPr>
          <w:tab/>
        </w:r>
        <w:r w:rsidR="009C0832" w:rsidRPr="000D0CD1">
          <w:rPr>
            <w:rStyle w:val="Hyperlink"/>
            <w:noProof/>
          </w:rPr>
          <w:t>References</w:t>
        </w:r>
        <w:r w:rsidR="009C0832">
          <w:rPr>
            <w:noProof/>
            <w:webHidden/>
          </w:rPr>
          <w:tab/>
        </w:r>
        <w:r>
          <w:rPr>
            <w:noProof/>
            <w:webHidden/>
          </w:rPr>
          <w:fldChar w:fldCharType="begin"/>
        </w:r>
        <w:r w:rsidR="009C0832">
          <w:rPr>
            <w:noProof/>
            <w:webHidden/>
          </w:rPr>
          <w:instrText xml:space="preserve"> PAGEREF _Toc362534172 \h </w:instrText>
        </w:r>
        <w:r>
          <w:rPr>
            <w:noProof/>
            <w:webHidden/>
          </w:rPr>
        </w:r>
        <w:r>
          <w:rPr>
            <w:noProof/>
            <w:webHidden/>
          </w:rPr>
          <w:fldChar w:fldCharType="separate"/>
        </w:r>
        <w:r w:rsidR="009C0832">
          <w:rPr>
            <w:noProof/>
            <w:webHidden/>
          </w:rPr>
          <w:t>16</w:t>
        </w:r>
        <w:r>
          <w:rPr>
            <w:noProof/>
            <w:webHidden/>
          </w:rPr>
          <w:fldChar w:fldCharType="end"/>
        </w:r>
      </w:hyperlink>
    </w:p>
    <w:p w:rsidR="003A7F6C" w:rsidRPr="00B811C6" w:rsidRDefault="006116B9" w:rsidP="00B811C6">
      <w:pPr>
        <w:pStyle w:val="TOC2"/>
      </w:pPr>
      <w:r>
        <w:fldChar w:fldCharType="end"/>
      </w:r>
      <w:bookmarkStart w:id="2" w:name="_Toc314842482"/>
    </w:p>
    <w:p w:rsidR="00586F98" w:rsidRDefault="00934CC8" w:rsidP="00586F98">
      <w:pPr>
        <w:pStyle w:val="Heading2"/>
        <w:numPr>
          <w:ilvl w:val="0"/>
          <w:numId w:val="0"/>
        </w:numPr>
      </w:pPr>
      <w:bookmarkStart w:id="3" w:name="_Toc351716269"/>
      <w:bookmarkStart w:id="4" w:name="_Toc351718881"/>
      <w:bookmarkStart w:id="5" w:name="_Toc355338616"/>
      <w:r>
        <w:br w:type="page"/>
      </w:r>
      <w:bookmarkStart w:id="6" w:name="_Toc362534144"/>
      <w:r w:rsidR="00586F98">
        <w:lastRenderedPageBreak/>
        <w:t>List of abbreviations</w:t>
      </w:r>
      <w:bookmarkEnd w:id="3"/>
      <w:bookmarkEnd w:id="4"/>
      <w:bookmarkEnd w:id="5"/>
      <w:bookmarkEnd w:id="6"/>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890"/>
        <w:gridCol w:w="6911"/>
      </w:tblGrid>
      <w:tr w:rsidR="00586F98" w:rsidTr="00A558E3">
        <w:tc>
          <w:tcPr>
            <w:tcW w:w="1890" w:type="dxa"/>
            <w:tcBorders>
              <w:top w:val="single" w:sz="8" w:space="0" w:color="000000"/>
              <w:left w:val="single" w:sz="8" w:space="0" w:color="000000"/>
              <w:bottom w:val="single" w:sz="8" w:space="0" w:color="000000"/>
              <w:right w:val="nil"/>
              <w:tl2br w:val="nil"/>
              <w:tr2bl w:val="nil"/>
            </w:tcBorders>
            <w:shd w:val="clear" w:color="auto" w:fill="006DA7"/>
          </w:tcPr>
          <w:p w:rsidR="00586F98" w:rsidRPr="009A6272" w:rsidRDefault="00586F98" w:rsidP="009A6272">
            <w:pPr>
              <w:ind w:left="170" w:right="170"/>
              <w:rPr>
                <w:b/>
                <w:color w:val="FFFFFF"/>
                <w:szCs w:val="21"/>
                <w:lang w:eastAsia="en-AU"/>
              </w:rPr>
            </w:pPr>
            <w:r w:rsidRPr="009A6272">
              <w:rPr>
                <w:b/>
                <w:color w:val="FFFFFF"/>
                <w:szCs w:val="21"/>
                <w:lang w:eastAsia="en-AU"/>
              </w:rPr>
              <w:t>Abbreviation</w:t>
            </w:r>
          </w:p>
        </w:tc>
        <w:tc>
          <w:tcPr>
            <w:tcW w:w="6911" w:type="dxa"/>
            <w:tcBorders>
              <w:top w:val="single" w:sz="8" w:space="0" w:color="000000"/>
              <w:left w:val="nil"/>
              <w:bottom w:val="single" w:sz="8" w:space="0" w:color="000000"/>
              <w:right w:val="single" w:sz="8" w:space="0" w:color="000000"/>
              <w:tl2br w:val="nil"/>
              <w:tr2bl w:val="nil"/>
            </w:tcBorders>
            <w:shd w:val="clear" w:color="auto" w:fill="006DA7"/>
          </w:tcPr>
          <w:p w:rsidR="00586F98" w:rsidRPr="009A6272" w:rsidRDefault="00586F98" w:rsidP="009A6272">
            <w:pPr>
              <w:ind w:left="170" w:right="170"/>
              <w:rPr>
                <w:b/>
                <w:color w:val="FFFFFF"/>
                <w:szCs w:val="21"/>
                <w:lang w:eastAsia="en-AU"/>
              </w:rPr>
            </w:pPr>
            <w:r w:rsidRPr="009A6272">
              <w:rPr>
                <w:b/>
                <w:color w:val="FFFFFF"/>
                <w:szCs w:val="21"/>
                <w:lang w:eastAsia="en-AU"/>
              </w:rPr>
              <w:t>Meaning</w:t>
            </w:r>
          </w:p>
        </w:tc>
      </w:tr>
      <w:tr w:rsidR="00A558E3" w:rsidTr="00A558E3">
        <w:tc>
          <w:tcPr>
            <w:tcW w:w="1890" w:type="dxa"/>
            <w:shd w:val="clear" w:color="auto" w:fill="auto"/>
          </w:tcPr>
          <w:p w:rsidR="00A558E3" w:rsidRPr="009A6272" w:rsidRDefault="00B73431" w:rsidP="006133D3">
            <w:pPr>
              <w:ind w:left="170" w:right="170"/>
              <w:rPr>
                <w:color w:val="000000"/>
                <w:szCs w:val="21"/>
                <w:lang w:eastAsia="en-AU"/>
              </w:rPr>
            </w:pPr>
            <w:r>
              <w:rPr>
                <w:color w:val="000000"/>
                <w:szCs w:val="21"/>
                <w:lang w:eastAsia="en-AU"/>
              </w:rPr>
              <w:t>AE</w:t>
            </w:r>
          </w:p>
        </w:tc>
        <w:tc>
          <w:tcPr>
            <w:tcW w:w="6911" w:type="dxa"/>
            <w:shd w:val="clear" w:color="auto" w:fill="auto"/>
          </w:tcPr>
          <w:p w:rsidR="00A558E3" w:rsidRPr="009A6272" w:rsidRDefault="00B73431" w:rsidP="006133D3">
            <w:pPr>
              <w:ind w:left="170" w:right="170"/>
              <w:rPr>
                <w:color w:val="000000"/>
                <w:szCs w:val="21"/>
                <w:lang w:eastAsia="en-AU"/>
              </w:rPr>
            </w:pPr>
            <w:r>
              <w:t>Adverse event</w:t>
            </w:r>
          </w:p>
        </w:tc>
      </w:tr>
      <w:tr w:rsidR="00A558E3" w:rsidTr="00A558E3">
        <w:tc>
          <w:tcPr>
            <w:tcW w:w="1890" w:type="dxa"/>
            <w:shd w:val="clear" w:color="auto" w:fill="auto"/>
          </w:tcPr>
          <w:p w:rsidR="00A558E3" w:rsidRPr="009A6272" w:rsidRDefault="00B73431" w:rsidP="006133D3">
            <w:pPr>
              <w:ind w:left="170" w:right="170"/>
              <w:rPr>
                <w:color w:val="000000"/>
                <w:szCs w:val="21"/>
                <w:lang w:eastAsia="en-AU"/>
              </w:rPr>
            </w:pPr>
            <w:r>
              <w:t>AML</w:t>
            </w:r>
          </w:p>
        </w:tc>
        <w:tc>
          <w:tcPr>
            <w:tcW w:w="6911" w:type="dxa"/>
            <w:shd w:val="clear" w:color="auto" w:fill="auto"/>
          </w:tcPr>
          <w:p w:rsidR="00A558E3" w:rsidRPr="009A6272" w:rsidRDefault="00B73431" w:rsidP="006133D3">
            <w:pPr>
              <w:ind w:left="170" w:right="170"/>
              <w:rPr>
                <w:color w:val="000000"/>
                <w:szCs w:val="21"/>
                <w:lang w:eastAsia="en-AU"/>
              </w:rPr>
            </w:pPr>
            <w:r>
              <w:t xml:space="preserve">Acute </w:t>
            </w:r>
            <w:proofErr w:type="spellStart"/>
            <w:r>
              <w:t>myelogenous</w:t>
            </w:r>
            <w:proofErr w:type="spellEnd"/>
            <w:r>
              <w:t xml:space="preserve"> leukaemia</w:t>
            </w:r>
          </w:p>
        </w:tc>
      </w:tr>
      <w:tr w:rsidR="00A558E3" w:rsidTr="00A558E3">
        <w:tc>
          <w:tcPr>
            <w:tcW w:w="1890" w:type="dxa"/>
            <w:shd w:val="clear" w:color="auto" w:fill="auto"/>
          </w:tcPr>
          <w:p w:rsidR="00A558E3" w:rsidRPr="009A6272" w:rsidRDefault="00B73431" w:rsidP="006133D3">
            <w:pPr>
              <w:ind w:left="170" w:right="170"/>
              <w:rPr>
                <w:color w:val="000000"/>
                <w:szCs w:val="21"/>
                <w:lang w:eastAsia="en-AU"/>
              </w:rPr>
            </w:pPr>
            <w:r>
              <w:t>BSA</w:t>
            </w:r>
          </w:p>
        </w:tc>
        <w:tc>
          <w:tcPr>
            <w:tcW w:w="6911" w:type="dxa"/>
            <w:shd w:val="clear" w:color="auto" w:fill="auto"/>
          </w:tcPr>
          <w:p w:rsidR="00A558E3" w:rsidRPr="009A6272" w:rsidRDefault="00B73431" w:rsidP="006133D3">
            <w:pPr>
              <w:ind w:left="170" w:right="170"/>
              <w:rPr>
                <w:color w:val="000000"/>
                <w:szCs w:val="21"/>
                <w:lang w:eastAsia="en-AU"/>
              </w:rPr>
            </w:pPr>
            <w:r>
              <w:t>Body surface area</w:t>
            </w:r>
          </w:p>
        </w:tc>
      </w:tr>
      <w:tr w:rsidR="00A558E3" w:rsidTr="00A558E3">
        <w:tc>
          <w:tcPr>
            <w:tcW w:w="1890" w:type="dxa"/>
            <w:shd w:val="clear" w:color="auto" w:fill="auto"/>
          </w:tcPr>
          <w:p w:rsidR="00A558E3" w:rsidRPr="009A6272" w:rsidRDefault="00B73431" w:rsidP="006133D3">
            <w:pPr>
              <w:ind w:left="170" w:right="170"/>
              <w:rPr>
                <w:color w:val="000000"/>
                <w:szCs w:val="21"/>
                <w:lang w:eastAsia="en-AU"/>
              </w:rPr>
            </w:pPr>
            <w:r>
              <w:t>CER</w:t>
            </w:r>
          </w:p>
        </w:tc>
        <w:tc>
          <w:tcPr>
            <w:tcW w:w="6911" w:type="dxa"/>
            <w:shd w:val="clear" w:color="auto" w:fill="auto"/>
          </w:tcPr>
          <w:p w:rsidR="00A558E3" w:rsidRPr="009A6272" w:rsidRDefault="00B73431" w:rsidP="006133D3">
            <w:pPr>
              <w:ind w:left="170" w:right="170"/>
              <w:rPr>
                <w:color w:val="000000"/>
                <w:szCs w:val="21"/>
                <w:lang w:eastAsia="en-AU"/>
              </w:rPr>
            </w:pPr>
            <w:r>
              <w:t>Clinical evaluation report</w:t>
            </w:r>
          </w:p>
        </w:tc>
      </w:tr>
      <w:tr w:rsidR="00A558E3" w:rsidTr="00A558E3">
        <w:tc>
          <w:tcPr>
            <w:tcW w:w="1890" w:type="dxa"/>
            <w:shd w:val="clear" w:color="auto" w:fill="auto"/>
          </w:tcPr>
          <w:p w:rsidR="00A558E3" w:rsidRPr="009A6272" w:rsidRDefault="00B73431" w:rsidP="006133D3">
            <w:pPr>
              <w:ind w:left="170" w:right="170"/>
              <w:rPr>
                <w:color w:val="000000"/>
                <w:szCs w:val="21"/>
                <w:lang w:eastAsia="en-AU"/>
              </w:rPr>
            </w:pPr>
            <w:r>
              <w:rPr>
                <w:color w:val="000000"/>
                <w:szCs w:val="21"/>
                <w:lang w:eastAsia="en-AU"/>
              </w:rPr>
              <w:t>CER1</w:t>
            </w:r>
          </w:p>
        </w:tc>
        <w:tc>
          <w:tcPr>
            <w:tcW w:w="6911" w:type="dxa"/>
            <w:shd w:val="clear" w:color="auto" w:fill="auto"/>
          </w:tcPr>
          <w:p w:rsidR="00A558E3" w:rsidRPr="009A6272" w:rsidRDefault="00B73431" w:rsidP="006133D3">
            <w:pPr>
              <w:ind w:left="170" w:right="170"/>
              <w:rPr>
                <w:color w:val="000000"/>
                <w:szCs w:val="21"/>
                <w:lang w:eastAsia="en-AU"/>
              </w:rPr>
            </w:pPr>
            <w:r>
              <w:t>CER relating to the initial submission</w:t>
            </w:r>
          </w:p>
        </w:tc>
      </w:tr>
      <w:tr w:rsidR="00A558E3" w:rsidTr="00A558E3">
        <w:tc>
          <w:tcPr>
            <w:tcW w:w="1890" w:type="dxa"/>
            <w:shd w:val="clear" w:color="auto" w:fill="auto"/>
          </w:tcPr>
          <w:p w:rsidR="00A558E3" w:rsidRPr="009A6272" w:rsidRDefault="00B73431" w:rsidP="006133D3">
            <w:pPr>
              <w:ind w:left="170" w:right="170"/>
              <w:rPr>
                <w:color w:val="000000"/>
                <w:szCs w:val="21"/>
                <w:lang w:eastAsia="en-AU"/>
              </w:rPr>
            </w:pPr>
            <w:r>
              <w:rPr>
                <w:color w:val="000000"/>
                <w:szCs w:val="21"/>
                <w:lang w:eastAsia="en-AU"/>
              </w:rPr>
              <w:t>CER2</w:t>
            </w:r>
          </w:p>
        </w:tc>
        <w:tc>
          <w:tcPr>
            <w:tcW w:w="6911" w:type="dxa"/>
            <w:shd w:val="clear" w:color="auto" w:fill="auto"/>
          </w:tcPr>
          <w:p w:rsidR="00A558E3" w:rsidRPr="009A6272" w:rsidRDefault="00B73431" w:rsidP="00B73431">
            <w:pPr>
              <w:ind w:left="170" w:right="170"/>
              <w:rPr>
                <w:color w:val="000000"/>
                <w:szCs w:val="21"/>
                <w:lang w:eastAsia="en-AU"/>
              </w:rPr>
            </w:pPr>
            <w:r>
              <w:t>CER relating to the second submission</w:t>
            </w:r>
          </w:p>
        </w:tc>
      </w:tr>
      <w:tr w:rsidR="00A558E3" w:rsidTr="00A558E3">
        <w:tc>
          <w:tcPr>
            <w:tcW w:w="1890" w:type="dxa"/>
            <w:shd w:val="clear" w:color="auto" w:fill="auto"/>
          </w:tcPr>
          <w:p w:rsidR="00A558E3" w:rsidRPr="009A6272" w:rsidRDefault="00B73431" w:rsidP="006133D3">
            <w:pPr>
              <w:ind w:left="170" w:right="170"/>
              <w:rPr>
                <w:color w:val="000000"/>
                <w:szCs w:val="21"/>
                <w:lang w:eastAsia="en-AU"/>
              </w:rPr>
            </w:pPr>
            <w:r>
              <w:t>CR</w:t>
            </w:r>
          </w:p>
        </w:tc>
        <w:tc>
          <w:tcPr>
            <w:tcW w:w="6911" w:type="dxa"/>
            <w:shd w:val="clear" w:color="auto" w:fill="auto"/>
          </w:tcPr>
          <w:p w:rsidR="00A558E3" w:rsidRPr="009A6272" w:rsidRDefault="00B73431" w:rsidP="006133D3">
            <w:pPr>
              <w:ind w:left="170" w:right="170"/>
              <w:rPr>
                <w:color w:val="000000"/>
                <w:szCs w:val="21"/>
                <w:lang w:eastAsia="en-AU"/>
              </w:rPr>
            </w:pPr>
            <w:r>
              <w:t>Complete response</w:t>
            </w:r>
          </w:p>
        </w:tc>
      </w:tr>
      <w:tr w:rsidR="00A558E3" w:rsidTr="00A558E3">
        <w:tc>
          <w:tcPr>
            <w:tcW w:w="1890" w:type="dxa"/>
            <w:shd w:val="clear" w:color="auto" w:fill="auto"/>
          </w:tcPr>
          <w:p w:rsidR="00A558E3" w:rsidRPr="009A6272" w:rsidRDefault="00B73431" w:rsidP="006133D3">
            <w:pPr>
              <w:ind w:left="170" w:right="170"/>
              <w:rPr>
                <w:color w:val="000000"/>
                <w:szCs w:val="21"/>
                <w:lang w:eastAsia="en-AU"/>
              </w:rPr>
            </w:pPr>
            <w:r>
              <w:t>CSR</w:t>
            </w:r>
          </w:p>
        </w:tc>
        <w:tc>
          <w:tcPr>
            <w:tcW w:w="6911" w:type="dxa"/>
            <w:shd w:val="clear" w:color="auto" w:fill="auto"/>
          </w:tcPr>
          <w:p w:rsidR="00A558E3" w:rsidRPr="009A6272" w:rsidRDefault="00B73431" w:rsidP="006133D3">
            <w:pPr>
              <w:ind w:left="170" w:right="170"/>
              <w:rPr>
                <w:color w:val="000000"/>
                <w:szCs w:val="21"/>
                <w:lang w:eastAsia="en-AU"/>
              </w:rPr>
            </w:pPr>
            <w:r>
              <w:t>Clinical study report</w:t>
            </w:r>
          </w:p>
        </w:tc>
      </w:tr>
      <w:tr w:rsidR="00A558E3" w:rsidTr="00A558E3">
        <w:tc>
          <w:tcPr>
            <w:tcW w:w="1890" w:type="dxa"/>
            <w:shd w:val="clear" w:color="auto" w:fill="auto"/>
          </w:tcPr>
          <w:p w:rsidR="00A558E3" w:rsidRPr="009A6272" w:rsidRDefault="0066424F" w:rsidP="006133D3">
            <w:pPr>
              <w:ind w:left="170" w:right="170"/>
              <w:rPr>
                <w:color w:val="000000"/>
                <w:szCs w:val="21"/>
                <w:lang w:eastAsia="en-AU"/>
              </w:rPr>
            </w:pPr>
            <w:r>
              <w:t>ECOG</w:t>
            </w:r>
          </w:p>
        </w:tc>
        <w:tc>
          <w:tcPr>
            <w:tcW w:w="6911" w:type="dxa"/>
            <w:shd w:val="clear" w:color="auto" w:fill="auto"/>
          </w:tcPr>
          <w:p w:rsidR="00A558E3" w:rsidRPr="009A6272" w:rsidRDefault="0066424F" w:rsidP="006133D3">
            <w:pPr>
              <w:ind w:left="170" w:right="170"/>
              <w:rPr>
                <w:color w:val="000000"/>
                <w:szCs w:val="21"/>
                <w:lang w:eastAsia="en-AU"/>
              </w:rPr>
            </w:pPr>
            <w:r w:rsidRPr="005D3C6A">
              <w:t>Eastern Cooperative Oncology Group</w:t>
            </w:r>
          </w:p>
        </w:tc>
      </w:tr>
      <w:tr w:rsidR="00A558E3" w:rsidTr="00A558E3">
        <w:tc>
          <w:tcPr>
            <w:tcW w:w="1890" w:type="dxa"/>
            <w:shd w:val="clear" w:color="auto" w:fill="auto"/>
          </w:tcPr>
          <w:p w:rsidR="00A558E3" w:rsidRPr="009A6272" w:rsidRDefault="0066424F" w:rsidP="006133D3">
            <w:pPr>
              <w:ind w:left="170" w:right="170"/>
              <w:rPr>
                <w:color w:val="000000"/>
                <w:szCs w:val="21"/>
                <w:lang w:eastAsia="en-AU"/>
              </w:rPr>
            </w:pPr>
            <w:r>
              <w:t>FAS</w:t>
            </w:r>
          </w:p>
        </w:tc>
        <w:tc>
          <w:tcPr>
            <w:tcW w:w="6911" w:type="dxa"/>
            <w:shd w:val="clear" w:color="auto" w:fill="auto"/>
          </w:tcPr>
          <w:p w:rsidR="00A558E3" w:rsidRPr="009A6272" w:rsidRDefault="0066424F" w:rsidP="006133D3">
            <w:pPr>
              <w:ind w:left="170" w:right="170"/>
              <w:rPr>
                <w:color w:val="000000"/>
                <w:szCs w:val="21"/>
                <w:lang w:eastAsia="en-AU"/>
              </w:rPr>
            </w:pPr>
            <w:r>
              <w:t>Full analysis set</w:t>
            </w:r>
          </w:p>
        </w:tc>
      </w:tr>
      <w:tr w:rsidR="00A558E3" w:rsidTr="00A558E3">
        <w:tc>
          <w:tcPr>
            <w:tcW w:w="1890" w:type="dxa"/>
            <w:shd w:val="clear" w:color="auto" w:fill="auto"/>
          </w:tcPr>
          <w:p w:rsidR="00A558E3" w:rsidRPr="009A6272" w:rsidRDefault="0066424F" w:rsidP="006133D3">
            <w:pPr>
              <w:ind w:left="170" w:right="170"/>
              <w:rPr>
                <w:color w:val="000000"/>
                <w:szCs w:val="21"/>
                <w:lang w:eastAsia="en-AU"/>
              </w:rPr>
            </w:pPr>
            <w:r>
              <w:t>GCP</w:t>
            </w:r>
          </w:p>
        </w:tc>
        <w:tc>
          <w:tcPr>
            <w:tcW w:w="6911" w:type="dxa"/>
            <w:shd w:val="clear" w:color="auto" w:fill="auto"/>
          </w:tcPr>
          <w:p w:rsidR="00A558E3" w:rsidRPr="009A6272" w:rsidRDefault="0066424F" w:rsidP="006133D3">
            <w:pPr>
              <w:ind w:left="170" w:right="170"/>
              <w:rPr>
                <w:color w:val="000000"/>
                <w:szCs w:val="21"/>
                <w:lang w:eastAsia="en-AU"/>
              </w:rPr>
            </w:pPr>
            <w:r>
              <w:t>Good clinical (research) practice</w:t>
            </w:r>
          </w:p>
        </w:tc>
      </w:tr>
      <w:tr w:rsidR="00A558E3" w:rsidTr="00A558E3">
        <w:tc>
          <w:tcPr>
            <w:tcW w:w="1890" w:type="dxa"/>
            <w:shd w:val="clear" w:color="auto" w:fill="auto"/>
          </w:tcPr>
          <w:p w:rsidR="00A558E3" w:rsidRPr="009A6272" w:rsidRDefault="0066424F" w:rsidP="006133D3">
            <w:pPr>
              <w:ind w:left="170" w:right="170"/>
              <w:rPr>
                <w:color w:val="000000"/>
                <w:szCs w:val="21"/>
                <w:lang w:eastAsia="en-AU"/>
              </w:rPr>
            </w:pPr>
            <w:r>
              <w:t>HPLC-MS/MS</w:t>
            </w:r>
          </w:p>
        </w:tc>
        <w:tc>
          <w:tcPr>
            <w:tcW w:w="6911" w:type="dxa"/>
            <w:shd w:val="clear" w:color="auto" w:fill="auto"/>
          </w:tcPr>
          <w:p w:rsidR="00A558E3" w:rsidRPr="009A6272" w:rsidRDefault="0066424F" w:rsidP="006133D3">
            <w:pPr>
              <w:ind w:left="170" w:right="170"/>
              <w:rPr>
                <w:color w:val="000000"/>
                <w:szCs w:val="21"/>
                <w:lang w:eastAsia="en-AU"/>
              </w:rPr>
            </w:pPr>
            <w:r>
              <w:t>H</w:t>
            </w:r>
            <w:r w:rsidRPr="00DD7DA3">
              <w:t>igh performance liquid chromato</w:t>
            </w:r>
            <w:r>
              <w:t>graphy/tandem mass spectrometry</w:t>
            </w:r>
          </w:p>
        </w:tc>
      </w:tr>
      <w:tr w:rsidR="00A558E3" w:rsidTr="00A558E3">
        <w:tc>
          <w:tcPr>
            <w:tcW w:w="1890" w:type="dxa"/>
            <w:shd w:val="clear" w:color="auto" w:fill="auto"/>
          </w:tcPr>
          <w:p w:rsidR="00A558E3" w:rsidRPr="009A6272" w:rsidRDefault="0066424F" w:rsidP="006133D3">
            <w:pPr>
              <w:ind w:left="170" w:right="170"/>
              <w:rPr>
                <w:color w:val="000000"/>
                <w:szCs w:val="21"/>
                <w:lang w:eastAsia="en-AU"/>
              </w:rPr>
            </w:pPr>
            <w:r>
              <w:t>IPSS</w:t>
            </w:r>
          </w:p>
        </w:tc>
        <w:tc>
          <w:tcPr>
            <w:tcW w:w="6911" w:type="dxa"/>
            <w:shd w:val="clear" w:color="auto" w:fill="auto"/>
          </w:tcPr>
          <w:p w:rsidR="00A558E3" w:rsidRPr="009A6272" w:rsidRDefault="0066424F" w:rsidP="006133D3">
            <w:pPr>
              <w:ind w:left="170" w:right="170"/>
              <w:rPr>
                <w:color w:val="000000"/>
                <w:szCs w:val="21"/>
                <w:lang w:eastAsia="en-AU"/>
              </w:rPr>
            </w:pPr>
            <w:r>
              <w:t>International prognostic scoring system</w:t>
            </w:r>
          </w:p>
        </w:tc>
      </w:tr>
      <w:tr w:rsidR="00A558E3" w:rsidTr="00A558E3">
        <w:tc>
          <w:tcPr>
            <w:tcW w:w="1890" w:type="dxa"/>
            <w:shd w:val="clear" w:color="auto" w:fill="auto"/>
          </w:tcPr>
          <w:p w:rsidR="00A558E3" w:rsidRPr="009A6272" w:rsidRDefault="0066424F" w:rsidP="006133D3">
            <w:pPr>
              <w:ind w:left="170" w:right="170"/>
              <w:rPr>
                <w:color w:val="000000"/>
                <w:szCs w:val="21"/>
                <w:lang w:eastAsia="en-AU"/>
              </w:rPr>
            </w:pPr>
            <w:r>
              <w:t>IV</w:t>
            </w:r>
          </w:p>
        </w:tc>
        <w:tc>
          <w:tcPr>
            <w:tcW w:w="6911" w:type="dxa"/>
            <w:shd w:val="clear" w:color="auto" w:fill="auto"/>
          </w:tcPr>
          <w:p w:rsidR="00A558E3" w:rsidRPr="009A6272" w:rsidRDefault="0066424F" w:rsidP="006133D3">
            <w:pPr>
              <w:ind w:left="170" w:right="170"/>
              <w:rPr>
                <w:color w:val="000000"/>
                <w:szCs w:val="21"/>
                <w:lang w:eastAsia="en-AU"/>
              </w:rPr>
            </w:pPr>
            <w:r>
              <w:rPr>
                <w:color w:val="000000"/>
                <w:szCs w:val="21"/>
                <w:lang w:eastAsia="en-AU"/>
              </w:rPr>
              <w:t>Intravenous</w:t>
            </w:r>
          </w:p>
        </w:tc>
      </w:tr>
      <w:tr w:rsidR="00A558E3" w:rsidTr="00A558E3">
        <w:tc>
          <w:tcPr>
            <w:tcW w:w="1890" w:type="dxa"/>
            <w:shd w:val="clear" w:color="auto" w:fill="auto"/>
          </w:tcPr>
          <w:p w:rsidR="00A558E3" w:rsidRPr="009A6272" w:rsidRDefault="0066424F" w:rsidP="006133D3">
            <w:pPr>
              <w:ind w:left="170" w:right="170"/>
              <w:rPr>
                <w:color w:val="000000"/>
                <w:szCs w:val="21"/>
                <w:lang w:eastAsia="en-AU"/>
              </w:rPr>
            </w:pPr>
            <w:r>
              <w:t>LLQ</w:t>
            </w:r>
          </w:p>
        </w:tc>
        <w:tc>
          <w:tcPr>
            <w:tcW w:w="6911" w:type="dxa"/>
            <w:shd w:val="clear" w:color="auto" w:fill="auto"/>
          </w:tcPr>
          <w:p w:rsidR="00A558E3" w:rsidRPr="009A6272" w:rsidRDefault="0066424F" w:rsidP="006133D3">
            <w:pPr>
              <w:ind w:left="170" w:right="170"/>
              <w:rPr>
                <w:color w:val="000000"/>
                <w:szCs w:val="21"/>
                <w:lang w:eastAsia="en-AU"/>
              </w:rPr>
            </w:pPr>
            <w:r>
              <w:t>L</w:t>
            </w:r>
            <w:r w:rsidRPr="00EE30C9">
              <w:t>ower limit of quantification</w:t>
            </w:r>
          </w:p>
        </w:tc>
      </w:tr>
      <w:tr w:rsidR="00A558E3" w:rsidTr="00A558E3">
        <w:tc>
          <w:tcPr>
            <w:tcW w:w="1890" w:type="dxa"/>
            <w:shd w:val="clear" w:color="auto" w:fill="auto"/>
          </w:tcPr>
          <w:p w:rsidR="00A558E3" w:rsidRPr="009A6272" w:rsidRDefault="0066424F" w:rsidP="006133D3">
            <w:pPr>
              <w:ind w:left="170" w:right="170"/>
              <w:rPr>
                <w:color w:val="000000"/>
                <w:szCs w:val="21"/>
                <w:lang w:eastAsia="en-AU"/>
              </w:rPr>
            </w:pPr>
            <w:r>
              <w:t>LS mean</w:t>
            </w:r>
          </w:p>
        </w:tc>
        <w:tc>
          <w:tcPr>
            <w:tcW w:w="6911" w:type="dxa"/>
            <w:shd w:val="clear" w:color="auto" w:fill="auto"/>
          </w:tcPr>
          <w:p w:rsidR="00A558E3" w:rsidRPr="009A6272" w:rsidRDefault="0066424F" w:rsidP="006133D3">
            <w:pPr>
              <w:ind w:left="170" w:right="170"/>
              <w:rPr>
                <w:color w:val="000000"/>
                <w:szCs w:val="21"/>
                <w:lang w:eastAsia="en-AU"/>
              </w:rPr>
            </w:pPr>
            <w:r>
              <w:t>Least squares mean</w:t>
            </w:r>
          </w:p>
        </w:tc>
      </w:tr>
      <w:tr w:rsidR="0066424F" w:rsidTr="006133D3">
        <w:tc>
          <w:tcPr>
            <w:tcW w:w="1890" w:type="dxa"/>
            <w:shd w:val="clear" w:color="auto" w:fill="auto"/>
          </w:tcPr>
          <w:p w:rsidR="0066424F" w:rsidRPr="009A6272" w:rsidRDefault="0066424F" w:rsidP="006133D3">
            <w:pPr>
              <w:ind w:left="170" w:right="170"/>
              <w:rPr>
                <w:color w:val="000000"/>
                <w:szCs w:val="21"/>
                <w:lang w:eastAsia="en-AU"/>
              </w:rPr>
            </w:pPr>
            <w:r>
              <w:t>MDS</w:t>
            </w:r>
          </w:p>
        </w:tc>
        <w:tc>
          <w:tcPr>
            <w:tcW w:w="6911" w:type="dxa"/>
            <w:shd w:val="clear" w:color="auto" w:fill="auto"/>
          </w:tcPr>
          <w:p w:rsidR="0066424F" w:rsidRPr="009A6272" w:rsidRDefault="0066424F" w:rsidP="006133D3">
            <w:pPr>
              <w:ind w:left="170" w:right="170"/>
              <w:rPr>
                <w:color w:val="000000"/>
                <w:szCs w:val="21"/>
                <w:lang w:eastAsia="en-AU"/>
              </w:rPr>
            </w:pPr>
            <w:proofErr w:type="spellStart"/>
            <w:r>
              <w:t>Myelodysplastic</w:t>
            </w:r>
            <w:proofErr w:type="spellEnd"/>
            <w:r>
              <w:t xml:space="preserve"> syndrome(s)</w:t>
            </w:r>
          </w:p>
        </w:tc>
      </w:tr>
      <w:tr w:rsidR="0066424F" w:rsidTr="006133D3">
        <w:tc>
          <w:tcPr>
            <w:tcW w:w="1890" w:type="dxa"/>
            <w:shd w:val="clear" w:color="auto" w:fill="auto"/>
          </w:tcPr>
          <w:p w:rsidR="0066424F" w:rsidRPr="009A6272" w:rsidRDefault="0066424F" w:rsidP="006133D3">
            <w:pPr>
              <w:ind w:left="170" w:right="170"/>
              <w:rPr>
                <w:color w:val="000000"/>
                <w:szCs w:val="21"/>
                <w:lang w:eastAsia="en-AU"/>
              </w:rPr>
            </w:pPr>
            <w:r>
              <w:t>PK</w:t>
            </w:r>
          </w:p>
        </w:tc>
        <w:tc>
          <w:tcPr>
            <w:tcW w:w="6911" w:type="dxa"/>
            <w:shd w:val="clear" w:color="auto" w:fill="auto"/>
          </w:tcPr>
          <w:p w:rsidR="0066424F" w:rsidRPr="009A6272" w:rsidRDefault="0066424F" w:rsidP="006133D3">
            <w:pPr>
              <w:ind w:left="170" w:right="170"/>
              <w:rPr>
                <w:color w:val="000000"/>
                <w:szCs w:val="21"/>
                <w:lang w:eastAsia="en-AU"/>
              </w:rPr>
            </w:pPr>
            <w:r>
              <w:t>Pharmacokinetic</w:t>
            </w:r>
          </w:p>
        </w:tc>
      </w:tr>
      <w:tr w:rsidR="0066424F" w:rsidTr="006133D3">
        <w:tc>
          <w:tcPr>
            <w:tcW w:w="1890" w:type="dxa"/>
            <w:shd w:val="clear" w:color="auto" w:fill="auto"/>
          </w:tcPr>
          <w:p w:rsidR="0066424F" w:rsidRPr="009A6272" w:rsidRDefault="0066424F" w:rsidP="006133D3">
            <w:pPr>
              <w:ind w:left="170" w:right="170"/>
              <w:rPr>
                <w:color w:val="000000"/>
                <w:szCs w:val="21"/>
                <w:lang w:eastAsia="en-AU"/>
              </w:rPr>
            </w:pPr>
            <w:r>
              <w:t>PR</w:t>
            </w:r>
          </w:p>
        </w:tc>
        <w:tc>
          <w:tcPr>
            <w:tcW w:w="6911" w:type="dxa"/>
            <w:shd w:val="clear" w:color="auto" w:fill="auto"/>
          </w:tcPr>
          <w:p w:rsidR="0066424F" w:rsidRPr="009A6272" w:rsidRDefault="0066424F" w:rsidP="006133D3">
            <w:pPr>
              <w:ind w:left="170" w:right="170"/>
              <w:rPr>
                <w:color w:val="000000"/>
                <w:szCs w:val="21"/>
                <w:lang w:eastAsia="en-AU"/>
              </w:rPr>
            </w:pPr>
            <w:r>
              <w:t>Partial response</w:t>
            </w:r>
          </w:p>
        </w:tc>
      </w:tr>
      <w:tr w:rsidR="00586F98" w:rsidTr="00A558E3">
        <w:tc>
          <w:tcPr>
            <w:tcW w:w="1890" w:type="dxa"/>
            <w:shd w:val="clear" w:color="auto" w:fill="auto"/>
          </w:tcPr>
          <w:p w:rsidR="00586F98" w:rsidRPr="009A6272" w:rsidRDefault="0066424F" w:rsidP="009A6272">
            <w:pPr>
              <w:ind w:left="170" w:right="170"/>
              <w:rPr>
                <w:color w:val="000000"/>
                <w:szCs w:val="21"/>
                <w:lang w:eastAsia="en-AU"/>
              </w:rPr>
            </w:pPr>
            <w:r>
              <w:t>RAEB</w:t>
            </w:r>
          </w:p>
        </w:tc>
        <w:tc>
          <w:tcPr>
            <w:tcW w:w="6911" w:type="dxa"/>
            <w:shd w:val="clear" w:color="auto" w:fill="auto"/>
          </w:tcPr>
          <w:p w:rsidR="00586F98" w:rsidRPr="009A6272" w:rsidRDefault="0066424F" w:rsidP="009A6272">
            <w:pPr>
              <w:ind w:left="170" w:right="170"/>
              <w:rPr>
                <w:color w:val="000000"/>
                <w:szCs w:val="21"/>
                <w:lang w:eastAsia="en-AU"/>
              </w:rPr>
            </w:pPr>
            <w:r>
              <w:t>Refractory anaemia with excess blasts</w:t>
            </w:r>
          </w:p>
        </w:tc>
      </w:tr>
      <w:tr w:rsidR="0066424F" w:rsidTr="006133D3">
        <w:tc>
          <w:tcPr>
            <w:tcW w:w="1890" w:type="dxa"/>
            <w:shd w:val="clear" w:color="auto" w:fill="auto"/>
          </w:tcPr>
          <w:p w:rsidR="0066424F" w:rsidRPr="009A6272" w:rsidRDefault="0066424F" w:rsidP="006133D3">
            <w:pPr>
              <w:ind w:left="170" w:right="170"/>
              <w:rPr>
                <w:color w:val="000000"/>
                <w:szCs w:val="21"/>
                <w:lang w:eastAsia="en-AU"/>
              </w:rPr>
            </w:pPr>
            <w:r>
              <w:t>RAEB-T</w:t>
            </w:r>
          </w:p>
        </w:tc>
        <w:tc>
          <w:tcPr>
            <w:tcW w:w="6911" w:type="dxa"/>
            <w:shd w:val="clear" w:color="auto" w:fill="auto"/>
          </w:tcPr>
          <w:p w:rsidR="0066424F" w:rsidRPr="009A6272" w:rsidRDefault="0066424F" w:rsidP="006133D3">
            <w:pPr>
              <w:ind w:left="170" w:right="170"/>
              <w:rPr>
                <w:color w:val="000000"/>
                <w:szCs w:val="21"/>
                <w:lang w:eastAsia="en-AU"/>
              </w:rPr>
            </w:pPr>
            <w:r>
              <w:t>Refractory anaemia with excess blasts in transformation</w:t>
            </w:r>
          </w:p>
        </w:tc>
      </w:tr>
      <w:tr w:rsidR="0066424F" w:rsidTr="006133D3">
        <w:tc>
          <w:tcPr>
            <w:tcW w:w="1890" w:type="dxa"/>
            <w:shd w:val="clear" w:color="auto" w:fill="auto"/>
          </w:tcPr>
          <w:p w:rsidR="0066424F" w:rsidRPr="009A6272" w:rsidRDefault="0066424F" w:rsidP="006133D3">
            <w:pPr>
              <w:ind w:left="170" w:right="170"/>
              <w:rPr>
                <w:color w:val="000000"/>
                <w:szCs w:val="21"/>
                <w:lang w:eastAsia="en-AU"/>
              </w:rPr>
            </w:pPr>
            <w:r>
              <w:t>SC</w:t>
            </w:r>
          </w:p>
        </w:tc>
        <w:tc>
          <w:tcPr>
            <w:tcW w:w="6911" w:type="dxa"/>
            <w:shd w:val="clear" w:color="auto" w:fill="auto"/>
          </w:tcPr>
          <w:p w:rsidR="0066424F" w:rsidRPr="009A6272" w:rsidRDefault="0066424F" w:rsidP="006133D3">
            <w:pPr>
              <w:ind w:left="170" w:right="170"/>
              <w:rPr>
                <w:color w:val="000000"/>
                <w:szCs w:val="21"/>
                <w:lang w:eastAsia="en-AU"/>
              </w:rPr>
            </w:pPr>
            <w:r>
              <w:t>Subcutaneous</w:t>
            </w:r>
          </w:p>
        </w:tc>
      </w:tr>
      <w:tr w:rsidR="0066424F" w:rsidTr="006133D3">
        <w:tc>
          <w:tcPr>
            <w:tcW w:w="1890" w:type="dxa"/>
            <w:shd w:val="clear" w:color="auto" w:fill="auto"/>
          </w:tcPr>
          <w:p w:rsidR="0066424F" w:rsidRPr="009A6272" w:rsidRDefault="0066424F" w:rsidP="006133D3">
            <w:pPr>
              <w:ind w:left="170" w:right="170"/>
              <w:rPr>
                <w:color w:val="000000"/>
                <w:szCs w:val="21"/>
                <w:lang w:eastAsia="en-AU"/>
              </w:rPr>
            </w:pPr>
            <w:r>
              <w:t>SOC</w:t>
            </w:r>
          </w:p>
        </w:tc>
        <w:tc>
          <w:tcPr>
            <w:tcW w:w="6911" w:type="dxa"/>
            <w:shd w:val="clear" w:color="auto" w:fill="auto"/>
          </w:tcPr>
          <w:p w:rsidR="0066424F" w:rsidRPr="009A6272" w:rsidRDefault="0066424F" w:rsidP="006133D3">
            <w:pPr>
              <w:ind w:left="170" w:right="170"/>
              <w:rPr>
                <w:color w:val="000000"/>
                <w:szCs w:val="21"/>
                <w:lang w:eastAsia="en-AU"/>
              </w:rPr>
            </w:pPr>
            <w:r>
              <w:t>System organ class</w:t>
            </w:r>
          </w:p>
        </w:tc>
      </w:tr>
      <w:tr w:rsidR="0066424F" w:rsidTr="006133D3">
        <w:tc>
          <w:tcPr>
            <w:tcW w:w="1890" w:type="dxa"/>
            <w:shd w:val="clear" w:color="auto" w:fill="auto"/>
          </w:tcPr>
          <w:p w:rsidR="0066424F" w:rsidRPr="009A6272" w:rsidRDefault="0066424F" w:rsidP="006133D3">
            <w:pPr>
              <w:ind w:left="170" w:right="170"/>
              <w:rPr>
                <w:color w:val="000000"/>
                <w:szCs w:val="21"/>
                <w:lang w:eastAsia="en-AU"/>
              </w:rPr>
            </w:pPr>
            <w:r>
              <w:lastRenderedPageBreak/>
              <w:t>TEAE</w:t>
            </w:r>
          </w:p>
        </w:tc>
        <w:tc>
          <w:tcPr>
            <w:tcW w:w="6911" w:type="dxa"/>
            <w:shd w:val="clear" w:color="auto" w:fill="auto"/>
          </w:tcPr>
          <w:p w:rsidR="0066424F" w:rsidRPr="009A6272" w:rsidRDefault="0066424F" w:rsidP="006133D3">
            <w:pPr>
              <w:ind w:left="170" w:right="170"/>
              <w:rPr>
                <w:color w:val="000000"/>
                <w:szCs w:val="21"/>
                <w:lang w:eastAsia="en-AU"/>
              </w:rPr>
            </w:pPr>
            <w:r>
              <w:t>Treatment emergent adverse event</w:t>
            </w:r>
          </w:p>
        </w:tc>
      </w:tr>
    </w:tbl>
    <w:p w:rsidR="00586F98" w:rsidRDefault="00586F98" w:rsidP="0043797D">
      <w:pPr>
        <w:pStyle w:val="Heading2"/>
        <w:pageBreakBefore/>
        <w:rPr>
          <w:lang w:eastAsia="en-AU"/>
        </w:rPr>
      </w:pPr>
      <w:bookmarkStart w:id="7" w:name="_Toc362534145"/>
      <w:bookmarkStart w:id="8" w:name="_Toc351718900"/>
      <w:bookmarkStart w:id="9" w:name="_Toc355338635"/>
      <w:r>
        <w:rPr>
          <w:lang w:eastAsia="en-AU"/>
        </w:rPr>
        <w:lastRenderedPageBreak/>
        <w:t>Clinical rationale</w:t>
      </w:r>
      <w:bookmarkEnd w:id="7"/>
    </w:p>
    <w:p w:rsidR="00114B11" w:rsidRDefault="00114B11" w:rsidP="00114B11">
      <w:pPr>
        <w:spacing w:after="60"/>
      </w:pPr>
      <w:r>
        <w:t>The rationale offered in the Letter of Application is as follows:</w:t>
      </w:r>
    </w:p>
    <w:p w:rsidR="00114B11" w:rsidRPr="00114B11" w:rsidRDefault="00114B11" w:rsidP="00114B11">
      <w:pPr>
        <w:ind w:left="567"/>
        <w:rPr>
          <w:i/>
        </w:rPr>
      </w:pPr>
      <w:proofErr w:type="spellStart"/>
      <w:r w:rsidRPr="00114B11">
        <w:rPr>
          <w:i/>
        </w:rPr>
        <w:t>Celgene</w:t>
      </w:r>
      <w:proofErr w:type="spellEnd"/>
      <w:r w:rsidRPr="00114B11">
        <w:rPr>
          <w:i/>
        </w:rPr>
        <w:t xml:space="preserve"> believes that physicians may be administering </w:t>
      </w:r>
      <w:proofErr w:type="spellStart"/>
      <w:r w:rsidRPr="00114B11">
        <w:rPr>
          <w:i/>
        </w:rPr>
        <w:t>Vidaza</w:t>
      </w:r>
      <w:proofErr w:type="spellEnd"/>
      <w:r w:rsidRPr="00114B11">
        <w:rPr>
          <w:i/>
        </w:rPr>
        <w:t xml:space="preserve"> by IV infusion off-label without adequate knowledge of the stability profile of the reconstituted </w:t>
      </w:r>
      <w:proofErr w:type="spellStart"/>
      <w:r w:rsidRPr="00114B11">
        <w:rPr>
          <w:i/>
        </w:rPr>
        <w:t>Vidaza</w:t>
      </w:r>
      <w:proofErr w:type="spellEnd"/>
      <w:r w:rsidRPr="00114B11">
        <w:rPr>
          <w:i/>
        </w:rPr>
        <w:t xml:space="preserve"> in infusion solutions and the IV administration technique. </w:t>
      </w:r>
      <w:proofErr w:type="spellStart"/>
      <w:r w:rsidRPr="00114B11">
        <w:rPr>
          <w:i/>
        </w:rPr>
        <w:t>Celgene</w:t>
      </w:r>
      <w:proofErr w:type="spellEnd"/>
      <w:r w:rsidRPr="00114B11">
        <w:rPr>
          <w:i/>
        </w:rPr>
        <w:t xml:space="preserve"> believes that it is important for healthcare professionals to have access to the most recent and accurate IV administration details for </w:t>
      </w:r>
      <w:proofErr w:type="spellStart"/>
      <w:r w:rsidRPr="00114B11">
        <w:rPr>
          <w:i/>
        </w:rPr>
        <w:t>Vidaza</w:t>
      </w:r>
      <w:proofErr w:type="spellEnd"/>
      <w:r w:rsidRPr="00114B11">
        <w:rPr>
          <w:i/>
        </w:rPr>
        <w:t>.</w:t>
      </w:r>
    </w:p>
    <w:p w:rsidR="00586F98" w:rsidRDefault="00586F98" w:rsidP="00586F98">
      <w:pPr>
        <w:pStyle w:val="Heading2"/>
        <w:rPr>
          <w:lang w:eastAsia="en-AU"/>
        </w:rPr>
      </w:pPr>
      <w:bookmarkStart w:id="10" w:name="_Toc362534146"/>
      <w:r>
        <w:rPr>
          <w:lang w:eastAsia="en-AU"/>
        </w:rPr>
        <w:t>Contents of the clinical dossier</w:t>
      </w:r>
      <w:bookmarkEnd w:id="8"/>
      <w:bookmarkEnd w:id="9"/>
      <w:bookmarkEnd w:id="10"/>
    </w:p>
    <w:p w:rsidR="00586F98" w:rsidRDefault="00586F98" w:rsidP="00586F98">
      <w:pPr>
        <w:pStyle w:val="Heading3"/>
      </w:pPr>
      <w:bookmarkStart w:id="11" w:name="_Toc362534147"/>
      <w:r>
        <w:t>Scope of the clinical dossier</w:t>
      </w:r>
      <w:bookmarkEnd w:id="11"/>
    </w:p>
    <w:p w:rsidR="008C154F" w:rsidRDefault="008C154F" w:rsidP="008C154F">
      <w:r>
        <w:t>The submission contained the following clinical information:</w:t>
      </w:r>
    </w:p>
    <w:p w:rsidR="008C154F" w:rsidRPr="006A08A1" w:rsidRDefault="008C154F" w:rsidP="008C154F">
      <w:pPr>
        <w:pStyle w:val="ListBullet"/>
        <w:numPr>
          <w:ilvl w:val="0"/>
          <w:numId w:val="3"/>
        </w:numPr>
      </w:pPr>
      <w:r>
        <w:t>0 new clinical studies.</w:t>
      </w:r>
    </w:p>
    <w:p w:rsidR="008C154F" w:rsidRPr="004F0554" w:rsidRDefault="008C154F" w:rsidP="008C154F">
      <w:pPr>
        <w:pStyle w:val="ListBullet"/>
        <w:numPr>
          <w:ilvl w:val="0"/>
          <w:numId w:val="3"/>
        </w:numPr>
      </w:pPr>
      <w:r w:rsidRPr="004F0554">
        <w:t xml:space="preserve">1 </w:t>
      </w:r>
      <w:r>
        <w:t>CSR</w:t>
      </w:r>
      <w:r w:rsidRPr="004F0554">
        <w:t xml:space="preserve"> relating to clinical </w:t>
      </w:r>
      <w:r>
        <w:t>S</w:t>
      </w:r>
      <w:r w:rsidRPr="004F0554">
        <w:t>tudy CALGB 8421. That study was submitted with the initial application</w:t>
      </w:r>
      <w:r>
        <w:t xml:space="preserve"> for registration </w:t>
      </w:r>
      <w:r w:rsidRPr="004F0554">
        <w:t xml:space="preserve">and evaluated in </w:t>
      </w:r>
      <w:r>
        <w:t>the first round evaluation</w:t>
      </w:r>
      <w:r w:rsidRPr="004F0554">
        <w:t>.</w:t>
      </w:r>
    </w:p>
    <w:p w:rsidR="008C154F" w:rsidRPr="004F0554" w:rsidRDefault="008C154F" w:rsidP="008C154F">
      <w:pPr>
        <w:pStyle w:val="ListBullet"/>
        <w:numPr>
          <w:ilvl w:val="0"/>
          <w:numId w:val="3"/>
        </w:numPr>
      </w:pPr>
      <w:r w:rsidRPr="004F0554">
        <w:t xml:space="preserve">1 population pharmacokinetic analysis, based on data from Study AZA-2002-BA-002. That study was submitted with the initial application for registration and evaluated in </w:t>
      </w:r>
      <w:r>
        <w:t>the first round evaluation</w:t>
      </w:r>
      <w:r w:rsidRPr="004F0554">
        <w:t>.</w:t>
      </w:r>
    </w:p>
    <w:p w:rsidR="008C154F" w:rsidRPr="004F0554" w:rsidRDefault="008C154F" w:rsidP="008C154F">
      <w:pPr>
        <w:pStyle w:val="ListBullet"/>
        <w:numPr>
          <w:ilvl w:val="0"/>
          <w:numId w:val="3"/>
        </w:numPr>
      </w:pPr>
      <w:r w:rsidRPr="004F0554">
        <w:t xml:space="preserve">Literature references. These comprised a subset of the references cited in: (a) the </w:t>
      </w:r>
      <w:r>
        <w:t>p</w:t>
      </w:r>
      <w:r w:rsidRPr="004F0554">
        <w:t xml:space="preserve">harmacokinetic modelling report, (b) a report identified as </w:t>
      </w:r>
      <w:r w:rsidRPr="004F0554">
        <w:rPr>
          <w:bCs/>
        </w:rPr>
        <w:t xml:space="preserve">Azacitidine-DMPK-002 (relating to an </w:t>
      </w:r>
      <w:r w:rsidRPr="008C154F">
        <w:rPr>
          <w:bCs/>
        </w:rPr>
        <w:t>in vitro</w:t>
      </w:r>
      <w:r w:rsidRPr="004F0554">
        <w:rPr>
          <w:bCs/>
        </w:rPr>
        <w:t xml:space="preserve"> study)</w:t>
      </w:r>
      <w:r w:rsidRPr="004F0554">
        <w:t xml:space="preserve"> and (c) the CSR on Study CALGB 8421. None contributed any new clinical data supporting the application.</w:t>
      </w:r>
    </w:p>
    <w:p w:rsidR="00586F98" w:rsidRDefault="00586F98" w:rsidP="00586F98">
      <w:pPr>
        <w:pStyle w:val="Heading3"/>
      </w:pPr>
      <w:bookmarkStart w:id="12" w:name="_Toc362534148"/>
      <w:r>
        <w:t>Paediatric data</w:t>
      </w:r>
      <w:bookmarkEnd w:id="12"/>
    </w:p>
    <w:p w:rsidR="008C154F" w:rsidRDefault="008C154F" w:rsidP="008C154F">
      <w:r>
        <w:t>The submission did not include paediatric data.</w:t>
      </w:r>
    </w:p>
    <w:p w:rsidR="00586F98" w:rsidRDefault="00586F98" w:rsidP="00586F98">
      <w:pPr>
        <w:pStyle w:val="Heading3"/>
      </w:pPr>
      <w:bookmarkStart w:id="13" w:name="_Toc362534149"/>
      <w:r>
        <w:t>Good clinical practice</w:t>
      </w:r>
      <w:bookmarkEnd w:id="13"/>
    </w:p>
    <w:p w:rsidR="008C154F" w:rsidRDefault="008C154F" w:rsidP="008C154F">
      <w:pPr>
        <w:spacing w:after="60"/>
      </w:pPr>
      <w:r>
        <w:t xml:space="preserve">For Study CALGB 8421, compliance with GCP was asserted in </w:t>
      </w:r>
      <w:r w:rsidR="00934518">
        <w:t>the following terms</w:t>
      </w:r>
      <w:r>
        <w:t xml:space="preserve">: </w:t>
      </w:r>
    </w:p>
    <w:p w:rsidR="008C154F" w:rsidRPr="008C154F" w:rsidRDefault="008C154F" w:rsidP="008C154F">
      <w:pPr>
        <w:ind w:left="720"/>
        <w:rPr>
          <w:i/>
        </w:rPr>
      </w:pPr>
      <w:r w:rsidRPr="008C154F">
        <w:rPr>
          <w:i/>
        </w:rPr>
        <w:t xml:space="preserve">"This study was conducted in accordance with Cancer and </w:t>
      </w:r>
      <w:proofErr w:type="spellStart"/>
      <w:r w:rsidRPr="008C154F">
        <w:rPr>
          <w:i/>
        </w:rPr>
        <w:t>Leukemia</w:t>
      </w:r>
      <w:proofErr w:type="spellEnd"/>
      <w:r w:rsidRPr="008C154F">
        <w:rPr>
          <w:i/>
        </w:rPr>
        <w:t xml:space="preserve"> Group B (CALGB) standard operating procedures for clinical investigations, which ensured compliance with Office of Human Research Protections (OHRP), Department of Health and Human Services (DHHS), and Food and Drug Administration (FDA) Good Clinical Practice (GCP) regulations governing research in human subjects. This study was initiated prior to implementation of International Conference on Harmonization (ICH) GCP Guidelines."</w:t>
      </w:r>
    </w:p>
    <w:p w:rsidR="008C154F" w:rsidRPr="004C3788" w:rsidRDefault="008C154F" w:rsidP="008C154F">
      <w:r>
        <w:t xml:space="preserve">The </w:t>
      </w:r>
      <w:r w:rsidRPr="004C3788">
        <w:rPr>
          <w:i/>
        </w:rPr>
        <w:t>Pharmacokinetic Mode</w:t>
      </w:r>
      <w:r w:rsidR="00934518">
        <w:rPr>
          <w:i/>
        </w:rPr>
        <w:t>l</w:t>
      </w:r>
      <w:r w:rsidRPr="004C3788">
        <w:rPr>
          <w:i/>
        </w:rPr>
        <w:t>ling Report</w:t>
      </w:r>
      <w:r>
        <w:t xml:space="preserve"> relating to Study AZA-2002-BA-002 also included a fo</w:t>
      </w:r>
      <w:r w:rsidR="00934518">
        <w:t>rm of GCP certification</w:t>
      </w:r>
      <w:r>
        <w:t>, although the report clearly relates specifically to a mathematical analysis of data, conducted years after the clinical study. The GCP certification may well have been appropriate for the clinical report of the original clinical study, but seems out of place in the modelling report, in implying that some sort of recognised standard was followed in connection with the model development, analysis, interpretation and documentation (which was presumably not the case).</w:t>
      </w:r>
    </w:p>
    <w:p w:rsidR="00586F98" w:rsidRDefault="00586F98" w:rsidP="00586F98">
      <w:pPr>
        <w:pStyle w:val="Heading2"/>
      </w:pPr>
      <w:bookmarkStart w:id="14" w:name="_Toc355338639"/>
      <w:bookmarkStart w:id="15" w:name="_Toc362534150"/>
      <w:r>
        <w:lastRenderedPageBreak/>
        <w:t>Pharmacokinetics</w:t>
      </w:r>
      <w:bookmarkEnd w:id="14"/>
      <w:bookmarkEnd w:id="15"/>
      <w:r>
        <w:t xml:space="preserve"> </w:t>
      </w:r>
    </w:p>
    <w:p w:rsidR="00D35538" w:rsidRDefault="00D35538" w:rsidP="001707E2">
      <w:pPr>
        <w:pStyle w:val="Heading3"/>
      </w:pPr>
      <w:bookmarkStart w:id="16" w:name="_Ref271017296"/>
      <w:bookmarkStart w:id="17" w:name="_Ref271018924"/>
      <w:bookmarkStart w:id="18" w:name="_Ref271018934"/>
      <w:bookmarkStart w:id="19" w:name="_Toc272414614"/>
      <w:bookmarkStart w:id="20" w:name="_Toc290846238"/>
      <w:bookmarkStart w:id="21" w:name="_Toc327360223"/>
      <w:bookmarkStart w:id="22" w:name="_Toc362534151"/>
      <w:r>
        <w:t>Studies</w:t>
      </w:r>
      <w:bookmarkEnd w:id="16"/>
      <w:bookmarkEnd w:id="17"/>
      <w:bookmarkEnd w:id="18"/>
      <w:r>
        <w:t xml:space="preserve"> providing pharmacokinetic data</w:t>
      </w:r>
      <w:bookmarkEnd w:id="19"/>
      <w:bookmarkEnd w:id="20"/>
      <w:bookmarkEnd w:id="21"/>
      <w:bookmarkEnd w:id="22"/>
    </w:p>
    <w:p w:rsidR="00D35538" w:rsidRDefault="00934518" w:rsidP="00D35538">
      <w:r>
        <w:t xml:space="preserve">Table 1 </w:t>
      </w:r>
      <w:r w:rsidR="00D35538">
        <w:t>shows the studies relating to each pharmacokinetic topic and the location of each study summary.</w:t>
      </w:r>
    </w:p>
    <w:p w:rsidR="001707E2" w:rsidRDefault="001707E2" w:rsidP="001707E2">
      <w:pPr>
        <w:pStyle w:val="FigureTitle"/>
        <w:rPr>
          <w:lang w:val="en-GB"/>
        </w:rPr>
      </w:pPr>
      <w:r>
        <w:t>Table 1:</w:t>
      </w:r>
      <w:r w:rsidRPr="004C5C28">
        <w:t xml:space="preserve"> </w:t>
      </w:r>
      <w:r>
        <w:t>Submitted pharmacokinetic studies.</w:t>
      </w:r>
    </w:p>
    <w:p w:rsidR="001707E2" w:rsidRDefault="004772F5" w:rsidP="00E4136B">
      <w:pPr>
        <w:pStyle w:val="Notes"/>
        <w:jc w:val="center"/>
      </w:pPr>
      <w:r>
        <w:rPr>
          <w:noProof/>
          <w:lang w:eastAsia="en-AU"/>
        </w:rPr>
        <w:drawing>
          <wp:inline distT="0" distB="0" distL="0" distR="0">
            <wp:extent cx="4412615" cy="1786255"/>
            <wp:effectExtent l="19050" t="0" r="6985" b="0"/>
            <wp:docPr id="10" name="Picture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17" cstate="print"/>
                    <a:srcRect/>
                    <a:stretch>
                      <a:fillRect/>
                    </a:stretch>
                  </pic:blipFill>
                  <pic:spPr bwMode="auto">
                    <a:xfrm>
                      <a:off x="0" y="0"/>
                      <a:ext cx="4412615" cy="1786255"/>
                    </a:xfrm>
                    <a:prstGeom prst="rect">
                      <a:avLst/>
                    </a:prstGeom>
                    <a:noFill/>
                    <a:ln w="9525">
                      <a:noFill/>
                      <a:miter lim="800000"/>
                      <a:headEnd/>
                      <a:tailEnd/>
                    </a:ln>
                  </pic:spPr>
                </pic:pic>
              </a:graphicData>
            </a:graphic>
          </wp:inline>
        </w:drawing>
      </w:r>
    </w:p>
    <w:p w:rsidR="00D35538" w:rsidRDefault="00D35538" w:rsidP="001707E2">
      <w:pPr>
        <w:pStyle w:val="Notes"/>
      </w:pPr>
      <w:r>
        <w:t>* Indicates the primary aim of the study.</w:t>
      </w:r>
    </w:p>
    <w:p w:rsidR="00D35538" w:rsidRDefault="00D35538" w:rsidP="001707E2">
      <w:pPr>
        <w:pStyle w:val="Notes"/>
      </w:pPr>
      <w:r w:rsidRPr="00AF6927">
        <w:t>†</w:t>
      </w:r>
      <w:r>
        <w:t xml:space="preserve"> Bioequivalence of different formulations.</w:t>
      </w:r>
    </w:p>
    <w:p w:rsidR="00D35538" w:rsidRDefault="00D35538" w:rsidP="001707E2">
      <w:pPr>
        <w:pStyle w:val="Notes"/>
        <w:rPr>
          <w:szCs w:val="20"/>
        </w:rPr>
      </w:pPr>
      <w:r w:rsidRPr="00BF3808">
        <w:t>§</w:t>
      </w:r>
      <w:r>
        <w:rPr>
          <w:szCs w:val="20"/>
        </w:rPr>
        <w:t xml:space="preserve"> Subjects who would be eligible to receive the drug if approved for the proposed indication.</w:t>
      </w:r>
    </w:p>
    <w:p w:rsidR="00D35538" w:rsidRDefault="00D35538" w:rsidP="00D35538">
      <w:r>
        <w:t>None of the pharmacokinetic studies had deficiencies that excluded their results from consideration.</w:t>
      </w:r>
    </w:p>
    <w:p w:rsidR="00D35538" w:rsidRDefault="00D35538" w:rsidP="00E4136B">
      <w:pPr>
        <w:pStyle w:val="Heading3"/>
      </w:pPr>
      <w:bookmarkStart w:id="23" w:name="_Ref269118175"/>
      <w:bookmarkStart w:id="24" w:name="_Toc272414616"/>
      <w:bookmarkStart w:id="25" w:name="_Toc290846239"/>
      <w:bookmarkStart w:id="26" w:name="_Toc327360224"/>
      <w:bookmarkStart w:id="27" w:name="_Toc362534152"/>
      <w:r>
        <w:t>Summary of pharmacokinetics</w:t>
      </w:r>
      <w:bookmarkEnd w:id="23"/>
      <w:bookmarkEnd w:id="24"/>
      <w:bookmarkEnd w:id="25"/>
      <w:bookmarkEnd w:id="26"/>
      <w:bookmarkEnd w:id="27"/>
    </w:p>
    <w:p w:rsidR="00D35538" w:rsidRDefault="00D35538" w:rsidP="00D35538">
      <w:r>
        <w:t>The information in the following summary is derived from conventional pharmacokinetic studies unless otherwise stated.</w:t>
      </w:r>
    </w:p>
    <w:p w:rsidR="00D35538" w:rsidRPr="003C0A48" w:rsidRDefault="00D35538" w:rsidP="00E4136B">
      <w:pPr>
        <w:pStyle w:val="Heading4"/>
      </w:pPr>
      <w:bookmarkStart w:id="28" w:name="_Toc241374292"/>
      <w:bookmarkStart w:id="29" w:name="_Ref271189131"/>
      <w:bookmarkStart w:id="30" w:name="_Ref271189136"/>
      <w:bookmarkStart w:id="31" w:name="_Toc272414625"/>
      <w:bookmarkStart w:id="32" w:name="_Toc290846248"/>
      <w:bookmarkStart w:id="33" w:name="_Toc327360225"/>
      <w:r w:rsidRPr="003C0A48">
        <w:t>Pharmacokinetics in the target population</w:t>
      </w:r>
      <w:bookmarkEnd w:id="28"/>
      <w:bookmarkEnd w:id="29"/>
      <w:bookmarkEnd w:id="30"/>
      <w:bookmarkEnd w:id="31"/>
      <w:bookmarkEnd w:id="32"/>
      <w:bookmarkEnd w:id="33"/>
    </w:p>
    <w:p w:rsidR="00D35538" w:rsidRDefault="00D35538" w:rsidP="00E4136B">
      <w:pPr>
        <w:pStyle w:val="Heading5"/>
      </w:pPr>
      <w:bookmarkStart w:id="34" w:name="_Toc327360226"/>
      <w:r>
        <w:t>Study AZA-2002-BA-002 (also designated AZA-CSR-004)</w:t>
      </w:r>
      <w:bookmarkEnd w:id="34"/>
    </w:p>
    <w:p w:rsidR="00D35538" w:rsidRDefault="00D35538" w:rsidP="00D35538">
      <w:bookmarkStart w:id="35" w:name="_Toc241374293"/>
      <w:r>
        <w:t xml:space="preserve">This study comparing some features of the pharmacokinetics of subcutaneous and intravenous </w:t>
      </w:r>
      <w:proofErr w:type="spellStart"/>
      <w:r>
        <w:t>azacitidine</w:t>
      </w:r>
      <w:proofErr w:type="spellEnd"/>
      <w:r>
        <w:t xml:space="preserve"> in patients with MDS was submitted with the initial application for </w:t>
      </w:r>
      <w:proofErr w:type="spellStart"/>
      <w:r>
        <w:t>Vidaza</w:t>
      </w:r>
      <w:proofErr w:type="spellEnd"/>
      <w:r>
        <w:t xml:space="preserve"> and has been evaluated previously (see </w:t>
      </w:r>
      <w:r w:rsidRPr="006916C4">
        <w:rPr>
          <w:i/>
        </w:rPr>
        <w:t>CER1</w:t>
      </w:r>
      <w:r>
        <w:t>).</w:t>
      </w:r>
      <w:r w:rsidR="00675BB7">
        <w:t xml:space="preserve"> The evaluator</w:t>
      </w:r>
      <w:r>
        <w:t xml:space="preserve"> had access to a synopsis of the </w:t>
      </w:r>
      <w:r w:rsidRPr="007D71A4">
        <w:rPr>
          <w:i/>
        </w:rPr>
        <w:t>CSR</w:t>
      </w:r>
      <w:r>
        <w:t xml:space="preserve">, and to </w:t>
      </w:r>
      <w:r w:rsidRPr="007D71A4">
        <w:rPr>
          <w:i/>
        </w:rPr>
        <w:t>CER1</w:t>
      </w:r>
      <w:r>
        <w:t xml:space="preserve"> (which contained some photocopied extracts from the </w:t>
      </w:r>
      <w:r w:rsidRPr="007D71A4">
        <w:rPr>
          <w:i/>
        </w:rPr>
        <w:t>CSR</w:t>
      </w:r>
      <w:r>
        <w:t xml:space="preserve">).  A summary of the study, extracted from these sources, is at </w:t>
      </w:r>
      <w:r w:rsidR="00DB5B7F">
        <w:t>Table</w:t>
      </w:r>
      <w:r w:rsidR="00CD1328">
        <w:t>s</w:t>
      </w:r>
      <w:r w:rsidR="00DB5B7F">
        <w:t xml:space="preserve"> 2</w:t>
      </w:r>
      <w:r w:rsidR="00CD1328">
        <w:t>-3</w:t>
      </w:r>
      <w:r>
        <w:t>.</w:t>
      </w:r>
    </w:p>
    <w:p w:rsidR="00675BB7" w:rsidRPr="00F66F35" w:rsidRDefault="00675BB7" w:rsidP="00675BB7">
      <w:pPr>
        <w:pStyle w:val="FigureTitle"/>
        <w:rPr>
          <w:lang w:val="en-GB"/>
        </w:rPr>
      </w:pPr>
      <w:r w:rsidRPr="00F66F35">
        <w:t xml:space="preserve">Table </w:t>
      </w:r>
      <w:r w:rsidR="00750138">
        <w:t>2</w:t>
      </w:r>
      <w:r w:rsidRPr="00F66F35">
        <w:t xml:space="preserve">: </w:t>
      </w:r>
      <w:r w:rsidR="00F66F35" w:rsidRPr="00F66F35">
        <w:t>Study AZA-2002-BA-002</w:t>
      </w:r>
      <w:r w:rsidR="000062A5">
        <w:t>:</w:t>
      </w:r>
      <w:r w:rsidR="00F66F35" w:rsidRPr="00F66F35">
        <w:t xml:space="preserve"> values of </w:t>
      </w:r>
      <w:r w:rsidR="000062A5">
        <w:t xml:space="preserve">pharmacokinetic </w:t>
      </w:r>
      <w:r w:rsidR="00F66F35" w:rsidRPr="00F66F35">
        <w:t>parameters, derived from non-compartmental analysis</w:t>
      </w:r>
      <w:r w:rsidRPr="00F66F35">
        <w:t>.</w:t>
      </w:r>
    </w:p>
    <w:p w:rsidR="00675BB7" w:rsidRDefault="004772F5" w:rsidP="00D35538">
      <w:r>
        <w:rPr>
          <w:noProof/>
          <w:lang w:eastAsia="en-AU"/>
        </w:rPr>
        <w:drawing>
          <wp:inline distT="0" distB="0" distL="0" distR="0">
            <wp:extent cx="5390515" cy="1860550"/>
            <wp:effectExtent l="19050" t="0" r="635" b="0"/>
            <wp:docPr id="2" name="Picture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pic:cNvPicPr>
                      <a:picLocks noChangeAspect="1" noChangeArrowheads="1"/>
                    </pic:cNvPicPr>
                  </pic:nvPicPr>
                  <pic:blipFill>
                    <a:blip r:embed="rId18" cstate="print"/>
                    <a:srcRect/>
                    <a:stretch>
                      <a:fillRect/>
                    </a:stretch>
                  </pic:blipFill>
                  <pic:spPr bwMode="auto">
                    <a:xfrm>
                      <a:off x="0" y="0"/>
                      <a:ext cx="5390515" cy="1860550"/>
                    </a:xfrm>
                    <a:prstGeom prst="rect">
                      <a:avLst/>
                    </a:prstGeom>
                    <a:noFill/>
                    <a:ln w="9525">
                      <a:noFill/>
                      <a:miter lim="800000"/>
                      <a:headEnd/>
                      <a:tailEnd/>
                    </a:ln>
                  </pic:spPr>
                </pic:pic>
              </a:graphicData>
            </a:graphic>
          </wp:inline>
        </w:drawing>
      </w:r>
    </w:p>
    <w:p w:rsidR="00CD1328" w:rsidRPr="00F66F35" w:rsidRDefault="00CD1328" w:rsidP="00CD1328">
      <w:pPr>
        <w:pStyle w:val="FigureTitle"/>
        <w:rPr>
          <w:lang w:val="en-GB"/>
        </w:rPr>
      </w:pPr>
      <w:r w:rsidRPr="00F66F35">
        <w:lastRenderedPageBreak/>
        <w:t xml:space="preserve">Table </w:t>
      </w:r>
      <w:r w:rsidR="00E06320">
        <w:t>3</w:t>
      </w:r>
      <w:r w:rsidRPr="00F66F35">
        <w:t xml:space="preserve">: </w:t>
      </w:r>
      <w:r w:rsidRPr="00CD1328">
        <w:t xml:space="preserve">Individual estimates of </w:t>
      </w:r>
      <w:proofErr w:type="spellStart"/>
      <w:r w:rsidRPr="00CD1328">
        <w:t>Cmax</w:t>
      </w:r>
      <w:proofErr w:type="spellEnd"/>
      <w:r w:rsidRPr="00CD1328">
        <w:t xml:space="preserve"> and AUC</w:t>
      </w:r>
      <w:r>
        <w:rPr>
          <w:vertAlign w:val="subscript"/>
        </w:rPr>
        <w:t>0-∞</w:t>
      </w:r>
      <w:r w:rsidRPr="00CD1328">
        <w:t xml:space="preserve"> following SC and IV administration</w:t>
      </w:r>
      <w:r w:rsidRPr="00F66F35">
        <w:t>.</w:t>
      </w:r>
    </w:p>
    <w:p w:rsidR="00CD1328" w:rsidRDefault="004772F5" w:rsidP="00CD1328">
      <w:pPr>
        <w:pStyle w:val="Heading5"/>
        <w:numPr>
          <w:ilvl w:val="0"/>
          <w:numId w:val="0"/>
        </w:numPr>
        <w:jc w:val="center"/>
      </w:pPr>
      <w:r>
        <w:rPr>
          <w:noProof/>
          <w:lang w:eastAsia="en-AU"/>
        </w:rPr>
        <w:drawing>
          <wp:inline distT="0" distB="0" distL="0" distR="0">
            <wp:extent cx="3721100" cy="1956435"/>
            <wp:effectExtent l="19050" t="0" r="0" b="0"/>
            <wp:docPr id="3" name="Picture 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
                    <pic:cNvPicPr>
                      <a:picLocks noChangeAspect="1" noChangeArrowheads="1"/>
                    </pic:cNvPicPr>
                  </pic:nvPicPr>
                  <pic:blipFill>
                    <a:blip r:embed="rId19" cstate="print"/>
                    <a:srcRect/>
                    <a:stretch>
                      <a:fillRect/>
                    </a:stretch>
                  </pic:blipFill>
                  <pic:spPr bwMode="auto">
                    <a:xfrm>
                      <a:off x="0" y="0"/>
                      <a:ext cx="3721100" cy="1956435"/>
                    </a:xfrm>
                    <a:prstGeom prst="rect">
                      <a:avLst/>
                    </a:prstGeom>
                    <a:noFill/>
                    <a:ln w="9525">
                      <a:noFill/>
                      <a:miter lim="800000"/>
                      <a:headEnd/>
                      <a:tailEnd/>
                    </a:ln>
                  </pic:spPr>
                </pic:pic>
              </a:graphicData>
            </a:graphic>
          </wp:inline>
        </w:drawing>
      </w:r>
    </w:p>
    <w:p w:rsidR="00D35538" w:rsidRPr="00E4136B" w:rsidRDefault="00D35538" w:rsidP="00E4136B">
      <w:pPr>
        <w:pStyle w:val="Heading5"/>
      </w:pPr>
      <w:r w:rsidRPr="00E4136B">
        <w:t>Population PK modelling relating to Study AZA-2002-BA-002</w:t>
      </w:r>
    </w:p>
    <w:p w:rsidR="00D35538" w:rsidRPr="00E4136B" w:rsidRDefault="00D35538" w:rsidP="00E4136B">
      <w:pPr>
        <w:pStyle w:val="Heading6"/>
      </w:pPr>
      <w:bookmarkStart w:id="36" w:name="_Ref324273247"/>
      <w:r w:rsidRPr="00E4136B">
        <w:t>Presentational flaws in the PK modelling report</w:t>
      </w:r>
      <w:bookmarkEnd w:id="36"/>
    </w:p>
    <w:p w:rsidR="00D35538" w:rsidRDefault="00D35538" w:rsidP="00D35538">
      <w:r>
        <w:t>The report section headed "Statistical Methods", which included explanation of PK model development, could not be followed in detail, because of gross production or other problems which affected both the paper and the electronic versions. As well as rendering the mathematical explanation opaque, this fault calls into question the sponsor's procedures for document tracking and authentication, and raises the question of what document the signatories actually approved and s</w:t>
      </w:r>
      <w:r w:rsidR="004C49EE">
        <w:t>igned</w:t>
      </w:r>
      <w:r>
        <w:t xml:space="preserve">. </w:t>
      </w:r>
    </w:p>
    <w:p w:rsidR="00D35538" w:rsidRDefault="00D35538" w:rsidP="00E4136B">
      <w:pPr>
        <w:pStyle w:val="Heading3"/>
      </w:pPr>
      <w:bookmarkStart w:id="37" w:name="_Toc241374296"/>
      <w:bookmarkStart w:id="38" w:name="_Ref269982040"/>
      <w:bookmarkStart w:id="39" w:name="_Ref271018704"/>
      <w:bookmarkStart w:id="40" w:name="_Ref271018755"/>
      <w:bookmarkStart w:id="41" w:name="_Toc272414635"/>
      <w:bookmarkStart w:id="42" w:name="_Toc290846258"/>
      <w:bookmarkStart w:id="43" w:name="_Toc327360227"/>
      <w:bookmarkStart w:id="44" w:name="_Toc362534153"/>
      <w:bookmarkEnd w:id="35"/>
      <w:r>
        <w:t>Evaluator’s overall conclusions on pharmacokinetics</w:t>
      </w:r>
      <w:bookmarkEnd w:id="37"/>
      <w:bookmarkEnd w:id="38"/>
      <w:bookmarkEnd w:id="39"/>
      <w:bookmarkEnd w:id="40"/>
      <w:bookmarkEnd w:id="41"/>
      <w:bookmarkEnd w:id="42"/>
      <w:bookmarkEnd w:id="43"/>
      <w:bookmarkEnd w:id="44"/>
    </w:p>
    <w:p w:rsidR="004C49EE" w:rsidRDefault="004C49EE" w:rsidP="004C49EE">
      <w:r w:rsidRPr="00E549C4">
        <w:t xml:space="preserve">In </w:t>
      </w:r>
      <w:r>
        <w:t>the evaluator’s opinion, due to</w:t>
      </w:r>
    </w:p>
    <w:p w:rsidR="004C49EE" w:rsidRDefault="004C49EE" w:rsidP="004C49EE">
      <w:pPr>
        <w:pStyle w:val="ListBullet"/>
        <w:numPr>
          <w:ilvl w:val="0"/>
          <w:numId w:val="3"/>
        </w:numPr>
      </w:pPr>
      <w:r>
        <w:t>the</w:t>
      </w:r>
      <w:r w:rsidRPr="00E549C4">
        <w:t xml:space="preserve"> paucity of data used in developing the popu</w:t>
      </w:r>
      <w:r>
        <w:t>lation pharmacokinetic model;</w:t>
      </w:r>
    </w:p>
    <w:p w:rsidR="004C49EE" w:rsidRDefault="004C49EE" w:rsidP="004C49EE">
      <w:pPr>
        <w:pStyle w:val="ListBullet"/>
        <w:numPr>
          <w:ilvl w:val="0"/>
          <w:numId w:val="3"/>
        </w:numPr>
      </w:pPr>
      <w:r w:rsidRPr="00E549C4">
        <w:t>the fact that individual patient characteristics w</w:t>
      </w:r>
      <w:r>
        <w:t>ere not taken into account; and</w:t>
      </w:r>
    </w:p>
    <w:p w:rsidR="004C49EE" w:rsidRDefault="004C49EE" w:rsidP="004C49EE">
      <w:pPr>
        <w:pStyle w:val="ListBullet"/>
        <w:numPr>
          <w:ilvl w:val="0"/>
          <w:numId w:val="3"/>
        </w:numPr>
      </w:pPr>
      <w:r w:rsidRPr="00E549C4">
        <w:t>the la</w:t>
      </w:r>
      <w:r>
        <w:t>ck of validation</w:t>
      </w:r>
    </w:p>
    <w:p w:rsidR="004C49EE" w:rsidRPr="00E549C4" w:rsidRDefault="004C49EE" w:rsidP="004C49EE">
      <w:r w:rsidRPr="00E549C4">
        <w:t xml:space="preserve">the population pharmacokinetic modelling is of little utility. </w:t>
      </w:r>
      <w:r>
        <w:t xml:space="preserve">The evaluator </w:t>
      </w:r>
      <w:r w:rsidRPr="00E549C4">
        <w:t>doubt</w:t>
      </w:r>
      <w:r>
        <w:t>s</w:t>
      </w:r>
      <w:r w:rsidRPr="00E549C4">
        <w:t xml:space="preserve"> that the sponsor has anything to gain, for the purposes of the present application, by correcting the presentational flaws, in view of these other problems. At best, the results of the modelling suggest IV regimens which might be studied in a further clinical pharmacokinetic comparison.</w:t>
      </w:r>
    </w:p>
    <w:p w:rsidR="00586F98" w:rsidRDefault="00586F98" w:rsidP="00586F98">
      <w:pPr>
        <w:pStyle w:val="Heading2"/>
      </w:pPr>
      <w:bookmarkStart w:id="45" w:name="_Toc362534154"/>
      <w:proofErr w:type="spellStart"/>
      <w:r>
        <w:t>Pharmacodynamics</w:t>
      </w:r>
      <w:bookmarkEnd w:id="45"/>
      <w:proofErr w:type="spellEnd"/>
    </w:p>
    <w:p w:rsidR="00C22678" w:rsidRPr="00586F98" w:rsidRDefault="009C5E08" w:rsidP="00C22678">
      <w:pPr>
        <w:rPr>
          <w:lang w:eastAsia="ja-JP"/>
        </w:rPr>
      </w:pPr>
      <w:r>
        <w:rPr>
          <w:lang w:eastAsia="ja-JP"/>
        </w:rPr>
        <w:t>No data.</w:t>
      </w:r>
    </w:p>
    <w:p w:rsidR="00586F98" w:rsidRDefault="00C22678" w:rsidP="00586F98">
      <w:pPr>
        <w:pStyle w:val="Heading2"/>
      </w:pPr>
      <w:bookmarkStart w:id="46" w:name="_Toc362534155"/>
      <w:r>
        <w:t>Dosage selection for the pivotal studies</w:t>
      </w:r>
      <w:bookmarkEnd w:id="46"/>
    </w:p>
    <w:p w:rsidR="00A9761C" w:rsidRDefault="00A9761C" w:rsidP="00A9761C">
      <w:r>
        <w:t>No pivotal studies included in the submission.</w:t>
      </w:r>
    </w:p>
    <w:p w:rsidR="00C22678" w:rsidRDefault="00C22678" w:rsidP="00C22678">
      <w:pPr>
        <w:pStyle w:val="Heading2"/>
      </w:pPr>
      <w:bookmarkStart w:id="47" w:name="_Toc362534156"/>
      <w:r>
        <w:lastRenderedPageBreak/>
        <w:t>Clinical efficacy</w:t>
      </w:r>
      <w:bookmarkEnd w:id="47"/>
    </w:p>
    <w:p w:rsidR="00B75784" w:rsidRPr="00B75784" w:rsidRDefault="00B75784" w:rsidP="0075730A">
      <w:pPr>
        <w:pStyle w:val="Heading3"/>
      </w:pPr>
      <w:bookmarkStart w:id="48" w:name="_Toc327360231"/>
      <w:bookmarkStart w:id="49" w:name="_Toc362534157"/>
      <w:r w:rsidRPr="00B75784">
        <w:t>Efficacy in MDS</w:t>
      </w:r>
      <w:bookmarkEnd w:id="48"/>
      <w:bookmarkEnd w:id="49"/>
    </w:p>
    <w:p w:rsidR="00B75784" w:rsidRPr="00B75784" w:rsidRDefault="00B75784" w:rsidP="0075730A">
      <w:pPr>
        <w:pStyle w:val="Heading4"/>
      </w:pPr>
      <w:bookmarkStart w:id="50" w:name="_Ref271037274"/>
      <w:bookmarkStart w:id="51" w:name="_Toc272414652"/>
      <w:bookmarkStart w:id="52" w:name="_Toc290846274"/>
      <w:bookmarkStart w:id="53" w:name="_Toc327360232"/>
      <w:r w:rsidRPr="00B75784">
        <w:t>Pivotal efficacy studies</w:t>
      </w:r>
      <w:bookmarkEnd w:id="50"/>
      <w:bookmarkEnd w:id="51"/>
      <w:bookmarkEnd w:id="52"/>
      <w:bookmarkEnd w:id="53"/>
    </w:p>
    <w:p w:rsidR="00B75784" w:rsidRPr="00B75784" w:rsidRDefault="00B75784" w:rsidP="00B75784">
      <w:r w:rsidRPr="00B75784">
        <w:t>No pivotal studies included in submission.</w:t>
      </w:r>
    </w:p>
    <w:p w:rsidR="00B75784" w:rsidRPr="00B75784" w:rsidRDefault="00B75784" w:rsidP="00B75784">
      <w:bookmarkStart w:id="54" w:name="_Ref271037188"/>
      <w:bookmarkStart w:id="55" w:name="_Ref271037210"/>
      <w:bookmarkStart w:id="56" w:name="_Toc272414655"/>
      <w:bookmarkStart w:id="57" w:name="_Toc290846277"/>
      <w:bookmarkStart w:id="58" w:name="_Toc327360233"/>
      <w:bookmarkStart w:id="59" w:name="_Toc241374311"/>
      <w:bookmarkStart w:id="60" w:name="_Ref243294291"/>
      <w:r w:rsidRPr="00B75784">
        <w:t>Other efficacy studies</w:t>
      </w:r>
      <w:bookmarkEnd w:id="54"/>
      <w:bookmarkEnd w:id="55"/>
      <w:bookmarkEnd w:id="56"/>
      <w:bookmarkEnd w:id="57"/>
      <w:r w:rsidRPr="00B75784">
        <w:t>: Study CALGB 8421 re-analysis</w:t>
      </w:r>
      <w:bookmarkEnd w:id="58"/>
    </w:p>
    <w:p w:rsidR="00B75784" w:rsidRPr="00B75784" w:rsidRDefault="00B75784" w:rsidP="0075730A">
      <w:pPr>
        <w:pStyle w:val="Heading5"/>
      </w:pPr>
      <w:bookmarkStart w:id="61" w:name="_Toc327360234"/>
      <w:bookmarkEnd w:id="59"/>
      <w:bookmarkEnd w:id="60"/>
      <w:r w:rsidRPr="00B75784">
        <w:t>Study design, objectives, locations and dates</w:t>
      </w:r>
      <w:bookmarkEnd w:id="61"/>
    </w:p>
    <w:p w:rsidR="00B75784" w:rsidRPr="00B75784" w:rsidRDefault="00B75784" w:rsidP="00B75784">
      <w:r w:rsidRPr="00B75784">
        <w:t xml:space="preserve">This CSR was a 2003 reanalysis of a </w:t>
      </w:r>
      <w:r w:rsidR="00E36537">
        <w:t>P</w:t>
      </w:r>
      <w:r w:rsidRPr="00B75784">
        <w:t xml:space="preserve">hase I-II open, uncontrolled, multicentre pilot study conducted at 17 US locations, 20 June 1985 to 31 May 1994. The title of the original study was "5-azacytidine to induce differentiation in </w:t>
      </w:r>
      <w:proofErr w:type="spellStart"/>
      <w:r w:rsidRPr="00B75784">
        <w:t>myelodysplastic</w:t>
      </w:r>
      <w:proofErr w:type="spellEnd"/>
      <w:r w:rsidRPr="00B75784">
        <w:t xml:space="preserve"> syndromes. A phase I-II pilot study".</w:t>
      </w:r>
    </w:p>
    <w:p w:rsidR="00B75784" w:rsidRPr="00B75784" w:rsidRDefault="00B75784" w:rsidP="00B75784">
      <w:r w:rsidRPr="00B75784">
        <w:t>Data from the original clinical study were retrospectively re-collected for this 2003 analysis.</w:t>
      </w:r>
    </w:p>
    <w:p w:rsidR="00B75784" w:rsidRPr="00B75784" w:rsidRDefault="00B75784" w:rsidP="00B75784">
      <w:r w:rsidRPr="00B75784">
        <w:t>The original study objectives were as follows, and were not altered for the re-analysis:</w:t>
      </w:r>
    </w:p>
    <w:p w:rsidR="00B75784" w:rsidRPr="00B75784" w:rsidRDefault="00B75784" w:rsidP="0075730A">
      <w:pPr>
        <w:pStyle w:val="ListBullet"/>
      </w:pPr>
      <w:r w:rsidRPr="00B75784">
        <w:t xml:space="preserve">To test the effect of </w:t>
      </w:r>
      <w:proofErr w:type="spellStart"/>
      <w:r w:rsidRPr="00B75784">
        <w:t>azacitidine</w:t>
      </w:r>
      <w:proofErr w:type="spellEnd"/>
      <w:r w:rsidRPr="00B75784">
        <w:t xml:space="preserve"> given in repeated continuous low dose infusions on the differentiation of </w:t>
      </w:r>
      <w:proofErr w:type="spellStart"/>
      <w:r w:rsidRPr="00B75784">
        <w:t>myelodysplastic</w:t>
      </w:r>
      <w:proofErr w:type="spellEnd"/>
      <w:r w:rsidRPr="00B75784">
        <w:t xml:space="preserve"> syndromes.</w:t>
      </w:r>
    </w:p>
    <w:p w:rsidR="00B75784" w:rsidRPr="00B75784" w:rsidRDefault="00B75784" w:rsidP="0075730A">
      <w:pPr>
        <w:pStyle w:val="ListBullet"/>
      </w:pPr>
      <w:r w:rsidRPr="00B75784">
        <w:t xml:space="preserve">To determine an appropriate dose and regimen of </w:t>
      </w:r>
      <w:proofErr w:type="spellStart"/>
      <w:r w:rsidRPr="00B75784">
        <w:t>azacitidine</w:t>
      </w:r>
      <w:proofErr w:type="spellEnd"/>
      <w:r w:rsidRPr="00B75784">
        <w:t xml:space="preserve"> as a feasibility pilot for eventual application.</w:t>
      </w:r>
    </w:p>
    <w:p w:rsidR="00B75784" w:rsidRPr="00B75784" w:rsidRDefault="00B75784" w:rsidP="0075730A">
      <w:pPr>
        <w:pStyle w:val="ListBullet"/>
      </w:pPr>
      <w:r w:rsidRPr="00B75784">
        <w:t xml:space="preserve">To determine those </w:t>
      </w:r>
      <w:proofErr w:type="spellStart"/>
      <w:r w:rsidRPr="00B75784">
        <w:t>myelodysplastic</w:t>
      </w:r>
      <w:proofErr w:type="spellEnd"/>
      <w:r w:rsidRPr="00B75784">
        <w:t xml:space="preserve"> syndromes that respond optimally to differentiation treatment.</w:t>
      </w:r>
    </w:p>
    <w:p w:rsidR="00B75784" w:rsidRPr="00B75784" w:rsidRDefault="00B75784" w:rsidP="0075730A">
      <w:pPr>
        <w:pStyle w:val="ListBullet"/>
      </w:pPr>
      <w:r w:rsidRPr="00B75784">
        <w:t xml:space="preserve">To determine if </w:t>
      </w:r>
      <w:proofErr w:type="spellStart"/>
      <w:r w:rsidRPr="00B75784">
        <w:t>azacitidine</w:t>
      </w:r>
      <w:proofErr w:type="spellEnd"/>
      <w:r w:rsidRPr="00B75784">
        <w:t xml:space="preserve"> would affect the natural history and outcome of </w:t>
      </w:r>
      <w:proofErr w:type="spellStart"/>
      <w:r w:rsidRPr="00B75784">
        <w:t>myelodysplastic</w:t>
      </w:r>
      <w:proofErr w:type="spellEnd"/>
      <w:r w:rsidRPr="00B75784">
        <w:t xml:space="preserve"> syndromes.</w:t>
      </w:r>
    </w:p>
    <w:p w:rsidR="00B75784" w:rsidRPr="00B75784" w:rsidRDefault="00B75784" w:rsidP="0075730A">
      <w:pPr>
        <w:pStyle w:val="Heading5"/>
      </w:pPr>
      <w:bookmarkStart w:id="62" w:name="_Toc327360235"/>
      <w:r w:rsidRPr="00B75784">
        <w:t>Inclusion and exclusion criteria</w:t>
      </w:r>
      <w:bookmarkEnd w:id="62"/>
    </w:p>
    <w:p w:rsidR="00B75784" w:rsidRPr="00B75784" w:rsidRDefault="00B75784" w:rsidP="00B75784">
      <w:r w:rsidRPr="00B75784">
        <w:t xml:space="preserve">Inclusion criteria included: age &gt; 15 years old; diagnosis of the subtypes of MDS RAEB or RAEB-T as defined by the French-American-British (FAB) classification; performance status of 0-3 and life expectancy of at least 2 months; total </w:t>
      </w:r>
      <w:proofErr w:type="spellStart"/>
      <w:r w:rsidRPr="00B75784">
        <w:t>bilirubin</w:t>
      </w:r>
      <w:proofErr w:type="spellEnd"/>
      <w:r w:rsidRPr="00B75784">
        <w:t xml:space="preserve"> ≤ 25.7 </w:t>
      </w:r>
      <w:proofErr w:type="spellStart"/>
      <w:r w:rsidRPr="00B75784">
        <w:t>μmol</w:t>
      </w:r>
      <w:proofErr w:type="spellEnd"/>
      <w:r w:rsidRPr="00B75784">
        <w:t xml:space="preserve">/L, AST and ALT &lt; 150 U/L, serum </w:t>
      </w:r>
      <w:proofErr w:type="spellStart"/>
      <w:r w:rsidRPr="00B75784">
        <w:t>creatinine</w:t>
      </w:r>
      <w:proofErr w:type="spellEnd"/>
      <w:r w:rsidRPr="00B75784">
        <w:t xml:space="preserve"> &lt; 176.8 </w:t>
      </w:r>
      <w:proofErr w:type="spellStart"/>
      <w:r w:rsidRPr="00B75784">
        <w:t>μmol</w:t>
      </w:r>
      <w:proofErr w:type="spellEnd"/>
      <w:r w:rsidRPr="00B75784">
        <w:t xml:space="preserve">/L, and serum CO2 ≥ 19 </w:t>
      </w:r>
      <w:proofErr w:type="spellStart"/>
      <w:r w:rsidRPr="00B75784">
        <w:t>mmol</w:t>
      </w:r>
      <w:proofErr w:type="spellEnd"/>
      <w:r w:rsidRPr="00B75784">
        <w:t xml:space="preserve">/L. </w:t>
      </w:r>
    </w:p>
    <w:p w:rsidR="00B75784" w:rsidRPr="00B75784" w:rsidRDefault="00B75784" w:rsidP="00B75784">
      <w:r w:rsidRPr="00B75784">
        <w:t xml:space="preserve">Exclusion criteria included: &gt; 30% blasts in bone marrow; prior </w:t>
      </w:r>
      <w:proofErr w:type="spellStart"/>
      <w:r w:rsidRPr="00B75784">
        <w:t>cytotoxic</w:t>
      </w:r>
      <w:proofErr w:type="spellEnd"/>
      <w:r w:rsidRPr="00B75784">
        <w:t xml:space="preserve"> therapy for MDS other than low dose cytosine </w:t>
      </w:r>
      <w:proofErr w:type="spellStart"/>
      <w:r w:rsidRPr="00B75784">
        <w:t>arabinoside</w:t>
      </w:r>
      <w:proofErr w:type="spellEnd"/>
      <w:r w:rsidRPr="00B75784">
        <w:t>; uncontrolled or severe congestive heart failure; radiation or chemotherapy within 6 months prior to study entry.</w:t>
      </w:r>
    </w:p>
    <w:p w:rsidR="00B75784" w:rsidRPr="00B75784" w:rsidRDefault="00B75784" w:rsidP="0075730A">
      <w:pPr>
        <w:pStyle w:val="Heading5"/>
      </w:pPr>
      <w:bookmarkStart w:id="63" w:name="_Ref324600783"/>
      <w:bookmarkStart w:id="64" w:name="_Toc327360236"/>
      <w:r w:rsidRPr="00B75784">
        <w:t>Study treatments</w:t>
      </w:r>
      <w:bookmarkEnd w:id="63"/>
      <w:bookmarkEnd w:id="64"/>
    </w:p>
    <w:p w:rsidR="00B75784" w:rsidRPr="00B75784" w:rsidRDefault="00B75784" w:rsidP="00B75784">
      <w:r w:rsidRPr="00B75784">
        <w:t xml:space="preserve">The Protocol stipulated (under the heading </w:t>
      </w:r>
      <w:r w:rsidR="00E36537">
        <w:t>‘</w:t>
      </w:r>
      <w:r w:rsidRPr="00B75784">
        <w:t>Treatment</w:t>
      </w:r>
      <w:r w:rsidR="00E36537">
        <w:t>’</w:t>
      </w:r>
      <w:r w:rsidRPr="00B75784">
        <w:t xml:space="preserve">): </w:t>
      </w:r>
    </w:p>
    <w:p w:rsidR="00B75784" w:rsidRPr="00BE510C" w:rsidRDefault="00B75784" w:rsidP="0075730A">
      <w:pPr>
        <w:ind w:left="720"/>
        <w:rPr>
          <w:i/>
        </w:rPr>
      </w:pPr>
      <w:r w:rsidRPr="00BE510C">
        <w:rPr>
          <w:i/>
        </w:rPr>
        <w:t>"Patients are to receive 5-azacytidine 75 mg/m2 daily for 7 days as a continuous IV infusion. The drug will be mixed fresh every 4 hours, and placed in a solution of Ringer's lactate</w:t>
      </w:r>
      <w:r w:rsidR="00E36537" w:rsidRPr="00BE510C">
        <w:rPr>
          <w:i/>
        </w:rPr>
        <w:t>"</w:t>
      </w:r>
    </w:p>
    <w:p w:rsidR="00B75784" w:rsidRPr="00B75784" w:rsidRDefault="00B75784" w:rsidP="00B75784">
      <w:r w:rsidRPr="00B75784">
        <w:t xml:space="preserve">and (under the heading </w:t>
      </w:r>
      <w:r w:rsidR="00E36537">
        <w:t>‘</w:t>
      </w:r>
      <w:r w:rsidRPr="00B75784">
        <w:t>Toxicity</w:t>
      </w:r>
      <w:r w:rsidR="00E36537">
        <w:t>’</w:t>
      </w:r>
      <w:r w:rsidRPr="00B75784">
        <w:t>):</w:t>
      </w:r>
    </w:p>
    <w:p w:rsidR="00B75784" w:rsidRPr="00BE510C" w:rsidRDefault="00B75784" w:rsidP="0075730A">
      <w:pPr>
        <w:ind w:left="720"/>
        <w:rPr>
          <w:i/>
        </w:rPr>
      </w:pPr>
      <w:r w:rsidRPr="00BE510C">
        <w:rPr>
          <w:i/>
        </w:rPr>
        <w:t>"The dose should be dissolved in 50 cc of Ringer's lactate after reconstitution. New bottles should be prepared every 4 hours. The infusion should begin immediately after reconstitution and should be administered over a 4 hour period."</w:t>
      </w:r>
    </w:p>
    <w:p w:rsidR="00B75784" w:rsidRPr="00B75784" w:rsidRDefault="00B75784" w:rsidP="00B75784">
      <w:r w:rsidRPr="00B75784">
        <w:t>Dosage was to be adjusted in accordance with predefined haematology and renal laboratory results.</w:t>
      </w:r>
    </w:p>
    <w:p w:rsidR="00B75784" w:rsidRPr="00B75784" w:rsidRDefault="00B75784" w:rsidP="00B75784">
      <w:r w:rsidRPr="00B75784">
        <w:t>The 7-day dosing was repeated every 28 days. Subjects continued on therapy until they met criteria for removal from the study:</w:t>
      </w:r>
    </w:p>
    <w:p w:rsidR="00B75784" w:rsidRPr="00B75784" w:rsidRDefault="00B75784" w:rsidP="0075730A">
      <w:pPr>
        <w:pStyle w:val="ListBullet"/>
      </w:pPr>
      <w:r w:rsidRPr="00B75784">
        <w:t xml:space="preserve">achieved a complete response and received 3 more cycles of treatment; </w:t>
      </w:r>
    </w:p>
    <w:p w:rsidR="00B75784" w:rsidRPr="00B75784" w:rsidRDefault="00B75784" w:rsidP="0075730A">
      <w:pPr>
        <w:pStyle w:val="ListBullet"/>
      </w:pPr>
      <w:r w:rsidRPr="00B75784">
        <w:lastRenderedPageBreak/>
        <w:t xml:space="preserve">failed to demonstrate complete or partial response or improvement after 16 weeks; relapsed; diagnosed with AML; </w:t>
      </w:r>
    </w:p>
    <w:p w:rsidR="00B75784" w:rsidRPr="00B75784" w:rsidRDefault="00B75784" w:rsidP="0075730A">
      <w:pPr>
        <w:pStyle w:val="ListBullet"/>
      </w:pPr>
      <w:r w:rsidRPr="00B75784">
        <w:t xml:space="preserve">development of life threatening infection or haemorrhage; </w:t>
      </w:r>
    </w:p>
    <w:p w:rsidR="00B75784" w:rsidRPr="00B75784" w:rsidRDefault="00B75784" w:rsidP="0075730A">
      <w:pPr>
        <w:pStyle w:val="ListBullet"/>
      </w:pPr>
      <w:r w:rsidRPr="00B75784">
        <w:t xml:space="preserve">withdrew due to constraints imposed by the study. </w:t>
      </w:r>
    </w:p>
    <w:p w:rsidR="00B75784" w:rsidRPr="00B75784" w:rsidRDefault="00B75784" w:rsidP="00B75784">
      <w:r w:rsidRPr="00B75784">
        <w:t>The protocol instructions relating to preparati</w:t>
      </w:r>
      <w:r w:rsidR="00E36537">
        <w:t>on and administration of drug seem to the evaluator</w:t>
      </w:r>
      <w:r w:rsidRPr="00B75784">
        <w:t xml:space="preserve"> rather odd. In Listing 16.2.6.1 (Study medication administration), where start and stop dates for each infusion are documented, time of day is not stated, but infusions frequently start on one day and end on the next. It seems unlikely that a 4-hour infusion would routinely be given around midnight. For some infusions, the stop date is several days after the start date – a phenomenon which is unexplained. </w:t>
      </w:r>
      <w:r w:rsidR="00E36537">
        <w:t xml:space="preserve">One of the "Study Chairs" was the </w:t>
      </w:r>
      <w:r w:rsidRPr="00B75784">
        <w:t>author of multiple journal articles and abstracts relating to the study, including the following which are listed at CSR Appendix 16.1.11 (Publications Based on the Study</w:t>
      </w:r>
      <w:r w:rsidR="00E36537">
        <w:t xml:space="preserve">). </w:t>
      </w:r>
      <w:r w:rsidRPr="00B75784">
        <w:t>None of these mentions that infusions took place over 4 hours.</w:t>
      </w:r>
    </w:p>
    <w:p w:rsidR="00B75784" w:rsidRPr="00B75784" w:rsidRDefault="00B75784" w:rsidP="0075730A">
      <w:pPr>
        <w:pStyle w:val="Heading5"/>
      </w:pPr>
      <w:bookmarkStart w:id="65" w:name="_Toc327360237"/>
      <w:r w:rsidRPr="00B75784">
        <w:t>Efficacy variables and outcomes</w:t>
      </w:r>
      <w:bookmarkEnd w:id="65"/>
    </w:p>
    <w:p w:rsidR="00B75784" w:rsidRPr="00B75784" w:rsidRDefault="00B75784" w:rsidP="00B75784">
      <w:r w:rsidRPr="00B75784">
        <w:t>These were not made explicit in the original study. For the purpose of the re-analysis, the primary efficacy variable was defined as overall response rate (CR + PR). The best response attained during the study was used to categorise each subject.</w:t>
      </w:r>
    </w:p>
    <w:p w:rsidR="00B75784" w:rsidRPr="00B75784" w:rsidRDefault="00B75784" w:rsidP="0075730A">
      <w:pPr>
        <w:pStyle w:val="Heading5"/>
      </w:pPr>
      <w:bookmarkStart w:id="66" w:name="_Toc327360238"/>
      <w:r w:rsidRPr="00B75784">
        <w:t>Analysis populations</w:t>
      </w:r>
      <w:bookmarkEnd w:id="66"/>
    </w:p>
    <w:p w:rsidR="00B75784" w:rsidRPr="00B75784" w:rsidRDefault="00B75784" w:rsidP="00B75784">
      <w:r w:rsidRPr="00B75784">
        <w:t xml:space="preserve">49 patients were enrolled, of whom 48 received at least 1 dose of </w:t>
      </w:r>
      <w:proofErr w:type="spellStart"/>
      <w:r w:rsidRPr="00B75784">
        <w:t>azacitidine</w:t>
      </w:r>
      <w:proofErr w:type="spellEnd"/>
      <w:r w:rsidRPr="00B75784">
        <w:t xml:space="preserve"> and were evaluated for efficacy and safety (designated in the re-analysis as the FAS population).</w:t>
      </w:r>
    </w:p>
    <w:p w:rsidR="00B75784" w:rsidRPr="00B75784" w:rsidDel="0081373E" w:rsidRDefault="00B75784" w:rsidP="0075730A">
      <w:pPr>
        <w:pStyle w:val="Heading5"/>
      </w:pPr>
      <w:bookmarkStart w:id="67" w:name="_Toc327360239"/>
      <w:r w:rsidRPr="00B75784" w:rsidDel="0081373E">
        <w:t>Sample size</w:t>
      </w:r>
      <w:bookmarkEnd w:id="67"/>
    </w:p>
    <w:p w:rsidR="00B75784" w:rsidRPr="00B75784" w:rsidRDefault="00B75784" w:rsidP="00B75784">
      <w:r w:rsidRPr="00B75784">
        <w:t>The original plan envisaged 20 patients. The protocol was later revised to read as follows:</w:t>
      </w:r>
    </w:p>
    <w:p w:rsidR="00B75784" w:rsidRPr="0075730A" w:rsidRDefault="00B75784" w:rsidP="0075730A">
      <w:pPr>
        <w:ind w:left="720"/>
        <w:rPr>
          <w:i/>
        </w:rPr>
      </w:pPr>
      <w:r w:rsidRPr="0075730A">
        <w:rPr>
          <w:i/>
        </w:rPr>
        <w:t>13.0 STATISTICAL CONSIDERATIONS</w:t>
      </w:r>
    </w:p>
    <w:p w:rsidR="00B75784" w:rsidRPr="0075730A" w:rsidRDefault="00B75784" w:rsidP="0075730A">
      <w:pPr>
        <w:ind w:left="720"/>
        <w:rPr>
          <w:i/>
        </w:rPr>
      </w:pPr>
      <w:r w:rsidRPr="0075730A">
        <w:rPr>
          <w:i/>
        </w:rPr>
        <w:t>Early results on this protocol have been very promising. Of the first 13 patients evaluable for response, five (38%) have had partial responses to therapy. All five patients were last reported alive and continuing in response.</w:t>
      </w:r>
    </w:p>
    <w:p w:rsidR="00B75784" w:rsidRPr="00B75784" w:rsidRDefault="00B75784" w:rsidP="0075730A">
      <w:pPr>
        <w:ind w:left="720"/>
      </w:pPr>
      <w:r w:rsidRPr="0075730A">
        <w:rPr>
          <w:i/>
        </w:rPr>
        <w:t xml:space="preserve">Based on these results, the </w:t>
      </w:r>
      <w:proofErr w:type="spellStart"/>
      <w:r w:rsidRPr="0075730A">
        <w:rPr>
          <w:i/>
        </w:rPr>
        <w:t>Leukemia</w:t>
      </w:r>
      <w:proofErr w:type="spellEnd"/>
      <w:r w:rsidRPr="0075730A">
        <w:rPr>
          <w:i/>
        </w:rPr>
        <w:t xml:space="preserve"> Committee voted to extend accrual beyond the original goal of 20 patients to a total accrual of 45 patients. This sample size ensures that a 95% confidence interval for the proportion of patients responding will be no wider than </w:t>
      </w:r>
      <w:r w:rsidR="006D4D39">
        <w:rPr>
          <w:i/>
        </w:rPr>
        <w:t>±</w:t>
      </w:r>
      <w:r w:rsidRPr="0075730A">
        <w:rPr>
          <w:i/>
        </w:rPr>
        <w:t xml:space="preserve"> 15% and provides enough patients to assess response duration.</w:t>
      </w:r>
    </w:p>
    <w:p w:rsidR="00B75784" w:rsidRPr="00B75784" w:rsidRDefault="00B75784" w:rsidP="0075730A">
      <w:pPr>
        <w:pStyle w:val="Heading5"/>
      </w:pPr>
      <w:bookmarkStart w:id="68" w:name="_Toc327360240"/>
      <w:r w:rsidRPr="00B75784">
        <w:t>Participant disposition</w:t>
      </w:r>
      <w:bookmarkEnd w:id="68"/>
    </w:p>
    <w:p w:rsidR="00B75784" w:rsidRDefault="00B75784" w:rsidP="00B75784">
      <w:r w:rsidRPr="00B75784">
        <w:t xml:space="preserve">See </w:t>
      </w:r>
      <w:r w:rsidR="00F43F03">
        <w:t>Table 4</w:t>
      </w:r>
      <w:r w:rsidRPr="00B75784">
        <w:t>.</w:t>
      </w:r>
    </w:p>
    <w:p w:rsidR="00F43F03" w:rsidRPr="00F66F35" w:rsidRDefault="00C3686F" w:rsidP="00F43F03">
      <w:pPr>
        <w:pStyle w:val="FigureTitle"/>
        <w:rPr>
          <w:lang w:val="en-GB"/>
        </w:rPr>
      </w:pPr>
      <w:r>
        <w:br w:type="page"/>
      </w:r>
      <w:r w:rsidR="00F43F03" w:rsidRPr="00F66F35">
        <w:lastRenderedPageBreak/>
        <w:t xml:space="preserve">Table </w:t>
      </w:r>
      <w:r w:rsidR="00F43F03">
        <w:t>4</w:t>
      </w:r>
      <w:r w:rsidR="00F43F03" w:rsidRPr="00F66F35">
        <w:t xml:space="preserve">: </w:t>
      </w:r>
      <w:r w:rsidR="00D703A1">
        <w:t>Study CALBG 8421 – p</w:t>
      </w:r>
      <w:r w:rsidR="00580507" w:rsidRPr="00580507">
        <w:t>atient disposition and completion status</w:t>
      </w:r>
      <w:r w:rsidR="00F43F03" w:rsidRPr="00F66F35">
        <w:t>.</w:t>
      </w:r>
    </w:p>
    <w:p w:rsidR="00F43F03" w:rsidRPr="00B75784" w:rsidRDefault="004772F5" w:rsidP="00C3686F">
      <w:pPr>
        <w:jc w:val="center"/>
      </w:pPr>
      <w:r>
        <w:rPr>
          <w:noProof/>
          <w:lang w:eastAsia="en-AU"/>
        </w:rPr>
        <w:drawing>
          <wp:inline distT="0" distB="0" distL="0" distR="0">
            <wp:extent cx="3997960" cy="2934335"/>
            <wp:effectExtent l="19050" t="0" r="2540" b="0"/>
            <wp:docPr id="4" name="Picture 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
                    <pic:cNvPicPr>
                      <a:picLocks noChangeAspect="1" noChangeArrowheads="1"/>
                    </pic:cNvPicPr>
                  </pic:nvPicPr>
                  <pic:blipFill>
                    <a:blip r:embed="rId20" cstate="print"/>
                    <a:srcRect/>
                    <a:stretch>
                      <a:fillRect/>
                    </a:stretch>
                  </pic:blipFill>
                  <pic:spPr bwMode="auto">
                    <a:xfrm>
                      <a:off x="0" y="0"/>
                      <a:ext cx="3997960" cy="2934335"/>
                    </a:xfrm>
                    <a:prstGeom prst="rect">
                      <a:avLst/>
                    </a:prstGeom>
                    <a:noFill/>
                    <a:ln w="9525">
                      <a:noFill/>
                      <a:miter lim="800000"/>
                      <a:headEnd/>
                      <a:tailEnd/>
                    </a:ln>
                  </pic:spPr>
                </pic:pic>
              </a:graphicData>
            </a:graphic>
          </wp:inline>
        </w:drawing>
      </w:r>
    </w:p>
    <w:p w:rsidR="00B75784" w:rsidRPr="00B75784" w:rsidRDefault="00B75784" w:rsidP="0096268C">
      <w:pPr>
        <w:pStyle w:val="Heading5"/>
      </w:pPr>
      <w:bookmarkStart w:id="69" w:name="_Toc327360241"/>
      <w:r w:rsidRPr="00B75784">
        <w:t>Major protocol violations/deviations</w:t>
      </w:r>
      <w:bookmarkEnd w:id="69"/>
    </w:p>
    <w:p w:rsidR="00B75784" w:rsidRPr="00B75784" w:rsidRDefault="00B75784" w:rsidP="00B75784">
      <w:r w:rsidRPr="00B75784">
        <w:t xml:space="preserve">At re-analysis, major protocol deviations were identified in 3/48 patients. Although this listing includes </w:t>
      </w:r>
      <w:r w:rsidR="006D4D39">
        <w:t xml:space="preserve">hundreds of minor deviations, the evaluator </w:t>
      </w:r>
      <w:r w:rsidRPr="00B75784">
        <w:t xml:space="preserve">could find no mention of any deviation relating to infusion rate. </w:t>
      </w:r>
    </w:p>
    <w:p w:rsidR="00B75784" w:rsidRPr="00B75784" w:rsidRDefault="00B75784" w:rsidP="0096268C">
      <w:pPr>
        <w:pStyle w:val="Heading5"/>
      </w:pPr>
      <w:bookmarkStart w:id="70" w:name="_Toc327360242"/>
      <w:r w:rsidRPr="00B75784">
        <w:t>Baseline data</w:t>
      </w:r>
      <w:bookmarkEnd w:id="70"/>
    </w:p>
    <w:p w:rsidR="00B75784" w:rsidRPr="00B75784" w:rsidRDefault="00B75784" w:rsidP="00B75784">
      <w:r w:rsidRPr="00B75784">
        <w:t xml:space="preserve">There were 31 males and 17 females in the FAS population, all white. </w:t>
      </w:r>
      <w:r w:rsidR="000D4861">
        <w:t xml:space="preserve">Mean age was 63.1 years (range: </w:t>
      </w:r>
      <w:r w:rsidRPr="00B75784">
        <w:t>35-81). Baseline diagnoses were: 23 RAEB, 24 RAEB-T, and 1 AML.</w:t>
      </w:r>
    </w:p>
    <w:p w:rsidR="00B75784" w:rsidRPr="00B75784" w:rsidRDefault="00B75784" w:rsidP="0096268C">
      <w:pPr>
        <w:pStyle w:val="Heading4"/>
      </w:pPr>
      <w:bookmarkStart w:id="71" w:name="_Ref271126605"/>
      <w:bookmarkStart w:id="72" w:name="_Toc272414657"/>
      <w:bookmarkStart w:id="73" w:name="_Toc290846282"/>
      <w:bookmarkStart w:id="74" w:name="_Toc327360244"/>
      <w:r w:rsidRPr="00B75784">
        <w:t>Evaluator’s conclusions on clinical efficacy for this indication</w:t>
      </w:r>
      <w:bookmarkEnd w:id="71"/>
      <w:bookmarkEnd w:id="72"/>
      <w:bookmarkEnd w:id="73"/>
      <w:bookmarkEnd w:id="74"/>
    </w:p>
    <w:p w:rsidR="00B75784" w:rsidRPr="00B75784" w:rsidRDefault="00B75784" w:rsidP="00B75784">
      <w:r w:rsidRPr="00B75784">
        <w:t>In assessing a different mode of administration, consideration must be given to the possibility that the peaks associated with IV administration may be associated with AEs, or that the profile of the concentration v</w:t>
      </w:r>
      <w:r w:rsidR="008F4EE2">
        <w:t>ersus</w:t>
      </w:r>
      <w:r w:rsidRPr="00B75784">
        <w:t xml:space="preserve"> time curve may be important to efficacy.  </w:t>
      </w:r>
    </w:p>
    <w:p w:rsidR="00B75784" w:rsidRPr="00B75784" w:rsidRDefault="00B75784" w:rsidP="0096268C">
      <w:pPr>
        <w:pStyle w:val="Heading5"/>
      </w:pPr>
      <w:r w:rsidRPr="00B75784">
        <w:t>Study CALGB 8421 re-analysis</w:t>
      </w:r>
    </w:p>
    <w:p w:rsidR="00B75784" w:rsidRPr="00B75784" w:rsidRDefault="00B75784" w:rsidP="00B75784">
      <w:r w:rsidRPr="00B75784">
        <w:t>The efficacy results from this small, open, uncontrolled pilot study could only ever have been useful as a pointer to further research, and the retrospective re-definition of the primary endpoint further calls the results into question. As the rate of IV administration used in the study was not as now proposed, and there is some doubt about what rate was actually used in the study, I consider that its efficacy data provide no support to the present application.</w:t>
      </w:r>
    </w:p>
    <w:p w:rsidR="00B75784" w:rsidRPr="00B75784" w:rsidRDefault="00B75784" w:rsidP="0096268C">
      <w:pPr>
        <w:pStyle w:val="Heading5"/>
      </w:pPr>
      <w:r w:rsidRPr="00B75784">
        <w:t>Study AZA-2002-BA-002 PK modelling report</w:t>
      </w:r>
    </w:p>
    <w:p w:rsidR="00B75784" w:rsidRPr="00B75784" w:rsidRDefault="00B75784" w:rsidP="00B75784">
      <w:r w:rsidRPr="00B75784">
        <w:t>In the absence of clinical evidence justifying the precise infusion times proposed, it is necessary to demonstrate that the proposed IV infusion results in a profile similar to that res</w:t>
      </w:r>
      <w:r w:rsidR="00040502">
        <w:t xml:space="preserve">ulting from SC administration: </w:t>
      </w:r>
      <w:r w:rsidRPr="00B75784">
        <w:t xml:space="preserve">at least, similar </w:t>
      </w:r>
      <w:proofErr w:type="spellStart"/>
      <w:r w:rsidRPr="00B75784">
        <w:t>Cmax</w:t>
      </w:r>
      <w:proofErr w:type="spellEnd"/>
      <w:r w:rsidRPr="00B75784">
        <w:t xml:space="preserve"> and AUC. This cannot be concluded with confidence from the modelling report submitted.</w:t>
      </w:r>
    </w:p>
    <w:p w:rsidR="00C22678" w:rsidRDefault="00C22678" w:rsidP="00C22678">
      <w:pPr>
        <w:pStyle w:val="Heading2"/>
      </w:pPr>
      <w:bookmarkStart w:id="75" w:name="_Toc362534158"/>
      <w:r>
        <w:t>Clinical safety</w:t>
      </w:r>
      <w:bookmarkEnd w:id="75"/>
    </w:p>
    <w:p w:rsidR="00146262" w:rsidRPr="004B259C" w:rsidRDefault="00146262" w:rsidP="00042FBF">
      <w:pPr>
        <w:pStyle w:val="Heading3"/>
      </w:pPr>
      <w:bookmarkStart w:id="76" w:name="_Toc272414659"/>
      <w:bookmarkStart w:id="77" w:name="_Toc290846284"/>
      <w:bookmarkStart w:id="78" w:name="_Toc327360246"/>
      <w:bookmarkStart w:id="79" w:name="_Toc362534159"/>
      <w:r>
        <w:t>Studies providing evaluable safety data</w:t>
      </w:r>
      <w:bookmarkEnd w:id="76"/>
      <w:bookmarkEnd w:id="77"/>
      <w:bookmarkEnd w:id="78"/>
      <w:bookmarkEnd w:id="79"/>
    </w:p>
    <w:p w:rsidR="00146262" w:rsidRDefault="00146262" w:rsidP="00146262">
      <w:bookmarkStart w:id="80" w:name="_Ref268776745"/>
      <w:r>
        <w:t>The following studies provided evaluable safety data:</w:t>
      </w:r>
    </w:p>
    <w:bookmarkEnd w:id="80"/>
    <w:p w:rsidR="00146262" w:rsidRDefault="00146262" w:rsidP="00042FBF">
      <w:pPr>
        <w:pStyle w:val="Heading4"/>
      </w:pPr>
      <w:r>
        <w:lastRenderedPageBreak/>
        <w:t>Dose-response and non-pivotal efficacy studies</w:t>
      </w:r>
    </w:p>
    <w:p w:rsidR="00146262" w:rsidRDefault="00146262" w:rsidP="00146262">
      <w:r>
        <w:t>The dose-response and non-pivotal efficacy studies provided safety data, as follows:</w:t>
      </w:r>
    </w:p>
    <w:p w:rsidR="00146262" w:rsidRPr="00E72A2A" w:rsidRDefault="00146262" w:rsidP="00042FBF">
      <w:pPr>
        <w:pStyle w:val="ListBullet"/>
      </w:pPr>
      <w:r>
        <w:t>Study CALGB 8421</w:t>
      </w:r>
      <w:r w:rsidRPr="00E72A2A">
        <w:t xml:space="preserve"> provided data on </w:t>
      </w:r>
      <w:r>
        <w:t>AEs</w:t>
      </w:r>
      <w:r w:rsidRPr="00E72A2A">
        <w:t>.</w:t>
      </w:r>
    </w:p>
    <w:p w:rsidR="00146262" w:rsidRDefault="00146262" w:rsidP="00042FBF">
      <w:pPr>
        <w:pStyle w:val="Heading4"/>
      </w:pPr>
      <w:r>
        <w:t>Other studies evaluable for safety only</w:t>
      </w:r>
    </w:p>
    <w:p w:rsidR="00146262" w:rsidRPr="00872461" w:rsidRDefault="00146262" w:rsidP="00042FBF">
      <w:r w:rsidRPr="00872461">
        <w:t>Clinical pharmacology studies</w:t>
      </w:r>
    </w:p>
    <w:p w:rsidR="00146262" w:rsidRDefault="00146262" w:rsidP="00042FBF">
      <w:pPr>
        <w:pStyle w:val="ListBullet"/>
      </w:pPr>
      <w:bookmarkStart w:id="81" w:name="_Ref269204367"/>
      <w:r>
        <w:t>Study AZA-2002-BA-002.</w:t>
      </w:r>
    </w:p>
    <w:p w:rsidR="00146262" w:rsidRDefault="00146262" w:rsidP="00042FBF">
      <w:pPr>
        <w:pStyle w:val="Heading3"/>
      </w:pPr>
      <w:bookmarkStart w:id="82" w:name="_Toc241374318"/>
      <w:bookmarkStart w:id="83" w:name="_Ref271196630"/>
      <w:bookmarkStart w:id="84" w:name="_Toc272414662"/>
      <w:bookmarkStart w:id="85" w:name="_Toc290846300"/>
      <w:bookmarkStart w:id="86" w:name="_Toc327360247"/>
      <w:bookmarkStart w:id="87" w:name="_Toc362534160"/>
      <w:bookmarkEnd w:id="81"/>
      <w:r>
        <w:t>Patient exposure</w:t>
      </w:r>
      <w:bookmarkEnd w:id="82"/>
      <w:bookmarkEnd w:id="83"/>
      <w:bookmarkEnd w:id="84"/>
      <w:bookmarkEnd w:id="85"/>
      <w:bookmarkEnd w:id="86"/>
      <w:bookmarkEnd w:id="87"/>
    </w:p>
    <w:p w:rsidR="00146262" w:rsidRDefault="00146262" w:rsidP="00146262">
      <w:pPr>
        <w:autoSpaceDE w:val="0"/>
        <w:autoSpaceDN w:val="0"/>
        <w:adjustRightInd w:val="0"/>
      </w:pPr>
      <w:r>
        <w:t>Exposure in Study AZA-2002-BA-002, on which the population PK analysis is based, was: 6 patients, each of whom received a 75 mg/m</w:t>
      </w:r>
      <w:r w:rsidRPr="00796213">
        <w:rPr>
          <w:vertAlign w:val="superscript"/>
        </w:rPr>
        <w:t>2</w:t>
      </w:r>
      <w:r>
        <w:t xml:space="preserve"> dose of </w:t>
      </w:r>
      <w:proofErr w:type="spellStart"/>
      <w:r>
        <w:t>azacitidine</w:t>
      </w:r>
      <w:proofErr w:type="spellEnd"/>
      <w:r>
        <w:t xml:space="preserve"> on 2 occasions: IV over 10 minutes, and SC.</w:t>
      </w:r>
    </w:p>
    <w:p w:rsidR="00146262" w:rsidRDefault="00146262" w:rsidP="00146262">
      <w:pPr>
        <w:autoSpaceDE w:val="0"/>
        <w:autoSpaceDN w:val="0"/>
        <w:adjustRightInd w:val="0"/>
      </w:pPr>
      <w:r>
        <w:t xml:space="preserve">In Study </w:t>
      </w:r>
      <w:r w:rsidRPr="00FF43ED">
        <w:t>CALGB 8421</w:t>
      </w:r>
      <w:r>
        <w:t>, 48 patients were exposed on multiple occasions to 75 mg/m</w:t>
      </w:r>
      <w:r w:rsidRPr="00796213">
        <w:rPr>
          <w:vertAlign w:val="superscript"/>
        </w:rPr>
        <w:t>2</w:t>
      </w:r>
      <w:r>
        <w:t xml:space="preserve"> doses of </w:t>
      </w:r>
      <w:proofErr w:type="spellStart"/>
      <w:r>
        <w:t>azacitidine</w:t>
      </w:r>
      <w:proofErr w:type="spellEnd"/>
      <w:r>
        <w:t xml:space="preserve">, each administered over a period of 4 hours (or possibly longer). The number of cycles for the 48 patients who received </w:t>
      </w:r>
      <w:proofErr w:type="spellStart"/>
      <w:r>
        <w:t>azacitidine</w:t>
      </w:r>
      <w:proofErr w:type="spellEnd"/>
      <w:r>
        <w:t xml:space="preserve"> ranged from 1-15, with the exception of 1 patient who remained in the study for 51 cycles. Further details of exposure are given </w:t>
      </w:r>
      <w:r w:rsidR="00766B9C">
        <w:t>in Table 5</w:t>
      </w:r>
      <w:r>
        <w:t xml:space="preserve">. </w:t>
      </w:r>
    </w:p>
    <w:p w:rsidR="00766B9C" w:rsidRPr="00F66F35" w:rsidRDefault="00766B9C" w:rsidP="00766B9C">
      <w:pPr>
        <w:pStyle w:val="FigureTitle"/>
        <w:rPr>
          <w:lang w:val="en-GB"/>
        </w:rPr>
      </w:pPr>
      <w:r w:rsidRPr="00F66F35">
        <w:t xml:space="preserve">Table </w:t>
      </w:r>
      <w:r>
        <w:t>5</w:t>
      </w:r>
      <w:r w:rsidRPr="00F66F35">
        <w:t xml:space="preserve">: </w:t>
      </w:r>
      <w:r>
        <w:t>Study CALGB 8421 – e</w:t>
      </w:r>
      <w:r w:rsidRPr="00766B9C">
        <w:t>xposure</w:t>
      </w:r>
      <w:r w:rsidRPr="00F66F35">
        <w:t>.</w:t>
      </w:r>
    </w:p>
    <w:p w:rsidR="00766B9C" w:rsidRDefault="004772F5" w:rsidP="0089462D">
      <w:pPr>
        <w:autoSpaceDE w:val="0"/>
        <w:autoSpaceDN w:val="0"/>
        <w:adjustRightInd w:val="0"/>
        <w:jc w:val="center"/>
      </w:pPr>
      <w:r>
        <w:rPr>
          <w:noProof/>
          <w:lang w:eastAsia="en-AU"/>
        </w:rPr>
        <w:drawing>
          <wp:inline distT="0" distB="0" distL="0" distR="0">
            <wp:extent cx="3551555" cy="946150"/>
            <wp:effectExtent l="19050" t="0" r="0" b="0"/>
            <wp:docPr id="5" name="Picture 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
                    <pic:cNvPicPr>
                      <a:picLocks noChangeAspect="1" noChangeArrowheads="1"/>
                    </pic:cNvPicPr>
                  </pic:nvPicPr>
                  <pic:blipFill>
                    <a:blip r:embed="rId21" cstate="print"/>
                    <a:srcRect/>
                    <a:stretch>
                      <a:fillRect/>
                    </a:stretch>
                  </pic:blipFill>
                  <pic:spPr bwMode="auto">
                    <a:xfrm>
                      <a:off x="0" y="0"/>
                      <a:ext cx="3551555" cy="946150"/>
                    </a:xfrm>
                    <a:prstGeom prst="rect">
                      <a:avLst/>
                    </a:prstGeom>
                    <a:noFill/>
                    <a:ln w="9525">
                      <a:noFill/>
                      <a:miter lim="800000"/>
                      <a:headEnd/>
                      <a:tailEnd/>
                    </a:ln>
                  </pic:spPr>
                </pic:pic>
              </a:graphicData>
            </a:graphic>
          </wp:inline>
        </w:drawing>
      </w:r>
    </w:p>
    <w:p w:rsidR="00146262" w:rsidRDefault="00146262" w:rsidP="007856E1">
      <w:pPr>
        <w:pStyle w:val="Heading3"/>
      </w:pPr>
      <w:bookmarkStart w:id="88" w:name="_Toc241374319"/>
      <w:bookmarkStart w:id="89" w:name="_Ref271044764"/>
      <w:bookmarkStart w:id="90" w:name="_Toc272414663"/>
      <w:bookmarkStart w:id="91" w:name="_Toc290846301"/>
      <w:bookmarkStart w:id="92" w:name="_Toc327360248"/>
      <w:bookmarkStart w:id="93" w:name="_Toc362534161"/>
      <w:r>
        <w:t>Adverse events</w:t>
      </w:r>
      <w:bookmarkEnd w:id="88"/>
      <w:bookmarkEnd w:id="89"/>
      <w:bookmarkEnd w:id="90"/>
      <w:bookmarkEnd w:id="91"/>
      <w:bookmarkEnd w:id="92"/>
      <w:bookmarkEnd w:id="93"/>
    </w:p>
    <w:p w:rsidR="00146262" w:rsidRPr="00C27CB6" w:rsidRDefault="00146262" w:rsidP="00042FBF">
      <w:pPr>
        <w:pStyle w:val="Heading4"/>
      </w:pPr>
      <w:bookmarkStart w:id="94" w:name="_Ref272317284"/>
      <w:bookmarkStart w:id="95" w:name="_Ref272333565"/>
      <w:bookmarkStart w:id="96" w:name="_Toc272414664"/>
      <w:bookmarkStart w:id="97" w:name="_Toc290846302"/>
      <w:bookmarkStart w:id="98" w:name="_Toc327360249"/>
      <w:r>
        <w:t>All adverse events (irrespective of relationship to study treatment)</w:t>
      </w:r>
      <w:bookmarkEnd w:id="94"/>
      <w:bookmarkEnd w:id="95"/>
      <w:bookmarkEnd w:id="96"/>
      <w:bookmarkEnd w:id="97"/>
      <w:bookmarkEnd w:id="98"/>
    </w:p>
    <w:p w:rsidR="00146262" w:rsidRDefault="00146262" w:rsidP="00042FBF">
      <w:pPr>
        <w:pStyle w:val="Heading5"/>
      </w:pPr>
      <w:r>
        <w:t>Study AZA-2002-BA-002</w:t>
      </w:r>
    </w:p>
    <w:p w:rsidR="00146262" w:rsidRDefault="00042FBF" w:rsidP="00146262">
      <w:pPr>
        <w:autoSpaceDE w:val="0"/>
        <w:autoSpaceDN w:val="0"/>
        <w:adjustRightInd w:val="0"/>
      </w:pPr>
      <w:r>
        <w:t xml:space="preserve">The </w:t>
      </w:r>
      <w:r w:rsidR="006133D3">
        <w:t>only information available</w:t>
      </w:r>
      <w:r w:rsidR="00146262">
        <w:t xml:space="preserve"> is that in</w:t>
      </w:r>
      <w:r w:rsidR="006133D3">
        <w:t xml:space="preserve"> Table 2</w:t>
      </w:r>
      <w:r w:rsidR="00146262">
        <w:t>.</w:t>
      </w:r>
    </w:p>
    <w:p w:rsidR="00146262" w:rsidRDefault="00146262" w:rsidP="00042FBF">
      <w:pPr>
        <w:pStyle w:val="Heading5"/>
      </w:pPr>
      <w:r>
        <w:t xml:space="preserve">Study </w:t>
      </w:r>
      <w:r w:rsidRPr="00FF43ED">
        <w:t>CALGB 8421</w:t>
      </w:r>
    </w:p>
    <w:p w:rsidR="00146262" w:rsidRDefault="00146262" w:rsidP="00146262">
      <w:pPr>
        <w:autoSpaceDE w:val="0"/>
        <w:autoSpaceDN w:val="0"/>
        <w:adjustRightInd w:val="0"/>
      </w:pPr>
      <w:r>
        <w:t xml:space="preserve">The draft </w:t>
      </w:r>
      <w:r w:rsidRPr="00FC3A44">
        <w:t>PI recomme</w:t>
      </w:r>
      <w:r>
        <w:t xml:space="preserve">nds use of IV solution within 1 hour of preparation, followed by infusion over a maximum of 40 minutes, whereas the protocol for this study allowed infusion over 4 hours. Thus the potency of the preparation used in this study may have been significantly inferior to label. </w:t>
      </w:r>
    </w:p>
    <w:p w:rsidR="00146262" w:rsidRDefault="00146262" w:rsidP="00042FBF">
      <w:pPr>
        <w:pStyle w:val="Heading5"/>
      </w:pPr>
      <w:bookmarkStart w:id="99" w:name="_Ref324887786"/>
      <w:bookmarkStart w:id="100" w:name="_Toc327360250"/>
      <w:r>
        <w:t>Tabulation across studies</w:t>
      </w:r>
      <w:bookmarkEnd w:id="99"/>
      <w:bookmarkEnd w:id="100"/>
    </w:p>
    <w:p w:rsidR="00146262" w:rsidRDefault="00146262" w:rsidP="00146262">
      <w:pPr>
        <w:autoSpaceDE w:val="0"/>
        <w:autoSpaceDN w:val="0"/>
        <w:adjustRightInd w:val="0"/>
        <w:spacing w:after="60"/>
      </w:pPr>
      <w:r>
        <w:t xml:space="preserve">In the </w:t>
      </w:r>
      <w:r w:rsidRPr="00B46A0E">
        <w:rPr>
          <w:i/>
        </w:rPr>
        <w:t>Clinical Overview</w:t>
      </w:r>
      <w:r>
        <w:t xml:space="preserve">, the sponsor exhibits, </w:t>
      </w:r>
      <w:r w:rsidRPr="00B46A0E">
        <w:rPr>
          <w:i/>
        </w:rPr>
        <w:t>inter alia</w:t>
      </w:r>
      <w:r>
        <w:t xml:space="preserve">, tabulations of TEAEs across the studies CALGB 8421, CALGB 8921 and CALGB 9221 (all of which were evaluated in </w:t>
      </w:r>
      <w:r w:rsidRPr="00B46A0E">
        <w:rPr>
          <w:i/>
        </w:rPr>
        <w:t>CER1</w:t>
      </w:r>
      <w:r>
        <w:t>). Table 10 (</w:t>
      </w:r>
      <w:r w:rsidRPr="00B46A0E">
        <w:rPr>
          <w:i/>
        </w:rPr>
        <w:t>Most Frequently Observed TEAEs in the CALGB Studies</w:t>
      </w:r>
      <w:r>
        <w:t xml:space="preserve">) from the </w:t>
      </w:r>
      <w:r w:rsidRPr="00B46A0E">
        <w:rPr>
          <w:i/>
        </w:rPr>
        <w:t>Clinical Overview</w:t>
      </w:r>
      <w:r>
        <w:t xml:space="preserve"> is copied a</w:t>
      </w:r>
      <w:r w:rsidR="00797CC4">
        <w:t>s Table 6</w:t>
      </w:r>
      <w:r w:rsidR="00CF7BC8">
        <w:t xml:space="preserve"> </w:t>
      </w:r>
      <w:r w:rsidR="004C603F">
        <w:t>(</w:t>
      </w:r>
      <w:r w:rsidR="00CF7BC8">
        <w:t>below</w:t>
      </w:r>
      <w:r w:rsidR="004C603F">
        <w:t>)</w:t>
      </w:r>
      <w:r>
        <w:t>, and Table 11 (</w:t>
      </w:r>
      <w:r w:rsidRPr="00022779">
        <w:rPr>
          <w:bCs/>
          <w:i/>
        </w:rPr>
        <w:t xml:space="preserve">TEAEs Observed in </w:t>
      </w:r>
      <w:r w:rsidR="00FA6134">
        <w:rPr>
          <w:bCs/>
          <w:i/>
        </w:rPr>
        <w:t>≥</w:t>
      </w:r>
      <w:r w:rsidRPr="00022779">
        <w:rPr>
          <w:bCs/>
          <w:i/>
        </w:rPr>
        <w:t xml:space="preserve"> 10% of the 8421 IV </w:t>
      </w:r>
      <w:proofErr w:type="spellStart"/>
      <w:r w:rsidRPr="00022779">
        <w:rPr>
          <w:bCs/>
          <w:i/>
        </w:rPr>
        <w:t>Azacitidine</w:t>
      </w:r>
      <w:proofErr w:type="spellEnd"/>
      <w:r w:rsidRPr="00022779">
        <w:rPr>
          <w:bCs/>
          <w:i/>
        </w:rPr>
        <w:t xml:space="preserve"> Group With a 2-Fold Difference in Number of Subjects With Events per Subject-Year of Exposure Between the 8421 IV </w:t>
      </w:r>
      <w:proofErr w:type="spellStart"/>
      <w:r w:rsidRPr="00022779">
        <w:rPr>
          <w:bCs/>
          <w:i/>
        </w:rPr>
        <w:t>Azacitidine</w:t>
      </w:r>
      <w:proofErr w:type="spellEnd"/>
      <w:r w:rsidRPr="00022779">
        <w:rPr>
          <w:bCs/>
          <w:i/>
        </w:rPr>
        <w:t xml:space="preserve"> Group and the 8921/9221 SC All </w:t>
      </w:r>
      <w:proofErr w:type="spellStart"/>
      <w:r w:rsidRPr="00022779">
        <w:rPr>
          <w:bCs/>
          <w:i/>
        </w:rPr>
        <w:t>Azacitidine</w:t>
      </w:r>
      <w:proofErr w:type="spellEnd"/>
      <w:r w:rsidRPr="00022779">
        <w:rPr>
          <w:bCs/>
          <w:i/>
        </w:rPr>
        <w:t xml:space="preserve"> Group</w:t>
      </w:r>
      <w:r>
        <w:t>)</w:t>
      </w:r>
      <w:r w:rsidR="00CF7BC8">
        <w:t xml:space="preserve"> </w:t>
      </w:r>
      <w:r>
        <w:t xml:space="preserve">from the </w:t>
      </w:r>
      <w:r w:rsidRPr="00B46A0E">
        <w:rPr>
          <w:i/>
        </w:rPr>
        <w:t>Clinical Overview</w:t>
      </w:r>
      <w:r>
        <w:t xml:space="preserve"> is copied</w:t>
      </w:r>
      <w:r w:rsidR="00797CC4">
        <w:t xml:space="preserve"> as Table 7</w:t>
      </w:r>
      <w:r w:rsidR="00CF7BC8">
        <w:t xml:space="preserve"> </w:t>
      </w:r>
      <w:r w:rsidR="004C603F">
        <w:t>(</w:t>
      </w:r>
      <w:r w:rsidR="00CF7BC8">
        <w:t>below</w:t>
      </w:r>
      <w:r w:rsidR="004C603F">
        <w:t>)</w:t>
      </w:r>
      <w:r>
        <w:t xml:space="preserve">. The sponsor concludes: </w:t>
      </w:r>
    </w:p>
    <w:p w:rsidR="00146262" w:rsidRPr="00042FBF" w:rsidRDefault="00146262" w:rsidP="00042FBF">
      <w:pPr>
        <w:ind w:left="720"/>
        <w:rPr>
          <w:i/>
        </w:rPr>
      </w:pPr>
      <w:r w:rsidRPr="00042FBF">
        <w:rPr>
          <w:i/>
        </w:rPr>
        <w:t xml:space="preserve">"With the exception of injection site reactions that were observed with SC administration only and infusion/catheter site reactions that were observed more frequently with IV </w:t>
      </w:r>
      <w:r w:rsidRPr="00042FBF">
        <w:rPr>
          <w:i/>
        </w:rPr>
        <w:lastRenderedPageBreak/>
        <w:t>administration, the adverse event profile was generally similar between the IV and SC studies (Table 11)."</w:t>
      </w:r>
    </w:p>
    <w:p w:rsidR="001F3F37" w:rsidRPr="00F66F35" w:rsidRDefault="001F3F37" w:rsidP="001F3F37">
      <w:pPr>
        <w:pStyle w:val="FigureTitle"/>
        <w:rPr>
          <w:lang w:val="en-GB"/>
        </w:rPr>
      </w:pPr>
      <w:bookmarkStart w:id="101" w:name="_Ref272333567"/>
      <w:bookmarkStart w:id="102" w:name="_Toc272414665"/>
      <w:bookmarkStart w:id="103" w:name="_Toc290846303"/>
      <w:bookmarkStart w:id="104" w:name="_Toc327360251"/>
      <w:r w:rsidRPr="00F66F35">
        <w:t xml:space="preserve">Table </w:t>
      </w:r>
      <w:r>
        <w:t>6</w:t>
      </w:r>
      <w:r w:rsidRPr="00F66F35">
        <w:t xml:space="preserve">: </w:t>
      </w:r>
      <w:r w:rsidR="00075918">
        <w:t xml:space="preserve">Most </w:t>
      </w:r>
      <w:proofErr w:type="spellStart"/>
      <w:r w:rsidR="00075918">
        <w:t>frequently</w:t>
      </w:r>
      <w:r w:rsidR="00075918" w:rsidRPr="00814ACC">
        <w:rPr>
          <w:vertAlign w:val="superscript"/>
        </w:rPr>
        <w:t>a</w:t>
      </w:r>
      <w:proofErr w:type="spellEnd"/>
      <w:r w:rsidR="00075918">
        <w:t xml:space="preserve"> observed TEAEs in the CALGB studies</w:t>
      </w:r>
      <w:r w:rsidRPr="00F66F35">
        <w:t>.</w:t>
      </w:r>
    </w:p>
    <w:p w:rsidR="001F3F37" w:rsidRDefault="004772F5" w:rsidP="00D04237">
      <w:pPr>
        <w:jc w:val="center"/>
      </w:pPr>
      <w:r>
        <w:rPr>
          <w:noProof/>
          <w:lang w:eastAsia="en-AU"/>
        </w:rPr>
        <w:drawing>
          <wp:inline distT="0" distB="0" distL="0" distR="0">
            <wp:extent cx="4497705" cy="5539740"/>
            <wp:effectExtent l="19050" t="0" r="0" b="0"/>
            <wp:docPr id="6" name="Picture 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
                    <pic:cNvPicPr>
                      <a:picLocks noChangeAspect="1" noChangeArrowheads="1"/>
                    </pic:cNvPicPr>
                  </pic:nvPicPr>
                  <pic:blipFill>
                    <a:blip r:embed="rId22" cstate="print"/>
                    <a:srcRect/>
                    <a:stretch>
                      <a:fillRect/>
                    </a:stretch>
                  </pic:blipFill>
                  <pic:spPr bwMode="auto">
                    <a:xfrm>
                      <a:off x="0" y="0"/>
                      <a:ext cx="4497705" cy="5539740"/>
                    </a:xfrm>
                    <a:prstGeom prst="rect">
                      <a:avLst/>
                    </a:prstGeom>
                    <a:noFill/>
                    <a:ln w="9525">
                      <a:noFill/>
                      <a:miter lim="800000"/>
                      <a:headEnd/>
                      <a:tailEnd/>
                    </a:ln>
                  </pic:spPr>
                </pic:pic>
              </a:graphicData>
            </a:graphic>
          </wp:inline>
        </w:drawing>
      </w:r>
    </w:p>
    <w:p w:rsidR="0009585D" w:rsidRDefault="0009585D" w:rsidP="0009585D">
      <w:pPr>
        <w:pStyle w:val="Notes"/>
      </w:pPr>
      <w:r>
        <w:t>Sorted</w:t>
      </w:r>
      <w:r>
        <w:rPr>
          <w:spacing w:val="11"/>
        </w:rPr>
        <w:t xml:space="preserve"> </w:t>
      </w:r>
      <w:r>
        <w:t>by</w:t>
      </w:r>
      <w:r>
        <w:rPr>
          <w:spacing w:val="4"/>
        </w:rPr>
        <w:t xml:space="preserve"> </w:t>
      </w:r>
      <w:r>
        <w:t>decre</w:t>
      </w:r>
      <w:r>
        <w:rPr>
          <w:spacing w:val="-1"/>
        </w:rPr>
        <w:t>a</w:t>
      </w:r>
      <w:r>
        <w:rPr>
          <w:spacing w:val="1"/>
        </w:rPr>
        <w:t>si</w:t>
      </w:r>
      <w:r>
        <w:rPr>
          <w:spacing w:val="-1"/>
        </w:rPr>
        <w:t>n</w:t>
      </w:r>
      <w:r>
        <w:t>g</w:t>
      </w:r>
      <w:r>
        <w:rPr>
          <w:spacing w:val="17"/>
        </w:rPr>
        <w:t xml:space="preserve"> </w:t>
      </w:r>
      <w:r>
        <w:t>freque</w:t>
      </w:r>
      <w:r>
        <w:rPr>
          <w:spacing w:val="-1"/>
        </w:rPr>
        <w:t>n</w:t>
      </w:r>
      <w:r>
        <w:t>cy</w:t>
      </w:r>
      <w:r>
        <w:rPr>
          <w:spacing w:val="15"/>
        </w:rPr>
        <w:t xml:space="preserve"> </w:t>
      </w:r>
      <w:r>
        <w:t>in</w:t>
      </w:r>
      <w:r>
        <w:rPr>
          <w:spacing w:val="5"/>
        </w:rPr>
        <w:t xml:space="preserve"> </w:t>
      </w:r>
      <w:r>
        <w:t>the</w:t>
      </w:r>
      <w:r>
        <w:rPr>
          <w:spacing w:val="6"/>
        </w:rPr>
        <w:t xml:space="preserve"> </w:t>
      </w:r>
      <w:r>
        <w:rPr>
          <w:spacing w:val="-1"/>
        </w:rPr>
        <w:t>8</w:t>
      </w:r>
      <w:r>
        <w:t>421</w:t>
      </w:r>
      <w:r>
        <w:rPr>
          <w:spacing w:val="9"/>
        </w:rPr>
        <w:t xml:space="preserve"> </w:t>
      </w:r>
      <w:r>
        <w:t>IV</w:t>
      </w:r>
      <w:r>
        <w:rPr>
          <w:spacing w:val="4"/>
        </w:rPr>
        <w:t xml:space="preserve"> </w:t>
      </w:r>
      <w:proofErr w:type="spellStart"/>
      <w:r>
        <w:t>a</w:t>
      </w:r>
      <w:r>
        <w:rPr>
          <w:spacing w:val="-1"/>
        </w:rPr>
        <w:t>z</w:t>
      </w:r>
      <w:r>
        <w:t>a</w:t>
      </w:r>
      <w:r>
        <w:rPr>
          <w:spacing w:val="1"/>
        </w:rPr>
        <w:t>c</w:t>
      </w:r>
      <w:r>
        <w:rPr>
          <w:spacing w:val="-2"/>
        </w:rPr>
        <w:t>i</w:t>
      </w:r>
      <w:r>
        <w:t>tidi</w:t>
      </w:r>
      <w:r>
        <w:rPr>
          <w:spacing w:val="-1"/>
        </w:rPr>
        <w:t>n</w:t>
      </w:r>
      <w:r>
        <w:t>e</w:t>
      </w:r>
      <w:proofErr w:type="spellEnd"/>
      <w:r>
        <w:rPr>
          <w:spacing w:val="17"/>
        </w:rPr>
        <w:t xml:space="preserve"> </w:t>
      </w:r>
      <w:r>
        <w:rPr>
          <w:w w:val="102"/>
        </w:rPr>
        <w:t>gr</w:t>
      </w:r>
      <w:r>
        <w:rPr>
          <w:spacing w:val="-1"/>
          <w:w w:val="102"/>
        </w:rPr>
        <w:t>o</w:t>
      </w:r>
      <w:r>
        <w:rPr>
          <w:w w:val="102"/>
        </w:rPr>
        <w:t>u</w:t>
      </w:r>
      <w:r>
        <w:rPr>
          <w:spacing w:val="-1"/>
          <w:w w:val="102"/>
        </w:rPr>
        <w:t>p</w:t>
      </w:r>
      <w:r>
        <w:rPr>
          <w:w w:val="102"/>
        </w:rPr>
        <w:t>.</w:t>
      </w:r>
    </w:p>
    <w:p w:rsidR="0009585D" w:rsidRDefault="0009585D" w:rsidP="0009585D">
      <w:pPr>
        <w:pStyle w:val="Notes"/>
      </w:pPr>
      <w:r>
        <w:t>K</w:t>
      </w:r>
      <w:r>
        <w:rPr>
          <w:spacing w:val="1"/>
        </w:rPr>
        <w:t>E</w:t>
      </w:r>
      <w:r>
        <w:t>Y:</w:t>
      </w:r>
      <w:r>
        <w:rPr>
          <w:spacing w:val="10"/>
        </w:rPr>
        <w:t xml:space="preserve"> </w:t>
      </w:r>
      <w:r>
        <w:t>NOS=not</w:t>
      </w:r>
      <w:r>
        <w:rPr>
          <w:spacing w:val="16"/>
        </w:rPr>
        <w:t xml:space="preserve"> </w:t>
      </w:r>
      <w:r>
        <w:t>o</w:t>
      </w:r>
      <w:r>
        <w:rPr>
          <w:spacing w:val="1"/>
        </w:rPr>
        <w:t>t</w:t>
      </w:r>
      <w:r>
        <w:t>herw</w:t>
      </w:r>
      <w:r>
        <w:rPr>
          <w:spacing w:val="1"/>
        </w:rPr>
        <w:t>i</w:t>
      </w:r>
      <w:r>
        <w:rPr>
          <w:spacing w:val="-1"/>
        </w:rPr>
        <w:t>s</w:t>
      </w:r>
      <w:r>
        <w:t>e</w:t>
      </w:r>
      <w:r>
        <w:rPr>
          <w:spacing w:val="13"/>
        </w:rPr>
        <w:t xml:space="preserve"> </w:t>
      </w:r>
      <w:r>
        <w:rPr>
          <w:spacing w:val="1"/>
        </w:rPr>
        <w:t>s</w:t>
      </w:r>
      <w:r>
        <w:t>pec</w:t>
      </w:r>
      <w:r>
        <w:rPr>
          <w:spacing w:val="1"/>
        </w:rPr>
        <w:t>i</w:t>
      </w:r>
      <w:r>
        <w:rPr>
          <w:spacing w:val="-1"/>
        </w:rPr>
        <w:t>f</w:t>
      </w:r>
      <w:r>
        <w:rPr>
          <w:spacing w:val="-2"/>
        </w:rPr>
        <w:t>i</w:t>
      </w:r>
      <w:r>
        <w:rPr>
          <w:spacing w:val="1"/>
        </w:rPr>
        <w:t>e</w:t>
      </w:r>
      <w:r>
        <w:t>d,</w:t>
      </w:r>
      <w:r>
        <w:rPr>
          <w:spacing w:val="13"/>
        </w:rPr>
        <w:t xml:space="preserve"> </w:t>
      </w:r>
      <w:r>
        <w:rPr>
          <w:spacing w:val="1"/>
        </w:rPr>
        <w:t>T</w:t>
      </w:r>
      <w:r>
        <w:t>EA</w:t>
      </w:r>
      <w:r>
        <w:rPr>
          <w:spacing w:val="1"/>
        </w:rPr>
        <w:t>E</w:t>
      </w:r>
      <w:r>
        <w:t>=tr</w:t>
      </w:r>
      <w:r>
        <w:rPr>
          <w:spacing w:val="-1"/>
        </w:rPr>
        <w:t>e</w:t>
      </w:r>
      <w:r>
        <w:t>at</w:t>
      </w:r>
      <w:r>
        <w:rPr>
          <w:spacing w:val="-2"/>
        </w:rPr>
        <w:t>m</w:t>
      </w:r>
      <w:r>
        <w:t>en</w:t>
      </w:r>
      <w:r>
        <w:rPr>
          <w:spacing w:val="1"/>
        </w:rPr>
        <w:t>t</w:t>
      </w:r>
      <w:r>
        <w:t>-</w:t>
      </w:r>
      <w:r>
        <w:rPr>
          <w:spacing w:val="1"/>
        </w:rPr>
        <w:t>e</w:t>
      </w:r>
      <w:r>
        <w:rPr>
          <w:spacing w:val="-2"/>
        </w:rPr>
        <w:t>m</w:t>
      </w:r>
      <w:r>
        <w:t>erg</w:t>
      </w:r>
      <w:r>
        <w:rPr>
          <w:spacing w:val="1"/>
        </w:rPr>
        <w:t>e</w:t>
      </w:r>
      <w:r>
        <w:t>nt</w:t>
      </w:r>
      <w:r>
        <w:rPr>
          <w:spacing w:val="39"/>
        </w:rPr>
        <w:t xml:space="preserve"> </w:t>
      </w:r>
      <w:r>
        <w:rPr>
          <w:spacing w:val="-1"/>
        </w:rPr>
        <w:t>a</w:t>
      </w:r>
      <w:r>
        <w:t>dv</w:t>
      </w:r>
      <w:r>
        <w:rPr>
          <w:spacing w:val="1"/>
        </w:rPr>
        <w:t>e</w:t>
      </w:r>
      <w:r>
        <w:t>rse</w:t>
      </w:r>
      <w:r>
        <w:rPr>
          <w:spacing w:val="12"/>
        </w:rPr>
        <w:t xml:space="preserve"> </w:t>
      </w:r>
      <w:r>
        <w:t>e</w:t>
      </w:r>
      <w:r>
        <w:rPr>
          <w:spacing w:val="-1"/>
        </w:rPr>
        <w:t>v</w:t>
      </w:r>
      <w:r>
        <w:t>ent,</w:t>
      </w:r>
      <w:r>
        <w:rPr>
          <w:spacing w:val="9"/>
        </w:rPr>
        <w:t xml:space="preserve"> </w:t>
      </w:r>
      <w:proofErr w:type="spellStart"/>
      <w:r>
        <w:rPr>
          <w:spacing w:val="-1"/>
        </w:rPr>
        <w:t>M</w:t>
      </w:r>
      <w:r>
        <w:t>edDRA</w:t>
      </w:r>
      <w:proofErr w:type="spellEnd"/>
      <w:r>
        <w:t>=M</w:t>
      </w:r>
      <w:r>
        <w:rPr>
          <w:spacing w:val="1"/>
        </w:rPr>
        <w:t>e</w:t>
      </w:r>
      <w:r>
        <w:t>di</w:t>
      </w:r>
      <w:r>
        <w:rPr>
          <w:spacing w:val="1"/>
        </w:rPr>
        <w:t>c</w:t>
      </w:r>
      <w:r>
        <w:rPr>
          <w:spacing w:val="-1"/>
        </w:rPr>
        <w:t>a</w:t>
      </w:r>
      <w:r>
        <w:t>l</w:t>
      </w:r>
      <w:r>
        <w:rPr>
          <w:spacing w:val="27"/>
        </w:rPr>
        <w:t xml:space="preserve"> </w:t>
      </w:r>
      <w:r>
        <w:t>Dictionary</w:t>
      </w:r>
      <w:r>
        <w:rPr>
          <w:spacing w:val="16"/>
        </w:rPr>
        <w:t xml:space="preserve"> </w:t>
      </w:r>
      <w:r>
        <w:rPr>
          <w:spacing w:val="-2"/>
        </w:rPr>
        <w:t>f</w:t>
      </w:r>
      <w:r>
        <w:t>or</w:t>
      </w:r>
      <w:r>
        <w:rPr>
          <w:spacing w:val="5"/>
        </w:rPr>
        <w:t xml:space="preserve"> </w:t>
      </w:r>
      <w:r>
        <w:rPr>
          <w:w w:val="102"/>
        </w:rPr>
        <w:t>Regulat</w:t>
      </w:r>
      <w:r>
        <w:rPr>
          <w:spacing w:val="-1"/>
          <w:w w:val="102"/>
        </w:rPr>
        <w:t>o</w:t>
      </w:r>
      <w:r>
        <w:rPr>
          <w:w w:val="102"/>
        </w:rPr>
        <w:t xml:space="preserve">ry </w:t>
      </w:r>
      <w:r>
        <w:rPr>
          <w:w w:val="102"/>
          <w:position w:val="-1"/>
        </w:rPr>
        <w:t>Activ</w:t>
      </w:r>
      <w:r>
        <w:rPr>
          <w:spacing w:val="-1"/>
          <w:w w:val="102"/>
          <w:position w:val="-1"/>
        </w:rPr>
        <w:t>it</w:t>
      </w:r>
      <w:r>
        <w:rPr>
          <w:spacing w:val="1"/>
          <w:w w:val="102"/>
          <w:position w:val="-1"/>
        </w:rPr>
        <w:t>i</w:t>
      </w:r>
      <w:r>
        <w:rPr>
          <w:spacing w:val="-1"/>
          <w:w w:val="102"/>
          <w:position w:val="-1"/>
        </w:rPr>
        <w:t>e</w:t>
      </w:r>
      <w:r>
        <w:rPr>
          <w:w w:val="102"/>
          <w:position w:val="-1"/>
        </w:rPr>
        <w:t>s</w:t>
      </w:r>
    </w:p>
    <w:p w:rsidR="0009585D" w:rsidRDefault="0009585D" w:rsidP="0009585D">
      <w:pPr>
        <w:pStyle w:val="Notes"/>
      </w:pPr>
      <w:r>
        <w:t xml:space="preserve">a. </w:t>
      </w:r>
      <w:r>
        <w:rPr>
          <w:position w:val="-1"/>
        </w:rPr>
        <w:t>≥</w:t>
      </w:r>
      <w:r>
        <w:rPr>
          <w:spacing w:val="3"/>
          <w:position w:val="-1"/>
        </w:rPr>
        <w:t xml:space="preserve"> </w:t>
      </w:r>
      <w:r>
        <w:rPr>
          <w:position w:val="-1"/>
        </w:rPr>
        <w:t>20.0%</w:t>
      </w:r>
      <w:r>
        <w:rPr>
          <w:spacing w:val="11"/>
          <w:position w:val="-1"/>
        </w:rPr>
        <w:t xml:space="preserve"> </w:t>
      </w:r>
      <w:r>
        <w:rPr>
          <w:spacing w:val="-2"/>
          <w:position w:val="-1"/>
        </w:rPr>
        <w:t>f</w:t>
      </w:r>
      <w:r>
        <w:rPr>
          <w:spacing w:val="1"/>
          <w:position w:val="-1"/>
        </w:rPr>
        <w:t>r</w:t>
      </w:r>
      <w:r>
        <w:rPr>
          <w:position w:val="-1"/>
        </w:rPr>
        <w:t>eque</w:t>
      </w:r>
      <w:r>
        <w:rPr>
          <w:spacing w:val="-1"/>
          <w:position w:val="-1"/>
        </w:rPr>
        <w:t>n</w:t>
      </w:r>
      <w:r>
        <w:rPr>
          <w:position w:val="-1"/>
        </w:rPr>
        <w:t>cy</w:t>
      </w:r>
      <w:r>
        <w:rPr>
          <w:spacing w:val="15"/>
          <w:position w:val="-1"/>
        </w:rPr>
        <w:t xml:space="preserve"> </w:t>
      </w:r>
      <w:r>
        <w:rPr>
          <w:position w:val="-1"/>
        </w:rPr>
        <w:t>in</w:t>
      </w:r>
      <w:r>
        <w:rPr>
          <w:spacing w:val="5"/>
          <w:position w:val="-1"/>
        </w:rPr>
        <w:t xml:space="preserve"> </w:t>
      </w:r>
      <w:r>
        <w:rPr>
          <w:position w:val="-1"/>
        </w:rPr>
        <w:t>any</w:t>
      </w:r>
      <w:r>
        <w:rPr>
          <w:spacing w:val="6"/>
          <w:position w:val="-1"/>
        </w:rPr>
        <w:t xml:space="preserve"> </w:t>
      </w:r>
      <w:r>
        <w:rPr>
          <w:position w:val="-1"/>
        </w:rPr>
        <w:t>treat</w:t>
      </w:r>
      <w:r>
        <w:rPr>
          <w:spacing w:val="-3"/>
          <w:position w:val="-1"/>
        </w:rPr>
        <w:t>m</w:t>
      </w:r>
      <w:r>
        <w:rPr>
          <w:spacing w:val="1"/>
          <w:position w:val="-1"/>
        </w:rPr>
        <w:t>e</w:t>
      </w:r>
      <w:r>
        <w:rPr>
          <w:position w:val="-1"/>
        </w:rPr>
        <w:t>nt</w:t>
      </w:r>
      <w:r>
        <w:rPr>
          <w:spacing w:val="15"/>
          <w:position w:val="-1"/>
        </w:rPr>
        <w:t xml:space="preserve"> </w:t>
      </w:r>
      <w:r>
        <w:rPr>
          <w:position w:val="-1"/>
        </w:rPr>
        <w:t>group</w:t>
      </w:r>
      <w:r>
        <w:rPr>
          <w:spacing w:val="9"/>
          <w:position w:val="-1"/>
        </w:rPr>
        <w:t xml:space="preserve"> </w:t>
      </w:r>
      <w:r>
        <w:rPr>
          <w:spacing w:val="-2"/>
          <w:position w:val="-1"/>
        </w:rPr>
        <w:t>f</w:t>
      </w:r>
      <w:r>
        <w:rPr>
          <w:spacing w:val="1"/>
          <w:position w:val="-1"/>
        </w:rPr>
        <w:t>ro</w:t>
      </w:r>
      <w:r>
        <w:rPr>
          <w:position w:val="-1"/>
        </w:rPr>
        <w:t>m</w:t>
      </w:r>
      <w:r>
        <w:rPr>
          <w:spacing w:val="7"/>
          <w:position w:val="-1"/>
        </w:rPr>
        <w:t xml:space="preserve"> </w:t>
      </w:r>
      <w:r>
        <w:rPr>
          <w:position w:val="-1"/>
        </w:rPr>
        <w:t>t</w:t>
      </w:r>
      <w:r>
        <w:rPr>
          <w:spacing w:val="-1"/>
          <w:position w:val="-1"/>
        </w:rPr>
        <w:t>h</w:t>
      </w:r>
      <w:r>
        <w:rPr>
          <w:position w:val="-1"/>
        </w:rPr>
        <w:t>e</w:t>
      </w:r>
      <w:r>
        <w:rPr>
          <w:spacing w:val="7"/>
          <w:position w:val="-1"/>
        </w:rPr>
        <w:t xml:space="preserve"> </w:t>
      </w:r>
      <w:r>
        <w:rPr>
          <w:position w:val="-1"/>
        </w:rPr>
        <w:t>3</w:t>
      </w:r>
      <w:r>
        <w:rPr>
          <w:spacing w:val="3"/>
          <w:position w:val="-1"/>
        </w:rPr>
        <w:t xml:space="preserve"> </w:t>
      </w:r>
      <w:r>
        <w:rPr>
          <w:position w:val="-1"/>
        </w:rPr>
        <w:t>CALGB</w:t>
      </w:r>
      <w:r>
        <w:rPr>
          <w:spacing w:val="13"/>
          <w:position w:val="-1"/>
        </w:rPr>
        <w:t xml:space="preserve"> </w:t>
      </w:r>
      <w:r>
        <w:rPr>
          <w:spacing w:val="-1"/>
          <w:w w:val="102"/>
          <w:position w:val="-1"/>
        </w:rPr>
        <w:t>s</w:t>
      </w:r>
      <w:r>
        <w:rPr>
          <w:spacing w:val="1"/>
          <w:w w:val="102"/>
          <w:position w:val="-1"/>
        </w:rPr>
        <w:t>t</w:t>
      </w:r>
      <w:r>
        <w:rPr>
          <w:spacing w:val="-1"/>
          <w:w w:val="102"/>
          <w:position w:val="-1"/>
        </w:rPr>
        <w:t>u</w:t>
      </w:r>
      <w:r>
        <w:rPr>
          <w:w w:val="102"/>
          <w:position w:val="-1"/>
        </w:rPr>
        <w:t>die</w:t>
      </w:r>
      <w:r>
        <w:rPr>
          <w:spacing w:val="-1"/>
          <w:w w:val="102"/>
          <w:position w:val="-1"/>
        </w:rPr>
        <w:t>s</w:t>
      </w:r>
      <w:r>
        <w:rPr>
          <w:w w:val="102"/>
          <w:position w:val="-1"/>
        </w:rPr>
        <w:t>.</w:t>
      </w:r>
    </w:p>
    <w:p w:rsidR="0009585D" w:rsidRDefault="0009585D" w:rsidP="0009585D">
      <w:pPr>
        <w:pStyle w:val="Notes"/>
      </w:pPr>
      <w:r>
        <w:t xml:space="preserve">b. </w:t>
      </w:r>
      <w:r w:rsidRPr="00814ACC">
        <w:rPr>
          <w:position w:val="-1"/>
        </w:rPr>
        <w:t>Mul</w:t>
      </w:r>
      <w:r w:rsidRPr="00814ACC">
        <w:rPr>
          <w:spacing w:val="-1"/>
          <w:position w:val="-1"/>
        </w:rPr>
        <w:t>t</w:t>
      </w:r>
      <w:r w:rsidRPr="00814ACC">
        <w:rPr>
          <w:position w:val="-1"/>
        </w:rPr>
        <w:t>i</w:t>
      </w:r>
      <w:r w:rsidRPr="00814ACC">
        <w:rPr>
          <w:spacing w:val="-1"/>
          <w:position w:val="-1"/>
        </w:rPr>
        <w:t>p</w:t>
      </w:r>
      <w:r w:rsidRPr="00814ACC">
        <w:rPr>
          <w:position w:val="-1"/>
        </w:rPr>
        <w:t>le</w:t>
      </w:r>
      <w:r>
        <w:rPr>
          <w:spacing w:val="13"/>
        </w:rPr>
        <w:t xml:space="preserve"> </w:t>
      </w:r>
      <w:r>
        <w:t>repo</w:t>
      </w:r>
      <w:r>
        <w:rPr>
          <w:spacing w:val="-1"/>
        </w:rPr>
        <w:t>r</w:t>
      </w:r>
      <w:r>
        <w:t>ts</w:t>
      </w:r>
      <w:r>
        <w:rPr>
          <w:spacing w:val="9"/>
        </w:rPr>
        <w:t xml:space="preserve"> </w:t>
      </w:r>
      <w:r>
        <w:t>of</w:t>
      </w:r>
      <w:r>
        <w:rPr>
          <w:spacing w:val="4"/>
        </w:rPr>
        <w:t xml:space="preserve"> </w:t>
      </w:r>
      <w:r>
        <w:rPr>
          <w:spacing w:val="-1"/>
        </w:rPr>
        <w:t>t</w:t>
      </w:r>
      <w:r>
        <w:t>he</w:t>
      </w:r>
      <w:r>
        <w:rPr>
          <w:spacing w:val="6"/>
        </w:rPr>
        <w:t xml:space="preserve"> </w:t>
      </w:r>
      <w:r>
        <w:t>sa</w:t>
      </w:r>
      <w:r>
        <w:rPr>
          <w:spacing w:val="-2"/>
        </w:rPr>
        <w:t>m</w:t>
      </w:r>
      <w:r>
        <w:t>e</w:t>
      </w:r>
      <w:r>
        <w:rPr>
          <w:spacing w:val="9"/>
        </w:rPr>
        <w:t xml:space="preserve"> </w:t>
      </w:r>
      <w:r>
        <w:t>pre</w:t>
      </w:r>
      <w:r>
        <w:rPr>
          <w:spacing w:val="-2"/>
        </w:rPr>
        <w:t>f</w:t>
      </w:r>
      <w:r>
        <w:t>erred</w:t>
      </w:r>
      <w:r>
        <w:rPr>
          <w:spacing w:val="13"/>
        </w:rPr>
        <w:t xml:space="preserve"> </w:t>
      </w:r>
      <w:r>
        <w:t>te</w:t>
      </w:r>
      <w:r>
        <w:rPr>
          <w:spacing w:val="-1"/>
        </w:rPr>
        <w:t>r</w:t>
      </w:r>
      <w:r>
        <w:t>m</w:t>
      </w:r>
      <w:r>
        <w:rPr>
          <w:spacing w:val="6"/>
        </w:rPr>
        <w:t xml:space="preserve"> </w:t>
      </w:r>
      <w:r>
        <w:rPr>
          <w:spacing w:val="-1"/>
        </w:rPr>
        <w:t>f</w:t>
      </w:r>
      <w:r>
        <w:t>or</w:t>
      </w:r>
      <w:r>
        <w:rPr>
          <w:spacing w:val="5"/>
        </w:rPr>
        <w:t xml:space="preserve"> </w:t>
      </w:r>
      <w:r>
        <w:t>a</w:t>
      </w:r>
      <w:r>
        <w:rPr>
          <w:spacing w:val="3"/>
        </w:rPr>
        <w:t xml:space="preserve"> </w:t>
      </w:r>
      <w:r>
        <w:t>subj</w:t>
      </w:r>
      <w:r>
        <w:rPr>
          <w:spacing w:val="-1"/>
        </w:rPr>
        <w:t>e</w:t>
      </w:r>
      <w:r>
        <w:t>ct</w:t>
      </w:r>
      <w:r>
        <w:rPr>
          <w:spacing w:val="11"/>
        </w:rPr>
        <w:t xml:space="preserve"> </w:t>
      </w:r>
      <w:r>
        <w:t>a</w:t>
      </w:r>
      <w:r>
        <w:rPr>
          <w:spacing w:val="-1"/>
        </w:rPr>
        <w:t>r</w:t>
      </w:r>
      <w:r>
        <w:t>e</w:t>
      </w:r>
      <w:r>
        <w:rPr>
          <w:spacing w:val="6"/>
        </w:rPr>
        <w:t xml:space="preserve"> </w:t>
      </w:r>
      <w:r>
        <w:t>on</w:t>
      </w:r>
      <w:r>
        <w:rPr>
          <w:spacing w:val="-1"/>
        </w:rPr>
        <w:t>l</w:t>
      </w:r>
      <w:r>
        <w:t>y</w:t>
      </w:r>
      <w:r>
        <w:rPr>
          <w:spacing w:val="6"/>
        </w:rPr>
        <w:t xml:space="preserve"> </w:t>
      </w:r>
      <w:r>
        <w:rPr>
          <w:spacing w:val="1"/>
        </w:rPr>
        <w:t>c</w:t>
      </w:r>
      <w:r>
        <w:rPr>
          <w:spacing w:val="-1"/>
        </w:rPr>
        <w:t>o</w:t>
      </w:r>
      <w:r>
        <w:t>unted</w:t>
      </w:r>
      <w:r>
        <w:rPr>
          <w:spacing w:val="12"/>
        </w:rPr>
        <w:t xml:space="preserve"> </w:t>
      </w:r>
      <w:r>
        <w:t>on</w:t>
      </w:r>
      <w:r>
        <w:rPr>
          <w:spacing w:val="-1"/>
        </w:rPr>
        <w:t>c</w:t>
      </w:r>
      <w:r>
        <w:t>e</w:t>
      </w:r>
      <w:r>
        <w:rPr>
          <w:spacing w:val="8"/>
        </w:rPr>
        <w:t xml:space="preserve"> </w:t>
      </w:r>
      <w:r>
        <w:t>w</w:t>
      </w:r>
      <w:r>
        <w:rPr>
          <w:spacing w:val="-1"/>
        </w:rPr>
        <w:t>i</w:t>
      </w:r>
      <w:r>
        <w:t>thin</w:t>
      </w:r>
      <w:r>
        <w:rPr>
          <w:spacing w:val="10"/>
        </w:rPr>
        <w:t xml:space="preserve"> </w:t>
      </w:r>
      <w:r>
        <w:t>each</w:t>
      </w:r>
      <w:r>
        <w:rPr>
          <w:spacing w:val="7"/>
        </w:rPr>
        <w:t xml:space="preserve"> </w:t>
      </w:r>
      <w:r>
        <w:t>t</w:t>
      </w:r>
      <w:r>
        <w:rPr>
          <w:spacing w:val="-1"/>
        </w:rPr>
        <w:t>r</w:t>
      </w:r>
      <w:r>
        <w:t>eat</w:t>
      </w:r>
      <w:r>
        <w:rPr>
          <w:spacing w:val="-2"/>
        </w:rPr>
        <w:t>m</w:t>
      </w:r>
      <w:r>
        <w:t>ent g</w:t>
      </w:r>
      <w:r>
        <w:rPr>
          <w:spacing w:val="-1"/>
          <w:w w:val="102"/>
        </w:rPr>
        <w:t>r</w:t>
      </w:r>
      <w:r>
        <w:rPr>
          <w:w w:val="102"/>
        </w:rPr>
        <w:t>ou</w:t>
      </w:r>
      <w:r>
        <w:rPr>
          <w:spacing w:val="-1"/>
          <w:w w:val="102"/>
        </w:rPr>
        <w:t>p</w:t>
      </w:r>
      <w:r>
        <w:rPr>
          <w:w w:val="102"/>
        </w:rPr>
        <w:t xml:space="preserve">. </w:t>
      </w:r>
      <w:r>
        <w:t>Adverse</w:t>
      </w:r>
      <w:r>
        <w:rPr>
          <w:spacing w:val="12"/>
        </w:rPr>
        <w:t xml:space="preserve"> </w:t>
      </w:r>
      <w:r>
        <w:t>e</w:t>
      </w:r>
      <w:r>
        <w:rPr>
          <w:spacing w:val="-1"/>
        </w:rPr>
        <w:t>v</w:t>
      </w:r>
      <w:r>
        <w:rPr>
          <w:spacing w:val="2"/>
        </w:rPr>
        <w:t>e</w:t>
      </w:r>
      <w:r>
        <w:rPr>
          <w:spacing w:val="-1"/>
        </w:rPr>
        <w:t>n</w:t>
      </w:r>
      <w:r>
        <w:t>ts</w:t>
      </w:r>
      <w:r>
        <w:rPr>
          <w:spacing w:val="11"/>
        </w:rPr>
        <w:t xml:space="preserve"> </w:t>
      </w:r>
      <w:r>
        <w:t>were</w:t>
      </w:r>
      <w:r>
        <w:rPr>
          <w:spacing w:val="9"/>
        </w:rPr>
        <w:t xml:space="preserve"> </w:t>
      </w:r>
      <w:r>
        <w:t>coded</w:t>
      </w:r>
      <w:r>
        <w:rPr>
          <w:spacing w:val="10"/>
        </w:rPr>
        <w:t xml:space="preserve"> </w:t>
      </w:r>
      <w:r>
        <w:rPr>
          <w:spacing w:val="-1"/>
        </w:rPr>
        <w:t>u</w:t>
      </w:r>
      <w:r>
        <w:t>si</w:t>
      </w:r>
      <w:r>
        <w:rPr>
          <w:spacing w:val="-1"/>
        </w:rPr>
        <w:t>n</w:t>
      </w:r>
      <w:r>
        <w:t>g</w:t>
      </w:r>
      <w:r>
        <w:rPr>
          <w:spacing w:val="9"/>
        </w:rPr>
        <w:t xml:space="preserve"> </w:t>
      </w:r>
      <w:proofErr w:type="spellStart"/>
      <w:r>
        <w:rPr>
          <w:spacing w:val="-1"/>
        </w:rPr>
        <w:t>M</w:t>
      </w:r>
      <w:r>
        <w:t>edDRA</w:t>
      </w:r>
      <w:proofErr w:type="spellEnd"/>
      <w:r>
        <w:rPr>
          <w:spacing w:val="15"/>
        </w:rPr>
        <w:t xml:space="preserve"> </w:t>
      </w:r>
      <w:r>
        <w:t>V</w:t>
      </w:r>
      <w:r>
        <w:rPr>
          <w:spacing w:val="2"/>
        </w:rPr>
        <w:t>e</w:t>
      </w:r>
      <w:r>
        <w:rPr>
          <w:spacing w:val="-2"/>
        </w:rPr>
        <w:t>r</w:t>
      </w:r>
      <w:r>
        <w:rPr>
          <w:spacing w:val="2"/>
        </w:rPr>
        <w:t>s</w:t>
      </w:r>
      <w:r>
        <w:t>i</w:t>
      </w:r>
      <w:r>
        <w:rPr>
          <w:spacing w:val="-1"/>
        </w:rPr>
        <w:t>o</w:t>
      </w:r>
      <w:r>
        <w:t>n</w:t>
      </w:r>
      <w:r>
        <w:rPr>
          <w:spacing w:val="13"/>
        </w:rPr>
        <w:t xml:space="preserve"> </w:t>
      </w:r>
      <w:r>
        <w:rPr>
          <w:spacing w:val="-1"/>
          <w:w w:val="102"/>
        </w:rPr>
        <w:t>5</w:t>
      </w:r>
      <w:r>
        <w:rPr>
          <w:spacing w:val="1"/>
          <w:w w:val="102"/>
        </w:rPr>
        <w:t>.</w:t>
      </w:r>
      <w:r>
        <w:rPr>
          <w:w w:val="102"/>
        </w:rPr>
        <w:t>0.</w:t>
      </w:r>
    </w:p>
    <w:p w:rsidR="0009585D" w:rsidRPr="0009585D" w:rsidRDefault="0009585D" w:rsidP="0009585D">
      <w:pPr>
        <w:pStyle w:val="Notes"/>
      </w:pPr>
      <w:r>
        <w:t xml:space="preserve">c. </w:t>
      </w:r>
      <w:r w:rsidRPr="00814ACC">
        <w:rPr>
          <w:spacing w:val="-1"/>
          <w:position w:val="-1"/>
        </w:rPr>
        <w:t>I</w:t>
      </w:r>
      <w:r w:rsidRPr="00814ACC">
        <w:rPr>
          <w:position w:val="-1"/>
        </w:rPr>
        <w:t>nclud</w:t>
      </w:r>
      <w:r w:rsidRPr="00814ACC">
        <w:rPr>
          <w:spacing w:val="-1"/>
          <w:position w:val="-1"/>
        </w:rPr>
        <w:t>e</w:t>
      </w:r>
      <w:r w:rsidRPr="00814ACC">
        <w:rPr>
          <w:position w:val="-1"/>
        </w:rPr>
        <w:t>s</w:t>
      </w:r>
      <w:r>
        <w:rPr>
          <w:spacing w:val="13"/>
        </w:rPr>
        <w:t xml:space="preserve"> </w:t>
      </w:r>
      <w:r>
        <w:t>all</w:t>
      </w:r>
      <w:r>
        <w:rPr>
          <w:spacing w:val="3"/>
        </w:rPr>
        <w:t xml:space="preserve"> </w:t>
      </w:r>
      <w:r>
        <w:t>sub</w:t>
      </w:r>
      <w:r>
        <w:rPr>
          <w:spacing w:val="-1"/>
        </w:rPr>
        <w:t>j</w:t>
      </w:r>
      <w:r>
        <w:t>ec</w:t>
      </w:r>
      <w:r>
        <w:rPr>
          <w:spacing w:val="-1"/>
        </w:rPr>
        <w:t>t</w:t>
      </w:r>
      <w:r>
        <w:t>s</w:t>
      </w:r>
      <w:r>
        <w:rPr>
          <w:spacing w:val="12"/>
        </w:rPr>
        <w:t xml:space="preserve"> </w:t>
      </w:r>
      <w:r>
        <w:t>exposed</w:t>
      </w:r>
      <w:r>
        <w:rPr>
          <w:spacing w:val="12"/>
        </w:rPr>
        <w:t xml:space="preserve"> </w:t>
      </w:r>
      <w:r>
        <w:t>to</w:t>
      </w:r>
      <w:r>
        <w:rPr>
          <w:spacing w:val="3"/>
        </w:rPr>
        <w:t xml:space="preserve"> </w:t>
      </w:r>
      <w:proofErr w:type="spellStart"/>
      <w:r>
        <w:t>aza</w:t>
      </w:r>
      <w:r>
        <w:rPr>
          <w:spacing w:val="-1"/>
        </w:rPr>
        <w:t>c</w:t>
      </w:r>
      <w:r>
        <w:t>iti</w:t>
      </w:r>
      <w:r>
        <w:rPr>
          <w:spacing w:val="-1"/>
        </w:rPr>
        <w:t>di</w:t>
      </w:r>
      <w:r>
        <w:t>ne</w:t>
      </w:r>
      <w:proofErr w:type="spellEnd"/>
      <w:r>
        <w:t>,</w:t>
      </w:r>
      <w:r>
        <w:rPr>
          <w:spacing w:val="18"/>
        </w:rPr>
        <w:t xml:space="preserve"> </w:t>
      </w:r>
      <w:r>
        <w:rPr>
          <w:spacing w:val="-1"/>
        </w:rPr>
        <w:t>in</w:t>
      </w:r>
      <w:r>
        <w:t>cl</w:t>
      </w:r>
      <w:r>
        <w:rPr>
          <w:spacing w:val="-1"/>
        </w:rPr>
        <w:t>u</w:t>
      </w:r>
      <w:r>
        <w:t>ding</w:t>
      </w:r>
      <w:r>
        <w:rPr>
          <w:spacing w:val="15"/>
        </w:rPr>
        <w:t xml:space="preserve"> </w:t>
      </w:r>
      <w:r>
        <w:t>9221</w:t>
      </w:r>
      <w:r>
        <w:rPr>
          <w:spacing w:val="8"/>
        </w:rPr>
        <w:t xml:space="preserve"> </w:t>
      </w:r>
      <w:r>
        <w:t>sub</w:t>
      </w:r>
      <w:r>
        <w:rPr>
          <w:spacing w:val="-1"/>
        </w:rPr>
        <w:t>je</w:t>
      </w:r>
      <w:r>
        <w:t>cts</w:t>
      </w:r>
      <w:r>
        <w:rPr>
          <w:spacing w:val="12"/>
        </w:rPr>
        <w:t xml:space="preserve"> </w:t>
      </w:r>
      <w:r>
        <w:t>a</w:t>
      </w:r>
      <w:r>
        <w:rPr>
          <w:spacing w:val="-1"/>
        </w:rPr>
        <w:t>f</w:t>
      </w:r>
      <w:r>
        <w:t>ter</w:t>
      </w:r>
      <w:r>
        <w:rPr>
          <w:spacing w:val="7"/>
        </w:rPr>
        <w:t xml:space="preserve"> </w:t>
      </w:r>
      <w:r>
        <w:t>cr</w:t>
      </w:r>
      <w:r>
        <w:rPr>
          <w:spacing w:val="-2"/>
        </w:rPr>
        <w:t>o</w:t>
      </w:r>
      <w:r>
        <w:rPr>
          <w:spacing w:val="1"/>
        </w:rPr>
        <w:t>s</w:t>
      </w:r>
      <w:r>
        <w:rPr>
          <w:spacing w:val="-1"/>
        </w:rPr>
        <w:t>s</w:t>
      </w:r>
      <w:r>
        <w:rPr>
          <w:spacing w:val="1"/>
        </w:rPr>
        <w:t>i</w:t>
      </w:r>
      <w:r>
        <w:t>ng</w:t>
      </w:r>
      <w:r>
        <w:rPr>
          <w:spacing w:val="12"/>
        </w:rPr>
        <w:t xml:space="preserve"> </w:t>
      </w:r>
      <w:r>
        <w:t>over</w:t>
      </w:r>
      <w:r>
        <w:rPr>
          <w:spacing w:val="8"/>
        </w:rPr>
        <w:t xml:space="preserve"> </w:t>
      </w:r>
      <w:r>
        <w:rPr>
          <w:spacing w:val="-2"/>
        </w:rPr>
        <w:t>f</w:t>
      </w:r>
      <w:r>
        <w:t>rom</w:t>
      </w:r>
      <w:r>
        <w:rPr>
          <w:spacing w:val="7"/>
        </w:rPr>
        <w:t xml:space="preserve"> </w:t>
      </w:r>
      <w:r>
        <w:rPr>
          <w:w w:val="102"/>
        </w:rPr>
        <w:t>o</w:t>
      </w:r>
      <w:r>
        <w:rPr>
          <w:spacing w:val="-1"/>
          <w:w w:val="102"/>
        </w:rPr>
        <w:t>b</w:t>
      </w:r>
      <w:r>
        <w:rPr>
          <w:spacing w:val="1"/>
          <w:w w:val="102"/>
        </w:rPr>
        <w:t>s</w:t>
      </w:r>
      <w:r>
        <w:rPr>
          <w:w w:val="102"/>
        </w:rPr>
        <w:t>e</w:t>
      </w:r>
      <w:r>
        <w:rPr>
          <w:spacing w:val="-1"/>
          <w:w w:val="102"/>
        </w:rPr>
        <w:t>r</w:t>
      </w:r>
      <w:r>
        <w:rPr>
          <w:w w:val="102"/>
        </w:rPr>
        <w:t>vat</w:t>
      </w:r>
      <w:r>
        <w:rPr>
          <w:spacing w:val="-1"/>
          <w:w w:val="102"/>
        </w:rPr>
        <w:t>i</w:t>
      </w:r>
      <w:r>
        <w:rPr>
          <w:w w:val="102"/>
        </w:rPr>
        <w:t>o</w:t>
      </w:r>
      <w:r>
        <w:rPr>
          <w:spacing w:val="-1"/>
          <w:w w:val="102"/>
        </w:rPr>
        <w:t>n</w:t>
      </w:r>
      <w:r>
        <w:rPr>
          <w:w w:val="102"/>
        </w:rPr>
        <w:t xml:space="preserve">. </w:t>
      </w:r>
    </w:p>
    <w:p w:rsidR="00795BDF" w:rsidRPr="00F66F35" w:rsidRDefault="00D04237" w:rsidP="00795BDF">
      <w:pPr>
        <w:pStyle w:val="FigureTitle"/>
        <w:rPr>
          <w:lang w:val="en-GB"/>
        </w:rPr>
      </w:pPr>
      <w:r>
        <w:br w:type="page"/>
      </w:r>
      <w:r w:rsidR="00795BDF" w:rsidRPr="00F66F35">
        <w:lastRenderedPageBreak/>
        <w:t xml:space="preserve">Table </w:t>
      </w:r>
      <w:r w:rsidR="00795BDF">
        <w:t>7</w:t>
      </w:r>
      <w:r w:rsidR="00795BDF" w:rsidRPr="00F66F35">
        <w:t xml:space="preserve">: </w:t>
      </w:r>
      <w:r w:rsidR="0009585D">
        <w:t>TEAEs observed in ≥</w:t>
      </w:r>
      <w:r w:rsidR="00075918" w:rsidRPr="00C1386F">
        <w:t xml:space="preserve"> 10% of the 8421 IV </w:t>
      </w:r>
      <w:proofErr w:type="spellStart"/>
      <w:r w:rsidR="00075918" w:rsidRPr="00C1386F">
        <w:t>azacitidine</w:t>
      </w:r>
      <w:proofErr w:type="spellEnd"/>
      <w:r w:rsidR="00075918" w:rsidRPr="00C1386F">
        <w:t xml:space="preserve"> group with a 2-fold difference in number of subjects with events per subject-year of exposure between the 8421 IV </w:t>
      </w:r>
      <w:proofErr w:type="spellStart"/>
      <w:r w:rsidR="00075918" w:rsidRPr="00C1386F">
        <w:t>azacitidine</w:t>
      </w:r>
      <w:proofErr w:type="spellEnd"/>
      <w:r w:rsidR="00075918" w:rsidRPr="00C1386F">
        <w:t xml:space="preserve"> group and the 8921/9221 SC all </w:t>
      </w:r>
      <w:proofErr w:type="spellStart"/>
      <w:r w:rsidR="00075918" w:rsidRPr="00C1386F">
        <w:t>azacitidine</w:t>
      </w:r>
      <w:proofErr w:type="spellEnd"/>
      <w:r w:rsidR="00075918" w:rsidRPr="00C1386F">
        <w:t xml:space="preserve"> group</w:t>
      </w:r>
      <w:r w:rsidR="00795BDF" w:rsidRPr="00F66F35">
        <w:t>.</w:t>
      </w:r>
    </w:p>
    <w:p w:rsidR="00795BDF" w:rsidRDefault="004772F5" w:rsidP="00D04237">
      <w:pPr>
        <w:jc w:val="center"/>
      </w:pPr>
      <w:r>
        <w:rPr>
          <w:noProof/>
          <w:lang w:eastAsia="en-AU"/>
        </w:rPr>
        <w:drawing>
          <wp:inline distT="0" distB="0" distL="0" distR="0">
            <wp:extent cx="4731385" cy="4146550"/>
            <wp:effectExtent l="19050" t="0" r="0" b="0"/>
            <wp:docPr id="7" name="Picture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
                    <pic:cNvPicPr>
                      <a:picLocks noChangeAspect="1" noChangeArrowheads="1"/>
                    </pic:cNvPicPr>
                  </pic:nvPicPr>
                  <pic:blipFill>
                    <a:blip r:embed="rId23" cstate="print"/>
                    <a:srcRect/>
                    <a:stretch>
                      <a:fillRect/>
                    </a:stretch>
                  </pic:blipFill>
                  <pic:spPr bwMode="auto">
                    <a:xfrm>
                      <a:off x="0" y="0"/>
                      <a:ext cx="4731385" cy="4146550"/>
                    </a:xfrm>
                    <a:prstGeom prst="rect">
                      <a:avLst/>
                    </a:prstGeom>
                    <a:noFill/>
                    <a:ln w="9525">
                      <a:noFill/>
                      <a:miter lim="800000"/>
                      <a:headEnd/>
                      <a:tailEnd/>
                    </a:ln>
                  </pic:spPr>
                </pic:pic>
              </a:graphicData>
            </a:graphic>
          </wp:inline>
        </w:drawing>
      </w:r>
    </w:p>
    <w:p w:rsidR="00D04237" w:rsidRPr="00D04237" w:rsidRDefault="00D04237" w:rsidP="00D04237">
      <w:pPr>
        <w:pStyle w:val="Notes"/>
      </w:pPr>
      <w:r w:rsidRPr="00D04237">
        <w:t xml:space="preserve">Sorted by decreasing frequency in the 8421 IV </w:t>
      </w:r>
      <w:proofErr w:type="spellStart"/>
      <w:r w:rsidRPr="00D04237">
        <w:t>azacitidine</w:t>
      </w:r>
      <w:proofErr w:type="spellEnd"/>
      <w:r w:rsidRPr="00D04237">
        <w:t xml:space="preserve"> group.</w:t>
      </w:r>
    </w:p>
    <w:p w:rsidR="00D04237" w:rsidRPr="00D04237" w:rsidRDefault="00D04237" w:rsidP="00D04237">
      <w:pPr>
        <w:pStyle w:val="Notes"/>
      </w:pPr>
      <w:r w:rsidRPr="00D04237">
        <w:t>KEY: NOS=not otherwise specified, TEAE=treatment-emergent adverse event</w:t>
      </w:r>
    </w:p>
    <w:p w:rsidR="00D04237" w:rsidRPr="00D04237" w:rsidRDefault="00D04237" w:rsidP="00D04237">
      <w:pPr>
        <w:pStyle w:val="Notes"/>
      </w:pPr>
      <w:r w:rsidRPr="00D04237">
        <w:t>a</w:t>
      </w:r>
      <w:r>
        <w:t>.</w:t>
      </w:r>
      <w:r w:rsidRPr="00D04237">
        <w:t xml:space="preserve"> Multiple reports of the same preferred term for a subject are only counted once within each treatment group.</w:t>
      </w:r>
    </w:p>
    <w:p w:rsidR="00D04237" w:rsidRPr="00D04237" w:rsidRDefault="00D04237" w:rsidP="00D04237">
      <w:pPr>
        <w:pStyle w:val="Notes"/>
      </w:pPr>
      <w:r w:rsidRPr="00D04237">
        <w:t>b</w:t>
      </w:r>
      <w:r>
        <w:t>.</w:t>
      </w:r>
      <w:r w:rsidRPr="00D04237">
        <w:t xml:space="preserve"> Includes all subjects exposed to </w:t>
      </w:r>
      <w:proofErr w:type="spellStart"/>
      <w:r w:rsidRPr="00D04237">
        <w:t>azacitidine</w:t>
      </w:r>
      <w:proofErr w:type="spellEnd"/>
      <w:r w:rsidRPr="00D04237">
        <w:t>, including 9221 subjects after crossing over from observation.</w:t>
      </w:r>
    </w:p>
    <w:p w:rsidR="00146262" w:rsidRPr="00D12012" w:rsidRDefault="00146262" w:rsidP="006361FC">
      <w:pPr>
        <w:pStyle w:val="Heading4"/>
      </w:pPr>
      <w:r>
        <w:t>Treatment-related adverse events (adverse drug reactions)</w:t>
      </w:r>
      <w:bookmarkEnd w:id="101"/>
      <w:bookmarkEnd w:id="102"/>
      <w:bookmarkEnd w:id="103"/>
      <w:bookmarkEnd w:id="104"/>
    </w:p>
    <w:p w:rsidR="00146262" w:rsidRDefault="00146262" w:rsidP="006361FC">
      <w:pPr>
        <w:pStyle w:val="Heading5"/>
      </w:pPr>
      <w:r>
        <w:t>Study AZA-2002-BA-002</w:t>
      </w:r>
    </w:p>
    <w:p w:rsidR="00146262" w:rsidRDefault="00146262" w:rsidP="00146262">
      <w:pPr>
        <w:autoSpaceDE w:val="0"/>
        <w:autoSpaceDN w:val="0"/>
        <w:adjustRightInd w:val="0"/>
      </w:pPr>
      <w:r>
        <w:t xml:space="preserve">See </w:t>
      </w:r>
      <w:r w:rsidR="004C603F">
        <w:t>Section 7.3.1 (above)</w:t>
      </w:r>
      <w:r>
        <w:t>.</w:t>
      </w:r>
    </w:p>
    <w:p w:rsidR="00146262" w:rsidRDefault="00146262" w:rsidP="006361FC">
      <w:pPr>
        <w:pStyle w:val="Heading5"/>
      </w:pPr>
      <w:r>
        <w:t xml:space="preserve">Study </w:t>
      </w:r>
      <w:r w:rsidRPr="00FF43ED">
        <w:t>CALGB 8421</w:t>
      </w:r>
    </w:p>
    <w:p w:rsidR="00146262" w:rsidRDefault="00146262" w:rsidP="00146262">
      <w:pPr>
        <w:autoSpaceDE w:val="0"/>
        <w:autoSpaceDN w:val="0"/>
        <w:adjustRightInd w:val="0"/>
        <w:spacing w:after="60"/>
      </w:pPr>
      <w:r>
        <w:t xml:space="preserve">The </w:t>
      </w:r>
      <w:r w:rsidRPr="001275D2">
        <w:rPr>
          <w:i/>
        </w:rPr>
        <w:t>CSR</w:t>
      </w:r>
      <w:r w:rsidR="003A3FB0">
        <w:t xml:space="preserve"> states</w:t>
      </w:r>
      <w:r>
        <w:t>:</w:t>
      </w:r>
    </w:p>
    <w:p w:rsidR="00146262" w:rsidRPr="006361FC" w:rsidRDefault="00146262" w:rsidP="006361FC">
      <w:pPr>
        <w:ind w:left="720"/>
        <w:rPr>
          <w:i/>
        </w:rPr>
      </w:pPr>
      <w:r w:rsidRPr="006361FC">
        <w:rPr>
          <w:i/>
        </w:rPr>
        <w:t xml:space="preserve">"Treatment-related TEAEs were most frequently reported (&gt; 50%) from the following SOCs: blood and lymphatic system disorders (89.6%), gastrointestinal disorders (87.5%), general disorders and administration site conditions (72.9%), and skin and subcutaneous tissue disorders (56.3%). The incidence of treatment-related TEAEs from the eye disorders (18.8%), cardiac disorders (12.5%), </w:t>
      </w:r>
      <w:proofErr w:type="spellStart"/>
      <w:r w:rsidRPr="006361FC">
        <w:rPr>
          <w:i/>
        </w:rPr>
        <w:t>hepatobiliary</w:t>
      </w:r>
      <w:proofErr w:type="spellEnd"/>
      <w:r w:rsidRPr="006361FC">
        <w:rPr>
          <w:i/>
        </w:rPr>
        <w:t xml:space="preserve"> disorders (12.5%), renal and urinary disorders (6.3%), psychiatric disorders (10.4%), and injury, poisoning, and procedural complications (10.4%) SOCs, which were all observed at &gt; 20% in the all TEAE presentation, fell below 20% when the causality assessment was applied. The incidence of treatment-related TEAEs from the nervous system disorders (27.1%) and musculoskeletal and connective tissue disorders (20.8%) SOCs, which were both observed at &gt; 50% in the all TEAE presentation, fell below 30% when the causality assessment was applied."</w:t>
      </w:r>
    </w:p>
    <w:p w:rsidR="00146262" w:rsidRDefault="00146262" w:rsidP="00146262">
      <w:pPr>
        <w:autoSpaceDE w:val="0"/>
        <w:autoSpaceDN w:val="0"/>
        <w:adjustRightInd w:val="0"/>
      </w:pPr>
      <w:r w:rsidRPr="001275D2">
        <w:lastRenderedPageBreak/>
        <w:t xml:space="preserve">The most commonly observed (≥ 20%) treatment-related TEAEs </w:t>
      </w:r>
      <w:r>
        <w:t xml:space="preserve">are </w:t>
      </w:r>
      <w:r w:rsidRPr="001275D2">
        <w:t>summari</w:t>
      </w:r>
      <w:r>
        <w:t>s</w:t>
      </w:r>
      <w:r w:rsidRPr="001275D2">
        <w:t xml:space="preserve">ed </w:t>
      </w:r>
      <w:r w:rsidR="003A3FB0">
        <w:t>in Table 8</w:t>
      </w:r>
      <w:r>
        <w:t>.</w:t>
      </w:r>
    </w:p>
    <w:p w:rsidR="0056571A" w:rsidRPr="00F66F35" w:rsidRDefault="0056571A" w:rsidP="0056571A">
      <w:pPr>
        <w:pStyle w:val="FigureTitle"/>
        <w:rPr>
          <w:lang w:val="en-GB"/>
        </w:rPr>
      </w:pPr>
      <w:r w:rsidRPr="00F66F35">
        <w:t xml:space="preserve">Table </w:t>
      </w:r>
      <w:r>
        <w:t>8</w:t>
      </w:r>
      <w:r w:rsidRPr="00F66F35">
        <w:t xml:space="preserve">: </w:t>
      </w:r>
      <w:r>
        <w:t>Study CALGB 8421 – c</w:t>
      </w:r>
      <w:r w:rsidRPr="0056571A">
        <w:t>ommon treatment-related TEAEs</w:t>
      </w:r>
      <w:r w:rsidRPr="00F66F35">
        <w:t>.</w:t>
      </w:r>
    </w:p>
    <w:p w:rsidR="003A3FB0" w:rsidRDefault="004772F5" w:rsidP="007B2A68">
      <w:pPr>
        <w:autoSpaceDE w:val="0"/>
        <w:autoSpaceDN w:val="0"/>
        <w:adjustRightInd w:val="0"/>
        <w:jc w:val="center"/>
      </w:pPr>
      <w:r>
        <w:rPr>
          <w:noProof/>
          <w:lang w:eastAsia="en-AU"/>
        </w:rPr>
        <w:drawing>
          <wp:inline distT="0" distB="0" distL="0" distR="0">
            <wp:extent cx="3923665" cy="1562735"/>
            <wp:effectExtent l="19050" t="0" r="635" b="0"/>
            <wp:docPr id="8" name="Picture 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
                    <pic:cNvPicPr>
                      <a:picLocks noChangeAspect="1" noChangeArrowheads="1"/>
                    </pic:cNvPicPr>
                  </pic:nvPicPr>
                  <pic:blipFill>
                    <a:blip r:embed="rId24" cstate="print"/>
                    <a:srcRect/>
                    <a:stretch>
                      <a:fillRect/>
                    </a:stretch>
                  </pic:blipFill>
                  <pic:spPr bwMode="auto">
                    <a:xfrm>
                      <a:off x="0" y="0"/>
                      <a:ext cx="3923665" cy="1562735"/>
                    </a:xfrm>
                    <a:prstGeom prst="rect">
                      <a:avLst/>
                    </a:prstGeom>
                    <a:noFill/>
                    <a:ln w="9525">
                      <a:noFill/>
                      <a:miter lim="800000"/>
                      <a:headEnd/>
                      <a:tailEnd/>
                    </a:ln>
                  </pic:spPr>
                </pic:pic>
              </a:graphicData>
            </a:graphic>
          </wp:inline>
        </w:drawing>
      </w:r>
    </w:p>
    <w:p w:rsidR="00146262" w:rsidRPr="00213E77" w:rsidRDefault="00146262" w:rsidP="00CD13AD">
      <w:pPr>
        <w:pStyle w:val="Heading4"/>
      </w:pPr>
      <w:bookmarkStart w:id="105" w:name="_Toc241374320"/>
      <w:bookmarkStart w:id="106" w:name="_Ref272333507"/>
      <w:bookmarkStart w:id="107" w:name="_Toc272414666"/>
      <w:bookmarkStart w:id="108" w:name="_Toc290846304"/>
      <w:bookmarkStart w:id="109" w:name="_Toc327360252"/>
      <w:r>
        <w:t>Deaths and other serious adverse events</w:t>
      </w:r>
      <w:bookmarkEnd w:id="105"/>
      <w:bookmarkEnd w:id="106"/>
      <w:bookmarkEnd w:id="107"/>
      <w:bookmarkEnd w:id="108"/>
      <w:bookmarkEnd w:id="109"/>
    </w:p>
    <w:p w:rsidR="00146262" w:rsidRDefault="00146262" w:rsidP="00CD13AD">
      <w:pPr>
        <w:pStyle w:val="Heading5"/>
      </w:pPr>
      <w:r>
        <w:t>Study AZA-2002-BA-002</w:t>
      </w:r>
    </w:p>
    <w:p w:rsidR="00146262" w:rsidRDefault="00146262" w:rsidP="00146262">
      <w:pPr>
        <w:autoSpaceDE w:val="0"/>
        <w:autoSpaceDN w:val="0"/>
        <w:adjustRightInd w:val="0"/>
      </w:pPr>
      <w:r>
        <w:t>None.</w:t>
      </w:r>
    </w:p>
    <w:p w:rsidR="00146262" w:rsidRDefault="00146262" w:rsidP="00CD13AD">
      <w:pPr>
        <w:pStyle w:val="Heading5"/>
      </w:pPr>
      <w:r>
        <w:t xml:space="preserve">Study </w:t>
      </w:r>
      <w:r w:rsidRPr="00FF43ED">
        <w:t>CALGB 8421</w:t>
      </w:r>
    </w:p>
    <w:p w:rsidR="00146262" w:rsidRDefault="00D6004A" w:rsidP="00146262">
      <w:pPr>
        <w:autoSpaceDE w:val="0"/>
        <w:autoSpaceDN w:val="0"/>
        <w:adjustRightInd w:val="0"/>
      </w:pPr>
      <w:r>
        <w:t xml:space="preserve">These are detailed in </w:t>
      </w:r>
      <w:r w:rsidRPr="00D6004A">
        <w:rPr>
          <w:i/>
        </w:rPr>
        <w:t>CER1</w:t>
      </w:r>
      <w:r>
        <w:t>.</w:t>
      </w:r>
    </w:p>
    <w:p w:rsidR="00146262" w:rsidRPr="008F73B4" w:rsidRDefault="00146262" w:rsidP="00CD13AD">
      <w:pPr>
        <w:pStyle w:val="Heading4"/>
      </w:pPr>
      <w:bookmarkStart w:id="110" w:name="_Toc241374325"/>
      <w:bookmarkStart w:id="111" w:name="_Ref272333477"/>
      <w:bookmarkStart w:id="112" w:name="_Toc272414667"/>
      <w:bookmarkStart w:id="113" w:name="_Toc290846305"/>
      <w:bookmarkStart w:id="114" w:name="_Toc327360253"/>
      <w:r>
        <w:t>Discontinuation due to adverse events</w:t>
      </w:r>
      <w:bookmarkEnd w:id="110"/>
      <w:bookmarkEnd w:id="111"/>
      <w:bookmarkEnd w:id="112"/>
      <w:bookmarkEnd w:id="113"/>
      <w:bookmarkEnd w:id="114"/>
    </w:p>
    <w:p w:rsidR="00146262" w:rsidRDefault="00146262" w:rsidP="00CD13AD">
      <w:pPr>
        <w:pStyle w:val="Heading5"/>
      </w:pPr>
      <w:r>
        <w:t>Study AZA-2002-BA-002</w:t>
      </w:r>
    </w:p>
    <w:p w:rsidR="00146262" w:rsidRDefault="00146262" w:rsidP="00146262">
      <w:pPr>
        <w:autoSpaceDE w:val="0"/>
        <w:autoSpaceDN w:val="0"/>
        <w:adjustRightInd w:val="0"/>
      </w:pPr>
      <w:r>
        <w:t>None.</w:t>
      </w:r>
    </w:p>
    <w:p w:rsidR="00146262" w:rsidRDefault="00146262" w:rsidP="00CD13AD">
      <w:pPr>
        <w:pStyle w:val="Heading5"/>
      </w:pPr>
      <w:r>
        <w:t xml:space="preserve">Study </w:t>
      </w:r>
      <w:r w:rsidRPr="00FF43ED">
        <w:t>CALGB 8421</w:t>
      </w:r>
    </w:p>
    <w:p w:rsidR="00D6004A" w:rsidRDefault="00D6004A" w:rsidP="00D6004A">
      <w:pPr>
        <w:autoSpaceDE w:val="0"/>
        <w:autoSpaceDN w:val="0"/>
        <w:adjustRightInd w:val="0"/>
      </w:pPr>
      <w:bookmarkStart w:id="115" w:name="_Toc241374321"/>
      <w:bookmarkStart w:id="116" w:name="_Ref271044780"/>
      <w:bookmarkStart w:id="117" w:name="_Ref271196640"/>
      <w:bookmarkStart w:id="118" w:name="_Ref272333085"/>
      <w:bookmarkStart w:id="119" w:name="_Toc272414668"/>
      <w:bookmarkStart w:id="120" w:name="_Toc290846306"/>
      <w:bookmarkStart w:id="121" w:name="_Toc327360254"/>
      <w:r>
        <w:t xml:space="preserve">These are detailed in </w:t>
      </w:r>
      <w:r w:rsidRPr="00D6004A">
        <w:rPr>
          <w:i/>
        </w:rPr>
        <w:t>CER1</w:t>
      </w:r>
      <w:r>
        <w:t>.</w:t>
      </w:r>
    </w:p>
    <w:p w:rsidR="00146262" w:rsidRDefault="00146262" w:rsidP="00CD13AD">
      <w:pPr>
        <w:pStyle w:val="Heading3"/>
      </w:pPr>
      <w:bookmarkStart w:id="122" w:name="_Toc362534162"/>
      <w:r>
        <w:t>Laboratory tests</w:t>
      </w:r>
      <w:bookmarkEnd w:id="115"/>
      <w:bookmarkEnd w:id="116"/>
      <w:bookmarkEnd w:id="117"/>
      <w:bookmarkEnd w:id="118"/>
      <w:bookmarkEnd w:id="119"/>
      <w:bookmarkEnd w:id="120"/>
      <w:bookmarkEnd w:id="121"/>
      <w:bookmarkEnd w:id="122"/>
    </w:p>
    <w:p w:rsidR="00146262" w:rsidRDefault="00146262" w:rsidP="00CD13AD">
      <w:pPr>
        <w:pStyle w:val="Heading5"/>
      </w:pPr>
      <w:r>
        <w:t>Study AZA-2002-BA-002</w:t>
      </w:r>
    </w:p>
    <w:p w:rsidR="00D6004A" w:rsidRDefault="00D6004A" w:rsidP="00D6004A">
      <w:pPr>
        <w:autoSpaceDE w:val="0"/>
        <w:autoSpaceDN w:val="0"/>
        <w:adjustRightInd w:val="0"/>
      </w:pPr>
      <w:r>
        <w:t>See Section 7.3.1 (above).</w:t>
      </w:r>
    </w:p>
    <w:p w:rsidR="00146262" w:rsidRDefault="00146262" w:rsidP="00CD13AD">
      <w:pPr>
        <w:pStyle w:val="Heading5"/>
      </w:pPr>
      <w:r>
        <w:t xml:space="preserve">Study </w:t>
      </w:r>
      <w:r w:rsidRPr="00FF43ED">
        <w:t>CALGB 8421</w:t>
      </w:r>
    </w:p>
    <w:p w:rsidR="00D6004A" w:rsidRDefault="00D6004A" w:rsidP="00D6004A">
      <w:pPr>
        <w:autoSpaceDE w:val="0"/>
        <w:autoSpaceDN w:val="0"/>
        <w:adjustRightInd w:val="0"/>
      </w:pPr>
      <w:bookmarkStart w:id="123" w:name="_Toc241374326"/>
      <w:bookmarkStart w:id="124" w:name="_Ref272333048"/>
      <w:bookmarkStart w:id="125" w:name="_Toc272414679"/>
      <w:bookmarkStart w:id="126" w:name="_Toc290846317"/>
      <w:bookmarkStart w:id="127" w:name="_Toc327360255"/>
      <w:r>
        <w:t xml:space="preserve">These are detailed in </w:t>
      </w:r>
      <w:r w:rsidRPr="00D6004A">
        <w:rPr>
          <w:i/>
        </w:rPr>
        <w:t>CER1</w:t>
      </w:r>
      <w:r>
        <w:t>.</w:t>
      </w:r>
    </w:p>
    <w:p w:rsidR="00146262" w:rsidRDefault="00146262" w:rsidP="00CD13AD">
      <w:pPr>
        <w:pStyle w:val="Heading3"/>
      </w:pPr>
      <w:bookmarkStart w:id="128" w:name="_Toc362534163"/>
      <w:r>
        <w:t>Post-marketing experience</w:t>
      </w:r>
      <w:bookmarkEnd w:id="123"/>
      <w:bookmarkEnd w:id="124"/>
      <w:bookmarkEnd w:id="125"/>
      <w:bookmarkEnd w:id="126"/>
      <w:bookmarkEnd w:id="127"/>
      <w:bookmarkEnd w:id="128"/>
    </w:p>
    <w:p w:rsidR="00146262" w:rsidRDefault="00146262" w:rsidP="00146262">
      <w:pPr>
        <w:autoSpaceDE w:val="0"/>
        <w:autoSpaceDN w:val="0"/>
        <w:adjustRightInd w:val="0"/>
      </w:pPr>
      <w:r>
        <w:t>None reported. This is surprising, in view of the fact that IV use of the drug was approve</w:t>
      </w:r>
      <w:r w:rsidR="009C0832">
        <w:t>d in the US</w:t>
      </w:r>
      <w:r w:rsidR="00636CC3">
        <w:t xml:space="preserve"> over 5 years ago. The evaluator</w:t>
      </w:r>
      <w:r>
        <w:t xml:space="preserve"> expect</w:t>
      </w:r>
      <w:r w:rsidR="00636CC3">
        <w:t>s</w:t>
      </w:r>
      <w:r>
        <w:t xml:space="preserve"> that properly assembled data accruing from experience with IV administration following such approval would provide a far better basis for assessment than the material contained in the present dossier.</w:t>
      </w:r>
    </w:p>
    <w:p w:rsidR="00146262" w:rsidRDefault="00146262" w:rsidP="00CD13AD">
      <w:pPr>
        <w:pStyle w:val="Heading3"/>
      </w:pPr>
      <w:bookmarkStart w:id="129" w:name="_Toc241374328"/>
      <w:bookmarkStart w:id="130" w:name="_Toc272414691"/>
      <w:bookmarkStart w:id="131" w:name="_Toc290846329"/>
      <w:bookmarkStart w:id="132" w:name="_Ref324789063"/>
      <w:bookmarkStart w:id="133" w:name="_Ref324791375"/>
      <w:bookmarkStart w:id="134" w:name="_Toc327360256"/>
      <w:bookmarkStart w:id="135" w:name="_Toc362534164"/>
      <w:r>
        <w:t>Evaluator’s overall conclusions on clinical safety</w:t>
      </w:r>
      <w:bookmarkEnd w:id="129"/>
      <w:bookmarkEnd w:id="130"/>
      <w:bookmarkEnd w:id="131"/>
      <w:bookmarkEnd w:id="132"/>
      <w:bookmarkEnd w:id="133"/>
      <w:bookmarkEnd w:id="134"/>
      <w:bookmarkEnd w:id="135"/>
    </w:p>
    <w:p w:rsidR="00146262" w:rsidRDefault="00146262" w:rsidP="00146262">
      <w:pPr>
        <w:autoSpaceDE w:val="0"/>
        <w:autoSpaceDN w:val="0"/>
        <w:adjustRightInd w:val="0"/>
      </w:pPr>
      <w:r>
        <w:t xml:space="preserve">In my opinion, no valid conclusion can be drawn from the data reproduced </w:t>
      </w:r>
      <w:r w:rsidR="00FB287A">
        <w:t xml:space="preserve">in Tables 6 and 7 </w:t>
      </w:r>
      <w:r>
        <w:t>regarding the relative safety or tolerability of the approved SC mode of administration and the proposed IV mode, for the following reasons:</w:t>
      </w:r>
    </w:p>
    <w:p w:rsidR="00146262" w:rsidRDefault="00146262" w:rsidP="00CD13AD">
      <w:pPr>
        <w:pStyle w:val="ListBullet"/>
      </w:pPr>
      <w:r>
        <w:t>the studies involved different designs and populations, with Study 8421 (for example) including higher risk patients;</w:t>
      </w:r>
    </w:p>
    <w:p w:rsidR="00146262" w:rsidRDefault="00146262" w:rsidP="00CD13AD">
      <w:pPr>
        <w:pStyle w:val="ListBullet"/>
      </w:pPr>
      <w:r>
        <w:t>the duration of IV administration in Study 8421 was not similar to that now proposed; and</w:t>
      </w:r>
    </w:p>
    <w:p w:rsidR="00146262" w:rsidRDefault="00146262" w:rsidP="00CD13AD">
      <w:pPr>
        <w:pStyle w:val="ListBullet"/>
      </w:pPr>
      <w:r>
        <w:lastRenderedPageBreak/>
        <w:t>Study 8421 was small.</w:t>
      </w:r>
    </w:p>
    <w:p w:rsidR="00146262" w:rsidRDefault="00146262" w:rsidP="00146262">
      <w:pPr>
        <w:autoSpaceDE w:val="0"/>
        <w:autoSpaceDN w:val="0"/>
        <w:adjustRightInd w:val="0"/>
      </w:pPr>
      <w:r>
        <w:t xml:space="preserve">The only available clinical data relating to safety and tolerability of the proposed 10-40 min IV infusion are from Study </w:t>
      </w:r>
      <w:r w:rsidRPr="00A97D45">
        <w:t>AZA-2002-BA-002</w:t>
      </w:r>
      <w:r>
        <w:t xml:space="preserve">, in which 6 patients were each treated once IV over 10 minutes. This is not, in my opinion, an adequate basis for assessment, but the </w:t>
      </w:r>
      <w:proofErr w:type="spellStart"/>
      <w:r>
        <w:t>C</w:t>
      </w:r>
      <w:r w:rsidRPr="00F34763">
        <w:rPr>
          <w:vertAlign w:val="subscript"/>
        </w:rPr>
        <w:t>max</w:t>
      </w:r>
      <w:proofErr w:type="spellEnd"/>
      <w:r>
        <w:t xml:space="preserve"> values (which were on average over 3 times higher with the IV than with SC administration) raise concern.</w:t>
      </w:r>
    </w:p>
    <w:p w:rsidR="00C22678" w:rsidRDefault="00C22678" w:rsidP="00C22678">
      <w:pPr>
        <w:pStyle w:val="Heading2"/>
      </w:pPr>
      <w:bookmarkStart w:id="136" w:name="_Toc362534165"/>
      <w:r>
        <w:t>First round benefit-risk assessment</w:t>
      </w:r>
      <w:bookmarkEnd w:id="136"/>
    </w:p>
    <w:p w:rsidR="000823A8" w:rsidRDefault="000823A8" w:rsidP="000823A8">
      <w:pPr>
        <w:pStyle w:val="Heading3"/>
      </w:pPr>
      <w:bookmarkStart w:id="137" w:name="_Toc236802592"/>
      <w:bookmarkStart w:id="138" w:name="_Toc241374331"/>
      <w:bookmarkStart w:id="139" w:name="_Ref272160836"/>
      <w:bookmarkStart w:id="140" w:name="_Toc272414693"/>
      <w:bookmarkStart w:id="141" w:name="_Toc290846331"/>
      <w:bookmarkStart w:id="142" w:name="_Toc327360258"/>
      <w:bookmarkStart w:id="143" w:name="_Toc362534166"/>
      <w:r>
        <w:t>First round assessment of benefits</w:t>
      </w:r>
      <w:bookmarkEnd w:id="137"/>
      <w:bookmarkEnd w:id="138"/>
      <w:bookmarkEnd w:id="139"/>
      <w:bookmarkEnd w:id="140"/>
      <w:bookmarkEnd w:id="141"/>
      <w:bookmarkEnd w:id="142"/>
      <w:bookmarkEnd w:id="143"/>
    </w:p>
    <w:p w:rsidR="000823A8" w:rsidRDefault="000823A8" w:rsidP="000823A8">
      <w:r>
        <w:t>The benefits of the proposed method of administration cannot be assessed from the available information.</w:t>
      </w:r>
    </w:p>
    <w:p w:rsidR="000823A8" w:rsidRDefault="000823A8" w:rsidP="000823A8">
      <w:pPr>
        <w:pStyle w:val="Heading3"/>
      </w:pPr>
      <w:bookmarkStart w:id="144" w:name="_Toc236802596"/>
      <w:bookmarkStart w:id="145" w:name="_Toc241374334"/>
      <w:bookmarkStart w:id="146" w:name="_Ref272160964"/>
      <w:bookmarkStart w:id="147" w:name="_Toc272414694"/>
      <w:bookmarkStart w:id="148" w:name="_Toc290846332"/>
      <w:bookmarkStart w:id="149" w:name="_Toc327360259"/>
      <w:bookmarkStart w:id="150" w:name="_Toc362534167"/>
      <w:r>
        <w:t>First round assessment of risks</w:t>
      </w:r>
      <w:bookmarkEnd w:id="144"/>
      <w:bookmarkEnd w:id="145"/>
      <w:bookmarkEnd w:id="146"/>
      <w:bookmarkEnd w:id="147"/>
      <w:bookmarkEnd w:id="148"/>
      <w:bookmarkEnd w:id="149"/>
      <w:bookmarkEnd w:id="150"/>
    </w:p>
    <w:p w:rsidR="000823A8" w:rsidRDefault="000823A8" w:rsidP="000823A8">
      <w:r>
        <w:t>The risks of the proposed method of administration cannot be assessed from the available information.</w:t>
      </w:r>
    </w:p>
    <w:p w:rsidR="000823A8" w:rsidRDefault="000823A8" w:rsidP="000823A8">
      <w:pPr>
        <w:pStyle w:val="Heading3"/>
      </w:pPr>
      <w:bookmarkStart w:id="151" w:name="_Toc236802597"/>
      <w:bookmarkStart w:id="152" w:name="_Toc241374335"/>
      <w:bookmarkStart w:id="153" w:name="_Toc272414695"/>
      <w:bookmarkStart w:id="154" w:name="_Toc290846333"/>
      <w:bookmarkStart w:id="155" w:name="_Toc327360260"/>
      <w:bookmarkStart w:id="156" w:name="_Toc362534168"/>
      <w:r>
        <w:t>First round assessment of benefit-risk balance</w:t>
      </w:r>
      <w:bookmarkEnd w:id="151"/>
      <w:bookmarkEnd w:id="152"/>
      <w:bookmarkEnd w:id="153"/>
      <w:bookmarkEnd w:id="154"/>
      <w:bookmarkEnd w:id="155"/>
      <w:bookmarkEnd w:id="156"/>
    </w:p>
    <w:p w:rsidR="000823A8" w:rsidRDefault="000823A8" w:rsidP="000823A8">
      <w:r>
        <w:t>The benefit-risk balance cannot be assessed.</w:t>
      </w:r>
    </w:p>
    <w:p w:rsidR="00C22678" w:rsidRDefault="00C22678" w:rsidP="00C22678">
      <w:pPr>
        <w:pStyle w:val="Heading2"/>
      </w:pPr>
      <w:bookmarkStart w:id="157" w:name="_Toc362534169"/>
      <w:r>
        <w:t>First round recommendation regarding authorisation</w:t>
      </w:r>
      <w:bookmarkEnd w:id="157"/>
    </w:p>
    <w:p w:rsidR="000823A8" w:rsidRDefault="000823A8" w:rsidP="000823A8">
      <w:r>
        <w:t>The evaluator recommends that the application for approval of the specified IV administration should be refused.</w:t>
      </w:r>
    </w:p>
    <w:p w:rsidR="00C22678" w:rsidRDefault="00C22678" w:rsidP="00C22678">
      <w:pPr>
        <w:pStyle w:val="Heading2"/>
      </w:pPr>
      <w:bookmarkStart w:id="158" w:name="_Toc362534170"/>
      <w:r>
        <w:t>Clinical questions</w:t>
      </w:r>
      <w:bookmarkEnd w:id="158"/>
    </w:p>
    <w:p w:rsidR="00C618F7" w:rsidRDefault="00C618F7" w:rsidP="00C618F7">
      <w:pPr>
        <w:pStyle w:val="Heading3"/>
      </w:pPr>
      <w:bookmarkStart w:id="159" w:name="_Toc362534171"/>
      <w:r>
        <w:t>Safety</w:t>
      </w:r>
      <w:bookmarkEnd w:id="159"/>
    </w:p>
    <w:p w:rsidR="000823A8" w:rsidRPr="000D043B" w:rsidRDefault="000823A8" w:rsidP="000823A8">
      <w:r>
        <w:t xml:space="preserve">The evaluator does not consider it worthwhile to pursue further the results of </w:t>
      </w:r>
      <w:r w:rsidRPr="000D043B">
        <w:t>Study CALGB 8421</w:t>
      </w:r>
      <w:r>
        <w:t xml:space="preserve">. If this opinion is not accepted, the sponsor might be asked to obtain further information relating to the preparation and administration of </w:t>
      </w:r>
      <w:proofErr w:type="spellStart"/>
      <w:r>
        <w:t>azacitidine</w:t>
      </w:r>
      <w:proofErr w:type="spellEnd"/>
      <w:r>
        <w:t xml:space="preserve"> in </w:t>
      </w:r>
      <w:r w:rsidRPr="000D043B">
        <w:t>Study CALGB 8421</w:t>
      </w:r>
      <w:r>
        <w:t>, specifically relating to whether the solution may have been further diluted and infused over a period &gt; 4 h.</w:t>
      </w:r>
    </w:p>
    <w:p w:rsidR="00C618F7" w:rsidRDefault="00C618F7" w:rsidP="00C618F7">
      <w:pPr>
        <w:pStyle w:val="Heading2"/>
      </w:pPr>
      <w:bookmarkStart w:id="160" w:name="_Toc362534172"/>
      <w:r>
        <w:t>References</w:t>
      </w:r>
      <w:bookmarkEnd w:id="160"/>
    </w:p>
    <w:bookmarkEnd w:id="0"/>
    <w:bookmarkEnd w:id="1"/>
    <w:bookmarkEnd w:id="2"/>
    <w:p w:rsidR="000B279B" w:rsidRPr="000A0598" w:rsidRDefault="000B279B" w:rsidP="000B279B">
      <w:r w:rsidRPr="000A0598">
        <w:t xml:space="preserve">European </w:t>
      </w:r>
      <w:r>
        <w:t xml:space="preserve">Medicines </w:t>
      </w:r>
      <w:r w:rsidRPr="000A0598">
        <w:t xml:space="preserve">Agency </w:t>
      </w:r>
      <w:r>
        <w:t>(EMA). 2007</w:t>
      </w:r>
      <w:r w:rsidRPr="000A0598">
        <w:t xml:space="preserve">. </w:t>
      </w:r>
      <w:r>
        <w:rPr>
          <w:i/>
        </w:rPr>
        <w:t>Guideline</w:t>
      </w:r>
      <w:r w:rsidRPr="000A0598">
        <w:rPr>
          <w:i/>
        </w:rPr>
        <w:t xml:space="preserve"> on </w:t>
      </w:r>
      <w:r>
        <w:rPr>
          <w:i/>
        </w:rPr>
        <w:t>Reporting the Results of Population Pharmacokinetic Analyses</w:t>
      </w:r>
      <w:r w:rsidRPr="000A0598">
        <w:rPr>
          <w:i/>
        </w:rPr>
        <w:t>.</w:t>
      </w:r>
      <w:r w:rsidRPr="000A0598">
        <w:t xml:space="preserve"> Document CPMP/EWP/ </w:t>
      </w:r>
      <w:r>
        <w:t>185990</w:t>
      </w:r>
      <w:r w:rsidRPr="000A0598">
        <w:t>/</w:t>
      </w:r>
      <w:r>
        <w:t>06</w:t>
      </w:r>
      <w:r w:rsidRPr="000A0598">
        <w:t>.</w:t>
      </w:r>
    </w:p>
    <w:p w:rsidR="000B279B" w:rsidRPr="00684761" w:rsidRDefault="000B279B" w:rsidP="000B279B">
      <w:pPr>
        <w:rPr>
          <w:i/>
          <w:sz w:val="24"/>
        </w:rPr>
      </w:pPr>
      <w:r w:rsidRPr="00684761">
        <w:rPr>
          <w:sz w:val="24"/>
        </w:rPr>
        <w:t>FDA. 1999.</w:t>
      </w:r>
      <w:r w:rsidRPr="00684761">
        <w:rPr>
          <w:i/>
          <w:sz w:val="24"/>
        </w:rPr>
        <w:t xml:space="preserve"> Guidance for Industry. Population Pharmacokinetics.</w:t>
      </w:r>
    </w:p>
    <w:p w:rsidR="000B279B" w:rsidRDefault="000B279B" w:rsidP="000B279B">
      <w:r>
        <w:t xml:space="preserve">Silverman L et al (1989). </w:t>
      </w:r>
      <w:r w:rsidRPr="00DA5BD2">
        <w:t>5-Azacytidine (AZ) as a low dose continuous infusion is an effective therapy for patients with</w:t>
      </w:r>
      <w:r>
        <w:t xml:space="preserve"> </w:t>
      </w:r>
      <w:proofErr w:type="spellStart"/>
      <w:r w:rsidRPr="00DA5BD2">
        <w:t>myelodysplastic</w:t>
      </w:r>
      <w:proofErr w:type="spellEnd"/>
      <w:r w:rsidRPr="00DA5BD2">
        <w:t xml:space="preserve"> syndromes (MDS). </w:t>
      </w:r>
      <w:r w:rsidRPr="00DA5BD2">
        <w:rPr>
          <w:i/>
        </w:rPr>
        <w:t xml:space="preserve">Proc Am Soc </w:t>
      </w:r>
      <w:proofErr w:type="spellStart"/>
      <w:r w:rsidRPr="00DA5BD2">
        <w:rPr>
          <w:i/>
        </w:rPr>
        <w:t>Clin</w:t>
      </w:r>
      <w:proofErr w:type="spellEnd"/>
      <w:r w:rsidRPr="00DA5BD2">
        <w:rPr>
          <w:i/>
        </w:rPr>
        <w:t xml:space="preserve"> </w:t>
      </w:r>
      <w:proofErr w:type="spellStart"/>
      <w:r w:rsidRPr="00DA5BD2">
        <w:rPr>
          <w:i/>
        </w:rPr>
        <w:t>Oncol</w:t>
      </w:r>
      <w:proofErr w:type="spellEnd"/>
      <w:r>
        <w:t xml:space="preserve"> </w:t>
      </w:r>
      <w:r w:rsidRPr="00DA5BD2">
        <w:t>8(769):198.</w:t>
      </w:r>
      <w:r>
        <w:t xml:space="preserve"> </w:t>
      </w:r>
    </w:p>
    <w:p w:rsidR="000B279B" w:rsidRDefault="000B279B" w:rsidP="000B279B">
      <w:r>
        <w:lastRenderedPageBreak/>
        <w:t xml:space="preserve">Silverman LR et al (1990). </w:t>
      </w:r>
      <w:r w:rsidRPr="00DA5BD2">
        <w:t>Low dose</w:t>
      </w:r>
      <w:r>
        <w:t xml:space="preserve"> </w:t>
      </w:r>
      <w:r w:rsidRPr="00DA5BD2">
        <w:t xml:space="preserve">continuous infusion </w:t>
      </w:r>
      <w:proofErr w:type="spellStart"/>
      <w:r w:rsidRPr="00DA5BD2">
        <w:t>azacytidine</w:t>
      </w:r>
      <w:proofErr w:type="spellEnd"/>
      <w:r w:rsidRPr="00DA5BD2">
        <w:t xml:space="preserve"> an effective therapy for patients with </w:t>
      </w:r>
      <w:proofErr w:type="spellStart"/>
      <w:r w:rsidRPr="00DA5BD2">
        <w:t>myelodysplastic</w:t>
      </w:r>
      <w:proofErr w:type="spellEnd"/>
      <w:r>
        <w:t xml:space="preserve"> </w:t>
      </w:r>
      <w:r w:rsidRPr="00DA5BD2">
        <w:t xml:space="preserve">syndromes a study of the Cancer and </w:t>
      </w:r>
      <w:proofErr w:type="spellStart"/>
      <w:r w:rsidRPr="00DA5BD2">
        <w:t>Leukemia</w:t>
      </w:r>
      <w:proofErr w:type="spellEnd"/>
      <w:r w:rsidRPr="00DA5BD2">
        <w:t xml:space="preserve"> Group B. </w:t>
      </w:r>
      <w:r w:rsidRPr="00E81AFE">
        <w:rPr>
          <w:i/>
        </w:rPr>
        <w:t xml:space="preserve">J Cancer Res </w:t>
      </w:r>
      <w:proofErr w:type="spellStart"/>
      <w:r w:rsidRPr="00E81AFE">
        <w:rPr>
          <w:i/>
        </w:rPr>
        <w:t>Clin</w:t>
      </w:r>
      <w:proofErr w:type="spellEnd"/>
      <w:r w:rsidRPr="00E81AFE">
        <w:rPr>
          <w:i/>
        </w:rPr>
        <w:t xml:space="preserve"> </w:t>
      </w:r>
      <w:proofErr w:type="spellStart"/>
      <w:r w:rsidRPr="00E81AFE">
        <w:rPr>
          <w:i/>
        </w:rPr>
        <w:t>Oncol</w:t>
      </w:r>
      <w:proofErr w:type="spellEnd"/>
      <w:r w:rsidRPr="00E81AFE">
        <w:rPr>
          <w:i/>
        </w:rPr>
        <w:t xml:space="preserve"> </w:t>
      </w:r>
      <w:r w:rsidRPr="00DA5BD2">
        <w:t>16(</w:t>
      </w:r>
      <w:proofErr w:type="spellStart"/>
      <w:r w:rsidRPr="00DA5BD2">
        <w:t>Suppl</w:t>
      </w:r>
      <w:proofErr w:type="spellEnd"/>
      <w:r w:rsidRPr="00DA5BD2">
        <w:t>, Pt. 2):816.</w:t>
      </w:r>
      <w:r>
        <w:t xml:space="preserve">  </w:t>
      </w:r>
    </w:p>
    <w:p w:rsidR="000B279B" w:rsidRDefault="000B279B" w:rsidP="000B279B">
      <w:r>
        <w:t xml:space="preserve">Silverman LR et al (1993).  </w:t>
      </w:r>
      <w:r w:rsidRPr="00DA5BD2">
        <w:t>Effects of</w:t>
      </w:r>
      <w:r>
        <w:t xml:space="preserve"> </w:t>
      </w:r>
      <w:r w:rsidRPr="00DA5BD2">
        <w:t xml:space="preserve">treatment with 5-azacytidine on the in vivo and in vitro </w:t>
      </w:r>
      <w:proofErr w:type="spellStart"/>
      <w:r w:rsidRPr="00DA5BD2">
        <w:t>hematopoiesis</w:t>
      </w:r>
      <w:proofErr w:type="spellEnd"/>
      <w:r w:rsidRPr="00DA5BD2">
        <w:t xml:space="preserve"> in patients with</w:t>
      </w:r>
      <w:r>
        <w:t xml:space="preserve"> </w:t>
      </w:r>
      <w:proofErr w:type="spellStart"/>
      <w:r w:rsidRPr="00DA5BD2">
        <w:t>myelodysplastic</w:t>
      </w:r>
      <w:proofErr w:type="spellEnd"/>
      <w:r w:rsidRPr="00DA5BD2">
        <w:t xml:space="preserve"> syndromes. </w:t>
      </w:r>
      <w:proofErr w:type="spellStart"/>
      <w:r w:rsidRPr="00DA5BD2">
        <w:rPr>
          <w:i/>
        </w:rPr>
        <w:t>Leukemia</w:t>
      </w:r>
      <w:proofErr w:type="spellEnd"/>
      <w:r>
        <w:t xml:space="preserve"> </w:t>
      </w:r>
      <w:r w:rsidRPr="00DA5BD2">
        <w:t>7(</w:t>
      </w:r>
      <w:proofErr w:type="spellStart"/>
      <w:r w:rsidRPr="00DA5BD2">
        <w:t>Suppl</w:t>
      </w:r>
      <w:proofErr w:type="spellEnd"/>
      <w:r w:rsidRPr="00DA5BD2">
        <w:t xml:space="preserve"> 1):21-9.</w:t>
      </w:r>
    </w:p>
    <w:p w:rsidR="000B279B" w:rsidRDefault="000B279B" w:rsidP="000B279B">
      <w:r>
        <w:t xml:space="preserve">Silverman LR et al (1993a). </w:t>
      </w:r>
      <w:proofErr w:type="spellStart"/>
      <w:r w:rsidRPr="00E81AFE">
        <w:t>Azacytidine</w:t>
      </w:r>
      <w:proofErr w:type="spellEnd"/>
      <w:r w:rsidRPr="00E81AFE">
        <w:t xml:space="preserve"> (</w:t>
      </w:r>
      <w:proofErr w:type="spellStart"/>
      <w:r w:rsidRPr="00E81AFE">
        <w:t>Aza</w:t>
      </w:r>
      <w:proofErr w:type="spellEnd"/>
      <w:r w:rsidRPr="00E81AFE">
        <w:t xml:space="preserve"> C) in </w:t>
      </w:r>
      <w:proofErr w:type="spellStart"/>
      <w:r w:rsidRPr="00E81AFE">
        <w:t>myelodysplastic</w:t>
      </w:r>
      <w:proofErr w:type="spellEnd"/>
      <w:r w:rsidRPr="00E81AFE">
        <w:t xml:space="preserve"> synd</w:t>
      </w:r>
      <w:r>
        <w:t xml:space="preserve">romes (MDS). </w:t>
      </w:r>
      <w:r w:rsidRPr="00E81AFE">
        <w:rPr>
          <w:i/>
        </w:rPr>
        <w:t>Cancer Invest</w:t>
      </w:r>
      <w:r>
        <w:t xml:space="preserve"> </w:t>
      </w:r>
      <w:r w:rsidRPr="00E81AFE">
        <w:t>11(</w:t>
      </w:r>
      <w:proofErr w:type="spellStart"/>
      <w:r w:rsidRPr="00E81AFE">
        <w:t>Suppl</w:t>
      </w:r>
      <w:proofErr w:type="spellEnd"/>
      <w:r w:rsidRPr="00E81AFE">
        <w:t>):</w:t>
      </w:r>
      <w:r>
        <w:t xml:space="preserve"> </w:t>
      </w:r>
      <w:r w:rsidRPr="00E81AFE">
        <w:t>52, Abstract 42.</w:t>
      </w:r>
      <w:r>
        <w:t xml:space="preserve">  </w:t>
      </w:r>
    </w:p>
    <w:p w:rsidR="000B279B" w:rsidRDefault="000B279B" w:rsidP="000B279B">
      <w:r>
        <w:t xml:space="preserve">Silverman LR et al (1994). </w:t>
      </w:r>
      <w:proofErr w:type="spellStart"/>
      <w:r w:rsidRPr="00DA5BD2">
        <w:t>Azacytidine</w:t>
      </w:r>
      <w:proofErr w:type="spellEnd"/>
      <w:r w:rsidRPr="00DA5BD2">
        <w:t xml:space="preserve"> (</w:t>
      </w:r>
      <w:proofErr w:type="spellStart"/>
      <w:r w:rsidRPr="00DA5BD2">
        <w:t>Aza</w:t>
      </w:r>
      <w:proofErr w:type="spellEnd"/>
      <w:r w:rsidRPr="00DA5BD2">
        <w:t xml:space="preserve"> C) in </w:t>
      </w:r>
      <w:proofErr w:type="spellStart"/>
      <w:r w:rsidRPr="00DA5BD2">
        <w:t>myelodysplastic</w:t>
      </w:r>
      <w:proofErr w:type="spellEnd"/>
      <w:r w:rsidRPr="00DA5BD2">
        <w:t xml:space="preserve"> syndromes (MDS), CALGB studies 8421 and 8921.</w:t>
      </w:r>
      <w:r>
        <w:t xml:space="preserve"> </w:t>
      </w:r>
      <w:r w:rsidRPr="00DA5BD2">
        <w:rPr>
          <w:i/>
        </w:rPr>
        <w:t xml:space="preserve">Ann </w:t>
      </w:r>
      <w:proofErr w:type="spellStart"/>
      <w:r w:rsidRPr="00DA5BD2">
        <w:rPr>
          <w:i/>
        </w:rPr>
        <w:t>Hematol</w:t>
      </w:r>
      <w:proofErr w:type="spellEnd"/>
      <w:r>
        <w:t xml:space="preserve"> </w:t>
      </w:r>
      <w:r w:rsidRPr="00DA5BD2">
        <w:t>68(2):A12, Abstract 46.</w:t>
      </w:r>
      <w:r>
        <w:t xml:space="preserve">  </w:t>
      </w:r>
    </w:p>
    <w:p w:rsidR="000B279B" w:rsidRDefault="000B279B" w:rsidP="000B279B">
      <w:r>
        <w:t xml:space="preserve">Silverman L (2000). </w:t>
      </w:r>
      <w:r w:rsidRPr="00DA5BD2">
        <w:t xml:space="preserve">The role of </w:t>
      </w:r>
      <w:proofErr w:type="spellStart"/>
      <w:r w:rsidRPr="00DA5BD2">
        <w:t>azacitidine</w:t>
      </w:r>
      <w:proofErr w:type="spellEnd"/>
      <w:r w:rsidRPr="00DA5BD2">
        <w:t xml:space="preserve"> in the treatment of the </w:t>
      </w:r>
      <w:proofErr w:type="spellStart"/>
      <w:r w:rsidRPr="00DA5BD2">
        <w:t>myelodysplastic</w:t>
      </w:r>
      <w:proofErr w:type="spellEnd"/>
      <w:r w:rsidRPr="00DA5BD2">
        <w:t xml:space="preserve"> syndrome.</w:t>
      </w:r>
      <w:r>
        <w:t xml:space="preserve"> </w:t>
      </w:r>
      <w:r w:rsidRPr="00DA5BD2">
        <w:t>[abstract]. ASH meeting.</w:t>
      </w:r>
      <w:r>
        <w:t xml:space="preserve">  </w:t>
      </w:r>
    </w:p>
    <w:p w:rsidR="000B279B" w:rsidRDefault="000B279B" w:rsidP="000B279B">
      <w:r>
        <w:t xml:space="preserve">Silverman L (2001). </w:t>
      </w:r>
      <w:r w:rsidRPr="00DA5BD2">
        <w:t xml:space="preserve">The role of </w:t>
      </w:r>
      <w:proofErr w:type="spellStart"/>
      <w:r w:rsidRPr="00DA5BD2">
        <w:t>azacitidine</w:t>
      </w:r>
      <w:proofErr w:type="spellEnd"/>
      <w:r w:rsidRPr="00DA5BD2">
        <w:t xml:space="preserve"> in the treatment of the </w:t>
      </w:r>
      <w:proofErr w:type="spellStart"/>
      <w:r w:rsidRPr="00DA5BD2">
        <w:t>myelodysplastic</w:t>
      </w:r>
      <w:proofErr w:type="spellEnd"/>
      <w:r w:rsidRPr="00DA5BD2">
        <w:t xml:space="preserve"> syndrome</w:t>
      </w:r>
      <w:r>
        <w:t xml:space="preserve"> </w:t>
      </w:r>
      <w:r w:rsidRPr="00DA5BD2">
        <w:t>[ab</w:t>
      </w:r>
      <w:r>
        <w:t xml:space="preserve">stract Or36]. </w:t>
      </w:r>
      <w:proofErr w:type="spellStart"/>
      <w:r w:rsidRPr="00DA5BD2">
        <w:rPr>
          <w:i/>
        </w:rPr>
        <w:t>Leukemia</w:t>
      </w:r>
      <w:proofErr w:type="spellEnd"/>
      <w:r w:rsidRPr="00DA5BD2">
        <w:rPr>
          <w:i/>
        </w:rPr>
        <w:t xml:space="preserve"> Res</w:t>
      </w:r>
      <w:r>
        <w:t xml:space="preserve"> </w:t>
      </w:r>
      <w:r w:rsidRPr="00DA5BD2">
        <w:t>25(</w:t>
      </w:r>
      <w:proofErr w:type="spellStart"/>
      <w:r w:rsidRPr="00DA5BD2">
        <w:t>Suppl</w:t>
      </w:r>
      <w:proofErr w:type="spellEnd"/>
      <w:r w:rsidRPr="00DA5BD2">
        <w:t xml:space="preserve"> 1):S14.</w:t>
      </w:r>
      <w:r>
        <w:t xml:space="preserve"> </w:t>
      </w:r>
    </w:p>
    <w:p w:rsidR="003D1E62" w:rsidRPr="001D043B" w:rsidRDefault="008E7846" w:rsidP="002666AC">
      <w:pPr>
        <w:sectPr w:rsidR="003D1E62" w:rsidRPr="001D043B" w:rsidSect="008D770F">
          <w:headerReference w:type="even" r:id="rId25"/>
          <w:headerReference w:type="default" r:id="rId26"/>
          <w:footerReference w:type="default" r:id="rId27"/>
          <w:headerReference w:type="first" r:id="rId28"/>
          <w:footerReference w:type="first" r:id="rId29"/>
          <w:pgSz w:w="11906" w:h="16838" w:code="9"/>
          <w:pgMar w:top="1440" w:right="1440" w:bottom="1440" w:left="1440" w:header="907" w:footer="216" w:gutter="0"/>
          <w:cols w:space="708"/>
          <w:docGrid w:linePitch="360"/>
        </w:sectPr>
      </w:pPr>
      <w:r>
        <w:br w:type="page"/>
      </w:r>
    </w:p>
    <w:p w:rsidR="00774E1D" w:rsidRPr="008A5E0B" w:rsidRDefault="00774E1D" w:rsidP="008A5E0B"/>
    <w:sectPr w:rsidR="00774E1D" w:rsidRPr="008A5E0B" w:rsidSect="008D770F">
      <w:headerReference w:type="even" r:id="rId30"/>
      <w:headerReference w:type="default" r:id="rId31"/>
      <w:footerReference w:type="default" r:id="rId32"/>
      <w:headerReference w:type="first" r:id="rId33"/>
      <w:footerReference w:type="first" r:id="rId34"/>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350" w:rsidRDefault="00B72350" w:rsidP="00C40A36">
      <w:pPr>
        <w:spacing w:after="0"/>
      </w:pPr>
      <w:r>
        <w:separator/>
      </w:r>
    </w:p>
  </w:endnote>
  <w:endnote w:type="continuationSeparator" w:id="0">
    <w:p w:rsidR="00B72350" w:rsidRDefault="00B72350"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3D3" w:rsidRDefault="006133D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6133D3" w:rsidRPr="00487162" w:rsidTr="0053625B">
      <w:trPr>
        <w:trHeight w:val="269"/>
      </w:trPr>
      <w:tc>
        <w:tcPr>
          <w:tcW w:w="7938" w:type="dxa"/>
          <w:tcMar>
            <w:top w:w="142" w:type="dxa"/>
            <w:bottom w:w="0" w:type="dxa"/>
          </w:tcMar>
        </w:tcPr>
        <w:p w:rsidR="006133D3" w:rsidRPr="00487162" w:rsidRDefault="006133D3" w:rsidP="0081345B">
          <w:pPr>
            <w:pStyle w:val="Footer"/>
          </w:pPr>
          <w:r>
            <w:t>Submission</w:t>
          </w:r>
          <w:r w:rsidRPr="00487162">
            <w:t xml:space="preserve"> </w:t>
          </w:r>
          <w:r w:rsidRPr="0081345B">
            <w:t>PM-2012-00341-3-4</w:t>
          </w:r>
          <w:r>
            <w:t xml:space="preserve"> Extract from the Clinical Evaluation Report for </w:t>
          </w:r>
          <w:proofErr w:type="spellStart"/>
          <w:r>
            <w:t>Vidaza</w:t>
          </w:r>
          <w:proofErr w:type="spellEnd"/>
        </w:p>
      </w:tc>
      <w:tc>
        <w:tcPr>
          <w:tcW w:w="923" w:type="dxa"/>
          <w:tcMar>
            <w:top w:w="142" w:type="dxa"/>
            <w:bottom w:w="0" w:type="dxa"/>
          </w:tcMar>
        </w:tcPr>
        <w:p w:rsidR="006133D3" w:rsidRPr="00487162" w:rsidRDefault="006133D3" w:rsidP="00D855D4">
          <w:pPr>
            <w:pStyle w:val="Footer"/>
            <w:jc w:val="right"/>
          </w:pPr>
          <w:r w:rsidRPr="00487162">
            <w:t xml:space="preserve">Page </w:t>
          </w:r>
          <w:r>
            <w:t>2</w:t>
          </w:r>
          <w:r w:rsidRPr="00487162">
            <w:t xml:space="preserve"> of </w:t>
          </w:r>
          <w:fldSimple w:instr=" NUMPAGES  \* Arabic ">
            <w:r w:rsidR="007856E1">
              <w:rPr>
                <w:noProof/>
              </w:rPr>
              <w:t>18</w:t>
            </w:r>
          </w:fldSimple>
        </w:p>
      </w:tc>
    </w:tr>
  </w:tbl>
  <w:p w:rsidR="006133D3" w:rsidRDefault="006133D3" w:rsidP="0043797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3D3" w:rsidRDefault="006133D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6133D3" w:rsidRPr="00487162" w:rsidTr="00586F98">
      <w:trPr>
        <w:trHeight w:val="269"/>
      </w:trPr>
      <w:tc>
        <w:tcPr>
          <w:tcW w:w="7655" w:type="dxa"/>
          <w:tcMar>
            <w:top w:w="142" w:type="dxa"/>
            <w:bottom w:w="0" w:type="dxa"/>
          </w:tcMar>
        </w:tcPr>
        <w:p w:rsidR="006133D3" w:rsidRPr="00487162" w:rsidRDefault="006133D3" w:rsidP="00D855D4">
          <w:pPr>
            <w:pStyle w:val="Footer"/>
          </w:pPr>
          <w:r>
            <w:t>Submission</w:t>
          </w:r>
          <w:r w:rsidRPr="00487162">
            <w:t xml:space="preserve"> </w:t>
          </w:r>
          <w:r w:rsidRPr="0081345B">
            <w:t>PM-2012-00341-3-4</w:t>
          </w:r>
          <w:r>
            <w:t xml:space="preserve"> Extract from the Clinical Evaluation Report for </w:t>
          </w:r>
          <w:proofErr w:type="spellStart"/>
          <w:r>
            <w:t>Vidaza</w:t>
          </w:r>
          <w:proofErr w:type="spellEnd"/>
        </w:p>
      </w:tc>
      <w:tc>
        <w:tcPr>
          <w:tcW w:w="1206" w:type="dxa"/>
          <w:tcMar>
            <w:top w:w="142" w:type="dxa"/>
            <w:bottom w:w="0" w:type="dxa"/>
          </w:tcMar>
        </w:tcPr>
        <w:p w:rsidR="006133D3" w:rsidRPr="00487162" w:rsidRDefault="006133D3" w:rsidP="00E45619">
          <w:pPr>
            <w:pStyle w:val="Footer"/>
            <w:jc w:val="right"/>
          </w:pPr>
          <w:r w:rsidRPr="00487162">
            <w:t xml:space="preserve">Page </w:t>
          </w:r>
          <w:fldSimple w:instr="PAGE">
            <w:r w:rsidR="007856E1">
              <w:rPr>
                <w:noProof/>
              </w:rPr>
              <w:t>17</w:t>
            </w:r>
          </w:fldSimple>
          <w:r w:rsidRPr="00487162">
            <w:t xml:space="preserve"> of </w:t>
          </w:r>
          <w:fldSimple w:instr=" NUMPAGES  \* Arabic ">
            <w:r w:rsidR="007856E1">
              <w:rPr>
                <w:noProof/>
              </w:rPr>
              <w:t>18</w:t>
            </w:r>
          </w:fldSimple>
        </w:p>
      </w:tc>
    </w:tr>
  </w:tbl>
  <w:p w:rsidR="006133D3" w:rsidRDefault="006133D3" w:rsidP="00E261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6133D3" w:rsidRPr="00487162" w:rsidTr="00E45619">
      <w:trPr>
        <w:trHeight w:val="269"/>
      </w:trPr>
      <w:tc>
        <w:tcPr>
          <w:tcW w:w="4519" w:type="dxa"/>
          <w:tcBorders>
            <w:top w:val="single" w:sz="4" w:space="0" w:color="auto"/>
          </w:tcBorders>
          <w:tcMar>
            <w:top w:w="142" w:type="dxa"/>
            <w:bottom w:w="0" w:type="dxa"/>
          </w:tcMar>
        </w:tcPr>
        <w:p w:rsidR="006133D3" w:rsidRPr="00487162" w:rsidRDefault="006133D3" w:rsidP="00FE1DEE">
          <w:pPr>
            <w:pStyle w:val="Footer"/>
          </w:pPr>
          <w:r w:rsidRPr="00487162">
            <w:t>Document title, Part #, Section # - Section title</w:t>
          </w:r>
        </w:p>
        <w:p w:rsidR="006133D3" w:rsidRPr="00487162" w:rsidRDefault="006133D3" w:rsidP="00FE1DEE">
          <w:pPr>
            <w:pStyle w:val="Footer"/>
          </w:pPr>
          <w:r w:rsidRPr="00487162">
            <w:t>V1.0 October 2010</w:t>
          </w:r>
        </w:p>
      </w:tc>
      <w:tc>
        <w:tcPr>
          <w:tcW w:w="4342" w:type="dxa"/>
          <w:tcBorders>
            <w:top w:val="single" w:sz="4" w:space="0" w:color="auto"/>
          </w:tcBorders>
          <w:tcMar>
            <w:top w:w="142" w:type="dxa"/>
            <w:bottom w:w="0" w:type="dxa"/>
          </w:tcMar>
        </w:tcPr>
        <w:p w:rsidR="006133D3" w:rsidRPr="00487162" w:rsidRDefault="006133D3"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6133D3" w:rsidRDefault="006133D3">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75" w:type="dxa"/>
      <w:tblInd w:w="-284" w:type="dxa"/>
      <w:tblLayout w:type="fixed"/>
      <w:tblCellMar>
        <w:left w:w="0" w:type="dxa"/>
        <w:right w:w="0" w:type="dxa"/>
      </w:tblCellMar>
      <w:tblLook w:val="04A0"/>
    </w:tblPr>
    <w:tblGrid>
      <w:gridCol w:w="9175"/>
    </w:tblGrid>
    <w:tr w:rsidR="006133D3" w:rsidRPr="00487162" w:rsidTr="008D770F">
      <w:trPr>
        <w:trHeight w:hRule="exact" w:val="564"/>
      </w:trPr>
      <w:tc>
        <w:tcPr>
          <w:tcW w:w="9175" w:type="dxa"/>
        </w:tcPr>
        <w:p w:rsidR="006133D3" w:rsidRPr="00487162" w:rsidRDefault="006133D3" w:rsidP="008E7846">
          <w:pPr>
            <w:pStyle w:val="TGASignoff"/>
          </w:pPr>
          <w:r w:rsidRPr="00487162">
            <w:t>Therapeutic Goods Administration</w:t>
          </w:r>
        </w:p>
      </w:tc>
    </w:tr>
    <w:tr w:rsidR="006133D3" w:rsidRPr="00487162" w:rsidTr="00E45619">
      <w:trPr>
        <w:trHeight w:val="1221"/>
      </w:trPr>
      <w:tc>
        <w:tcPr>
          <w:tcW w:w="9175" w:type="dxa"/>
          <w:tcMar>
            <w:top w:w="28" w:type="dxa"/>
          </w:tcMar>
        </w:tcPr>
        <w:p w:rsidR="006133D3" w:rsidRPr="00487162" w:rsidRDefault="006133D3" w:rsidP="00E45619">
          <w:pPr>
            <w:pStyle w:val="Address"/>
          </w:pPr>
          <w:r w:rsidRPr="00487162">
            <w:t>PO Box 100 Woden ACT 2606 Australia</w:t>
          </w:r>
        </w:p>
        <w:p w:rsidR="006133D3" w:rsidRPr="00487162" w:rsidRDefault="006133D3"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6133D3" w:rsidRPr="008D770F" w:rsidRDefault="006116B9" w:rsidP="008D770F">
          <w:pPr>
            <w:pStyle w:val="Address"/>
            <w:spacing w:line="260" w:lineRule="atLeast"/>
            <w:rPr>
              <w:b/>
              <w:color w:val="0000FF"/>
              <w:u w:val="single"/>
            </w:rPr>
          </w:pPr>
          <w:hyperlink r:id="rId2" w:history="1">
            <w:r w:rsidR="006133D3" w:rsidRPr="007C06C7">
              <w:rPr>
                <w:rStyle w:val="Hyperlink"/>
                <w:b/>
              </w:rPr>
              <w:t>http://www.tga.gov.au</w:t>
            </w:r>
          </w:hyperlink>
        </w:p>
      </w:tc>
    </w:tr>
  </w:tbl>
  <w:p w:rsidR="006133D3" w:rsidRDefault="006133D3" w:rsidP="008E7846">
    <w:pPr>
      <w:pStyle w:val="Notes"/>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6133D3" w:rsidTr="0010601F">
      <w:trPr>
        <w:trHeight w:val="108"/>
      </w:trPr>
      <w:tc>
        <w:tcPr>
          <w:tcW w:w="8875" w:type="dxa"/>
          <w:gridSpan w:val="2"/>
          <w:tcBorders>
            <w:bottom w:val="single" w:sz="4" w:space="0" w:color="auto"/>
          </w:tcBorders>
          <w:tcMar>
            <w:right w:w="284" w:type="dxa"/>
          </w:tcMar>
        </w:tcPr>
        <w:p w:rsidR="006133D3" w:rsidRDefault="006133D3" w:rsidP="006E08B3">
          <w:pPr>
            <w:pStyle w:val="Heading3"/>
          </w:pPr>
          <w:r>
            <w:t>Copyright</w:t>
          </w:r>
        </w:p>
        <w:p w:rsidR="006133D3" w:rsidRDefault="006133D3" w:rsidP="006E08B3">
          <w:r>
            <w:rPr>
              <w:rFonts w:cs="Arial"/>
            </w:rPr>
            <w:t>©</w:t>
          </w:r>
          <w:r>
            <w:t xml:space="preserve"> Commonwealth of Australia [add year]</w:t>
          </w:r>
        </w:p>
        <w:p w:rsidR="006133D3" w:rsidRDefault="006133D3" w:rsidP="006E08B3"/>
        <w:p w:rsidR="006133D3" w:rsidRDefault="006133D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133D3" w:rsidRDefault="006133D3" w:rsidP="006E08B3"/>
        <w:p w:rsidR="006133D3" w:rsidRDefault="006133D3" w:rsidP="006E08B3">
          <w:pPr>
            <w:pStyle w:val="Heading3"/>
          </w:pPr>
          <w:r>
            <w:t>Confidentiality</w:t>
          </w:r>
        </w:p>
        <w:p w:rsidR="006133D3" w:rsidRDefault="006133D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133D3" w:rsidRDefault="006133D3" w:rsidP="006E08B3"/>
        <w:p w:rsidR="006133D3" w:rsidRDefault="006133D3" w:rsidP="006E08B3">
          <w:r>
            <w:t>For submission made by individuals, all personal details, other than your name, will be removed from your submission before it is published on the TGA’s Internet site.</w:t>
          </w:r>
        </w:p>
        <w:p w:rsidR="006133D3" w:rsidRDefault="006133D3" w:rsidP="006E08B3"/>
        <w:p w:rsidR="006133D3" w:rsidRDefault="006133D3"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6133D3" w:rsidTr="0010601F">
      <w:trPr>
        <w:trHeight w:val="417"/>
      </w:trPr>
      <w:tc>
        <w:tcPr>
          <w:tcW w:w="4519" w:type="dxa"/>
          <w:tcBorders>
            <w:top w:val="single" w:sz="4" w:space="0" w:color="auto"/>
          </w:tcBorders>
          <w:tcMar>
            <w:top w:w="142" w:type="dxa"/>
            <w:bottom w:w="0" w:type="dxa"/>
          </w:tcMar>
        </w:tcPr>
        <w:p w:rsidR="006133D3" w:rsidRDefault="006133D3" w:rsidP="006E08B3">
          <w:r>
            <w:t>Document title, Part #, Section # - Section title</w:t>
          </w:r>
        </w:p>
        <w:p w:rsidR="006133D3" w:rsidRDefault="006133D3" w:rsidP="006E08B3">
          <w:r>
            <w:t>V1.0 October 2010</w:t>
          </w:r>
        </w:p>
      </w:tc>
      <w:tc>
        <w:tcPr>
          <w:tcW w:w="4356" w:type="dxa"/>
          <w:tcBorders>
            <w:top w:val="single" w:sz="4" w:space="0" w:color="auto"/>
          </w:tcBorders>
          <w:tcMar>
            <w:top w:w="142" w:type="dxa"/>
            <w:bottom w:w="0" w:type="dxa"/>
          </w:tcMar>
        </w:tcPr>
        <w:p w:rsidR="006133D3" w:rsidRDefault="006133D3"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6133D3" w:rsidRDefault="006133D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350" w:rsidRDefault="00B72350" w:rsidP="00C40A36">
      <w:pPr>
        <w:spacing w:after="0"/>
      </w:pPr>
      <w:r>
        <w:separator/>
      </w:r>
    </w:p>
  </w:footnote>
  <w:footnote w:type="continuationSeparator" w:id="0">
    <w:p w:rsidR="00B72350" w:rsidRDefault="00B72350" w:rsidP="00C40A3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3D3" w:rsidRDefault="006133D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3D3" w:rsidRDefault="006133D3" w:rsidP="00E45619">
    <w:pPr>
      <w:pStyle w:val="Header"/>
    </w:pPr>
    <w:r>
      <w:t>Therapeutic Goods Administration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3D3" w:rsidRDefault="004772F5">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-584835</wp:posOffset>
          </wp:positionV>
          <wp:extent cx="7572375" cy="10710545"/>
          <wp:effectExtent l="19050" t="0" r="9525" b="0"/>
          <wp:wrapNone/>
          <wp:docPr id="1" name="Picture 1" descr="Therapeutic Goods Administration.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peutic Goods Administration. Health, Safety, Regulation"/>
                  <pic:cNvPicPr>
                    <a:picLocks noChangeAspect="1" noChangeArrowheads="1"/>
                  </pic:cNvPicPr>
                </pic:nvPicPr>
                <pic:blipFill>
                  <a:blip r:embed="rId1"/>
                  <a:srcRect/>
                  <a:stretch>
                    <a:fillRect/>
                  </a:stretch>
                </pic:blipFill>
                <pic:spPr bwMode="auto">
                  <a:xfrm>
                    <a:off x="0" y="0"/>
                    <a:ext cx="7572375" cy="10710545"/>
                  </a:xfrm>
                  <a:prstGeom prst="rect">
                    <a:avLst/>
                  </a:prstGeom>
                  <a:noFill/>
                </pic:spPr>
              </pic:pic>
            </a:graphicData>
          </a:graphic>
        </wp:anchor>
      </w:drawing>
    </w:r>
  </w:p>
  <w:p w:rsidR="006133D3" w:rsidRDefault="004772F5" w:rsidP="00593AD1">
    <w:pPr>
      <w:pStyle w:val="HeaderNoLine"/>
    </w:pPr>
    <w:r>
      <w:rPr>
        <w:noProof/>
        <w:lang w:eastAsia="en-AU"/>
      </w:rPr>
      <w:drawing>
        <wp:inline distT="0" distB="0" distL="0" distR="0">
          <wp:extent cx="5401310" cy="7633970"/>
          <wp:effectExtent l="19050" t="0" r="8890" b="0"/>
          <wp:docPr id="9" name="Picture 9"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ghtblue.jpg"/>
                  <pic:cNvPicPr>
                    <a:picLocks noChangeAspect="1" noChangeArrowheads="1"/>
                  </pic:cNvPicPr>
                </pic:nvPicPr>
                <pic:blipFill>
                  <a:blip r:embed="rId2"/>
                  <a:srcRect/>
                  <a:stretch>
                    <a:fillRect/>
                  </a:stretch>
                </pic:blipFill>
                <pic:spPr bwMode="auto">
                  <a:xfrm>
                    <a:off x="0" y="0"/>
                    <a:ext cx="5401310" cy="7633970"/>
                  </a:xfrm>
                  <a:prstGeom prst="rect">
                    <a:avLst/>
                  </a:prstGeom>
                  <a:noFill/>
                  <a:ln w="9525">
                    <a:noFill/>
                    <a:miter lim="800000"/>
                    <a:headEnd/>
                    <a:tailEnd/>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3D3" w:rsidRDefault="006133D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3D3" w:rsidRDefault="006133D3">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3D3" w:rsidRDefault="006133D3">
    <w:pPr>
      <w:pStyle w:val="Header"/>
    </w:pPr>
    <w:r>
      <w:t>Therapeutic Goods Administration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3D3" w:rsidRDefault="006133D3">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3D3" w:rsidRDefault="006133D3" w:rsidP="008D770F">
    <w:pPr>
      <w:pStyle w:val="HeaderNoLin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3D3" w:rsidRDefault="006133D3" w:rsidP="006E08B3">
    <w:r>
      <w:t>Therapeutic Goods Administration</w:t>
    </w:r>
  </w:p>
  <w:p w:rsidR="006133D3" w:rsidRDefault="006133D3"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175132A5"/>
    <w:multiLevelType w:val="hybridMultilevel"/>
    <w:tmpl w:val="1E1688EA"/>
    <w:lvl w:ilvl="0" w:tplc="9B5EFF70">
      <w:numFmt w:val="bullet"/>
      <w:lvlText w:val="•"/>
      <w:lvlJc w:val="left"/>
      <w:pPr>
        <w:ind w:left="72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75F4474"/>
    <w:multiLevelType w:val="hybridMultilevel"/>
    <w:tmpl w:val="D64CB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3B6E3836"/>
    <w:multiLevelType w:val="hybridMultilevel"/>
    <w:tmpl w:val="577A6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1662FCB"/>
    <w:multiLevelType w:val="hybridMultilevel"/>
    <w:tmpl w:val="9246F7F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3">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65E24944"/>
    <w:multiLevelType w:val="hybridMultilevel"/>
    <w:tmpl w:val="DB42F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6">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0"/>
  </w:num>
  <w:num w:numId="26">
    <w:abstractNumId w:val="12"/>
  </w:num>
  <w:num w:numId="27">
    <w:abstractNumId w:val="13"/>
  </w:num>
  <w:num w:numId="28">
    <w:abstractNumId w:val="15"/>
  </w:num>
  <w:num w:numId="29">
    <w:abstractNumId w:val="16"/>
  </w:num>
  <w:num w:numId="30">
    <w:abstractNumId w:val="16"/>
  </w:num>
  <w:num w:numId="31">
    <w:abstractNumId w:val="16"/>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8"/>
  </w:num>
  <w:num w:numId="34">
    <w:abstractNumId w:val="7"/>
  </w:num>
  <w:num w:numId="35">
    <w:abstractNumId w:val="9"/>
  </w:num>
  <w:num w:numId="36">
    <w:abstractNumId w:val="6"/>
  </w:num>
  <w:num w:numId="37">
    <w:abstractNumId w:val="14"/>
  </w:num>
  <w:num w:numId="3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stylePaneFormatFilter w:val="1001"/>
  <w:stylePaneSortMethod w:val="0000"/>
  <w:defaultTabStop w:val="720"/>
  <w:defaultTableStyle w:val="TableTGAblue"/>
  <w:drawingGridHorizontalSpacing w:val="110"/>
  <w:displayHorizontalDrawingGridEvery w:val="2"/>
  <w:characterSpacingControl w:val="doNotCompress"/>
  <w:hdrShapeDefaults>
    <o:shapedefaults v:ext="edit" spidmax="51201">
      <o:colormenu v:ext="edit" fillcolor="none [3206]"/>
    </o:shapedefaults>
  </w:hdrShapeDefaults>
  <w:footnotePr>
    <w:footnote w:id="-1"/>
    <w:footnote w:id="0"/>
  </w:footnotePr>
  <w:endnotePr>
    <w:endnote w:id="-1"/>
    <w:endnote w:id="0"/>
  </w:endnotePr>
  <w:compat/>
  <w:rsids>
    <w:rsidRoot w:val="0017078F"/>
    <w:rsid w:val="00002031"/>
    <w:rsid w:val="00004734"/>
    <w:rsid w:val="000062A5"/>
    <w:rsid w:val="00006B22"/>
    <w:rsid w:val="0001276A"/>
    <w:rsid w:val="000246AE"/>
    <w:rsid w:val="00025C67"/>
    <w:rsid w:val="00040502"/>
    <w:rsid w:val="00040ACB"/>
    <w:rsid w:val="00042FBF"/>
    <w:rsid w:val="0005559E"/>
    <w:rsid w:val="00075918"/>
    <w:rsid w:val="00077775"/>
    <w:rsid w:val="000823A8"/>
    <w:rsid w:val="00090471"/>
    <w:rsid w:val="0009585D"/>
    <w:rsid w:val="000A3AED"/>
    <w:rsid w:val="000A63AF"/>
    <w:rsid w:val="000B279B"/>
    <w:rsid w:val="000B3532"/>
    <w:rsid w:val="000B3A75"/>
    <w:rsid w:val="000C690F"/>
    <w:rsid w:val="000D1295"/>
    <w:rsid w:val="000D391B"/>
    <w:rsid w:val="000D3D6D"/>
    <w:rsid w:val="000D4861"/>
    <w:rsid w:val="000D4FC7"/>
    <w:rsid w:val="000F02F9"/>
    <w:rsid w:val="000F4869"/>
    <w:rsid w:val="000F5B42"/>
    <w:rsid w:val="000F6E6F"/>
    <w:rsid w:val="00104613"/>
    <w:rsid w:val="0010601F"/>
    <w:rsid w:val="0010788A"/>
    <w:rsid w:val="00107A31"/>
    <w:rsid w:val="00110EA5"/>
    <w:rsid w:val="00112F56"/>
    <w:rsid w:val="00114B11"/>
    <w:rsid w:val="00125318"/>
    <w:rsid w:val="001305A2"/>
    <w:rsid w:val="00133238"/>
    <w:rsid w:val="0014197B"/>
    <w:rsid w:val="001447CD"/>
    <w:rsid w:val="00146262"/>
    <w:rsid w:val="001516B1"/>
    <w:rsid w:val="00154EBB"/>
    <w:rsid w:val="00156316"/>
    <w:rsid w:val="00165389"/>
    <w:rsid w:val="0017078F"/>
    <w:rsid w:val="001707E2"/>
    <w:rsid w:val="0017693F"/>
    <w:rsid w:val="0018110E"/>
    <w:rsid w:val="00181684"/>
    <w:rsid w:val="001843C6"/>
    <w:rsid w:val="001850E0"/>
    <w:rsid w:val="001A2158"/>
    <w:rsid w:val="001A525F"/>
    <w:rsid w:val="001B09F9"/>
    <w:rsid w:val="001B6448"/>
    <w:rsid w:val="001C5285"/>
    <w:rsid w:val="001E07CF"/>
    <w:rsid w:val="001E59F1"/>
    <w:rsid w:val="001F228C"/>
    <w:rsid w:val="001F3F37"/>
    <w:rsid w:val="001F49EB"/>
    <w:rsid w:val="001F6CBA"/>
    <w:rsid w:val="00201D4E"/>
    <w:rsid w:val="002076C9"/>
    <w:rsid w:val="00220B8A"/>
    <w:rsid w:val="00224A66"/>
    <w:rsid w:val="002257F3"/>
    <w:rsid w:val="00233456"/>
    <w:rsid w:val="002339A5"/>
    <w:rsid w:val="00257848"/>
    <w:rsid w:val="002666AC"/>
    <w:rsid w:val="0027084A"/>
    <w:rsid w:val="00286434"/>
    <w:rsid w:val="00286C59"/>
    <w:rsid w:val="002903B5"/>
    <w:rsid w:val="002942D1"/>
    <w:rsid w:val="0029501A"/>
    <w:rsid w:val="002B1638"/>
    <w:rsid w:val="002C63ED"/>
    <w:rsid w:val="002D6161"/>
    <w:rsid w:val="002E4C9A"/>
    <w:rsid w:val="002F11F8"/>
    <w:rsid w:val="002F3F56"/>
    <w:rsid w:val="002F44B5"/>
    <w:rsid w:val="00311AC0"/>
    <w:rsid w:val="0032583B"/>
    <w:rsid w:val="00327883"/>
    <w:rsid w:val="00335504"/>
    <w:rsid w:val="003521E8"/>
    <w:rsid w:val="003728F3"/>
    <w:rsid w:val="0037496E"/>
    <w:rsid w:val="0037623D"/>
    <w:rsid w:val="00386150"/>
    <w:rsid w:val="003874CE"/>
    <w:rsid w:val="00390900"/>
    <w:rsid w:val="003A3FB0"/>
    <w:rsid w:val="003A7F6C"/>
    <w:rsid w:val="003B1113"/>
    <w:rsid w:val="003B4D60"/>
    <w:rsid w:val="003B7E39"/>
    <w:rsid w:val="003C58DC"/>
    <w:rsid w:val="003D0A3B"/>
    <w:rsid w:val="003D1E62"/>
    <w:rsid w:val="003E2486"/>
    <w:rsid w:val="003E3208"/>
    <w:rsid w:val="003F0B04"/>
    <w:rsid w:val="0040134E"/>
    <w:rsid w:val="00415D59"/>
    <w:rsid w:val="0043797D"/>
    <w:rsid w:val="00440A2D"/>
    <w:rsid w:val="004564A7"/>
    <w:rsid w:val="004617BF"/>
    <w:rsid w:val="00463658"/>
    <w:rsid w:val="00470977"/>
    <w:rsid w:val="004722CC"/>
    <w:rsid w:val="00472A28"/>
    <w:rsid w:val="004772F5"/>
    <w:rsid w:val="004936E4"/>
    <w:rsid w:val="00494E60"/>
    <w:rsid w:val="00497487"/>
    <w:rsid w:val="004A43CC"/>
    <w:rsid w:val="004A7E13"/>
    <w:rsid w:val="004B7B76"/>
    <w:rsid w:val="004C2DCA"/>
    <w:rsid w:val="004C49EE"/>
    <w:rsid w:val="004C603F"/>
    <w:rsid w:val="004F0F38"/>
    <w:rsid w:val="00501921"/>
    <w:rsid w:val="00530354"/>
    <w:rsid w:val="0053625B"/>
    <w:rsid w:val="005434C6"/>
    <w:rsid w:val="00543B39"/>
    <w:rsid w:val="00550096"/>
    <w:rsid w:val="00557FF9"/>
    <w:rsid w:val="0056571A"/>
    <w:rsid w:val="00572E9E"/>
    <w:rsid w:val="00576378"/>
    <w:rsid w:val="00577945"/>
    <w:rsid w:val="00577E38"/>
    <w:rsid w:val="00580507"/>
    <w:rsid w:val="00585322"/>
    <w:rsid w:val="005857C6"/>
    <w:rsid w:val="00586F98"/>
    <w:rsid w:val="00592F6E"/>
    <w:rsid w:val="00593AD1"/>
    <w:rsid w:val="005A68B6"/>
    <w:rsid w:val="005C5570"/>
    <w:rsid w:val="005C79A4"/>
    <w:rsid w:val="005D5442"/>
    <w:rsid w:val="00603F32"/>
    <w:rsid w:val="006116B9"/>
    <w:rsid w:val="006133D3"/>
    <w:rsid w:val="00632398"/>
    <w:rsid w:val="006361FC"/>
    <w:rsid w:val="00636CC3"/>
    <w:rsid w:val="00640FC3"/>
    <w:rsid w:val="00642020"/>
    <w:rsid w:val="00646206"/>
    <w:rsid w:val="0065337B"/>
    <w:rsid w:val="0065419D"/>
    <w:rsid w:val="006604D8"/>
    <w:rsid w:val="0066424F"/>
    <w:rsid w:val="00664A5B"/>
    <w:rsid w:val="00675BB7"/>
    <w:rsid w:val="006763D2"/>
    <w:rsid w:val="00680C08"/>
    <w:rsid w:val="006931B1"/>
    <w:rsid w:val="006A15C0"/>
    <w:rsid w:val="006C130C"/>
    <w:rsid w:val="006C3E2A"/>
    <w:rsid w:val="006C642F"/>
    <w:rsid w:val="006D03E5"/>
    <w:rsid w:val="006D4D39"/>
    <w:rsid w:val="006D5D3E"/>
    <w:rsid w:val="006E08B3"/>
    <w:rsid w:val="006F17AC"/>
    <w:rsid w:val="006F2796"/>
    <w:rsid w:val="006F572E"/>
    <w:rsid w:val="007046D6"/>
    <w:rsid w:val="00705DB0"/>
    <w:rsid w:val="00722B57"/>
    <w:rsid w:val="0074253D"/>
    <w:rsid w:val="0074429B"/>
    <w:rsid w:val="00750138"/>
    <w:rsid w:val="007513B4"/>
    <w:rsid w:val="0075730A"/>
    <w:rsid w:val="007615BC"/>
    <w:rsid w:val="00762F05"/>
    <w:rsid w:val="007652FF"/>
    <w:rsid w:val="00766B9C"/>
    <w:rsid w:val="00770EF1"/>
    <w:rsid w:val="00773EF7"/>
    <w:rsid w:val="00774E1D"/>
    <w:rsid w:val="0077675A"/>
    <w:rsid w:val="00780355"/>
    <w:rsid w:val="007856E1"/>
    <w:rsid w:val="00785721"/>
    <w:rsid w:val="00793A59"/>
    <w:rsid w:val="00795BDF"/>
    <w:rsid w:val="00797CC4"/>
    <w:rsid w:val="007B2A68"/>
    <w:rsid w:val="007B6E9F"/>
    <w:rsid w:val="007C1216"/>
    <w:rsid w:val="007C1AF7"/>
    <w:rsid w:val="007E6E27"/>
    <w:rsid w:val="00805D27"/>
    <w:rsid w:val="0081345B"/>
    <w:rsid w:val="00817CAC"/>
    <w:rsid w:val="00821776"/>
    <w:rsid w:val="008321F5"/>
    <w:rsid w:val="00832369"/>
    <w:rsid w:val="00834660"/>
    <w:rsid w:val="00836BC2"/>
    <w:rsid w:val="008414A0"/>
    <w:rsid w:val="0085641B"/>
    <w:rsid w:val="00857136"/>
    <w:rsid w:val="00864E65"/>
    <w:rsid w:val="00886D15"/>
    <w:rsid w:val="00887DD8"/>
    <w:rsid w:val="0089462D"/>
    <w:rsid w:val="00896018"/>
    <w:rsid w:val="008960DD"/>
    <w:rsid w:val="0089635C"/>
    <w:rsid w:val="008A2B9D"/>
    <w:rsid w:val="008A5E0B"/>
    <w:rsid w:val="008A6D59"/>
    <w:rsid w:val="008B4B03"/>
    <w:rsid w:val="008B596F"/>
    <w:rsid w:val="008B5A3E"/>
    <w:rsid w:val="008C154F"/>
    <w:rsid w:val="008C159F"/>
    <w:rsid w:val="008C1623"/>
    <w:rsid w:val="008C1850"/>
    <w:rsid w:val="008C51A9"/>
    <w:rsid w:val="008D770F"/>
    <w:rsid w:val="008E7846"/>
    <w:rsid w:val="008F1CCC"/>
    <w:rsid w:val="008F2967"/>
    <w:rsid w:val="008F4EE2"/>
    <w:rsid w:val="008F6943"/>
    <w:rsid w:val="00902A21"/>
    <w:rsid w:val="00920330"/>
    <w:rsid w:val="009219D7"/>
    <w:rsid w:val="00922D53"/>
    <w:rsid w:val="00923B70"/>
    <w:rsid w:val="00924482"/>
    <w:rsid w:val="00930237"/>
    <w:rsid w:val="00934518"/>
    <w:rsid w:val="00934CC8"/>
    <w:rsid w:val="00941CC9"/>
    <w:rsid w:val="00946EA5"/>
    <w:rsid w:val="0095160F"/>
    <w:rsid w:val="0096268C"/>
    <w:rsid w:val="00963C08"/>
    <w:rsid w:val="0098585A"/>
    <w:rsid w:val="0098669D"/>
    <w:rsid w:val="009A4CED"/>
    <w:rsid w:val="009A6272"/>
    <w:rsid w:val="009A690D"/>
    <w:rsid w:val="009B1D12"/>
    <w:rsid w:val="009B416B"/>
    <w:rsid w:val="009C0832"/>
    <w:rsid w:val="009C4BD5"/>
    <w:rsid w:val="009C5E08"/>
    <w:rsid w:val="009D7B77"/>
    <w:rsid w:val="009E0BB0"/>
    <w:rsid w:val="009E3FBB"/>
    <w:rsid w:val="00A102E4"/>
    <w:rsid w:val="00A12C42"/>
    <w:rsid w:val="00A14DF7"/>
    <w:rsid w:val="00A235D9"/>
    <w:rsid w:val="00A3246D"/>
    <w:rsid w:val="00A36FA7"/>
    <w:rsid w:val="00A475B7"/>
    <w:rsid w:val="00A47AF7"/>
    <w:rsid w:val="00A47C3E"/>
    <w:rsid w:val="00A50226"/>
    <w:rsid w:val="00A558E3"/>
    <w:rsid w:val="00A60BAD"/>
    <w:rsid w:val="00A964D1"/>
    <w:rsid w:val="00A9761C"/>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328E3"/>
    <w:rsid w:val="00B33588"/>
    <w:rsid w:val="00B33863"/>
    <w:rsid w:val="00B37D17"/>
    <w:rsid w:val="00B4175E"/>
    <w:rsid w:val="00B452CE"/>
    <w:rsid w:val="00B54C25"/>
    <w:rsid w:val="00B72350"/>
    <w:rsid w:val="00B73431"/>
    <w:rsid w:val="00B75784"/>
    <w:rsid w:val="00B76B91"/>
    <w:rsid w:val="00B77EB1"/>
    <w:rsid w:val="00B811C6"/>
    <w:rsid w:val="00B85A87"/>
    <w:rsid w:val="00B92E08"/>
    <w:rsid w:val="00B96EBE"/>
    <w:rsid w:val="00BC622A"/>
    <w:rsid w:val="00BD45E3"/>
    <w:rsid w:val="00BE0A78"/>
    <w:rsid w:val="00BE510C"/>
    <w:rsid w:val="00BE5FF1"/>
    <w:rsid w:val="00BE6252"/>
    <w:rsid w:val="00BE79F0"/>
    <w:rsid w:val="00BF046D"/>
    <w:rsid w:val="00BF1190"/>
    <w:rsid w:val="00BF5D04"/>
    <w:rsid w:val="00C1164D"/>
    <w:rsid w:val="00C16861"/>
    <w:rsid w:val="00C22678"/>
    <w:rsid w:val="00C3686F"/>
    <w:rsid w:val="00C404A6"/>
    <w:rsid w:val="00C40A36"/>
    <w:rsid w:val="00C44419"/>
    <w:rsid w:val="00C45E7B"/>
    <w:rsid w:val="00C471B1"/>
    <w:rsid w:val="00C618F7"/>
    <w:rsid w:val="00C62F3C"/>
    <w:rsid w:val="00C6316B"/>
    <w:rsid w:val="00C634A9"/>
    <w:rsid w:val="00C64586"/>
    <w:rsid w:val="00C70D53"/>
    <w:rsid w:val="00C73D0B"/>
    <w:rsid w:val="00C772FF"/>
    <w:rsid w:val="00C801AF"/>
    <w:rsid w:val="00C80256"/>
    <w:rsid w:val="00C811C0"/>
    <w:rsid w:val="00CB6BC0"/>
    <w:rsid w:val="00CC1B7C"/>
    <w:rsid w:val="00CC727F"/>
    <w:rsid w:val="00CD1328"/>
    <w:rsid w:val="00CD13AD"/>
    <w:rsid w:val="00CF15C3"/>
    <w:rsid w:val="00CF2B6F"/>
    <w:rsid w:val="00CF58B6"/>
    <w:rsid w:val="00CF7BC8"/>
    <w:rsid w:val="00D017ED"/>
    <w:rsid w:val="00D040D3"/>
    <w:rsid w:val="00D04237"/>
    <w:rsid w:val="00D04C65"/>
    <w:rsid w:val="00D224FE"/>
    <w:rsid w:val="00D35538"/>
    <w:rsid w:val="00D53A31"/>
    <w:rsid w:val="00D6004A"/>
    <w:rsid w:val="00D6493E"/>
    <w:rsid w:val="00D703A1"/>
    <w:rsid w:val="00D7301E"/>
    <w:rsid w:val="00D83AE1"/>
    <w:rsid w:val="00D855D4"/>
    <w:rsid w:val="00D93466"/>
    <w:rsid w:val="00DA1124"/>
    <w:rsid w:val="00DB5B7F"/>
    <w:rsid w:val="00DB75B7"/>
    <w:rsid w:val="00DC3496"/>
    <w:rsid w:val="00DC6E02"/>
    <w:rsid w:val="00DC6FB5"/>
    <w:rsid w:val="00DE02AE"/>
    <w:rsid w:val="00DF1D7F"/>
    <w:rsid w:val="00DF44EC"/>
    <w:rsid w:val="00DF4BE4"/>
    <w:rsid w:val="00E02FB4"/>
    <w:rsid w:val="00E06320"/>
    <w:rsid w:val="00E07F15"/>
    <w:rsid w:val="00E20571"/>
    <w:rsid w:val="00E235F7"/>
    <w:rsid w:val="00E23659"/>
    <w:rsid w:val="00E239D4"/>
    <w:rsid w:val="00E26130"/>
    <w:rsid w:val="00E2741C"/>
    <w:rsid w:val="00E36537"/>
    <w:rsid w:val="00E40B22"/>
    <w:rsid w:val="00E4136B"/>
    <w:rsid w:val="00E45619"/>
    <w:rsid w:val="00E4588F"/>
    <w:rsid w:val="00E46DA3"/>
    <w:rsid w:val="00E51BB1"/>
    <w:rsid w:val="00E624A5"/>
    <w:rsid w:val="00E7344E"/>
    <w:rsid w:val="00E800CF"/>
    <w:rsid w:val="00EB0798"/>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43F03"/>
    <w:rsid w:val="00F47333"/>
    <w:rsid w:val="00F47E37"/>
    <w:rsid w:val="00F53C07"/>
    <w:rsid w:val="00F54B65"/>
    <w:rsid w:val="00F640B6"/>
    <w:rsid w:val="00F66F35"/>
    <w:rsid w:val="00F80E40"/>
    <w:rsid w:val="00F848D9"/>
    <w:rsid w:val="00FA1299"/>
    <w:rsid w:val="00FA5B82"/>
    <w:rsid w:val="00FA6134"/>
    <w:rsid w:val="00FA639E"/>
    <w:rsid w:val="00FB287A"/>
    <w:rsid w:val="00FC25E4"/>
    <w:rsid w:val="00FC4EF7"/>
    <w:rsid w:val="00FD70DB"/>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01">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96EBE"/>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B75784"/>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146262"/>
    <w:pPr>
      <w:spacing w:before="240" w:after="60"/>
      <w:outlineLvl w:val="8"/>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Arial" w:eastAsia="Times New Roman" w:hAnsi="Arial" w:cs="Arial"/>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character" w:customStyle="1" w:styleId="Heading8Char">
    <w:name w:val="Heading 8 Char"/>
    <w:basedOn w:val="DefaultParagraphFont"/>
    <w:link w:val="Heading8"/>
    <w:uiPriority w:val="9"/>
    <w:semiHidden/>
    <w:rsid w:val="00B75784"/>
    <w:rPr>
      <w:rFonts w:ascii="Calibri" w:eastAsia="Times New Roman" w:hAnsi="Calibri" w:cs="Times New Roman"/>
      <w:i/>
      <w:iCs/>
      <w:sz w:val="24"/>
      <w:szCs w:val="24"/>
      <w:lang w:eastAsia="en-US"/>
    </w:rPr>
  </w:style>
  <w:style w:type="paragraph" w:customStyle="1" w:styleId="Bullet1">
    <w:name w:val="Bullet 1"/>
    <w:basedOn w:val="Normal"/>
    <w:rsid w:val="00B75784"/>
    <w:pPr>
      <w:numPr>
        <w:numId w:val="33"/>
      </w:numPr>
      <w:spacing w:after="0" w:line="240" w:lineRule="auto"/>
    </w:pPr>
    <w:rPr>
      <w:rFonts w:eastAsia="Times New Roman"/>
      <w:kern w:val="24"/>
      <w:szCs w:val="24"/>
      <w:lang w:eastAsia="en-AU"/>
    </w:rPr>
  </w:style>
  <w:style w:type="paragraph" w:styleId="ListParagraph">
    <w:name w:val="List Paragraph"/>
    <w:basedOn w:val="Normal"/>
    <w:uiPriority w:val="34"/>
    <w:qFormat/>
    <w:rsid w:val="00B7578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Style2">
    <w:name w:val="Style 2"/>
    <w:basedOn w:val="Normal"/>
    <w:uiPriority w:val="99"/>
    <w:rsid w:val="00B75784"/>
    <w:pPr>
      <w:autoSpaceDE w:val="0"/>
      <w:autoSpaceDN w:val="0"/>
      <w:adjustRightInd w:val="0"/>
      <w:spacing w:before="0" w:after="0" w:line="240" w:lineRule="auto"/>
    </w:pPr>
    <w:rPr>
      <w:rFonts w:ascii="Times New Roman" w:eastAsia="Calibri" w:hAnsi="Times New Roman"/>
      <w:sz w:val="24"/>
      <w:szCs w:val="24"/>
      <w:lang w:val="en-US"/>
    </w:rPr>
  </w:style>
  <w:style w:type="character" w:customStyle="1" w:styleId="Heading9Char">
    <w:name w:val="Heading 9 Char"/>
    <w:basedOn w:val="DefaultParagraphFont"/>
    <w:link w:val="Heading9"/>
    <w:uiPriority w:val="9"/>
    <w:semiHidden/>
    <w:rsid w:val="00146262"/>
    <w:rPr>
      <w:rFonts w:ascii="Cambria" w:eastAsia="Times New Roman" w:hAnsi="Cambria" w:cs="Times New Roman"/>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eader" Target="header4.xm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hyperlink" Target="mailto:tga.copyright@tga.gov.au" TargetMode="External"/><Relationship Id="rId19" Type="http://schemas.openxmlformats.org/officeDocument/2006/relationships/image" Target="media/image5.jpe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footer" Target="footer4.xml"/><Relationship Id="rId30" Type="http://schemas.openxmlformats.org/officeDocument/2006/relationships/header" Target="header7.xml"/><Relationship Id="rId35" Type="http://schemas.openxmlformats.org/officeDocument/2006/relationships/fontTable" Target="fontTable.xml"/></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07394-BF96-4DA5-B7CC-4D2A9CA7A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4023</Words>
  <Characters>22933</Characters>
  <Application>Microsoft Office Word</Application>
  <DocSecurity>0</DocSecurity>
  <Lines>739</Lines>
  <Paragraphs>408</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26548</CharactersWithSpaces>
  <SharedDoc>false</SharedDoc>
  <HLinks>
    <vt:vector size="204" baseType="variant">
      <vt:variant>
        <vt:i4>1507379</vt:i4>
      </vt:variant>
      <vt:variant>
        <vt:i4>179</vt:i4>
      </vt:variant>
      <vt:variant>
        <vt:i4>0</vt:i4>
      </vt:variant>
      <vt:variant>
        <vt:i4>5</vt:i4>
      </vt:variant>
      <vt:variant>
        <vt:lpwstr/>
      </vt:variant>
      <vt:variant>
        <vt:lpwstr>_Toc362534172</vt:lpwstr>
      </vt:variant>
      <vt:variant>
        <vt:i4>1507379</vt:i4>
      </vt:variant>
      <vt:variant>
        <vt:i4>173</vt:i4>
      </vt:variant>
      <vt:variant>
        <vt:i4>0</vt:i4>
      </vt:variant>
      <vt:variant>
        <vt:i4>5</vt:i4>
      </vt:variant>
      <vt:variant>
        <vt:lpwstr/>
      </vt:variant>
      <vt:variant>
        <vt:lpwstr>_Toc362534171</vt:lpwstr>
      </vt:variant>
      <vt:variant>
        <vt:i4>1507379</vt:i4>
      </vt:variant>
      <vt:variant>
        <vt:i4>167</vt:i4>
      </vt:variant>
      <vt:variant>
        <vt:i4>0</vt:i4>
      </vt:variant>
      <vt:variant>
        <vt:i4>5</vt:i4>
      </vt:variant>
      <vt:variant>
        <vt:lpwstr/>
      </vt:variant>
      <vt:variant>
        <vt:lpwstr>_Toc362534170</vt:lpwstr>
      </vt:variant>
      <vt:variant>
        <vt:i4>1441843</vt:i4>
      </vt:variant>
      <vt:variant>
        <vt:i4>161</vt:i4>
      </vt:variant>
      <vt:variant>
        <vt:i4>0</vt:i4>
      </vt:variant>
      <vt:variant>
        <vt:i4>5</vt:i4>
      </vt:variant>
      <vt:variant>
        <vt:lpwstr/>
      </vt:variant>
      <vt:variant>
        <vt:lpwstr>_Toc362534169</vt:lpwstr>
      </vt:variant>
      <vt:variant>
        <vt:i4>1441843</vt:i4>
      </vt:variant>
      <vt:variant>
        <vt:i4>155</vt:i4>
      </vt:variant>
      <vt:variant>
        <vt:i4>0</vt:i4>
      </vt:variant>
      <vt:variant>
        <vt:i4>5</vt:i4>
      </vt:variant>
      <vt:variant>
        <vt:lpwstr/>
      </vt:variant>
      <vt:variant>
        <vt:lpwstr>_Toc362534168</vt:lpwstr>
      </vt:variant>
      <vt:variant>
        <vt:i4>1441843</vt:i4>
      </vt:variant>
      <vt:variant>
        <vt:i4>149</vt:i4>
      </vt:variant>
      <vt:variant>
        <vt:i4>0</vt:i4>
      </vt:variant>
      <vt:variant>
        <vt:i4>5</vt:i4>
      </vt:variant>
      <vt:variant>
        <vt:lpwstr/>
      </vt:variant>
      <vt:variant>
        <vt:lpwstr>_Toc362534167</vt:lpwstr>
      </vt:variant>
      <vt:variant>
        <vt:i4>1441843</vt:i4>
      </vt:variant>
      <vt:variant>
        <vt:i4>143</vt:i4>
      </vt:variant>
      <vt:variant>
        <vt:i4>0</vt:i4>
      </vt:variant>
      <vt:variant>
        <vt:i4>5</vt:i4>
      </vt:variant>
      <vt:variant>
        <vt:lpwstr/>
      </vt:variant>
      <vt:variant>
        <vt:lpwstr>_Toc362534166</vt:lpwstr>
      </vt:variant>
      <vt:variant>
        <vt:i4>1441843</vt:i4>
      </vt:variant>
      <vt:variant>
        <vt:i4>137</vt:i4>
      </vt:variant>
      <vt:variant>
        <vt:i4>0</vt:i4>
      </vt:variant>
      <vt:variant>
        <vt:i4>5</vt:i4>
      </vt:variant>
      <vt:variant>
        <vt:lpwstr/>
      </vt:variant>
      <vt:variant>
        <vt:lpwstr>_Toc362534165</vt:lpwstr>
      </vt:variant>
      <vt:variant>
        <vt:i4>1441843</vt:i4>
      </vt:variant>
      <vt:variant>
        <vt:i4>131</vt:i4>
      </vt:variant>
      <vt:variant>
        <vt:i4>0</vt:i4>
      </vt:variant>
      <vt:variant>
        <vt:i4>5</vt:i4>
      </vt:variant>
      <vt:variant>
        <vt:lpwstr/>
      </vt:variant>
      <vt:variant>
        <vt:lpwstr>_Toc362534164</vt:lpwstr>
      </vt:variant>
      <vt:variant>
        <vt:i4>1441843</vt:i4>
      </vt:variant>
      <vt:variant>
        <vt:i4>125</vt:i4>
      </vt:variant>
      <vt:variant>
        <vt:i4>0</vt:i4>
      </vt:variant>
      <vt:variant>
        <vt:i4>5</vt:i4>
      </vt:variant>
      <vt:variant>
        <vt:lpwstr/>
      </vt:variant>
      <vt:variant>
        <vt:lpwstr>_Toc362534163</vt:lpwstr>
      </vt:variant>
      <vt:variant>
        <vt:i4>1441843</vt:i4>
      </vt:variant>
      <vt:variant>
        <vt:i4>119</vt:i4>
      </vt:variant>
      <vt:variant>
        <vt:i4>0</vt:i4>
      </vt:variant>
      <vt:variant>
        <vt:i4>5</vt:i4>
      </vt:variant>
      <vt:variant>
        <vt:lpwstr/>
      </vt:variant>
      <vt:variant>
        <vt:lpwstr>_Toc362534162</vt:lpwstr>
      </vt:variant>
      <vt:variant>
        <vt:i4>1441843</vt:i4>
      </vt:variant>
      <vt:variant>
        <vt:i4>113</vt:i4>
      </vt:variant>
      <vt:variant>
        <vt:i4>0</vt:i4>
      </vt:variant>
      <vt:variant>
        <vt:i4>5</vt:i4>
      </vt:variant>
      <vt:variant>
        <vt:lpwstr/>
      </vt:variant>
      <vt:variant>
        <vt:lpwstr>_Toc362534161</vt:lpwstr>
      </vt:variant>
      <vt:variant>
        <vt:i4>1441843</vt:i4>
      </vt:variant>
      <vt:variant>
        <vt:i4>107</vt:i4>
      </vt:variant>
      <vt:variant>
        <vt:i4>0</vt:i4>
      </vt:variant>
      <vt:variant>
        <vt:i4>5</vt:i4>
      </vt:variant>
      <vt:variant>
        <vt:lpwstr/>
      </vt:variant>
      <vt:variant>
        <vt:lpwstr>_Toc362534160</vt:lpwstr>
      </vt:variant>
      <vt:variant>
        <vt:i4>1376307</vt:i4>
      </vt:variant>
      <vt:variant>
        <vt:i4>101</vt:i4>
      </vt:variant>
      <vt:variant>
        <vt:i4>0</vt:i4>
      </vt:variant>
      <vt:variant>
        <vt:i4>5</vt:i4>
      </vt:variant>
      <vt:variant>
        <vt:lpwstr/>
      </vt:variant>
      <vt:variant>
        <vt:lpwstr>_Toc362534159</vt:lpwstr>
      </vt:variant>
      <vt:variant>
        <vt:i4>1376307</vt:i4>
      </vt:variant>
      <vt:variant>
        <vt:i4>95</vt:i4>
      </vt:variant>
      <vt:variant>
        <vt:i4>0</vt:i4>
      </vt:variant>
      <vt:variant>
        <vt:i4>5</vt:i4>
      </vt:variant>
      <vt:variant>
        <vt:lpwstr/>
      </vt:variant>
      <vt:variant>
        <vt:lpwstr>_Toc362534158</vt:lpwstr>
      </vt:variant>
      <vt:variant>
        <vt:i4>1376307</vt:i4>
      </vt:variant>
      <vt:variant>
        <vt:i4>89</vt:i4>
      </vt:variant>
      <vt:variant>
        <vt:i4>0</vt:i4>
      </vt:variant>
      <vt:variant>
        <vt:i4>5</vt:i4>
      </vt:variant>
      <vt:variant>
        <vt:lpwstr/>
      </vt:variant>
      <vt:variant>
        <vt:lpwstr>_Toc362534157</vt:lpwstr>
      </vt:variant>
      <vt:variant>
        <vt:i4>1376307</vt:i4>
      </vt:variant>
      <vt:variant>
        <vt:i4>83</vt:i4>
      </vt:variant>
      <vt:variant>
        <vt:i4>0</vt:i4>
      </vt:variant>
      <vt:variant>
        <vt:i4>5</vt:i4>
      </vt:variant>
      <vt:variant>
        <vt:lpwstr/>
      </vt:variant>
      <vt:variant>
        <vt:lpwstr>_Toc362534156</vt:lpwstr>
      </vt:variant>
      <vt:variant>
        <vt:i4>1376307</vt:i4>
      </vt:variant>
      <vt:variant>
        <vt:i4>77</vt:i4>
      </vt:variant>
      <vt:variant>
        <vt:i4>0</vt:i4>
      </vt:variant>
      <vt:variant>
        <vt:i4>5</vt:i4>
      </vt:variant>
      <vt:variant>
        <vt:lpwstr/>
      </vt:variant>
      <vt:variant>
        <vt:lpwstr>_Toc362534155</vt:lpwstr>
      </vt:variant>
      <vt:variant>
        <vt:i4>1376307</vt:i4>
      </vt:variant>
      <vt:variant>
        <vt:i4>71</vt:i4>
      </vt:variant>
      <vt:variant>
        <vt:i4>0</vt:i4>
      </vt:variant>
      <vt:variant>
        <vt:i4>5</vt:i4>
      </vt:variant>
      <vt:variant>
        <vt:lpwstr/>
      </vt:variant>
      <vt:variant>
        <vt:lpwstr>_Toc362534154</vt:lpwstr>
      </vt:variant>
      <vt:variant>
        <vt:i4>1376307</vt:i4>
      </vt:variant>
      <vt:variant>
        <vt:i4>65</vt:i4>
      </vt:variant>
      <vt:variant>
        <vt:i4>0</vt:i4>
      </vt:variant>
      <vt:variant>
        <vt:i4>5</vt:i4>
      </vt:variant>
      <vt:variant>
        <vt:lpwstr/>
      </vt:variant>
      <vt:variant>
        <vt:lpwstr>_Toc362534153</vt:lpwstr>
      </vt:variant>
      <vt:variant>
        <vt:i4>1376307</vt:i4>
      </vt:variant>
      <vt:variant>
        <vt:i4>59</vt:i4>
      </vt:variant>
      <vt:variant>
        <vt:i4>0</vt:i4>
      </vt:variant>
      <vt:variant>
        <vt:i4>5</vt:i4>
      </vt:variant>
      <vt:variant>
        <vt:lpwstr/>
      </vt:variant>
      <vt:variant>
        <vt:lpwstr>_Toc362534152</vt:lpwstr>
      </vt:variant>
      <vt:variant>
        <vt:i4>1376307</vt:i4>
      </vt:variant>
      <vt:variant>
        <vt:i4>53</vt:i4>
      </vt:variant>
      <vt:variant>
        <vt:i4>0</vt:i4>
      </vt:variant>
      <vt:variant>
        <vt:i4>5</vt:i4>
      </vt:variant>
      <vt:variant>
        <vt:lpwstr/>
      </vt:variant>
      <vt:variant>
        <vt:lpwstr>_Toc362534151</vt:lpwstr>
      </vt:variant>
      <vt:variant>
        <vt:i4>1376307</vt:i4>
      </vt:variant>
      <vt:variant>
        <vt:i4>47</vt:i4>
      </vt:variant>
      <vt:variant>
        <vt:i4>0</vt:i4>
      </vt:variant>
      <vt:variant>
        <vt:i4>5</vt:i4>
      </vt:variant>
      <vt:variant>
        <vt:lpwstr/>
      </vt:variant>
      <vt:variant>
        <vt:lpwstr>_Toc362534150</vt:lpwstr>
      </vt:variant>
      <vt:variant>
        <vt:i4>1310771</vt:i4>
      </vt:variant>
      <vt:variant>
        <vt:i4>41</vt:i4>
      </vt:variant>
      <vt:variant>
        <vt:i4>0</vt:i4>
      </vt:variant>
      <vt:variant>
        <vt:i4>5</vt:i4>
      </vt:variant>
      <vt:variant>
        <vt:lpwstr/>
      </vt:variant>
      <vt:variant>
        <vt:lpwstr>_Toc362534149</vt:lpwstr>
      </vt:variant>
      <vt:variant>
        <vt:i4>1310771</vt:i4>
      </vt:variant>
      <vt:variant>
        <vt:i4>35</vt:i4>
      </vt:variant>
      <vt:variant>
        <vt:i4>0</vt:i4>
      </vt:variant>
      <vt:variant>
        <vt:i4>5</vt:i4>
      </vt:variant>
      <vt:variant>
        <vt:lpwstr/>
      </vt:variant>
      <vt:variant>
        <vt:lpwstr>_Toc362534148</vt:lpwstr>
      </vt:variant>
      <vt:variant>
        <vt:i4>1310771</vt:i4>
      </vt:variant>
      <vt:variant>
        <vt:i4>29</vt:i4>
      </vt:variant>
      <vt:variant>
        <vt:i4>0</vt:i4>
      </vt:variant>
      <vt:variant>
        <vt:i4>5</vt:i4>
      </vt:variant>
      <vt:variant>
        <vt:lpwstr/>
      </vt:variant>
      <vt:variant>
        <vt:lpwstr>_Toc362534147</vt:lpwstr>
      </vt:variant>
      <vt:variant>
        <vt:i4>1310771</vt:i4>
      </vt:variant>
      <vt:variant>
        <vt:i4>23</vt:i4>
      </vt:variant>
      <vt:variant>
        <vt:i4>0</vt:i4>
      </vt:variant>
      <vt:variant>
        <vt:i4>5</vt:i4>
      </vt:variant>
      <vt:variant>
        <vt:lpwstr/>
      </vt:variant>
      <vt:variant>
        <vt:lpwstr>_Toc362534146</vt:lpwstr>
      </vt:variant>
      <vt:variant>
        <vt:i4>1310771</vt:i4>
      </vt:variant>
      <vt:variant>
        <vt:i4>17</vt:i4>
      </vt:variant>
      <vt:variant>
        <vt:i4>0</vt:i4>
      </vt:variant>
      <vt:variant>
        <vt:i4>5</vt:i4>
      </vt:variant>
      <vt:variant>
        <vt:lpwstr/>
      </vt:variant>
      <vt:variant>
        <vt:lpwstr>_Toc362534145</vt:lpwstr>
      </vt:variant>
      <vt:variant>
        <vt:i4>1310771</vt:i4>
      </vt:variant>
      <vt:variant>
        <vt:i4>11</vt:i4>
      </vt:variant>
      <vt:variant>
        <vt:i4>0</vt:i4>
      </vt:variant>
      <vt:variant>
        <vt:i4>5</vt:i4>
      </vt:variant>
      <vt:variant>
        <vt:lpwstr/>
      </vt:variant>
      <vt:variant>
        <vt:lpwstr>_Toc362534144</vt:lpwstr>
      </vt:variant>
      <vt:variant>
        <vt:i4>6291548</vt:i4>
      </vt:variant>
      <vt:variant>
        <vt:i4>6</vt:i4>
      </vt:variant>
      <vt:variant>
        <vt:i4>0</vt:i4>
      </vt:variant>
      <vt:variant>
        <vt:i4>5</vt:i4>
      </vt:variant>
      <vt:variant>
        <vt:lpwstr>mailto:tga.copyright@tga.gov.au</vt:lpwstr>
      </vt:variant>
      <vt:variant>
        <vt:lpwstr/>
      </vt:variant>
      <vt:variant>
        <vt:i4>5701660</vt:i4>
      </vt:variant>
      <vt:variant>
        <vt:i4>3</vt:i4>
      </vt:variant>
      <vt:variant>
        <vt:i4>0</vt:i4>
      </vt:variant>
      <vt:variant>
        <vt:i4>5</vt:i4>
      </vt:variant>
      <vt:variant>
        <vt:lpwstr>http://www.tga.gov.au/hp/information-medicines-pi.htm</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azacitidine</dc:title>
  <dc:subject>prescription medicine regulation</dc:subject>
  <dc:creator>Therapeutic Goods Administration</dc:creator>
  <cp:keywords>clinical, evaluation, report, medicine, assessment, regulation, australia, azacitidine, vidaza</cp:keywords>
  <cp:lastModifiedBy>Bird, Gail</cp:lastModifiedBy>
  <cp:revision>5</cp:revision>
  <cp:lastPrinted>2010-12-20T21:59:00Z</cp:lastPrinted>
  <dcterms:created xsi:type="dcterms:W3CDTF">2013-10-14T03:18:00Z</dcterms:created>
  <dcterms:modified xsi:type="dcterms:W3CDTF">2013-10-14T03:21:00Z</dcterms:modified>
</cp:coreProperties>
</file>