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32" w:rsidRPr="00DC41AF" w:rsidRDefault="00570632">
      <w:pPr>
        <w:pStyle w:val="Title"/>
        <w:ind w:right="-331"/>
        <w:rPr>
          <w:b w:val="0"/>
          <w:lang w:val="en-AU"/>
        </w:rPr>
      </w:pPr>
    </w:p>
    <w:p w:rsidR="00570632" w:rsidRPr="00DC41AF" w:rsidRDefault="00570632">
      <w:pPr>
        <w:pStyle w:val="Title"/>
        <w:ind w:right="-331"/>
        <w:rPr>
          <w:b w:val="0"/>
          <w:lang w:val="en-AU"/>
        </w:rPr>
      </w:pPr>
    </w:p>
    <w:p w:rsidR="00570632" w:rsidRPr="00DC41AF" w:rsidRDefault="00570632">
      <w:pPr>
        <w:pStyle w:val="Title"/>
        <w:ind w:right="-331"/>
        <w:rPr>
          <w:u w:val="single"/>
          <w:lang w:val="en-AU"/>
        </w:rPr>
      </w:pPr>
      <w:r w:rsidRPr="00DC41AF">
        <w:rPr>
          <w:u w:val="single"/>
          <w:lang w:val="en-AU"/>
        </w:rPr>
        <w:t>PRODUCT INFORMATION</w:t>
      </w:r>
    </w:p>
    <w:p w:rsidR="00570632" w:rsidRPr="00DC41AF" w:rsidRDefault="00570632">
      <w:pPr>
        <w:pStyle w:val="Title"/>
        <w:ind w:right="-331"/>
        <w:rPr>
          <w:b w:val="0"/>
          <w:lang w:val="en-AU"/>
        </w:rPr>
      </w:pPr>
    </w:p>
    <w:p w:rsidR="00570632" w:rsidRPr="00DC41AF" w:rsidRDefault="00FE0D45">
      <w:pPr>
        <w:pStyle w:val="Title"/>
        <w:ind w:right="-331"/>
        <w:rPr>
          <w:lang w:val="en-AU"/>
        </w:rPr>
      </w:pPr>
      <w:r w:rsidRPr="00DC41AF">
        <w:rPr>
          <w:lang w:val="en-AU"/>
        </w:rPr>
        <w:t>Vidaza</w:t>
      </w:r>
      <w:r w:rsidRPr="00DC41AF">
        <w:rPr>
          <w:vertAlign w:val="superscript"/>
          <w:lang w:val="en-AU"/>
        </w:rPr>
        <w:t>®</w:t>
      </w:r>
      <w:r w:rsidR="00D50E8B" w:rsidRPr="00DC41AF">
        <w:rPr>
          <w:lang w:val="en-AU"/>
        </w:rPr>
        <w:t xml:space="preserve"> </w:t>
      </w:r>
      <w:r w:rsidR="004863B7" w:rsidRPr="00DC41AF">
        <w:rPr>
          <w:lang w:val="en-AU"/>
        </w:rPr>
        <w:t>(azacitidine)</w:t>
      </w:r>
      <w:r w:rsidR="00D50E8B" w:rsidRPr="00DC41AF">
        <w:rPr>
          <w:lang w:val="en-AU"/>
        </w:rPr>
        <w:t xml:space="preserve"> </w:t>
      </w:r>
      <w:r w:rsidR="00F871E9" w:rsidRPr="00DC41AF">
        <w:rPr>
          <w:lang w:val="en-AU"/>
        </w:rPr>
        <w:t>100</w:t>
      </w:r>
      <w:r w:rsidR="00D01251" w:rsidRPr="00DC41AF">
        <w:rPr>
          <w:lang w:val="en-AU"/>
        </w:rPr>
        <w:t> </w:t>
      </w:r>
      <w:r w:rsidR="00F871E9" w:rsidRPr="00DC41AF">
        <w:rPr>
          <w:lang w:val="en-AU"/>
        </w:rPr>
        <w:t xml:space="preserve">mg </w:t>
      </w:r>
      <w:r w:rsidR="00D50E8B" w:rsidRPr="00DC41AF">
        <w:rPr>
          <w:lang w:val="en-AU"/>
        </w:rPr>
        <w:t>Powder for Injection</w:t>
      </w:r>
    </w:p>
    <w:p w:rsidR="00570632" w:rsidRPr="00DC41AF" w:rsidRDefault="00570632" w:rsidP="00DC41AF">
      <w:pPr>
        <w:pStyle w:val="Title"/>
        <w:ind w:right="-331"/>
        <w:jc w:val="left"/>
        <w:rPr>
          <w:b w:val="0"/>
          <w:szCs w:val="24"/>
          <w:lang w:val="en-AU"/>
        </w:rPr>
      </w:pPr>
    </w:p>
    <w:p w:rsidR="00D50E8B" w:rsidRPr="00DC41AF" w:rsidRDefault="00D50E8B" w:rsidP="00DC41AF">
      <w:pPr>
        <w:tabs>
          <w:tab w:val="left" w:pos="6912"/>
        </w:tabs>
        <w:rPr>
          <w:sz w:val="24"/>
          <w:szCs w:val="24"/>
          <w:lang w:val="en-AU"/>
        </w:rPr>
      </w:pPr>
    </w:p>
    <w:p w:rsidR="00B52ACD" w:rsidRPr="00DC41AF" w:rsidRDefault="00570632" w:rsidP="00DC41AF">
      <w:pPr>
        <w:pStyle w:val="ListParagraph"/>
        <w:keepNext/>
        <w:numPr>
          <w:ilvl w:val="0"/>
          <w:numId w:val="11"/>
        </w:numPr>
        <w:tabs>
          <w:tab w:val="left" w:pos="6912"/>
        </w:tabs>
        <w:ind w:left="720"/>
        <w:rPr>
          <w:sz w:val="24"/>
          <w:lang w:val="en-AU"/>
        </w:rPr>
      </w:pPr>
      <w:r w:rsidRPr="00DC41AF">
        <w:rPr>
          <w:b/>
          <w:sz w:val="24"/>
          <w:lang w:val="en-AU"/>
        </w:rPr>
        <w:t>N</w:t>
      </w:r>
      <w:r w:rsidR="00CD4C84" w:rsidRPr="00DC41AF">
        <w:rPr>
          <w:b/>
          <w:sz w:val="24"/>
          <w:lang w:val="en-AU"/>
        </w:rPr>
        <w:t>ame of the medicine</w:t>
      </w:r>
    </w:p>
    <w:p w:rsidR="00570632" w:rsidRPr="00DC41AF" w:rsidRDefault="00883DBB" w:rsidP="00DC41AF">
      <w:pPr>
        <w:tabs>
          <w:tab w:val="left" w:pos="3060"/>
        </w:tabs>
        <w:spacing w:before="120"/>
        <w:rPr>
          <w:sz w:val="24"/>
          <w:szCs w:val="24"/>
          <w:lang w:val="en-AU"/>
        </w:rPr>
      </w:pPr>
      <w:r w:rsidRPr="00DC41AF">
        <w:rPr>
          <w:sz w:val="24"/>
          <w:szCs w:val="24"/>
          <w:lang w:val="en-AU"/>
        </w:rPr>
        <w:t>Australian Approved N</w:t>
      </w:r>
      <w:r w:rsidR="00E14703" w:rsidRPr="00DC41AF">
        <w:rPr>
          <w:sz w:val="24"/>
          <w:szCs w:val="24"/>
          <w:lang w:val="en-AU"/>
        </w:rPr>
        <w:t>ame</w:t>
      </w:r>
      <w:r w:rsidRPr="00DC41AF">
        <w:rPr>
          <w:sz w:val="24"/>
          <w:szCs w:val="24"/>
          <w:lang w:val="en-AU"/>
        </w:rPr>
        <w:t>:</w:t>
      </w:r>
      <w:r w:rsidRPr="00DC41AF">
        <w:rPr>
          <w:sz w:val="24"/>
          <w:szCs w:val="24"/>
          <w:lang w:val="en-AU"/>
        </w:rPr>
        <w:tab/>
        <w:t>azacitidine</w:t>
      </w:r>
    </w:p>
    <w:p w:rsidR="00883DBB" w:rsidRPr="00DC41AF" w:rsidRDefault="00883DBB" w:rsidP="00DC41AF">
      <w:pPr>
        <w:tabs>
          <w:tab w:val="left" w:pos="3060"/>
        </w:tabs>
        <w:rPr>
          <w:sz w:val="24"/>
          <w:szCs w:val="24"/>
          <w:vertAlign w:val="subscript"/>
          <w:lang w:val="en-AU"/>
        </w:rPr>
      </w:pPr>
      <w:r w:rsidRPr="00DC41AF">
        <w:rPr>
          <w:sz w:val="24"/>
          <w:szCs w:val="24"/>
          <w:lang w:val="en-AU"/>
        </w:rPr>
        <w:t>Molecular formula:</w:t>
      </w:r>
      <w:r w:rsidRPr="00DC41AF">
        <w:rPr>
          <w:sz w:val="24"/>
          <w:szCs w:val="24"/>
          <w:lang w:val="en-AU"/>
        </w:rPr>
        <w:tab/>
      </w:r>
      <w:r w:rsidR="0074399A" w:rsidRPr="00DC41AF">
        <w:rPr>
          <w:sz w:val="24"/>
          <w:szCs w:val="24"/>
          <w:lang w:val="en-AU"/>
        </w:rPr>
        <w:t>C</w:t>
      </w:r>
      <w:r w:rsidR="0074399A" w:rsidRPr="00DC41AF">
        <w:rPr>
          <w:sz w:val="24"/>
          <w:szCs w:val="24"/>
          <w:vertAlign w:val="subscript"/>
          <w:lang w:val="en-AU"/>
        </w:rPr>
        <w:t>8</w:t>
      </w:r>
      <w:r w:rsidR="0074399A" w:rsidRPr="00DC41AF">
        <w:rPr>
          <w:sz w:val="24"/>
          <w:szCs w:val="24"/>
          <w:lang w:val="en-AU"/>
        </w:rPr>
        <w:t>H</w:t>
      </w:r>
      <w:r w:rsidR="0074399A" w:rsidRPr="00DC41AF">
        <w:rPr>
          <w:sz w:val="24"/>
          <w:szCs w:val="24"/>
          <w:vertAlign w:val="subscript"/>
          <w:lang w:val="en-AU"/>
        </w:rPr>
        <w:t>12</w:t>
      </w:r>
      <w:r w:rsidR="0074399A" w:rsidRPr="00DC41AF">
        <w:rPr>
          <w:sz w:val="24"/>
          <w:szCs w:val="24"/>
          <w:lang w:val="en-AU"/>
        </w:rPr>
        <w:t>N</w:t>
      </w:r>
      <w:r w:rsidR="0074399A" w:rsidRPr="00DC41AF">
        <w:rPr>
          <w:sz w:val="24"/>
          <w:szCs w:val="24"/>
          <w:vertAlign w:val="subscript"/>
          <w:lang w:val="en-AU"/>
        </w:rPr>
        <w:t>4</w:t>
      </w:r>
      <w:r w:rsidR="0074399A" w:rsidRPr="00DC41AF">
        <w:rPr>
          <w:sz w:val="24"/>
          <w:szCs w:val="24"/>
          <w:lang w:val="en-AU"/>
        </w:rPr>
        <w:t>O</w:t>
      </w:r>
      <w:r w:rsidR="0074399A" w:rsidRPr="00DC41AF">
        <w:rPr>
          <w:sz w:val="24"/>
          <w:szCs w:val="24"/>
          <w:vertAlign w:val="subscript"/>
          <w:lang w:val="en-AU"/>
        </w:rPr>
        <w:t>5</w:t>
      </w:r>
    </w:p>
    <w:p w:rsidR="00883DBB" w:rsidRPr="00DC41AF" w:rsidRDefault="00883DBB" w:rsidP="00DC41AF">
      <w:pPr>
        <w:tabs>
          <w:tab w:val="left" w:pos="3060"/>
        </w:tabs>
        <w:rPr>
          <w:sz w:val="24"/>
          <w:szCs w:val="24"/>
          <w:lang w:val="en-AU"/>
        </w:rPr>
      </w:pPr>
      <w:r w:rsidRPr="00DC41AF">
        <w:rPr>
          <w:sz w:val="24"/>
          <w:szCs w:val="24"/>
          <w:lang w:val="en-AU"/>
        </w:rPr>
        <w:t>Molecular weight:</w:t>
      </w:r>
      <w:r w:rsidRPr="00DC41AF">
        <w:rPr>
          <w:sz w:val="24"/>
          <w:szCs w:val="24"/>
          <w:lang w:val="en-AU"/>
        </w:rPr>
        <w:tab/>
        <w:t>244</w:t>
      </w:r>
    </w:p>
    <w:p w:rsidR="00883DBB" w:rsidRPr="00DC41AF" w:rsidRDefault="00883DBB" w:rsidP="00DC41AF">
      <w:pPr>
        <w:tabs>
          <w:tab w:val="left" w:pos="3060"/>
        </w:tabs>
        <w:rPr>
          <w:sz w:val="24"/>
          <w:szCs w:val="24"/>
          <w:lang w:val="en-AU"/>
        </w:rPr>
      </w:pPr>
      <w:r w:rsidRPr="00DC41AF">
        <w:rPr>
          <w:sz w:val="24"/>
          <w:szCs w:val="24"/>
          <w:lang w:val="en-AU"/>
        </w:rPr>
        <w:t>The CAS number:</w:t>
      </w:r>
      <w:r w:rsidRPr="00DC41AF">
        <w:rPr>
          <w:sz w:val="24"/>
          <w:szCs w:val="24"/>
          <w:lang w:val="en-AU"/>
        </w:rPr>
        <w:tab/>
        <w:t>320-67-2</w:t>
      </w:r>
    </w:p>
    <w:p w:rsidR="00EB3007" w:rsidRPr="00DC41AF" w:rsidRDefault="00387497" w:rsidP="00DC41AF">
      <w:pPr>
        <w:tabs>
          <w:tab w:val="left" w:pos="3060"/>
        </w:tabs>
        <w:rPr>
          <w:sz w:val="24"/>
          <w:szCs w:val="24"/>
          <w:lang w:val="en-AU"/>
        </w:rPr>
      </w:pPr>
      <w:r w:rsidRPr="00DC41AF">
        <w:rPr>
          <w:sz w:val="24"/>
          <w:szCs w:val="24"/>
          <w:lang w:val="en-AU"/>
        </w:rPr>
        <w:t>Chemical name:</w:t>
      </w:r>
      <w:r w:rsidRPr="00DC41AF">
        <w:rPr>
          <w:sz w:val="24"/>
          <w:szCs w:val="24"/>
          <w:lang w:val="en-AU"/>
        </w:rPr>
        <w:tab/>
      </w:r>
      <w:r w:rsidR="0074399A" w:rsidRPr="00DC41AF">
        <w:rPr>
          <w:sz w:val="24"/>
          <w:szCs w:val="24"/>
          <w:lang w:val="en-AU"/>
        </w:rPr>
        <w:t>4-amino-1-</w:t>
      </w:r>
      <w:r w:rsidR="005F046D" w:rsidRPr="00DC41AF">
        <w:rPr>
          <w:sz w:val="24"/>
          <w:szCs w:val="24"/>
          <w:lang w:val="en-AU"/>
        </w:rPr>
        <w:sym w:font="Symbol" w:char="F062"/>
      </w:r>
      <w:r w:rsidR="0074399A" w:rsidRPr="00DC41AF">
        <w:rPr>
          <w:sz w:val="24"/>
          <w:szCs w:val="24"/>
          <w:lang w:val="en-AU"/>
        </w:rPr>
        <w:t>-D-ribofuranosyl-s-triazin-2(1</w:t>
      </w:r>
      <w:r w:rsidR="0074399A" w:rsidRPr="00DC41AF">
        <w:rPr>
          <w:i/>
          <w:sz w:val="24"/>
          <w:szCs w:val="24"/>
          <w:lang w:val="en-AU"/>
        </w:rPr>
        <w:t>H</w:t>
      </w:r>
      <w:r w:rsidR="0074399A" w:rsidRPr="00DC41AF">
        <w:rPr>
          <w:sz w:val="24"/>
          <w:szCs w:val="24"/>
          <w:lang w:val="en-AU"/>
        </w:rPr>
        <w:t>)-one</w:t>
      </w:r>
    </w:p>
    <w:p w:rsidR="005F046D" w:rsidRPr="00DC41AF" w:rsidRDefault="00387497" w:rsidP="00DC41AF">
      <w:pPr>
        <w:rPr>
          <w:sz w:val="24"/>
          <w:szCs w:val="24"/>
          <w:lang w:val="en-AU"/>
        </w:rPr>
      </w:pPr>
      <w:r w:rsidRPr="00DC41AF">
        <w:rPr>
          <w:sz w:val="24"/>
          <w:szCs w:val="24"/>
          <w:lang w:val="en-AU"/>
        </w:rPr>
        <w:t xml:space="preserve">Chemical structure: </w:t>
      </w:r>
    </w:p>
    <w:p w:rsidR="005F046D" w:rsidRPr="00DC41AF" w:rsidRDefault="00A468CD" w:rsidP="00A468CD">
      <w:pPr>
        <w:pStyle w:val="Header"/>
        <w:tabs>
          <w:tab w:val="clear" w:pos="4320"/>
          <w:tab w:val="clear" w:pos="8640"/>
        </w:tabs>
        <w:ind w:left="3150"/>
        <w:rPr>
          <w:lang w:val="en-AU"/>
        </w:rPr>
      </w:pPr>
      <w:r w:rsidRPr="00DC41AF">
        <w:rPr>
          <w:lang w:val="en-AU"/>
        </w:rPr>
        <w:object w:dxaOrig="2700" w:dyaOrig="3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58.25pt" o:ole="" fillcolor="window">
            <v:imagedata r:id="rId8" o:title=""/>
          </v:shape>
          <o:OLEObject Type="Embed" ProgID="ChemDraw.Document.6.0" ShapeID="_x0000_i1025" DrawAspect="Content" ObjectID="_1443265449" r:id="rId9"/>
        </w:object>
      </w:r>
    </w:p>
    <w:p w:rsidR="005F046D" w:rsidRPr="00DC41AF" w:rsidRDefault="005F046D" w:rsidP="00DC41AF">
      <w:pPr>
        <w:rPr>
          <w:sz w:val="24"/>
          <w:szCs w:val="24"/>
          <w:lang w:val="en-AU"/>
        </w:rPr>
      </w:pPr>
    </w:p>
    <w:p w:rsidR="00AE5660" w:rsidRPr="00DC41AF" w:rsidRDefault="00AE5660" w:rsidP="00DC41AF">
      <w:pPr>
        <w:rPr>
          <w:sz w:val="24"/>
          <w:szCs w:val="24"/>
          <w:lang w:val="en-AU"/>
        </w:rPr>
      </w:pPr>
    </w:p>
    <w:p w:rsidR="00B52ACD" w:rsidRPr="00DC41AF" w:rsidRDefault="000A1A7A" w:rsidP="00DC41AF">
      <w:pPr>
        <w:pStyle w:val="Heading1"/>
        <w:numPr>
          <w:ilvl w:val="0"/>
          <w:numId w:val="11"/>
        </w:numPr>
        <w:tabs>
          <w:tab w:val="left" w:pos="6912"/>
        </w:tabs>
        <w:ind w:left="720"/>
        <w:rPr>
          <w:rFonts w:ascii="Times New Roman" w:hAnsi="Times New Roman"/>
          <w:b/>
          <w:lang w:val="en-AU"/>
        </w:rPr>
      </w:pPr>
      <w:r w:rsidRPr="00DC41AF">
        <w:rPr>
          <w:rFonts w:ascii="Times New Roman" w:hAnsi="Times New Roman"/>
          <w:b/>
          <w:lang w:val="en-AU"/>
        </w:rPr>
        <w:t>D</w:t>
      </w:r>
      <w:r w:rsidR="00CD4C84" w:rsidRPr="00DC41AF">
        <w:rPr>
          <w:rFonts w:ascii="Times New Roman" w:hAnsi="Times New Roman"/>
          <w:b/>
          <w:lang w:val="en-AU"/>
        </w:rPr>
        <w:t>escription</w:t>
      </w:r>
    </w:p>
    <w:p w:rsidR="005F046D" w:rsidRPr="00DC41AF" w:rsidRDefault="005F046D" w:rsidP="00DC41AF">
      <w:pPr>
        <w:spacing w:before="120"/>
        <w:rPr>
          <w:sz w:val="24"/>
          <w:szCs w:val="24"/>
          <w:lang w:val="en-AU"/>
        </w:rPr>
      </w:pPr>
      <w:r w:rsidRPr="00DC41AF">
        <w:rPr>
          <w:sz w:val="24"/>
          <w:szCs w:val="24"/>
          <w:lang w:val="en-AU"/>
        </w:rPr>
        <w:t xml:space="preserve">Azacitidine is a white to off-white solid. </w:t>
      </w:r>
      <w:r w:rsidR="00B1524F" w:rsidRPr="00DC41AF">
        <w:rPr>
          <w:sz w:val="24"/>
          <w:szCs w:val="24"/>
          <w:lang w:val="en-AU"/>
        </w:rPr>
        <w:t xml:space="preserve">It is insoluble in acetone, ethanol, and methyl ethyl </w:t>
      </w:r>
      <w:proofErr w:type="spellStart"/>
      <w:r w:rsidR="00B1524F" w:rsidRPr="00DC41AF">
        <w:rPr>
          <w:sz w:val="24"/>
          <w:szCs w:val="24"/>
          <w:lang w:val="en-AU"/>
        </w:rPr>
        <w:t>ketone</w:t>
      </w:r>
      <w:proofErr w:type="spellEnd"/>
      <w:r w:rsidR="00B1524F" w:rsidRPr="00DC41AF">
        <w:rPr>
          <w:sz w:val="24"/>
          <w:szCs w:val="24"/>
          <w:lang w:val="en-AU"/>
        </w:rPr>
        <w:t>. Azacitidine is slightly soluble in ethanol</w:t>
      </w:r>
      <w:r w:rsidR="008A7627" w:rsidRPr="00DC41AF">
        <w:rPr>
          <w:sz w:val="24"/>
          <w:szCs w:val="24"/>
          <w:lang w:val="en-AU"/>
        </w:rPr>
        <w:t>/</w:t>
      </w:r>
      <w:r w:rsidR="00B1524F" w:rsidRPr="00DC41AF">
        <w:rPr>
          <w:sz w:val="24"/>
          <w:szCs w:val="24"/>
          <w:lang w:val="en-AU"/>
        </w:rPr>
        <w:t xml:space="preserve">water </w:t>
      </w:r>
      <w:r w:rsidR="008A7627" w:rsidRPr="00DC41AF">
        <w:rPr>
          <w:sz w:val="24"/>
          <w:szCs w:val="24"/>
          <w:lang w:val="en-AU"/>
        </w:rPr>
        <w:t xml:space="preserve">(50/50) </w:t>
      </w:r>
      <w:r w:rsidR="00B1524F" w:rsidRPr="00DC41AF">
        <w:rPr>
          <w:sz w:val="24"/>
          <w:szCs w:val="24"/>
          <w:lang w:val="en-AU"/>
        </w:rPr>
        <w:t>and propylene glycol; it is sparingly soluble in water (13.8 mg/mL), 5% glucose in water and in normal saline.</w:t>
      </w:r>
    </w:p>
    <w:p w:rsidR="005F046D" w:rsidRPr="00BC7BBD" w:rsidRDefault="005F046D" w:rsidP="00DC41AF">
      <w:pPr>
        <w:pStyle w:val="Header"/>
        <w:tabs>
          <w:tab w:val="clear" w:pos="4320"/>
          <w:tab w:val="clear" w:pos="8640"/>
        </w:tabs>
        <w:rPr>
          <w:sz w:val="24"/>
          <w:szCs w:val="24"/>
          <w:lang w:val="en-AU"/>
        </w:rPr>
      </w:pPr>
    </w:p>
    <w:p w:rsidR="00570632" w:rsidRPr="00DC41AF" w:rsidRDefault="005F046D" w:rsidP="00DC41AF">
      <w:pPr>
        <w:ind w:right="28"/>
        <w:rPr>
          <w:sz w:val="24"/>
          <w:szCs w:val="24"/>
          <w:lang w:val="en-AU"/>
        </w:rPr>
      </w:pPr>
      <w:r w:rsidRPr="00DC41AF">
        <w:rPr>
          <w:sz w:val="24"/>
          <w:szCs w:val="24"/>
          <w:lang w:val="en-AU"/>
        </w:rPr>
        <w:t xml:space="preserve">The finished product is supplied in a sterile form for reconstitution </w:t>
      </w:r>
      <w:r w:rsidR="00A877C0" w:rsidRPr="00DC41AF">
        <w:rPr>
          <w:sz w:val="24"/>
          <w:szCs w:val="24"/>
          <w:lang w:val="en-AU"/>
        </w:rPr>
        <w:t xml:space="preserve">as a suspension for </w:t>
      </w:r>
      <w:r w:rsidRPr="00DC41AF">
        <w:rPr>
          <w:sz w:val="24"/>
          <w:szCs w:val="24"/>
          <w:lang w:val="en-AU"/>
        </w:rPr>
        <w:t xml:space="preserve">subcutaneous injection </w:t>
      </w:r>
      <w:r w:rsidR="00A877C0" w:rsidRPr="00DC41AF">
        <w:rPr>
          <w:sz w:val="24"/>
          <w:szCs w:val="24"/>
          <w:lang w:val="en-AU"/>
        </w:rPr>
        <w:t>or reconstitution as a solution with further dilution for intravenous infusion</w:t>
      </w:r>
      <w:r w:rsidRPr="00DC41AF">
        <w:rPr>
          <w:sz w:val="24"/>
          <w:szCs w:val="24"/>
          <w:lang w:val="en-AU"/>
        </w:rPr>
        <w:t xml:space="preserve">. Vials of </w:t>
      </w:r>
      <w:r w:rsidR="00FE0D45" w:rsidRPr="00DC41AF">
        <w:rPr>
          <w:sz w:val="24"/>
          <w:szCs w:val="24"/>
          <w:lang w:val="en-AU"/>
        </w:rPr>
        <w:t>Vidaza</w:t>
      </w:r>
      <w:r w:rsidRPr="00DC41AF">
        <w:rPr>
          <w:sz w:val="24"/>
          <w:szCs w:val="24"/>
          <w:lang w:val="en-AU"/>
        </w:rPr>
        <w:t xml:space="preserve"> contain 100</w:t>
      </w:r>
      <w:r w:rsidR="00871673" w:rsidRPr="00DC41AF">
        <w:rPr>
          <w:sz w:val="24"/>
          <w:szCs w:val="24"/>
          <w:lang w:val="en-AU"/>
        </w:rPr>
        <w:t> </w:t>
      </w:r>
      <w:r w:rsidRPr="00DC41AF">
        <w:rPr>
          <w:sz w:val="24"/>
          <w:szCs w:val="24"/>
          <w:lang w:val="en-AU"/>
        </w:rPr>
        <w:t>mg of azacitidine and 100</w:t>
      </w:r>
      <w:r w:rsidR="00871673" w:rsidRPr="00DC41AF">
        <w:rPr>
          <w:sz w:val="24"/>
          <w:szCs w:val="24"/>
          <w:lang w:val="en-AU"/>
        </w:rPr>
        <w:t> </w:t>
      </w:r>
      <w:r w:rsidRPr="00DC41AF">
        <w:rPr>
          <w:sz w:val="24"/>
          <w:szCs w:val="24"/>
          <w:lang w:val="en-AU"/>
        </w:rPr>
        <w:t xml:space="preserve">mg mannitol as a </w:t>
      </w:r>
      <w:r w:rsidR="009E1E58" w:rsidRPr="00DC41AF">
        <w:rPr>
          <w:sz w:val="24"/>
          <w:szCs w:val="24"/>
          <w:lang w:val="en-AU"/>
        </w:rPr>
        <w:t>white to off-white, sterile lyophilised powder</w:t>
      </w:r>
      <w:r w:rsidRPr="00DC41AF">
        <w:rPr>
          <w:sz w:val="24"/>
          <w:szCs w:val="24"/>
          <w:lang w:val="en-AU"/>
        </w:rPr>
        <w:t>.</w:t>
      </w:r>
    </w:p>
    <w:p w:rsidR="006F3009" w:rsidRPr="00DC41AF" w:rsidRDefault="006F3009" w:rsidP="00DC41AF">
      <w:pPr>
        <w:pStyle w:val="Heading2"/>
        <w:keepNext w:val="0"/>
        <w:tabs>
          <w:tab w:val="left" w:pos="6912"/>
        </w:tabs>
        <w:rPr>
          <w:b w:val="0"/>
          <w:sz w:val="24"/>
          <w:szCs w:val="24"/>
          <w:lang w:val="en-AU"/>
        </w:rPr>
      </w:pPr>
    </w:p>
    <w:p w:rsidR="00AE5660" w:rsidRPr="00DC41AF" w:rsidRDefault="00AE5660" w:rsidP="00DC41AF">
      <w:pPr>
        <w:rPr>
          <w:sz w:val="24"/>
          <w:szCs w:val="24"/>
          <w:lang w:val="en-AU"/>
        </w:rPr>
      </w:pPr>
    </w:p>
    <w:p w:rsidR="00570632" w:rsidRPr="00DC41AF" w:rsidRDefault="007F2F35" w:rsidP="00DC41AF">
      <w:pPr>
        <w:pStyle w:val="Heading2"/>
        <w:numPr>
          <w:ilvl w:val="0"/>
          <w:numId w:val="11"/>
        </w:numPr>
        <w:tabs>
          <w:tab w:val="left" w:pos="6912"/>
        </w:tabs>
        <w:ind w:left="720"/>
        <w:rPr>
          <w:sz w:val="24"/>
          <w:lang w:val="en-AU"/>
        </w:rPr>
      </w:pPr>
      <w:r w:rsidRPr="00DC41AF">
        <w:rPr>
          <w:sz w:val="24"/>
          <w:lang w:val="en-AU"/>
        </w:rPr>
        <w:t>P</w:t>
      </w:r>
      <w:r w:rsidR="00CD4C84" w:rsidRPr="00DC41AF">
        <w:rPr>
          <w:sz w:val="24"/>
          <w:lang w:val="en-AU"/>
        </w:rPr>
        <w:t>harmacology</w:t>
      </w:r>
    </w:p>
    <w:p w:rsidR="00DB1048" w:rsidRPr="00DC41AF" w:rsidRDefault="00DB1048" w:rsidP="00DC41AF">
      <w:pPr>
        <w:keepNext/>
        <w:spacing w:before="120"/>
        <w:rPr>
          <w:b/>
          <w:sz w:val="24"/>
          <w:szCs w:val="24"/>
          <w:lang w:val="en-AU"/>
        </w:rPr>
      </w:pPr>
      <w:r w:rsidRPr="00DC41AF">
        <w:rPr>
          <w:b/>
          <w:sz w:val="24"/>
          <w:szCs w:val="24"/>
          <w:lang w:val="en-AU"/>
        </w:rPr>
        <w:t>Pharmacodynamic Properties</w:t>
      </w:r>
    </w:p>
    <w:p w:rsidR="009E1E58" w:rsidRPr="00DC41AF" w:rsidRDefault="009E1E58" w:rsidP="00DC41AF">
      <w:pPr>
        <w:spacing w:before="120"/>
        <w:rPr>
          <w:i/>
          <w:sz w:val="24"/>
          <w:szCs w:val="24"/>
          <w:lang w:val="en-AU"/>
        </w:rPr>
      </w:pPr>
      <w:proofErr w:type="spellStart"/>
      <w:r w:rsidRPr="00DC41AF">
        <w:rPr>
          <w:sz w:val="24"/>
          <w:szCs w:val="24"/>
          <w:lang w:val="en-AU"/>
        </w:rPr>
        <w:t>Pharmacotherapeutic</w:t>
      </w:r>
      <w:proofErr w:type="spellEnd"/>
      <w:r w:rsidRPr="00DC41AF">
        <w:rPr>
          <w:sz w:val="24"/>
          <w:szCs w:val="24"/>
          <w:lang w:val="en-AU"/>
        </w:rPr>
        <w:t xml:space="preserve"> group: </w:t>
      </w:r>
      <w:proofErr w:type="spellStart"/>
      <w:r w:rsidR="00F61808" w:rsidRPr="00DC41AF">
        <w:rPr>
          <w:sz w:val="24"/>
          <w:szCs w:val="24"/>
          <w:lang w:val="en-AU"/>
        </w:rPr>
        <w:t>Antineoplastic</w:t>
      </w:r>
      <w:proofErr w:type="spellEnd"/>
      <w:r w:rsidR="00F61808" w:rsidRPr="00DC41AF">
        <w:rPr>
          <w:sz w:val="24"/>
          <w:szCs w:val="24"/>
          <w:lang w:val="en-AU"/>
        </w:rPr>
        <w:t xml:space="preserve"> agent</w:t>
      </w:r>
      <w:r w:rsidR="00217355" w:rsidRPr="00DC41AF">
        <w:rPr>
          <w:sz w:val="24"/>
          <w:szCs w:val="24"/>
          <w:lang w:val="en-AU"/>
        </w:rPr>
        <w:t>s</w:t>
      </w:r>
      <w:r w:rsidRPr="00DC41AF">
        <w:rPr>
          <w:sz w:val="24"/>
          <w:szCs w:val="24"/>
          <w:lang w:val="en-AU"/>
        </w:rPr>
        <w:t xml:space="preserve">, </w:t>
      </w:r>
      <w:proofErr w:type="spellStart"/>
      <w:r w:rsidR="00F07AE0" w:rsidRPr="00DC41AF">
        <w:rPr>
          <w:sz w:val="24"/>
          <w:szCs w:val="24"/>
          <w:lang w:val="en-AU"/>
        </w:rPr>
        <w:t>antimetabolites</w:t>
      </w:r>
      <w:proofErr w:type="spellEnd"/>
      <w:r w:rsidR="00F07AE0" w:rsidRPr="00DC41AF">
        <w:rPr>
          <w:sz w:val="24"/>
          <w:szCs w:val="24"/>
          <w:lang w:val="en-AU"/>
        </w:rPr>
        <w:t xml:space="preserve">, </w:t>
      </w:r>
      <w:proofErr w:type="spellStart"/>
      <w:r w:rsidR="00F07AE0" w:rsidRPr="00DC41AF">
        <w:rPr>
          <w:sz w:val="24"/>
          <w:szCs w:val="24"/>
          <w:lang w:val="en-AU"/>
        </w:rPr>
        <w:t>pyrimidine</w:t>
      </w:r>
      <w:proofErr w:type="spellEnd"/>
      <w:r w:rsidR="00F07AE0" w:rsidRPr="00DC41AF">
        <w:rPr>
          <w:sz w:val="24"/>
          <w:szCs w:val="24"/>
          <w:lang w:val="en-AU"/>
        </w:rPr>
        <w:t xml:space="preserve"> analogues, </w:t>
      </w:r>
      <w:r w:rsidRPr="00DC41AF">
        <w:rPr>
          <w:sz w:val="24"/>
          <w:szCs w:val="24"/>
          <w:lang w:val="en-AU"/>
        </w:rPr>
        <w:t xml:space="preserve">ATC code: </w:t>
      </w:r>
      <w:r w:rsidRPr="00DC41AF">
        <w:rPr>
          <w:i/>
          <w:sz w:val="24"/>
          <w:szCs w:val="24"/>
          <w:lang w:val="en-AU"/>
        </w:rPr>
        <w:t>L01BC</w:t>
      </w:r>
      <w:r w:rsidR="00F61808" w:rsidRPr="00DC41AF">
        <w:rPr>
          <w:i/>
          <w:sz w:val="24"/>
          <w:szCs w:val="24"/>
          <w:lang w:val="en-AU"/>
        </w:rPr>
        <w:t>07</w:t>
      </w:r>
    </w:p>
    <w:p w:rsidR="00C21DA7" w:rsidRPr="00DC41AF" w:rsidRDefault="00C21DA7" w:rsidP="00DC41AF">
      <w:pPr>
        <w:rPr>
          <w:sz w:val="24"/>
          <w:szCs w:val="24"/>
          <w:lang w:val="en-AU"/>
        </w:rPr>
      </w:pPr>
    </w:p>
    <w:p w:rsidR="005B1DDE" w:rsidRPr="00DC41AF" w:rsidRDefault="00F61808" w:rsidP="00DC41AF">
      <w:pPr>
        <w:rPr>
          <w:sz w:val="24"/>
          <w:szCs w:val="24"/>
          <w:lang w:val="en-AU"/>
        </w:rPr>
      </w:pPr>
      <w:r w:rsidRPr="00DC41AF">
        <w:rPr>
          <w:sz w:val="24"/>
          <w:szCs w:val="24"/>
          <w:lang w:val="en-AU"/>
        </w:rPr>
        <w:t xml:space="preserve">Azacitidine is believed to exert its </w:t>
      </w:r>
      <w:proofErr w:type="spellStart"/>
      <w:r w:rsidRPr="00DC41AF">
        <w:rPr>
          <w:sz w:val="24"/>
          <w:szCs w:val="24"/>
          <w:lang w:val="en-AU"/>
        </w:rPr>
        <w:t>antineoplastic</w:t>
      </w:r>
      <w:proofErr w:type="spellEnd"/>
      <w:r w:rsidRPr="00DC41AF">
        <w:rPr>
          <w:sz w:val="24"/>
          <w:szCs w:val="24"/>
          <w:lang w:val="en-AU"/>
        </w:rPr>
        <w:t xml:space="preserve"> effects by causing </w:t>
      </w:r>
      <w:proofErr w:type="spellStart"/>
      <w:r w:rsidRPr="00DC41AF">
        <w:rPr>
          <w:sz w:val="24"/>
          <w:szCs w:val="24"/>
          <w:lang w:val="en-AU"/>
        </w:rPr>
        <w:t>hypomethylation</w:t>
      </w:r>
      <w:proofErr w:type="spellEnd"/>
      <w:r w:rsidRPr="00DC41AF">
        <w:rPr>
          <w:sz w:val="24"/>
          <w:szCs w:val="24"/>
          <w:lang w:val="en-AU"/>
        </w:rPr>
        <w:t xml:space="preserve"> of DNA and direct </w:t>
      </w:r>
      <w:proofErr w:type="spellStart"/>
      <w:r w:rsidRPr="00DC41AF">
        <w:rPr>
          <w:sz w:val="24"/>
          <w:szCs w:val="24"/>
          <w:lang w:val="en-AU"/>
        </w:rPr>
        <w:t>cytotoxicity</w:t>
      </w:r>
      <w:proofErr w:type="spellEnd"/>
      <w:r w:rsidRPr="00DC41AF">
        <w:rPr>
          <w:sz w:val="24"/>
          <w:szCs w:val="24"/>
          <w:lang w:val="en-AU"/>
        </w:rPr>
        <w:t xml:space="preserve"> on abnormal h</w:t>
      </w:r>
      <w:r w:rsidR="006D61F2" w:rsidRPr="00DC41AF">
        <w:rPr>
          <w:sz w:val="24"/>
          <w:szCs w:val="24"/>
          <w:lang w:val="en-AU"/>
        </w:rPr>
        <w:t>a</w:t>
      </w:r>
      <w:r w:rsidRPr="00DC41AF">
        <w:rPr>
          <w:sz w:val="24"/>
          <w:szCs w:val="24"/>
          <w:lang w:val="en-AU"/>
        </w:rPr>
        <w:t>ematopoietic cells in the bone marrow.</w:t>
      </w:r>
    </w:p>
    <w:p w:rsidR="00F61808" w:rsidRPr="00DC41AF" w:rsidRDefault="00F61808" w:rsidP="00DC41AF">
      <w:pPr>
        <w:rPr>
          <w:sz w:val="24"/>
          <w:szCs w:val="24"/>
          <w:lang w:val="en-AU"/>
        </w:rPr>
      </w:pPr>
      <w:r w:rsidRPr="00DC41AF">
        <w:rPr>
          <w:sz w:val="24"/>
          <w:szCs w:val="24"/>
          <w:lang w:val="en-AU"/>
        </w:rPr>
        <w:lastRenderedPageBreak/>
        <w:t xml:space="preserve">DNA </w:t>
      </w:r>
      <w:proofErr w:type="spellStart"/>
      <w:r w:rsidRPr="00DC41AF">
        <w:rPr>
          <w:sz w:val="24"/>
          <w:szCs w:val="24"/>
          <w:lang w:val="en-AU"/>
        </w:rPr>
        <w:t>hypomethylation</w:t>
      </w:r>
      <w:proofErr w:type="spellEnd"/>
      <w:r w:rsidRPr="00DC41AF">
        <w:rPr>
          <w:sz w:val="24"/>
          <w:szCs w:val="24"/>
          <w:lang w:val="en-AU"/>
        </w:rPr>
        <w:t xml:space="preserve"> may allow for the re-expression of genes involved in normal cell cycle regulation and differentiation. The </w:t>
      </w:r>
      <w:proofErr w:type="spellStart"/>
      <w:r w:rsidRPr="00DC41AF">
        <w:rPr>
          <w:sz w:val="24"/>
          <w:szCs w:val="24"/>
          <w:lang w:val="en-AU"/>
        </w:rPr>
        <w:t>cytotoxic</w:t>
      </w:r>
      <w:proofErr w:type="spellEnd"/>
      <w:r w:rsidRPr="00DC41AF">
        <w:rPr>
          <w:sz w:val="24"/>
          <w:szCs w:val="24"/>
          <w:lang w:val="en-AU"/>
        </w:rPr>
        <w:t xml:space="preserve"> effects of </w:t>
      </w:r>
      <w:proofErr w:type="spellStart"/>
      <w:r w:rsidRPr="00DC41AF">
        <w:rPr>
          <w:sz w:val="24"/>
          <w:szCs w:val="24"/>
          <w:lang w:val="en-AU"/>
        </w:rPr>
        <w:t>azacitidine</w:t>
      </w:r>
      <w:proofErr w:type="spellEnd"/>
      <w:r w:rsidRPr="00DC41AF">
        <w:rPr>
          <w:sz w:val="24"/>
          <w:szCs w:val="24"/>
          <w:lang w:val="en-AU"/>
        </w:rPr>
        <w:t xml:space="preserve"> may be due in part to its incorporation into RNA with subsequent inhibition of protein synthesis and/or its ability to activate DNA damage pathways leading to apoptosis. </w:t>
      </w:r>
      <w:r w:rsidR="00433D3C" w:rsidRPr="00DC41AF">
        <w:rPr>
          <w:i/>
          <w:sz w:val="24"/>
          <w:szCs w:val="24"/>
          <w:lang w:val="en-AU"/>
        </w:rPr>
        <w:t>In</w:t>
      </w:r>
      <w:r w:rsidR="00B14E5E" w:rsidRPr="00DC41AF">
        <w:rPr>
          <w:i/>
          <w:sz w:val="24"/>
          <w:szCs w:val="24"/>
          <w:lang w:val="en-AU"/>
        </w:rPr>
        <w:t> </w:t>
      </w:r>
      <w:r w:rsidR="00433D3C" w:rsidRPr="00DC41AF">
        <w:rPr>
          <w:i/>
          <w:sz w:val="24"/>
          <w:szCs w:val="24"/>
          <w:lang w:val="en-AU"/>
        </w:rPr>
        <w:t>vitro</w:t>
      </w:r>
      <w:r w:rsidR="00433D3C" w:rsidRPr="00DC41AF">
        <w:rPr>
          <w:sz w:val="24"/>
          <w:szCs w:val="24"/>
          <w:lang w:val="en-AU"/>
        </w:rPr>
        <w:t>, n</w:t>
      </w:r>
      <w:r w:rsidRPr="00DC41AF">
        <w:rPr>
          <w:sz w:val="24"/>
          <w:szCs w:val="24"/>
          <w:lang w:val="en-AU"/>
        </w:rPr>
        <w:t>on-proliferating cells are relatively insensitive to azacitidine.</w:t>
      </w:r>
    </w:p>
    <w:p w:rsidR="009E1E58" w:rsidRPr="00DC41AF" w:rsidRDefault="009E1E58" w:rsidP="00DC41AF">
      <w:pPr>
        <w:rPr>
          <w:color w:val="000000"/>
          <w:sz w:val="24"/>
          <w:szCs w:val="24"/>
          <w:lang w:val="en-AU"/>
        </w:rPr>
      </w:pPr>
    </w:p>
    <w:p w:rsidR="00E00A6A" w:rsidRPr="00DC41AF" w:rsidRDefault="00E00A6A" w:rsidP="00DC41AF">
      <w:pPr>
        <w:keepNext/>
        <w:ind w:left="567" w:hanging="567"/>
        <w:rPr>
          <w:sz w:val="24"/>
          <w:szCs w:val="24"/>
          <w:lang w:val="en-AU"/>
        </w:rPr>
      </w:pPr>
      <w:r w:rsidRPr="00DC41AF">
        <w:rPr>
          <w:b/>
          <w:sz w:val="24"/>
          <w:szCs w:val="24"/>
          <w:lang w:val="en-AU"/>
        </w:rPr>
        <w:t>Pharmacokinetic properties</w:t>
      </w:r>
    </w:p>
    <w:p w:rsidR="00E00A6A" w:rsidRPr="00DC41AF" w:rsidRDefault="00E00A6A" w:rsidP="00DC41AF">
      <w:pPr>
        <w:spacing w:before="120"/>
        <w:rPr>
          <w:sz w:val="24"/>
          <w:szCs w:val="24"/>
          <w:lang w:val="en-AU"/>
        </w:rPr>
      </w:pPr>
      <w:r w:rsidRPr="00DC41AF">
        <w:rPr>
          <w:sz w:val="24"/>
          <w:szCs w:val="24"/>
          <w:lang w:val="en-AU"/>
        </w:rPr>
        <w:t xml:space="preserve">The effects of renal or hepatic impairment, gender, age, or race on the pharmacokinetics of azacitidine have not been formally studied. </w:t>
      </w:r>
    </w:p>
    <w:p w:rsidR="00E00A6A" w:rsidRPr="00DC41AF" w:rsidRDefault="00E00A6A" w:rsidP="00DC41AF">
      <w:pPr>
        <w:ind w:left="567" w:hanging="567"/>
        <w:rPr>
          <w:sz w:val="24"/>
          <w:szCs w:val="24"/>
          <w:u w:val="single"/>
          <w:lang w:val="en-AU"/>
        </w:rPr>
      </w:pPr>
    </w:p>
    <w:p w:rsidR="00E00A6A" w:rsidRPr="00DC41AF" w:rsidRDefault="00E00A6A" w:rsidP="00DC41AF">
      <w:pPr>
        <w:keepNext/>
        <w:rPr>
          <w:sz w:val="24"/>
          <w:szCs w:val="24"/>
          <w:u w:val="single"/>
          <w:lang w:val="en-AU"/>
        </w:rPr>
      </w:pPr>
      <w:r w:rsidRPr="00DC41AF">
        <w:rPr>
          <w:sz w:val="24"/>
          <w:szCs w:val="24"/>
          <w:u w:val="single"/>
          <w:lang w:val="en-AU"/>
        </w:rPr>
        <w:t>Absorption and distribution</w:t>
      </w:r>
    </w:p>
    <w:p w:rsidR="00BE2C03" w:rsidRPr="00DC41AF" w:rsidRDefault="000F6EFB" w:rsidP="00DC41AF">
      <w:pPr>
        <w:spacing w:before="120"/>
        <w:rPr>
          <w:color w:val="000000"/>
          <w:sz w:val="24"/>
          <w:szCs w:val="24"/>
          <w:lang w:val="en-AU"/>
        </w:rPr>
      </w:pPr>
      <w:r w:rsidRPr="00DC41AF">
        <w:rPr>
          <w:color w:val="000000"/>
          <w:sz w:val="24"/>
          <w:szCs w:val="24"/>
          <w:lang w:val="en-AU"/>
        </w:rPr>
        <w:t>The pharmacokinetics of azacitidine were studied following single 75 mg/m</w:t>
      </w:r>
      <w:r w:rsidRPr="00DC41AF">
        <w:rPr>
          <w:color w:val="000000"/>
          <w:sz w:val="24"/>
          <w:szCs w:val="24"/>
          <w:vertAlign w:val="superscript"/>
          <w:lang w:val="en-AU"/>
        </w:rPr>
        <w:t>2</w:t>
      </w:r>
      <w:r w:rsidRPr="00DC41AF">
        <w:rPr>
          <w:color w:val="000000"/>
          <w:sz w:val="24"/>
          <w:szCs w:val="24"/>
          <w:lang w:val="en-AU"/>
        </w:rPr>
        <w:t xml:space="preserve"> SC and IV doses. Azacitidine was rapidly absorbed after SC administration with peak plasma azacitidine concentrations of </w:t>
      </w:r>
      <w:r w:rsidR="00B31635" w:rsidRPr="00DC41AF">
        <w:rPr>
          <w:color w:val="000000"/>
          <w:sz w:val="24"/>
          <w:szCs w:val="24"/>
          <w:lang w:val="en-AU"/>
        </w:rPr>
        <w:t>687</w:t>
      </w:r>
      <w:r w:rsidRPr="00DC41AF">
        <w:rPr>
          <w:color w:val="000000"/>
          <w:sz w:val="24"/>
          <w:szCs w:val="24"/>
          <w:lang w:val="en-AU"/>
        </w:rPr>
        <w:t> </w:t>
      </w:r>
      <w:proofErr w:type="spellStart"/>
      <w:r w:rsidRPr="00DC41AF">
        <w:rPr>
          <w:color w:val="000000"/>
          <w:sz w:val="24"/>
          <w:szCs w:val="24"/>
          <w:lang w:val="en-AU"/>
        </w:rPr>
        <w:t>ng</w:t>
      </w:r>
      <w:proofErr w:type="spellEnd"/>
      <w:r w:rsidRPr="00DC41AF">
        <w:rPr>
          <w:color w:val="000000"/>
          <w:sz w:val="24"/>
          <w:szCs w:val="24"/>
          <w:lang w:val="en-AU"/>
        </w:rPr>
        <w:t>/</w:t>
      </w:r>
      <w:proofErr w:type="spellStart"/>
      <w:r w:rsidRPr="00DC41AF">
        <w:rPr>
          <w:color w:val="000000"/>
          <w:sz w:val="24"/>
          <w:szCs w:val="24"/>
          <w:lang w:val="en-AU"/>
        </w:rPr>
        <w:t>mL</w:t>
      </w:r>
      <w:proofErr w:type="spellEnd"/>
      <w:r w:rsidRPr="00DC41AF">
        <w:rPr>
          <w:color w:val="000000"/>
          <w:sz w:val="24"/>
          <w:szCs w:val="24"/>
          <w:lang w:val="en-AU"/>
        </w:rPr>
        <w:t xml:space="preserve"> </w:t>
      </w:r>
      <w:r w:rsidR="00B31635" w:rsidRPr="00DC41AF">
        <w:rPr>
          <w:color w:val="000000"/>
          <w:sz w:val="24"/>
          <w:szCs w:val="24"/>
          <w:lang w:val="en-AU"/>
        </w:rPr>
        <w:t xml:space="preserve">(geometric mean) </w:t>
      </w:r>
      <w:r w:rsidRPr="00DC41AF">
        <w:rPr>
          <w:color w:val="000000"/>
          <w:sz w:val="24"/>
          <w:szCs w:val="24"/>
          <w:lang w:val="en-AU"/>
        </w:rPr>
        <w:t>occurring at 0.5 hour (the first sampling point) after dosing. Azacitidine disappeared from plasma rapidly with a mean half-life after SC administration of 41 ± 8 minutes. The absolute bioavailability of SC azacitidine relative to IV azacitidine was approximately 89% based on area under the curve. Following IV dosing, the mea</w:t>
      </w:r>
      <w:r w:rsidR="00896D20" w:rsidRPr="00DC41AF">
        <w:rPr>
          <w:color w:val="000000"/>
          <w:sz w:val="24"/>
          <w:szCs w:val="24"/>
          <w:lang w:val="en-AU"/>
        </w:rPr>
        <w:t>n volume of distribution was 76 ± </w:t>
      </w:r>
      <w:r w:rsidRPr="00DC41AF">
        <w:rPr>
          <w:color w:val="000000"/>
          <w:sz w:val="24"/>
          <w:szCs w:val="24"/>
          <w:lang w:val="en-AU"/>
        </w:rPr>
        <w:t>26</w:t>
      </w:r>
      <w:r w:rsidR="00B14E5E" w:rsidRPr="00DC41AF">
        <w:rPr>
          <w:color w:val="000000"/>
          <w:sz w:val="24"/>
          <w:szCs w:val="24"/>
          <w:lang w:val="en-AU"/>
        </w:rPr>
        <w:t> </w:t>
      </w:r>
      <w:r w:rsidRPr="00DC41AF">
        <w:rPr>
          <w:color w:val="000000"/>
          <w:sz w:val="24"/>
          <w:szCs w:val="24"/>
          <w:lang w:val="en-AU"/>
        </w:rPr>
        <w:t>L</w:t>
      </w:r>
      <w:r w:rsidR="00B52ACD" w:rsidRPr="00DC41AF">
        <w:rPr>
          <w:color w:val="000000"/>
          <w:sz w:val="24"/>
          <w:szCs w:val="24"/>
          <w:lang w:val="en-AU"/>
        </w:rPr>
        <w:t>,</w:t>
      </w:r>
      <w:r w:rsidRPr="00DC41AF">
        <w:rPr>
          <w:color w:val="000000"/>
          <w:sz w:val="24"/>
          <w:szCs w:val="24"/>
          <w:lang w:val="en-AU"/>
        </w:rPr>
        <w:t xml:space="preserve"> systemic clearance w</w:t>
      </w:r>
      <w:r w:rsidR="00896D20" w:rsidRPr="00DC41AF">
        <w:rPr>
          <w:color w:val="000000"/>
          <w:sz w:val="24"/>
          <w:szCs w:val="24"/>
          <w:lang w:val="en-AU"/>
        </w:rPr>
        <w:t>as 147 ± </w:t>
      </w:r>
      <w:r w:rsidRPr="00DC41AF">
        <w:rPr>
          <w:color w:val="000000"/>
          <w:sz w:val="24"/>
          <w:szCs w:val="24"/>
          <w:lang w:val="en-AU"/>
        </w:rPr>
        <w:t>47 L/hr</w:t>
      </w:r>
      <w:r w:rsidR="00B52ACD" w:rsidRPr="00DC41AF">
        <w:rPr>
          <w:sz w:val="24"/>
          <w:szCs w:val="24"/>
          <w:lang w:val="en-AU"/>
        </w:rPr>
        <w:t xml:space="preserve"> and </w:t>
      </w:r>
      <w:proofErr w:type="spellStart"/>
      <w:r w:rsidR="00B52ACD" w:rsidRPr="00DC41AF">
        <w:rPr>
          <w:sz w:val="24"/>
          <w:szCs w:val="24"/>
          <w:lang w:val="en-AU"/>
        </w:rPr>
        <w:t>C</w:t>
      </w:r>
      <w:r w:rsidR="00B52ACD" w:rsidRPr="00DC41AF">
        <w:rPr>
          <w:sz w:val="24"/>
          <w:szCs w:val="24"/>
          <w:vertAlign w:val="subscript"/>
          <w:lang w:val="en-AU"/>
        </w:rPr>
        <w:t>max</w:t>
      </w:r>
      <w:proofErr w:type="spellEnd"/>
      <w:r w:rsidR="00B52ACD" w:rsidRPr="00DC41AF">
        <w:rPr>
          <w:sz w:val="24"/>
          <w:szCs w:val="24"/>
          <w:lang w:val="en-AU"/>
        </w:rPr>
        <w:t xml:space="preserve"> was 2580</w:t>
      </w:r>
      <w:r w:rsidR="00896D20" w:rsidRPr="00DC41AF">
        <w:rPr>
          <w:sz w:val="24"/>
          <w:szCs w:val="24"/>
          <w:lang w:val="en-AU"/>
        </w:rPr>
        <w:t> </w:t>
      </w:r>
      <w:proofErr w:type="spellStart"/>
      <w:r w:rsidR="00B52ACD" w:rsidRPr="00DC41AF">
        <w:rPr>
          <w:sz w:val="24"/>
          <w:szCs w:val="24"/>
          <w:lang w:val="en-AU"/>
        </w:rPr>
        <w:t>ng</w:t>
      </w:r>
      <w:proofErr w:type="spellEnd"/>
      <w:r w:rsidR="00B52ACD" w:rsidRPr="00DC41AF">
        <w:rPr>
          <w:sz w:val="24"/>
          <w:szCs w:val="24"/>
          <w:lang w:val="en-AU"/>
        </w:rPr>
        <w:t>/</w:t>
      </w:r>
      <w:proofErr w:type="spellStart"/>
      <w:r w:rsidR="00B52ACD" w:rsidRPr="00DC41AF">
        <w:rPr>
          <w:sz w:val="24"/>
          <w:szCs w:val="24"/>
          <w:lang w:val="en-AU"/>
        </w:rPr>
        <w:t>mL.</w:t>
      </w:r>
      <w:proofErr w:type="spellEnd"/>
      <w:r w:rsidR="00B52ACD" w:rsidRPr="00DC41AF">
        <w:rPr>
          <w:sz w:val="24"/>
          <w:szCs w:val="24"/>
          <w:lang w:val="en-AU"/>
        </w:rPr>
        <w:t xml:space="preserve"> The differences in </w:t>
      </w:r>
      <w:proofErr w:type="spellStart"/>
      <w:r w:rsidR="00B52ACD" w:rsidRPr="00DC41AF">
        <w:rPr>
          <w:sz w:val="24"/>
          <w:szCs w:val="24"/>
          <w:lang w:val="en-AU"/>
        </w:rPr>
        <w:t>C</w:t>
      </w:r>
      <w:r w:rsidR="00B52ACD" w:rsidRPr="00DC41AF">
        <w:rPr>
          <w:sz w:val="24"/>
          <w:szCs w:val="24"/>
          <w:vertAlign w:val="subscript"/>
          <w:lang w:val="en-AU"/>
        </w:rPr>
        <w:t>max</w:t>
      </w:r>
      <w:proofErr w:type="spellEnd"/>
      <w:r w:rsidR="00B52ACD" w:rsidRPr="00DC41AF">
        <w:rPr>
          <w:sz w:val="24"/>
          <w:szCs w:val="24"/>
          <w:lang w:val="en-AU"/>
        </w:rPr>
        <w:t xml:space="preserve"> after SC and IV administration are consistent with higher maximum exposure expected following IV versus </w:t>
      </w:r>
      <w:proofErr w:type="spellStart"/>
      <w:r w:rsidR="00B52ACD" w:rsidRPr="00DC41AF">
        <w:rPr>
          <w:sz w:val="24"/>
          <w:szCs w:val="24"/>
          <w:lang w:val="en-AU"/>
        </w:rPr>
        <w:t>extravascular</w:t>
      </w:r>
      <w:proofErr w:type="spellEnd"/>
      <w:r w:rsidR="00B52ACD" w:rsidRPr="00DC41AF">
        <w:rPr>
          <w:sz w:val="24"/>
          <w:szCs w:val="24"/>
          <w:lang w:val="en-AU"/>
        </w:rPr>
        <w:t xml:space="preserve"> drug administration.</w:t>
      </w:r>
    </w:p>
    <w:p w:rsidR="00E00A6A" w:rsidRPr="00DC41AF" w:rsidRDefault="00E00A6A" w:rsidP="00DC41AF">
      <w:pPr>
        <w:rPr>
          <w:sz w:val="24"/>
          <w:szCs w:val="24"/>
          <w:lang w:val="en-AU"/>
        </w:rPr>
      </w:pPr>
    </w:p>
    <w:p w:rsidR="000F6EFB" w:rsidRPr="00DC41AF" w:rsidRDefault="00E00A6A" w:rsidP="00DC41AF">
      <w:pPr>
        <w:keepNext/>
        <w:rPr>
          <w:sz w:val="24"/>
          <w:szCs w:val="24"/>
          <w:u w:val="single"/>
          <w:lang w:val="en-AU"/>
        </w:rPr>
      </w:pPr>
      <w:r w:rsidRPr="00DC41AF">
        <w:rPr>
          <w:sz w:val="24"/>
          <w:szCs w:val="24"/>
          <w:u w:val="single"/>
          <w:lang w:val="en-AU"/>
        </w:rPr>
        <w:t>Metabolism</w:t>
      </w:r>
    </w:p>
    <w:p w:rsidR="00BE2C03" w:rsidRPr="00DC41AF" w:rsidRDefault="00BE2C03" w:rsidP="00DC41AF">
      <w:pPr>
        <w:spacing w:before="120"/>
        <w:rPr>
          <w:iCs/>
          <w:sz w:val="24"/>
          <w:szCs w:val="24"/>
          <w:lang w:val="en-AU"/>
        </w:rPr>
      </w:pPr>
      <w:r w:rsidRPr="00DC41AF">
        <w:rPr>
          <w:iCs/>
          <w:sz w:val="24"/>
          <w:szCs w:val="24"/>
          <w:lang w:val="en-AU"/>
        </w:rPr>
        <w:t xml:space="preserve">Based on </w:t>
      </w:r>
      <w:r w:rsidRPr="00DC41AF">
        <w:rPr>
          <w:i/>
          <w:iCs/>
          <w:sz w:val="24"/>
          <w:szCs w:val="24"/>
          <w:lang w:val="en-AU"/>
        </w:rPr>
        <w:t>in vitro</w:t>
      </w:r>
      <w:r w:rsidRPr="00DC41AF">
        <w:rPr>
          <w:iCs/>
          <w:sz w:val="24"/>
          <w:szCs w:val="24"/>
          <w:lang w:val="en-AU"/>
        </w:rPr>
        <w:t xml:space="preserve"> data, azacitidine metabolism does not appear to be mediated by </w:t>
      </w:r>
      <w:proofErr w:type="spellStart"/>
      <w:r w:rsidRPr="00DC41AF">
        <w:rPr>
          <w:iCs/>
          <w:sz w:val="24"/>
          <w:szCs w:val="24"/>
          <w:lang w:val="en-AU"/>
        </w:rPr>
        <w:t>cytochrome</w:t>
      </w:r>
      <w:proofErr w:type="spellEnd"/>
      <w:r w:rsidRPr="00DC41AF">
        <w:rPr>
          <w:iCs/>
          <w:sz w:val="24"/>
          <w:szCs w:val="24"/>
          <w:lang w:val="en-AU"/>
        </w:rPr>
        <w:t xml:space="preserve"> P450 </w:t>
      </w:r>
      <w:proofErr w:type="spellStart"/>
      <w:r w:rsidRPr="00DC41AF">
        <w:rPr>
          <w:iCs/>
          <w:sz w:val="24"/>
          <w:szCs w:val="24"/>
          <w:lang w:val="en-AU"/>
        </w:rPr>
        <w:t>isoenzymes</w:t>
      </w:r>
      <w:proofErr w:type="spellEnd"/>
      <w:r w:rsidRPr="00DC41AF">
        <w:rPr>
          <w:iCs/>
          <w:sz w:val="24"/>
          <w:szCs w:val="24"/>
          <w:lang w:val="en-AU"/>
        </w:rPr>
        <w:t xml:space="preserve"> (CYPs), UDP-</w:t>
      </w:r>
      <w:proofErr w:type="spellStart"/>
      <w:r w:rsidRPr="00DC41AF">
        <w:rPr>
          <w:iCs/>
          <w:sz w:val="24"/>
          <w:szCs w:val="24"/>
          <w:lang w:val="en-AU"/>
        </w:rPr>
        <w:t>glucuronosyltransferases</w:t>
      </w:r>
      <w:proofErr w:type="spellEnd"/>
      <w:r w:rsidRPr="00DC41AF">
        <w:rPr>
          <w:iCs/>
          <w:sz w:val="24"/>
          <w:szCs w:val="24"/>
          <w:lang w:val="en-AU"/>
        </w:rPr>
        <w:t xml:space="preserve"> (UGTs), </w:t>
      </w:r>
      <w:proofErr w:type="spellStart"/>
      <w:r w:rsidRPr="00DC41AF">
        <w:rPr>
          <w:iCs/>
          <w:sz w:val="24"/>
          <w:szCs w:val="24"/>
          <w:lang w:val="en-AU"/>
        </w:rPr>
        <w:t>sulfotransferases</w:t>
      </w:r>
      <w:proofErr w:type="spellEnd"/>
      <w:r w:rsidRPr="00DC41AF">
        <w:rPr>
          <w:iCs/>
          <w:sz w:val="24"/>
          <w:szCs w:val="24"/>
          <w:lang w:val="en-AU"/>
        </w:rPr>
        <w:t xml:space="preserve"> (SULTs), and glutathione </w:t>
      </w:r>
      <w:proofErr w:type="spellStart"/>
      <w:r w:rsidRPr="00DC41AF">
        <w:rPr>
          <w:iCs/>
          <w:sz w:val="24"/>
          <w:szCs w:val="24"/>
          <w:lang w:val="en-AU"/>
        </w:rPr>
        <w:t>transferases</w:t>
      </w:r>
      <w:proofErr w:type="spellEnd"/>
      <w:r w:rsidRPr="00DC41AF">
        <w:rPr>
          <w:iCs/>
          <w:sz w:val="24"/>
          <w:szCs w:val="24"/>
          <w:lang w:val="en-AU"/>
        </w:rPr>
        <w:t xml:space="preserve"> (GSTs).</w:t>
      </w:r>
    </w:p>
    <w:p w:rsidR="009E1E58" w:rsidRPr="00DC41AF" w:rsidRDefault="009E1E58" w:rsidP="00DC41AF">
      <w:pPr>
        <w:rPr>
          <w:sz w:val="24"/>
          <w:szCs w:val="24"/>
          <w:lang w:val="en-AU"/>
        </w:rPr>
      </w:pPr>
    </w:p>
    <w:p w:rsidR="009E7E6E" w:rsidRPr="00DC41AF" w:rsidRDefault="000F6EFB" w:rsidP="00DC41AF">
      <w:pPr>
        <w:rPr>
          <w:sz w:val="24"/>
          <w:szCs w:val="24"/>
          <w:lang w:val="en-AU"/>
        </w:rPr>
      </w:pPr>
      <w:r w:rsidRPr="00DC41AF">
        <w:rPr>
          <w:sz w:val="24"/>
          <w:szCs w:val="24"/>
          <w:lang w:val="en-AU"/>
        </w:rPr>
        <w:t xml:space="preserve">Metabolism of azacitidine is by spontaneous hydrolysis and by </w:t>
      </w:r>
      <w:proofErr w:type="spellStart"/>
      <w:r w:rsidRPr="00DC41AF">
        <w:rPr>
          <w:sz w:val="24"/>
          <w:szCs w:val="24"/>
          <w:lang w:val="en-AU"/>
        </w:rPr>
        <w:t>deamination</w:t>
      </w:r>
      <w:proofErr w:type="spellEnd"/>
      <w:r w:rsidRPr="00DC41AF">
        <w:rPr>
          <w:sz w:val="24"/>
          <w:szCs w:val="24"/>
          <w:lang w:val="en-AU"/>
        </w:rPr>
        <w:t xml:space="preserve"> mediated by </w:t>
      </w:r>
      <w:proofErr w:type="spellStart"/>
      <w:r w:rsidRPr="00DC41AF">
        <w:rPr>
          <w:sz w:val="24"/>
          <w:szCs w:val="24"/>
          <w:lang w:val="en-AU"/>
        </w:rPr>
        <w:t>cytidine</w:t>
      </w:r>
      <w:proofErr w:type="spellEnd"/>
      <w:r w:rsidRPr="00DC41AF">
        <w:rPr>
          <w:sz w:val="24"/>
          <w:szCs w:val="24"/>
          <w:lang w:val="en-AU"/>
        </w:rPr>
        <w:t xml:space="preserve"> </w:t>
      </w:r>
      <w:proofErr w:type="spellStart"/>
      <w:r w:rsidRPr="00DC41AF">
        <w:rPr>
          <w:sz w:val="24"/>
          <w:szCs w:val="24"/>
          <w:lang w:val="en-AU"/>
        </w:rPr>
        <w:t>deaminase</w:t>
      </w:r>
      <w:proofErr w:type="spellEnd"/>
      <w:r w:rsidRPr="00DC41AF">
        <w:rPr>
          <w:sz w:val="24"/>
          <w:szCs w:val="24"/>
          <w:lang w:val="en-AU"/>
        </w:rPr>
        <w:t xml:space="preserve">. In human liver S9 fractions, formation of metabolites was independent of NADPH implying any metabolism would be catalysed by </w:t>
      </w:r>
      <w:proofErr w:type="spellStart"/>
      <w:r w:rsidRPr="00DC41AF">
        <w:rPr>
          <w:sz w:val="24"/>
          <w:szCs w:val="24"/>
          <w:lang w:val="en-AU"/>
        </w:rPr>
        <w:t>cytosolic</w:t>
      </w:r>
      <w:proofErr w:type="spellEnd"/>
      <w:r w:rsidRPr="00DC41AF">
        <w:rPr>
          <w:sz w:val="24"/>
          <w:szCs w:val="24"/>
          <w:lang w:val="en-AU"/>
        </w:rPr>
        <w:t xml:space="preserve"> enzymes. </w:t>
      </w:r>
    </w:p>
    <w:p w:rsidR="009E7E6E" w:rsidRPr="00DC41AF" w:rsidRDefault="009E7E6E" w:rsidP="00DC41AF">
      <w:pPr>
        <w:rPr>
          <w:sz w:val="24"/>
          <w:szCs w:val="24"/>
          <w:lang w:val="en-AU"/>
        </w:rPr>
      </w:pPr>
    </w:p>
    <w:p w:rsidR="000F6EFB" w:rsidRPr="00DC41AF" w:rsidRDefault="00896D20" w:rsidP="00DC41AF">
      <w:pPr>
        <w:rPr>
          <w:sz w:val="24"/>
          <w:szCs w:val="24"/>
          <w:lang w:val="en-AU"/>
        </w:rPr>
      </w:pPr>
      <w:r w:rsidRPr="00DC41AF">
        <w:rPr>
          <w:i/>
          <w:sz w:val="24"/>
          <w:szCs w:val="24"/>
          <w:lang w:val="en-AU"/>
        </w:rPr>
        <w:t>In </w:t>
      </w:r>
      <w:r w:rsidR="000F6EFB" w:rsidRPr="00DC41AF">
        <w:rPr>
          <w:i/>
          <w:sz w:val="24"/>
          <w:szCs w:val="24"/>
          <w:lang w:val="en-AU"/>
        </w:rPr>
        <w:t>vitro</w:t>
      </w:r>
      <w:r w:rsidR="000F6EFB" w:rsidRPr="00DC41AF">
        <w:rPr>
          <w:sz w:val="24"/>
          <w:szCs w:val="24"/>
          <w:lang w:val="en-AU"/>
        </w:rPr>
        <w:t xml:space="preserve"> studies of azacitidine with cultured human </w:t>
      </w:r>
      <w:proofErr w:type="spellStart"/>
      <w:r w:rsidR="000F6EFB" w:rsidRPr="00DC41AF">
        <w:rPr>
          <w:sz w:val="24"/>
          <w:szCs w:val="24"/>
          <w:lang w:val="en-AU"/>
        </w:rPr>
        <w:t>hepatocytes</w:t>
      </w:r>
      <w:proofErr w:type="spellEnd"/>
      <w:r w:rsidR="000F6EFB" w:rsidRPr="00DC41AF">
        <w:rPr>
          <w:sz w:val="24"/>
          <w:szCs w:val="24"/>
          <w:lang w:val="en-AU"/>
        </w:rPr>
        <w:t xml:space="preserve"> indicate that at concentrations of 1.0 µM to 100 µM, azacit</w:t>
      </w:r>
      <w:r w:rsidR="00B20850" w:rsidRPr="00DC41AF">
        <w:rPr>
          <w:sz w:val="24"/>
          <w:szCs w:val="24"/>
          <w:lang w:val="en-AU"/>
        </w:rPr>
        <w:t>i</w:t>
      </w:r>
      <w:r w:rsidR="000F6EFB" w:rsidRPr="00DC41AF">
        <w:rPr>
          <w:sz w:val="24"/>
          <w:szCs w:val="24"/>
          <w:lang w:val="en-AU"/>
        </w:rPr>
        <w:t xml:space="preserve">dine does not induce </w:t>
      </w:r>
      <w:proofErr w:type="spellStart"/>
      <w:r w:rsidR="000F6EFB" w:rsidRPr="00DC41AF">
        <w:rPr>
          <w:sz w:val="24"/>
          <w:szCs w:val="24"/>
          <w:lang w:val="en-AU"/>
        </w:rPr>
        <w:t>cytochrome</w:t>
      </w:r>
      <w:proofErr w:type="spellEnd"/>
      <w:r w:rsidR="000F6EFB" w:rsidRPr="00DC41AF">
        <w:rPr>
          <w:sz w:val="24"/>
          <w:szCs w:val="24"/>
          <w:lang w:val="en-AU"/>
        </w:rPr>
        <w:t xml:space="preserve"> P450 1A2, 2C19, or 3A4/5. In </w:t>
      </w:r>
      <w:r w:rsidR="004E30F7" w:rsidRPr="00DC41AF">
        <w:rPr>
          <w:sz w:val="24"/>
          <w:szCs w:val="24"/>
          <w:lang w:val="en-AU"/>
        </w:rPr>
        <w:t>studies</w:t>
      </w:r>
      <w:r w:rsidR="000F6EFB" w:rsidRPr="00DC41AF">
        <w:rPr>
          <w:sz w:val="24"/>
          <w:szCs w:val="24"/>
          <w:lang w:val="en-AU"/>
        </w:rPr>
        <w:t xml:space="preserve"> to assess inhibition of a series of P450 </w:t>
      </w:r>
      <w:proofErr w:type="spellStart"/>
      <w:r w:rsidR="005A6952" w:rsidRPr="00DC41AF">
        <w:rPr>
          <w:sz w:val="24"/>
          <w:szCs w:val="24"/>
          <w:lang w:val="en-AU"/>
        </w:rPr>
        <w:t>isoenzymes</w:t>
      </w:r>
      <w:proofErr w:type="spellEnd"/>
      <w:r w:rsidR="005A6952" w:rsidRPr="00DC41AF">
        <w:rPr>
          <w:sz w:val="24"/>
          <w:szCs w:val="24"/>
          <w:lang w:val="en-AU"/>
        </w:rPr>
        <w:t xml:space="preserve"> </w:t>
      </w:r>
      <w:r w:rsidR="000F6EFB" w:rsidRPr="00DC41AF">
        <w:rPr>
          <w:sz w:val="24"/>
          <w:szCs w:val="24"/>
          <w:lang w:val="en-AU"/>
        </w:rPr>
        <w:t xml:space="preserve">(1A2, </w:t>
      </w:r>
      <w:r w:rsidR="00BE2C03" w:rsidRPr="00DC41AF">
        <w:rPr>
          <w:sz w:val="24"/>
          <w:szCs w:val="24"/>
          <w:lang w:val="en-AU"/>
        </w:rPr>
        <w:t xml:space="preserve">2B6, 2C8, 2C9, 2C19, 2D6, 2E1, and 3A4) </w:t>
      </w:r>
      <w:r w:rsidR="00BE2C03" w:rsidRPr="00DC41AF">
        <w:rPr>
          <w:iCs/>
          <w:sz w:val="24"/>
          <w:szCs w:val="24"/>
          <w:lang w:val="en-AU"/>
        </w:rPr>
        <w:t xml:space="preserve">incubated with azacitidine </w:t>
      </w:r>
      <w:r w:rsidR="001C1C9A" w:rsidRPr="00DC41AF">
        <w:rPr>
          <w:iCs/>
          <w:sz w:val="24"/>
          <w:szCs w:val="24"/>
          <w:lang w:val="en-AU"/>
        </w:rPr>
        <w:t xml:space="preserve">concentrations </w:t>
      </w:r>
      <w:r w:rsidR="00BE2C03" w:rsidRPr="00DC41AF">
        <w:rPr>
          <w:iCs/>
          <w:sz w:val="24"/>
          <w:szCs w:val="24"/>
          <w:lang w:val="en-AU"/>
        </w:rPr>
        <w:t>of up to 100 </w:t>
      </w:r>
      <w:r w:rsidR="0041356A" w:rsidRPr="00DC41AF">
        <w:rPr>
          <w:sz w:val="24"/>
          <w:szCs w:val="24"/>
          <w:lang w:val="en-AU"/>
        </w:rPr>
        <w:t>µ</w:t>
      </w:r>
      <w:r w:rsidR="00BE2C03" w:rsidRPr="00DC41AF">
        <w:rPr>
          <w:iCs/>
          <w:sz w:val="24"/>
          <w:szCs w:val="24"/>
          <w:lang w:val="en-AU"/>
        </w:rPr>
        <w:t>M</w:t>
      </w:r>
      <w:r w:rsidR="00BE2C03" w:rsidRPr="00DC41AF">
        <w:rPr>
          <w:sz w:val="24"/>
          <w:szCs w:val="24"/>
          <w:lang w:val="en-AU"/>
        </w:rPr>
        <w:t xml:space="preserve">, </w:t>
      </w:r>
      <w:r w:rsidR="00F07AE0" w:rsidRPr="00DC41AF">
        <w:rPr>
          <w:sz w:val="24"/>
          <w:szCs w:val="24"/>
          <w:lang w:val="en-AU"/>
        </w:rPr>
        <w:t>did not produce inhibition</w:t>
      </w:r>
      <w:r w:rsidR="00B52ACD" w:rsidRPr="00DC41AF">
        <w:rPr>
          <w:sz w:val="24"/>
          <w:szCs w:val="24"/>
          <w:lang w:val="en-AU"/>
        </w:rPr>
        <w:t xml:space="preserve"> at clinically achievable plasma concentrations</w:t>
      </w:r>
      <w:r w:rsidR="00F07AE0" w:rsidRPr="00DC41AF">
        <w:rPr>
          <w:sz w:val="24"/>
          <w:szCs w:val="24"/>
          <w:lang w:val="en-AU"/>
        </w:rPr>
        <w:t>.</w:t>
      </w:r>
      <w:r w:rsidR="00BE2C03" w:rsidRPr="00DC41AF">
        <w:rPr>
          <w:sz w:val="24"/>
          <w:szCs w:val="24"/>
          <w:lang w:val="en-AU"/>
        </w:rPr>
        <w:t xml:space="preserve"> </w:t>
      </w:r>
      <w:r w:rsidR="00F07AE0" w:rsidRPr="00DC41AF">
        <w:rPr>
          <w:sz w:val="24"/>
          <w:szCs w:val="24"/>
          <w:lang w:val="en-AU"/>
        </w:rPr>
        <w:t>T</w:t>
      </w:r>
      <w:r w:rsidR="00BE2C03" w:rsidRPr="00DC41AF">
        <w:rPr>
          <w:sz w:val="24"/>
          <w:szCs w:val="24"/>
          <w:lang w:val="en-AU"/>
        </w:rPr>
        <w:t xml:space="preserve">herefore, </w:t>
      </w:r>
      <w:r w:rsidR="00332E3A" w:rsidRPr="00DC41AF">
        <w:rPr>
          <w:sz w:val="24"/>
          <w:szCs w:val="24"/>
          <w:lang w:val="en-AU"/>
        </w:rPr>
        <w:t xml:space="preserve">CYP </w:t>
      </w:r>
      <w:r w:rsidR="00BE2C03" w:rsidRPr="00DC41AF">
        <w:rPr>
          <w:sz w:val="24"/>
          <w:szCs w:val="24"/>
          <w:lang w:val="en-AU"/>
        </w:rPr>
        <w:t xml:space="preserve">enzyme </w:t>
      </w:r>
      <w:r w:rsidR="00D57125" w:rsidRPr="00DC41AF">
        <w:rPr>
          <w:sz w:val="24"/>
          <w:szCs w:val="24"/>
          <w:lang w:val="en-AU"/>
        </w:rPr>
        <w:t xml:space="preserve">induction or </w:t>
      </w:r>
      <w:r w:rsidR="00BE2C03" w:rsidRPr="00DC41AF">
        <w:rPr>
          <w:sz w:val="24"/>
          <w:szCs w:val="24"/>
          <w:lang w:val="en-AU"/>
        </w:rPr>
        <w:t>inhibition by azacitidine is unlikely.</w:t>
      </w:r>
    </w:p>
    <w:p w:rsidR="00940FF0" w:rsidRPr="00DC41AF" w:rsidRDefault="00940FF0" w:rsidP="00DC41AF">
      <w:pPr>
        <w:rPr>
          <w:sz w:val="24"/>
          <w:szCs w:val="24"/>
          <w:lang w:val="en-AU"/>
        </w:rPr>
      </w:pPr>
    </w:p>
    <w:p w:rsidR="00E00A6A" w:rsidRPr="00DC41AF" w:rsidRDefault="00E00A6A" w:rsidP="00DC41AF">
      <w:pPr>
        <w:keepNext/>
        <w:rPr>
          <w:sz w:val="24"/>
          <w:szCs w:val="24"/>
          <w:u w:val="single"/>
          <w:lang w:val="en-AU"/>
        </w:rPr>
      </w:pPr>
      <w:r w:rsidRPr="00DC41AF">
        <w:rPr>
          <w:sz w:val="24"/>
          <w:szCs w:val="24"/>
          <w:u w:val="single"/>
          <w:lang w:val="en-AU"/>
        </w:rPr>
        <w:t>Excretion</w:t>
      </w:r>
    </w:p>
    <w:p w:rsidR="000F6EFB" w:rsidRPr="00DC41AF" w:rsidRDefault="000F6EFB" w:rsidP="00DC41AF">
      <w:pPr>
        <w:spacing w:before="120"/>
        <w:rPr>
          <w:sz w:val="24"/>
          <w:szCs w:val="24"/>
          <w:lang w:val="en-AU"/>
        </w:rPr>
      </w:pPr>
      <w:r w:rsidRPr="00DC41AF">
        <w:rPr>
          <w:sz w:val="24"/>
          <w:szCs w:val="24"/>
          <w:lang w:val="en-AU"/>
        </w:rPr>
        <w:t xml:space="preserve">Urinary excretion is the primary route of elimination of azacitidine and/or its metabolites.  Following IV and SC administration of </w:t>
      </w:r>
      <w:r w:rsidRPr="00DC41AF">
        <w:rPr>
          <w:sz w:val="24"/>
          <w:szCs w:val="24"/>
          <w:vertAlign w:val="superscript"/>
          <w:lang w:val="en-AU"/>
        </w:rPr>
        <w:t>14</w:t>
      </w:r>
      <w:r w:rsidRPr="00DC41AF">
        <w:rPr>
          <w:sz w:val="24"/>
          <w:szCs w:val="24"/>
          <w:lang w:val="en-AU"/>
        </w:rPr>
        <w:t xml:space="preserve">C-azacitidine, </w:t>
      </w:r>
      <w:r w:rsidR="003B4F93" w:rsidRPr="00DC41AF">
        <w:rPr>
          <w:sz w:val="24"/>
          <w:szCs w:val="24"/>
          <w:lang w:val="en-AU"/>
        </w:rPr>
        <w:t>85</w:t>
      </w:r>
      <w:r w:rsidR="00186961" w:rsidRPr="00DC41AF">
        <w:rPr>
          <w:sz w:val="24"/>
          <w:szCs w:val="24"/>
          <w:lang w:val="en-AU"/>
        </w:rPr>
        <w:t>%</w:t>
      </w:r>
      <w:r w:rsidR="003B4F93" w:rsidRPr="00DC41AF">
        <w:rPr>
          <w:sz w:val="24"/>
          <w:szCs w:val="24"/>
          <w:lang w:val="en-AU"/>
        </w:rPr>
        <w:t xml:space="preserve"> and 50</w:t>
      </w:r>
      <w:r w:rsidRPr="00DC41AF">
        <w:rPr>
          <w:sz w:val="24"/>
          <w:szCs w:val="24"/>
          <w:lang w:val="en-AU"/>
        </w:rPr>
        <w:t>% of the dose</w:t>
      </w:r>
      <w:r w:rsidR="003B4F93" w:rsidRPr="00DC41AF">
        <w:rPr>
          <w:sz w:val="24"/>
          <w:szCs w:val="24"/>
          <w:lang w:val="en-AU"/>
        </w:rPr>
        <w:t>-</w:t>
      </w:r>
      <w:r w:rsidRPr="00DC41AF">
        <w:rPr>
          <w:sz w:val="24"/>
          <w:szCs w:val="24"/>
          <w:lang w:val="en-AU"/>
        </w:rPr>
        <w:t>administered radioactivity was recovered in urine</w:t>
      </w:r>
      <w:r w:rsidR="003B4F93" w:rsidRPr="00DC41AF">
        <w:rPr>
          <w:sz w:val="24"/>
          <w:szCs w:val="24"/>
          <w:lang w:val="en-AU"/>
        </w:rPr>
        <w:t>, respectively,</w:t>
      </w:r>
      <w:r w:rsidRPr="00DC41AF">
        <w:rPr>
          <w:sz w:val="24"/>
          <w:szCs w:val="24"/>
          <w:lang w:val="en-AU"/>
        </w:rPr>
        <w:t xml:space="preserve"> while &lt;</w:t>
      </w:r>
      <w:r w:rsidR="00B14E5E" w:rsidRPr="00DC41AF">
        <w:rPr>
          <w:sz w:val="24"/>
          <w:szCs w:val="24"/>
          <w:lang w:val="en-AU"/>
        </w:rPr>
        <w:t> </w:t>
      </w:r>
      <w:r w:rsidRPr="00DC41AF">
        <w:rPr>
          <w:sz w:val="24"/>
          <w:szCs w:val="24"/>
          <w:lang w:val="en-AU"/>
        </w:rPr>
        <w:t xml:space="preserve">1% was recovered in faeces. </w:t>
      </w:r>
    </w:p>
    <w:p w:rsidR="000F6EFB" w:rsidRPr="00DC41AF" w:rsidRDefault="000F6EFB" w:rsidP="00DC41AF">
      <w:pPr>
        <w:rPr>
          <w:sz w:val="24"/>
          <w:szCs w:val="24"/>
          <w:lang w:val="en-AU"/>
        </w:rPr>
      </w:pPr>
    </w:p>
    <w:p w:rsidR="00896D20" w:rsidRPr="00DC41AF" w:rsidRDefault="00896D20" w:rsidP="00DC41AF">
      <w:pPr>
        <w:rPr>
          <w:sz w:val="24"/>
          <w:szCs w:val="24"/>
          <w:lang w:val="en-AU"/>
        </w:rPr>
      </w:pPr>
    </w:p>
    <w:p w:rsidR="00B52ACD" w:rsidRPr="00DC41AF" w:rsidRDefault="007F2F35" w:rsidP="00DC41AF">
      <w:pPr>
        <w:pStyle w:val="ListParagraph"/>
        <w:keepNext/>
        <w:numPr>
          <w:ilvl w:val="0"/>
          <w:numId w:val="11"/>
        </w:numPr>
        <w:ind w:left="720"/>
        <w:rPr>
          <w:sz w:val="24"/>
          <w:szCs w:val="24"/>
          <w:lang w:val="en-AU"/>
        </w:rPr>
      </w:pPr>
      <w:r w:rsidRPr="00DC41AF">
        <w:rPr>
          <w:b/>
          <w:sz w:val="24"/>
          <w:lang w:val="en-AU"/>
        </w:rPr>
        <w:lastRenderedPageBreak/>
        <w:t>C</w:t>
      </w:r>
      <w:r w:rsidR="00CD4C84" w:rsidRPr="00DC41AF">
        <w:rPr>
          <w:b/>
          <w:sz w:val="24"/>
          <w:lang w:val="en-AU"/>
        </w:rPr>
        <w:t>linical trials</w:t>
      </w:r>
    </w:p>
    <w:p w:rsidR="000F6EFB" w:rsidRPr="00DC41AF" w:rsidRDefault="000F6EFB" w:rsidP="00DC41AF">
      <w:pPr>
        <w:spacing w:before="120"/>
        <w:rPr>
          <w:sz w:val="24"/>
          <w:szCs w:val="24"/>
          <w:lang w:val="en-AU"/>
        </w:rPr>
      </w:pPr>
      <w:r w:rsidRPr="00DC41AF">
        <w:rPr>
          <w:sz w:val="24"/>
          <w:szCs w:val="24"/>
          <w:lang w:val="en-AU"/>
        </w:rPr>
        <w:t>The efficacy and safety of Vidaza were demonstrated in an international, multicenter, controlled, open-label, randomized, parallel-group, Phase</w:t>
      </w:r>
      <w:r w:rsidR="00896D20" w:rsidRPr="00DC41AF">
        <w:rPr>
          <w:sz w:val="24"/>
          <w:szCs w:val="24"/>
          <w:lang w:val="en-AU"/>
        </w:rPr>
        <w:t> </w:t>
      </w:r>
      <w:r w:rsidRPr="00DC41AF">
        <w:rPr>
          <w:sz w:val="24"/>
          <w:szCs w:val="24"/>
          <w:lang w:val="en-AU"/>
        </w:rPr>
        <w:t xml:space="preserve">3 comparative study (AZA-PH-GL 2003-CL 001) in patients with: Intermediate-2 and High-risk MDS according to IPSS, RAEB, RAEB-T and </w:t>
      </w:r>
      <w:proofErr w:type="spellStart"/>
      <w:r w:rsidRPr="00DC41AF">
        <w:rPr>
          <w:sz w:val="24"/>
          <w:szCs w:val="24"/>
          <w:lang w:val="en-AU"/>
        </w:rPr>
        <w:t>mCMMoL</w:t>
      </w:r>
      <w:proofErr w:type="spellEnd"/>
      <w:r w:rsidRPr="00DC41AF">
        <w:rPr>
          <w:sz w:val="24"/>
          <w:szCs w:val="24"/>
          <w:lang w:val="en-AU"/>
        </w:rPr>
        <w:t xml:space="preserve"> according to the French American British (FAB) classification system. </w:t>
      </w:r>
      <w:r w:rsidRPr="00DC41AF">
        <w:rPr>
          <w:iCs/>
          <w:sz w:val="24"/>
          <w:szCs w:val="24"/>
          <w:lang w:val="en-AU"/>
        </w:rPr>
        <w:t>RAEB-T patients (21</w:t>
      </w:r>
      <w:r w:rsidR="00A72AE3">
        <w:rPr>
          <w:iCs/>
          <w:sz w:val="24"/>
          <w:szCs w:val="24"/>
          <w:lang w:val="en-AU"/>
        </w:rPr>
        <w:noBreakHyphen/>
      </w:r>
      <w:r w:rsidRPr="00DC41AF">
        <w:rPr>
          <w:iCs/>
          <w:sz w:val="24"/>
          <w:szCs w:val="24"/>
          <w:lang w:val="en-AU"/>
        </w:rPr>
        <w:t xml:space="preserve">30% blasts) are now considered to be AML under the WHO classification system. </w:t>
      </w:r>
      <w:r w:rsidRPr="00DC41AF">
        <w:rPr>
          <w:sz w:val="24"/>
          <w:szCs w:val="24"/>
          <w:lang w:val="en-AU"/>
        </w:rPr>
        <w:t>Vidaza plus Best Supportive Care (BSC) was compared to Conventional Care Regimens</w:t>
      </w:r>
      <w:r w:rsidR="00896D20" w:rsidRPr="00DC41AF">
        <w:rPr>
          <w:sz w:val="24"/>
          <w:szCs w:val="24"/>
          <w:lang w:val="en-AU"/>
        </w:rPr>
        <w:t xml:space="preserve"> (CCR). CCR consisted of BSC (n = </w:t>
      </w:r>
      <w:r w:rsidRPr="00DC41AF">
        <w:rPr>
          <w:sz w:val="24"/>
          <w:szCs w:val="24"/>
          <w:lang w:val="en-AU"/>
        </w:rPr>
        <w:t>105), Low-Dos</w:t>
      </w:r>
      <w:r w:rsidR="00896D20" w:rsidRPr="00DC41AF">
        <w:rPr>
          <w:sz w:val="24"/>
          <w:szCs w:val="24"/>
          <w:lang w:val="en-AU"/>
        </w:rPr>
        <w:t xml:space="preserve">e </w:t>
      </w:r>
      <w:proofErr w:type="spellStart"/>
      <w:r w:rsidR="00896D20" w:rsidRPr="00DC41AF">
        <w:rPr>
          <w:sz w:val="24"/>
          <w:szCs w:val="24"/>
          <w:lang w:val="en-AU"/>
        </w:rPr>
        <w:t>Cytarabine</w:t>
      </w:r>
      <w:proofErr w:type="spellEnd"/>
      <w:r w:rsidR="00896D20" w:rsidRPr="00DC41AF">
        <w:rPr>
          <w:sz w:val="24"/>
          <w:szCs w:val="24"/>
          <w:lang w:val="en-AU"/>
        </w:rPr>
        <w:t xml:space="preserve"> plus BSC (n = </w:t>
      </w:r>
      <w:r w:rsidRPr="00DC41AF">
        <w:rPr>
          <w:sz w:val="24"/>
          <w:szCs w:val="24"/>
          <w:lang w:val="en-AU"/>
        </w:rPr>
        <w:t>49) or Standard Ind</w:t>
      </w:r>
      <w:r w:rsidR="00896D20" w:rsidRPr="00DC41AF">
        <w:rPr>
          <w:sz w:val="24"/>
          <w:szCs w:val="24"/>
          <w:lang w:val="en-AU"/>
        </w:rPr>
        <w:t>uction Chemotherapy plus BSC (n = </w:t>
      </w:r>
      <w:r w:rsidRPr="00DC41AF">
        <w:rPr>
          <w:sz w:val="24"/>
          <w:szCs w:val="24"/>
          <w:lang w:val="en-AU"/>
        </w:rPr>
        <w:t>25). Patients were pre-selected (by their physician) to 1 of the 3 CCR prior to randomization. Patients received this pre-selected regimen if not randomized to Vidaza. The primary endpoint of the study was overall survival.  Vidaza was administered at a subcutaneous (SC) dose of 75 mg/m</w:t>
      </w:r>
      <w:r w:rsidRPr="00DC41AF">
        <w:rPr>
          <w:sz w:val="24"/>
          <w:szCs w:val="24"/>
          <w:vertAlign w:val="superscript"/>
          <w:lang w:val="en-AU"/>
        </w:rPr>
        <w:t>2</w:t>
      </w:r>
      <w:r w:rsidR="00896D20" w:rsidRPr="00DC41AF">
        <w:rPr>
          <w:sz w:val="24"/>
          <w:szCs w:val="24"/>
          <w:lang w:val="en-AU"/>
        </w:rPr>
        <w:t xml:space="preserve"> daily for 7 days every 28 days for a median of 9 </w:t>
      </w:r>
      <w:r w:rsidR="00BC7BBD">
        <w:rPr>
          <w:sz w:val="24"/>
          <w:szCs w:val="24"/>
          <w:lang w:val="en-AU"/>
        </w:rPr>
        <w:t>cycles (range = </w:t>
      </w:r>
      <w:r w:rsidRPr="00DC41AF">
        <w:rPr>
          <w:sz w:val="24"/>
          <w:szCs w:val="24"/>
          <w:lang w:val="en-AU"/>
        </w:rPr>
        <w:t>1</w:t>
      </w:r>
      <w:r w:rsidR="00A72AE3">
        <w:rPr>
          <w:sz w:val="24"/>
          <w:szCs w:val="24"/>
          <w:lang w:val="en-AU"/>
        </w:rPr>
        <w:noBreakHyphen/>
      </w:r>
      <w:r w:rsidR="00DC6E66">
        <w:rPr>
          <w:sz w:val="24"/>
          <w:szCs w:val="24"/>
          <w:lang w:val="en-AU"/>
        </w:rPr>
        <w:t>3</w:t>
      </w:r>
      <w:r w:rsidRPr="00DC41AF">
        <w:rPr>
          <w:sz w:val="24"/>
          <w:szCs w:val="24"/>
          <w:lang w:val="en-AU"/>
        </w:rPr>
        <w:t>9).</w:t>
      </w:r>
    </w:p>
    <w:p w:rsidR="000F6EFB" w:rsidRPr="00DC41AF" w:rsidRDefault="000F6EFB" w:rsidP="00DC41AF">
      <w:pPr>
        <w:rPr>
          <w:sz w:val="24"/>
          <w:szCs w:val="24"/>
          <w:lang w:val="en-AU"/>
        </w:rPr>
      </w:pPr>
    </w:p>
    <w:p w:rsidR="000F6EFB" w:rsidRPr="00DC41AF" w:rsidRDefault="000F6EFB" w:rsidP="00DC41AF">
      <w:pPr>
        <w:rPr>
          <w:sz w:val="24"/>
          <w:szCs w:val="24"/>
          <w:lang w:val="en-AU"/>
        </w:rPr>
      </w:pPr>
      <w:r w:rsidRPr="00DC41AF">
        <w:rPr>
          <w:sz w:val="24"/>
          <w:szCs w:val="24"/>
          <w:lang w:val="en-AU"/>
        </w:rPr>
        <w:t xml:space="preserve">In the </w:t>
      </w:r>
      <w:r w:rsidR="00896D20" w:rsidRPr="00DC41AF">
        <w:rPr>
          <w:sz w:val="24"/>
          <w:szCs w:val="24"/>
          <w:lang w:val="en-AU"/>
        </w:rPr>
        <w:t>Intent to Treat analysis of 358 </w:t>
      </w:r>
      <w:r w:rsidRPr="00DC41AF">
        <w:rPr>
          <w:sz w:val="24"/>
          <w:szCs w:val="24"/>
          <w:lang w:val="en-AU"/>
        </w:rPr>
        <w:t>patients (179 azacitidine and 179 CCR), Vidaza treatment was associated</w:t>
      </w:r>
      <w:r w:rsidR="00896D20" w:rsidRPr="00DC41AF">
        <w:rPr>
          <w:sz w:val="24"/>
          <w:szCs w:val="24"/>
          <w:lang w:val="en-AU"/>
        </w:rPr>
        <w:t xml:space="preserve"> with a median survival of 24.5 months versus 15 </w:t>
      </w:r>
      <w:r w:rsidRPr="00DC41AF">
        <w:rPr>
          <w:sz w:val="24"/>
          <w:szCs w:val="24"/>
          <w:lang w:val="en-AU"/>
        </w:rPr>
        <w:t>months for those receiving CCR t</w:t>
      </w:r>
      <w:r w:rsidR="00896D20" w:rsidRPr="00DC41AF">
        <w:rPr>
          <w:sz w:val="24"/>
          <w:szCs w:val="24"/>
          <w:lang w:val="en-AU"/>
        </w:rPr>
        <w:t>reatment, an improvement of 9.4 </w:t>
      </w:r>
      <w:r w:rsidRPr="00DC41AF">
        <w:rPr>
          <w:sz w:val="24"/>
          <w:szCs w:val="24"/>
          <w:lang w:val="en-AU"/>
        </w:rPr>
        <w:t>months with a stratified log-rank p-value of 0.0001. The hazard ratio describing this treatment effect was 0.</w:t>
      </w:r>
      <w:r w:rsidR="00896D20" w:rsidRPr="00DC41AF">
        <w:rPr>
          <w:sz w:val="24"/>
          <w:szCs w:val="24"/>
          <w:lang w:val="en-AU"/>
        </w:rPr>
        <w:t>58 (95%CI: 0.43, 0.77). The two </w:t>
      </w:r>
      <w:r w:rsidRPr="00DC41AF">
        <w:rPr>
          <w:sz w:val="24"/>
          <w:szCs w:val="24"/>
          <w:lang w:val="en-AU"/>
        </w:rPr>
        <w:t>year survival rates were 50.8% versus 26.2% for patients receiving azacitidine versus CCR (p</w:t>
      </w:r>
      <w:r w:rsidR="00896D20" w:rsidRPr="00DC41AF">
        <w:rPr>
          <w:sz w:val="24"/>
          <w:szCs w:val="24"/>
          <w:lang w:val="en-AU"/>
        </w:rPr>
        <w:t> </w:t>
      </w:r>
      <w:r w:rsidRPr="00DC41AF">
        <w:rPr>
          <w:sz w:val="24"/>
          <w:szCs w:val="24"/>
          <w:lang w:val="en-AU"/>
        </w:rPr>
        <w:t>&lt;</w:t>
      </w:r>
      <w:r w:rsidR="00896D20" w:rsidRPr="00DC41AF">
        <w:rPr>
          <w:sz w:val="24"/>
          <w:szCs w:val="24"/>
          <w:lang w:val="en-AU"/>
        </w:rPr>
        <w:t> </w:t>
      </w:r>
      <w:r w:rsidRPr="00DC41AF">
        <w:rPr>
          <w:sz w:val="24"/>
          <w:szCs w:val="24"/>
          <w:lang w:val="en-AU"/>
        </w:rPr>
        <w:t>0.0001). The survival benefit was apparent from as early as 3.5</w:t>
      </w:r>
      <w:r w:rsidR="00896D20" w:rsidRPr="00DC41AF">
        <w:rPr>
          <w:sz w:val="24"/>
          <w:szCs w:val="24"/>
          <w:lang w:val="en-AU"/>
        </w:rPr>
        <w:t> </w:t>
      </w:r>
      <w:r w:rsidR="00BC7BBD">
        <w:rPr>
          <w:sz w:val="24"/>
          <w:szCs w:val="24"/>
          <w:lang w:val="en-AU"/>
        </w:rPr>
        <w:t>months.</w:t>
      </w:r>
    </w:p>
    <w:p w:rsidR="000F6EFB" w:rsidRPr="00DC41AF" w:rsidRDefault="000F6EFB" w:rsidP="000F6EFB">
      <w:pPr>
        <w:jc w:val="both"/>
        <w:rPr>
          <w:sz w:val="24"/>
          <w:szCs w:val="24"/>
          <w:lang w:val="en-AU"/>
        </w:rPr>
      </w:pPr>
    </w:p>
    <w:p w:rsidR="000F6EFB" w:rsidRPr="00DC41AF" w:rsidRDefault="00B958CB" w:rsidP="000F6EFB">
      <w:pPr>
        <w:jc w:val="both"/>
        <w:rPr>
          <w:i/>
          <w:sz w:val="24"/>
          <w:szCs w:val="24"/>
          <w:lang w:val="en-AU"/>
        </w:rPr>
      </w:pPr>
      <w:r w:rsidRPr="00DC41AF">
        <w:rPr>
          <w:i/>
          <w:noProof/>
          <w:sz w:val="24"/>
          <w:szCs w:val="24"/>
          <w:lang w:val="en-AU" w:eastAsia="en-AU"/>
        </w:rPr>
        <w:drawing>
          <wp:inline distT="0" distB="0" distL="0" distR="0">
            <wp:extent cx="5678890" cy="3350339"/>
            <wp:effectExtent l="19050" t="0" r="0" b="0"/>
            <wp:docPr id="2" name="Picture 2" descr="f_os_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os_rt1"/>
                    <pic:cNvPicPr>
                      <a:picLocks noChangeAspect="1" noChangeArrowheads="1"/>
                    </pic:cNvPicPr>
                  </pic:nvPicPr>
                  <pic:blipFill>
                    <a:blip r:embed="rId10" cstate="print"/>
                    <a:srcRect t="16721" b="4179"/>
                    <a:stretch>
                      <a:fillRect/>
                    </a:stretch>
                  </pic:blipFill>
                  <pic:spPr bwMode="auto">
                    <a:xfrm>
                      <a:off x="0" y="0"/>
                      <a:ext cx="5678406" cy="3350053"/>
                    </a:xfrm>
                    <a:prstGeom prst="rect">
                      <a:avLst/>
                    </a:prstGeom>
                    <a:noFill/>
                    <a:ln w="9525">
                      <a:noFill/>
                      <a:miter lim="800000"/>
                      <a:headEnd/>
                      <a:tailEnd/>
                    </a:ln>
                  </pic:spPr>
                </pic:pic>
              </a:graphicData>
            </a:graphic>
          </wp:inline>
        </w:drawing>
      </w:r>
    </w:p>
    <w:p w:rsidR="000F6EFB" w:rsidRPr="00DC41AF" w:rsidRDefault="000F6EFB" w:rsidP="00DC41AF">
      <w:pPr>
        <w:rPr>
          <w:lang w:val="en-AU"/>
        </w:rPr>
      </w:pPr>
      <w:smartTag w:uri="urn:schemas-microsoft-com:office:smarttags" w:element="stockticker">
        <w:r w:rsidRPr="00DC41AF">
          <w:rPr>
            <w:lang w:val="en-AU"/>
          </w:rPr>
          <w:t>KEY</w:t>
        </w:r>
      </w:smartTag>
      <w:r w:rsidRPr="00DC41AF">
        <w:rPr>
          <w:lang w:val="en-AU"/>
        </w:rPr>
        <w:t xml:space="preserve">: </w:t>
      </w:r>
      <w:smartTag w:uri="urn:schemas-microsoft-com:office:smarttags" w:element="stockticker">
        <w:r w:rsidRPr="00DC41AF">
          <w:rPr>
            <w:lang w:val="en-AU"/>
          </w:rPr>
          <w:t>AZA</w:t>
        </w:r>
      </w:smartTag>
      <w:r w:rsidRPr="00DC41AF">
        <w:rPr>
          <w:lang w:val="en-AU"/>
        </w:rPr>
        <w:t xml:space="preserve">=azacitidine; </w:t>
      </w:r>
      <w:smartTag w:uri="urn:schemas-microsoft-com:office:smarttags" w:element="stockticker">
        <w:r w:rsidRPr="00DC41AF">
          <w:rPr>
            <w:lang w:val="en-AU"/>
          </w:rPr>
          <w:t>CCR</w:t>
        </w:r>
      </w:smartTag>
      <w:r w:rsidRPr="00DC41AF">
        <w:rPr>
          <w:lang w:val="en-AU"/>
        </w:rPr>
        <w:t>=conventional care regimens; CI=confi</w:t>
      </w:r>
      <w:r w:rsidR="00A16D9C" w:rsidRPr="00DC41AF">
        <w:rPr>
          <w:lang w:val="en-AU"/>
        </w:rPr>
        <w:t>dence interval; HR=hazard ratio</w:t>
      </w:r>
      <w:r w:rsidRPr="00DC41AF">
        <w:rPr>
          <w:lang w:val="en-AU"/>
        </w:rPr>
        <w:t xml:space="preserve"> </w:t>
      </w:r>
    </w:p>
    <w:p w:rsidR="000F6EFB" w:rsidRPr="00DC41AF" w:rsidRDefault="000F6EFB" w:rsidP="00DC41AF">
      <w:pPr>
        <w:rPr>
          <w:sz w:val="24"/>
          <w:szCs w:val="24"/>
          <w:lang w:val="en-AU"/>
        </w:rPr>
      </w:pPr>
    </w:p>
    <w:p w:rsidR="000F6EFB" w:rsidRPr="00DC41AF" w:rsidRDefault="000F6EFB" w:rsidP="00DC41AF">
      <w:pPr>
        <w:rPr>
          <w:sz w:val="24"/>
          <w:szCs w:val="24"/>
          <w:lang w:val="en-AU"/>
        </w:rPr>
      </w:pPr>
      <w:r w:rsidRPr="00DC41AF">
        <w:rPr>
          <w:sz w:val="24"/>
          <w:szCs w:val="24"/>
          <w:lang w:val="en-AU"/>
        </w:rPr>
        <w:t xml:space="preserve">The survival benefits of Vidaza were consistent regardless of the CCR treatment option (BSC alone, low-dose </w:t>
      </w:r>
      <w:proofErr w:type="spellStart"/>
      <w:r w:rsidRPr="00DC41AF">
        <w:rPr>
          <w:sz w:val="24"/>
          <w:szCs w:val="24"/>
          <w:lang w:val="en-AU"/>
        </w:rPr>
        <w:t>cytarabine</w:t>
      </w:r>
      <w:proofErr w:type="spellEnd"/>
      <w:r w:rsidRPr="00DC41AF">
        <w:rPr>
          <w:sz w:val="24"/>
          <w:szCs w:val="24"/>
          <w:lang w:val="en-AU"/>
        </w:rPr>
        <w:t xml:space="preserve"> plus BSC or standard chemotherapy plus BSC) utilized in the control arm. </w:t>
      </w:r>
    </w:p>
    <w:p w:rsidR="000F6EFB" w:rsidRPr="00DC41AF" w:rsidRDefault="000F6EFB" w:rsidP="00DC41AF">
      <w:pPr>
        <w:rPr>
          <w:sz w:val="24"/>
          <w:szCs w:val="24"/>
          <w:lang w:val="en-AU"/>
        </w:rPr>
      </w:pPr>
    </w:p>
    <w:p w:rsidR="000F6EFB" w:rsidRPr="00DC41AF" w:rsidRDefault="000F6EFB" w:rsidP="00DC41AF">
      <w:pPr>
        <w:rPr>
          <w:sz w:val="24"/>
          <w:szCs w:val="24"/>
          <w:lang w:val="en-AU"/>
        </w:rPr>
      </w:pPr>
      <w:r w:rsidRPr="00DC41AF">
        <w:rPr>
          <w:sz w:val="24"/>
          <w:szCs w:val="24"/>
          <w:lang w:val="en-AU"/>
        </w:rPr>
        <w:lastRenderedPageBreak/>
        <w:t>When IPSS cytogenetic subgroups were analysed, similar findings in terms of median overall survival were observed in all groups (good, intermediate</w:t>
      </w:r>
      <w:r w:rsidR="00D01251" w:rsidRPr="00DC41AF">
        <w:rPr>
          <w:sz w:val="24"/>
          <w:szCs w:val="24"/>
          <w:lang w:val="en-AU"/>
        </w:rPr>
        <w:t xml:space="preserve">, </w:t>
      </w:r>
      <w:r w:rsidRPr="00DC41AF">
        <w:rPr>
          <w:sz w:val="24"/>
          <w:szCs w:val="24"/>
          <w:lang w:val="en-AU"/>
        </w:rPr>
        <w:t xml:space="preserve">poor </w:t>
      </w:r>
      <w:proofErr w:type="spellStart"/>
      <w:r w:rsidRPr="00DC41AF">
        <w:rPr>
          <w:sz w:val="24"/>
          <w:szCs w:val="24"/>
          <w:lang w:val="en-AU"/>
        </w:rPr>
        <w:t>cytogenetics</w:t>
      </w:r>
      <w:proofErr w:type="spellEnd"/>
      <w:r w:rsidRPr="00DC41AF">
        <w:rPr>
          <w:sz w:val="24"/>
          <w:szCs w:val="24"/>
          <w:lang w:val="en-AU"/>
        </w:rPr>
        <w:t xml:space="preserve">). </w:t>
      </w:r>
    </w:p>
    <w:p w:rsidR="00B52ACD" w:rsidRPr="00DC41AF" w:rsidRDefault="00B52ACD" w:rsidP="00DC41AF">
      <w:pPr>
        <w:rPr>
          <w:sz w:val="24"/>
          <w:szCs w:val="24"/>
          <w:lang w:val="en-AU"/>
        </w:rPr>
      </w:pPr>
    </w:p>
    <w:p w:rsidR="000F6EFB" w:rsidRPr="00DC41AF" w:rsidRDefault="000F6EFB" w:rsidP="00DC41AF">
      <w:pPr>
        <w:rPr>
          <w:sz w:val="24"/>
          <w:szCs w:val="24"/>
          <w:lang w:val="en-AU"/>
        </w:rPr>
      </w:pPr>
      <w:r w:rsidRPr="00DC41AF">
        <w:rPr>
          <w:sz w:val="24"/>
          <w:szCs w:val="24"/>
          <w:lang w:val="en-AU"/>
        </w:rPr>
        <w:t>On analyses of age subgroups, an increase in median overall survival was observed for all groups</w:t>
      </w:r>
      <w:r w:rsidR="006D61F2" w:rsidRPr="00DC41AF">
        <w:rPr>
          <w:sz w:val="24"/>
          <w:szCs w:val="24"/>
          <w:lang w:val="en-AU"/>
        </w:rPr>
        <w:t xml:space="preserve"> in the Vidaza treatment arm</w:t>
      </w:r>
      <w:r w:rsidRPr="00DC41AF">
        <w:rPr>
          <w:sz w:val="24"/>
          <w:szCs w:val="24"/>
          <w:lang w:val="en-AU"/>
        </w:rPr>
        <w:t xml:space="preserve"> (&lt;</w:t>
      </w:r>
      <w:r w:rsidR="00A16D9C" w:rsidRPr="00DC41AF">
        <w:rPr>
          <w:sz w:val="24"/>
          <w:szCs w:val="24"/>
          <w:lang w:val="en-AU"/>
        </w:rPr>
        <w:t> </w:t>
      </w:r>
      <w:r w:rsidRPr="00DC41AF">
        <w:rPr>
          <w:sz w:val="24"/>
          <w:szCs w:val="24"/>
          <w:lang w:val="en-AU"/>
        </w:rPr>
        <w:t>65</w:t>
      </w:r>
      <w:r w:rsidR="00116FA3">
        <w:rPr>
          <w:sz w:val="24"/>
          <w:szCs w:val="24"/>
          <w:lang w:val="en-AU"/>
        </w:rPr>
        <w:t> </w:t>
      </w:r>
      <w:r w:rsidRPr="00DC41AF">
        <w:rPr>
          <w:sz w:val="24"/>
          <w:szCs w:val="24"/>
          <w:lang w:val="en-AU"/>
        </w:rPr>
        <w:t xml:space="preserve">years, </w:t>
      </w:r>
      <w:r w:rsidRPr="00DC41AF">
        <w:rPr>
          <w:sz w:val="24"/>
          <w:szCs w:val="24"/>
          <w:lang w:val="en-AU"/>
        </w:rPr>
        <w:sym w:font="Symbol" w:char="F0B3"/>
      </w:r>
      <w:r w:rsidR="00A16D9C" w:rsidRPr="00DC41AF">
        <w:rPr>
          <w:sz w:val="24"/>
          <w:szCs w:val="24"/>
          <w:lang w:val="en-AU"/>
        </w:rPr>
        <w:t> </w:t>
      </w:r>
      <w:r w:rsidRPr="00DC41AF">
        <w:rPr>
          <w:sz w:val="24"/>
          <w:szCs w:val="24"/>
          <w:lang w:val="en-AU"/>
        </w:rPr>
        <w:t>65</w:t>
      </w:r>
      <w:r w:rsidR="00116FA3">
        <w:rPr>
          <w:sz w:val="24"/>
          <w:szCs w:val="24"/>
          <w:lang w:val="en-AU"/>
        </w:rPr>
        <w:t> </w:t>
      </w:r>
      <w:r w:rsidRPr="00DC41AF">
        <w:rPr>
          <w:sz w:val="24"/>
          <w:szCs w:val="24"/>
          <w:lang w:val="en-AU"/>
        </w:rPr>
        <w:t xml:space="preserve">years and </w:t>
      </w:r>
      <w:r w:rsidRPr="00DC41AF">
        <w:rPr>
          <w:sz w:val="24"/>
          <w:szCs w:val="24"/>
          <w:lang w:val="en-AU"/>
        </w:rPr>
        <w:sym w:font="Symbol" w:char="F0B3"/>
      </w:r>
      <w:r w:rsidR="00A16D9C" w:rsidRPr="00DC41AF">
        <w:rPr>
          <w:sz w:val="24"/>
          <w:szCs w:val="24"/>
          <w:lang w:val="en-AU"/>
        </w:rPr>
        <w:t> </w:t>
      </w:r>
      <w:r w:rsidRPr="00DC41AF">
        <w:rPr>
          <w:sz w:val="24"/>
          <w:szCs w:val="24"/>
          <w:lang w:val="en-AU"/>
        </w:rPr>
        <w:t>75</w:t>
      </w:r>
      <w:r w:rsidR="00116FA3">
        <w:rPr>
          <w:sz w:val="24"/>
          <w:szCs w:val="24"/>
          <w:lang w:val="en-AU"/>
        </w:rPr>
        <w:t> </w:t>
      </w:r>
      <w:r w:rsidRPr="00DC41AF">
        <w:rPr>
          <w:sz w:val="24"/>
          <w:szCs w:val="24"/>
          <w:lang w:val="en-AU"/>
        </w:rPr>
        <w:t>years).</w:t>
      </w:r>
      <w:r w:rsidR="008E4264" w:rsidRPr="00DC41AF">
        <w:rPr>
          <w:sz w:val="24"/>
          <w:szCs w:val="24"/>
          <w:lang w:val="en-AU"/>
        </w:rPr>
        <w:t xml:space="preserve"> </w:t>
      </w:r>
      <w:r w:rsidRPr="00DC41AF">
        <w:rPr>
          <w:sz w:val="24"/>
          <w:szCs w:val="24"/>
          <w:lang w:val="en-AU"/>
        </w:rPr>
        <w:t>Vidaza treatment was associated with a median time to death o</w:t>
      </w:r>
      <w:r w:rsidR="00896D20" w:rsidRPr="00DC41AF">
        <w:rPr>
          <w:sz w:val="24"/>
          <w:szCs w:val="24"/>
          <w:lang w:val="en-AU"/>
        </w:rPr>
        <w:t>r transformation to AML of 13.0 </w:t>
      </w:r>
      <w:r w:rsidRPr="00DC41AF">
        <w:rPr>
          <w:sz w:val="24"/>
          <w:szCs w:val="24"/>
          <w:lang w:val="en-AU"/>
        </w:rPr>
        <w:t>months versus 7.6</w:t>
      </w:r>
      <w:r w:rsidR="00896D20" w:rsidRPr="00DC41AF">
        <w:rPr>
          <w:sz w:val="24"/>
          <w:szCs w:val="24"/>
          <w:lang w:val="en-AU"/>
        </w:rPr>
        <w:t> </w:t>
      </w:r>
      <w:r w:rsidRPr="00DC41AF">
        <w:rPr>
          <w:sz w:val="24"/>
          <w:szCs w:val="24"/>
          <w:lang w:val="en-AU"/>
        </w:rPr>
        <w:t>months for those receiving CCR t</w:t>
      </w:r>
      <w:r w:rsidR="00896D20" w:rsidRPr="00DC41AF">
        <w:rPr>
          <w:sz w:val="24"/>
          <w:szCs w:val="24"/>
          <w:lang w:val="en-AU"/>
        </w:rPr>
        <w:t>reatment, an improvement of 5.4 </w:t>
      </w:r>
      <w:r w:rsidRPr="00DC41AF">
        <w:rPr>
          <w:sz w:val="24"/>
          <w:szCs w:val="24"/>
          <w:lang w:val="en-AU"/>
        </w:rPr>
        <w:t>months with a stratified log-rank p-value of 0.0025.</w:t>
      </w:r>
    </w:p>
    <w:p w:rsidR="000F6EFB" w:rsidRPr="00DC41AF" w:rsidRDefault="000F6EFB" w:rsidP="00DC41AF">
      <w:pPr>
        <w:rPr>
          <w:sz w:val="24"/>
          <w:szCs w:val="24"/>
          <w:lang w:val="en-AU"/>
        </w:rPr>
      </w:pPr>
    </w:p>
    <w:p w:rsidR="000F6EFB" w:rsidRPr="00DC41AF" w:rsidRDefault="000F6EFB" w:rsidP="00DC41AF">
      <w:pPr>
        <w:rPr>
          <w:sz w:val="24"/>
          <w:szCs w:val="24"/>
          <w:lang w:val="en-AU"/>
        </w:rPr>
      </w:pPr>
      <w:r w:rsidRPr="00DC41AF">
        <w:rPr>
          <w:sz w:val="24"/>
          <w:szCs w:val="24"/>
          <w:lang w:val="en-AU"/>
        </w:rPr>
        <w:t xml:space="preserve">Vidaza treatment was also associated with a reduction in cytopenias, and their related symptoms. Vidaza treatment led to a reduced need for red blood cell and platelet transfusions. Of the patients in the </w:t>
      </w:r>
      <w:r w:rsidR="006D61F2" w:rsidRPr="00DC41AF">
        <w:rPr>
          <w:sz w:val="24"/>
          <w:szCs w:val="24"/>
          <w:lang w:val="en-AU"/>
        </w:rPr>
        <w:t>Vidaza</w:t>
      </w:r>
      <w:r w:rsidRPr="00DC41AF">
        <w:rPr>
          <w:sz w:val="24"/>
          <w:szCs w:val="24"/>
          <w:lang w:val="en-AU"/>
        </w:rPr>
        <w:t xml:space="preserve"> group who were RBC transfusion dependent at baseline, 45.0% of these patients became RBC transfusion independent during the treatment period, compared with 11.4% of the pati</w:t>
      </w:r>
      <w:bookmarkStart w:id="0" w:name="OLE_LINK4"/>
      <w:r w:rsidRPr="00DC41AF">
        <w:rPr>
          <w:sz w:val="24"/>
          <w:szCs w:val="24"/>
          <w:lang w:val="en-AU"/>
        </w:rPr>
        <w:t>ents in the combined CCR groups (</w:t>
      </w:r>
      <w:r w:rsidR="00A16D9C" w:rsidRPr="00DC41AF">
        <w:rPr>
          <w:bCs/>
          <w:sz w:val="24"/>
          <w:szCs w:val="24"/>
          <w:lang w:val="en-AU"/>
        </w:rPr>
        <w:t>a statistically significant (p &lt; </w:t>
      </w:r>
      <w:r w:rsidRPr="00DC41AF">
        <w:rPr>
          <w:bCs/>
          <w:sz w:val="24"/>
          <w:szCs w:val="24"/>
          <w:lang w:val="en-AU"/>
        </w:rPr>
        <w:t>0.0001) difference of 33.6% (95% CI: 22.4, 44.6)</w:t>
      </w:r>
      <w:r w:rsidR="00EC7FD3" w:rsidRPr="00DC41AF">
        <w:rPr>
          <w:bCs/>
          <w:sz w:val="24"/>
          <w:szCs w:val="24"/>
          <w:lang w:val="en-AU"/>
        </w:rPr>
        <w:t>)</w:t>
      </w:r>
      <w:r w:rsidRPr="00DC41AF">
        <w:rPr>
          <w:sz w:val="24"/>
          <w:szCs w:val="24"/>
          <w:lang w:val="en-AU"/>
        </w:rPr>
        <w:t>.</w:t>
      </w:r>
    </w:p>
    <w:bookmarkEnd w:id="0"/>
    <w:p w:rsidR="007F2F35" w:rsidRPr="00DC41AF" w:rsidRDefault="007F2F35" w:rsidP="00DC41AF">
      <w:pPr>
        <w:rPr>
          <w:sz w:val="24"/>
          <w:szCs w:val="24"/>
          <w:lang w:val="en-AU"/>
        </w:rPr>
      </w:pPr>
    </w:p>
    <w:p w:rsidR="00AE5660" w:rsidRPr="00DC41AF" w:rsidRDefault="00AE5660" w:rsidP="00DC41AF">
      <w:pPr>
        <w:rPr>
          <w:sz w:val="24"/>
          <w:szCs w:val="24"/>
          <w:lang w:val="en-AU"/>
        </w:rPr>
      </w:pPr>
    </w:p>
    <w:p w:rsidR="00B52ACD" w:rsidRPr="00DC41AF" w:rsidRDefault="007F2F35" w:rsidP="00DC41AF">
      <w:pPr>
        <w:pStyle w:val="Heading4"/>
        <w:numPr>
          <w:ilvl w:val="0"/>
          <w:numId w:val="11"/>
        </w:numPr>
        <w:spacing w:before="0" w:after="0"/>
        <w:ind w:left="720"/>
        <w:rPr>
          <w:lang w:val="en-AU"/>
        </w:rPr>
      </w:pPr>
      <w:r w:rsidRPr="00DC41AF">
        <w:rPr>
          <w:lang w:val="en-AU"/>
        </w:rPr>
        <w:t>I</w:t>
      </w:r>
      <w:r w:rsidR="00CD4C84" w:rsidRPr="00DC41AF">
        <w:rPr>
          <w:lang w:val="en-AU"/>
        </w:rPr>
        <w:t>ndications</w:t>
      </w:r>
    </w:p>
    <w:p w:rsidR="000F6EFB" w:rsidRPr="00DC41AF" w:rsidRDefault="000F6EFB" w:rsidP="00DC41AF">
      <w:pPr>
        <w:keepNext/>
        <w:spacing w:before="120"/>
        <w:rPr>
          <w:sz w:val="24"/>
          <w:szCs w:val="24"/>
          <w:lang w:val="en-AU"/>
        </w:rPr>
      </w:pPr>
      <w:r w:rsidRPr="00DC41AF">
        <w:rPr>
          <w:sz w:val="24"/>
          <w:szCs w:val="24"/>
          <w:lang w:val="en-AU"/>
        </w:rPr>
        <w:t xml:space="preserve">Vidaza is indicated for the treatment of patients with: </w:t>
      </w:r>
    </w:p>
    <w:p w:rsidR="000F6EFB" w:rsidRPr="00DC41AF" w:rsidRDefault="000F6EFB" w:rsidP="00DC41AF">
      <w:pPr>
        <w:numPr>
          <w:ilvl w:val="0"/>
          <w:numId w:val="6"/>
        </w:numPr>
        <w:spacing w:before="120"/>
        <w:ind w:left="714" w:hanging="357"/>
        <w:rPr>
          <w:sz w:val="24"/>
          <w:szCs w:val="24"/>
          <w:lang w:val="en-AU"/>
        </w:rPr>
      </w:pPr>
      <w:r w:rsidRPr="00DC41AF">
        <w:rPr>
          <w:sz w:val="24"/>
          <w:szCs w:val="24"/>
          <w:lang w:val="en-AU"/>
        </w:rPr>
        <w:t>Intermediate-2 and High-risk Myelodysplastic Syndromes (MDS) according to the International Prognostic Scoring System (IPSS),</w:t>
      </w:r>
    </w:p>
    <w:p w:rsidR="000F6EFB" w:rsidRPr="00DC41AF" w:rsidRDefault="000F6EFB" w:rsidP="00DC41AF">
      <w:pPr>
        <w:numPr>
          <w:ilvl w:val="0"/>
          <w:numId w:val="6"/>
        </w:numPr>
        <w:rPr>
          <w:sz w:val="24"/>
          <w:szCs w:val="24"/>
          <w:lang w:val="en-AU"/>
        </w:rPr>
      </w:pPr>
      <w:r w:rsidRPr="00DC41AF">
        <w:rPr>
          <w:sz w:val="24"/>
          <w:szCs w:val="24"/>
          <w:lang w:val="en-AU"/>
        </w:rPr>
        <w:t xml:space="preserve">Chronic </w:t>
      </w:r>
      <w:proofErr w:type="spellStart"/>
      <w:r w:rsidRPr="00DC41AF">
        <w:rPr>
          <w:sz w:val="24"/>
          <w:szCs w:val="24"/>
          <w:lang w:val="en-AU"/>
        </w:rPr>
        <w:t>Myelomonocytic</w:t>
      </w:r>
      <w:proofErr w:type="spellEnd"/>
      <w:r w:rsidRPr="00DC41AF">
        <w:rPr>
          <w:sz w:val="24"/>
          <w:szCs w:val="24"/>
          <w:lang w:val="en-AU"/>
        </w:rPr>
        <w:t xml:space="preserve"> </w:t>
      </w:r>
      <w:proofErr w:type="spellStart"/>
      <w:r w:rsidRPr="00DC41AF">
        <w:rPr>
          <w:sz w:val="24"/>
          <w:szCs w:val="24"/>
          <w:lang w:val="en-AU"/>
        </w:rPr>
        <w:t>Leukemia</w:t>
      </w:r>
      <w:proofErr w:type="spellEnd"/>
      <w:r w:rsidRPr="00DC41AF">
        <w:rPr>
          <w:sz w:val="24"/>
          <w:szCs w:val="24"/>
          <w:lang w:val="en-AU"/>
        </w:rPr>
        <w:t xml:space="preserve"> (</w:t>
      </w:r>
      <w:proofErr w:type="spellStart"/>
      <w:r w:rsidRPr="00DC41AF">
        <w:rPr>
          <w:sz w:val="24"/>
          <w:szCs w:val="24"/>
          <w:lang w:val="en-AU"/>
        </w:rPr>
        <w:t>CMMoL</w:t>
      </w:r>
      <w:proofErr w:type="spellEnd"/>
      <w:r w:rsidRPr="00DC41AF">
        <w:rPr>
          <w:sz w:val="24"/>
          <w:szCs w:val="24"/>
          <w:lang w:val="en-AU"/>
        </w:rPr>
        <w:t xml:space="preserve"> (10%</w:t>
      </w:r>
      <w:r w:rsidR="00A72AE3">
        <w:rPr>
          <w:sz w:val="24"/>
          <w:szCs w:val="24"/>
          <w:lang w:val="en-AU"/>
        </w:rPr>
        <w:noBreakHyphen/>
      </w:r>
      <w:r w:rsidRPr="00DC41AF">
        <w:rPr>
          <w:sz w:val="24"/>
          <w:szCs w:val="24"/>
          <w:lang w:val="en-AU"/>
        </w:rPr>
        <w:t xml:space="preserve">29% marrow blasts without </w:t>
      </w:r>
      <w:proofErr w:type="spellStart"/>
      <w:r w:rsidRPr="00DC41AF">
        <w:rPr>
          <w:sz w:val="24"/>
          <w:szCs w:val="24"/>
          <w:lang w:val="en-AU"/>
        </w:rPr>
        <w:t>Myeloproliferative</w:t>
      </w:r>
      <w:proofErr w:type="spellEnd"/>
      <w:r w:rsidRPr="00DC41AF">
        <w:rPr>
          <w:sz w:val="24"/>
          <w:szCs w:val="24"/>
          <w:lang w:val="en-AU"/>
        </w:rPr>
        <w:t xml:space="preserve"> Disorder)),</w:t>
      </w:r>
    </w:p>
    <w:p w:rsidR="000F6EFB" w:rsidRPr="00DC41AF" w:rsidRDefault="000F6EFB" w:rsidP="00DC41AF">
      <w:pPr>
        <w:numPr>
          <w:ilvl w:val="0"/>
          <w:numId w:val="6"/>
        </w:numPr>
        <w:rPr>
          <w:sz w:val="24"/>
          <w:szCs w:val="24"/>
          <w:lang w:val="en-AU"/>
        </w:rPr>
      </w:pPr>
      <w:r w:rsidRPr="00DC41AF">
        <w:rPr>
          <w:sz w:val="24"/>
          <w:szCs w:val="24"/>
          <w:lang w:val="en-AU"/>
        </w:rPr>
        <w:t xml:space="preserve">Acute Myeloid </w:t>
      </w:r>
      <w:proofErr w:type="spellStart"/>
      <w:r w:rsidRPr="00DC41AF">
        <w:rPr>
          <w:sz w:val="24"/>
          <w:szCs w:val="24"/>
          <w:lang w:val="en-AU"/>
        </w:rPr>
        <w:t>Leukemia</w:t>
      </w:r>
      <w:proofErr w:type="spellEnd"/>
      <w:r w:rsidRPr="00DC41AF">
        <w:rPr>
          <w:sz w:val="24"/>
          <w:szCs w:val="24"/>
          <w:lang w:val="en-AU"/>
        </w:rPr>
        <w:t xml:space="preserve"> (AML) with 20</w:t>
      </w:r>
      <w:r w:rsidR="00A72AE3">
        <w:rPr>
          <w:sz w:val="24"/>
          <w:szCs w:val="24"/>
          <w:lang w:val="en-AU"/>
        </w:rPr>
        <w:noBreakHyphen/>
      </w:r>
      <w:r w:rsidRPr="00DC41AF">
        <w:rPr>
          <w:sz w:val="24"/>
          <w:szCs w:val="24"/>
          <w:lang w:val="en-AU"/>
        </w:rPr>
        <w:t>30% blasts and multi-lineage dysplasia, according to World Health Organisation Classification (WHO)</w:t>
      </w:r>
      <w:r w:rsidR="00E15D6B" w:rsidRPr="00DC41AF">
        <w:rPr>
          <w:sz w:val="24"/>
          <w:szCs w:val="24"/>
          <w:lang w:val="en-AU"/>
        </w:rPr>
        <w:t>,</w:t>
      </w:r>
    </w:p>
    <w:p w:rsidR="003B76B9" w:rsidRPr="00DC41AF" w:rsidRDefault="003B76B9" w:rsidP="00DC41AF">
      <w:pPr>
        <w:spacing w:before="120"/>
        <w:rPr>
          <w:sz w:val="24"/>
          <w:lang w:val="en-AU"/>
        </w:rPr>
      </w:pPr>
      <w:r w:rsidRPr="00DC41AF">
        <w:rPr>
          <w:sz w:val="24"/>
          <w:lang w:val="en-AU"/>
        </w:rPr>
        <w:t xml:space="preserve">in whom </w:t>
      </w:r>
      <w:proofErr w:type="spellStart"/>
      <w:r w:rsidRPr="00DC41AF">
        <w:rPr>
          <w:sz w:val="24"/>
          <w:lang w:val="en-AU"/>
        </w:rPr>
        <w:t>allogenic</w:t>
      </w:r>
      <w:proofErr w:type="spellEnd"/>
      <w:r w:rsidRPr="00DC41AF">
        <w:rPr>
          <w:sz w:val="24"/>
          <w:lang w:val="en-AU"/>
        </w:rPr>
        <w:t xml:space="preserve"> stem cell transplantation is not indicated.</w:t>
      </w:r>
    </w:p>
    <w:p w:rsidR="00570632" w:rsidRPr="00DC41AF" w:rsidRDefault="00570632" w:rsidP="00DC41AF">
      <w:pPr>
        <w:rPr>
          <w:sz w:val="24"/>
          <w:lang w:val="en-AU"/>
        </w:rPr>
      </w:pPr>
    </w:p>
    <w:p w:rsidR="007F2F35" w:rsidRPr="00DC41AF" w:rsidRDefault="007F2F35" w:rsidP="00DC41AF">
      <w:pPr>
        <w:rPr>
          <w:sz w:val="24"/>
          <w:lang w:val="en-AU"/>
        </w:rPr>
      </w:pPr>
    </w:p>
    <w:p w:rsidR="00B52ACD" w:rsidRPr="00DC41AF" w:rsidRDefault="00570632" w:rsidP="00DC41AF">
      <w:pPr>
        <w:pStyle w:val="Heading4"/>
        <w:numPr>
          <w:ilvl w:val="0"/>
          <w:numId w:val="11"/>
        </w:numPr>
        <w:spacing w:before="0" w:after="0"/>
        <w:ind w:left="720"/>
        <w:rPr>
          <w:lang w:val="en-AU"/>
        </w:rPr>
      </w:pPr>
      <w:r w:rsidRPr="00DC41AF">
        <w:rPr>
          <w:lang w:val="en-AU"/>
        </w:rPr>
        <w:t>C</w:t>
      </w:r>
      <w:r w:rsidR="00CD4C84" w:rsidRPr="00DC41AF">
        <w:rPr>
          <w:lang w:val="en-AU"/>
        </w:rPr>
        <w:t>ontraindications</w:t>
      </w:r>
    </w:p>
    <w:p w:rsidR="009E1E58" w:rsidRPr="00DC41AF" w:rsidRDefault="006D61F2" w:rsidP="00DC41AF">
      <w:pPr>
        <w:keepNext/>
        <w:spacing w:before="120"/>
        <w:rPr>
          <w:sz w:val="24"/>
          <w:szCs w:val="24"/>
          <w:lang w:val="en-AU"/>
        </w:rPr>
      </w:pPr>
      <w:r w:rsidRPr="00DC41AF">
        <w:rPr>
          <w:sz w:val="24"/>
          <w:szCs w:val="24"/>
          <w:lang w:val="en-AU"/>
        </w:rPr>
        <w:t xml:space="preserve">Vidaza </w:t>
      </w:r>
      <w:r w:rsidR="009E1E58" w:rsidRPr="00DC41AF">
        <w:rPr>
          <w:sz w:val="24"/>
          <w:szCs w:val="24"/>
          <w:lang w:val="en-AU"/>
        </w:rPr>
        <w:t>is contraind</w:t>
      </w:r>
      <w:r w:rsidR="008A7627" w:rsidRPr="00DC41AF">
        <w:rPr>
          <w:sz w:val="24"/>
          <w:szCs w:val="24"/>
          <w:lang w:val="en-AU"/>
        </w:rPr>
        <w:t>icated in the following</w:t>
      </w:r>
      <w:r w:rsidR="009E1E58" w:rsidRPr="00DC41AF">
        <w:rPr>
          <w:sz w:val="24"/>
          <w:szCs w:val="24"/>
          <w:lang w:val="en-AU"/>
        </w:rPr>
        <w:t>:</w:t>
      </w:r>
    </w:p>
    <w:p w:rsidR="009E1E58" w:rsidRPr="00DC41AF" w:rsidRDefault="009E1E58" w:rsidP="00DC41AF">
      <w:pPr>
        <w:spacing w:before="120"/>
        <w:rPr>
          <w:sz w:val="24"/>
          <w:szCs w:val="24"/>
          <w:lang w:val="en-AU"/>
        </w:rPr>
      </w:pPr>
      <w:r w:rsidRPr="00DC41AF">
        <w:rPr>
          <w:sz w:val="24"/>
          <w:szCs w:val="24"/>
          <w:lang w:val="en-AU"/>
        </w:rPr>
        <w:t>-</w:t>
      </w:r>
      <w:r w:rsidRPr="00DC41AF">
        <w:rPr>
          <w:sz w:val="24"/>
          <w:szCs w:val="24"/>
          <w:lang w:val="en-AU"/>
        </w:rPr>
        <w:tab/>
        <w:t>patients with known hypersensitivity to azacitidine or to any of the excipients</w:t>
      </w:r>
    </w:p>
    <w:p w:rsidR="009E1E58" w:rsidRPr="00DC41AF" w:rsidRDefault="009E1E58" w:rsidP="00DC41AF">
      <w:pPr>
        <w:rPr>
          <w:sz w:val="24"/>
          <w:szCs w:val="24"/>
          <w:lang w:val="en-AU"/>
        </w:rPr>
      </w:pPr>
      <w:r w:rsidRPr="00DC41AF">
        <w:rPr>
          <w:sz w:val="24"/>
          <w:szCs w:val="24"/>
          <w:lang w:val="en-AU"/>
        </w:rPr>
        <w:t>-</w:t>
      </w:r>
      <w:r w:rsidRPr="00DC41AF">
        <w:rPr>
          <w:sz w:val="24"/>
          <w:szCs w:val="24"/>
          <w:lang w:val="en-AU"/>
        </w:rPr>
        <w:tab/>
        <w:t xml:space="preserve">patients with </w:t>
      </w:r>
      <w:r w:rsidR="00433D3C" w:rsidRPr="00DC41AF">
        <w:rPr>
          <w:sz w:val="24"/>
          <w:szCs w:val="24"/>
          <w:lang w:val="en-AU"/>
        </w:rPr>
        <w:t xml:space="preserve">advanced </w:t>
      </w:r>
      <w:r w:rsidRPr="00DC41AF">
        <w:rPr>
          <w:sz w:val="24"/>
          <w:szCs w:val="24"/>
          <w:lang w:val="en-AU"/>
        </w:rPr>
        <w:t>malignant hepatic tumours</w:t>
      </w:r>
      <w:r w:rsidR="00AE2776" w:rsidRPr="00DC41AF">
        <w:rPr>
          <w:sz w:val="24"/>
          <w:szCs w:val="24"/>
          <w:lang w:val="en-AU"/>
        </w:rPr>
        <w:t xml:space="preserve"> (</w:t>
      </w:r>
      <w:r w:rsidR="00D7668E" w:rsidRPr="00DC41AF">
        <w:rPr>
          <w:sz w:val="24"/>
          <w:szCs w:val="24"/>
          <w:lang w:val="en-AU"/>
        </w:rPr>
        <w:t>s</w:t>
      </w:r>
      <w:r w:rsidR="00AE2776" w:rsidRPr="00DC41AF">
        <w:rPr>
          <w:sz w:val="24"/>
          <w:szCs w:val="24"/>
          <w:lang w:val="en-AU"/>
        </w:rPr>
        <w:t>ee Precautions)</w:t>
      </w:r>
    </w:p>
    <w:p w:rsidR="00250500" w:rsidRPr="00DC41AF" w:rsidRDefault="00250500" w:rsidP="00DC41AF">
      <w:pPr>
        <w:rPr>
          <w:sz w:val="24"/>
          <w:szCs w:val="24"/>
          <w:lang w:val="en-AU"/>
        </w:rPr>
      </w:pPr>
      <w:r w:rsidRPr="00DC41AF">
        <w:rPr>
          <w:sz w:val="24"/>
          <w:szCs w:val="24"/>
          <w:lang w:val="en-AU"/>
        </w:rPr>
        <w:t>-</w:t>
      </w:r>
      <w:r w:rsidRPr="00DC41AF">
        <w:rPr>
          <w:sz w:val="24"/>
          <w:szCs w:val="24"/>
          <w:lang w:val="en-AU"/>
        </w:rPr>
        <w:tab/>
        <w:t>pregnancy</w:t>
      </w:r>
    </w:p>
    <w:p w:rsidR="0098431C" w:rsidRPr="00DC41AF" w:rsidRDefault="0098431C" w:rsidP="00DC41AF">
      <w:pPr>
        <w:rPr>
          <w:sz w:val="24"/>
          <w:szCs w:val="24"/>
          <w:lang w:val="en-AU"/>
        </w:rPr>
      </w:pPr>
      <w:r w:rsidRPr="00DC41AF">
        <w:rPr>
          <w:sz w:val="24"/>
          <w:szCs w:val="24"/>
          <w:lang w:val="en-AU"/>
        </w:rPr>
        <w:t>-</w:t>
      </w:r>
      <w:r w:rsidRPr="00DC41AF">
        <w:rPr>
          <w:sz w:val="24"/>
          <w:szCs w:val="24"/>
          <w:lang w:val="en-AU"/>
        </w:rPr>
        <w:tab/>
        <w:t>patients with severe renal impairment (creatinine clearance &lt;</w:t>
      </w:r>
      <w:r w:rsidR="00467EBD" w:rsidRPr="00DC41AF">
        <w:rPr>
          <w:sz w:val="24"/>
          <w:szCs w:val="24"/>
          <w:lang w:val="en-AU"/>
        </w:rPr>
        <w:t> </w:t>
      </w:r>
      <w:r w:rsidRPr="00DC41AF">
        <w:rPr>
          <w:sz w:val="24"/>
          <w:szCs w:val="24"/>
          <w:lang w:val="en-AU"/>
        </w:rPr>
        <w:t>30</w:t>
      </w:r>
      <w:r w:rsidR="00467EBD" w:rsidRPr="00DC41AF">
        <w:rPr>
          <w:sz w:val="24"/>
          <w:szCs w:val="24"/>
          <w:lang w:val="en-AU"/>
        </w:rPr>
        <w:t> </w:t>
      </w:r>
      <w:proofErr w:type="spellStart"/>
      <w:r w:rsidRPr="00DC41AF">
        <w:rPr>
          <w:sz w:val="24"/>
          <w:szCs w:val="24"/>
          <w:lang w:val="en-AU"/>
        </w:rPr>
        <w:t>mLs</w:t>
      </w:r>
      <w:proofErr w:type="spellEnd"/>
      <w:r w:rsidRPr="00DC41AF">
        <w:rPr>
          <w:sz w:val="24"/>
          <w:szCs w:val="24"/>
          <w:lang w:val="en-AU"/>
        </w:rPr>
        <w:t>/min)</w:t>
      </w:r>
      <w:r w:rsidR="00E15D6B" w:rsidRPr="00DC41AF">
        <w:rPr>
          <w:sz w:val="24"/>
          <w:szCs w:val="24"/>
          <w:lang w:val="en-AU"/>
        </w:rPr>
        <w:t>.</w:t>
      </w:r>
    </w:p>
    <w:p w:rsidR="00570632" w:rsidRPr="00DC41AF" w:rsidRDefault="00570632" w:rsidP="00DC41AF">
      <w:pPr>
        <w:ind w:right="-329"/>
        <w:rPr>
          <w:sz w:val="24"/>
          <w:lang w:val="en-AU"/>
        </w:rPr>
      </w:pPr>
    </w:p>
    <w:p w:rsidR="00C21DA7" w:rsidRPr="00DC41AF" w:rsidRDefault="00C21DA7" w:rsidP="00DC41AF">
      <w:pPr>
        <w:ind w:right="-329"/>
        <w:rPr>
          <w:sz w:val="24"/>
          <w:lang w:val="en-AU"/>
        </w:rPr>
      </w:pPr>
    </w:p>
    <w:p w:rsidR="00EF1257" w:rsidRPr="00DC41AF" w:rsidRDefault="007F2F35" w:rsidP="00DC41AF">
      <w:pPr>
        <w:pStyle w:val="ListParagraph"/>
        <w:keepNext/>
        <w:numPr>
          <w:ilvl w:val="0"/>
          <w:numId w:val="11"/>
        </w:numPr>
        <w:ind w:left="720" w:right="-329"/>
        <w:contextualSpacing w:val="0"/>
        <w:rPr>
          <w:b/>
          <w:sz w:val="24"/>
          <w:lang w:val="en-AU"/>
        </w:rPr>
      </w:pPr>
      <w:r w:rsidRPr="00DC41AF">
        <w:rPr>
          <w:b/>
          <w:sz w:val="24"/>
          <w:lang w:val="en-AU"/>
        </w:rPr>
        <w:t>P</w:t>
      </w:r>
      <w:r w:rsidR="00CD4C84" w:rsidRPr="00DC41AF">
        <w:rPr>
          <w:b/>
          <w:sz w:val="24"/>
          <w:lang w:val="en-AU"/>
        </w:rPr>
        <w:t>recautions</w:t>
      </w:r>
    </w:p>
    <w:p w:rsidR="00BC3CFC" w:rsidRPr="00DC41AF" w:rsidRDefault="00BC3CFC" w:rsidP="00DC41AF">
      <w:pPr>
        <w:pStyle w:val="ListParagraph"/>
        <w:keepNext/>
        <w:numPr>
          <w:ilvl w:val="0"/>
          <w:numId w:val="17"/>
        </w:numPr>
        <w:spacing w:before="120"/>
        <w:ind w:left="567" w:hanging="567"/>
        <w:contextualSpacing w:val="0"/>
        <w:rPr>
          <w:b/>
          <w:iCs/>
          <w:sz w:val="24"/>
          <w:szCs w:val="24"/>
          <w:u w:val="single"/>
          <w:lang w:val="en-AU"/>
        </w:rPr>
      </w:pPr>
      <w:r w:rsidRPr="00DC41AF">
        <w:rPr>
          <w:b/>
          <w:iCs/>
          <w:sz w:val="24"/>
          <w:szCs w:val="24"/>
          <w:u w:val="single"/>
          <w:lang w:val="en-AU"/>
        </w:rPr>
        <w:t>Effects on Fertility</w:t>
      </w:r>
    </w:p>
    <w:p w:rsidR="00FA4864" w:rsidRPr="00DC41AF" w:rsidRDefault="00BC3CFC" w:rsidP="00DC41AF">
      <w:pPr>
        <w:spacing w:before="120"/>
        <w:rPr>
          <w:sz w:val="24"/>
          <w:szCs w:val="24"/>
          <w:lang w:val="en-AU"/>
        </w:rPr>
      </w:pPr>
      <w:r w:rsidRPr="00DC41AF">
        <w:rPr>
          <w:sz w:val="24"/>
          <w:szCs w:val="24"/>
          <w:lang w:val="en-AU"/>
        </w:rPr>
        <w:t>Azacitidine had adverse effects on male fertility in rodents. Administration of azacitidine to male mice at 9.9 mg/m</w:t>
      </w:r>
      <w:r w:rsidRPr="00DC41AF">
        <w:rPr>
          <w:sz w:val="24"/>
          <w:szCs w:val="24"/>
          <w:vertAlign w:val="superscript"/>
          <w:lang w:val="en-AU"/>
        </w:rPr>
        <w:t>2</w:t>
      </w:r>
      <w:r w:rsidRPr="00DC41AF">
        <w:rPr>
          <w:sz w:val="24"/>
          <w:szCs w:val="24"/>
          <w:lang w:val="en-AU"/>
        </w:rPr>
        <w:t xml:space="preserve"> IP (well below the recommended human daily dose on a mg/m</w:t>
      </w:r>
      <w:r w:rsidRPr="00DC41AF">
        <w:rPr>
          <w:sz w:val="24"/>
          <w:szCs w:val="24"/>
          <w:vertAlign w:val="superscript"/>
          <w:lang w:val="en-AU"/>
        </w:rPr>
        <w:t>2</w:t>
      </w:r>
      <w:r w:rsidRPr="00DC41AF">
        <w:rPr>
          <w:sz w:val="24"/>
          <w:szCs w:val="24"/>
          <w:lang w:val="en-AU"/>
        </w:rPr>
        <w:t xml:space="preserve"> basis) daily for 3</w:t>
      </w:r>
      <w:r w:rsidR="00FA4864" w:rsidRPr="00DC41AF">
        <w:rPr>
          <w:sz w:val="24"/>
          <w:szCs w:val="24"/>
          <w:lang w:val="en-AU"/>
        </w:rPr>
        <w:t> </w:t>
      </w:r>
      <w:r w:rsidRPr="00DC41AF">
        <w:rPr>
          <w:sz w:val="24"/>
          <w:szCs w:val="24"/>
          <w:lang w:val="en-AU"/>
        </w:rPr>
        <w:t>days prior to mating with untreated female mice resulted in decreased fertility and increased pre- and post-implantation loss.</w:t>
      </w:r>
    </w:p>
    <w:p w:rsidR="00780F69" w:rsidRDefault="00780F69" w:rsidP="00DC41AF">
      <w:pPr>
        <w:rPr>
          <w:sz w:val="24"/>
          <w:szCs w:val="24"/>
          <w:lang w:val="en-AU"/>
        </w:rPr>
      </w:pPr>
    </w:p>
    <w:p w:rsidR="005B1DDE" w:rsidRPr="00DC41AF" w:rsidRDefault="00BC3CFC" w:rsidP="00DC41AF">
      <w:pPr>
        <w:rPr>
          <w:sz w:val="24"/>
          <w:szCs w:val="24"/>
          <w:lang w:val="en-AU"/>
        </w:rPr>
      </w:pPr>
      <w:r w:rsidRPr="00DC41AF">
        <w:rPr>
          <w:sz w:val="24"/>
          <w:szCs w:val="24"/>
          <w:lang w:val="en-AU"/>
        </w:rPr>
        <w:t xml:space="preserve">Treatment of male rats three times per week for </w:t>
      </w:r>
      <w:r w:rsidR="00D25A88" w:rsidRPr="00DC41AF">
        <w:rPr>
          <w:sz w:val="24"/>
          <w:szCs w:val="24"/>
          <w:lang w:val="en-AU"/>
        </w:rPr>
        <w:t>6 to 11</w:t>
      </w:r>
      <w:r w:rsidR="00C62C33" w:rsidRPr="00DC41AF">
        <w:rPr>
          <w:sz w:val="24"/>
          <w:szCs w:val="24"/>
          <w:lang w:val="en-AU"/>
        </w:rPr>
        <w:t> </w:t>
      </w:r>
      <w:r w:rsidRPr="00DC41AF">
        <w:rPr>
          <w:sz w:val="24"/>
          <w:szCs w:val="24"/>
          <w:lang w:val="en-AU"/>
        </w:rPr>
        <w:t>weeks at doses well below the</w:t>
      </w:r>
      <w:r w:rsidR="00780F69">
        <w:rPr>
          <w:sz w:val="24"/>
          <w:szCs w:val="24"/>
          <w:lang w:val="en-AU"/>
        </w:rPr>
        <w:t xml:space="preserve"> </w:t>
      </w:r>
    </w:p>
    <w:p w:rsidR="00BC3CFC" w:rsidRPr="00DC41AF" w:rsidRDefault="00BC3CFC" w:rsidP="00DC41AF">
      <w:pPr>
        <w:rPr>
          <w:sz w:val="24"/>
          <w:szCs w:val="24"/>
          <w:lang w:val="en-AU"/>
        </w:rPr>
      </w:pPr>
      <w:r w:rsidRPr="00DC41AF">
        <w:rPr>
          <w:sz w:val="24"/>
          <w:szCs w:val="24"/>
          <w:lang w:val="en-AU"/>
        </w:rPr>
        <w:lastRenderedPageBreak/>
        <w:t>recommended human daily dose on a mg/m</w:t>
      </w:r>
      <w:r w:rsidRPr="00DC41AF">
        <w:rPr>
          <w:sz w:val="24"/>
          <w:szCs w:val="24"/>
          <w:vertAlign w:val="superscript"/>
          <w:lang w:val="en-AU"/>
        </w:rPr>
        <w:t>2</w:t>
      </w:r>
      <w:r w:rsidRPr="00DC41AF">
        <w:rPr>
          <w:sz w:val="24"/>
          <w:szCs w:val="24"/>
          <w:lang w:val="en-AU"/>
        </w:rPr>
        <w:t xml:space="preserve"> basis, resulted in decreased weight of the testes and </w:t>
      </w:r>
      <w:proofErr w:type="spellStart"/>
      <w:r w:rsidRPr="00DC41AF">
        <w:rPr>
          <w:sz w:val="24"/>
          <w:szCs w:val="24"/>
          <w:lang w:val="en-AU"/>
        </w:rPr>
        <w:t>epididymides</w:t>
      </w:r>
      <w:proofErr w:type="spellEnd"/>
      <w:r w:rsidRPr="00DC41AF">
        <w:rPr>
          <w:sz w:val="24"/>
          <w:szCs w:val="24"/>
          <w:lang w:val="en-AU"/>
        </w:rPr>
        <w:t>, decreased sperm counts accompanied by decreased pregnancy rates and increased loss of embryos in mated females, and an increase in abnormal embryos in mated females when examined on day</w:t>
      </w:r>
      <w:r w:rsidR="00FA4864" w:rsidRPr="00DC41AF">
        <w:rPr>
          <w:sz w:val="24"/>
          <w:szCs w:val="24"/>
          <w:lang w:val="en-AU"/>
        </w:rPr>
        <w:t> </w:t>
      </w:r>
      <w:r w:rsidRPr="00DC41AF">
        <w:rPr>
          <w:sz w:val="24"/>
          <w:szCs w:val="24"/>
          <w:lang w:val="en-AU"/>
        </w:rPr>
        <w:t>2 of gestation (see PRECAUTIONS, Use in male patients). There have been no animal studies which have examined the effects of azacitidine on female fertility.</w:t>
      </w:r>
    </w:p>
    <w:p w:rsidR="00BC3CFC" w:rsidRPr="00DC41AF" w:rsidRDefault="00BC3CFC" w:rsidP="00DC41AF">
      <w:pPr>
        <w:rPr>
          <w:sz w:val="24"/>
          <w:szCs w:val="24"/>
          <w:lang w:val="en-AU"/>
        </w:rPr>
      </w:pPr>
    </w:p>
    <w:p w:rsidR="00D354E5" w:rsidRPr="00DC41AF" w:rsidRDefault="00D354E5" w:rsidP="00DC41AF">
      <w:pPr>
        <w:pStyle w:val="ListParagraph"/>
        <w:keepNext/>
        <w:numPr>
          <w:ilvl w:val="0"/>
          <w:numId w:val="17"/>
        </w:numPr>
        <w:ind w:left="567" w:hanging="567"/>
        <w:rPr>
          <w:b/>
          <w:sz w:val="24"/>
          <w:szCs w:val="24"/>
          <w:u w:val="single"/>
          <w:lang w:val="en-AU"/>
        </w:rPr>
      </w:pPr>
      <w:r w:rsidRPr="00DC41AF">
        <w:rPr>
          <w:b/>
          <w:sz w:val="24"/>
          <w:szCs w:val="24"/>
          <w:u w:val="single"/>
          <w:lang w:val="en-AU"/>
        </w:rPr>
        <w:t xml:space="preserve">Use in Pregnancy </w:t>
      </w:r>
      <w:r w:rsidRPr="00DC41AF">
        <w:rPr>
          <w:b/>
          <w:sz w:val="24"/>
          <w:u w:val="single"/>
          <w:lang w:val="en-AU"/>
        </w:rPr>
        <w:t>(Category X)</w:t>
      </w:r>
    </w:p>
    <w:p w:rsidR="00D354E5" w:rsidRPr="00DC41AF" w:rsidRDefault="00D354E5" w:rsidP="00DC41AF">
      <w:pPr>
        <w:spacing w:before="120"/>
        <w:rPr>
          <w:sz w:val="24"/>
          <w:szCs w:val="24"/>
          <w:lang w:val="en-AU"/>
        </w:rPr>
      </w:pPr>
      <w:r w:rsidRPr="00DC41AF">
        <w:rPr>
          <w:bCs/>
          <w:iCs/>
          <w:sz w:val="24"/>
          <w:szCs w:val="24"/>
          <w:lang w:val="en-AU"/>
        </w:rPr>
        <w:t xml:space="preserve">There are no adequate data on the use of azacitidine in pregnant women. </w:t>
      </w:r>
      <w:r w:rsidRPr="00DC41AF">
        <w:rPr>
          <w:sz w:val="24"/>
          <w:szCs w:val="24"/>
          <w:lang w:val="en-AU"/>
        </w:rPr>
        <w:t>Studies in animals have shown reproductive toxicity including teratogenic effects at relatively low doses. Azacitidine must not be used during pregnancy.</w:t>
      </w:r>
    </w:p>
    <w:p w:rsidR="00D354E5" w:rsidRPr="00DC41AF" w:rsidRDefault="00D354E5" w:rsidP="00DC41AF">
      <w:pPr>
        <w:rPr>
          <w:sz w:val="24"/>
          <w:szCs w:val="24"/>
          <w:lang w:val="en-AU"/>
        </w:rPr>
      </w:pPr>
    </w:p>
    <w:p w:rsidR="00D354E5" w:rsidRPr="00DC41AF" w:rsidRDefault="00D354E5" w:rsidP="00DC41AF">
      <w:pPr>
        <w:rPr>
          <w:sz w:val="24"/>
          <w:szCs w:val="24"/>
          <w:lang w:val="en-AU"/>
        </w:rPr>
      </w:pPr>
      <w:r w:rsidRPr="00DC41AF">
        <w:rPr>
          <w:sz w:val="24"/>
          <w:szCs w:val="24"/>
          <w:lang w:val="en-AU"/>
        </w:rPr>
        <w:t xml:space="preserve">Increased foetal </w:t>
      </w:r>
      <w:proofErr w:type="spellStart"/>
      <w:r w:rsidRPr="00DC41AF">
        <w:rPr>
          <w:sz w:val="24"/>
          <w:szCs w:val="24"/>
          <w:lang w:val="en-AU"/>
        </w:rPr>
        <w:t>resorptions</w:t>
      </w:r>
      <w:proofErr w:type="spellEnd"/>
      <w:r w:rsidRPr="00DC41AF">
        <w:rPr>
          <w:sz w:val="24"/>
          <w:szCs w:val="24"/>
          <w:lang w:val="en-AU"/>
        </w:rPr>
        <w:t xml:space="preserve"> were observed in mice treated with azacitidine (6 mg/m</w:t>
      </w:r>
      <w:r w:rsidRPr="00DC41AF">
        <w:rPr>
          <w:sz w:val="24"/>
          <w:szCs w:val="24"/>
          <w:vertAlign w:val="superscript"/>
          <w:lang w:val="en-AU"/>
        </w:rPr>
        <w:t>2</w:t>
      </w:r>
      <w:r w:rsidRPr="00DC41AF">
        <w:rPr>
          <w:sz w:val="24"/>
          <w:szCs w:val="24"/>
          <w:lang w:val="en-AU"/>
        </w:rPr>
        <w:t xml:space="preserve"> IP, well below the recommended human daily dose) on sin</w:t>
      </w:r>
      <w:r w:rsidR="004A185D">
        <w:rPr>
          <w:sz w:val="24"/>
          <w:szCs w:val="24"/>
          <w:lang w:val="en-AU"/>
        </w:rPr>
        <w:t>gle days during gestation (days </w:t>
      </w:r>
      <w:r w:rsidRPr="00DC41AF">
        <w:rPr>
          <w:sz w:val="24"/>
          <w:szCs w:val="24"/>
          <w:lang w:val="en-AU"/>
        </w:rPr>
        <w:t>10</w:t>
      </w:r>
      <w:r w:rsidR="00A72AE3">
        <w:rPr>
          <w:sz w:val="24"/>
          <w:szCs w:val="24"/>
          <w:lang w:val="en-AU"/>
        </w:rPr>
        <w:noBreakHyphen/>
      </w:r>
      <w:r w:rsidRPr="00DC41AF">
        <w:rPr>
          <w:sz w:val="24"/>
          <w:szCs w:val="24"/>
          <w:lang w:val="en-AU"/>
        </w:rPr>
        <w:t>14). In pregnant rats give</w:t>
      </w:r>
      <w:r w:rsidR="004A185D">
        <w:rPr>
          <w:sz w:val="24"/>
          <w:szCs w:val="24"/>
          <w:lang w:val="en-AU"/>
        </w:rPr>
        <w:t>n azacitidine on gestation days </w:t>
      </w:r>
      <w:r w:rsidRPr="00DC41AF">
        <w:rPr>
          <w:sz w:val="24"/>
          <w:szCs w:val="24"/>
          <w:lang w:val="en-AU"/>
        </w:rPr>
        <w:t>4</w:t>
      </w:r>
      <w:r w:rsidR="00A72AE3">
        <w:rPr>
          <w:sz w:val="24"/>
          <w:szCs w:val="24"/>
          <w:lang w:val="en-AU"/>
        </w:rPr>
        <w:noBreakHyphen/>
      </w:r>
      <w:r w:rsidRPr="00DC41AF">
        <w:rPr>
          <w:sz w:val="24"/>
          <w:szCs w:val="24"/>
          <w:lang w:val="en-AU"/>
        </w:rPr>
        <w:t>8 at doses well below the recommended human dose, foetal survival and foetal weights were decreased.</w:t>
      </w:r>
    </w:p>
    <w:p w:rsidR="00D354E5" w:rsidRPr="00DC41AF" w:rsidRDefault="00D354E5" w:rsidP="00DC41AF">
      <w:pPr>
        <w:rPr>
          <w:sz w:val="24"/>
          <w:szCs w:val="24"/>
          <w:lang w:val="en-AU"/>
        </w:rPr>
      </w:pPr>
    </w:p>
    <w:p w:rsidR="00D354E5" w:rsidRPr="00DC41AF" w:rsidRDefault="00D354E5" w:rsidP="00DC41AF">
      <w:pPr>
        <w:rPr>
          <w:sz w:val="24"/>
          <w:szCs w:val="24"/>
          <w:lang w:val="en-AU"/>
        </w:rPr>
      </w:pPr>
      <w:r w:rsidRPr="00DC41AF">
        <w:rPr>
          <w:sz w:val="24"/>
          <w:szCs w:val="24"/>
          <w:lang w:val="en-AU"/>
        </w:rPr>
        <w:t>Azacitidine caused multiple foetal abnormalities in rats after administration of a single IP dose of 3 to 12 mg/m</w:t>
      </w:r>
      <w:r w:rsidRPr="00DC41AF">
        <w:rPr>
          <w:sz w:val="24"/>
          <w:szCs w:val="24"/>
          <w:vertAlign w:val="superscript"/>
          <w:lang w:val="en-AU"/>
        </w:rPr>
        <w:t>2</w:t>
      </w:r>
      <w:r w:rsidRPr="00DC41AF">
        <w:rPr>
          <w:sz w:val="24"/>
          <w:szCs w:val="24"/>
          <w:lang w:val="en-AU"/>
        </w:rPr>
        <w:t xml:space="preserve"> (well below the recommended human daily dose) on gestation day</w:t>
      </w:r>
      <w:r w:rsidR="00FA4864" w:rsidRPr="00DC41AF">
        <w:rPr>
          <w:sz w:val="24"/>
          <w:szCs w:val="24"/>
          <w:lang w:val="en-AU"/>
        </w:rPr>
        <w:t> </w:t>
      </w:r>
      <w:r w:rsidRPr="00DC41AF">
        <w:rPr>
          <w:sz w:val="24"/>
          <w:szCs w:val="24"/>
          <w:lang w:val="en-AU"/>
        </w:rPr>
        <w:t>9, 10, 11 or 12. Foetal abnormalities included CNS abnormalities (</w:t>
      </w:r>
      <w:proofErr w:type="spellStart"/>
      <w:r w:rsidRPr="00DC41AF">
        <w:rPr>
          <w:sz w:val="24"/>
          <w:szCs w:val="24"/>
          <w:lang w:val="en-AU"/>
        </w:rPr>
        <w:t>exencephaly</w:t>
      </w:r>
      <w:proofErr w:type="spellEnd"/>
      <w:r w:rsidRPr="00DC41AF">
        <w:rPr>
          <w:sz w:val="24"/>
          <w:szCs w:val="24"/>
          <w:lang w:val="en-AU"/>
        </w:rPr>
        <w:t>/</w:t>
      </w:r>
      <w:proofErr w:type="spellStart"/>
      <w:r w:rsidRPr="00DC41AF">
        <w:rPr>
          <w:sz w:val="24"/>
          <w:szCs w:val="24"/>
          <w:lang w:val="en-AU"/>
        </w:rPr>
        <w:t>encephalocele</w:t>
      </w:r>
      <w:proofErr w:type="spellEnd"/>
      <w:r w:rsidRPr="00DC41AF">
        <w:rPr>
          <w:sz w:val="24"/>
          <w:szCs w:val="24"/>
          <w:lang w:val="en-AU"/>
        </w:rPr>
        <w:t>), limb abnormalities (</w:t>
      </w:r>
      <w:proofErr w:type="spellStart"/>
      <w:r w:rsidRPr="00DC41AF">
        <w:rPr>
          <w:sz w:val="24"/>
          <w:szCs w:val="24"/>
          <w:lang w:val="en-AU"/>
        </w:rPr>
        <w:t>micromelia</w:t>
      </w:r>
      <w:proofErr w:type="spellEnd"/>
      <w:r w:rsidRPr="00DC41AF">
        <w:rPr>
          <w:sz w:val="24"/>
          <w:szCs w:val="24"/>
          <w:lang w:val="en-AU"/>
        </w:rPr>
        <w:t xml:space="preserve">, club foot, </w:t>
      </w:r>
      <w:proofErr w:type="spellStart"/>
      <w:r w:rsidRPr="00DC41AF">
        <w:rPr>
          <w:sz w:val="24"/>
          <w:szCs w:val="24"/>
          <w:lang w:val="en-AU"/>
        </w:rPr>
        <w:t>syndactyly</w:t>
      </w:r>
      <w:proofErr w:type="spellEnd"/>
      <w:r w:rsidRPr="00DC41AF">
        <w:rPr>
          <w:sz w:val="24"/>
          <w:szCs w:val="24"/>
          <w:lang w:val="en-AU"/>
        </w:rPr>
        <w:t xml:space="preserve">, </w:t>
      </w:r>
      <w:proofErr w:type="spellStart"/>
      <w:r w:rsidRPr="00DC41AF">
        <w:rPr>
          <w:sz w:val="24"/>
          <w:szCs w:val="24"/>
          <w:lang w:val="en-AU"/>
        </w:rPr>
        <w:t>oligodactyly</w:t>
      </w:r>
      <w:proofErr w:type="spellEnd"/>
      <w:r w:rsidRPr="00DC41AF">
        <w:rPr>
          <w:sz w:val="24"/>
          <w:szCs w:val="24"/>
          <w:lang w:val="en-AU"/>
        </w:rPr>
        <w:t>) and others (</w:t>
      </w:r>
      <w:proofErr w:type="spellStart"/>
      <w:r w:rsidRPr="00DC41AF">
        <w:rPr>
          <w:sz w:val="24"/>
          <w:szCs w:val="24"/>
          <w:lang w:val="en-AU"/>
        </w:rPr>
        <w:t>microphthalmia</w:t>
      </w:r>
      <w:proofErr w:type="spellEnd"/>
      <w:r w:rsidRPr="00DC41AF">
        <w:rPr>
          <w:sz w:val="24"/>
          <w:szCs w:val="24"/>
          <w:lang w:val="en-AU"/>
        </w:rPr>
        <w:t>,</w:t>
      </w:r>
      <w:r w:rsidRPr="00DC41AF">
        <w:rPr>
          <w:lang w:val="en-AU"/>
        </w:rPr>
        <w:t xml:space="preserve"> </w:t>
      </w:r>
      <w:proofErr w:type="spellStart"/>
      <w:r w:rsidRPr="00DC41AF">
        <w:rPr>
          <w:sz w:val="24"/>
          <w:szCs w:val="24"/>
          <w:lang w:val="en-AU"/>
        </w:rPr>
        <w:t>micrognathia</w:t>
      </w:r>
      <w:proofErr w:type="spellEnd"/>
      <w:r w:rsidRPr="00DC41AF">
        <w:rPr>
          <w:sz w:val="24"/>
          <w:szCs w:val="24"/>
          <w:lang w:val="en-AU"/>
        </w:rPr>
        <w:t xml:space="preserve">, </w:t>
      </w:r>
      <w:proofErr w:type="spellStart"/>
      <w:r w:rsidRPr="00DC41AF">
        <w:rPr>
          <w:sz w:val="24"/>
          <w:szCs w:val="24"/>
          <w:lang w:val="en-AU"/>
        </w:rPr>
        <w:t>gastroschisis</w:t>
      </w:r>
      <w:proofErr w:type="spellEnd"/>
      <w:r w:rsidRPr="00DC41AF">
        <w:rPr>
          <w:sz w:val="24"/>
          <w:szCs w:val="24"/>
          <w:lang w:val="en-AU"/>
        </w:rPr>
        <w:t>, oedema, and rib abnormalities). Azacitidine also caused multiple foetal abnormalities in mice after administration of a single IP dose of 6</w:t>
      </w:r>
      <w:r w:rsidR="00FA4864" w:rsidRPr="00DC41AF">
        <w:rPr>
          <w:sz w:val="24"/>
          <w:szCs w:val="24"/>
          <w:lang w:val="en-AU"/>
        </w:rPr>
        <w:t> </w:t>
      </w:r>
      <w:r w:rsidRPr="00DC41AF">
        <w:rPr>
          <w:sz w:val="24"/>
          <w:szCs w:val="24"/>
          <w:lang w:val="en-AU"/>
        </w:rPr>
        <w:t>mg/m</w:t>
      </w:r>
      <w:r w:rsidRPr="00DC41AF">
        <w:rPr>
          <w:sz w:val="24"/>
          <w:szCs w:val="24"/>
          <w:vertAlign w:val="superscript"/>
          <w:lang w:val="en-AU"/>
        </w:rPr>
        <w:t>2</w:t>
      </w:r>
      <w:r w:rsidRPr="00DC41AF">
        <w:rPr>
          <w:sz w:val="24"/>
          <w:szCs w:val="24"/>
          <w:lang w:val="en-AU"/>
        </w:rPr>
        <w:t xml:space="preserve"> (well below the recommended human daily dose) on gestation day</w:t>
      </w:r>
      <w:r w:rsidR="00FA4864" w:rsidRPr="00DC41AF">
        <w:rPr>
          <w:sz w:val="24"/>
          <w:szCs w:val="24"/>
          <w:lang w:val="en-AU"/>
        </w:rPr>
        <w:t> </w:t>
      </w:r>
      <w:r w:rsidRPr="00DC41AF">
        <w:rPr>
          <w:sz w:val="24"/>
          <w:szCs w:val="24"/>
          <w:lang w:val="en-AU"/>
        </w:rPr>
        <w:t>10, 11</w:t>
      </w:r>
      <w:r w:rsidR="004A185D">
        <w:rPr>
          <w:sz w:val="24"/>
          <w:szCs w:val="24"/>
          <w:lang w:val="en-AU"/>
        </w:rPr>
        <w:t xml:space="preserve"> </w:t>
      </w:r>
      <w:r w:rsidRPr="00DC41AF">
        <w:rPr>
          <w:sz w:val="24"/>
          <w:szCs w:val="24"/>
          <w:lang w:val="en-AU"/>
        </w:rPr>
        <w:t>or 12. Foetal abnormalities included: CNS abnormalities (</w:t>
      </w:r>
      <w:proofErr w:type="spellStart"/>
      <w:r w:rsidRPr="00DC41AF">
        <w:rPr>
          <w:sz w:val="24"/>
          <w:szCs w:val="24"/>
          <w:lang w:val="en-AU"/>
        </w:rPr>
        <w:t>exencephaly</w:t>
      </w:r>
      <w:proofErr w:type="spellEnd"/>
      <w:r w:rsidRPr="00DC41AF">
        <w:rPr>
          <w:sz w:val="24"/>
          <w:szCs w:val="24"/>
          <w:lang w:val="en-AU"/>
        </w:rPr>
        <w:t xml:space="preserve">), limb abnormalities (malformed limbs, </w:t>
      </w:r>
      <w:proofErr w:type="spellStart"/>
      <w:r w:rsidRPr="00DC41AF">
        <w:rPr>
          <w:sz w:val="24"/>
          <w:szCs w:val="24"/>
          <w:lang w:val="en-AU"/>
        </w:rPr>
        <w:t>polydactyly</w:t>
      </w:r>
      <w:proofErr w:type="spellEnd"/>
      <w:r w:rsidRPr="00DC41AF">
        <w:rPr>
          <w:sz w:val="24"/>
          <w:szCs w:val="24"/>
          <w:lang w:val="en-AU"/>
        </w:rPr>
        <w:t xml:space="preserve">, </w:t>
      </w:r>
      <w:proofErr w:type="spellStart"/>
      <w:r w:rsidRPr="00DC41AF">
        <w:rPr>
          <w:sz w:val="24"/>
          <w:szCs w:val="24"/>
          <w:lang w:val="en-AU"/>
        </w:rPr>
        <w:t>syndactyly</w:t>
      </w:r>
      <w:proofErr w:type="spellEnd"/>
      <w:r w:rsidRPr="00DC41AF">
        <w:rPr>
          <w:sz w:val="24"/>
          <w:szCs w:val="24"/>
          <w:lang w:val="en-AU"/>
        </w:rPr>
        <w:t xml:space="preserve">, </w:t>
      </w:r>
      <w:proofErr w:type="spellStart"/>
      <w:r w:rsidRPr="00DC41AF">
        <w:rPr>
          <w:sz w:val="24"/>
          <w:szCs w:val="24"/>
          <w:lang w:val="en-AU"/>
        </w:rPr>
        <w:t>oligodactyly</w:t>
      </w:r>
      <w:proofErr w:type="spellEnd"/>
      <w:r w:rsidRPr="00DC41AF">
        <w:rPr>
          <w:sz w:val="24"/>
          <w:szCs w:val="24"/>
          <w:lang w:val="en-AU"/>
        </w:rPr>
        <w:t>) and others (cleft palate, skull bone defects and rib abnormalities).</w:t>
      </w:r>
    </w:p>
    <w:p w:rsidR="00D354E5" w:rsidRPr="00DC41AF" w:rsidRDefault="00D354E5" w:rsidP="00DC41AF">
      <w:pPr>
        <w:rPr>
          <w:sz w:val="24"/>
          <w:szCs w:val="24"/>
          <w:lang w:val="en-AU"/>
        </w:rPr>
      </w:pPr>
    </w:p>
    <w:p w:rsidR="00D354E5" w:rsidRPr="00DC41AF" w:rsidRDefault="00D354E5" w:rsidP="00DC41AF">
      <w:pPr>
        <w:rPr>
          <w:sz w:val="24"/>
          <w:szCs w:val="24"/>
          <w:lang w:val="en-AU"/>
        </w:rPr>
      </w:pPr>
      <w:r w:rsidRPr="00DC41AF">
        <w:rPr>
          <w:sz w:val="24"/>
          <w:szCs w:val="24"/>
          <w:lang w:val="en-AU"/>
        </w:rPr>
        <w:t>Women of childbearing potential should be advised to avoid becoming pregnant while receiving treatment with azacitidine. If the patient becomes pregnant while taking this drug, the patient should be appraised of the potential hazard to the foetus (see C</w:t>
      </w:r>
      <w:r w:rsidR="005D36B9" w:rsidRPr="00DC41AF">
        <w:rPr>
          <w:sz w:val="24"/>
          <w:szCs w:val="24"/>
          <w:lang w:val="en-AU"/>
        </w:rPr>
        <w:t>ontraindications</w:t>
      </w:r>
      <w:r w:rsidRPr="00DC41AF">
        <w:rPr>
          <w:sz w:val="24"/>
          <w:szCs w:val="24"/>
          <w:lang w:val="en-AU"/>
        </w:rPr>
        <w:t>).</w:t>
      </w:r>
    </w:p>
    <w:p w:rsidR="009720DA" w:rsidRPr="00DC41AF" w:rsidRDefault="009720DA" w:rsidP="00DC41AF">
      <w:pPr>
        <w:rPr>
          <w:sz w:val="24"/>
          <w:szCs w:val="24"/>
          <w:lang w:val="en-AU"/>
        </w:rPr>
      </w:pPr>
    </w:p>
    <w:p w:rsidR="005639BA" w:rsidRPr="00DC41AF" w:rsidRDefault="00FA4864" w:rsidP="00DC41AF">
      <w:pPr>
        <w:pStyle w:val="BodyText"/>
        <w:keepNext/>
        <w:numPr>
          <w:ilvl w:val="0"/>
          <w:numId w:val="17"/>
        </w:numPr>
        <w:ind w:left="567" w:hanging="567"/>
        <w:jc w:val="left"/>
        <w:rPr>
          <w:b/>
          <w:bCs/>
          <w:iCs/>
          <w:color w:val="auto"/>
          <w:szCs w:val="24"/>
          <w:u w:val="single"/>
          <w:lang w:val="en-AU"/>
        </w:rPr>
      </w:pPr>
      <w:r w:rsidRPr="00DC41AF">
        <w:rPr>
          <w:b/>
          <w:bCs/>
          <w:iCs/>
          <w:color w:val="auto"/>
          <w:szCs w:val="24"/>
          <w:u w:val="single"/>
          <w:lang w:val="en-AU"/>
        </w:rPr>
        <w:t>Use in male patients</w:t>
      </w:r>
    </w:p>
    <w:p w:rsidR="005D36B9" w:rsidRPr="00DC41AF" w:rsidRDefault="005D36B9" w:rsidP="00DC41AF">
      <w:pPr>
        <w:pStyle w:val="BodyText"/>
        <w:spacing w:before="120"/>
        <w:jc w:val="left"/>
        <w:rPr>
          <w:bCs/>
          <w:iCs/>
          <w:color w:val="auto"/>
          <w:szCs w:val="24"/>
          <w:lang w:val="en-AU"/>
        </w:rPr>
      </w:pPr>
      <w:r w:rsidRPr="00DC41AF">
        <w:rPr>
          <w:bCs/>
          <w:iCs/>
          <w:color w:val="auto"/>
          <w:szCs w:val="24"/>
          <w:lang w:val="en-AU"/>
        </w:rPr>
        <w:t xml:space="preserve">Men should be advised not to father a child while receiving treatment. Contraceptive measures are recommended. Before starting treatment, men are advised to seek counselling on sperm storage. Female partners of male patients receiving azacitidine should not become pregnant (see </w:t>
      </w:r>
      <w:r w:rsidRPr="00DC41AF">
        <w:rPr>
          <w:iCs/>
          <w:color w:val="auto"/>
          <w:szCs w:val="24"/>
          <w:lang w:val="en-AU"/>
        </w:rPr>
        <w:t>Effects on Fertility)</w:t>
      </w:r>
      <w:r w:rsidR="004A185D">
        <w:rPr>
          <w:bCs/>
          <w:iCs/>
          <w:color w:val="auto"/>
          <w:szCs w:val="24"/>
          <w:lang w:val="en-AU"/>
        </w:rPr>
        <w:t>.</w:t>
      </w:r>
    </w:p>
    <w:p w:rsidR="005D36B9" w:rsidRPr="00DC41AF" w:rsidRDefault="005D36B9" w:rsidP="00DC41AF">
      <w:pPr>
        <w:rPr>
          <w:sz w:val="24"/>
          <w:szCs w:val="24"/>
          <w:lang w:val="en-AU"/>
        </w:rPr>
      </w:pPr>
    </w:p>
    <w:p w:rsidR="00D354E5" w:rsidRPr="00DC41AF" w:rsidRDefault="00D354E5" w:rsidP="00DC41AF">
      <w:pPr>
        <w:pStyle w:val="ListParagraph"/>
        <w:keepNext/>
        <w:numPr>
          <w:ilvl w:val="0"/>
          <w:numId w:val="17"/>
        </w:numPr>
        <w:ind w:left="567" w:hanging="567"/>
        <w:rPr>
          <w:b/>
          <w:sz w:val="24"/>
          <w:szCs w:val="24"/>
          <w:u w:val="single"/>
          <w:lang w:val="en-AU"/>
        </w:rPr>
      </w:pPr>
      <w:r w:rsidRPr="00DC41AF">
        <w:rPr>
          <w:b/>
          <w:sz w:val="24"/>
          <w:szCs w:val="24"/>
          <w:u w:val="single"/>
          <w:lang w:val="en-AU"/>
        </w:rPr>
        <w:t>Use in Lactation</w:t>
      </w:r>
    </w:p>
    <w:p w:rsidR="00CA4FAB" w:rsidRPr="00DC41AF" w:rsidRDefault="00D354E5" w:rsidP="00DC41AF">
      <w:pPr>
        <w:spacing w:before="120"/>
        <w:rPr>
          <w:sz w:val="24"/>
          <w:szCs w:val="24"/>
          <w:lang w:val="en-AU"/>
        </w:rPr>
      </w:pPr>
      <w:r w:rsidRPr="00DC41AF">
        <w:rPr>
          <w:sz w:val="24"/>
          <w:szCs w:val="24"/>
          <w:lang w:val="en-AU"/>
        </w:rPr>
        <w:t>It is not known whether azacitidine or its metabolites are excreted in human milk.  The safety of azacitidine has not been investigated in lactating animals. Given the serious toxicity (severe target organ toxicity, genotoxicity and carcinogenicity)</w:t>
      </w:r>
    </w:p>
    <w:p w:rsidR="00CA4FAB" w:rsidRPr="00DC41AF" w:rsidRDefault="00CA4FAB">
      <w:pPr>
        <w:rPr>
          <w:sz w:val="24"/>
          <w:szCs w:val="24"/>
          <w:lang w:val="en-AU"/>
        </w:rPr>
      </w:pPr>
      <w:r w:rsidRPr="00DC41AF">
        <w:rPr>
          <w:sz w:val="24"/>
          <w:szCs w:val="24"/>
          <w:lang w:val="en-AU"/>
        </w:rPr>
        <w:br w:type="page"/>
      </w:r>
    </w:p>
    <w:p w:rsidR="00D354E5" w:rsidRPr="00DC41AF" w:rsidRDefault="00D354E5" w:rsidP="00DC41AF">
      <w:pPr>
        <w:spacing w:before="120"/>
        <w:rPr>
          <w:sz w:val="24"/>
          <w:szCs w:val="24"/>
          <w:lang w:val="en-AU"/>
        </w:rPr>
      </w:pPr>
      <w:r w:rsidRPr="00DC41AF">
        <w:rPr>
          <w:sz w:val="24"/>
          <w:szCs w:val="24"/>
          <w:lang w:val="en-AU"/>
        </w:rPr>
        <w:lastRenderedPageBreak/>
        <w:t>observed in other animal studies and the potential for serious adverse effects on the nursing child, breastfeeding must be discontinued during azacitidine therapy.</w:t>
      </w:r>
    </w:p>
    <w:p w:rsidR="002D55FA" w:rsidRPr="00DC41AF" w:rsidRDefault="002D55FA" w:rsidP="00DC41AF">
      <w:pPr>
        <w:rPr>
          <w:sz w:val="24"/>
          <w:szCs w:val="24"/>
          <w:lang w:val="en-AU"/>
        </w:rPr>
      </w:pPr>
    </w:p>
    <w:p w:rsidR="002D55FA" w:rsidRPr="00DC41AF" w:rsidRDefault="002D55FA" w:rsidP="00DC41AF">
      <w:pPr>
        <w:pStyle w:val="ListParagraph"/>
        <w:keepNext/>
        <w:numPr>
          <w:ilvl w:val="0"/>
          <w:numId w:val="17"/>
        </w:numPr>
        <w:ind w:left="567" w:right="-17" w:hanging="567"/>
        <w:rPr>
          <w:b/>
          <w:sz w:val="24"/>
          <w:szCs w:val="24"/>
          <w:u w:val="single"/>
          <w:lang w:val="en-AU"/>
        </w:rPr>
      </w:pPr>
      <w:r w:rsidRPr="00DC41AF">
        <w:rPr>
          <w:b/>
          <w:sz w:val="24"/>
          <w:szCs w:val="24"/>
          <w:u w:val="single"/>
          <w:lang w:val="en-AU"/>
        </w:rPr>
        <w:t>Paediatric us</w:t>
      </w:r>
      <w:r w:rsidR="00874247" w:rsidRPr="00DC41AF">
        <w:rPr>
          <w:b/>
          <w:sz w:val="24"/>
          <w:szCs w:val="24"/>
          <w:u w:val="single"/>
          <w:lang w:val="en-AU"/>
        </w:rPr>
        <w:t>e</w:t>
      </w:r>
    </w:p>
    <w:p w:rsidR="005639BA" w:rsidRPr="00DC41AF" w:rsidRDefault="002D55FA" w:rsidP="00DC41AF">
      <w:pPr>
        <w:spacing w:before="120"/>
        <w:ind w:right="-17"/>
        <w:rPr>
          <w:sz w:val="24"/>
          <w:szCs w:val="24"/>
          <w:lang w:val="en-AU"/>
        </w:rPr>
      </w:pPr>
      <w:r w:rsidRPr="00DC41AF">
        <w:rPr>
          <w:sz w:val="24"/>
          <w:szCs w:val="24"/>
          <w:lang w:val="en-AU"/>
        </w:rPr>
        <w:t>The safety and efficacy of azacitidine in children and adolescents under 18</w:t>
      </w:r>
      <w:r w:rsidR="00FA4864" w:rsidRPr="00DC41AF">
        <w:rPr>
          <w:sz w:val="24"/>
          <w:szCs w:val="24"/>
          <w:lang w:val="en-AU"/>
        </w:rPr>
        <w:t> </w:t>
      </w:r>
      <w:r w:rsidRPr="00DC41AF">
        <w:rPr>
          <w:sz w:val="24"/>
          <w:szCs w:val="24"/>
          <w:lang w:val="en-AU"/>
        </w:rPr>
        <w:t>years of age ha</w:t>
      </w:r>
      <w:r w:rsidR="001C1C9A" w:rsidRPr="00DC41AF">
        <w:rPr>
          <w:sz w:val="24"/>
          <w:szCs w:val="24"/>
          <w:lang w:val="en-AU"/>
        </w:rPr>
        <w:t>ve</w:t>
      </w:r>
      <w:r w:rsidRPr="00DC41AF">
        <w:rPr>
          <w:sz w:val="24"/>
          <w:szCs w:val="24"/>
          <w:lang w:val="en-AU"/>
        </w:rPr>
        <w:t xml:space="preserve"> not been established.  </w:t>
      </w:r>
    </w:p>
    <w:p w:rsidR="00EB7A13" w:rsidRPr="00DC41AF" w:rsidRDefault="00EB7A13" w:rsidP="00DC41AF">
      <w:pPr>
        <w:ind w:right="-18"/>
        <w:rPr>
          <w:sz w:val="24"/>
          <w:szCs w:val="24"/>
          <w:lang w:val="en-AU"/>
        </w:rPr>
      </w:pPr>
    </w:p>
    <w:p w:rsidR="00874247" w:rsidRPr="00DC41AF" w:rsidRDefault="00874247" w:rsidP="00DC41AF">
      <w:pPr>
        <w:pStyle w:val="ListParagraph"/>
        <w:keepNext/>
        <w:numPr>
          <w:ilvl w:val="0"/>
          <w:numId w:val="17"/>
        </w:numPr>
        <w:ind w:left="567" w:right="-17" w:hanging="567"/>
        <w:rPr>
          <w:b/>
          <w:sz w:val="24"/>
          <w:szCs w:val="24"/>
          <w:u w:val="single"/>
          <w:lang w:val="en-AU"/>
        </w:rPr>
      </w:pPr>
      <w:r w:rsidRPr="00DC41AF">
        <w:rPr>
          <w:b/>
          <w:sz w:val="24"/>
          <w:szCs w:val="24"/>
          <w:u w:val="single"/>
          <w:lang w:val="en-AU"/>
        </w:rPr>
        <w:t>Use in the elderly</w:t>
      </w:r>
    </w:p>
    <w:p w:rsidR="00874247" w:rsidRPr="00DC41AF" w:rsidRDefault="00874247" w:rsidP="00DC41AF">
      <w:pPr>
        <w:spacing w:before="120"/>
        <w:ind w:right="-17"/>
        <w:rPr>
          <w:iCs/>
          <w:sz w:val="24"/>
          <w:szCs w:val="24"/>
          <w:lang w:val="en-AU"/>
        </w:rPr>
      </w:pPr>
      <w:r w:rsidRPr="00DC41AF">
        <w:rPr>
          <w:iCs/>
          <w:sz w:val="24"/>
          <w:szCs w:val="24"/>
          <w:lang w:val="en-AU"/>
        </w:rPr>
        <w:t>No specific dose adjustments are recommended for the elderly.</w:t>
      </w:r>
    </w:p>
    <w:p w:rsidR="005D36B9" w:rsidRPr="00DC41AF" w:rsidRDefault="005D36B9" w:rsidP="00DC41AF">
      <w:pPr>
        <w:rPr>
          <w:sz w:val="24"/>
          <w:szCs w:val="24"/>
          <w:lang w:val="en-AU"/>
        </w:rPr>
      </w:pPr>
    </w:p>
    <w:p w:rsidR="005D36B9" w:rsidRPr="00DC41AF" w:rsidRDefault="005D36B9" w:rsidP="00DC41AF">
      <w:pPr>
        <w:pStyle w:val="ListParagraph"/>
        <w:keepNext/>
        <w:numPr>
          <w:ilvl w:val="0"/>
          <w:numId w:val="17"/>
        </w:numPr>
        <w:ind w:left="567" w:hanging="567"/>
        <w:rPr>
          <w:b/>
          <w:iCs/>
          <w:color w:val="000000"/>
          <w:sz w:val="24"/>
          <w:szCs w:val="24"/>
          <w:u w:val="single"/>
          <w:lang w:val="en-AU"/>
        </w:rPr>
      </w:pPr>
      <w:r w:rsidRPr="00DC41AF">
        <w:rPr>
          <w:b/>
          <w:iCs/>
          <w:color w:val="000000"/>
          <w:sz w:val="24"/>
          <w:szCs w:val="24"/>
          <w:u w:val="single"/>
          <w:lang w:val="en-AU"/>
        </w:rPr>
        <w:t>Genotoxicity</w:t>
      </w:r>
    </w:p>
    <w:p w:rsidR="005D36B9" w:rsidRPr="00DC41AF" w:rsidRDefault="005D36B9" w:rsidP="00DC41AF">
      <w:pPr>
        <w:autoSpaceDE w:val="0"/>
        <w:autoSpaceDN w:val="0"/>
        <w:adjustRightInd w:val="0"/>
        <w:spacing w:before="120"/>
        <w:rPr>
          <w:iCs/>
          <w:sz w:val="24"/>
          <w:szCs w:val="24"/>
          <w:lang w:val="en-AU"/>
        </w:rPr>
      </w:pPr>
      <w:r w:rsidRPr="00DC41AF">
        <w:rPr>
          <w:sz w:val="24"/>
          <w:szCs w:val="24"/>
          <w:lang w:val="en-AU"/>
        </w:rPr>
        <w:t xml:space="preserve">Azacitidine was mutagenic, as assessed in </w:t>
      </w:r>
      <w:r w:rsidRPr="00DC41AF">
        <w:rPr>
          <w:i/>
          <w:iCs/>
          <w:sz w:val="24"/>
          <w:szCs w:val="24"/>
          <w:lang w:val="en-AU"/>
        </w:rPr>
        <w:t xml:space="preserve">Salmonella </w:t>
      </w:r>
      <w:proofErr w:type="spellStart"/>
      <w:r w:rsidRPr="00DC41AF">
        <w:rPr>
          <w:i/>
          <w:iCs/>
          <w:sz w:val="24"/>
          <w:szCs w:val="24"/>
          <w:lang w:val="en-AU"/>
        </w:rPr>
        <w:t>typhimurium</w:t>
      </w:r>
      <w:proofErr w:type="spellEnd"/>
      <w:r w:rsidRPr="00DC41AF">
        <w:rPr>
          <w:i/>
          <w:iCs/>
          <w:sz w:val="24"/>
          <w:szCs w:val="24"/>
          <w:lang w:val="en-AU"/>
        </w:rPr>
        <w:t>,</w:t>
      </w:r>
      <w:r w:rsidRPr="00DC41AF">
        <w:rPr>
          <w:iCs/>
          <w:sz w:val="24"/>
          <w:szCs w:val="24"/>
          <w:lang w:val="en-AU"/>
        </w:rPr>
        <w:t xml:space="preserve"> </w:t>
      </w:r>
      <w:r w:rsidRPr="00DC41AF">
        <w:rPr>
          <w:sz w:val="24"/>
          <w:szCs w:val="24"/>
          <w:lang w:val="en-AU"/>
        </w:rPr>
        <w:t xml:space="preserve">L5178Y mouse lymphoma cells and human lymphoblast TK6 cells. </w:t>
      </w:r>
      <w:proofErr w:type="spellStart"/>
      <w:r w:rsidRPr="00DC41AF">
        <w:rPr>
          <w:sz w:val="24"/>
          <w:szCs w:val="24"/>
          <w:lang w:val="en-AU"/>
        </w:rPr>
        <w:t>Azacitidine</w:t>
      </w:r>
      <w:proofErr w:type="spellEnd"/>
      <w:r w:rsidRPr="00DC41AF">
        <w:rPr>
          <w:sz w:val="24"/>
          <w:szCs w:val="24"/>
          <w:lang w:val="en-AU"/>
        </w:rPr>
        <w:t xml:space="preserve"> was </w:t>
      </w:r>
      <w:proofErr w:type="spellStart"/>
      <w:r w:rsidRPr="00DC41AF">
        <w:rPr>
          <w:sz w:val="24"/>
          <w:szCs w:val="24"/>
          <w:lang w:val="en-AU"/>
        </w:rPr>
        <w:t>clastogenic</w:t>
      </w:r>
      <w:proofErr w:type="spellEnd"/>
      <w:r w:rsidRPr="00DC41AF">
        <w:rPr>
          <w:sz w:val="24"/>
          <w:szCs w:val="24"/>
          <w:lang w:val="en-AU"/>
        </w:rPr>
        <w:t xml:space="preserve"> in the </w:t>
      </w:r>
      <w:r w:rsidRPr="00DC41AF">
        <w:rPr>
          <w:i/>
          <w:iCs/>
          <w:sz w:val="24"/>
          <w:szCs w:val="24"/>
          <w:lang w:val="en-AU"/>
        </w:rPr>
        <w:t>in</w:t>
      </w:r>
      <w:r w:rsidR="00FA4864" w:rsidRPr="00DC41AF">
        <w:rPr>
          <w:i/>
          <w:iCs/>
          <w:sz w:val="24"/>
          <w:szCs w:val="24"/>
          <w:lang w:val="en-AU"/>
        </w:rPr>
        <w:t> </w:t>
      </w:r>
      <w:r w:rsidRPr="00DC41AF">
        <w:rPr>
          <w:i/>
          <w:iCs/>
          <w:sz w:val="24"/>
          <w:szCs w:val="24"/>
          <w:lang w:val="en-AU"/>
        </w:rPr>
        <w:t xml:space="preserve">vitro </w:t>
      </w:r>
      <w:r w:rsidRPr="00DC41AF">
        <w:rPr>
          <w:sz w:val="24"/>
          <w:szCs w:val="24"/>
          <w:lang w:val="en-AU"/>
        </w:rPr>
        <w:t xml:space="preserve">micronucleus assays in Syrian hamster embryo fibroblasts and L5178Y mouse lymphoma cells. Azacitidine induced morphological transformation in Syrian hamster kidney and embryo fibroblasts. No </w:t>
      </w:r>
      <w:r w:rsidRPr="00DC41AF">
        <w:rPr>
          <w:i/>
          <w:sz w:val="24"/>
          <w:szCs w:val="24"/>
          <w:lang w:val="en-AU"/>
        </w:rPr>
        <w:t>in</w:t>
      </w:r>
      <w:r w:rsidR="00FA4864" w:rsidRPr="00DC41AF">
        <w:rPr>
          <w:i/>
          <w:sz w:val="24"/>
          <w:szCs w:val="24"/>
          <w:lang w:val="en-AU"/>
        </w:rPr>
        <w:t> </w:t>
      </w:r>
      <w:r w:rsidRPr="00DC41AF">
        <w:rPr>
          <w:i/>
          <w:sz w:val="24"/>
          <w:szCs w:val="24"/>
          <w:lang w:val="en-AU"/>
        </w:rPr>
        <w:t>vivo</w:t>
      </w:r>
      <w:r w:rsidRPr="00DC41AF">
        <w:rPr>
          <w:sz w:val="24"/>
          <w:szCs w:val="24"/>
          <w:lang w:val="en-AU"/>
        </w:rPr>
        <w:t xml:space="preserve"> tests have been conducted with azacitidine.</w:t>
      </w:r>
    </w:p>
    <w:p w:rsidR="005D36B9" w:rsidRPr="00DC41AF" w:rsidRDefault="005D36B9" w:rsidP="00DC41AF">
      <w:pPr>
        <w:rPr>
          <w:sz w:val="24"/>
          <w:szCs w:val="24"/>
          <w:lang w:val="en-AU"/>
        </w:rPr>
      </w:pPr>
    </w:p>
    <w:p w:rsidR="005D36B9" w:rsidRPr="00DC41AF" w:rsidRDefault="005D36B9" w:rsidP="00DC41AF">
      <w:pPr>
        <w:pStyle w:val="ListParagraph"/>
        <w:keepNext/>
        <w:numPr>
          <w:ilvl w:val="0"/>
          <w:numId w:val="17"/>
        </w:numPr>
        <w:ind w:left="567" w:hanging="567"/>
        <w:rPr>
          <w:b/>
          <w:sz w:val="24"/>
          <w:szCs w:val="24"/>
          <w:u w:val="single"/>
          <w:lang w:val="en-AU"/>
        </w:rPr>
      </w:pPr>
      <w:r w:rsidRPr="00DC41AF">
        <w:rPr>
          <w:b/>
          <w:sz w:val="24"/>
          <w:szCs w:val="24"/>
          <w:u w:val="single"/>
          <w:lang w:val="en-AU"/>
        </w:rPr>
        <w:t>Carcinogenicity</w:t>
      </w:r>
    </w:p>
    <w:p w:rsidR="009720DA" w:rsidRPr="00DC41AF" w:rsidRDefault="005D36B9" w:rsidP="00BC7BBD">
      <w:pPr>
        <w:spacing w:before="120"/>
        <w:ind w:right="-55"/>
        <w:rPr>
          <w:iCs/>
          <w:sz w:val="24"/>
          <w:szCs w:val="24"/>
          <w:lang w:val="en-AU"/>
        </w:rPr>
      </w:pPr>
      <w:r w:rsidRPr="00DC41AF">
        <w:rPr>
          <w:sz w:val="24"/>
          <w:szCs w:val="24"/>
          <w:lang w:val="en-AU"/>
        </w:rPr>
        <w:t>Azacitidine has been shown to be carcinogenic when administered by t</w:t>
      </w:r>
      <w:r w:rsidR="00BC7BBD">
        <w:rPr>
          <w:sz w:val="24"/>
          <w:szCs w:val="24"/>
          <w:lang w:val="en-AU"/>
        </w:rPr>
        <w:t xml:space="preserve">he </w:t>
      </w:r>
      <w:proofErr w:type="spellStart"/>
      <w:r w:rsidR="00BC7BBD">
        <w:rPr>
          <w:sz w:val="24"/>
          <w:szCs w:val="24"/>
          <w:lang w:val="en-AU"/>
        </w:rPr>
        <w:t>intraperitoneal</w:t>
      </w:r>
      <w:proofErr w:type="spellEnd"/>
      <w:r w:rsidR="00BC7BBD">
        <w:rPr>
          <w:sz w:val="24"/>
          <w:szCs w:val="24"/>
          <w:lang w:val="en-AU"/>
        </w:rPr>
        <w:t xml:space="preserve"> route 2 or 3 </w:t>
      </w:r>
      <w:r w:rsidRPr="00DC41AF">
        <w:rPr>
          <w:sz w:val="24"/>
          <w:szCs w:val="24"/>
          <w:lang w:val="en-AU"/>
        </w:rPr>
        <w:t>times weekly for 50</w:t>
      </w:r>
      <w:r w:rsidR="00A72AE3">
        <w:rPr>
          <w:sz w:val="24"/>
          <w:szCs w:val="24"/>
          <w:lang w:val="en-AU"/>
        </w:rPr>
        <w:noBreakHyphen/>
      </w:r>
      <w:r w:rsidRPr="00DC41AF">
        <w:rPr>
          <w:sz w:val="24"/>
          <w:szCs w:val="24"/>
          <w:lang w:val="en-AU"/>
        </w:rPr>
        <w:t>52</w:t>
      </w:r>
      <w:r w:rsidR="00FA4864" w:rsidRPr="00DC41AF">
        <w:rPr>
          <w:sz w:val="24"/>
          <w:szCs w:val="24"/>
          <w:lang w:val="en-AU"/>
        </w:rPr>
        <w:t> </w:t>
      </w:r>
      <w:r w:rsidRPr="00DC41AF">
        <w:rPr>
          <w:sz w:val="24"/>
          <w:szCs w:val="24"/>
          <w:lang w:val="en-AU"/>
        </w:rPr>
        <w:t>weeks in mice at doses of 7</w:t>
      </w:r>
      <w:r w:rsidR="00A72AE3">
        <w:rPr>
          <w:sz w:val="24"/>
          <w:szCs w:val="24"/>
          <w:lang w:val="en-AU"/>
        </w:rPr>
        <w:noBreakHyphen/>
      </w:r>
      <w:r w:rsidRPr="00DC41AF">
        <w:rPr>
          <w:sz w:val="24"/>
          <w:szCs w:val="24"/>
          <w:lang w:val="en-AU"/>
        </w:rPr>
        <w:t>13 mg/m</w:t>
      </w:r>
      <w:r w:rsidRPr="00DC41AF">
        <w:rPr>
          <w:sz w:val="24"/>
          <w:szCs w:val="24"/>
          <w:vertAlign w:val="superscript"/>
          <w:lang w:val="en-AU"/>
        </w:rPr>
        <w:t>2</w:t>
      </w:r>
      <w:r w:rsidRPr="00DC41AF">
        <w:rPr>
          <w:sz w:val="24"/>
          <w:szCs w:val="24"/>
          <w:lang w:val="en-AU"/>
        </w:rPr>
        <w:t xml:space="preserve"> and for 8</w:t>
      </w:r>
      <w:r w:rsidR="00A72AE3">
        <w:rPr>
          <w:sz w:val="24"/>
          <w:szCs w:val="24"/>
          <w:lang w:val="en-AU"/>
        </w:rPr>
        <w:noBreakHyphen/>
      </w:r>
      <w:r w:rsidRPr="00DC41AF">
        <w:rPr>
          <w:sz w:val="24"/>
          <w:szCs w:val="24"/>
          <w:lang w:val="en-AU"/>
        </w:rPr>
        <w:t>36</w:t>
      </w:r>
      <w:r w:rsidR="00FA4864" w:rsidRPr="00DC41AF">
        <w:rPr>
          <w:sz w:val="24"/>
          <w:szCs w:val="24"/>
          <w:lang w:val="en-AU"/>
        </w:rPr>
        <w:t> </w:t>
      </w:r>
      <w:r w:rsidRPr="00DC41AF">
        <w:rPr>
          <w:sz w:val="24"/>
          <w:szCs w:val="24"/>
          <w:lang w:val="en-AU"/>
        </w:rPr>
        <w:t>weeks in rats at doses of 16</w:t>
      </w:r>
      <w:r w:rsidR="00A72AE3">
        <w:rPr>
          <w:sz w:val="24"/>
          <w:szCs w:val="24"/>
          <w:lang w:val="en-AU"/>
        </w:rPr>
        <w:noBreakHyphen/>
      </w:r>
      <w:r w:rsidRPr="00DC41AF">
        <w:rPr>
          <w:sz w:val="24"/>
          <w:szCs w:val="24"/>
          <w:lang w:val="en-AU"/>
        </w:rPr>
        <w:t>60 mg/m</w:t>
      </w:r>
      <w:r w:rsidRPr="00DC41AF">
        <w:rPr>
          <w:sz w:val="24"/>
          <w:szCs w:val="24"/>
          <w:vertAlign w:val="superscript"/>
          <w:lang w:val="en-AU"/>
        </w:rPr>
        <w:t>2</w:t>
      </w:r>
      <w:r w:rsidRPr="00DC41AF">
        <w:rPr>
          <w:sz w:val="24"/>
          <w:szCs w:val="24"/>
          <w:lang w:val="en-AU"/>
        </w:rPr>
        <w:t>. These doses are well below the recommended human daily dose (when compared on a mg/m</w:t>
      </w:r>
      <w:r w:rsidRPr="00DC41AF">
        <w:rPr>
          <w:sz w:val="24"/>
          <w:szCs w:val="24"/>
          <w:vertAlign w:val="superscript"/>
          <w:lang w:val="en-AU"/>
        </w:rPr>
        <w:t>2</w:t>
      </w:r>
      <w:r w:rsidRPr="00DC41AF">
        <w:rPr>
          <w:sz w:val="24"/>
          <w:szCs w:val="24"/>
          <w:lang w:val="en-AU"/>
        </w:rPr>
        <w:t xml:space="preserve"> basis). Tumour types included</w:t>
      </w:r>
      <w:r w:rsidRPr="00DC41AF">
        <w:rPr>
          <w:iCs/>
          <w:sz w:val="24"/>
          <w:szCs w:val="24"/>
          <w:lang w:val="en-AU"/>
        </w:rPr>
        <w:t xml:space="preserve"> lung, testicular, mammary gland, and skin tumours, lymphomas and tumours of the haematopoietic system.</w:t>
      </w:r>
    </w:p>
    <w:p w:rsidR="009720DA" w:rsidRPr="00DC41AF" w:rsidRDefault="009720DA" w:rsidP="00DC41AF">
      <w:pPr>
        <w:ind w:right="-331"/>
        <w:rPr>
          <w:iCs/>
          <w:sz w:val="24"/>
          <w:szCs w:val="24"/>
          <w:lang w:val="en-AU"/>
        </w:rPr>
      </w:pPr>
    </w:p>
    <w:p w:rsidR="00B52ACD" w:rsidRPr="00DC41AF" w:rsidRDefault="00636C44" w:rsidP="00DC41AF">
      <w:pPr>
        <w:pStyle w:val="BodyText"/>
        <w:keepNext/>
        <w:numPr>
          <w:ilvl w:val="0"/>
          <w:numId w:val="17"/>
        </w:numPr>
        <w:ind w:left="567" w:hanging="567"/>
        <w:jc w:val="left"/>
        <w:rPr>
          <w:b/>
          <w:bCs/>
          <w:color w:val="auto"/>
          <w:szCs w:val="24"/>
          <w:u w:val="single"/>
          <w:lang w:val="en-AU"/>
        </w:rPr>
      </w:pPr>
      <w:r w:rsidRPr="00DC41AF" w:rsidDel="00304262">
        <w:rPr>
          <w:b/>
          <w:bCs/>
          <w:color w:val="auto"/>
          <w:szCs w:val="24"/>
          <w:u w:val="single"/>
          <w:lang w:val="en-AU"/>
        </w:rPr>
        <w:t>Haematology</w:t>
      </w:r>
    </w:p>
    <w:p w:rsidR="00A4760C" w:rsidRPr="00DC41AF" w:rsidRDefault="000F6EFB" w:rsidP="00DC41AF">
      <w:pPr>
        <w:spacing w:before="120"/>
        <w:rPr>
          <w:rStyle w:val="CommentReference"/>
          <w:sz w:val="24"/>
          <w:szCs w:val="24"/>
          <w:lang w:val="en-AU"/>
        </w:rPr>
      </w:pPr>
      <w:r w:rsidRPr="00DC41AF" w:rsidDel="00304262">
        <w:rPr>
          <w:sz w:val="24"/>
          <w:szCs w:val="24"/>
          <w:lang w:val="en-AU"/>
        </w:rPr>
        <w:t xml:space="preserve">Treatment with </w:t>
      </w:r>
      <w:r w:rsidR="006D61F2" w:rsidRPr="00DC41AF" w:rsidDel="00304262">
        <w:rPr>
          <w:sz w:val="24"/>
          <w:szCs w:val="24"/>
          <w:lang w:val="en-AU"/>
        </w:rPr>
        <w:t>Vidaza</w:t>
      </w:r>
      <w:r w:rsidRPr="00DC41AF" w:rsidDel="00304262">
        <w:rPr>
          <w:sz w:val="24"/>
          <w:szCs w:val="24"/>
          <w:lang w:val="en-AU"/>
        </w:rPr>
        <w:t xml:space="preserve"> is associated with anaemia, neutropenia and thrombocytopenia, particularly during the first 2</w:t>
      </w:r>
      <w:r w:rsidR="00FA4864" w:rsidRPr="00DC41AF">
        <w:rPr>
          <w:sz w:val="24"/>
          <w:szCs w:val="24"/>
          <w:lang w:val="en-AU"/>
        </w:rPr>
        <w:t> </w:t>
      </w:r>
      <w:r w:rsidRPr="00DC41AF" w:rsidDel="00304262">
        <w:rPr>
          <w:sz w:val="24"/>
          <w:szCs w:val="24"/>
          <w:lang w:val="en-AU"/>
        </w:rPr>
        <w:t>cycles. Complete blood counts should be performed as needed to monitor response and toxicity, but at a minimum, prior to each dosing cycle</w:t>
      </w:r>
      <w:r w:rsidRPr="00DC41AF" w:rsidDel="00304262">
        <w:rPr>
          <w:i/>
          <w:iCs/>
          <w:sz w:val="24"/>
          <w:szCs w:val="24"/>
          <w:lang w:val="en-AU"/>
        </w:rPr>
        <w:t>.</w:t>
      </w:r>
      <w:r w:rsidRPr="00DC41AF" w:rsidDel="00304262">
        <w:rPr>
          <w:sz w:val="24"/>
          <w:szCs w:val="24"/>
          <w:lang w:val="en-AU"/>
        </w:rPr>
        <w:t xml:space="preserve"> After administration of the recommended dose for the first cycle, </w:t>
      </w:r>
      <w:r w:rsidR="006D61F2" w:rsidRPr="00DC41AF" w:rsidDel="00304262">
        <w:rPr>
          <w:sz w:val="24"/>
          <w:szCs w:val="24"/>
          <w:lang w:val="en-AU"/>
        </w:rPr>
        <w:t xml:space="preserve">in the presence of cytopenias, </w:t>
      </w:r>
      <w:r w:rsidRPr="00DC41AF" w:rsidDel="00304262">
        <w:rPr>
          <w:sz w:val="24"/>
          <w:szCs w:val="24"/>
          <w:lang w:val="en-AU"/>
        </w:rPr>
        <w:t xml:space="preserve">the dose for subsequent cycles should be reduced or delayed based on nadir counts and </w:t>
      </w:r>
      <w:r w:rsidR="00636C44" w:rsidRPr="00DC41AF" w:rsidDel="00304262">
        <w:rPr>
          <w:sz w:val="24"/>
          <w:szCs w:val="24"/>
          <w:lang w:val="en-AU"/>
        </w:rPr>
        <w:t>haematologic</w:t>
      </w:r>
      <w:r w:rsidRPr="00DC41AF" w:rsidDel="00304262">
        <w:rPr>
          <w:sz w:val="24"/>
          <w:szCs w:val="24"/>
          <w:lang w:val="en-AU"/>
        </w:rPr>
        <w:t xml:space="preserve"> response </w:t>
      </w:r>
      <w:r w:rsidR="006A73B9" w:rsidRPr="00DC41AF" w:rsidDel="00304262">
        <w:rPr>
          <w:sz w:val="24"/>
          <w:szCs w:val="24"/>
          <w:lang w:val="en-AU"/>
        </w:rPr>
        <w:t xml:space="preserve">as described in </w:t>
      </w:r>
      <w:r w:rsidR="004D5EE4" w:rsidRPr="00DC41AF" w:rsidDel="00304262">
        <w:rPr>
          <w:bCs/>
          <w:sz w:val="24"/>
          <w:szCs w:val="24"/>
          <w:lang w:val="en-AU"/>
        </w:rPr>
        <w:t>D</w:t>
      </w:r>
      <w:r w:rsidR="005D36B9" w:rsidRPr="00DC41AF" w:rsidDel="00304262">
        <w:rPr>
          <w:bCs/>
          <w:sz w:val="24"/>
          <w:szCs w:val="24"/>
          <w:lang w:val="en-AU"/>
        </w:rPr>
        <w:t>osage and administration</w:t>
      </w:r>
      <w:r w:rsidR="006A73B9" w:rsidRPr="00DC41AF" w:rsidDel="00304262">
        <w:rPr>
          <w:sz w:val="24"/>
          <w:szCs w:val="24"/>
          <w:lang w:val="en-AU"/>
        </w:rPr>
        <w:t>.</w:t>
      </w:r>
      <w:r w:rsidR="00A4760C" w:rsidRPr="00DC41AF" w:rsidDel="00304262">
        <w:rPr>
          <w:rStyle w:val="CommentReference"/>
          <w:sz w:val="24"/>
          <w:szCs w:val="24"/>
          <w:lang w:val="en-AU"/>
        </w:rPr>
        <w:t xml:space="preserve"> </w:t>
      </w:r>
    </w:p>
    <w:p w:rsidR="009720DA" w:rsidRPr="00DC41AF" w:rsidDel="00304262" w:rsidRDefault="009720DA" w:rsidP="00DC41AF">
      <w:pPr>
        <w:rPr>
          <w:sz w:val="24"/>
          <w:szCs w:val="24"/>
          <w:lang w:val="en-AU"/>
        </w:rPr>
      </w:pPr>
    </w:p>
    <w:p w:rsidR="00304262" w:rsidRPr="00DC41AF" w:rsidRDefault="00304262" w:rsidP="00DC41AF">
      <w:pPr>
        <w:pStyle w:val="ListParagraph"/>
        <w:keepNext/>
        <w:numPr>
          <w:ilvl w:val="0"/>
          <w:numId w:val="17"/>
        </w:numPr>
        <w:ind w:left="567" w:hanging="567"/>
        <w:rPr>
          <w:b/>
          <w:sz w:val="24"/>
          <w:szCs w:val="24"/>
          <w:u w:val="single"/>
          <w:lang w:val="en-AU"/>
        </w:rPr>
      </w:pPr>
      <w:r w:rsidRPr="00DC41AF">
        <w:rPr>
          <w:b/>
          <w:sz w:val="24"/>
          <w:szCs w:val="24"/>
          <w:u w:val="single"/>
          <w:lang w:val="en-AU"/>
        </w:rPr>
        <w:t>Use in Patients with Hepatic Impairment</w:t>
      </w:r>
    </w:p>
    <w:p w:rsidR="00304262" w:rsidRPr="00DC41AF" w:rsidRDefault="00304262" w:rsidP="00DC41AF">
      <w:pPr>
        <w:spacing w:before="120"/>
        <w:rPr>
          <w:sz w:val="24"/>
          <w:szCs w:val="24"/>
          <w:lang w:val="en-AU"/>
        </w:rPr>
      </w:pPr>
      <w:r w:rsidRPr="00DC41AF">
        <w:rPr>
          <w:sz w:val="24"/>
          <w:szCs w:val="24"/>
          <w:lang w:val="en-AU"/>
        </w:rPr>
        <w:t>No formal studies have been conducted in patients with hepatic impairment (see Pharmacokinetics). The pivotal safety and efficacy study excluded patients with bilirubin &gt; 1.5 times the upper limit of normal, or with AST or ALT &gt; 2.0 times the upper limit of normal. The safety of azacitidine in such patients has therefore not been established.</w:t>
      </w:r>
    </w:p>
    <w:p w:rsidR="00940FF0" w:rsidRPr="00DC41AF" w:rsidRDefault="00940FF0" w:rsidP="00DC41AF">
      <w:pPr>
        <w:rPr>
          <w:sz w:val="24"/>
          <w:szCs w:val="24"/>
          <w:lang w:val="en-AU"/>
        </w:rPr>
      </w:pPr>
    </w:p>
    <w:p w:rsidR="003E76BC" w:rsidRPr="00DC41AF" w:rsidRDefault="00D8791A" w:rsidP="00DC41AF">
      <w:pPr>
        <w:rPr>
          <w:color w:val="000000"/>
          <w:sz w:val="24"/>
          <w:szCs w:val="24"/>
          <w:lang w:val="en-AU"/>
        </w:rPr>
      </w:pPr>
      <w:r w:rsidRPr="00DC41AF">
        <w:rPr>
          <w:color w:val="000000"/>
          <w:sz w:val="24"/>
          <w:szCs w:val="24"/>
          <w:lang w:val="en-AU"/>
        </w:rPr>
        <w:t>Patients with extensive tumour burden due to metastatic disease have been rarely reported to experience progressive hepatic coma and death during azacitidine treatment, especially in such patients with baseline serum albumin &lt; 30 g/l.</w:t>
      </w:r>
    </w:p>
    <w:p w:rsidR="003E76BC" w:rsidRPr="00DC41AF" w:rsidRDefault="003E76BC">
      <w:pPr>
        <w:rPr>
          <w:color w:val="000000"/>
          <w:sz w:val="24"/>
          <w:szCs w:val="24"/>
          <w:lang w:val="en-AU"/>
        </w:rPr>
      </w:pPr>
      <w:r w:rsidRPr="00DC41AF">
        <w:rPr>
          <w:color w:val="000000"/>
          <w:sz w:val="24"/>
          <w:szCs w:val="24"/>
          <w:lang w:val="en-AU"/>
        </w:rPr>
        <w:br w:type="page"/>
      </w:r>
    </w:p>
    <w:p w:rsidR="00250500" w:rsidRPr="00DC41AF" w:rsidRDefault="00D8791A" w:rsidP="00DC41AF">
      <w:pPr>
        <w:rPr>
          <w:sz w:val="24"/>
          <w:szCs w:val="24"/>
          <w:lang w:val="en-AU"/>
        </w:rPr>
      </w:pPr>
      <w:r w:rsidRPr="00DC41AF">
        <w:rPr>
          <w:color w:val="000000"/>
          <w:sz w:val="24"/>
          <w:szCs w:val="24"/>
          <w:lang w:val="en-AU"/>
        </w:rPr>
        <w:lastRenderedPageBreak/>
        <w:t>Azacitidine is contraindicated in patients with advanced malignant hepatic tumours</w:t>
      </w:r>
      <w:r w:rsidR="006D61F2" w:rsidRPr="00DC41AF">
        <w:rPr>
          <w:sz w:val="24"/>
          <w:szCs w:val="24"/>
          <w:lang w:val="en-AU"/>
        </w:rPr>
        <w:t xml:space="preserve"> </w:t>
      </w:r>
      <w:r w:rsidR="006A73B9" w:rsidRPr="00DC41AF">
        <w:rPr>
          <w:sz w:val="24"/>
          <w:szCs w:val="24"/>
          <w:lang w:val="en-AU"/>
        </w:rPr>
        <w:t>(</w:t>
      </w:r>
      <w:r w:rsidR="00D7668E" w:rsidRPr="00DC41AF">
        <w:rPr>
          <w:sz w:val="24"/>
          <w:szCs w:val="24"/>
          <w:lang w:val="en-AU"/>
        </w:rPr>
        <w:t>s</w:t>
      </w:r>
      <w:r w:rsidR="006A73B9" w:rsidRPr="00DC41AF">
        <w:rPr>
          <w:sz w:val="24"/>
          <w:szCs w:val="24"/>
          <w:lang w:val="en-AU"/>
        </w:rPr>
        <w:t xml:space="preserve">ee </w:t>
      </w:r>
      <w:r w:rsidR="004D5EE4" w:rsidRPr="00DC41AF">
        <w:rPr>
          <w:sz w:val="24"/>
          <w:szCs w:val="24"/>
          <w:lang w:val="en-AU"/>
        </w:rPr>
        <w:t>C</w:t>
      </w:r>
      <w:r w:rsidR="005D36B9" w:rsidRPr="00DC41AF">
        <w:rPr>
          <w:sz w:val="24"/>
          <w:szCs w:val="24"/>
          <w:lang w:val="en-AU"/>
        </w:rPr>
        <w:t>ontraindications</w:t>
      </w:r>
      <w:r w:rsidR="006A73B9" w:rsidRPr="00DC41AF">
        <w:rPr>
          <w:sz w:val="24"/>
          <w:szCs w:val="24"/>
          <w:lang w:val="en-AU"/>
        </w:rPr>
        <w:t>).</w:t>
      </w:r>
    </w:p>
    <w:p w:rsidR="00250500" w:rsidRPr="00DC41AF" w:rsidRDefault="00250500" w:rsidP="00DC41AF">
      <w:pPr>
        <w:rPr>
          <w:sz w:val="24"/>
          <w:szCs w:val="24"/>
          <w:lang w:val="en-AU"/>
        </w:rPr>
      </w:pPr>
    </w:p>
    <w:p w:rsidR="00AC4374" w:rsidRPr="00DC41AF" w:rsidRDefault="00AC4374" w:rsidP="00DC41AF">
      <w:pPr>
        <w:pStyle w:val="ListParagraph"/>
        <w:keepNext/>
        <w:numPr>
          <w:ilvl w:val="0"/>
          <w:numId w:val="17"/>
        </w:numPr>
        <w:ind w:left="567" w:hanging="567"/>
        <w:rPr>
          <w:b/>
          <w:sz w:val="24"/>
          <w:szCs w:val="24"/>
          <w:u w:val="single"/>
          <w:lang w:val="en-AU"/>
        </w:rPr>
      </w:pPr>
      <w:r w:rsidRPr="00DC41AF">
        <w:rPr>
          <w:b/>
          <w:sz w:val="24"/>
          <w:szCs w:val="24"/>
          <w:u w:val="single"/>
          <w:lang w:val="en-AU"/>
        </w:rPr>
        <w:t xml:space="preserve">Renal </w:t>
      </w:r>
      <w:r w:rsidR="00467EBD" w:rsidRPr="00DC41AF">
        <w:rPr>
          <w:b/>
          <w:sz w:val="24"/>
          <w:szCs w:val="24"/>
          <w:u w:val="single"/>
          <w:lang w:val="en-AU"/>
        </w:rPr>
        <w:t>Toxicity</w:t>
      </w:r>
      <w:r w:rsidR="005D36B9" w:rsidRPr="00DC41AF">
        <w:rPr>
          <w:b/>
          <w:sz w:val="24"/>
          <w:szCs w:val="24"/>
          <w:u w:val="single"/>
          <w:lang w:val="en-AU"/>
        </w:rPr>
        <w:t xml:space="preserve"> and Use in Patients with Renal Impairment</w:t>
      </w:r>
    </w:p>
    <w:p w:rsidR="005D36B9" w:rsidRPr="00DC41AF" w:rsidRDefault="00AC4374" w:rsidP="00DC41AF">
      <w:pPr>
        <w:spacing w:before="120"/>
        <w:rPr>
          <w:bCs/>
          <w:sz w:val="24"/>
          <w:szCs w:val="24"/>
          <w:lang w:val="en-AU"/>
        </w:rPr>
      </w:pPr>
      <w:r w:rsidRPr="00DC41AF">
        <w:rPr>
          <w:sz w:val="24"/>
          <w:szCs w:val="24"/>
          <w:lang w:val="en-AU"/>
        </w:rPr>
        <w:t>Renal abnormalities ranging from elevated serum creatinine to renal failure and death were reported rarely in patients treated with intravenous (IV) azacitidine in combination with other chemotherapeutic agents. In addition, renal tubular acidosis, defined as a fall in serum bicarbonate to &lt; 20 </w:t>
      </w:r>
      <w:proofErr w:type="spellStart"/>
      <w:r w:rsidRPr="00DC41AF">
        <w:rPr>
          <w:sz w:val="24"/>
          <w:szCs w:val="24"/>
          <w:lang w:val="en-AU"/>
        </w:rPr>
        <w:t>mmol</w:t>
      </w:r>
      <w:proofErr w:type="spellEnd"/>
      <w:r w:rsidRPr="00DC41AF">
        <w:rPr>
          <w:sz w:val="24"/>
          <w:szCs w:val="24"/>
          <w:lang w:val="en-AU"/>
        </w:rPr>
        <w:t xml:space="preserve">/L in association with an alkaline urine and </w:t>
      </w:r>
      <w:proofErr w:type="spellStart"/>
      <w:r w:rsidRPr="00DC41AF">
        <w:rPr>
          <w:sz w:val="24"/>
          <w:szCs w:val="24"/>
          <w:lang w:val="en-AU"/>
        </w:rPr>
        <w:t>hypokalaemia</w:t>
      </w:r>
      <w:proofErr w:type="spellEnd"/>
      <w:r w:rsidRPr="00DC41AF">
        <w:rPr>
          <w:sz w:val="24"/>
          <w:szCs w:val="24"/>
          <w:lang w:val="en-AU"/>
        </w:rPr>
        <w:t xml:space="preserve"> (serum potassium &lt; 3 </w:t>
      </w:r>
      <w:proofErr w:type="spellStart"/>
      <w:r w:rsidRPr="00DC41AF">
        <w:rPr>
          <w:sz w:val="24"/>
          <w:szCs w:val="24"/>
          <w:lang w:val="en-AU"/>
        </w:rPr>
        <w:t>mmol</w:t>
      </w:r>
      <w:proofErr w:type="spellEnd"/>
      <w:r w:rsidRPr="00DC41AF">
        <w:rPr>
          <w:sz w:val="24"/>
          <w:szCs w:val="24"/>
          <w:lang w:val="en-AU"/>
        </w:rPr>
        <w:t>/L) developed in 5</w:t>
      </w:r>
      <w:r w:rsidR="00A03DB4" w:rsidRPr="00DC41AF">
        <w:rPr>
          <w:sz w:val="24"/>
          <w:szCs w:val="24"/>
          <w:lang w:val="en-AU"/>
        </w:rPr>
        <w:t> </w:t>
      </w:r>
      <w:r w:rsidRPr="00DC41AF">
        <w:rPr>
          <w:sz w:val="24"/>
          <w:szCs w:val="24"/>
          <w:lang w:val="en-AU"/>
        </w:rPr>
        <w:t xml:space="preserve">subjects with chronic </w:t>
      </w:r>
      <w:proofErr w:type="spellStart"/>
      <w:r w:rsidRPr="00DC41AF">
        <w:rPr>
          <w:sz w:val="24"/>
          <w:szCs w:val="24"/>
          <w:lang w:val="en-AU"/>
        </w:rPr>
        <w:t>myelogenous</w:t>
      </w:r>
      <w:proofErr w:type="spellEnd"/>
      <w:r w:rsidRPr="00DC41AF">
        <w:rPr>
          <w:sz w:val="24"/>
          <w:szCs w:val="24"/>
          <w:lang w:val="en-AU"/>
        </w:rPr>
        <w:t xml:space="preserve"> </w:t>
      </w:r>
      <w:proofErr w:type="spellStart"/>
      <w:r w:rsidRPr="00DC41AF">
        <w:rPr>
          <w:sz w:val="24"/>
          <w:szCs w:val="24"/>
          <w:lang w:val="en-AU"/>
        </w:rPr>
        <w:t>leukemia</w:t>
      </w:r>
      <w:proofErr w:type="spellEnd"/>
      <w:r w:rsidRPr="00DC41AF">
        <w:rPr>
          <w:sz w:val="24"/>
          <w:szCs w:val="24"/>
          <w:lang w:val="en-AU"/>
        </w:rPr>
        <w:t xml:space="preserve"> (CML) treated with </w:t>
      </w:r>
      <w:proofErr w:type="spellStart"/>
      <w:r w:rsidRPr="00DC41AF">
        <w:rPr>
          <w:sz w:val="24"/>
          <w:szCs w:val="24"/>
          <w:lang w:val="en-AU"/>
        </w:rPr>
        <w:t>azacitidine</w:t>
      </w:r>
      <w:proofErr w:type="spellEnd"/>
      <w:r w:rsidRPr="00DC41AF">
        <w:rPr>
          <w:sz w:val="24"/>
          <w:szCs w:val="24"/>
          <w:lang w:val="en-AU"/>
        </w:rPr>
        <w:t xml:space="preserve"> and </w:t>
      </w:r>
      <w:proofErr w:type="spellStart"/>
      <w:r w:rsidRPr="00DC41AF">
        <w:rPr>
          <w:sz w:val="24"/>
          <w:szCs w:val="24"/>
          <w:lang w:val="en-AU"/>
        </w:rPr>
        <w:t>etoposide</w:t>
      </w:r>
      <w:proofErr w:type="spellEnd"/>
      <w:r w:rsidRPr="00DC41AF">
        <w:rPr>
          <w:sz w:val="24"/>
          <w:szCs w:val="24"/>
          <w:lang w:val="en-AU"/>
        </w:rPr>
        <w:t>. If unexplained reductions in serum bicarbonate (&lt; 20 </w:t>
      </w:r>
      <w:proofErr w:type="spellStart"/>
      <w:r w:rsidRPr="00DC41AF">
        <w:rPr>
          <w:sz w:val="24"/>
          <w:szCs w:val="24"/>
          <w:lang w:val="en-AU"/>
        </w:rPr>
        <w:t>mmol</w:t>
      </w:r>
      <w:proofErr w:type="spellEnd"/>
      <w:r w:rsidRPr="00DC41AF">
        <w:rPr>
          <w:sz w:val="24"/>
          <w:szCs w:val="24"/>
          <w:lang w:val="en-AU"/>
        </w:rPr>
        <w:t>/L) or elevations of serum creatinine or BUN occur, the dose should be reduced or delayed</w:t>
      </w:r>
      <w:r w:rsidR="006A73B9" w:rsidRPr="00DC41AF">
        <w:rPr>
          <w:sz w:val="24"/>
          <w:szCs w:val="24"/>
          <w:lang w:val="en-AU"/>
        </w:rPr>
        <w:t xml:space="preserve"> as described in </w:t>
      </w:r>
      <w:r w:rsidR="004D5EE4" w:rsidRPr="00DC41AF">
        <w:rPr>
          <w:bCs/>
          <w:sz w:val="24"/>
          <w:szCs w:val="24"/>
          <w:lang w:val="en-AU"/>
        </w:rPr>
        <w:t>D</w:t>
      </w:r>
      <w:r w:rsidR="005D36B9" w:rsidRPr="00DC41AF">
        <w:rPr>
          <w:bCs/>
          <w:sz w:val="24"/>
          <w:szCs w:val="24"/>
          <w:lang w:val="en-AU"/>
        </w:rPr>
        <w:t>osage and administration</w:t>
      </w:r>
      <w:r w:rsidR="006A73B9" w:rsidRPr="00DC41AF">
        <w:rPr>
          <w:bCs/>
          <w:sz w:val="24"/>
          <w:szCs w:val="24"/>
          <w:lang w:val="en-AU"/>
        </w:rPr>
        <w:t>.</w:t>
      </w:r>
    </w:p>
    <w:p w:rsidR="00940FF0" w:rsidRPr="00DC41AF" w:rsidRDefault="00940FF0" w:rsidP="00DC41AF">
      <w:pPr>
        <w:rPr>
          <w:sz w:val="24"/>
          <w:szCs w:val="24"/>
          <w:lang w:val="en-AU"/>
        </w:rPr>
      </w:pPr>
    </w:p>
    <w:p w:rsidR="005D36B9" w:rsidRPr="00DC41AF" w:rsidRDefault="005D36B9" w:rsidP="00DC41AF">
      <w:pPr>
        <w:rPr>
          <w:sz w:val="24"/>
          <w:szCs w:val="24"/>
          <w:lang w:val="en-AU"/>
        </w:rPr>
      </w:pPr>
      <w:r w:rsidRPr="00DC41AF">
        <w:rPr>
          <w:sz w:val="24"/>
          <w:szCs w:val="24"/>
          <w:lang w:val="en-AU"/>
        </w:rPr>
        <w:t xml:space="preserve">No formal studies have been conducted in patients with renal impairment. Since azacitidine and/or its metabolites are primarily excreted by the kidneys, patients with mild or moderate renal impairment should be monitored closely and the dose adjusted </w:t>
      </w:r>
      <w:r w:rsidRPr="00DC41AF">
        <w:rPr>
          <w:bCs/>
          <w:sz w:val="24"/>
          <w:szCs w:val="24"/>
          <w:lang w:val="en-AU"/>
        </w:rPr>
        <w:t>based on haematology and renal laboratory values</w:t>
      </w:r>
      <w:r w:rsidRPr="00DC41AF">
        <w:rPr>
          <w:sz w:val="24"/>
          <w:szCs w:val="24"/>
          <w:lang w:val="en-AU"/>
        </w:rPr>
        <w:t xml:space="preserve"> (see D</w:t>
      </w:r>
      <w:r w:rsidR="00304262" w:rsidRPr="00DC41AF">
        <w:rPr>
          <w:sz w:val="24"/>
          <w:szCs w:val="24"/>
          <w:lang w:val="en-AU"/>
        </w:rPr>
        <w:t>osage and administration</w:t>
      </w:r>
      <w:r w:rsidRPr="00DC41AF">
        <w:rPr>
          <w:sz w:val="24"/>
          <w:szCs w:val="24"/>
          <w:lang w:val="en-AU"/>
        </w:rPr>
        <w:t>). There are inadequate pharmacokinetic or safety data to support the use of azacitidine in patients with severe renal impairment (creatinine clearance &lt; 30 </w:t>
      </w:r>
      <w:proofErr w:type="spellStart"/>
      <w:r w:rsidRPr="00DC41AF">
        <w:rPr>
          <w:sz w:val="24"/>
          <w:szCs w:val="24"/>
          <w:lang w:val="en-AU"/>
        </w:rPr>
        <w:t>mLs</w:t>
      </w:r>
      <w:proofErr w:type="spellEnd"/>
      <w:r w:rsidRPr="00DC41AF">
        <w:rPr>
          <w:sz w:val="24"/>
          <w:szCs w:val="24"/>
          <w:lang w:val="en-AU"/>
        </w:rPr>
        <w:t>/min – see C</w:t>
      </w:r>
      <w:r w:rsidR="00304262" w:rsidRPr="00DC41AF">
        <w:rPr>
          <w:sz w:val="24"/>
          <w:szCs w:val="24"/>
          <w:lang w:val="en-AU"/>
        </w:rPr>
        <w:t>ontraindications</w:t>
      </w:r>
      <w:r w:rsidRPr="00DC41AF">
        <w:rPr>
          <w:sz w:val="24"/>
          <w:szCs w:val="24"/>
          <w:lang w:val="en-AU"/>
        </w:rPr>
        <w:t>)</w:t>
      </w:r>
      <w:r w:rsidR="00A03DB4" w:rsidRPr="00DC41AF">
        <w:rPr>
          <w:sz w:val="24"/>
          <w:szCs w:val="24"/>
          <w:lang w:val="en-AU"/>
        </w:rPr>
        <w:t>.</w:t>
      </w:r>
    </w:p>
    <w:p w:rsidR="00781ACA" w:rsidRPr="00DC41AF" w:rsidRDefault="00781ACA" w:rsidP="00DC41AF">
      <w:pPr>
        <w:rPr>
          <w:bCs/>
          <w:sz w:val="24"/>
          <w:szCs w:val="24"/>
          <w:lang w:val="en-AU"/>
        </w:rPr>
      </w:pPr>
    </w:p>
    <w:p w:rsidR="00781ACA" w:rsidRPr="00DC41AF" w:rsidRDefault="00781ACA" w:rsidP="00DC41AF">
      <w:pPr>
        <w:pStyle w:val="ListParagraph"/>
        <w:keepNext/>
        <w:numPr>
          <w:ilvl w:val="0"/>
          <w:numId w:val="17"/>
        </w:numPr>
        <w:ind w:left="567" w:hanging="567"/>
        <w:outlineLvl w:val="0"/>
        <w:rPr>
          <w:b/>
          <w:sz w:val="24"/>
          <w:szCs w:val="24"/>
          <w:u w:val="single"/>
          <w:lang w:val="en-AU"/>
        </w:rPr>
      </w:pPr>
      <w:r w:rsidRPr="00DC41AF">
        <w:rPr>
          <w:b/>
          <w:sz w:val="24"/>
          <w:szCs w:val="24"/>
          <w:u w:val="single"/>
          <w:lang w:val="en-AU"/>
        </w:rPr>
        <w:t>Cardiac and pulmonary disease</w:t>
      </w:r>
    </w:p>
    <w:p w:rsidR="00512843" w:rsidRPr="00DC41AF" w:rsidRDefault="00781ACA" w:rsidP="00DC41AF">
      <w:pPr>
        <w:spacing w:before="120"/>
        <w:rPr>
          <w:sz w:val="24"/>
          <w:szCs w:val="24"/>
          <w:lang w:val="en-AU"/>
        </w:rPr>
      </w:pPr>
      <w:r w:rsidRPr="00DC41AF">
        <w:rPr>
          <w:rStyle w:val="BodyTextChar1"/>
          <w:lang w:val="en-AU"/>
        </w:rPr>
        <w:t xml:space="preserve">Patients with a history of severe congestive heart failure, clinically unstable cardiac disease or pulmonary disease were excluded from the pivotal clinical study and </w:t>
      </w:r>
      <w:r w:rsidRPr="00DC41AF">
        <w:rPr>
          <w:sz w:val="24"/>
          <w:szCs w:val="24"/>
          <w:lang w:val="en-AU"/>
        </w:rPr>
        <w:t xml:space="preserve">therefore the safety and efficacy of </w:t>
      </w:r>
      <w:r w:rsidR="00FF502D" w:rsidRPr="00DC41AF">
        <w:rPr>
          <w:sz w:val="24"/>
          <w:szCs w:val="24"/>
          <w:lang w:val="en-AU"/>
        </w:rPr>
        <w:t>azacitidine</w:t>
      </w:r>
      <w:r w:rsidRPr="00DC41AF">
        <w:rPr>
          <w:sz w:val="24"/>
          <w:szCs w:val="24"/>
          <w:lang w:val="en-AU"/>
        </w:rPr>
        <w:t xml:space="preserve"> in these patients has not been established.</w:t>
      </w:r>
      <w:bookmarkStart w:id="1" w:name="_DV_M227"/>
      <w:bookmarkEnd w:id="1"/>
    </w:p>
    <w:p w:rsidR="005B1DDE" w:rsidRPr="00DC41AF" w:rsidRDefault="005B1DDE" w:rsidP="00DC41AF">
      <w:pPr>
        <w:rPr>
          <w:sz w:val="24"/>
          <w:szCs w:val="24"/>
          <w:lang w:val="en-AU"/>
        </w:rPr>
      </w:pPr>
    </w:p>
    <w:p w:rsidR="00304262" w:rsidRPr="00DC41AF" w:rsidRDefault="00D713DD" w:rsidP="00DC41AF">
      <w:pPr>
        <w:pStyle w:val="ListParagraph"/>
        <w:keepNext/>
        <w:numPr>
          <w:ilvl w:val="0"/>
          <w:numId w:val="17"/>
        </w:numPr>
        <w:ind w:left="567" w:hanging="567"/>
        <w:rPr>
          <w:b/>
          <w:sz w:val="24"/>
          <w:szCs w:val="24"/>
          <w:u w:val="single"/>
          <w:lang w:val="en-AU"/>
        </w:rPr>
      </w:pPr>
      <w:r w:rsidRPr="00DC41AF">
        <w:rPr>
          <w:b/>
          <w:sz w:val="24"/>
          <w:szCs w:val="24"/>
          <w:u w:val="single"/>
          <w:lang w:val="en-AU"/>
        </w:rPr>
        <w:t>Laboratory Tests</w:t>
      </w:r>
    </w:p>
    <w:p w:rsidR="005E446D" w:rsidRPr="00DC41AF" w:rsidRDefault="00AE2776" w:rsidP="00DC41AF">
      <w:pPr>
        <w:spacing w:before="120"/>
        <w:rPr>
          <w:sz w:val="24"/>
          <w:szCs w:val="24"/>
          <w:lang w:val="en-AU"/>
        </w:rPr>
      </w:pPr>
      <w:r w:rsidRPr="00DC41AF">
        <w:rPr>
          <w:sz w:val="24"/>
          <w:szCs w:val="24"/>
          <w:lang w:val="en-AU"/>
        </w:rPr>
        <w:t>Liver chemistries and serum creatinine should be obtained prior to initiation of therapy.</w:t>
      </w:r>
    </w:p>
    <w:p w:rsidR="005E446D" w:rsidRPr="00DC41AF" w:rsidRDefault="005E446D" w:rsidP="00DC41AF">
      <w:pPr>
        <w:rPr>
          <w:sz w:val="24"/>
          <w:szCs w:val="24"/>
          <w:lang w:val="en-AU"/>
        </w:rPr>
      </w:pPr>
    </w:p>
    <w:p w:rsidR="00AE2776" w:rsidRPr="00DC41AF" w:rsidRDefault="00AE2776" w:rsidP="00DC41AF">
      <w:pPr>
        <w:rPr>
          <w:sz w:val="24"/>
          <w:szCs w:val="24"/>
          <w:lang w:val="en-AU"/>
        </w:rPr>
      </w:pPr>
      <w:r w:rsidRPr="00DC41AF">
        <w:rPr>
          <w:sz w:val="24"/>
          <w:szCs w:val="24"/>
          <w:lang w:val="en-AU"/>
        </w:rPr>
        <w:t xml:space="preserve">Complete blood counts should be performed as needed to monitor response and toxicity, but at a minimum, prior to each </w:t>
      </w:r>
      <w:r w:rsidR="003B4F93" w:rsidRPr="00DC41AF">
        <w:rPr>
          <w:sz w:val="24"/>
          <w:szCs w:val="24"/>
          <w:lang w:val="en-AU"/>
        </w:rPr>
        <w:t xml:space="preserve">treatment </w:t>
      </w:r>
      <w:r w:rsidRPr="00DC41AF">
        <w:rPr>
          <w:sz w:val="24"/>
          <w:szCs w:val="24"/>
          <w:lang w:val="en-AU"/>
        </w:rPr>
        <w:t>cycle</w:t>
      </w:r>
      <w:r w:rsidRPr="00DC41AF">
        <w:rPr>
          <w:iCs/>
          <w:sz w:val="24"/>
          <w:szCs w:val="24"/>
          <w:lang w:val="en-AU"/>
        </w:rPr>
        <w:t>.</w:t>
      </w:r>
      <w:r w:rsidRPr="00DC41AF">
        <w:rPr>
          <w:sz w:val="24"/>
          <w:szCs w:val="24"/>
          <w:lang w:val="en-AU"/>
        </w:rPr>
        <w:t xml:space="preserve">  </w:t>
      </w:r>
    </w:p>
    <w:p w:rsidR="009720DA" w:rsidRPr="00DC41AF" w:rsidRDefault="009720DA" w:rsidP="00DC41AF">
      <w:pPr>
        <w:rPr>
          <w:sz w:val="24"/>
          <w:szCs w:val="24"/>
          <w:lang w:val="en-AU"/>
        </w:rPr>
      </w:pPr>
    </w:p>
    <w:p w:rsidR="00570632" w:rsidRPr="00DC41AF" w:rsidRDefault="00D713DD" w:rsidP="00DC41AF">
      <w:pPr>
        <w:pStyle w:val="ListParagraph"/>
        <w:keepNext/>
        <w:numPr>
          <w:ilvl w:val="0"/>
          <w:numId w:val="17"/>
        </w:numPr>
        <w:ind w:left="567" w:hanging="567"/>
        <w:rPr>
          <w:b/>
          <w:sz w:val="24"/>
          <w:szCs w:val="24"/>
          <w:u w:val="single"/>
          <w:lang w:val="en-AU"/>
        </w:rPr>
      </w:pPr>
      <w:r w:rsidRPr="00DC41AF">
        <w:rPr>
          <w:b/>
          <w:sz w:val="24"/>
          <w:szCs w:val="24"/>
          <w:u w:val="single"/>
          <w:lang w:val="en-AU"/>
        </w:rPr>
        <w:t>Effects on ability to drive and use machines</w:t>
      </w:r>
    </w:p>
    <w:p w:rsidR="00EF54D6" w:rsidRDefault="006A73B9" w:rsidP="00EF54D6">
      <w:pPr>
        <w:spacing w:before="120"/>
        <w:ind w:right="-329"/>
        <w:rPr>
          <w:sz w:val="24"/>
          <w:szCs w:val="24"/>
          <w:lang w:val="en-AU"/>
        </w:rPr>
      </w:pPr>
      <w:r w:rsidRPr="00DC41AF">
        <w:rPr>
          <w:sz w:val="24"/>
          <w:szCs w:val="24"/>
          <w:lang w:val="en-AU"/>
        </w:rPr>
        <w:t xml:space="preserve">While no studies on the effects </w:t>
      </w:r>
      <w:r w:rsidR="00AE2776" w:rsidRPr="00DC41AF">
        <w:rPr>
          <w:sz w:val="24"/>
          <w:szCs w:val="24"/>
          <w:lang w:val="en-AU"/>
        </w:rPr>
        <w:t xml:space="preserve">of azacitidine </w:t>
      </w:r>
      <w:r w:rsidRPr="00DC41AF">
        <w:rPr>
          <w:sz w:val="24"/>
          <w:szCs w:val="24"/>
          <w:lang w:val="en-AU"/>
        </w:rPr>
        <w:t>on the ability to drive and use machines have been performed, patients should be advised that they may experience undesirable effects such as dizziness during treatment. Therefore caution should be recommended when driving a car or operating machinery.</w:t>
      </w:r>
    </w:p>
    <w:p w:rsidR="00EF54D6" w:rsidRDefault="00EF54D6">
      <w:pPr>
        <w:rPr>
          <w:sz w:val="24"/>
          <w:szCs w:val="24"/>
          <w:lang w:val="en-AU"/>
        </w:rPr>
      </w:pPr>
      <w:r>
        <w:rPr>
          <w:sz w:val="24"/>
          <w:szCs w:val="24"/>
          <w:lang w:val="en-AU"/>
        </w:rPr>
        <w:br w:type="page"/>
      </w:r>
    </w:p>
    <w:p w:rsidR="00B52ACD" w:rsidRPr="00DC41AF" w:rsidRDefault="00EB7A13" w:rsidP="00DC41AF">
      <w:pPr>
        <w:pStyle w:val="ListParagraph"/>
        <w:keepNext/>
        <w:numPr>
          <w:ilvl w:val="0"/>
          <w:numId w:val="11"/>
        </w:numPr>
        <w:ind w:left="709" w:hanging="709"/>
        <w:rPr>
          <w:b/>
          <w:sz w:val="24"/>
          <w:szCs w:val="24"/>
          <w:lang w:val="en-AU"/>
        </w:rPr>
      </w:pPr>
      <w:r w:rsidRPr="00DC41AF">
        <w:rPr>
          <w:b/>
          <w:sz w:val="24"/>
          <w:szCs w:val="24"/>
          <w:lang w:val="en-AU"/>
        </w:rPr>
        <w:lastRenderedPageBreak/>
        <w:t>Interactions with other medicines</w:t>
      </w:r>
    </w:p>
    <w:p w:rsidR="00E00A6A" w:rsidRPr="00DC41AF" w:rsidRDefault="00E00A6A" w:rsidP="00DC41AF">
      <w:pPr>
        <w:spacing w:before="120"/>
        <w:rPr>
          <w:sz w:val="24"/>
          <w:szCs w:val="24"/>
          <w:lang w:val="en-AU"/>
        </w:rPr>
      </w:pPr>
      <w:r w:rsidRPr="00DC41AF">
        <w:rPr>
          <w:sz w:val="24"/>
          <w:szCs w:val="24"/>
          <w:lang w:val="en-AU"/>
        </w:rPr>
        <w:t xml:space="preserve">No formal clinical drug interaction studies with azacitidine have been conducted. It is not known whether azacitidine metabolism is affected by </w:t>
      </w:r>
      <w:proofErr w:type="spellStart"/>
      <w:r w:rsidRPr="00DC41AF">
        <w:rPr>
          <w:sz w:val="24"/>
          <w:szCs w:val="24"/>
          <w:lang w:val="en-AU"/>
        </w:rPr>
        <w:t>microsomal</w:t>
      </w:r>
      <w:proofErr w:type="spellEnd"/>
      <w:r w:rsidRPr="00DC41AF">
        <w:rPr>
          <w:sz w:val="24"/>
          <w:szCs w:val="24"/>
          <w:lang w:val="en-AU"/>
        </w:rPr>
        <w:t xml:space="preserve"> enzyme inhibitors or inducers. Concomitant administration of medications known to be strong metabolising enzyme inducers or inhibitors are not recommended. Where such medications are considered essential, alternatives that are not strong inducers or inhibitors of metabolising enzymes should be sought</w:t>
      </w:r>
      <w:r w:rsidRPr="00DC41AF">
        <w:rPr>
          <w:color w:val="000080"/>
          <w:sz w:val="24"/>
          <w:szCs w:val="24"/>
          <w:lang w:val="en-AU"/>
        </w:rPr>
        <w:t>.</w:t>
      </w:r>
    </w:p>
    <w:p w:rsidR="00006DA0" w:rsidRPr="00DC41AF" w:rsidRDefault="00006DA0" w:rsidP="00DC41AF">
      <w:pPr>
        <w:rPr>
          <w:sz w:val="24"/>
          <w:szCs w:val="24"/>
          <w:lang w:val="en-AU"/>
        </w:rPr>
      </w:pPr>
    </w:p>
    <w:p w:rsidR="00681931" w:rsidRPr="00DC41AF" w:rsidRDefault="00681931" w:rsidP="00DC41AF">
      <w:pPr>
        <w:rPr>
          <w:sz w:val="24"/>
          <w:szCs w:val="24"/>
          <w:lang w:val="en-AU"/>
        </w:rPr>
      </w:pPr>
    </w:p>
    <w:p w:rsidR="00B52ACD" w:rsidRPr="00DC41AF" w:rsidRDefault="00F90709" w:rsidP="00DC41AF">
      <w:pPr>
        <w:pStyle w:val="Heading2"/>
        <w:numPr>
          <w:ilvl w:val="0"/>
          <w:numId w:val="11"/>
        </w:numPr>
        <w:ind w:left="709" w:right="-18" w:hanging="709"/>
        <w:rPr>
          <w:sz w:val="24"/>
          <w:szCs w:val="24"/>
          <w:lang w:val="en-AU"/>
        </w:rPr>
      </w:pPr>
      <w:r w:rsidRPr="00DC41AF">
        <w:rPr>
          <w:sz w:val="24"/>
          <w:lang w:val="en-AU"/>
        </w:rPr>
        <w:t>Adverse effects</w:t>
      </w:r>
    </w:p>
    <w:p w:rsidR="00AE7EA5" w:rsidRPr="00DC41AF" w:rsidRDefault="00F8068F" w:rsidP="00DC41AF">
      <w:pPr>
        <w:spacing w:before="120"/>
        <w:ind w:right="-17"/>
        <w:rPr>
          <w:sz w:val="24"/>
          <w:szCs w:val="24"/>
          <w:lang w:val="en-AU"/>
        </w:rPr>
      </w:pPr>
      <w:r w:rsidRPr="00DC41AF">
        <w:rPr>
          <w:sz w:val="24"/>
          <w:szCs w:val="24"/>
          <w:lang w:val="en-AU"/>
        </w:rPr>
        <w:t xml:space="preserve">The most commonly reported adverse events with azacitidine treatment were haematological </w:t>
      </w:r>
      <w:r w:rsidR="001C667F" w:rsidRPr="00DC41AF">
        <w:rPr>
          <w:sz w:val="24"/>
          <w:szCs w:val="24"/>
          <w:lang w:val="en-AU"/>
        </w:rPr>
        <w:t>[</w:t>
      </w:r>
      <w:r w:rsidRPr="00DC41AF">
        <w:rPr>
          <w:sz w:val="24"/>
          <w:szCs w:val="24"/>
          <w:lang w:val="en-AU"/>
        </w:rPr>
        <w:t xml:space="preserve">thrombocytopenia, </w:t>
      </w:r>
      <w:proofErr w:type="spellStart"/>
      <w:r w:rsidRPr="00DC41AF">
        <w:rPr>
          <w:sz w:val="24"/>
          <w:szCs w:val="24"/>
          <w:lang w:val="en-AU"/>
        </w:rPr>
        <w:t>neutropenia</w:t>
      </w:r>
      <w:proofErr w:type="spellEnd"/>
      <w:r w:rsidRPr="00DC41AF">
        <w:rPr>
          <w:sz w:val="24"/>
          <w:szCs w:val="24"/>
          <w:lang w:val="en-AU"/>
        </w:rPr>
        <w:t xml:space="preserve"> and </w:t>
      </w:r>
      <w:proofErr w:type="spellStart"/>
      <w:r w:rsidRPr="00DC41AF">
        <w:rPr>
          <w:sz w:val="24"/>
          <w:szCs w:val="24"/>
          <w:lang w:val="en-AU"/>
        </w:rPr>
        <w:t>leukopenia</w:t>
      </w:r>
      <w:proofErr w:type="spellEnd"/>
      <w:r w:rsidR="001C667F" w:rsidRPr="00DC41AF">
        <w:rPr>
          <w:sz w:val="24"/>
          <w:szCs w:val="24"/>
          <w:lang w:val="en-AU"/>
        </w:rPr>
        <w:t xml:space="preserve"> (</w:t>
      </w:r>
      <w:r w:rsidRPr="00DC41AF">
        <w:rPr>
          <w:sz w:val="24"/>
          <w:szCs w:val="24"/>
          <w:lang w:val="en-AU"/>
        </w:rPr>
        <w:t>usually Grade</w:t>
      </w:r>
      <w:r w:rsidR="00A03DB4" w:rsidRPr="00DC41AF">
        <w:rPr>
          <w:sz w:val="24"/>
          <w:szCs w:val="24"/>
          <w:lang w:val="en-AU"/>
        </w:rPr>
        <w:t> </w:t>
      </w:r>
      <w:r w:rsidRPr="00DC41AF">
        <w:rPr>
          <w:sz w:val="24"/>
          <w:szCs w:val="24"/>
          <w:lang w:val="en-AU"/>
        </w:rPr>
        <w:t>3</w:t>
      </w:r>
      <w:r w:rsidR="00A72AE3">
        <w:rPr>
          <w:sz w:val="24"/>
          <w:szCs w:val="24"/>
          <w:lang w:val="en-AU"/>
        </w:rPr>
        <w:noBreakHyphen/>
      </w:r>
      <w:r w:rsidRPr="00DC41AF">
        <w:rPr>
          <w:sz w:val="24"/>
          <w:szCs w:val="24"/>
          <w:lang w:val="en-AU"/>
        </w:rPr>
        <w:t>4)</w:t>
      </w:r>
      <w:r w:rsidR="001C667F" w:rsidRPr="00DC41AF">
        <w:rPr>
          <w:sz w:val="24"/>
          <w:szCs w:val="24"/>
          <w:lang w:val="en-AU"/>
        </w:rPr>
        <w:t>, and anaemia (usually Grade</w:t>
      </w:r>
      <w:r w:rsidR="00A03DB4" w:rsidRPr="00DC41AF">
        <w:rPr>
          <w:sz w:val="24"/>
          <w:szCs w:val="24"/>
          <w:lang w:val="en-AU"/>
        </w:rPr>
        <w:t> </w:t>
      </w:r>
      <w:r w:rsidR="001C667F" w:rsidRPr="00DC41AF">
        <w:rPr>
          <w:sz w:val="24"/>
          <w:szCs w:val="24"/>
          <w:lang w:val="en-AU"/>
        </w:rPr>
        <w:t>1</w:t>
      </w:r>
      <w:r w:rsidR="00A72AE3">
        <w:rPr>
          <w:sz w:val="24"/>
          <w:szCs w:val="24"/>
          <w:lang w:val="en-AU"/>
        </w:rPr>
        <w:noBreakHyphen/>
      </w:r>
      <w:r w:rsidR="001C667F" w:rsidRPr="00DC41AF">
        <w:rPr>
          <w:sz w:val="24"/>
          <w:szCs w:val="24"/>
          <w:lang w:val="en-AU"/>
        </w:rPr>
        <w:t>2)]</w:t>
      </w:r>
      <w:r w:rsidRPr="00DC41AF">
        <w:rPr>
          <w:sz w:val="24"/>
          <w:szCs w:val="24"/>
          <w:lang w:val="en-AU"/>
        </w:rPr>
        <w:t>, or those associated with administration (nausea, vomiting and injection site reactions, usually Grade</w:t>
      </w:r>
      <w:r w:rsidR="00A03DB4" w:rsidRPr="00DC41AF">
        <w:rPr>
          <w:sz w:val="24"/>
          <w:szCs w:val="24"/>
          <w:lang w:val="en-AU"/>
        </w:rPr>
        <w:t> </w:t>
      </w:r>
      <w:r w:rsidRPr="00DC41AF">
        <w:rPr>
          <w:sz w:val="24"/>
          <w:szCs w:val="24"/>
          <w:lang w:val="en-AU"/>
        </w:rPr>
        <w:t>1</w:t>
      </w:r>
      <w:r w:rsidR="00A72AE3">
        <w:rPr>
          <w:sz w:val="24"/>
          <w:szCs w:val="24"/>
          <w:lang w:val="en-AU"/>
        </w:rPr>
        <w:noBreakHyphen/>
      </w:r>
      <w:r w:rsidRPr="00DC41AF">
        <w:rPr>
          <w:sz w:val="24"/>
          <w:szCs w:val="24"/>
          <w:lang w:val="en-AU"/>
        </w:rPr>
        <w:t xml:space="preserve">2).  </w:t>
      </w:r>
      <w:r w:rsidR="00AE7EA5" w:rsidRPr="00DC41AF">
        <w:rPr>
          <w:sz w:val="24"/>
          <w:szCs w:val="24"/>
          <w:lang w:val="en-AU"/>
        </w:rPr>
        <w:t>Adverse reactions associated with intravenously administered azacitidine were similar in frequency and severity compared with subcutaneously administered azacitidine.</w:t>
      </w:r>
      <w:r w:rsidR="004A185D">
        <w:rPr>
          <w:sz w:val="24"/>
          <w:szCs w:val="24"/>
          <w:lang w:val="en-AU"/>
        </w:rPr>
        <w:t xml:space="preserve"> </w:t>
      </w:r>
      <w:r w:rsidR="00D25A88" w:rsidRPr="00DC41AF">
        <w:rPr>
          <w:sz w:val="24"/>
          <w:szCs w:val="24"/>
          <w:lang w:val="en-AU"/>
        </w:rPr>
        <w:t xml:space="preserve">This assessment was mostly based on cross-study comparisons, with studies of differing design (including considerably longer IV infusion of azacitidine than is now recommended) and differing patient populations.  The most common adverse reactions by IV route also included </w:t>
      </w:r>
      <w:proofErr w:type="spellStart"/>
      <w:r w:rsidR="00D25A88" w:rsidRPr="00DC41AF">
        <w:rPr>
          <w:sz w:val="24"/>
          <w:szCs w:val="24"/>
          <w:lang w:val="en-AU"/>
        </w:rPr>
        <w:t>petechiae</w:t>
      </w:r>
      <w:proofErr w:type="spellEnd"/>
      <w:r w:rsidR="00D25A88" w:rsidRPr="00DC41AF">
        <w:rPr>
          <w:sz w:val="24"/>
          <w:szCs w:val="24"/>
          <w:lang w:val="en-AU"/>
        </w:rPr>
        <w:t xml:space="preserve">, rigors, weakness and </w:t>
      </w:r>
      <w:proofErr w:type="spellStart"/>
      <w:r w:rsidR="00D25A88" w:rsidRPr="00DC41AF">
        <w:rPr>
          <w:sz w:val="24"/>
          <w:szCs w:val="24"/>
          <w:lang w:val="en-AU"/>
        </w:rPr>
        <w:t>hypokalaemia</w:t>
      </w:r>
      <w:proofErr w:type="spellEnd"/>
      <w:r w:rsidR="00A03DB4" w:rsidRPr="00DC41AF">
        <w:rPr>
          <w:sz w:val="24"/>
          <w:szCs w:val="24"/>
          <w:lang w:val="en-AU"/>
        </w:rPr>
        <w:t>.</w:t>
      </w:r>
    </w:p>
    <w:p w:rsidR="00AE7EA5" w:rsidRPr="00DC41AF" w:rsidRDefault="00AE7EA5" w:rsidP="00DC41AF">
      <w:pPr>
        <w:ind w:right="-18"/>
        <w:rPr>
          <w:sz w:val="24"/>
          <w:szCs w:val="24"/>
          <w:lang w:val="en-AU"/>
        </w:rPr>
      </w:pPr>
    </w:p>
    <w:p w:rsidR="00F8068F" w:rsidRPr="00DC41AF" w:rsidRDefault="00F8068F" w:rsidP="00DC41AF">
      <w:pPr>
        <w:ind w:right="-18"/>
        <w:rPr>
          <w:sz w:val="24"/>
          <w:szCs w:val="24"/>
          <w:lang w:val="en-AU"/>
        </w:rPr>
      </w:pPr>
      <w:r w:rsidRPr="00DC41AF">
        <w:rPr>
          <w:sz w:val="24"/>
          <w:szCs w:val="24"/>
          <w:lang w:val="en-AU"/>
        </w:rPr>
        <w:t xml:space="preserve">The following Table 1 shows the adverse </w:t>
      </w:r>
      <w:r w:rsidR="003A6422" w:rsidRPr="00DC41AF">
        <w:rPr>
          <w:sz w:val="24"/>
          <w:szCs w:val="24"/>
          <w:lang w:val="en-AU"/>
        </w:rPr>
        <w:t>events</w:t>
      </w:r>
      <w:r w:rsidRPr="00DC41AF">
        <w:rPr>
          <w:sz w:val="24"/>
          <w:szCs w:val="24"/>
          <w:lang w:val="en-AU"/>
        </w:rPr>
        <w:t xml:space="preserve"> that occurred at a frequency of greater than or equal to 10% in the azacitidine group in the pivotal clinical study.</w:t>
      </w:r>
    </w:p>
    <w:p w:rsidR="00F8068F" w:rsidRPr="00DC41AF" w:rsidRDefault="00F8068F" w:rsidP="00F8068F">
      <w:pPr>
        <w:rPr>
          <w:sz w:val="24"/>
          <w:szCs w:val="24"/>
          <w:lang w:val="en-AU"/>
        </w:rPr>
      </w:pPr>
    </w:p>
    <w:p w:rsidR="00F8068F" w:rsidRPr="00DC41AF" w:rsidRDefault="00F8068F" w:rsidP="00CA4FAB">
      <w:pPr>
        <w:ind w:left="-426" w:right="-55"/>
        <w:rPr>
          <w:sz w:val="24"/>
          <w:szCs w:val="24"/>
          <w:lang w:val="en-AU"/>
        </w:rPr>
      </w:pPr>
      <w:r w:rsidRPr="00DC41AF">
        <w:rPr>
          <w:b/>
          <w:sz w:val="24"/>
          <w:szCs w:val="24"/>
          <w:lang w:val="en-AU"/>
        </w:rPr>
        <w:t>Table 1: Most frequently reported adverse events (≥</w:t>
      </w:r>
      <w:r w:rsidRPr="00DC41AF">
        <w:rPr>
          <w:sz w:val="24"/>
          <w:szCs w:val="24"/>
          <w:lang w:val="en-AU"/>
        </w:rPr>
        <w:t> </w:t>
      </w:r>
      <w:r w:rsidRPr="00DC41AF">
        <w:rPr>
          <w:b/>
          <w:sz w:val="24"/>
          <w:szCs w:val="24"/>
          <w:lang w:val="en-AU"/>
        </w:rPr>
        <w:t>10% in the azacitidine treatment arm) from the pivotal clinical study (AZA PH GL 2003 CL 001</w:t>
      </w:r>
      <w:r w:rsidR="00D25A88" w:rsidRPr="00DC41AF">
        <w:rPr>
          <w:b/>
          <w:sz w:val="24"/>
          <w:szCs w:val="24"/>
          <w:lang w:val="en-AU"/>
        </w:rPr>
        <w:t>– subcutaneous route of administration</w:t>
      </w:r>
      <w:r w:rsidRPr="00DC41AF">
        <w:rPr>
          <w:b/>
          <w:sz w:val="24"/>
          <w:szCs w:val="24"/>
          <w:lang w:val="en-AU"/>
        </w:rPr>
        <w:t>)</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1276"/>
        <w:gridCol w:w="1276"/>
        <w:gridCol w:w="1275"/>
        <w:gridCol w:w="1276"/>
      </w:tblGrid>
      <w:tr w:rsidR="00F94482" w:rsidRPr="00DC41AF" w:rsidTr="00CA4FAB">
        <w:trPr>
          <w:tblHeader/>
        </w:trPr>
        <w:tc>
          <w:tcPr>
            <w:tcW w:w="3970" w:type="dxa"/>
            <w:vMerge w:val="restart"/>
          </w:tcPr>
          <w:p w:rsidR="00F94482" w:rsidRPr="00DC41AF" w:rsidRDefault="00F94482" w:rsidP="00F94482">
            <w:pPr>
              <w:rPr>
                <w:b/>
                <w:lang w:val="en-AU"/>
              </w:rPr>
            </w:pPr>
            <w:r w:rsidRPr="00DC41AF">
              <w:rPr>
                <w:b/>
                <w:lang w:val="en-AU"/>
              </w:rPr>
              <w:t>System Organ Class</w:t>
            </w:r>
          </w:p>
          <w:p w:rsidR="00F94482" w:rsidRPr="00DC41AF" w:rsidRDefault="00F94482" w:rsidP="00F94482">
            <w:pPr>
              <w:ind w:firstLine="450"/>
              <w:rPr>
                <w:lang w:val="en-AU"/>
              </w:rPr>
            </w:pPr>
            <w:r w:rsidRPr="00DC41AF">
              <w:rPr>
                <w:lang w:val="en-AU"/>
              </w:rPr>
              <w:t>Preferred Term</w:t>
            </w:r>
          </w:p>
        </w:tc>
        <w:tc>
          <w:tcPr>
            <w:tcW w:w="5103" w:type="dxa"/>
            <w:gridSpan w:val="4"/>
          </w:tcPr>
          <w:p w:rsidR="00F94482" w:rsidRPr="00DC41AF" w:rsidRDefault="0074516C" w:rsidP="00F94482">
            <w:pPr>
              <w:jc w:val="center"/>
              <w:rPr>
                <w:b/>
                <w:lang w:val="en-AU"/>
              </w:rPr>
            </w:pPr>
            <w:r w:rsidRPr="00DC41AF">
              <w:rPr>
                <w:b/>
                <w:lang w:val="en-AU"/>
              </w:rPr>
              <w:t>Number (%) of Patients</w:t>
            </w:r>
          </w:p>
        </w:tc>
      </w:tr>
      <w:tr w:rsidR="00F94482" w:rsidRPr="00DC41AF" w:rsidTr="00CA4FAB">
        <w:trPr>
          <w:tblHeader/>
        </w:trPr>
        <w:tc>
          <w:tcPr>
            <w:tcW w:w="3970" w:type="dxa"/>
            <w:vMerge/>
          </w:tcPr>
          <w:p w:rsidR="00F94482" w:rsidRPr="00DC41AF" w:rsidRDefault="00F94482" w:rsidP="00F94482">
            <w:pPr>
              <w:rPr>
                <w:b/>
                <w:lang w:val="en-AU"/>
              </w:rPr>
            </w:pPr>
          </w:p>
        </w:tc>
        <w:tc>
          <w:tcPr>
            <w:tcW w:w="2552" w:type="dxa"/>
            <w:gridSpan w:val="2"/>
          </w:tcPr>
          <w:p w:rsidR="00F94482" w:rsidRPr="00DC41AF" w:rsidRDefault="00F94482" w:rsidP="004A185D">
            <w:pPr>
              <w:ind w:right="-108"/>
              <w:jc w:val="center"/>
              <w:rPr>
                <w:b/>
                <w:lang w:val="en-AU"/>
              </w:rPr>
            </w:pPr>
            <w:r w:rsidRPr="00DC41AF">
              <w:rPr>
                <w:b/>
                <w:lang w:val="en-AU"/>
              </w:rPr>
              <w:t xml:space="preserve">Azacitidine </w:t>
            </w:r>
            <w:r w:rsidRPr="00DC41AF">
              <w:rPr>
                <w:b/>
                <w:lang w:val="en-AU"/>
              </w:rPr>
              <w:br/>
              <w:t>(N = 175)</w:t>
            </w:r>
          </w:p>
        </w:tc>
        <w:tc>
          <w:tcPr>
            <w:tcW w:w="2551" w:type="dxa"/>
            <w:gridSpan w:val="2"/>
          </w:tcPr>
          <w:p w:rsidR="00F94482" w:rsidRPr="00DC41AF" w:rsidRDefault="00F94482" w:rsidP="00F94482">
            <w:pPr>
              <w:jc w:val="center"/>
              <w:rPr>
                <w:b/>
                <w:lang w:val="en-AU"/>
              </w:rPr>
            </w:pPr>
            <w:r w:rsidRPr="00DC41AF">
              <w:rPr>
                <w:b/>
                <w:lang w:val="en-AU"/>
              </w:rPr>
              <w:t xml:space="preserve">BSC </w:t>
            </w:r>
            <w:r w:rsidRPr="00DC41AF">
              <w:rPr>
                <w:b/>
                <w:lang w:val="en-AU"/>
              </w:rPr>
              <w:br/>
              <w:t>(N = 102)</w:t>
            </w:r>
          </w:p>
        </w:tc>
      </w:tr>
      <w:tr w:rsidR="00F94482" w:rsidRPr="00DC41AF" w:rsidTr="00CA4FAB">
        <w:trPr>
          <w:tblHeader/>
        </w:trPr>
        <w:tc>
          <w:tcPr>
            <w:tcW w:w="3970" w:type="dxa"/>
            <w:vMerge/>
          </w:tcPr>
          <w:p w:rsidR="00F94482" w:rsidRPr="00DC41AF" w:rsidRDefault="00F94482" w:rsidP="00F94482">
            <w:pPr>
              <w:rPr>
                <w:b/>
                <w:lang w:val="en-AU"/>
              </w:rPr>
            </w:pPr>
          </w:p>
        </w:tc>
        <w:tc>
          <w:tcPr>
            <w:tcW w:w="1276" w:type="dxa"/>
          </w:tcPr>
          <w:p w:rsidR="00F94482" w:rsidRPr="00DC41AF" w:rsidRDefault="00F94482" w:rsidP="00F94482">
            <w:pPr>
              <w:rPr>
                <w:b/>
                <w:lang w:val="en-AU"/>
              </w:rPr>
            </w:pPr>
            <w:r w:rsidRPr="00DC41AF">
              <w:rPr>
                <w:b/>
                <w:lang w:val="en-AU"/>
              </w:rPr>
              <w:t>All Grades</w:t>
            </w:r>
          </w:p>
        </w:tc>
        <w:tc>
          <w:tcPr>
            <w:tcW w:w="1276" w:type="dxa"/>
          </w:tcPr>
          <w:p w:rsidR="00F94482" w:rsidRPr="00DC41AF" w:rsidRDefault="00F94482" w:rsidP="00F94482">
            <w:pPr>
              <w:ind w:right="-108"/>
              <w:rPr>
                <w:b/>
                <w:lang w:val="en-AU"/>
              </w:rPr>
            </w:pPr>
            <w:r w:rsidRPr="00DC41AF">
              <w:rPr>
                <w:b/>
                <w:lang w:val="en-AU"/>
              </w:rPr>
              <w:t>Grade</w:t>
            </w:r>
            <w:r w:rsidR="00A03DB4" w:rsidRPr="00DC41AF">
              <w:rPr>
                <w:b/>
                <w:lang w:val="en-AU"/>
              </w:rPr>
              <w:t> </w:t>
            </w:r>
            <w:r w:rsidRPr="00DC41AF">
              <w:rPr>
                <w:b/>
                <w:lang w:val="en-AU"/>
              </w:rPr>
              <w:t>3 or 4</w:t>
            </w:r>
          </w:p>
        </w:tc>
        <w:tc>
          <w:tcPr>
            <w:tcW w:w="1275" w:type="dxa"/>
          </w:tcPr>
          <w:p w:rsidR="00F94482" w:rsidRPr="00DC41AF" w:rsidRDefault="00F94482" w:rsidP="00F94482">
            <w:pPr>
              <w:rPr>
                <w:b/>
                <w:lang w:val="en-AU"/>
              </w:rPr>
            </w:pPr>
            <w:r w:rsidRPr="00DC41AF">
              <w:rPr>
                <w:b/>
                <w:lang w:val="en-AU"/>
              </w:rPr>
              <w:t>All Grades</w:t>
            </w:r>
          </w:p>
        </w:tc>
        <w:tc>
          <w:tcPr>
            <w:tcW w:w="1276" w:type="dxa"/>
          </w:tcPr>
          <w:p w:rsidR="00F94482" w:rsidRPr="00DC41AF" w:rsidRDefault="00F94482" w:rsidP="00F94482">
            <w:pPr>
              <w:ind w:right="-108"/>
              <w:rPr>
                <w:b/>
                <w:lang w:val="en-AU"/>
              </w:rPr>
            </w:pPr>
            <w:r w:rsidRPr="00DC41AF">
              <w:rPr>
                <w:b/>
                <w:lang w:val="en-AU"/>
              </w:rPr>
              <w:t>Grade 3</w:t>
            </w:r>
            <w:r w:rsidR="00A03DB4" w:rsidRPr="00DC41AF">
              <w:rPr>
                <w:b/>
                <w:lang w:val="en-AU"/>
              </w:rPr>
              <w:t> </w:t>
            </w:r>
            <w:r w:rsidRPr="00DC41AF">
              <w:rPr>
                <w:b/>
                <w:lang w:val="en-AU"/>
              </w:rPr>
              <w:t>or 4</w:t>
            </w:r>
          </w:p>
        </w:tc>
      </w:tr>
      <w:tr w:rsidR="00F94482" w:rsidRPr="00DC41AF" w:rsidTr="00CA4FAB">
        <w:tc>
          <w:tcPr>
            <w:tcW w:w="3970" w:type="dxa"/>
          </w:tcPr>
          <w:p w:rsidR="00F94482" w:rsidRPr="00DC41AF" w:rsidRDefault="00F94482" w:rsidP="00F94482">
            <w:pPr>
              <w:rPr>
                <w:b/>
                <w:lang w:val="en-AU"/>
              </w:rPr>
            </w:pPr>
            <w:r w:rsidRPr="00DC41AF">
              <w:rPr>
                <w:b/>
                <w:lang w:val="en-AU"/>
              </w:rPr>
              <w:t>Blood and lymphatic system disorders</w:t>
            </w:r>
          </w:p>
          <w:p w:rsidR="00F94482" w:rsidRPr="00DC41AF" w:rsidRDefault="00200422" w:rsidP="00F94482">
            <w:pPr>
              <w:ind w:firstLine="450"/>
              <w:rPr>
                <w:lang w:val="en-AU"/>
              </w:rPr>
            </w:pPr>
            <w:r w:rsidRPr="00DC41AF">
              <w:rPr>
                <w:lang w:val="en-AU"/>
              </w:rPr>
              <w:t>Thrombocytopenia</w:t>
            </w:r>
          </w:p>
          <w:p w:rsidR="00F94482" w:rsidRPr="00DC41AF" w:rsidRDefault="00F94482" w:rsidP="00F94482">
            <w:pPr>
              <w:ind w:firstLine="450"/>
              <w:rPr>
                <w:lang w:val="en-AU"/>
              </w:rPr>
            </w:pPr>
            <w:r w:rsidRPr="00DC41AF">
              <w:rPr>
                <w:lang w:val="en-AU"/>
              </w:rPr>
              <w:t>Neutropenia</w:t>
            </w:r>
          </w:p>
          <w:p w:rsidR="00F94482" w:rsidRPr="00DC41AF" w:rsidRDefault="00F94482" w:rsidP="00F94482">
            <w:pPr>
              <w:ind w:firstLine="450"/>
              <w:rPr>
                <w:lang w:val="en-AU"/>
              </w:rPr>
            </w:pPr>
            <w:r w:rsidRPr="00DC41AF">
              <w:rPr>
                <w:lang w:val="en-AU"/>
              </w:rPr>
              <w:t>Anaemia</w:t>
            </w:r>
          </w:p>
          <w:p w:rsidR="00F94482" w:rsidRPr="00DC41AF" w:rsidRDefault="00F94482" w:rsidP="00F94482">
            <w:pPr>
              <w:ind w:firstLine="450"/>
              <w:rPr>
                <w:lang w:val="en-AU"/>
              </w:rPr>
            </w:pPr>
            <w:proofErr w:type="spellStart"/>
            <w:r w:rsidRPr="00DC41AF">
              <w:rPr>
                <w:lang w:val="en-AU"/>
              </w:rPr>
              <w:t>Leukopenia</w:t>
            </w:r>
            <w:proofErr w:type="spellEnd"/>
          </w:p>
          <w:p w:rsidR="00F94482" w:rsidRPr="00DC41AF" w:rsidRDefault="00F94482" w:rsidP="00F94482">
            <w:pPr>
              <w:ind w:firstLine="450"/>
              <w:rPr>
                <w:lang w:val="en-AU"/>
              </w:rPr>
            </w:pPr>
            <w:r w:rsidRPr="00DC41AF">
              <w:rPr>
                <w:lang w:val="en-AU"/>
              </w:rPr>
              <w:t>Febrile Neutropenia</w:t>
            </w:r>
          </w:p>
        </w:tc>
        <w:tc>
          <w:tcPr>
            <w:tcW w:w="1276" w:type="dxa"/>
          </w:tcPr>
          <w:p w:rsidR="00F94482" w:rsidRPr="00DC41AF" w:rsidRDefault="00F94482" w:rsidP="00F94482">
            <w:pPr>
              <w:rPr>
                <w:lang w:val="en-AU"/>
              </w:rPr>
            </w:pPr>
          </w:p>
          <w:p w:rsidR="00F94482" w:rsidRPr="00DC41AF" w:rsidRDefault="00F94482" w:rsidP="00F94482">
            <w:pPr>
              <w:rPr>
                <w:lang w:val="en-AU"/>
              </w:rPr>
            </w:pPr>
            <w:r w:rsidRPr="00DC41AF">
              <w:rPr>
                <w:lang w:val="en-AU"/>
              </w:rPr>
              <w:t>122 (69.7)</w:t>
            </w:r>
          </w:p>
          <w:p w:rsidR="00F94482" w:rsidRPr="00DC41AF" w:rsidRDefault="00F94482" w:rsidP="00F94482">
            <w:pPr>
              <w:rPr>
                <w:lang w:val="en-AU"/>
              </w:rPr>
            </w:pPr>
            <w:r w:rsidRPr="00DC41AF">
              <w:rPr>
                <w:lang w:val="en-AU"/>
              </w:rPr>
              <w:t>115 (65.7)</w:t>
            </w:r>
          </w:p>
          <w:p w:rsidR="00F94482" w:rsidRPr="00DC41AF" w:rsidRDefault="00F94482" w:rsidP="00F94482">
            <w:pPr>
              <w:rPr>
                <w:lang w:val="en-AU"/>
              </w:rPr>
            </w:pPr>
            <w:r w:rsidRPr="00DC41AF">
              <w:rPr>
                <w:lang w:val="en-AU"/>
              </w:rPr>
              <w:t>90 (51.4)</w:t>
            </w:r>
          </w:p>
          <w:p w:rsidR="00F94482" w:rsidRPr="00DC41AF" w:rsidRDefault="00F94482" w:rsidP="00F94482">
            <w:pPr>
              <w:rPr>
                <w:lang w:val="en-AU"/>
              </w:rPr>
            </w:pPr>
            <w:r w:rsidRPr="00DC41AF">
              <w:rPr>
                <w:lang w:val="en-AU"/>
              </w:rPr>
              <w:t>32 (18.3)</w:t>
            </w:r>
          </w:p>
          <w:p w:rsidR="00F94482" w:rsidRPr="00DC41AF" w:rsidRDefault="00F94482" w:rsidP="00F94482">
            <w:pPr>
              <w:rPr>
                <w:lang w:val="en-AU"/>
              </w:rPr>
            </w:pPr>
            <w:r w:rsidRPr="00DC41AF">
              <w:rPr>
                <w:lang w:val="en-AU"/>
              </w:rPr>
              <w:t>24 (13.7)</w:t>
            </w:r>
          </w:p>
        </w:tc>
        <w:tc>
          <w:tcPr>
            <w:tcW w:w="1276" w:type="dxa"/>
          </w:tcPr>
          <w:p w:rsidR="00F94482" w:rsidRPr="00DC41AF" w:rsidRDefault="00F94482" w:rsidP="00F94482">
            <w:pPr>
              <w:rPr>
                <w:lang w:val="en-AU"/>
              </w:rPr>
            </w:pPr>
          </w:p>
          <w:p w:rsidR="00F94482" w:rsidRPr="00DC41AF" w:rsidRDefault="00F94482" w:rsidP="00F94482">
            <w:pPr>
              <w:rPr>
                <w:lang w:val="en-AU"/>
              </w:rPr>
            </w:pPr>
            <w:r w:rsidRPr="00DC41AF">
              <w:rPr>
                <w:lang w:val="en-AU"/>
              </w:rPr>
              <w:t>102 (58.3)</w:t>
            </w:r>
          </w:p>
          <w:p w:rsidR="00F94482" w:rsidRPr="00DC41AF" w:rsidRDefault="00F94482" w:rsidP="00F94482">
            <w:pPr>
              <w:rPr>
                <w:lang w:val="en-AU"/>
              </w:rPr>
            </w:pPr>
            <w:r w:rsidRPr="00DC41AF">
              <w:rPr>
                <w:lang w:val="en-AU"/>
              </w:rPr>
              <w:t>107 (61.1)</w:t>
            </w:r>
          </w:p>
          <w:p w:rsidR="00F94482" w:rsidRPr="00DC41AF" w:rsidRDefault="00F94482" w:rsidP="00F94482">
            <w:pPr>
              <w:rPr>
                <w:lang w:val="en-AU"/>
              </w:rPr>
            </w:pPr>
            <w:r w:rsidRPr="00DC41AF">
              <w:rPr>
                <w:lang w:val="en-AU"/>
              </w:rPr>
              <w:t>24 (13.7)</w:t>
            </w:r>
          </w:p>
          <w:p w:rsidR="00F94482" w:rsidRPr="00DC41AF" w:rsidRDefault="00F94482" w:rsidP="00F94482">
            <w:pPr>
              <w:rPr>
                <w:lang w:val="en-AU"/>
              </w:rPr>
            </w:pPr>
            <w:r w:rsidRPr="00DC41AF">
              <w:rPr>
                <w:lang w:val="en-AU"/>
              </w:rPr>
              <w:t>26 (14.9)</w:t>
            </w:r>
          </w:p>
          <w:p w:rsidR="00F94482" w:rsidRPr="00DC41AF" w:rsidRDefault="00F94482" w:rsidP="00F94482">
            <w:pPr>
              <w:rPr>
                <w:lang w:val="en-AU"/>
              </w:rPr>
            </w:pPr>
            <w:r w:rsidRPr="00DC41AF">
              <w:rPr>
                <w:lang w:val="en-AU"/>
              </w:rPr>
              <w:t>22 (12.6)</w:t>
            </w:r>
          </w:p>
        </w:tc>
        <w:tc>
          <w:tcPr>
            <w:tcW w:w="1275" w:type="dxa"/>
          </w:tcPr>
          <w:p w:rsidR="00F94482" w:rsidRPr="00DC41AF" w:rsidRDefault="00F94482" w:rsidP="00F94482">
            <w:pPr>
              <w:rPr>
                <w:lang w:val="en-AU"/>
              </w:rPr>
            </w:pPr>
          </w:p>
          <w:p w:rsidR="00F94482" w:rsidRPr="00DC41AF" w:rsidRDefault="00F94482" w:rsidP="00F94482">
            <w:pPr>
              <w:rPr>
                <w:lang w:val="en-AU"/>
              </w:rPr>
            </w:pPr>
            <w:r w:rsidRPr="00DC41AF">
              <w:rPr>
                <w:lang w:val="en-AU"/>
              </w:rPr>
              <w:t>35 (34.3)</w:t>
            </w:r>
          </w:p>
          <w:p w:rsidR="00F94482" w:rsidRPr="00DC41AF" w:rsidRDefault="00F94482" w:rsidP="00F94482">
            <w:pPr>
              <w:rPr>
                <w:lang w:val="en-AU"/>
              </w:rPr>
            </w:pPr>
            <w:r w:rsidRPr="00DC41AF">
              <w:rPr>
                <w:lang w:val="en-AU"/>
              </w:rPr>
              <w:t>29 (28.4)</w:t>
            </w:r>
          </w:p>
          <w:p w:rsidR="00F94482" w:rsidRPr="00DC41AF" w:rsidRDefault="00F94482" w:rsidP="00F94482">
            <w:pPr>
              <w:rPr>
                <w:lang w:val="en-AU"/>
              </w:rPr>
            </w:pPr>
            <w:r w:rsidRPr="00DC41AF">
              <w:rPr>
                <w:lang w:val="en-AU"/>
              </w:rPr>
              <w:t>45 (44.1)</w:t>
            </w:r>
          </w:p>
          <w:p w:rsidR="00F94482" w:rsidRPr="00DC41AF" w:rsidRDefault="00F94482" w:rsidP="00F94482">
            <w:pPr>
              <w:rPr>
                <w:lang w:val="en-AU"/>
              </w:rPr>
            </w:pPr>
            <w:r w:rsidRPr="00DC41AF">
              <w:rPr>
                <w:lang w:val="en-AU"/>
              </w:rPr>
              <w:t>2 (2.0)</w:t>
            </w:r>
          </w:p>
          <w:p w:rsidR="00F94482" w:rsidRPr="00DC41AF" w:rsidRDefault="00F94482" w:rsidP="00F94482">
            <w:pPr>
              <w:rPr>
                <w:lang w:val="en-AU"/>
              </w:rPr>
            </w:pPr>
            <w:r w:rsidRPr="00DC41AF">
              <w:rPr>
                <w:lang w:val="en-AU"/>
              </w:rPr>
              <w:t>10 (9.8)</w:t>
            </w:r>
          </w:p>
        </w:tc>
        <w:tc>
          <w:tcPr>
            <w:tcW w:w="1276" w:type="dxa"/>
          </w:tcPr>
          <w:p w:rsidR="00F94482" w:rsidRPr="00DC41AF" w:rsidRDefault="00F94482" w:rsidP="00F94482">
            <w:pPr>
              <w:rPr>
                <w:lang w:val="en-AU"/>
              </w:rPr>
            </w:pPr>
          </w:p>
          <w:p w:rsidR="00F94482" w:rsidRPr="00DC41AF" w:rsidRDefault="00F94482" w:rsidP="00F94482">
            <w:pPr>
              <w:rPr>
                <w:lang w:val="en-AU"/>
              </w:rPr>
            </w:pPr>
            <w:r w:rsidRPr="00DC41AF">
              <w:rPr>
                <w:lang w:val="en-AU"/>
              </w:rPr>
              <w:t>29 (28.4)</w:t>
            </w:r>
          </w:p>
          <w:p w:rsidR="00F94482" w:rsidRPr="00DC41AF" w:rsidRDefault="00F94482" w:rsidP="00F94482">
            <w:pPr>
              <w:rPr>
                <w:lang w:val="en-AU"/>
              </w:rPr>
            </w:pPr>
            <w:r w:rsidRPr="00DC41AF">
              <w:rPr>
                <w:lang w:val="en-AU"/>
              </w:rPr>
              <w:t>22 (21.6)</w:t>
            </w:r>
          </w:p>
          <w:p w:rsidR="00F94482" w:rsidRPr="00DC41AF" w:rsidRDefault="00F94482" w:rsidP="00F94482">
            <w:pPr>
              <w:rPr>
                <w:lang w:val="en-AU"/>
              </w:rPr>
            </w:pPr>
            <w:r w:rsidRPr="00DC41AF">
              <w:rPr>
                <w:lang w:val="en-AU"/>
              </w:rPr>
              <w:t>9 (8.8)</w:t>
            </w:r>
          </w:p>
          <w:p w:rsidR="00F94482" w:rsidRPr="00DC41AF" w:rsidRDefault="00F94482" w:rsidP="00F94482">
            <w:pPr>
              <w:rPr>
                <w:lang w:val="en-AU"/>
              </w:rPr>
            </w:pPr>
            <w:r w:rsidRPr="00DC41AF">
              <w:rPr>
                <w:lang w:val="en-AU"/>
              </w:rPr>
              <w:t>1 (1.0)</w:t>
            </w:r>
          </w:p>
          <w:p w:rsidR="00F94482" w:rsidRPr="00DC41AF" w:rsidRDefault="00F94482" w:rsidP="00F94482">
            <w:pPr>
              <w:rPr>
                <w:lang w:val="en-AU"/>
              </w:rPr>
            </w:pPr>
            <w:r w:rsidRPr="00DC41AF">
              <w:rPr>
                <w:lang w:val="en-AU"/>
              </w:rPr>
              <w:t>7 (6.0)</w:t>
            </w:r>
          </w:p>
        </w:tc>
      </w:tr>
      <w:tr w:rsidR="00F94482" w:rsidRPr="00DC41AF" w:rsidTr="00CA4FAB">
        <w:tc>
          <w:tcPr>
            <w:tcW w:w="3970" w:type="dxa"/>
          </w:tcPr>
          <w:p w:rsidR="00F94482" w:rsidRPr="00DC41AF" w:rsidRDefault="00F94482" w:rsidP="00F94482">
            <w:pPr>
              <w:rPr>
                <w:b/>
                <w:lang w:val="en-AU"/>
              </w:rPr>
            </w:pPr>
            <w:r w:rsidRPr="00DC41AF">
              <w:rPr>
                <w:b/>
                <w:lang w:val="en-AU"/>
              </w:rPr>
              <w:t>Gastrointestinal Disorders</w:t>
            </w:r>
          </w:p>
          <w:p w:rsidR="00F94482" w:rsidRPr="00DC41AF" w:rsidRDefault="00F94482" w:rsidP="00F94482">
            <w:pPr>
              <w:ind w:firstLine="450"/>
              <w:rPr>
                <w:lang w:val="en-AU"/>
              </w:rPr>
            </w:pPr>
            <w:r w:rsidRPr="00DC41AF">
              <w:rPr>
                <w:lang w:val="en-AU"/>
              </w:rPr>
              <w:t>Constipation</w:t>
            </w:r>
          </w:p>
          <w:p w:rsidR="00F94482" w:rsidRPr="00DC41AF" w:rsidRDefault="00F94482" w:rsidP="00F94482">
            <w:pPr>
              <w:ind w:firstLine="450"/>
              <w:rPr>
                <w:lang w:val="en-AU"/>
              </w:rPr>
            </w:pPr>
            <w:r w:rsidRPr="00DC41AF">
              <w:rPr>
                <w:lang w:val="en-AU"/>
              </w:rPr>
              <w:t>Nausea</w:t>
            </w:r>
          </w:p>
          <w:p w:rsidR="00F94482" w:rsidRPr="00DC41AF" w:rsidRDefault="00F94482" w:rsidP="00F94482">
            <w:pPr>
              <w:ind w:firstLine="450"/>
              <w:rPr>
                <w:lang w:val="en-AU"/>
              </w:rPr>
            </w:pPr>
            <w:r w:rsidRPr="00DC41AF">
              <w:rPr>
                <w:lang w:val="en-AU"/>
              </w:rPr>
              <w:t>Vomiting</w:t>
            </w:r>
          </w:p>
          <w:p w:rsidR="00F94482" w:rsidRPr="00DC41AF" w:rsidRDefault="00F94482" w:rsidP="00F94482">
            <w:pPr>
              <w:ind w:firstLine="450"/>
              <w:rPr>
                <w:lang w:val="en-AU"/>
              </w:rPr>
            </w:pPr>
            <w:r w:rsidRPr="00DC41AF">
              <w:rPr>
                <w:lang w:val="en-AU"/>
              </w:rPr>
              <w:t>Diarrhoea</w:t>
            </w:r>
          </w:p>
          <w:p w:rsidR="00F94482" w:rsidRPr="00DC41AF" w:rsidRDefault="00F94482" w:rsidP="00F94482">
            <w:pPr>
              <w:ind w:firstLine="450"/>
              <w:rPr>
                <w:lang w:val="en-AU"/>
              </w:rPr>
            </w:pPr>
            <w:r w:rsidRPr="00DC41AF">
              <w:rPr>
                <w:lang w:val="en-AU"/>
              </w:rPr>
              <w:t>Abdominal Pain</w:t>
            </w:r>
          </w:p>
        </w:tc>
        <w:tc>
          <w:tcPr>
            <w:tcW w:w="1276" w:type="dxa"/>
          </w:tcPr>
          <w:p w:rsidR="00F94482" w:rsidRPr="00DC41AF" w:rsidRDefault="00F94482" w:rsidP="00F94482">
            <w:pPr>
              <w:rPr>
                <w:lang w:val="en-AU"/>
              </w:rPr>
            </w:pPr>
          </w:p>
          <w:p w:rsidR="00F94482" w:rsidRPr="00DC41AF" w:rsidRDefault="00F94482" w:rsidP="00F94482">
            <w:pPr>
              <w:rPr>
                <w:lang w:val="en-AU"/>
              </w:rPr>
            </w:pPr>
            <w:r w:rsidRPr="00DC41AF">
              <w:rPr>
                <w:lang w:val="en-AU"/>
              </w:rPr>
              <w:t>88 (50.3)</w:t>
            </w:r>
          </w:p>
          <w:p w:rsidR="00F94482" w:rsidRPr="00DC41AF" w:rsidRDefault="00F94482" w:rsidP="00F94482">
            <w:pPr>
              <w:rPr>
                <w:lang w:val="en-AU"/>
              </w:rPr>
            </w:pPr>
            <w:r w:rsidRPr="00DC41AF">
              <w:rPr>
                <w:lang w:val="en-AU"/>
              </w:rPr>
              <w:t>84 (48.0)</w:t>
            </w:r>
          </w:p>
          <w:p w:rsidR="00F94482" w:rsidRPr="00DC41AF" w:rsidRDefault="00F94482" w:rsidP="00F94482">
            <w:pPr>
              <w:rPr>
                <w:lang w:val="en-AU"/>
              </w:rPr>
            </w:pPr>
            <w:r w:rsidRPr="00DC41AF">
              <w:rPr>
                <w:lang w:val="en-AU"/>
              </w:rPr>
              <w:t>47 (26.9)</w:t>
            </w:r>
          </w:p>
          <w:p w:rsidR="00F94482" w:rsidRPr="00DC41AF" w:rsidRDefault="00F94482" w:rsidP="00F94482">
            <w:pPr>
              <w:rPr>
                <w:lang w:val="en-AU"/>
              </w:rPr>
            </w:pPr>
            <w:r w:rsidRPr="00DC41AF">
              <w:rPr>
                <w:lang w:val="en-AU"/>
              </w:rPr>
              <w:t>38 (21.7)</w:t>
            </w:r>
          </w:p>
          <w:p w:rsidR="00F94482" w:rsidRPr="00DC41AF" w:rsidRDefault="00F94482" w:rsidP="00F94482">
            <w:pPr>
              <w:rPr>
                <w:lang w:val="en-AU"/>
              </w:rPr>
            </w:pPr>
            <w:r w:rsidRPr="00DC41AF">
              <w:rPr>
                <w:lang w:val="en-AU"/>
              </w:rPr>
              <w:t>22 (12.6)</w:t>
            </w:r>
          </w:p>
        </w:tc>
        <w:tc>
          <w:tcPr>
            <w:tcW w:w="1276" w:type="dxa"/>
          </w:tcPr>
          <w:p w:rsidR="00F94482" w:rsidRPr="00DC41AF" w:rsidRDefault="00F94482" w:rsidP="00F94482">
            <w:pPr>
              <w:rPr>
                <w:lang w:val="en-AU"/>
              </w:rPr>
            </w:pPr>
          </w:p>
          <w:p w:rsidR="00F94482" w:rsidRPr="00DC41AF" w:rsidRDefault="00F94482" w:rsidP="00F94482">
            <w:pPr>
              <w:rPr>
                <w:lang w:val="en-AU"/>
              </w:rPr>
            </w:pPr>
            <w:r w:rsidRPr="00DC41AF">
              <w:rPr>
                <w:lang w:val="en-AU"/>
              </w:rPr>
              <w:t>2 (1.1)</w:t>
            </w:r>
          </w:p>
          <w:p w:rsidR="00F94482" w:rsidRPr="00DC41AF" w:rsidRDefault="00F94482" w:rsidP="00F94482">
            <w:pPr>
              <w:rPr>
                <w:lang w:val="en-AU"/>
              </w:rPr>
            </w:pPr>
            <w:r w:rsidRPr="00DC41AF">
              <w:rPr>
                <w:lang w:val="en-AU"/>
              </w:rPr>
              <w:t>3 (1.7)</w:t>
            </w:r>
          </w:p>
          <w:p w:rsidR="00F94482" w:rsidRPr="00DC41AF" w:rsidRDefault="00293FC4" w:rsidP="00F94482">
            <w:pPr>
              <w:rPr>
                <w:lang w:val="en-AU"/>
              </w:rPr>
            </w:pPr>
            <w:r w:rsidRPr="00DC41AF">
              <w:rPr>
                <w:lang w:val="en-AU"/>
              </w:rPr>
              <w:t>0</w:t>
            </w:r>
          </w:p>
          <w:p w:rsidR="00F94482" w:rsidRPr="00DC41AF" w:rsidRDefault="00F94482" w:rsidP="00F94482">
            <w:pPr>
              <w:rPr>
                <w:lang w:val="en-AU"/>
              </w:rPr>
            </w:pPr>
            <w:r w:rsidRPr="00DC41AF">
              <w:rPr>
                <w:lang w:val="en-AU"/>
              </w:rPr>
              <w:t>1 (0.6)</w:t>
            </w:r>
          </w:p>
          <w:p w:rsidR="00F94482" w:rsidRPr="00DC41AF" w:rsidRDefault="00F94482" w:rsidP="00F94482">
            <w:pPr>
              <w:rPr>
                <w:lang w:val="en-AU"/>
              </w:rPr>
            </w:pPr>
            <w:r w:rsidRPr="00DC41AF">
              <w:rPr>
                <w:lang w:val="en-AU"/>
              </w:rPr>
              <w:t>7 (4.0)</w:t>
            </w:r>
          </w:p>
        </w:tc>
        <w:tc>
          <w:tcPr>
            <w:tcW w:w="1275" w:type="dxa"/>
          </w:tcPr>
          <w:p w:rsidR="00F94482" w:rsidRPr="00DC41AF" w:rsidRDefault="00F94482" w:rsidP="00F94482">
            <w:pPr>
              <w:rPr>
                <w:lang w:val="en-AU"/>
              </w:rPr>
            </w:pPr>
          </w:p>
          <w:p w:rsidR="00F94482" w:rsidRPr="00DC41AF" w:rsidRDefault="00F94482" w:rsidP="00F94482">
            <w:pPr>
              <w:rPr>
                <w:lang w:val="en-AU"/>
              </w:rPr>
            </w:pPr>
            <w:r w:rsidRPr="00DC41AF">
              <w:rPr>
                <w:lang w:val="en-AU"/>
              </w:rPr>
              <w:t>8 (7.8)</w:t>
            </w:r>
          </w:p>
          <w:p w:rsidR="00F94482" w:rsidRPr="00DC41AF" w:rsidRDefault="00F94482" w:rsidP="00F94482">
            <w:pPr>
              <w:rPr>
                <w:lang w:val="en-AU"/>
              </w:rPr>
            </w:pPr>
            <w:r w:rsidRPr="00DC41AF">
              <w:rPr>
                <w:lang w:val="en-AU"/>
              </w:rPr>
              <w:t>12 (11.8)</w:t>
            </w:r>
          </w:p>
          <w:p w:rsidR="00F94482" w:rsidRPr="00DC41AF" w:rsidRDefault="00F94482" w:rsidP="00F94482">
            <w:pPr>
              <w:rPr>
                <w:lang w:val="en-AU"/>
              </w:rPr>
            </w:pPr>
            <w:r w:rsidRPr="00DC41AF">
              <w:rPr>
                <w:lang w:val="en-AU"/>
              </w:rPr>
              <w:t>7 (6.9)</w:t>
            </w:r>
          </w:p>
          <w:p w:rsidR="00F94482" w:rsidRPr="00DC41AF" w:rsidRDefault="00F94482" w:rsidP="00F94482">
            <w:pPr>
              <w:rPr>
                <w:lang w:val="en-AU"/>
              </w:rPr>
            </w:pPr>
            <w:r w:rsidRPr="00DC41AF">
              <w:rPr>
                <w:lang w:val="en-AU"/>
              </w:rPr>
              <w:t>18 (17.6)</w:t>
            </w:r>
          </w:p>
          <w:p w:rsidR="00F94482" w:rsidRPr="00DC41AF" w:rsidRDefault="00F94482" w:rsidP="00F94482">
            <w:pPr>
              <w:rPr>
                <w:lang w:val="en-AU"/>
              </w:rPr>
            </w:pPr>
            <w:r w:rsidRPr="00DC41AF">
              <w:rPr>
                <w:lang w:val="en-AU"/>
              </w:rPr>
              <w:t>7 (6.9)</w:t>
            </w:r>
          </w:p>
        </w:tc>
        <w:tc>
          <w:tcPr>
            <w:tcW w:w="1276" w:type="dxa"/>
          </w:tcPr>
          <w:p w:rsidR="00F94482" w:rsidRPr="00DC41AF" w:rsidRDefault="00F94482" w:rsidP="00F94482">
            <w:pPr>
              <w:rPr>
                <w:lang w:val="en-AU"/>
              </w:rPr>
            </w:pPr>
          </w:p>
          <w:p w:rsidR="00F94482" w:rsidRPr="00DC41AF" w:rsidRDefault="00F94482" w:rsidP="00F94482">
            <w:pPr>
              <w:rPr>
                <w:lang w:val="en-AU"/>
              </w:rPr>
            </w:pPr>
            <w:r w:rsidRPr="00DC41AF">
              <w:rPr>
                <w:lang w:val="en-AU"/>
              </w:rPr>
              <w:t>0</w:t>
            </w:r>
          </w:p>
          <w:p w:rsidR="00F94482" w:rsidRPr="00DC41AF" w:rsidRDefault="00F94482" w:rsidP="00F94482">
            <w:pPr>
              <w:rPr>
                <w:lang w:val="en-AU"/>
              </w:rPr>
            </w:pPr>
            <w:r w:rsidRPr="00DC41AF">
              <w:rPr>
                <w:lang w:val="en-AU"/>
              </w:rPr>
              <w:t>0</w:t>
            </w:r>
          </w:p>
          <w:p w:rsidR="00F94482" w:rsidRPr="00DC41AF" w:rsidRDefault="00293FC4" w:rsidP="00F94482">
            <w:pPr>
              <w:rPr>
                <w:lang w:val="en-AU"/>
              </w:rPr>
            </w:pPr>
            <w:r w:rsidRPr="00DC41AF">
              <w:rPr>
                <w:lang w:val="en-AU"/>
              </w:rPr>
              <w:t>0</w:t>
            </w:r>
          </w:p>
          <w:p w:rsidR="00F94482" w:rsidRPr="00DC41AF" w:rsidRDefault="00F94482" w:rsidP="00F94482">
            <w:pPr>
              <w:rPr>
                <w:lang w:val="en-AU"/>
              </w:rPr>
            </w:pPr>
            <w:r w:rsidRPr="00DC41AF">
              <w:rPr>
                <w:lang w:val="en-AU"/>
              </w:rPr>
              <w:t>1 (1.0)</w:t>
            </w:r>
          </w:p>
          <w:p w:rsidR="00F94482" w:rsidRPr="00DC41AF" w:rsidRDefault="00F94482" w:rsidP="00F94482">
            <w:pPr>
              <w:rPr>
                <w:lang w:val="en-AU"/>
              </w:rPr>
            </w:pPr>
            <w:r w:rsidRPr="00DC41AF">
              <w:rPr>
                <w:lang w:val="en-AU"/>
              </w:rPr>
              <w:t>0</w:t>
            </w:r>
          </w:p>
        </w:tc>
      </w:tr>
      <w:tr w:rsidR="00F94482" w:rsidRPr="00DC41AF" w:rsidTr="00CA4FAB">
        <w:tc>
          <w:tcPr>
            <w:tcW w:w="3970" w:type="dxa"/>
          </w:tcPr>
          <w:p w:rsidR="00F94482" w:rsidRPr="00DC41AF" w:rsidRDefault="00F94482" w:rsidP="00F94482">
            <w:pPr>
              <w:rPr>
                <w:b/>
                <w:lang w:val="en-AU"/>
              </w:rPr>
            </w:pPr>
            <w:r w:rsidRPr="00DC41AF">
              <w:rPr>
                <w:b/>
                <w:lang w:val="en-AU"/>
              </w:rPr>
              <w:t>General Disorders and Administration Site Conditions</w:t>
            </w:r>
          </w:p>
          <w:p w:rsidR="00F94482" w:rsidRPr="00DC41AF" w:rsidRDefault="00F94482" w:rsidP="00F94482">
            <w:pPr>
              <w:ind w:firstLine="450"/>
              <w:rPr>
                <w:lang w:val="en-AU"/>
              </w:rPr>
            </w:pPr>
            <w:r w:rsidRPr="00DC41AF">
              <w:rPr>
                <w:lang w:val="en-AU"/>
              </w:rPr>
              <w:t>Injection/catheter site erythema</w:t>
            </w:r>
          </w:p>
          <w:p w:rsidR="00F94482" w:rsidRPr="00DC41AF" w:rsidRDefault="00F94482" w:rsidP="00F94482">
            <w:pPr>
              <w:ind w:firstLine="450"/>
              <w:rPr>
                <w:lang w:val="en-AU"/>
              </w:rPr>
            </w:pPr>
            <w:r w:rsidRPr="00DC41AF">
              <w:rPr>
                <w:lang w:val="en-AU"/>
              </w:rPr>
              <w:t>Pyrexia</w:t>
            </w:r>
          </w:p>
          <w:p w:rsidR="00F94482" w:rsidRPr="00DC41AF" w:rsidRDefault="00F94482" w:rsidP="00F94482">
            <w:pPr>
              <w:ind w:firstLine="450"/>
              <w:rPr>
                <w:lang w:val="en-AU"/>
              </w:rPr>
            </w:pPr>
            <w:r w:rsidRPr="00DC41AF">
              <w:rPr>
                <w:lang w:val="en-AU"/>
              </w:rPr>
              <w:t>Injection site reaction</w:t>
            </w:r>
          </w:p>
          <w:p w:rsidR="00F94482" w:rsidRPr="00DC41AF" w:rsidRDefault="00F94482" w:rsidP="00F94482">
            <w:pPr>
              <w:ind w:firstLine="450"/>
              <w:rPr>
                <w:lang w:val="en-AU"/>
              </w:rPr>
            </w:pPr>
            <w:r w:rsidRPr="00DC41AF">
              <w:rPr>
                <w:lang w:val="en-AU"/>
              </w:rPr>
              <w:t>Fatigue</w:t>
            </w:r>
          </w:p>
          <w:p w:rsidR="00F94482" w:rsidRPr="00DC41AF" w:rsidRDefault="00F94482" w:rsidP="00F94482">
            <w:pPr>
              <w:ind w:firstLine="450"/>
              <w:rPr>
                <w:lang w:val="en-AU"/>
              </w:rPr>
            </w:pPr>
            <w:r w:rsidRPr="00DC41AF">
              <w:rPr>
                <w:lang w:val="en-AU"/>
              </w:rPr>
              <w:t>Injection site pain</w:t>
            </w:r>
          </w:p>
          <w:p w:rsidR="00F94482" w:rsidRPr="00DC41AF" w:rsidRDefault="00F94482" w:rsidP="00F94482">
            <w:pPr>
              <w:ind w:firstLine="450"/>
              <w:rPr>
                <w:lang w:val="en-AU"/>
              </w:rPr>
            </w:pPr>
            <w:r w:rsidRPr="00DC41AF">
              <w:rPr>
                <w:lang w:val="en-AU"/>
              </w:rPr>
              <w:t>Asthenia</w:t>
            </w:r>
          </w:p>
          <w:p w:rsidR="00F94482" w:rsidRPr="00DC41AF" w:rsidRDefault="00F94482" w:rsidP="00F94482">
            <w:pPr>
              <w:ind w:firstLine="450"/>
              <w:rPr>
                <w:lang w:val="en-AU"/>
              </w:rPr>
            </w:pPr>
            <w:r w:rsidRPr="00DC41AF">
              <w:rPr>
                <w:lang w:val="en-AU"/>
              </w:rPr>
              <w:lastRenderedPageBreak/>
              <w:t>Oedema Peripheral</w:t>
            </w:r>
          </w:p>
        </w:tc>
        <w:tc>
          <w:tcPr>
            <w:tcW w:w="1276" w:type="dxa"/>
          </w:tcPr>
          <w:p w:rsidR="00F94482" w:rsidRPr="00DC41AF" w:rsidRDefault="00F94482" w:rsidP="00F94482">
            <w:pPr>
              <w:rPr>
                <w:lang w:val="en-AU"/>
              </w:rPr>
            </w:pPr>
          </w:p>
          <w:p w:rsidR="00F94482" w:rsidRPr="00DC41AF" w:rsidRDefault="00F94482" w:rsidP="00F94482">
            <w:pPr>
              <w:rPr>
                <w:lang w:val="en-AU"/>
              </w:rPr>
            </w:pPr>
          </w:p>
          <w:p w:rsidR="00F94482" w:rsidRPr="00DC41AF" w:rsidRDefault="00F94482" w:rsidP="00F94482">
            <w:pPr>
              <w:rPr>
                <w:lang w:val="en-AU"/>
              </w:rPr>
            </w:pPr>
            <w:r w:rsidRPr="00DC41AF">
              <w:rPr>
                <w:lang w:val="en-AU"/>
              </w:rPr>
              <w:t>75 (42.9)</w:t>
            </w:r>
          </w:p>
          <w:p w:rsidR="00F94482" w:rsidRPr="00DC41AF" w:rsidRDefault="00F94482" w:rsidP="00F94482">
            <w:pPr>
              <w:rPr>
                <w:lang w:val="en-AU"/>
              </w:rPr>
            </w:pPr>
            <w:r w:rsidRPr="00DC41AF">
              <w:rPr>
                <w:lang w:val="en-AU"/>
              </w:rPr>
              <w:t>53 (30.3)</w:t>
            </w:r>
          </w:p>
          <w:p w:rsidR="00F94482" w:rsidRPr="00DC41AF" w:rsidRDefault="00F94482" w:rsidP="00F94482">
            <w:pPr>
              <w:rPr>
                <w:lang w:val="en-AU"/>
              </w:rPr>
            </w:pPr>
            <w:r w:rsidRPr="00DC41AF">
              <w:rPr>
                <w:lang w:val="en-AU"/>
              </w:rPr>
              <w:t>51 (29.1)</w:t>
            </w:r>
          </w:p>
          <w:p w:rsidR="00F94482" w:rsidRPr="00DC41AF" w:rsidRDefault="00F94482" w:rsidP="00F94482">
            <w:pPr>
              <w:rPr>
                <w:lang w:val="en-AU"/>
              </w:rPr>
            </w:pPr>
            <w:r w:rsidRPr="00DC41AF">
              <w:rPr>
                <w:lang w:val="en-AU"/>
              </w:rPr>
              <w:t>42 (24.0)</w:t>
            </w:r>
          </w:p>
          <w:p w:rsidR="00F94482" w:rsidRPr="00DC41AF" w:rsidRDefault="00F94482" w:rsidP="00F94482">
            <w:pPr>
              <w:rPr>
                <w:lang w:val="en-AU"/>
              </w:rPr>
            </w:pPr>
            <w:r w:rsidRPr="00DC41AF">
              <w:rPr>
                <w:lang w:val="en-AU"/>
              </w:rPr>
              <w:t>33 (18.9)</w:t>
            </w:r>
          </w:p>
          <w:p w:rsidR="00F94482" w:rsidRPr="00DC41AF" w:rsidRDefault="00F94482" w:rsidP="00F94482">
            <w:pPr>
              <w:rPr>
                <w:lang w:val="en-AU"/>
              </w:rPr>
            </w:pPr>
            <w:r w:rsidRPr="00DC41AF">
              <w:rPr>
                <w:lang w:val="en-AU"/>
              </w:rPr>
              <w:t>28 (16.0)</w:t>
            </w:r>
          </w:p>
          <w:p w:rsidR="00F94482" w:rsidRPr="00DC41AF" w:rsidRDefault="00F94482" w:rsidP="00F94482">
            <w:pPr>
              <w:rPr>
                <w:lang w:val="en-AU"/>
              </w:rPr>
            </w:pPr>
            <w:r w:rsidRPr="00DC41AF">
              <w:rPr>
                <w:lang w:val="en-AU"/>
              </w:rPr>
              <w:lastRenderedPageBreak/>
              <w:t>23 (13.1)</w:t>
            </w:r>
          </w:p>
        </w:tc>
        <w:tc>
          <w:tcPr>
            <w:tcW w:w="1276" w:type="dxa"/>
          </w:tcPr>
          <w:p w:rsidR="00F94482" w:rsidRPr="00DC41AF" w:rsidRDefault="00F94482" w:rsidP="00F94482">
            <w:pPr>
              <w:rPr>
                <w:lang w:val="en-AU"/>
              </w:rPr>
            </w:pPr>
          </w:p>
          <w:p w:rsidR="00F94482" w:rsidRPr="00DC41AF" w:rsidRDefault="00F94482" w:rsidP="00F94482">
            <w:pPr>
              <w:rPr>
                <w:lang w:val="en-AU"/>
              </w:rPr>
            </w:pPr>
          </w:p>
          <w:p w:rsidR="00F94482" w:rsidRPr="00DC41AF" w:rsidRDefault="00F94482" w:rsidP="00F94482">
            <w:pPr>
              <w:rPr>
                <w:lang w:val="en-AU"/>
              </w:rPr>
            </w:pPr>
            <w:r w:rsidRPr="00DC41AF">
              <w:rPr>
                <w:lang w:val="en-AU"/>
              </w:rPr>
              <w:t>0</w:t>
            </w:r>
          </w:p>
          <w:p w:rsidR="00F94482" w:rsidRPr="00DC41AF" w:rsidRDefault="00F94482" w:rsidP="00F94482">
            <w:pPr>
              <w:rPr>
                <w:lang w:val="en-AU"/>
              </w:rPr>
            </w:pPr>
            <w:r w:rsidRPr="00DC41AF">
              <w:rPr>
                <w:lang w:val="en-AU"/>
              </w:rPr>
              <w:t>8 (4.6)</w:t>
            </w:r>
          </w:p>
          <w:p w:rsidR="00F94482" w:rsidRPr="00DC41AF" w:rsidRDefault="00F94482" w:rsidP="00F94482">
            <w:pPr>
              <w:rPr>
                <w:lang w:val="en-AU"/>
              </w:rPr>
            </w:pPr>
            <w:r w:rsidRPr="00DC41AF">
              <w:rPr>
                <w:lang w:val="en-AU"/>
              </w:rPr>
              <w:t>1 (0.6)</w:t>
            </w:r>
          </w:p>
          <w:p w:rsidR="00F94482" w:rsidRPr="00DC41AF" w:rsidRDefault="00F94482" w:rsidP="00F94482">
            <w:pPr>
              <w:rPr>
                <w:lang w:val="en-AU"/>
              </w:rPr>
            </w:pPr>
            <w:r w:rsidRPr="00DC41AF">
              <w:rPr>
                <w:lang w:val="en-AU"/>
              </w:rPr>
              <w:t>6 (3.4)</w:t>
            </w:r>
          </w:p>
          <w:p w:rsidR="00F94482" w:rsidRPr="00DC41AF" w:rsidRDefault="00293FC4" w:rsidP="00F94482">
            <w:pPr>
              <w:rPr>
                <w:lang w:val="en-AU"/>
              </w:rPr>
            </w:pPr>
            <w:r w:rsidRPr="00DC41AF">
              <w:rPr>
                <w:lang w:val="en-AU"/>
              </w:rPr>
              <w:t>0</w:t>
            </w:r>
          </w:p>
          <w:p w:rsidR="00F94482" w:rsidRPr="00DC41AF" w:rsidRDefault="00F94482" w:rsidP="00F94482">
            <w:pPr>
              <w:rPr>
                <w:lang w:val="en-AU"/>
              </w:rPr>
            </w:pPr>
            <w:r w:rsidRPr="00DC41AF">
              <w:rPr>
                <w:lang w:val="en-AU"/>
              </w:rPr>
              <w:t>4 (2.3)</w:t>
            </w:r>
          </w:p>
          <w:p w:rsidR="00F94482" w:rsidRPr="00DC41AF" w:rsidRDefault="00293FC4" w:rsidP="00F94482">
            <w:pPr>
              <w:rPr>
                <w:lang w:val="en-AU"/>
              </w:rPr>
            </w:pPr>
            <w:r w:rsidRPr="00DC41AF">
              <w:rPr>
                <w:lang w:val="en-AU"/>
              </w:rPr>
              <w:lastRenderedPageBreak/>
              <w:t>0</w:t>
            </w:r>
          </w:p>
        </w:tc>
        <w:tc>
          <w:tcPr>
            <w:tcW w:w="1275" w:type="dxa"/>
          </w:tcPr>
          <w:p w:rsidR="00F94482" w:rsidRPr="00DC41AF" w:rsidRDefault="00F94482" w:rsidP="00F94482">
            <w:pPr>
              <w:rPr>
                <w:lang w:val="en-AU"/>
              </w:rPr>
            </w:pPr>
          </w:p>
          <w:p w:rsidR="00F94482" w:rsidRPr="00DC41AF" w:rsidRDefault="00F94482" w:rsidP="00F94482">
            <w:pPr>
              <w:rPr>
                <w:lang w:val="en-AU"/>
              </w:rPr>
            </w:pPr>
          </w:p>
          <w:p w:rsidR="00F94482" w:rsidRPr="00DC41AF" w:rsidRDefault="00F94482" w:rsidP="00F94482">
            <w:pPr>
              <w:rPr>
                <w:lang w:val="en-AU"/>
              </w:rPr>
            </w:pPr>
            <w:r w:rsidRPr="00DC41AF">
              <w:rPr>
                <w:lang w:val="en-AU"/>
              </w:rPr>
              <w:t>0</w:t>
            </w:r>
          </w:p>
          <w:p w:rsidR="00F94482" w:rsidRPr="00DC41AF" w:rsidRDefault="00F94482" w:rsidP="00F94482">
            <w:pPr>
              <w:rPr>
                <w:lang w:val="en-AU"/>
              </w:rPr>
            </w:pPr>
            <w:r w:rsidRPr="00DC41AF">
              <w:rPr>
                <w:lang w:val="en-AU"/>
              </w:rPr>
              <w:t>18 (17.6)</w:t>
            </w:r>
          </w:p>
          <w:p w:rsidR="00F94482" w:rsidRPr="00DC41AF" w:rsidRDefault="00F94482" w:rsidP="00F94482">
            <w:pPr>
              <w:rPr>
                <w:lang w:val="en-AU"/>
              </w:rPr>
            </w:pPr>
            <w:r w:rsidRPr="00DC41AF">
              <w:rPr>
                <w:lang w:val="en-AU"/>
              </w:rPr>
              <w:t>0</w:t>
            </w:r>
          </w:p>
          <w:p w:rsidR="00F94482" w:rsidRPr="00DC41AF" w:rsidRDefault="00F94482" w:rsidP="00F94482">
            <w:pPr>
              <w:rPr>
                <w:lang w:val="en-AU"/>
              </w:rPr>
            </w:pPr>
            <w:r w:rsidRPr="00DC41AF">
              <w:rPr>
                <w:lang w:val="en-AU"/>
              </w:rPr>
              <w:t>12 (11.8)</w:t>
            </w:r>
          </w:p>
          <w:p w:rsidR="00F94482" w:rsidRPr="00DC41AF" w:rsidRDefault="00F94482" w:rsidP="00F94482">
            <w:pPr>
              <w:rPr>
                <w:lang w:val="en-AU"/>
              </w:rPr>
            </w:pPr>
            <w:r w:rsidRPr="00DC41AF">
              <w:rPr>
                <w:lang w:val="en-AU"/>
              </w:rPr>
              <w:t>0</w:t>
            </w:r>
          </w:p>
          <w:p w:rsidR="00F94482" w:rsidRPr="00DC41AF" w:rsidRDefault="00F94482" w:rsidP="00F94482">
            <w:pPr>
              <w:rPr>
                <w:lang w:val="en-AU"/>
              </w:rPr>
            </w:pPr>
            <w:r w:rsidRPr="00DC41AF">
              <w:rPr>
                <w:lang w:val="en-AU"/>
              </w:rPr>
              <w:t>15 (14.7)</w:t>
            </w:r>
          </w:p>
          <w:p w:rsidR="00F94482" w:rsidRPr="00DC41AF" w:rsidRDefault="00F94482" w:rsidP="00F94482">
            <w:pPr>
              <w:rPr>
                <w:lang w:val="en-AU"/>
              </w:rPr>
            </w:pPr>
            <w:r w:rsidRPr="00DC41AF">
              <w:rPr>
                <w:lang w:val="en-AU"/>
              </w:rPr>
              <w:lastRenderedPageBreak/>
              <w:t>13 (12.7)</w:t>
            </w:r>
          </w:p>
        </w:tc>
        <w:tc>
          <w:tcPr>
            <w:tcW w:w="1276" w:type="dxa"/>
          </w:tcPr>
          <w:p w:rsidR="00F94482" w:rsidRPr="00DC41AF" w:rsidRDefault="00F94482" w:rsidP="00F94482">
            <w:pPr>
              <w:rPr>
                <w:lang w:val="en-AU"/>
              </w:rPr>
            </w:pPr>
          </w:p>
          <w:p w:rsidR="00F94482" w:rsidRPr="00DC41AF" w:rsidRDefault="00F94482" w:rsidP="00F94482">
            <w:pPr>
              <w:rPr>
                <w:lang w:val="en-AU"/>
              </w:rPr>
            </w:pPr>
          </w:p>
          <w:p w:rsidR="00F94482" w:rsidRPr="00DC41AF" w:rsidRDefault="00F94482" w:rsidP="00F94482">
            <w:pPr>
              <w:rPr>
                <w:lang w:val="en-AU"/>
              </w:rPr>
            </w:pPr>
            <w:r w:rsidRPr="00DC41AF">
              <w:rPr>
                <w:lang w:val="en-AU"/>
              </w:rPr>
              <w:t>0</w:t>
            </w:r>
          </w:p>
          <w:p w:rsidR="00F94482" w:rsidRPr="00DC41AF" w:rsidRDefault="00F94482" w:rsidP="00F94482">
            <w:pPr>
              <w:rPr>
                <w:lang w:val="en-AU"/>
              </w:rPr>
            </w:pPr>
            <w:r w:rsidRPr="00DC41AF">
              <w:rPr>
                <w:lang w:val="en-AU"/>
              </w:rPr>
              <w:t>1 (1.0)</w:t>
            </w:r>
          </w:p>
          <w:p w:rsidR="00F94482" w:rsidRPr="00DC41AF" w:rsidRDefault="00F94482" w:rsidP="00F94482">
            <w:pPr>
              <w:rPr>
                <w:lang w:val="en-AU"/>
              </w:rPr>
            </w:pPr>
            <w:r w:rsidRPr="00DC41AF">
              <w:rPr>
                <w:lang w:val="en-AU"/>
              </w:rPr>
              <w:t>0</w:t>
            </w:r>
          </w:p>
          <w:p w:rsidR="00F94482" w:rsidRPr="00DC41AF" w:rsidRDefault="00F94482" w:rsidP="00F94482">
            <w:pPr>
              <w:rPr>
                <w:lang w:val="en-AU"/>
              </w:rPr>
            </w:pPr>
            <w:r w:rsidRPr="00DC41AF">
              <w:rPr>
                <w:lang w:val="en-AU"/>
              </w:rPr>
              <w:t>2 (2.0)</w:t>
            </w:r>
          </w:p>
          <w:p w:rsidR="00F94482" w:rsidRPr="00DC41AF" w:rsidRDefault="00293FC4" w:rsidP="00F94482">
            <w:pPr>
              <w:rPr>
                <w:lang w:val="en-AU"/>
              </w:rPr>
            </w:pPr>
            <w:r w:rsidRPr="00DC41AF">
              <w:rPr>
                <w:lang w:val="en-AU"/>
              </w:rPr>
              <w:t>0</w:t>
            </w:r>
          </w:p>
          <w:p w:rsidR="00F94482" w:rsidRPr="00DC41AF" w:rsidRDefault="00F94482" w:rsidP="00F94482">
            <w:pPr>
              <w:rPr>
                <w:lang w:val="en-AU"/>
              </w:rPr>
            </w:pPr>
            <w:r w:rsidRPr="00DC41AF">
              <w:rPr>
                <w:lang w:val="en-AU"/>
              </w:rPr>
              <w:t>2 (2.0)</w:t>
            </w:r>
          </w:p>
          <w:p w:rsidR="00F94482" w:rsidRPr="00DC41AF" w:rsidRDefault="00293FC4" w:rsidP="00F94482">
            <w:pPr>
              <w:rPr>
                <w:lang w:val="en-AU"/>
              </w:rPr>
            </w:pPr>
            <w:r w:rsidRPr="00DC41AF">
              <w:rPr>
                <w:lang w:val="en-AU"/>
              </w:rPr>
              <w:lastRenderedPageBreak/>
              <w:t>0</w:t>
            </w:r>
          </w:p>
        </w:tc>
      </w:tr>
    </w:tbl>
    <w:p w:rsidR="005B1DDE" w:rsidRPr="00DC41AF" w:rsidRDefault="005B1DDE" w:rsidP="00EF54D6">
      <w:pPr>
        <w:ind w:right="-196"/>
        <w:jc w:val="right"/>
        <w:rPr>
          <w:lang w:val="en-AU"/>
        </w:rPr>
      </w:pPr>
      <w:r w:rsidRPr="00DC41AF">
        <w:rPr>
          <w:lang w:val="en-AU"/>
        </w:rPr>
        <w:lastRenderedPageBreak/>
        <w:t>(...continued)</w:t>
      </w:r>
      <w:r w:rsidRPr="00DC41AF">
        <w:rPr>
          <w:lang w:val="en-AU"/>
        </w:rPr>
        <w:br w:type="page"/>
      </w:r>
    </w:p>
    <w:p w:rsidR="005B1DDE" w:rsidRPr="00DC41AF" w:rsidRDefault="005B1DDE" w:rsidP="00EF54D6">
      <w:pPr>
        <w:ind w:right="-196"/>
        <w:jc w:val="right"/>
        <w:rPr>
          <w:lang w:val="en-AU"/>
        </w:rPr>
      </w:pPr>
      <w:r w:rsidRPr="00DC41AF">
        <w:rPr>
          <w:lang w:val="en-AU"/>
        </w:rPr>
        <w:lastRenderedPageBreak/>
        <w:t>(...continued)</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0"/>
        <w:gridCol w:w="1276"/>
        <w:gridCol w:w="1276"/>
        <w:gridCol w:w="1275"/>
        <w:gridCol w:w="1276"/>
      </w:tblGrid>
      <w:tr w:rsidR="005B1DDE" w:rsidRPr="00DC41AF" w:rsidTr="00CA4FAB">
        <w:trPr>
          <w:tblHeader/>
        </w:trPr>
        <w:tc>
          <w:tcPr>
            <w:tcW w:w="3970" w:type="dxa"/>
            <w:vMerge w:val="restart"/>
          </w:tcPr>
          <w:p w:rsidR="005B1DDE" w:rsidRPr="00DC41AF" w:rsidRDefault="005B1DDE" w:rsidP="005B1DDE">
            <w:pPr>
              <w:rPr>
                <w:b/>
                <w:lang w:val="en-AU"/>
              </w:rPr>
            </w:pPr>
            <w:r w:rsidRPr="00DC41AF">
              <w:rPr>
                <w:b/>
                <w:lang w:val="en-AU"/>
              </w:rPr>
              <w:t>System Organ Class</w:t>
            </w:r>
          </w:p>
          <w:p w:rsidR="005B1DDE" w:rsidRPr="00DC41AF" w:rsidRDefault="005B1DDE" w:rsidP="005B1DDE">
            <w:pPr>
              <w:ind w:firstLine="450"/>
              <w:rPr>
                <w:lang w:val="en-AU"/>
              </w:rPr>
            </w:pPr>
            <w:r w:rsidRPr="00DC41AF">
              <w:rPr>
                <w:lang w:val="en-AU"/>
              </w:rPr>
              <w:t>Preferred Term</w:t>
            </w:r>
          </w:p>
        </w:tc>
        <w:tc>
          <w:tcPr>
            <w:tcW w:w="5103" w:type="dxa"/>
            <w:gridSpan w:val="4"/>
          </w:tcPr>
          <w:p w:rsidR="005B1DDE" w:rsidRPr="00DC41AF" w:rsidRDefault="005B1DDE" w:rsidP="005B1DDE">
            <w:pPr>
              <w:jc w:val="center"/>
              <w:rPr>
                <w:b/>
                <w:lang w:val="en-AU"/>
              </w:rPr>
            </w:pPr>
            <w:r w:rsidRPr="00DC41AF">
              <w:rPr>
                <w:b/>
                <w:lang w:val="en-AU"/>
              </w:rPr>
              <w:t>Number (%) of Patients</w:t>
            </w:r>
          </w:p>
        </w:tc>
      </w:tr>
      <w:tr w:rsidR="005B1DDE" w:rsidRPr="00DC41AF" w:rsidTr="00CA4FAB">
        <w:trPr>
          <w:tblHeader/>
        </w:trPr>
        <w:tc>
          <w:tcPr>
            <w:tcW w:w="3970" w:type="dxa"/>
            <w:vMerge/>
          </w:tcPr>
          <w:p w:rsidR="005B1DDE" w:rsidRPr="00DC41AF" w:rsidRDefault="005B1DDE" w:rsidP="005B1DDE">
            <w:pPr>
              <w:rPr>
                <w:b/>
                <w:lang w:val="en-AU"/>
              </w:rPr>
            </w:pPr>
          </w:p>
        </w:tc>
        <w:tc>
          <w:tcPr>
            <w:tcW w:w="2552" w:type="dxa"/>
            <w:gridSpan w:val="2"/>
          </w:tcPr>
          <w:p w:rsidR="005B1DDE" w:rsidRPr="00DC41AF" w:rsidRDefault="005B1DDE" w:rsidP="004A185D">
            <w:pPr>
              <w:ind w:right="-108"/>
              <w:jc w:val="center"/>
              <w:rPr>
                <w:b/>
                <w:lang w:val="en-AU"/>
              </w:rPr>
            </w:pPr>
            <w:r w:rsidRPr="00DC41AF">
              <w:rPr>
                <w:b/>
                <w:lang w:val="en-AU"/>
              </w:rPr>
              <w:t xml:space="preserve">Azacitidine </w:t>
            </w:r>
            <w:r w:rsidRPr="00DC41AF">
              <w:rPr>
                <w:b/>
                <w:lang w:val="en-AU"/>
              </w:rPr>
              <w:br/>
              <w:t>(N = 175)</w:t>
            </w:r>
          </w:p>
        </w:tc>
        <w:tc>
          <w:tcPr>
            <w:tcW w:w="2551" w:type="dxa"/>
            <w:gridSpan w:val="2"/>
          </w:tcPr>
          <w:p w:rsidR="005B1DDE" w:rsidRPr="00DC41AF" w:rsidRDefault="005B1DDE" w:rsidP="005B1DDE">
            <w:pPr>
              <w:jc w:val="center"/>
              <w:rPr>
                <w:b/>
                <w:lang w:val="en-AU"/>
              </w:rPr>
            </w:pPr>
            <w:r w:rsidRPr="00DC41AF">
              <w:rPr>
                <w:b/>
                <w:lang w:val="en-AU"/>
              </w:rPr>
              <w:t xml:space="preserve">BSC </w:t>
            </w:r>
            <w:r w:rsidRPr="00DC41AF">
              <w:rPr>
                <w:b/>
                <w:lang w:val="en-AU"/>
              </w:rPr>
              <w:br/>
              <w:t>(N = 102)</w:t>
            </w:r>
          </w:p>
        </w:tc>
      </w:tr>
      <w:tr w:rsidR="005B1DDE" w:rsidRPr="00DC41AF" w:rsidTr="00CA4FAB">
        <w:trPr>
          <w:tblHeader/>
        </w:trPr>
        <w:tc>
          <w:tcPr>
            <w:tcW w:w="3970" w:type="dxa"/>
            <w:vMerge/>
          </w:tcPr>
          <w:p w:rsidR="005B1DDE" w:rsidRPr="00DC41AF" w:rsidRDefault="005B1DDE" w:rsidP="005B1DDE">
            <w:pPr>
              <w:rPr>
                <w:b/>
                <w:lang w:val="en-AU"/>
              </w:rPr>
            </w:pPr>
          </w:p>
        </w:tc>
        <w:tc>
          <w:tcPr>
            <w:tcW w:w="1276" w:type="dxa"/>
          </w:tcPr>
          <w:p w:rsidR="005B1DDE" w:rsidRPr="00DC41AF" w:rsidRDefault="005B1DDE" w:rsidP="005B1DDE">
            <w:pPr>
              <w:rPr>
                <w:b/>
                <w:lang w:val="en-AU"/>
              </w:rPr>
            </w:pPr>
            <w:r w:rsidRPr="00DC41AF">
              <w:rPr>
                <w:b/>
                <w:lang w:val="en-AU"/>
              </w:rPr>
              <w:t>All Grades</w:t>
            </w:r>
          </w:p>
        </w:tc>
        <w:tc>
          <w:tcPr>
            <w:tcW w:w="1276" w:type="dxa"/>
          </w:tcPr>
          <w:p w:rsidR="005B1DDE" w:rsidRPr="00DC41AF" w:rsidRDefault="005B1DDE" w:rsidP="005B1DDE">
            <w:pPr>
              <w:ind w:right="-108"/>
              <w:rPr>
                <w:b/>
                <w:lang w:val="en-AU"/>
              </w:rPr>
            </w:pPr>
            <w:r w:rsidRPr="00DC41AF">
              <w:rPr>
                <w:b/>
                <w:lang w:val="en-AU"/>
              </w:rPr>
              <w:t>Grade 3 or 4</w:t>
            </w:r>
          </w:p>
        </w:tc>
        <w:tc>
          <w:tcPr>
            <w:tcW w:w="1275" w:type="dxa"/>
          </w:tcPr>
          <w:p w:rsidR="005B1DDE" w:rsidRPr="00DC41AF" w:rsidRDefault="005B1DDE" w:rsidP="005B1DDE">
            <w:pPr>
              <w:rPr>
                <w:b/>
                <w:lang w:val="en-AU"/>
              </w:rPr>
            </w:pPr>
            <w:r w:rsidRPr="00DC41AF">
              <w:rPr>
                <w:b/>
                <w:lang w:val="en-AU"/>
              </w:rPr>
              <w:t>All Grades</w:t>
            </w:r>
          </w:p>
        </w:tc>
        <w:tc>
          <w:tcPr>
            <w:tcW w:w="1276" w:type="dxa"/>
          </w:tcPr>
          <w:p w:rsidR="005B1DDE" w:rsidRPr="00DC41AF" w:rsidRDefault="005B1DDE" w:rsidP="005B1DDE">
            <w:pPr>
              <w:ind w:right="-108"/>
              <w:rPr>
                <w:b/>
                <w:lang w:val="en-AU"/>
              </w:rPr>
            </w:pPr>
            <w:r w:rsidRPr="00DC41AF">
              <w:rPr>
                <w:b/>
                <w:lang w:val="en-AU"/>
              </w:rPr>
              <w:t>Grade 3 or 4</w:t>
            </w:r>
          </w:p>
        </w:tc>
      </w:tr>
      <w:tr w:rsidR="005B1DDE" w:rsidRPr="00DC41AF" w:rsidTr="00CA4FAB">
        <w:tc>
          <w:tcPr>
            <w:tcW w:w="3970" w:type="dxa"/>
          </w:tcPr>
          <w:p w:rsidR="005B1DDE" w:rsidRPr="00DC41AF" w:rsidRDefault="005B1DDE" w:rsidP="005B1DDE">
            <w:pPr>
              <w:rPr>
                <w:b/>
                <w:lang w:val="en-AU"/>
              </w:rPr>
            </w:pPr>
            <w:r w:rsidRPr="00DC41AF">
              <w:rPr>
                <w:b/>
                <w:lang w:val="en-AU"/>
              </w:rPr>
              <w:t>Infections and infestations</w:t>
            </w:r>
          </w:p>
          <w:p w:rsidR="005B1DDE" w:rsidRPr="00DC41AF" w:rsidRDefault="005B1DDE" w:rsidP="005B1DDE">
            <w:pPr>
              <w:ind w:firstLine="450"/>
              <w:rPr>
                <w:lang w:val="en-AU"/>
              </w:rPr>
            </w:pPr>
            <w:proofErr w:type="spellStart"/>
            <w:r w:rsidRPr="00DC41AF">
              <w:rPr>
                <w:lang w:val="en-AU"/>
              </w:rPr>
              <w:t>Nasopharyngitis</w:t>
            </w:r>
            <w:proofErr w:type="spellEnd"/>
          </w:p>
          <w:p w:rsidR="005B1DDE" w:rsidRPr="00DC41AF" w:rsidRDefault="005B1DDE" w:rsidP="005B1DDE">
            <w:pPr>
              <w:ind w:firstLine="450"/>
              <w:rPr>
                <w:lang w:val="en-AU"/>
              </w:rPr>
            </w:pPr>
            <w:r w:rsidRPr="00DC41AF">
              <w:rPr>
                <w:lang w:val="en-AU"/>
              </w:rPr>
              <w:t>Pneumonia</w:t>
            </w:r>
          </w:p>
          <w:p w:rsidR="005B1DDE" w:rsidRPr="00DC41AF" w:rsidRDefault="005B1DDE" w:rsidP="005B1DDE">
            <w:pPr>
              <w:ind w:firstLine="450"/>
              <w:rPr>
                <w:lang w:val="en-AU"/>
              </w:rPr>
            </w:pPr>
            <w:r w:rsidRPr="00DC41AF">
              <w:rPr>
                <w:lang w:val="en-AU"/>
              </w:rPr>
              <w:t>Bronchitis</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33 (18.9)</w:t>
            </w:r>
          </w:p>
          <w:p w:rsidR="005B1DDE" w:rsidRPr="00DC41AF" w:rsidRDefault="005B1DDE" w:rsidP="005B1DDE">
            <w:pPr>
              <w:rPr>
                <w:lang w:val="en-AU"/>
              </w:rPr>
            </w:pPr>
            <w:r w:rsidRPr="00DC41AF">
              <w:rPr>
                <w:lang w:val="en-AU"/>
              </w:rPr>
              <w:t>22 (12.6)</w:t>
            </w:r>
          </w:p>
          <w:p w:rsidR="005B1DDE" w:rsidRPr="00DC41AF" w:rsidRDefault="005B1DDE" w:rsidP="005B1DDE">
            <w:pPr>
              <w:rPr>
                <w:lang w:val="en-AU"/>
              </w:rPr>
            </w:pPr>
            <w:r w:rsidRPr="00DC41AF">
              <w:rPr>
                <w:lang w:val="en-AU"/>
              </w:rPr>
              <w:t>17 (9.7)</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2 (1.1)</w:t>
            </w:r>
          </w:p>
          <w:p w:rsidR="005B1DDE" w:rsidRPr="00DC41AF" w:rsidRDefault="005B1DDE" w:rsidP="005B1DDE">
            <w:pPr>
              <w:rPr>
                <w:lang w:val="en-AU"/>
              </w:rPr>
            </w:pPr>
            <w:r w:rsidRPr="00DC41AF">
              <w:rPr>
                <w:lang w:val="en-AU"/>
              </w:rPr>
              <w:t>18 (10.3)</w:t>
            </w:r>
          </w:p>
          <w:p w:rsidR="005B1DDE" w:rsidRPr="00DC41AF" w:rsidRDefault="005B1DDE" w:rsidP="005B1DDE">
            <w:pPr>
              <w:rPr>
                <w:lang w:val="en-AU"/>
              </w:rPr>
            </w:pPr>
            <w:r w:rsidRPr="00DC41AF">
              <w:rPr>
                <w:lang w:val="en-AU"/>
              </w:rPr>
              <w:t>0</w:t>
            </w:r>
          </w:p>
        </w:tc>
        <w:tc>
          <w:tcPr>
            <w:tcW w:w="1275"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13 (12.7)</w:t>
            </w:r>
          </w:p>
          <w:p w:rsidR="005B1DDE" w:rsidRPr="00DC41AF" w:rsidRDefault="005B1DDE" w:rsidP="005B1DDE">
            <w:pPr>
              <w:rPr>
                <w:lang w:val="en-AU"/>
              </w:rPr>
            </w:pPr>
            <w:r w:rsidRPr="00DC41AF">
              <w:rPr>
                <w:lang w:val="en-AU"/>
              </w:rPr>
              <w:t>12 (11.8)</w:t>
            </w:r>
          </w:p>
          <w:p w:rsidR="005B1DDE" w:rsidRPr="00DC41AF" w:rsidRDefault="005B1DDE" w:rsidP="005B1DDE">
            <w:pPr>
              <w:rPr>
                <w:lang w:val="en-AU"/>
              </w:rPr>
            </w:pPr>
            <w:r w:rsidRPr="00DC41AF">
              <w:rPr>
                <w:lang w:val="en-AU"/>
              </w:rPr>
              <w:t>8 (7.8)</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0</w:t>
            </w:r>
          </w:p>
          <w:p w:rsidR="005B1DDE" w:rsidRPr="00DC41AF" w:rsidRDefault="005B1DDE" w:rsidP="005B1DDE">
            <w:pPr>
              <w:rPr>
                <w:lang w:val="en-AU"/>
              </w:rPr>
            </w:pPr>
            <w:r w:rsidRPr="00DC41AF">
              <w:rPr>
                <w:lang w:val="en-AU"/>
              </w:rPr>
              <w:t>8 (7.8)</w:t>
            </w:r>
          </w:p>
          <w:p w:rsidR="005B1DDE" w:rsidRPr="00DC41AF" w:rsidRDefault="005B1DDE" w:rsidP="005B1DDE">
            <w:pPr>
              <w:rPr>
                <w:lang w:val="en-AU"/>
              </w:rPr>
            </w:pPr>
            <w:r w:rsidRPr="00DC41AF">
              <w:rPr>
                <w:lang w:val="en-AU"/>
              </w:rPr>
              <w:t>0</w:t>
            </w:r>
          </w:p>
        </w:tc>
      </w:tr>
      <w:tr w:rsidR="005B1DDE" w:rsidRPr="00DC41AF" w:rsidTr="00CA4FAB">
        <w:tc>
          <w:tcPr>
            <w:tcW w:w="3970" w:type="dxa"/>
          </w:tcPr>
          <w:p w:rsidR="005B1DDE" w:rsidRPr="00DC41AF" w:rsidRDefault="005B1DDE" w:rsidP="005B1DDE">
            <w:pPr>
              <w:rPr>
                <w:b/>
                <w:lang w:val="en-AU"/>
              </w:rPr>
            </w:pPr>
            <w:r w:rsidRPr="00DC41AF">
              <w:rPr>
                <w:b/>
                <w:lang w:val="en-AU"/>
              </w:rPr>
              <w:t>Injury, poisoning and procedural complications</w:t>
            </w:r>
          </w:p>
          <w:p w:rsidR="005B1DDE" w:rsidRPr="00DC41AF" w:rsidRDefault="005B1DDE" w:rsidP="005B1DDE">
            <w:pPr>
              <w:ind w:firstLine="450"/>
              <w:rPr>
                <w:lang w:val="en-AU"/>
              </w:rPr>
            </w:pPr>
            <w:r w:rsidRPr="00DC41AF">
              <w:rPr>
                <w:lang w:val="en-AU"/>
              </w:rPr>
              <w:t>Transfusion reaction</w:t>
            </w:r>
          </w:p>
        </w:tc>
        <w:tc>
          <w:tcPr>
            <w:tcW w:w="1276"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21 (12.0)</w:t>
            </w:r>
          </w:p>
        </w:tc>
        <w:tc>
          <w:tcPr>
            <w:tcW w:w="1276"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4 (2.3)</w:t>
            </w:r>
          </w:p>
        </w:tc>
        <w:tc>
          <w:tcPr>
            <w:tcW w:w="1275"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5 (4.9)</w:t>
            </w:r>
          </w:p>
        </w:tc>
        <w:tc>
          <w:tcPr>
            <w:tcW w:w="1276"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1 (1.0)</w:t>
            </w:r>
          </w:p>
        </w:tc>
      </w:tr>
      <w:tr w:rsidR="005B1DDE" w:rsidRPr="00DC41AF" w:rsidTr="00CA4FAB">
        <w:tc>
          <w:tcPr>
            <w:tcW w:w="3970" w:type="dxa"/>
          </w:tcPr>
          <w:p w:rsidR="005B1DDE" w:rsidRPr="00DC41AF" w:rsidRDefault="005B1DDE" w:rsidP="005B1DDE">
            <w:pPr>
              <w:rPr>
                <w:b/>
                <w:lang w:val="en-AU"/>
              </w:rPr>
            </w:pPr>
            <w:r w:rsidRPr="00DC41AF">
              <w:rPr>
                <w:b/>
                <w:lang w:val="en-AU"/>
              </w:rPr>
              <w:t>Metabolism and nutrition disorders</w:t>
            </w:r>
          </w:p>
          <w:p w:rsidR="005B1DDE" w:rsidRPr="00DC41AF" w:rsidRDefault="005B1DDE" w:rsidP="005B1DDE">
            <w:pPr>
              <w:ind w:firstLine="450"/>
              <w:rPr>
                <w:lang w:val="en-AU"/>
              </w:rPr>
            </w:pPr>
            <w:r w:rsidRPr="00DC41AF">
              <w:rPr>
                <w:lang w:val="en-AU"/>
              </w:rPr>
              <w:t>Anorexia</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25 (14.3)</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3 (1.7)</w:t>
            </w:r>
          </w:p>
        </w:tc>
        <w:tc>
          <w:tcPr>
            <w:tcW w:w="1275"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9 (8.8)</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0</w:t>
            </w:r>
          </w:p>
        </w:tc>
      </w:tr>
      <w:tr w:rsidR="005B1DDE" w:rsidRPr="00DC41AF" w:rsidTr="00CA4FAB">
        <w:tc>
          <w:tcPr>
            <w:tcW w:w="3970" w:type="dxa"/>
          </w:tcPr>
          <w:p w:rsidR="005B1DDE" w:rsidRPr="00DC41AF" w:rsidRDefault="005B1DDE" w:rsidP="005B1DDE">
            <w:pPr>
              <w:rPr>
                <w:b/>
                <w:lang w:val="en-AU"/>
              </w:rPr>
            </w:pPr>
            <w:proofErr w:type="spellStart"/>
            <w:r w:rsidRPr="00DC41AF">
              <w:rPr>
                <w:b/>
                <w:lang w:val="en-AU"/>
              </w:rPr>
              <w:t>Neoplasms</w:t>
            </w:r>
            <w:proofErr w:type="spellEnd"/>
            <w:r w:rsidRPr="00DC41AF">
              <w:rPr>
                <w:b/>
                <w:lang w:val="en-AU"/>
              </w:rPr>
              <w:t xml:space="preserve"> benign, malignant and unspecified (including cysts and polyps)</w:t>
            </w:r>
          </w:p>
          <w:p w:rsidR="005B1DDE" w:rsidRPr="00DC41AF" w:rsidRDefault="005B1DDE" w:rsidP="005B1DDE">
            <w:pPr>
              <w:ind w:firstLine="450"/>
              <w:rPr>
                <w:lang w:val="en-AU"/>
              </w:rPr>
            </w:pPr>
            <w:r w:rsidRPr="00DC41AF">
              <w:rPr>
                <w:lang w:val="en-AU"/>
              </w:rPr>
              <w:t>Acute myeloid leukaemia</w:t>
            </w:r>
          </w:p>
        </w:tc>
        <w:tc>
          <w:tcPr>
            <w:tcW w:w="1276"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30 (17.1)</w:t>
            </w:r>
          </w:p>
        </w:tc>
        <w:tc>
          <w:tcPr>
            <w:tcW w:w="1276"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28 (16.0)</w:t>
            </w:r>
          </w:p>
        </w:tc>
        <w:tc>
          <w:tcPr>
            <w:tcW w:w="1275"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36 (35.3)</w:t>
            </w:r>
          </w:p>
        </w:tc>
        <w:tc>
          <w:tcPr>
            <w:tcW w:w="1276"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32 (31.4)</w:t>
            </w:r>
          </w:p>
        </w:tc>
      </w:tr>
      <w:tr w:rsidR="005B1DDE" w:rsidRPr="00DC41AF" w:rsidTr="00CA4FAB">
        <w:tc>
          <w:tcPr>
            <w:tcW w:w="3970" w:type="dxa"/>
          </w:tcPr>
          <w:p w:rsidR="005B1DDE" w:rsidRPr="00DC41AF" w:rsidRDefault="005B1DDE" w:rsidP="005B1DDE">
            <w:pPr>
              <w:rPr>
                <w:b/>
                <w:lang w:val="en-AU"/>
              </w:rPr>
            </w:pPr>
            <w:r w:rsidRPr="00DC41AF">
              <w:rPr>
                <w:b/>
                <w:lang w:val="en-AU"/>
              </w:rPr>
              <w:t>Nervous system disorders</w:t>
            </w:r>
          </w:p>
          <w:p w:rsidR="005B1DDE" w:rsidRPr="00DC41AF" w:rsidRDefault="005B1DDE" w:rsidP="005B1DDE">
            <w:pPr>
              <w:ind w:firstLine="450"/>
              <w:rPr>
                <w:lang w:val="en-AU"/>
              </w:rPr>
            </w:pPr>
            <w:r w:rsidRPr="00DC41AF">
              <w:rPr>
                <w:lang w:val="en-AU"/>
              </w:rPr>
              <w:t>Headache</w:t>
            </w:r>
          </w:p>
          <w:p w:rsidR="005B1DDE" w:rsidRPr="00DC41AF" w:rsidRDefault="005B1DDE" w:rsidP="005B1DDE">
            <w:pPr>
              <w:ind w:firstLine="450"/>
              <w:rPr>
                <w:lang w:val="en-AU"/>
              </w:rPr>
            </w:pPr>
            <w:r w:rsidRPr="00DC41AF">
              <w:rPr>
                <w:lang w:val="en-AU"/>
              </w:rPr>
              <w:t>Dizziness</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25 (14.3)</w:t>
            </w:r>
          </w:p>
          <w:p w:rsidR="005B1DDE" w:rsidRPr="00DC41AF" w:rsidRDefault="005B1DDE" w:rsidP="005B1DDE">
            <w:pPr>
              <w:rPr>
                <w:lang w:val="en-AU"/>
              </w:rPr>
            </w:pPr>
            <w:r w:rsidRPr="00DC41AF">
              <w:rPr>
                <w:lang w:val="en-AU"/>
              </w:rPr>
              <w:t>17 (9.7)</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0</w:t>
            </w:r>
          </w:p>
          <w:p w:rsidR="005B1DDE" w:rsidRPr="00DC41AF" w:rsidRDefault="005B1DDE" w:rsidP="005B1DDE">
            <w:pPr>
              <w:rPr>
                <w:lang w:val="en-AU"/>
              </w:rPr>
            </w:pPr>
            <w:r w:rsidRPr="00DC41AF">
              <w:rPr>
                <w:lang w:val="en-AU"/>
              </w:rPr>
              <w:t>1 (0.6)</w:t>
            </w:r>
          </w:p>
        </w:tc>
        <w:tc>
          <w:tcPr>
            <w:tcW w:w="1275"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8 (7.8)</w:t>
            </w:r>
          </w:p>
          <w:p w:rsidR="005B1DDE" w:rsidRPr="00DC41AF" w:rsidRDefault="005B1DDE" w:rsidP="005B1DDE">
            <w:pPr>
              <w:rPr>
                <w:lang w:val="en-AU"/>
              </w:rPr>
            </w:pPr>
            <w:r w:rsidRPr="00DC41AF">
              <w:rPr>
                <w:lang w:val="en-AU"/>
              </w:rPr>
              <w:t>7 (6.9)</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0</w:t>
            </w:r>
          </w:p>
          <w:p w:rsidR="005B1DDE" w:rsidRPr="00DC41AF" w:rsidRDefault="005B1DDE" w:rsidP="005B1DDE">
            <w:pPr>
              <w:rPr>
                <w:lang w:val="en-AU"/>
              </w:rPr>
            </w:pPr>
            <w:r w:rsidRPr="00DC41AF">
              <w:rPr>
                <w:lang w:val="en-AU"/>
              </w:rPr>
              <w:t>0</w:t>
            </w:r>
          </w:p>
        </w:tc>
      </w:tr>
      <w:tr w:rsidR="005B1DDE" w:rsidRPr="00DC41AF" w:rsidTr="00CA4FAB">
        <w:tc>
          <w:tcPr>
            <w:tcW w:w="3970" w:type="dxa"/>
          </w:tcPr>
          <w:p w:rsidR="005B1DDE" w:rsidRPr="00DC41AF" w:rsidRDefault="005B1DDE" w:rsidP="005B1DDE">
            <w:pPr>
              <w:rPr>
                <w:b/>
                <w:lang w:val="en-AU"/>
              </w:rPr>
            </w:pPr>
            <w:r w:rsidRPr="00DC41AF">
              <w:rPr>
                <w:b/>
                <w:lang w:val="en-AU"/>
              </w:rPr>
              <w:t xml:space="preserve">Respiratory, Thoracic and </w:t>
            </w:r>
            <w:proofErr w:type="spellStart"/>
            <w:r w:rsidRPr="00DC41AF">
              <w:rPr>
                <w:b/>
                <w:lang w:val="en-AU"/>
              </w:rPr>
              <w:t>mediastinal</w:t>
            </w:r>
            <w:proofErr w:type="spellEnd"/>
            <w:r w:rsidRPr="00DC41AF">
              <w:rPr>
                <w:b/>
                <w:lang w:val="en-AU"/>
              </w:rPr>
              <w:t xml:space="preserve"> disorders</w:t>
            </w:r>
          </w:p>
          <w:p w:rsidR="005B1DDE" w:rsidRPr="00DC41AF" w:rsidRDefault="005B1DDE" w:rsidP="005B1DDE">
            <w:pPr>
              <w:ind w:firstLine="450"/>
              <w:rPr>
                <w:lang w:val="en-AU"/>
              </w:rPr>
            </w:pPr>
            <w:r w:rsidRPr="00DC41AF">
              <w:rPr>
                <w:lang w:val="en-AU"/>
              </w:rPr>
              <w:t>Cough</w:t>
            </w:r>
          </w:p>
          <w:p w:rsidR="005B1DDE" w:rsidRPr="00DC41AF" w:rsidRDefault="005B1DDE" w:rsidP="005B1DDE">
            <w:pPr>
              <w:ind w:firstLine="450"/>
              <w:rPr>
                <w:lang w:val="en-AU"/>
              </w:rPr>
            </w:pPr>
            <w:proofErr w:type="spellStart"/>
            <w:r w:rsidRPr="00DC41AF">
              <w:rPr>
                <w:lang w:val="en-AU"/>
              </w:rPr>
              <w:t>Epistaxis</w:t>
            </w:r>
            <w:proofErr w:type="spellEnd"/>
          </w:p>
          <w:p w:rsidR="005B1DDE" w:rsidRPr="00DC41AF" w:rsidRDefault="005B1DDE" w:rsidP="005B1DDE">
            <w:pPr>
              <w:ind w:firstLine="450"/>
              <w:rPr>
                <w:lang w:val="en-AU"/>
              </w:rPr>
            </w:pPr>
            <w:r w:rsidRPr="00DC41AF">
              <w:rPr>
                <w:lang w:val="en-AU"/>
              </w:rPr>
              <w:t>Dyspnoea</w:t>
            </w:r>
          </w:p>
        </w:tc>
        <w:tc>
          <w:tcPr>
            <w:tcW w:w="1276"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34 (19.4)</w:t>
            </w:r>
          </w:p>
          <w:p w:rsidR="005B1DDE" w:rsidRPr="00DC41AF" w:rsidRDefault="005B1DDE" w:rsidP="005B1DDE">
            <w:pPr>
              <w:rPr>
                <w:lang w:val="en-AU"/>
              </w:rPr>
            </w:pPr>
            <w:r w:rsidRPr="00DC41AF">
              <w:rPr>
                <w:lang w:val="en-AU"/>
              </w:rPr>
              <w:t>29 (16.6)</w:t>
            </w:r>
          </w:p>
          <w:p w:rsidR="005B1DDE" w:rsidRPr="00DC41AF" w:rsidRDefault="005B1DDE" w:rsidP="005B1DDE">
            <w:pPr>
              <w:rPr>
                <w:lang w:val="en-AU"/>
              </w:rPr>
            </w:pPr>
            <w:r w:rsidRPr="00DC41AF">
              <w:rPr>
                <w:lang w:val="en-AU"/>
              </w:rPr>
              <w:t>26 (14.9)</w:t>
            </w:r>
          </w:p>
        </w:tc>
        <w:tc>
          <w:tcPr>
            <w:tcW w:w="1276"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1 (0.6)</w:t>
            </w:r>
          </w:p>
          <w:p w:rsidR="005B1DDE" w:rsidRPr="00DC41AF" w:rsidRDefault="005B1DDE" w:rsidP="005B1DDE">
            <w:pPr>
              <w:rPr>
                <w:lang w:val="en-AU"/>
              </w:rPr>
            </w:pPr>
            <w:r w:rsidRPr="00DC41AF">
              <w:rPr>
                <w:lang w:val="en-AU"/>
              </w:rPr>
              <w:t>9 (5.1)</w:t>
            </w:r>
          </w:p>
          <w:p w:rsidR="005B1DDE" w:rsidRPr="00DC41AF" w:rsidRDefault="005B1DDE" w:rsidP="005B1DDE">
            <w:pPr>
              <w:rPr>
                <w:lang w:val="en-AU"/>
              </w:rPr>
            </w:pPr>
            <w:r w:rsidRPr="00DC41AF">
              <w:rPr>
                <w:lang w:val="en-AU"/>
              </w:rPr>
              <w:t>6 (3.4)</w:t>
            </w:r>
          </w:p>
        </w:tc>
        <w:tc>
          <w:tcPr>
            <w:tcW w:w="1275"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15 (14.7)</w:t>
            </w:r>
          </w:p>
          <w:p w:rsidR="005B1DDE" w:rsidRPr="00DC41AF" w:rsidRDefault="005B1DDE" w:rsidP="005B1DDE">
            <w:pPr>
              <w:rPr>
                <w:lang w:val="en-AU"/>
              </w:rPr>
            </w:pPr>
            <w:r w:rsidRPr="00DC41AF">
              <w:rPr>
                <w:lang w:val="en-AU"/>
              </w:rPr>
              <w:t>16 (15.7)</w:t>
            </w:r>
          </w:p>
          <w:p w:rsidR="005B1DDE" w:rsidRPr="00DC41AF" w:rsidRDefault="005B1DDE" w:rsidP="005B1DDE">
            <w:pPr>
              <w:rPr>
                <w:lang w:val="en-AU"/>
              </w:rPr>
            </w:pPr>
            <w:r w:rsidRPr="00DC41AF">
              <w:rPr>
                <w:lang w:val="en-AU"/>
              </w:rPr>
              <w:t>5 (4.9)</w:t>
            </w:r>
          </w:p>
        </w:tc>
        <w:tc>
          <w:tcPr>
            <w:tcW w:w="1276" w:type="dxa"/>
          </w:tcPr>
          <w:p w:rsidR="005B1DDE" w:rsidRPr="00DC41AF" w:rsidRDefault="005B1DDE" w:rsidP="005B1DDE">
            <w:pPr>
              <w:rPr>
                <w:lang w:val="en-AU"/>
              </w:rPr>
            </w:pPr>
          </w:p>
          <w:p w:rsidR="005B1DDE" w:rsidRPr="00DC41AF" w:rsidRDefault="005B1DDE" w:rsidP="005B1DDE">
            <w:pPr>
              <w:rPr>
                <w:lang w:val="en-AU"/>
              </w:rPr>
            </w:pPr>
          </w:p>
          <w:p w:rsidR="005B1DDE" w:rsidRPr="00DC41AF" w:rsidRDefault="005B1DDE" w:rsidP="005B1DDE">
            <w:pPr>
              <w:rPr>
                <w:lang w:val="en-AU"/>
              </w:rPr>
            </w:pPr>
            <w:r w:rsidRPr="00DC41AF">
              <w:rPr>
                <w:lang w:val="en-AU"/>
              </w:rPr>
              <w:t>0</w:t>
            </w:r>
          </w:p>
          <w:p w:rsidR="005B1DDE" w:rsidRPr="00DC41AF" w:rsidRDefault="005B1DDE" w:rsidP="005B1DDE">
            <w:pPr>
              <w:rPr>
                <w:lang w:val="en-AU"/>
              </w:rPr>
            </w:pPr>
            <w:r w:rsidRPr="00DC41AF">
              <w:rPr>
                <w:lang w:val="en-AU"/>
              </w:rPr>
              <w:t>7 (6.9)</w:t>
            </w:r>
          </w:p>
          <w:p w:rsidR="005B1DDE" w:rsidRPr="00DC41AF" w:rsidRDefault="005B1DDE" w:rsidP="005B1DDE">
            <w:pPr>
              <w:rPr>
                <w:lang w:val="en-AU"/>
              </w:rPr>
            </w:pPr>
            <w:r w:rsidRPr="00DC41AF">
              <w:rPr>
                <w:lang w:val="en-AU"/>
              </w:rPr>
              <w:t>2 (2.0)</w:t>
            </w:r>
          </w:p>
        </w:tc>
      </w:tr>
      <w:tr w:rsidR="005B1DDE" w:rsidRPr="00DC41AF" w:rsidTr="00CA4FAB">
        <w:tc>
          <w:tcPr>
            <w:tcW w:w="3970" w:type="dxa"/>
          </w:tcPr>
          <w:p w:rsidR="005B1DDE" w:rsidRPr="00DC41AF" w:rsidRDefault="005B1DDE" w:rsidP="005B1DDE">
            <w:pPr>
              <w:rPr>
                <w:b/>
                <w:lang w:val="en-AU"/>
              </w:rPr>
            </w:pPr>
            <w:r w:rsidRPr="00DC41AF">
              <w:rPr>
                <w:b/>
                <w:lang w:val="en-AU"/>
              </w:rPr>
              <w:t>Skin and subcutaneous tissue disorders</w:t>
            </w:r>
          </w:p>
          <w:p w:rsidR="005B1DDE" w:rsidRPr="00DC41AF" w:rsidRDefault="005B1DDE" w:rsidP="005B1DDE">
            <w:pPr>
              <w:ind w:firstLine="450"/>
              <w:rPr>
                <w:lang w:val="en-AU"/>
              </w:rPr>
            </w:pPr>
            <w:r w:rsidRPr="00DC41AF">
              <w:rPr>
                <w:lang w:val="en-AU"/>
              </w:rPr>
              <w:t>Pruritus</w:t>
            </w:r>
          </w:p>
          <w:p w:rsidR="005B1DDE" w:rsidRPr="00DC41AF" w:rsidRDefault="005B1DDE" w:rsidP="005B1DDE">
            <w:pPr>
              <w:ind w:firstLine="450"/>
              <w:rPr>
                <w:lang w:val="en-AU"/>
              </w:rPr>
            </w:pPr>
            <w:proofErr w:type="spellStart"/>
            <w:r w:rsidRPr="00DC41AF">
              <w:rPr>
                <w:lang w:val="en-AU"/>
              </w:rPr>
              <w:t>Petechiae</w:t>
            </w:r>
            <w:proofErr w:type="spellEnd"/>
          </w:p>
          <w:p w:rsidR="005B1DDE" w:rsidRPr="00DC41AF" w:rsidRDefault="005B1DDE" w:rsidP="005B1DDE">
            <w:pPr>
              <w:ind w:firstLine="450"/>
              <w:rPr>
                <w:lang w:val="en-AU"/>
              </w:rPr>
            </w:pPr>
            <w:r w:rsidRPr="00DC41AF">
              <w:rPr>
                <w:lang w:val="en-AU"/>
              </w:rPr>
              <w:t>Rash</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21 (12.0)</w:t>
            </w:r>
          </w:p>
          <w:p w:rsidR="005B1DDE" w:rsidRPr="00DC41AF" w:rsidRDefault="005B1DDE" w:rsidP="005B1DDE">
            <w:pPr>
              <w:rPr>
                <w:lang w:val="en-AU"/>
              </w:rPr>
            </w:pPr>
            <w:r w:rsidRPr="00DC41AF">
              <w:rPr>
                <w:lang w:val="en-AU"/>
              </w:rPr>
              <w:t>20 (11.4)</w:t>
            </w:r>
          </w:p>
          <w:p w:rsidR="005B1DDE" w:rsidRPr="00DC41AF" w:rsidRDefault="005B1DDE" w:rsidP="005B1DDE">
            <w:pPr>
              <w:rPr>
                <w:lang w:val="en-AU"/>
              </w:rPr>
            </w:pPr>
            <w:r w:rsidRPr="00DC41AF">
              <w:rPr>
                <w:lang w:val="en-AU"/>
              </w:rPr>
              <w:t>18 (10.3)</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0</w:t>
            </w:r>
          </w:p>
          <w:p w:rsidR="005B1DDE" w:rsidRPr="00DC41AF" w:rsidRDefault="005B1DDE" w:rsidP="005B1DDE">
            <w:pPr>
              <w:rPr>
                <w:lang w:val="en-AU"/>
              </w:rPr>
            </w:pPr>
            <w:r w:rsidRPr="00DC41AF">
              <w:rPr>
                <w:lang w:val="en-AU"/>
              </w:rPr>
              <w:t>2 (1.1)</w:t>
            </w:r>
          </w:p>
          <w:p w:rsidR="005B1DDE" w:rsidRPr="00DC41AF" w:rsidRDefault="005B1DDE" w:rsidP="005B1DDE">
            <w:pPr>
              <w:rPr>
                <w:lang w:val="en-AU"/>
              </w:rPr>
            </w:pPr>
            <w:r w:rsidRPr="00DC41AF">
              <w:rPr>
                <w:lang w:val="en-AU"/>
              </w:rPr>
              <w:t>0</w:t>
            </w:r>
          </w:p>
        </w:tc>
        <w:tc>
          <w:tcPr>
            <w:tcW w:w="1275"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2 (2.0)</w:t>
            </w:r>
          </w:p>
          <w:p w:rsidR="005B1DDE" w:rsidRPr="00DC41AF" w:rsidRDefault="005B1DDE" w:rsidP="005B1DDE">
            <w:pPr>
              <w:rPr>
                <w:lang w:val="en-AU"/>
              </w:rPr>
            </w:pPr>
            <w:r w:rsidRPr="00DC41AF">
              <w:rPr>
                <w:lang w:val="en-AU"/>
              </w:rPr>
              <w:t>4 (3.9)</w:t>
            </w:r>
          </w:p>
          <w:p w:rsidR="005B1DDE" w:rsidRPr="00DC41AF" w:rsidRDefault="005B1DDE" w:rsidP="005B1DDE">
            <w:pPr>
              <w:rPr>
                <w:lang w:val="en-AU"/>
              </w:rPr>
            </w:pPr>
            <w:r w:rsidRPr="00DC41AF">
              <w:rPr>
                <w:lang w:val="en-AU"/>
              </w:rPr>
              <w:t>1 (1.0)</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0</w:t>
            </w:r>
          </w:p>
          <w:p w:rsidR="005B1DDE" w:rsidRPr="00DC41AF" w:rsidRDefault="005B1DDE" w:rsidP="005B1DDE">
            <w:pPr>
              <w:rPr>
                <w:lang w:val="en-AU"/>
              </w:rPr>
            </w:pPr>
            <w:r w:rsidRPr="00DC41AF">
              <w:rPr>
                <w:lang w:val="en-AU"/>
              </w:rPr>
              <w:t>0</w:t>
            </w:r>
          </w:p>
          <w:p w:rsidR="005B1DDE" w:rsidRPr="00DC41AF" w:rsidRDefault="005B1DDE" w:rsidP="005B1DDE">
            <w:pPr>
              <w:rPr>
                <w:lang w:val="en-AU"/>
              </w:rPr>
            </w:pPr>
            <w:r w:rsidRPr="00DC41AF">
              <w:rPr>
                <w:lang w:val="en-AU"/>
              </w:rPr>
              <w:t>0</w:t>
            </w:r>
          </w:p>
        </w:tc>
      </w:tr>
      <w:tr w:rsidR="005B1DDE" w:rsidRPr="00DC41AF" w:rsidTr="00CA4FAB">
        <w:tc>
          <w:tcPr>
            <w:tcW w:w="3970" w:type="dxa"/>
          </w:tcPr>
          <w:p w:rsidR="005B1DDE" w:rsidRPr="00DC41AF" w:rsidRDefault="005B1DDE" w:rsidP="005B1DDE">
            <w:pPr>
              <w:rPr>
                <w:b/>
                <w:lang w:val="en-AU"/>
              </w:rPr>
            </w:pPr>
            <w:r w:rsidRPr="00DC41AF">
              <w:rPr>
                <w:b/>
                <w:lang w:val="en-AU"/>
              </w:rPr>
              <w:t>Vascular disorders</w:t>
            </w:r>
          </w:p>
          <w:p w:rsidR="005B1DDE" w:rsidRPr="00DC41AF" w:rsidRDefault="005B1DDE" w:rsidP="005B1DDE">
            <w:pPr>
              <w:ind w:firstLine="450"/>
              <w:rPr>
                <w:lang w:val="en-AU"/>
              </w:rPr>
            </w:pPr>
            <w:r w:rsidRPr="00DC41AF">
              <w:rPr>
                <w:lang w:val="en-AU"/>
              </w:rPr>
              <w:t>Haematoma</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21 (12.0)</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0</w:t>
            </w:r>
          </w:p>
        </w:tc>
        <w:tc>
          <w:tcPr>
            <w:tcW w:w="1275"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10 (9.8)</w:t>
            </w:r>
          </w:p>
        </w:tc>
        <w:tc>
          <w:tcPr>
            <w:tcW w:w="1276" w:type="dxa"/>
          </w:tcPr>
          <w:p w:rsidR="005B1DDE" w:rsidRPr="00DC41AF" w:rsidRDefault="005B1DDE" w:rsidP="005B1DDE">
            <w:pPr>
              <w:rPr>
                <w:lang w:val="en-AU"/>
              </w:rPr>
            </w:pPr>
          </w:p>
          <w:p w:rsidR="005B1DDE" w:rsidRPr="00DC41AF" w:rsidRDefault="005B1DDE" w:rsidP="005B1DDE">
            <w:pPr>
              <w:rPr>
                <w:lang w:val="en-AU"/>
              </w:rPr>
            </w:pPr>
            <w:r w:rsidRPr="00DC41AF">
              <w:rPr>
                <w:lang w:val="en-AU"/>
              </w:rPr>
              <w:t>0</w:t>
            </w:r>
          </w:p>
        </w:tc>
      </w:tr>
    </w:tbl>
    <w:p w:rsidR="00F8068F" w:rsidRPr="00DC41AF" w:rsidRDefault="00F8068F" w:rsidP="00DC41AF">
      <w:pPr>
        <w:rPr>
          <w:lang w:val="en-AU"/>
        </w:rPr>
      </w:pPr>
      <w:r w:rsidRPr="00DC41AF">
        <w:rPr>
          <w:lang w:val="en-AU"/>
        </w:rPr>
        <w:t xml:space="preserve">Multiple reports of the same preferred term for a patient are counted only once within each treatment group. Preferred terms were coded using the </w:t>
      </w:r>
      <w:proofErr w:type="spellStart"/>
      <w:r w:rsidRPr="00DC41AF">
        <w:rPr>
          <w:lang w:val="en-AU"/>
        </w:rPr>
        <w:t>MedDRA</w:t>
      </w:r>
      <w:proofErr w:type="spellEnd"/>
      <w:r w:rsidRPr="00DC41AF">
        <w:rPr>
          <w:lang w:val="en-AU"/>
        </w:rPr>
        <w:t xml:space="preserve"> Version 10.0. The severity of the adverse events are graded according </w:t>
      </w:r>
      <w:r w:rsidR="004A185D">
        <w:rPr>
          <w:lang w:val="en-AU"/>
        </w:rPr>
        <w:t>to NCI CTC Version 2.0. Grade 3 = severe; Grade 4 = </w:t>
      </w:r>
      <w:r w:rsidRPr="00DC41AF">
        <w:rPr>
          <w:lang w:val="en-AU"/>
        </w:rPr>
        <w:t>life threatening.</w:t>
      </w:r>
    </w:p>
    <w:p w:rsidR="00F8068F" w:rsidRPr="00DC41AF" w:rsidRDefault="00F8068F" w:rsidP="00DC41AF">
      <w:pPr>
        <w:rPr>
          <w:lang w:val="en-AU"/>
        </w:rPr>
      </w:pPr>
      <w:r w:rsidRPr="00DC41AF">
        <w:rPr>
          <w:lang w:val="en-AU"/>
        </w:rPr>
        <w:t>BSC = Best supportive care</w:t>
      </w:r>
    </w:p>
    <w:p w:rsidR="00F8068F" w:rsidRPr="00DC41AF" w:rsidRDefault="00F8068F" w:rsidP="00DC41AF">
      <w:pPr>
        <w:autoSpaceDE w:val="0"/>
        <w:autoSpaceDN w:val="0"/>
        <w:rPr>
          <w:sz w:val="24"/>
          <w:szCs w:val="24"/>
          <w:lang w:val="en-AU" w:eastAsia="en-GB"/>
        </w:rPr>
      </w:pPr>
      <w:bookmarkStart w:id="2" w:name="OLE_LINK2"/>
    </w:p>
    <w:p w:rsidR="00F8068F" w:rsidRPr="00DC41AF" w:rsidRDefault="00F8068F" w:rsidP="00DC41AF">
      <w:pPr>
        <w:autoSpaceDE w:val="0"/>
        <w:autoSpaceDN w:val="0"/>
        <w:rPr>
          <w:sz w:val="24"/>
          <w:szCs w:val="24"/>
          <w:lang w:val="en-AU" w:eastAsia="en-GB"/>
        </w:rPr>
      </w:pPr>
      <w:r w:rsidRPr="00DC41AF">
        <w:rPr>
          <w:sz w:val="24"/>
          <w:szCs w:val="24"/>
          <w:lang w:val="en-AU" w:eastAsia="en-GB"/>
        </w:rPr>
        <w:t>The adverse reactions for which a causal relationship with azacitidine treatment could reasonably be established are listed below. Frequencies given are based on the observations during the pivotal clinical study or two supporting clinical studies.</w:t>
      </w:r>
    </w:p>
    <w:p w:rsidR="00F8068F" w:rsidRPr="00DC41AF" w:rsidRDefault="00F8068F" w:rsidP="00DC41AF">
      <w:pPr>
        <w:autoSpaceDE w:val="0"/>
        <w:autoSpaceDN w:val="0"/>
        <w:rPr>
          <w:sz w:val="24"/>
          <w:szCs w:val="24"/>
          <w:lang w:val="en-AU" w:eastAsia="en-GB"/>
        </w:rPr>
      </w:pPr>
    </w:p>
    <w:p w:rsidR="00F8068F" w:rsidRPr="00DC41AF" w:rsidRDefault="00F8068F" w:rsidP="00DC41AF">
      <w:pPr>
        <w:rPr>
          <w:sz w:val="24"/>
          <w:szCs w:val="24"/>
          <w:lang w:val="en-AU" w:eastAsia="en-GB"/>
        </w:rPr>
      </w:pPr>
      <w:r w:rsidRPr="00DC41AF">
        <w:rPr>
          <w:sz w:val="24"/>
          <w:szCs w:val="24"/>
          <w:lang w:val="en-AU" w:eastAsia="en-GB"/>
        </w:rPr>
        <w:t xml:space="preserve">Frequencies are defined as: very common (≥ 1/10), common (≥ 1/100 to &lt; 1/10); </w:t>
      </w:r>
      <w:r w:rsidR="004A185D">
        <w:rPr>
          <w:sz w:val="24"/>
          <w:szCs w:val="24"/>
          <w:lang w:val="en-AU" w:eastAsia="en-GB"/>
        </w:rPr>
        <w:t>uncommon (≥ 1/1,000 to &lt; 1/100)</w:t>
      </w:r>
      <w:r w:rsidRPr="00DC41AF">
        <w:rPr>
          <w:sz w:val="24"/>
          <w:szCs w:val="24"/>
          <w:lang w:val="en-AU" w:eastAsia="en-GB"/>
        </w:rPr>
        <w:t>. Within each frequency grouping, undesirable effects are presented in order of decreasing seriousness.</w:t>
      </w:r>
    </w:p>
    <w:p w:rsidR="00174D20" w:rsidRPr="00DC41AF" w:rsidRDefault="00174D20" w:rsidP="00DC41AF">
      <w:pPr>
        <w:rPr>
          <w:sz w:val="24"/>
          <w:szCs w:val="24"/>
          <w:lang w:val="en-AU"/>
        </w:rPr>
      </w:pPr>
    </w:p>
    <w:p w:rsidR="00F8068F" w:rsidRPr="00DC41AF" w:rsidRDefault="00F8068F" w:rsidP="00DC41AF">
      <w:pPr>
        <w:keepNext/>
        <w:rPr>
          <w:b/>
          <w:sz w:val="24"/>
          <w:szCs w:val="24"/>
          <w:u w:val="single"/>
          <w:lang w:val="en-AU"/>
        </w:rPr>
      </w:pPr>
      <w:r w:rsidRPr="00DC41AF">
        <w:rPr>
          <w:b/>
          <w:sz w:val="24"/>
          <w:szCs w:val="24"/>
          <w:u w:val="single"/>
          <w:lang w:val="en-AU"/>
        </w:rPr>
        <w:t>Adverse Drug Reactions (ADRs) observed in patients treated with azacitidine:</w:t>
      </w:r>
    </w:p>
    <w:p w:rsidR="00F8068F" w:rsidRPr="00DC41AF" w:rsidRDefault="00F8068F" w:rsidP="00DC41AF">
      <w:pPr>
        <w:keepNext/>
        <w:spacing w:before="120"/>
        <w:rPr>
          <w:sz w:val="24"/>
          <w:szCs w:val="24"/>
          <w:lang w:val="en-AU"/>
        </w:rPr>
      </w:pPr>
      <w:r w:rsidRPr="00DC41AF">
        <w:rPr>
          <w:b/>
          <w:sz w:val="24"/>
          <w:szCs w:val="24"/>
          <w:lang w:val="en-AU"/>
        </w:rPr>
        <w:t>Infections and infestations</w:t>
      </w:r>
    </w:p>
    <w:p w:rsidR="00F8068F" w:rsidRPr="00DC41AF" w:rsidRDefault="00F8068F" w:rsidP="00DC41AF">
      <w:pPr>
        <w:tabs>
          <w:tab w:val="left" w:pos="1701"/>
        </w:tabs>
        <w:ind w:left="1701" w:hanging="1701"/>
        <w:rPr>
          <w:sz w:val="24"/>
          <w:szCs w:val="24"/>
          <w:lang w:val="en-AU"/>
        </w:rPr>
      </w:pPr>
      <w:r w:rsidRPr="00DC41AF">
        <w:rPr>
          <w:sz w:val="24"/>
          <w:szCs w:val="24"/>
          <w:lang w:val="en-AU"/>
        </w:rPr>
        <w:t>Very Common:</w:t>
      </w:r>
      <w:r w:rsidRPr="00DC41AF">
        <w:rPr>
          <w:sz w:val="24"/>
          <w:szCs w:val="24"/>
          <w:lang w:val="en-AU"/>
        </w:rPr>
        <w:tab/>
        <w:t xml:space="preserve">pneumonia, </w:t>
      </w:r>
      <w:proofErr w:type="spellStart"/>
      <w:r w:rsidRPr="00DC41AF">
        <w:rPr>
          <w:sz w:val="24"/>
          <w:szCs w:val="24"/>
          <w:lang w:val="en-AU"/>
        </w:rPr>
        <w:t>nasopharyngitis</w:t>
      </w:r>
      <w:proofErr w:type="spellEnd"/>
    </w:p>
    <w:p w:rsidR="00F8068F" w:rsidRPr="00DC41AF" w:rsidRDefault="00F8068F" w:rsidP="00DC41AF">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r>
      <w:proofErr w:type="spellStart"/>
      <w:r w:rsidRPr="00DC41AF">
        <w:rPr>
          <w:sz w:val="24"/>
          <w:szCs w:val="24"/>
          <w:lang w:val="en-AU"/>
        </w:rPr>
        <w:t>neutropenic</w:t>
      </w:r>
      <w:proofErr w:type="spellEnd"/>
      <w:r w:rsidRPr="00DC41AF">
        <w:rPr>
          <w:sz w:val="24"/>
          <w:szCs w:val="24"/>
          <w:lang w:val="en-AU"/>
        </w:rPr>
        <w:t xml:space="preserve"> sepsis, upper respiratory tract infection, urinary tract infection, sinusitis, </w:t>
      </w:r>
      <w:proofErr w:type="spellStart"/>
      <w:r w:rsidRPr="00DC41AF">
        <w:rPr>
          <w:sz w:val="24"/>
          <w:szCs w:val="24"/>
          <w:lang w:val="en-AU"/>
        </w:rPr>
        <w:t>pharyngitis</w:t>
      </w:r>
      <w:proofErr w:type="spellEnd"/>
      <w:r w:rsidRPr="00DC41AF">
        <w:rPr>
          <w:sz w:val="24"/>
          <w:szCs w:val="24"/>
          <w:lang w:val="en-AU"/>
        </w:rPr>
        <w:t>, rhinitis, herpes simplex</w:t>
      </w:r>
    </w:p>
    <w:p w:rsidR="00F8068F" w:rsidRPr="00DC41AF" w:rsidRDefault="00F8068F" w:rsidP="00DC41AF">
      <w:pPr>
        <w:rPr>
          <w:sz w:val="24"/>
          <w:szCs w:val="24"/>
          <w:lang w:val="en-AU"/>
        </w:rPr>
      </w:pPr>
    </w:p>
    <w:p w:rsidR="00F8068F" w:rsidRPr="00DC41AF" w:rsidRDefault="00F8068F" w:rsidP="00DC41AF">
      <w:pPr>
        <w:keepNext/>
        <w:tabs>
          <w:tab w:val="left" w:pos="1701"/>
        </w:tabs>
        <w:ind w:left="1701" w:hanging="1701"/>
        <w:rPr>
          <w:b/>
          <w:sz w:val="24"/>
          <w:szCs w:val="24"/>
          <w:lang w:val="en-AU"/>
        </w:rPr>
      </w:pPr>
      <w:r w:rsidRPr="00DC41AF">
        <w:rPr>
          <w:b/>
          <w:sz w:val="24"/>
          <w:szCs w:val="24"/>
          <w:lang w:val="en-AU"/>
        </w:rPr>
        <w:t>Blood and lymphatic system disorders</w:t>
      </w:r>
    </w:p>
    <w:p w:rsidR="00F8068F" w:rsidRPr="00DC41AF" w:rsidRDefault="00F8068F" w:rsidP="00DC41AF">
      <w:pPr>
        <w:tabs>
          <w:tab w:val="left" w:pos="1701"/>
        </w:tabs>
        <w:ind w:left="1701" w:hanging="1701"/>
        <w:rPr>
          <w:sz w:val="24"/>
          <w:szCs w:val="24"/>
          <w:lang w:val="en-AU"/>
        </w:rPr>
      </w:pPr>
      <w:r w:rsidRPr="00DC41AF">
        <w:rPr>
          <w:sz w:val="24"/>
          <w:szCs w:val="24"/>
          <w:lang w:val="en-AU"/>
        </w:rPr>
        <w:t>Very Common:</w:t>
      </w:r>
      <w:r w:rsidRPr="00DC41AF">
        <w:rPr>
          <w:sz w:val="24"/>
          <w:szCs w:val="24"/>
          <w:lang w:val="en-AU"/>
        </w:rPr>
        <w:tab/>
        <w:t xml:space="preserve">febrile </w:t>
      </w:r>
      <w:proofErr w:type="spellStart"/>
      <w:r w:rsidRPr="00DC41AF">
        <w:rPr>
          <w:sz w:val="24"/>
          <w:szCs w:val="24"/>
          <w:lang w:val="en-AU"/>
        </w:rPr>
        <w:t>neutropenia</w:t>
      </w:r>
      <w:proofErr w:type="spellEnd"/>
      <w:r w:rsidRPr="00DC41AF">
        <w:rPr>
          <w:sz w:val="24"/>
          <w:szCs w:val="24"/>
          <w:lang w:val="en-AU"/>
        </w:rPr>
        <w:t xml:space="preserve">, </w:t>
      </w:r>
      <w:proofErr w:type="spellStart"/>
      <w:r w:rsidRPr="00DC41AF">
        <w:rPr>
          <w:sz w:val="24"/>
          <w:szCs w:val="24"/>
          <w:lang w:val="en-AU"/>
        </w:rPr>
        <w:t>neutropenia</w:t>
      </w:r>
      <w:proofErr w:type="spellEnd"/>
      <w:r w:rsidRPr="00DC41AF">
        <w:rPr>
          <w:sz w:val="24"/>
          <w:szCs w:val="24"/>
          <w:lang w:val="en-AU"/>
        </w:rPr>
        <w:t xml:space="preserve">, </w:t>
      </w:r>
      <w:proofErr w:type="spellStart"/>
      <w:r w:rsidRPr="00DC41AF">
        <w:rPr>
          <w:sz w:val="24"/>
          <w:szCs w:val="24"/>
          <w:lang w:val="en-AU"/>
        </w:rPr>
        <w:t>leukopenia</w:t>
      </w:r>
      <w:proofErr w:type="spellEnd"/>
      <w:r w:rsidRPr="00DC41AF">
        <w:rPr>
          <w:sz w:val="24"/>
          <w:szCs w:val="24"/>
          <w:lang w:val="en-AU"/>
        </w:rPr>
        <w:t>, thrombocytopenia, anaemia</w:t>
      </w:r>
    </w:p>
    <w:p w:rsidR="00F8068F" w:rsidRPr="00DC41AF" w:rsidRDefault="00F8068F" w:rsidP="00DC41AF">
      <w:pPr>
        <w:tabs>
          <w:tab w:val="left" w:pos="1701"/>
        </w:tabs>
        <w:ind w:left="1701" w:hanging="1701"/>
        <w:rPr>
          <w:sz w:val="24"/>
          <w:szCs w:val="24"/>
          <w:lang w:val="en-AU"/>
        </w:rPr>
      </w:pPr>
      <w:r w:rsidRPr="00DC41AF">
        <w:rPr>
          <w:sz w:val="24"/>
          <w:szCs w:val="24"/>
          <w:lang w:val="en-AU"/>
        </w:rPr>
        <w:lastRenderedPageBreak/>
        <w:t>Common:</w:t>
      </w:r>
      <w:r w:rsidRPr="00DC41AF">
        <w:rPr>
          <w:sz w:val="24"/>
          <w:szCs w:val="24"/>
          <w:lang w:val="en-AU"/>
        </w:rPr>
        <w:tab/>
        <w:t xml:space="preserve">bone marrow failure, </w:t>
      </w:r>
      <w:proofErr w:type="spellStart"/>
      <w:r w:rsidRPr="00DC41AF">
        <w:rPr>
          <w:sz w:val="24"/>
          <w:szCs w:val="24"/>
          <w:lang w:val="en-AU"/>
        </w:rPr>
        <w:t>pancytopenia</w:t>
      </w:r>
      <w:proofErr w:type="spellEnd"/>
    </w:p>
    <w:p w:rsidR="00F8068F" w:rsidRPr="00DC41AF" w:rsidRDefault="00F8068F" w:rsidP="00F8068F">
      <w:pPr>
        <w:rPr>
          <w:sz w:val="24"/>
          <w:szCs w:val="24"/>
          <w:lang w:val="en-AU"/>
        </w:rPr>
      </w:pPr>
    </w:p>
    <w:p w:rsidR="00F8068F" w:rsidRPr="00DC41AF" w:rsidRDefault="004A185D" w:rsidP="006F3009">
      <w:pPr>
        <w:keepNext/>
        <w:tabs>
          <w:tab w:val="left" w:pos="1701"/>
        </w:tabs>
        <w:ind w:left="1701" w:hanging="1701"/>
        <w:rPr>
          <w:b/>
          <w:sz w:val="24"/>
          <w:szCs w:val="24"/>
          <w:lang w:val="en-AU"/>
        </w:rPr>
      </w:pPr>
      <w:r>
        <w:rPr>
          <w:b/>
          <w:sz w:val="24"/>
          <w:szCs w:val="24"/>
          <w:lang w:val="en-AU"/>
        </w:rPr>
        <w:t>Immune system disorders</w:t>
      </w:r>
    </w:p>
    <w:p w:rsidR="00F8068F" w:rsidRPr="00DC41AF" w:rsidRDefault="00F8068F" w:rsidP="00F8068F">
      <w:pPr>
        <w:tabs>
          <w:tab w:val="left" w:pos="1701"/>
        </w:tabs>
        <w:ind w:left="1701" w:hanging="1701"/>
        <w:rPr>
          <w:sz w:val="24"/>
          <w:szCs w:val="24"/>
          <w:lang w:val="en-AU"/>
        </w:rPr>
      </w:pPr>
      <w:r w:rsidRPr="00DC41AF">
        <w:rPr>
          <w:sz w:val="24"/>
          <w:szCs w:val="24"/>
          <w:lang w:val="en-AU"/>
        </w:rPr>
        <w:t>Uncommon:</w:t>
      </w:r>
      <w:r w:rsidRPr="00DC41AF">
        <w:rPr>
          <w:sz w:val="24"/>
          <w:szCs w:val="24"/>
          <w:lang w:val="en-AU"/>
        </w:rPr>
        <w:tab/>
        <w:t>hypersensitivity reactions</w:t>
      </w:r>
    </w:p>
    <w:p w:rsidR="00F8068F" w:rsidRPr="00DC41AF" w:rsidRDefault="00F8068F" w:rsidP="00F8068F">
      <w:pPr>
        <w:rPr>
          <w:sz w:val="24"/>
          <w:szCs w:val="24"/>
          <w:lang w:val="en-AU"/>
        </w:rPr>
      </w:pPr>
    </w:p>
    <w:p w:rsidR="00F8068F" w:rsidRPr="00DC41AF" w:rsidRDefault="00F8068F" w:rsidP="006F3009">
      <w:pPr>
        <w:keepNext/>
        <w:tabs>
          <w:tab w:val="left" w:pos="1701"/>
        </w:tabs>
        <w:ind w:left="1701" w:hanging="1701"/>
        <w:rPr>
          <w:b/>
          <w:sz w:val="24"/>
          <w:szCs w:val="24"/>
          <w:lang w:val="en-AU"/>
        </w:rPr>
      </w:pPr>
      <w:r w:rsidRPr="00DC41AF">
        <w:rPr>
          <w:b/>
          <w:sz w:val="24"/>
          <w:szCs w:val="24"/>
          <w:lang w:val="en-AU"/>
        </w:rPr>
        <w:t>Metabolism and nutrition disorders</w:t>
      </w:r>
    </w:p>
    <w:p w:rsidR="00F8068F" w:rsidRPr="00DC41AF" w:rsidRDefault="00F8068F" w:rsidP="00F8068F">
      <w:pPr>
        <w:tabs>
          <w:tab w:val="left" w:pos="1701"/>
        </w:tabs>
        <w:ind w:left="1701" w:hanging="1701"/>
        <w:rPr>
          <w:sz w:val="24"/>
          <w:szCs w:val="24"/>
          <w:lang w:val="en-AU"/>
        </w:rPr>
      </w:pPr>
      <w:r w:rsidRPr="00DC41AF">
        <w:rPr>
          <w:sz w:val="24"/>
          <w:szCs w:val="24"/>
          <w:lang w:val="en-AU"/>
        </w:rPr>
        <w:t>Very Common:</w:t>
      </w:r>
      <w:r w:rsidRPr="00DC41AF">
        <w:rPr>
          <w:sz w:val="24"/>
          <w:szCs w:val="24"/>
          <w:lang w:val="en-AU"/>
        </w:rPr>
        <w:tab/>
        <w:t>anorexia</w:t>
      </w:r>
    </w:p>
    <w:p w:rsidR="00F8068F" w:rsidRPr="00DC41AF" w:rsidRDefault="00F8068F" w:rsidP="00F8068F">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r>
      <w:proofErr w:type="spellStart"/>
      <w:r w:rsidRPr="00DC41AF">
        <w:rPr>
          <w:sz w:val="24"/>
          <w:szCs w:val="24"/>
          <w:lang w:val="en-AU"/>
        </w:rPr>
        <w:t>hypokalemia</w:t>
      </w:r>
      <w:proofErr w:type="spellEnd"/>
    </w:p>
    <w:p w:rsidR="00F8068F" w:rsidRPr="00DC41AF" w:rsidRDefault="00F8068F" w:rsidP="00F8068F">
      <w:pPr>
        <w:tabs>
          <w:tab w:val="left" w:pos="1701"/>
        </w:tabs>
        <w:rPr>
          <w:sz w:val="24"/>
          <w:szCs w:val="24"/>
          <w:lang w:val="en-AU"/>
        </w:rPr>
      </w:pPr>
    </w:p>
    <w:p w:rsidR="00F8068F" w:rsidRPr="00DC41AF" w:rsidRDefault="00F8068F" w:rsidP="006F3009">
      <w:pPr>
        <w:keepNext/>
        <w:tabs>
          <w:tab w:val="left" w:pos="1701"/>
        </w:tabs>
        <w:rPr>
          <w:sz w:val="24"/>
          <w:szCs w:val="24"/>
          <w:lang w:val="en-AU"/>
        </w:rPr>
      </w:pPr>
      <w:r w:rsidRPr="00DC41AF">
        <w:rPr>
          <w:b/>
          <w:sz w:val="24"/>
          <w:szCs w:val="24"/>
          <w:lang w:val="en-AU"/>
        </w:rPr>
        <w:t>Psychiatric disorders</w:t>
      </w:r>
    </w:p>
    <w:p w:rsidR="00F8068F" w:rsidRPr="00DC41AF" w:rsidRDefault="00F8068F" w:rsidP="00F8068F">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r>
      <w:proofErr w:type="spellStart"/>
      <w:r w:rsidRPr="00DC41AF">
        <w:rPr>
          <w:sz w:val="24"/>
          <w:szCs w:val="24"/>
          <w:lang w:val="en-AU"/>
        </w:rPr>
        <w:t>confusional</w:t>
      </w:r>
      <w:proofErr w:type="spellEnd"/>
      <w:r w:rsidRPr="00DC41AF">
        <w:rPr>
          <w:sz w:val="24"/>
          <w:szCs w:val="24"/>
          <w:lang w:val="en-AU"/>
        </w:rPr>
        <w:t xml:space="preserve"> state, anxiety, insomnia</w:t>
      </w:r>
    </w:p>
    <w:p w:rsidR="00F8068F" w:rsidRPr="00DC41AF" w:rsidRDefault="00F8068F" w:rsidP="00F8068F">
      <w:pPr>
        <w:tabs>
          <w:tab w:val="left" w:pos="1701"/>
        </w:tabs>
        <w:rPr>
          <w:sz w:val="24"/>
          <w:szCs w:val="24"/>
          <w:lang w:val="en-AU"/>
        </w:rPr>
      </w:pPr>
    </w:p>
    <w:p w:rsidR="00F8068F" w:rsidRPr="00DC41AF" w:rsidRDefault="00F8068F" w:rsidP="006F3009">
      <w:pPr>
        <w:keepNext/>
        <w:tabs>
          <w:tab w:val="left" w:pos="1701"/>
        </w:tabs>
        <w:rPr>
          <w:sz w:val="24"/>
          <w:szCs w:val="24"/>
          <w:lang w:val="en-AU"/>
        </w:rPr>
      </w:pPr>
      <w:r w:rsidRPr="00DC41AF">
        <w:rPr>
          <w:b/>
          <w:sz w:val="24"/>
          <w:szCs w:val="24"/>
          <w:lang w:val="en-AU"/>
        </w:rPr>
        <w:t>Nervous system disorders</w:t>
      </w:r>
    </w:p>
    <w:p w:rsidR="00F8068F" w:rsidRPr="00DC41AF" w:rsidRDefault="00F8068F" w:rsidP="00F8068F">
      <w:pPr>
        <w:tabs>
          <w:tab w:val="left" w:pos="1701"/>
        </w:tabs>
        <w:ind w:left="1701" w:hanging="1701"/>
        <w:rPr>
          <w:sz w:val="24"/>
          <w:szCs w:val="24"/>
          <w:lang w:val="en-AU"/>
        </w:rPr>
      </w:pPr>
      <w:r w:rsidRPr="00DC41AF">
        <w:rPr>
          <w:sz w:val="24"/>
          <w:szCs w:val="24"/>
          <w:lang w:val="en-AU"/>
        </w:rPr>
        <w:t>Very Common:</w:t>
      </w:r>
      <w:r w:rsidRPr="00DC41AF">
        <w:rPr>
          <w:sz w:val="24"/>
          <w:szCs w:val="24"/>
          <w:lang w:val="en-AU"/>
        </w:rPr>
        <w:tab/>
        <w:t>dizziness, headache</w:t>
      </w:r>
    </w:p>
    <w:p w:rsidR="00F8068F" w:rsidRPr="00DC41AF" w:rsidRDefault="00F8068F" w:rsidP="00F8068F">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t>intracranial haemorrhage, lethargy</w:t>
      </w:r>
    </w:p>
    <w:p w:rsidR="00F8068F" w:rsidRPr="00DC41AF" w:rsidRDefault="00F8068F" w:rsidP="00F8068F">
      <w:pPr>
        <w:tabs>
          <w:tab w:val="left" w:pos="1701"/>
        </w:tabs>
        <w:rPr>
          <w:sz w:val="24"/>
          <w:szCs w:val="24"/>
          <w:lang w:val="en-AU"/>
        </w:rPr>
      </w:pPr>
    </w:p>
    <w:p w:rsidR="00F8068F" w:rsidRPr="00DC41AF" w:rsidRDefault="00F8068F" w:rsidP="006F3009">
      <w:pPr>
        <w:keepNext/>
        <w:tabs>
          <w:tab w:val="left" w:pos="1701"/>
        </w:tabs>
        <w:rPr>
          <w:sz w:val="24"/>
          <w:szCs w:val="24"/>
          <w:lang w:val="en-AU"/>
        </w:rPr>
      </w:pPr>
      <w:r w:rsidRPr="00DC41AF">
        <w:rPr>
          <w:b/>
          <w:sz w:val="24"/>
          <w:szCs w:val="24"/>
          <w:lang w:val="en-AU"/>
        </w:rPr>
        <w:t>Eye disorders</w:t>
      </w:r>
    </w:p>
    <w:p w:rsidR="00F8068F" w:rsidRPr="00DC41AF" w:rsidRDefault="00F8068F" w:rsidP="00F8068F">
      <w:pPr>
        <w:tabs>
          <w:tab w:val="left" w:pos="1701"/>
        </w:tabs>
        <w:rPr>
          <w:sz w:val="24"/>
          <w:szCs w:val="24"/>
          <w:lang w:val="en-AU"/>
        </w:rPr>
      </w:pPr>
      <w:r w:rsidRPr="00DC41AF">
        <w:rPr>
          <w:sz w:val="24"/>
          <w:szCs w:val="24"/>
          <w:lang w:val="en-AU"/>
        </w:rPr>
        <w:t>Common:</w:t>
      </w:r>
      <w:r w:rsidRPr="00DC41AF">
        <w:rPr>
          <w:sz w:val="24"/>
          <w:szCs w:val="24"/>
          <w:lang w:val="en-AU"/>
        </w:rPr>
        <w:tab/>
        <w:t xml:space="preserve">eye haemorrhage, </w:t>
      </w:r>
      <w:proofErr w:type="spellStart"/>
      <w:r w:rsidRPr="00DC41AF">
        <w:rPr>
          <w:sz w:val="24"/>
          <w:szCs w:val="24"/>
          <w:lang w:val="en-AU"/>
        </w:rPr>
        <w:t>conjunctival</w:t>
      </w:r>
      <w:proofErr w:type="spellEnd"/>
      <w:r w:rsidRPr="00DC41AF">
        <w:rPr>
          <w:sz w:val="24"/>
          <w:szCs w:val="24"/>
          <w:lang w:val="en-AU"/>
        </w:rPr>
        <w:t xml:space="preserve"> haemorrhage</w:t>
      </w:r>
    </w:p>
    <w:p w:rsidR="00F8068F" w:rsidRPr="00DC41AF" w:rsidRDefault="00F8068F" w:rsidP="00F8068F">
      <w:pPr>
        <w:tabs>
          <w:tab w:val="left" w:pos="1701"/>
        </w:tabs>
        <w:rPr>
          <w:sz w:val="24"/>
          <w:szCs w:val="24"/>
          <w:lang w:val="en-AU"/>
        </w:rPr>
      </w:pPr>
    </w:p>
    <w:p w:rsidR="00F8068F" w:rsidRPr="00DC41AF" w:rsidRDefault="00F8068F" w:rsidP="006F3009">
      <w:pPr>
        <w:keepNext/>
        <w:tabs>
          <w:tab w:val="left" w:pos="1701"/>
        </w:tabs>
        <w:rPr>
          <w:sz w:val="24"/>
          <w:szCs w:val="24"/>
          <w:lang w:val="en-AU"/>
        </w:rPr>
      </w:pPr>
      <w:r w:rsidRPr="00DC41AF">
        <w:rPr>
          <w:b/>
          <w:sz w:val="24"/>
          <w:szCs w:val="24"/>
          <w:lang w:val="en-AU"/>
        </w:rPr>
        <w:t>Vascular disorders</w:t>
      </w:r>
    </w:p>
    <w:p w:rsidR="00F8068F" w:rsidRPr="00DC41AF" w:rsidRDefault="00F8068F" w:rsidP="00F8068F">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t>hypertension, hypotension, haematoma</w:t>
      </w:r>
    </w:p>
    <w:p w:rsidR="00F8068F" w:rsidRPr="00DC41AF" w:rsidRDefault="00F8068F" w:rsidP="00F8068F">
      <w:pPr>
        <w:tabs>
          <w:tab w:val="left" w:pos="1701"/>
        </w:tabs>
        <w:rPr>
          <w:sz w:val="24"/>
          <w:szCs w:val="24"/>
          <w:lang w:val="en-AU"/>
        </w:rPr>
      </w:pPr>
    </w:p>
    <w:p w:rsidR="00F8068F" w:rsidRPr="00DC41AF" w:rsidRDefault="00F8068F" w:rsidP="006F3009">
      <w:pPr>
        <w:keepNext/>
        <w:tabs>
          <w:tab w:val="left" w:pos="1701"/>
        </w:tabs>
        <w:rPr>
          <w:sz w:val="24"/>
          <w:szCs w:val="24"/>
          <w:lang w:val="en-AU"/>
        </w:rPr>
      </w:pPr>
      <w:r w:rsidRPr="00DC41AF">
        <w:rPr>
          <w:b/>
          <w:sz w:val="24"/>
          <w:szCs w:val="24"/>
          <w:lang w:val="en-AU"/>
        </w:rPr>
        <w:t xml:space="preserve">Respiratory, thoracic and </w:t>
      </w:r>
      <w:proofErr w:type="spellStart"/>
      <w:r w:rsidRPr="00DC41AF">
        <w:rPr>
          <w:b/>
          <w:sz w:val="24"/>
          <w:szCs w:val="24"/>
          <w:lang w:val="en-AU"/>
        </w:rPr>
        <w:t>mediastinal</w:t>
      </w:r>
      <w:proofErr w:type="spellEnd"/>
      <w:r w:rsidRPr="00DC41AF">
        <w:rPr>
          <w:b/>
          <w:sz w:val="24"/>
          <w:szCs w:val="24"/>
          <w:lang w:val="en-AU"/>
        </w:rPr>
        <w:t xml:space="preserve"> disorders</w:t>
      </w:r>
    </w:p>
    <w:p w:rsidR="00F8068F" w:rsidRPr="00DC41AF" w:rsidRDefault="00F8068F" w:rsidP="00F8068F">
      <w:pPr>
        <w:tabs>
          <w:tab w:val="left" w:pos="1701"/>
        </w:tabs>
        <w:ind w:left="1701" w:hanging="1701"/>
        <w:rPr>
          <w:sz w:val="24"/>
          <w:szCs w:val="24"/>
          <w:lang w:val="en-AU"/>
        </w:rPr>
      </w:pPr>
      <w:r w:rsidRPr="00DC41AF">
        <w:rPr>
          <w:sz w:val="24"/>
          <w:szCs w:val="24"/>
          <w:lang w:val="en-AU"/>
        </w:rPr>
        <w:t>Very Common:</w:t>
      </w:r>
      <w:r w:rsidRPr="00DC41AF">
        <w:rPr>
          <w:sz w:val="24"/>
          <w:szCs w:val="24"/>
          <w:lang w:val="en-AU"/>
        </w:rPr>
        <w:tab/>
        <w:t>dyspnoea</w:t>
      </w:r>
    </w:p>
    <w:p w:rsidR="00F8068F" w:rsidRPr="00DC41AF" w:rsidRDefault="00F8068F" w:rsidP="00F8068F">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t xml:space="preserve">dyspnoea </w:t>
      </w:r>
      <w:proofErr w:type="spellStart"/>
      <w:r w:rsidRPr="00DC41AF">
        <w:rPr>
          <w:sz w:val="24"/>
          <w:szCs w:val="24"/>
          <w:lang w:val="en-AU"/>
        </w:rPr>
        <w:t>exertional</w:t>
      </w:r>
      <w:proofErr w:type="spellEnd"/>
      <w:r w:rsidRPr="00DC41AF">
        <w:rPr>
          <w:sz w:val="24"/>
          <w:szCs w:val="24"/>
          <w:lang w:val="en-AU"/>
        </w:rPr>
        <w:t xml:space="preserve">, </w:t>
      </w:r>
      <w:proofErr w:type="spellStart"/>
      <w:r w:rsidRPr="00DC41AF">
        <w:rPr>
          <w:sz w:val="24"/>
          <w:szCs w:val="24"/>
          <w:lang w:val="en-AU"/>
        </w:rPr>
        <w:t>pharyngolaryngeal</w:t>
      </w:r>
      <w:proofErr w:type="spellEnd"/>
      <w:r w:rsidRPr="00DC41AF">
        <w:rPr>
          <w:sz w:val="24"/>
          <w:szCs w:val="24"/>
          <w:lang w:val="en-AU"/>
        </w:rPr>
        <w:t xml:space="preserve"> pain</w:t>
      </w:r>
    </w:p>
    <w:p w:rsidR="00F8068F" w:rsidRPr="00DC41AF" w:rsidRDefault="00F8068F" w:rsidP="00F8068F">
      <w:pPr>
        <w:tabs>
          <w:tab w:val="left" w:pos="1701"/>
        </w:tabs>
        <w:rPr>
          <w:sz w:val="24"/>
          <w:szCs w:val="24"/>
          <w:lang w:val="en-AU"/>
        </w:rPr>
      </w:pPr>
    </w:p>
    <w:p w:rsidR="00F8068F" w:rsidRPr="00DC41AF" w:rsidRDefault="00F8068F" w:rsidP="006F3009">
      <w:pPr>
        <w:keepNext/>
        <w:tabs>
          <w:tab w:val="left" w:pos="1701"/>
        </w:tabs>
        <w:rPr>
          <w:sz w:val="24"/>
          <w:szCs w:val="24"/>
          <w:lang w:val="en-AU"/>
        </w:rPr>
      </w:pPr>
      <w:r w:rsidRPr="00DC41AF">
        <w:rPr>
          <w:b/>
          <w:sz w:val="24"/>
          <w:szCs w:val="24"/>
          <w:lang w:val="en-AU"/>
        </w:rPr>
        <w:t>Gastrointestinal disorders</w:t>
      </w:r>
    </w:p>
    <w:p w:rsidR="00F8068F" w:rsidRPr="00DC41AF" w:rsidRDefault="00F8068F" w:rsidP="00F8068F">
      <w:pPr>
        <w:tabs>
          <w:tab w:val="left" w:pos="1701"/>
        </w:tabs>
        <w:ind w:left="1701" w:hanging="1701"/>
        <w:rPr>
          <w:sz w:val="24"/>
          <w:szCs w:val="24"/>
          <w:lang w:val="en-AU"/>
        </w:rPr>
      </w:pPr>
      <w:r w:rsidRPr="00DC41AF">
        <w:rPr>
          <w:sz w:val="24"/>
          <w:szCs w:val="24"/>
          <w:lang w:val="en-AU"/>
        </w:rPr>
        <w:t>Very Common:</w:t>
      </w:r>
      <w:r w:rsidRPr="00DC41AF">
        <w:rPr>
          <w:sz w:val="24"/>
          <w:szCs w:val="24"/>
          <w:lang w:val="en-AU"/>
        </w:rPr>
        <w:tab/>
        <w:t>diarrhoea, vomiting, constipation, nausea, abdominal pain</w:t>
      </w:r>
    </w:p>
    <w:p w:rsidR="00F8068F" w:rsidRPr="00DC41AF" w:rsidRDefault="00F8068F" w:rsidP="00F8068F">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t xml:space="preserve">gastrointestinal haemorrhage, haemorrhoidal haemorrhage, </w:t>
      </w:r>
      <w:proofErr w:type="spellStart"/>
      <w:r w:rsidRPr="00DC41AF">
        <w:rPr>
          <w:sz w:val="24"/>
          <w:szCs w:val="24"/>
          <w:lang w:val="en-AU"/>
        </w:rPr>
        <w:t>stomatitis</w:t>
      </w:r>
      <w:proofErr w:type="spellEnd"/>
      <w:r w:rsidRPr="00DC41AF">
        <w:rPr>
          <w:sz w:val="24"/>
          <w:szCs w:val="24"/>
          <w:lang w:val="en-AU"/>
        </w:rPr>
        <w:t>, gingival bleeding, dyspepsia</w:t>
      </w:r>
    </w:p>
    <w:p w:rsidR="00F8068F" w:rsidRPr="00DC41AF" w:rsidRDefault="00F8068F" w:rsidP="00F8068F">
      <w:pPr>
        <w:pStyle w:val="EndnoteText"/>
        <w:tabs>
          <w:tab w:val="clear" w:pos="567"/>
        </w:tabs>
        <w:rPr>
          <w:sz w:val="24"/>
          <w:szCs w:val="24"/>
          <w:lang w:val="en-AU"/>
        </w:rPr>
      </w:pPr>
    </w:p>
    <w:p w:rsidR="00F8068F" w:rsidRPr="00DC41AF" w:rsidRDefault="00F8068F" w:rsidP="006F3009">
      <w:pPr>
        <w:pStyle w:val="EndnoteText"/>
        <w:keepNext/>
        <w:widowControl/>
        <w:tabs>
          <w:tab w:val="clear" w:pos="567"/>
        </w:tabs>
        <w:rPr>
          <w:sz w:val="24"/>
          <w:szCs w:val="24"/>
          <w:lang w:val="en-AU"/>
        </w:rPr>
      </w:pPr>
      <w:r w:rsidRPr="00DC41AF">
        <w:rPr>
          <w:b/>
          <w:sz w:val="24"/>
          <w:szCs w:val="24"/>
          <w:lang w:val="en-AU"/>
        </w:rPr>
        <w:t>Skin and subcutaneous tissue disorders</w:t>
      </w:r>
    </w:p>
    <w:p w:rsidR="00F8068F" w:rsidRPr="00DC41AF" w:rsidRDefault="00F8068F" w:rsidP="00F8068F">
      <w:pPr>
        <w:tabs>
          <w:tab w:val="left" w:pos="1701"/>
        </w:tabs>
        <w:ind w:left="1701" w:hanging="1701"/>
        <w:rPr>
          <w:sz w:val="24"/>
          <w:szCs w:val="24"/>
          <w:lang w:val="en-AU"/>
        </w:rPr>
      </w:pPr>
      <w:r w:rsidRPr="00DC41AF">
        <w:rPr>
          <w:sz w:val="24"/>
          <w:szCs w:val="24"/>
          <w:lang w:val="en-AU"/>
        </w:rPr>
        <w:t>Very Common:</w:t>
      </w:r>
      <w:r w:rsidRPr="00DC41AF">
        <w:rPr>
          <w:sz w:val="24"/>
          <w:szCs w:val="24"/>
          <w:lang w:val="en-AU"/>
        </w:rPr>
        <w:tab/>
      </w:r>
      <w:proofErr w:type="spellStart"/>
      <w:r w:rsidRPr="00DC41AF">
        <w:rPr>
          <w:sz w:val="24"/>
          <w:szCs w:val="24"/>
          <w:lang w:val="en-AU"/>
        </w:rPr>
        <w:t>petechiae</w:t>
      </w:r>
      <w:proofErr w:type="spellEnd"/>
      <w:r w:rsidRPr="00DC41AF">
        <w:rPr>
          <w:sz w:val="24"/>
          <w:szCs w:val="24"/>
          <w:lang w:val="en-AU"/>
        </w:rPr>
        <w:t xml:space="preserve">, </w:t>
      </w:r>
      <w:proofErr w:type="spellStart"/>
      <w:r w:rsidRPr="00DC41AF">
        <w:rPr>
          <w:sz w:val="24"/>
          <w:szCs w:val="24"/>
          <w:lang w:val="en-AU"/>
        </w:rPr>
        <w:t>pruritus</w:t>
      </w:r>
      <w:proofErr w:type="spellEnd"/>
      <w:r w:rsidRPr="00DC41AF">
        <w:rPr>
          <w:sz w:val="24"/>
          <w:szCs w:val="24"/>
          <w:lang w:val="en-AU"/>
        </w:rPr>
        <w:t xml:space="preserve">, rash, </w:t>
      </w:r>
      <w:proofErr w:type="spellStart"/>
      <w:r w:rsidRPr="00DC41AF">
        <w:rPr>
          <w:sz w:val="24"/>
          <w:szCs w:val="24"/>
          <w:lang w:val="en-AU"/>
        </w:rPr>
        <w:t>ecchymosis</w:t>
      </w:r>
      <w:proofErr w:type="spellEnd"/>
    </w:p>
    <w:p w:rsidR="00F8068F" w:rsidRPr="00DC41AF" w:rsidRDefault="00F8068F" w:rsidP="00F8068F">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r>
      <w:proofErr w:type="spellStart"/>
      <w:r w:rsidRPr="00DC41AF">
        <w:rPr>
          <w:sz w:val="24"/>
          <w:szCs w:val="24"/>
          <w:lang w:val="en-AU"/>
        </w:rPr>
        <w:t>purpura</w:t>
      </w:r>
      <w:proofErr w:type="spellEnd"/>
      <w:r w:rsidRPr="00DC41AF">
        <w:rPr>
          <w:sz w:val="24"/>
          <w:szCs w:val="24"/>
          <w:lang w:val="en-AU"/>
        </w:rPr>
        <w:t xml:space="preserve">, alopecia, </w:t>
      </w:r>
      <w:proofErr w:type="spellStart"/>
      <w:r w:rsidRPr="00DC41AF">
        <w:rPr>
          <w:sz w:val="24"/>
          <w:szCs w:val="24"/>
          <w:lang w:val="en-AU"/>
        </w:rPr>
        <w:t>erythema</w:t>
      </w:r>
      <w:proofErr w:type="spellEnd"/>
      <w:r w:rsidRPr="00DC41AF">
        <w:rPr>
          <w:sz w:val="24"/>
          <w:szCs w:val="24"/>
          <w:lang w:val="en-AU"/>
        </w:rPr>
        <w:t>, rash macular</w:t>
      </w:r>
    </w:p>
    <w:p w:rsidR="00F8068F" w:rsidRPr="00DC41AF" w:rsidRDefault="00F8068F" w:rsidP="00F8068F">
      <w:pPr>
        <w:pStyle w:val="EndnoteText"/>
        <w:tabs>
          <w:tab w:val="clear" w:pos="567"/>
        </w:tabs>
        <w:rPr>
          <w:sz w:val="24"/>
          <w:szCs w:val="24"/>
          <w:lang w:val="en-AU"/>
        </w:rPr>
      </w:pPr>
    </w:p>
    <w:p w:rsidR="00F8068F" w:rsidRPr="00DC41AF" w:rsidRDefault="00F8068F" w:rsidP="006F3009">
      <w:pPr>
        <w:pStyle w:val="EndnoteText"/>
        <w:keepNext/>
        <w:widowControl/>
        <w:tabs>
          <w:tab w:val="clear" w:pos="567"/>
        </w:tabs>
        <w:rPr>
          <w:sz w:val="24"/>
          <w:szCs w:val="24"/>
          <w:lang w:val="en-AU"/>
        </w:rPr>
      </w:pPr>
      <w:r w:rsidRPr="00DC41AF">
        <w:rPr>
          <w:b/>
          <w:sz w:val="24"/>
          <w:szCs w:val="24"/>
          <w:lang w:val="en-AU"/>
        </w:rPr>
        <w:t>Musculoskeletal, and connective tissue disorders</w:t>
      </w:r>
    </w:p>
    <w:p w:rsidR="00F8068F" w:rsidRPr="00DC41AF" w:rsidRDefault="00F8068F" w:rsidP="00F8068F">
      <w:pPr>
        <w:tabs>
          <w:tab w:val="left" w:pos="1701"/>
        </w:tabs>
        <w:ind w:left="1701" w:hanging="1701"/>
        <w:rPr>
          <w:sz w:val="24"/>
          <w:szCs w:val="24"/>
          <w:lang w:val="en-AU"/>
        </w:rPr>
      </w:pPr>
      <w:r w:rsidRPr="00DC41AF">
        <w:rPr>
          <w:sz w:val="24"/>
          <w:szCs w:val="24"/>
          <w:lang w:val="en-AU"/>
        </w:rPr>
        <w:t>Very Common:</w:t>
      </w:r>
      <w:r w:rsidRPr="00DC41AF">
        <w:rPr>
          <w:sz w:val="24"/>
          <w:szCs w:val="24"/>
          <w:lang w:val="en-AU"/>
        </w:rPr>
        <w:tab/>
      </w:r>
      <w:proofErr w:type="spellStart"/>
      <w:r w:rsidRPr="00DC41AF">
        <w:rPr>
          <w:sz w:val="24"/>
          <w:szCs w:val="24"/>
          <w:lang w:val="en-AU"/>
        </w:rPr>
        <w:t>arthralgia</w:t>
      </w:r>
      <w:proofErr w:type="spellEnd"/>
    </w:p>
    <w:p w:rsidR="00F8068F" w:rsidRPr="00DC41AF" w:rsidRDefault="00F8068F" w:rsidP="00F8068F">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t>myalgia, musculoskeletal pain</w:t>
      </w:r>
    </w:p>
    <w:p w:rsidR="003A27B1" w:rsidRPr="00DC41AF" w:rsidRDefault="003A27B1" w:rsidP="00F8068F">
      <w:pPr>
        <w:pStyle w:val="EndnoteText"/>
        <w:tabs>
          <w:tab w:val="clear" w:pos="567"/>
        </w:tabs>
        <w:rPr>
          <w:sz w:val="24"/>
          <w:szCs w:val="24"/>
          <w:lang w:val="en-AU"/>
        </w:rPr>
      </w:pPr>
    </w:p>
    <w:p w:rsidR="00F8068F" w:rsidRPr="00DC41AF" w:rsidRDefault="00F8068F" w:rsidP="006F3009">
      <w:pPr>
        <w:pStyle w:val="EndnoteText"/>
        <w:keepNext/>
        <w:widowControl/>
        <w:tabs>
          <w:tab w:val="clear" w:pos="567"/>
        </w:tabs>
        <w:rPr>
          <w:sz w:val="24"/>
          <w:szCs w:val="24"/>
          <w:lang w:val="en-AU"/>
        </w:rPr>
      </w:pPr>
      <w:r w:rsidRPr="00DC41AF">
        <w:rPr>
          <w:b/>
          <w:sz w:val="24"/>
          <w:szCs w:val="24"/>
          <w:lang w:val="en-AU"/>
        </w:rPr>
        <w:t>Renal and urinary disorders</w:t>
      </w:r>
    </w:p>
    <w:p w:rsidR="00F8068F" w:rsidRPr="00DC41AF" w:rsidRDefault="00F8068F" w:rsidP="00F8068F">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r>
      <w:proofErr w:type="spellStart"/>
      <w:r w:rsidRPr="00DC41AF">
        <w:rPr>
          <w:sz w:val="24"/>
          <w:szCs w:val="24"/>
          <w:lang w:val="en-AU"/>
        </w:rPr>
        <w:t>haematuria</w:t>
      </w:r>
      <w:proofErr w:type="spellEnd"/>
    </w:p>
    <w:p w:rsidR="00F8068F" w:rsidRPr="00DC41AF" w:rsidRDefault="00F8068F" w:rsidP="00F8068F">
      <w:pPr>
        <w:pStyle w:val="EndnoteText"/>
        <w:tabs>
          <w:tab w:val="clear" w:pos="567"/>
        </w:tabs>
        <w:rPr>
          <w:sz w:val="24"/>
          <w:szCs w:val="24"/>
          <w:lang w:val="en-AU"/>
        </w:rPr>
      </w:pPr>
    </w:p>
    <w:p w:rsidR="00F8068F" w:rsidRPr="00DC41AF" w:rsidRDefault="00F8068F" w:rsidP="006F3009">
      <w:pPr>
        <w:pStyle w:val="EndnoteText"/>
        <w:keepNext/>
        <w:widowControl/>
        <w:tabs>
          <w:tab w:val="clear" w:pos="567"/>
        </w:tabs>
        <w:rPr>
          <w:b/>
          <w:sz w:val="24"/>
          <w:szCs w:val="24"/>
          <w:lang w:val="en-AU"/>
        </w:rPr>
      </w:pPr>
      <w:r w:rsidRPr="00DC41AF">
        <w:rPr>
          <w:b/>
          <w:sz w:val="24"/>
          <w:szCs w:val="24"/>
          <w:lang w:val="en-AU"/>
        </w:rPr>
        <w:t>General disorders and administration site conditions</w:t>
      </w:r>
    </w:p>
    <w:p w:rsidR="00F8068F" w:rsidRPr="00DC41AF" w:rsidRDefault="00F8068F" w:rsidP="00F8068F">
      <w:pPr>
        <w:tabs>
          <w:tab w:val="left" w:pos="1701"/>
        </w:tabs>
        <w:ind w:left="1701" w:hanging="1701"/>
        <w:rPr>
          <w:sz w:val="24"/>
          <w:szCs w:val="24"/>
          <w:lang w:val="en-AU"/>
        </w:rPr>
      </w:pPr>
      <w:r w:rsidRPr="00DC41AF">
        <w:rPr>
          <w:sz w:val="24"/>
          <w:szCs w:val="24"/>
          <w:lang w:val="en-AU"/>
        </w:rPr>
        <w:t>Very Common:</w:t>
      </w:r>
      <w:r w:rsidRPr="00DC41AF">
        <w:rPr>
          <w:sz w:val="24"/>
          <w:szCs w:val="24"/>
          <w:lang w:val="en-AU"/>
        </w:rPr>
        <w:tab/>
        <w:t>fatigue, pyrexia, chest pain, injection site erythema, injection site pain, injection site reaction (unspecified)</w:t>
      </w:r>
    </w:p>
    <w:p w:rsidR="00F8068F" w:rsidRPr="00DC41AF" w:rsidRDefault="00F8068F" w:rsidP="00F8068F">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t xml:space="preserve">injection site: bruising, haematoma, </w:t>
      </w:r>
      <w:proofErr w:type="spellStart"/>
      <w:r w:rsidRPr="00DC41AF">
        <w:rPr>
          <w:sz w:val="24"/>
          <w:szCs w:val="24"/>
          <w:lang w:val="en-AU"/>
        </w:rPr>
        <w:t>induration</w:t>
      </w:r>
      <w:proofErr w:type="spellEnd"/>
      <w:r w:rsidRPr="00DC41AF">
        <w:rPr>
          <w:sz w:val="24"/>
          <w:szCs w:val="24"/>
          <w:lang w:val="en-AU"/>
        </w:rPr>
        <w:t xml:space="preserve">, rash, </w:t>
      </w:r>
      <w:proofErr w:type="spellStart"/>
      <w:r w:rsidRPr="00DC41AF">
        <w:rPr>
          <w:sz w:val="24"/>
          <w:szCs w:val="24"/>
          <w:lang w:val="en-AU"/>
        </w:rPr>
        <w:t>pruritus</w:t>
      </w:r>
      <w:proofErr w:type="spellEnd"/>
      <w:r w:rsidRPr="00DC41AF">
        <w:rPr>
          <w:sz w:val="24"/>
          <w:szCs w:val="24"/>
          <w:lang w:val="en-AU"/>
        </w:rPr>
        <w:t>, inflammation, discoloration, nodule and haemorrhage, malaise</w:t>
      </w:r>
    </w:p>
    <w:p w:rsidR="00F8068F" w:rsidRPr="00DC41AF" w:rsidRDefault="00F8068F" w:rsidP="00F8068F">
      <w:pPr>
        <w:pStyle w:val="EndnoteText"/>
        <w:tabs>
          <w:tab w:val="clear" w:pos="567"/>
        </w:tabs>
        <w:rPr>
          <w:sz w:val="24"/>
          <w:szCs w:val="24"/>
          <w:lang w:val="en-AU"/>
        </w:rPr>
      </w:pPr>
    </w:p>
    <w:p w:rsidR="00F8068F" w:rsidRPr="00DC41AF" w:rsidRDefault="00F8068F" w:rsidP="006F3009">
      <w:pPr>
        <w:pStyle w:val="EndnoteText"/>
        <w:keepNext/>
        <w:widowControl/>
        <w:tabs>
          <w:tab w:val="clear" w:pos="567"/>
        </w:tabs>
        <w:rPr>
          <w:sz w:val="24"/>
          <w:szCs w:val="24"/>
          <w:lang w:val="en-AU"/>
        </w:rPr>
      </w:pPr>
      <w:r w:rsidRPr="00DC41AF">
        <w:rPr>
          <w:b/>
          <w:sz w:val="24"/>
          <w:szCs w:val="24"/>
          <w:lang w:val="en-AU"/>
        </w:rPr>
        <w:lastRenderedPageBreak/>
        <w:t>Investigations</w:t>
      </w:r>
    </w:p>
    <w:p w:rsidR="003212BC" w:rsidRPr="00DC41AF" w:rsidRDefault="00F8068F" w:rsidP="00CA4FAB">
      <w:pPr>
        <w:tabs>
          <w:tab w:val="left" w:pos="1701"/>
        </w:tabs>
        <w:ind w:left="1701" w:hanging="1701"/>
        <w:rPr>
          <w:sz w:val="24"/>
          <w:szCs w:val="24"/>
          <w:lang w:val="en-AU"/>
        </w:rPr>
      </w:pPr>
      <w:r w:rsidRPr="00DC41AF">
        <w:rPr>
          <w:sz w:val="24"/>
          <w:szCs w:val="24"/>
          <w:lang w:val="en-AU"/>
        </w:rPr>
        <w:t>Common:</w:t>
      </w:r>
      <w:r w:rsidRPr="00DC41AF">
        <w:rPr>
          <w:sz w:val="24"/>
          <w:szCs w:val="24"/>
          <w:lang w:val="en-AU"/>
        </w:rPr>
        <w:tab/>
        <w:t>weight decreased</w:t>
      </w:r>
      <w:bookmarkEnd w:id="2"/>
    </w:p>
    <w:p w:rsidR="00F8068F" w:rsidRPr="00DC41AF" w:rsidRDefault="00F8068F" w:rsidP="00DC41AF">
      <w:pPr>
        <w:keepNext/>
        <w:rPr>
          <w:sz w:val="24"/>
          <w:szCs w:val="24"/>
          <w:u w:val="single"/>
          <w:lang w:val="en-AU"/>
        </w:rPr>
      </w:pPr>
      <w:r w:rsidRPr="00DC41AF">
        <w:rPr>
          <w:sz w:val="24"/>
          <w:szCs w:val="24"/>
          <w:u w:val="single"/>
          <w:lang w:val="en-AU"/>
        </w:rPr>
        <w:t>Haematologic Events</w:t>
      </w:r>
    </w:p>
    <w:p w:rsidR="00F94482" w:rsidRPr="00DC41AF" w:rsidRDefault="00F8068F" w:rsidP="00DC41AF">
      <w:pPr>
        <w:autoSpaceDE w:val="0"/>
        <w:autoSpaceDN w:val="0"/>
        <w:spacing w:before="120"/>
        <w:rPr>
          <w:sz w:val="24"/>
          <w:szCs w:val="24"/>
          <w:lang w:val="en-AU"/>
        </w:rPr>
      </w:pPr>
      <w:r w:rsidRPr="00DC41AF">
        <w:rPr>
          <w:sz w:val="24"/>
          <w:szCs w:val="24"/>
          <w:lang w:val="en-AU"/>
        </w:rPr>
        <w:t>The most commonly reported adverse reactions associated with azacitidine treatment were haematological including</w:t>
      </w:r>
      <w:r w:rsidR="001C667F" w:rsidRPr="00DC41AF">
        <w:rPr>
          <w:sz w:val="24"/>
          <w:szCs w:val="24"/>
          <w:lang w:val="en-AU"/>
        </w:rPr>
        <w:t>:</w:t>
      </w:r>
      <w:r w:rsidRPr="00DC41AF">
        <w:rPr>
          <w:sz w:val="24"/>
          <w:szCs w:val="24"/>
          <w:lang w:val="en-AU"/>
        </w:rPr>
        <w:t xml:space="preserve"> thrombocytopenia, </w:t>
      </w:r>
      <w:proofErr w:type="spellStart"/>
      <w:r w:rsidRPr="00DC41AF">
        <w:rPr>
          <w:sz w:val="24"/>
          <w:szCs w:val="24"/>
          <w:lang w:val="en-AU"/>
        </w:rPr>
        <w:t>neutropenia</w:t>
      </w:r>
      <w:proofErr w:type="spellEnd"/>
      <w:r w:rsidRPr="00DC41AF">
        <w:rPr>
          <w:sz w:val="24"/>
          <w:szCs w:val="24"/>
          <w:lang w:val="en-AU"/>
        </w:rPr>
        <w:t xml:space="preserve"> and </w:t>
      </w:r>
      <w:proofErr w:type="spellStart"/>
      <w:r w:rsidR="008D5623" w:rsidRPr="00DC41AF">
        <w:rPr>
          <w:sz w:val="24"/>
          <w:szCs w:val="24"/>
          <w:lang w:val="en-AU"/>
        </w:rPr>
        <w:t>leucopenia</w:t>
      </w:r>
      <w:proofErr w:type="spellEnd"/>
      <w:r w:rsidR="008D5623" w:rsidRPr="00DC41AF">
        <w:rPr>
          <w:sz w:val="24"/>
          <w:szCs w:val="24"/>
          <w:lang w:val="en-AU"/>
        </w:rPr>
        <w:t xml:space="preserve"> (</w:t>
      </w:r>
      <w:r w:rsidRPr="00DC41AF">
        <w:rPr>
          <w:sz w:val="24"/>
          <w:szCs w:val="24"/>
          <w:lang w:val="en-AU"/>
        </w:rPr>
        <w:t>usually Grade 3 or 4</w:t>
      </w:r>
      <w:r w:rsidR="001C667F" w:rsidRPr="00DC41AF">
        <w:rPr>
          <w:sz w:val="24"/>
          <w:szCs w:val="24"/>
          <w:lang w:val="en-AU"/>
        </w:rPr>
        <w:t>), and anaemia (usually Grade</w:t>
      </w:r>
      <w:r w:rsidR="00864C9C" w:rsidRPr="00DC41AF">
        <w:rPr>
          <w:sz w:val="24"/>
          <w:szCs w:val="24"/>
          <w:lang w:val="en-AU"/>
        </w:rPr>
        <w:t> </w:t>
      </w:r>
      <w:r w:rsidR="001C667F" w:rsidRPr="00DC41AF">
        <w:rPr>
          <w:sz w:val="24"/>
          <w:szCs w:val="24"/>
          <w:lang w:val="en-AU"/>
        </w:rPr>
        <w:t>1 or 2)</w:t>
      </w:r>
      <w:r w:rsidRPr="00DC41AF">
        <w:rPr>
          <w:sz w:val="24"/>
          <w:szCs w:val="24"/>
          <w:lang w:val="en-AU"/>
        </w:rPr>
        <w:t>. There is a greater risk of these events occurring during the first 2 cycles, after which they occur with less frequency in patients with restoration of haematological function. Most haematological adverse reactions were managed by routine monitoring of complete blood counts and delaying azacitidine administration in the next cycle</w:t>
      </w:r>
      <w:r w:rsidR="00A4760C" w:rsidRPr="00DC41AF">
        <w:rPr>
          <w:sz w:val="24"/>
          <w:szCs w:val="24"/>
          <w:lang w:val="en-AU"/>
        </w:rPr>
        <w:t xml:space="preserve">. Blood </w:t>
      </w:r>
      <w:r w:rsidRPr="00DC41AF">
        <w:rPr>
          <w:sz w:val="24"/>
          <w:szCs w:val="24"/>
          <w:lang w:val="en-AU"/>
        </w:rPr>
        <w:t xml:space="preserve">transfusions </w:t>
      </w:r>
      <w:r w:rsidR="00A4760C" w:rsidRPr="00DC41AF">
        <w:rPr>
          <w:sz w:val="24"/>
          <w:szCs w:val="24"/>
          <w:lang w:val="en-AU"/>
        </w:rPr>
        <w:t xml:space="preserve">were provided </w:t>
      </w:r>
      <w:r w:rsidRPr="00DC41AF">
        <w:rPr>
          <w:sz w:val="24"/>
          <w:szCs w:val="24"/>
          <w:lang w:val="en-AU"/>
        </w:rPr>
        <w:t xml:space="preserve">for anaemia or thrombocytopenia </w:t>
      </w:r>
      <w:r w:rsidR="00F94482" w:rsidRPr="00DC41AF">
        <w:rPr>
          <w:sz w:val="24"/>
          <w:szCs w:val="24"/>
          <w:lang w:val="en-AU"/>
        </w:rPr>
        <w:t xml:space="preserve">and prophylactic antibiotics and/or growth factor support for neutropenia </w:t>
      </w:r>
      <w:r w:rsidRPr="00DC41AF">
        <w:rPr>
          <w:sz w:val="24"/>
          <w:szCs w:val="24"/>
          <w:lang w:val="en-AU"/>
        </w:rPr>
        <w:t>as required.</w:t>
      </w:r>
      <w:r w:rsidR="00A4760C" w:rsidRPr="00DC41AF">
        <w:rPr>
          <w:sz w:val="24"/>
          <w:szCs w:val="24"/>
          <w:lang w:val="en-AU"/>
        </w:rPr>
        <w:t xml:space="preserve"> </w:t>
      </w:r>
    </w:p>
    <w:p w:rsidR="00F94482" w:rsidRPr="00DC41AF" w:rsidRDefault="00F94482" w:rsidP="00DC41AF">
      <w:pPr>
        <w:autoSpaceDE w:val="0"/>
        <w:autoSpaceDN w:val="0"/>
        <w:rPr>
          <w:sz w:val="24"/>
          <w:szCs w:val="24"/>
          <w:lang w:val="en-AU"/>
        </w:rPr>
      </w:pPr>
    </w:p>
    <w:p w:rsidR="00F8068F" w:rsidRPr="00DC41AF" w:rsidRDefault="00A4760C" w:rsidP="00DC41AF">
      <w:pPr>
        <w:autoSpaceDE w:val="0"/>
        <w:autoSpaceDN w:val="0"/>
        <w:rPr>
          <w:sz w:val="24"/>
          <w:szCs w:val="24"/>
          <w:lang w:val="en-AU"/>
        </w:rPr>
      </w:pPr>
      <w:r w:rsidRPr="00DC41AF">
        <w:rPr>
          <w:sz w:val="24"/>
          <w:szCs w:val="24"/>
          <w:lang w:val="en-AU"/>
        </w:rPr>
        <w:t xml:space="preserve">Thrombocytopenia may lead to bleeding and patients should be monitored for signs and symptoms of bleeding, particularly those with pre-existing or treatment-related thrombocytopenia. Infections as a result of neutropenia may be managed </w:t>
      </w:r>
      <w:r w:rsidR="004A185D">
        <w:rPr>
          <w:sz w:val="24"/>
          <w:szCs w:val="24"/>
          <w:lang w:val="en-AU"/>
        </w:rPr>
        <w:t>with the use of anti-</w:t>
      </w:r>
      <w:proofErr w:type="spellStart"/>
      <w:r w:rsidR="004A185D">
        <w:rPr>
          <w:sz w:val="24"/>
          <w:szCs w:val="24"/>
          <w:lang w:val="en-AU"/>
        </w:rPr>
        <w:t>infectives</w:t>
      </w:r>
      <w:proofErr w:type="spellEnd"/>
      <w:r w:rsidR="004A185D">
        <w:rPr>
          <w:sz w:val="24"/>
          <w:szCs w:val="24"/>
          <w:lang w:val="en-AU"/>
        </w:rPr>
        <w:t xml:space="preserve"> </w:t>
      </w:r>
      <w:r w:rsidR="00F94482" w:rsidRPr="00DC41AF">
        <w:rPr>
          <w:sz w:val="24"/>
          <w:szCs w:val="24"/>
          <w:lang w:val="en-AU"/>
        </w:rPr>
        <w:t xml:space="preserve">plus </w:t>
      </w:r>
      <w:r w:rsidRPr="00DC41AF">
        <w:rPr>
          <w:sz w:val="24"/>
          <w:szCs w:val="24"/>
          <w:lang w:val="en-AU"/>
        </w:rPr>
        <w:t>growth factor support (e.g. G</w:t>
      </w:r>
      <w:r w:rsidR="00864C9C" w:rsidRPr="00DC41AF">
        <w:rPr>
          <w:sz w:val="24"/>
          <w:szCs w:val="24"/>
          <w:lang w:val="en-AU"/>
        </w:rPr>
        <w:t>-</w:t>
      </w:r>
      <w:r w:rsidRPr="00DC41AF">
        <w:rPr>
          <w:sz w:val="24"/>
          <w:szCs w:val="24"/>
          <w:lang w:val="en-AU"/>
        </w:rPr>
        <w:t>CSF).</w:t>
      </w:r>
    </w:p>
    <w:p w:rsidR="00F8068F" w:rsidRPr="00DC41AF" w:rsidRDefault="00F8068F" w:rsidP="00DC41AF">
      <w:pPr>
        <w:rPr>
          <w:sz w:val="24"/>
          <w:szCs w:val="24"/>
          <w:lang w:val="en-AU"/>
        </w:rPr>
      </w:pPr>
    </w:p>
    <w:p w:rsidR="003B4F93" w:rsidRPr="00DC41AF" w:rsidRDefault="003B4F93" w:rsidP="00DC41AF">
      <w:pPr>
        <w:keepNext/>
        <w:rPr>
          <w:color w:val="000000"/>
          <w:sz w:val="24"/>
          <w:szCs w:val="24"/>
          <w:u w:val="single"/>
          <w:lang w:val="en-AU"/>
        </w:rPr>
      </w:pPr>
      <w:r w:rsidRPr="00DC41AF">
        <w:rPr>
          <w:color w:val="000000"/>
          <w:sz w:val="24"/>
          <w:szCs w:val="24"/>
          <w:u w:val="single"/>
          <w:lang w:val="en-AU"/>
        </w:rPr>
        <w:t>Hypersensitivity</w:t>
      </w:r>
    </w:p>
    <w:p w:rsidR="003B4F93" w:rsidRPr="00DC41AF" w:rsidRDefault="003B4F93" w:rsidP="00DC41AF">
      <w:pPr>
        <w:spacing w:before="120"/>
        <w:rPr>
          <w:color w:val="000000"/>
          <w:sz w:val="24"/>
          <w:szCs w:val="24"/>
          <w:lang w:val="en-AU"/>
        </w:rPr>
      </w:pPr>
      <w:r w:rsidRPr="00DC41AF">
        <w:rPr>
          <w:color w:val="000000"/>
          <w:sz w:val="24"/>
          <w:szCs w:val="24"/>
          <w:lang w:val="en-AU"/>
        </w:rPr>
        <w:t>Serious hypersensitivity reactions (0.25%) have been reported in patients receiving azacitidine. In case of an anaphylactic-like reaction, treatment with azacitidine should be immediately discontinued and appropriate symptomatic treatment initiated.</w:t>
      </w:r>
    </w:p>
    <w:p w:rsidR="003B4F93" w:rsidRPr="00DC41AF" w:rsidRDefault="003B4F93" w:rsidP="00DC41AF">
      <w:pPr>
        <w:rPr>
          <w:color w:val="000000"/>
          <w:sz w:val="24"/>
          <w:szCs w:val="24"/>
          <w:lang w:val="en-AU"/>
        </w:rPr>
      </w:pPr>
    </w:p>
    <w:p w:rsidR="003B4F93" w:rsidRPr="00DC41AF" w:rsidRDefault="00692A2A" w:rsidP="00DC41AF">
      <w:pPr>
        <w:keepNext/>
        <w:rPr>
          <w:color w:val="000000"/>
          <w:sz w:val="24"/>
          <w:szCs w:val="24"/>
          <w:u w:val="single"/>
          <w:lang w:val="en-AU"/>
        </w:rPr>
      </w:pPr>
      <w:r w:rsidRPr="00DC41AF">
        <w:rPr>
          <w:color w:val="000000"/>
          <w:sz w:val="24"/>
          <w:szCs w:val="24"/>
          <w:u w:val="single"/>
          <w:lang w:val="en-AU"/>
        </w:rPr>
        <w:t>Skin and Subcutaneous Tissue Adverse Reactions</w:t>
      </w:r>
    </w:p>
    <w:p w:rsidR="003B4F93" w:rsidRPr="00DC41AF" w:rsidRDefault="00692A2A" w:rsidP="00DC41AF">
      <w:pPr>
        <w:spacing w:before="120"/>
        <w:rPr>
          <w:color w:val="000000"/>
          <w:sz w:val="24"/>
          <w:szCs w:val="24"/>
          <w:lang w:val="en-AU"/>
        </w:rPr>
      </w:pPr>
      <w:r w:rsidRPr="00DC41AF">
        <w:rPr>
          <w:color w:val="000000"/>
          <w:sz w:val="24"/>
          <w:szCs w:val="24"/>
          <w:lang w:val="en-AU"/>
        </w:rPr>
        <w:t>The majority of skin and subcutaneous adverse reactions were associated with the injection site. None of these adverse reactions led to temporary or permanent discontinuation of azacitidine, or reduction of azacitidine dose in the pivotal study. The majority of adverse reactions occurred during the first 2</w:t>
      </w:r>
      <w:r w:rsidR="00936EF8" w:rsidRPr="00DC41AF">
        <w:rPr>
          <w:color w:val="000000"/>
          <w:sz w:val="24"/>
          <w:szCs w:val="24"/>
          <w:lang w:val="en-AU"/>
        </w:rPr>
        <w:t> </w:t>
      </w:r>
      <w:r w:rsidRPr="00DC41AF">
        <w:rPr>
          <w:color w:val="000000"/>
          <w:sz w:val="24"/>
          <w:szCs w:val="24"/>
          <w:lang w:val="en-AU"/>
        </w:rPr>
        <w:t>cycles and tended to decrease with subsequent cycles. Subcutaneous adverse reactions such as injection site rash, inflammation, pruritus, erythema and skin lesion may require management with concomitant medicinal products, such as antihistamines, corticosteroids and non-steroidal anti inflammatory drugs (NSAIDs).</w:t>
      </w:r>
    </w:p>
    <w:p w:rsidR="003B4F93" w:rsidRPr="00DC41AF" w:rsidRDefault="003B4F93" w:rsidP="00DC41AF">
      <w:pPr>
        <w:rPr>
          <w:color w:val="000000"/>
          <w:sz w:val="24"/>
          <w:szCs w:val="24"/>
          <w:lang w:val="en-AU"/>
        </w:rPr>
      </w:pPr>
    </w:p>
    <w:p w:rsidR="003B4F93" w:rsidRPr="00DC41AF" w:rsidRDefault="003B4F93" w:rsidP="00DC41AF">
      <w:pPr>
        <w:keepNext/>
        <w:rPr>
          <w:color w:val="000000"/>
          <w:sz w:val="24"/>
          <w:szCs w:val="24"/>
          <w:u w:val="single"/>
          <w:lang w:val="en-AU"/>
        </w:rPr>
      </w:pPr>
      <w:r w:rsidRPr="00DC41AF">
        <w:rPr>
          <w:color w:val="000000"/>
          <w:sz w:val="24"/>
          <w:szCs w:val="24"/>
          <w:u w:val="single"/>
          <w:lang w:val="en-AU"/>
        </w:rPr>
        <w:t>Gastrointestinal Adverse Reactions</w:t>
      </w:r>
    </w:p>
    <w:p w:rsidR="003B4F93" w:rsidRPr="00DC41AF" w:rsidRDefault="003B4F93" w:rsidP="00DC41AF">
      <w:pPr>
        <w:spacing w:before="120"/>
        <w:rPr>
          <w:color w:val="000000"/>
          <w:sz w:val="24"/>
          <w:szCs w:val="24"/>
          <w:lang w:val="en-AU"/>
        </w:rPr>
      </w:pPr>
      <w:r w:rsidRPr="00DC41AF">
        <w:rPr>
          <w:color w:val="000000"/>
          <w:sz w:val="24"/>
          <w:szCs w:val="24"/>
          <w:lang w:val="en-AU"/>
        </w:rPr>
        <w:t xml:space="preserve">The most commonly reported gastrointestinal adverse reactions associated with azacitidine treatment included constipation, diarrhoea, nausea and vomiting. These adverse reactions were managed symptomatically with anti-emetics for nausea and vomiting, </w:t>
      </w:r>
      <w:proofErr w:type="spellStart"/>
      <w:r w:rsidRPr="00DC41AF">
        <w:rPr>
          <w:color w:val="000000"/>
          <w:sz w:val="24"/>
          <w:szCs w:val="24"/>
          <w:lang w:val="en-AU"/>
        </w:rPr>
        <w:t>antidiarrhoeals</w:t>
      </w:r>
      <w:proofErr w:type="spellEnd"/>
      <w:r w:rsidRPr="00DC41AF">
        <w:rPr>
          <w:color w:val="000000"/>
          <w:sz w:val="24"/>
          <w:szCs w:val="24"/>
          <w:lang w:val="en-AU"/>
        </w:rPr>
        <w:t xml:space="preserve"> for diarrhoea, and laxatives and/or stool softeners for constipation.</w:t>
      </w:r>
    </w:p>
    <w:p w:rsidR="006F3009" w:rsidRPr="00DC41AF" w:rsidRDefault="006F3009" w:rsidP="00DC41AF">
      <w:pPr>
        <w:rPr>
          <w:color w:val="000000"/>
          <w:sz w:val="24"/>
          <w:szCs w:val="24"/>
          <w:u w:val="single"/>
          <w:lang w:val="en-AU"/>
        </w:rPr>
      </w:pPr>
    </w:p>
    <w:p w:rsidR="003212BC" w:rsidRPr="00DC41AF" w:rsidRDefault="003212BC" w:rsidP="00DC41AF">
      <w:pPr>
        <w:keepNext/>
        <w:rPr>
          <w:color w:val="000000"/>
          <w:sz w:val="24"/>
          <w:szCs w:val="24"/>
          <w:u w:val="single"/>
          <w:lang w:val="en-AU"/>
        </w:rPr>
      </w:pPr>
      <w:r w:rsidRPr="00DC41AF">
        <w:rPr>
          <w:color w:val="000000"/>
          <w:sz w:val="24"/>
          <w:szCs w:val="24"/>
          <w:u w:val="single"/>
          <w:lang w:val="en-AU"/>
        </w:rPr>
        <w:t>Renal adverse reactions</w:t>
      </w:r>
    </w:p>
    <w:p w:rsidR="003212BC" w:rsidRPr="00DC41AF" w:rsidRDefault="003212BC" w:rsidP="00DC41AF">
      <w:pPr>
        <w:spacing w:before="120"/>
        <w:rPr>
          <w:color w:val="000000"/>
          <w:sz w:val="24"/>
          <w:szCs w:val="24"/>
          <w:lang w:val="en-AU"/>
        </w:rPr>
      </w:pPr>
      <w:r w:rsidRPr="00DC41AF">
        <w:rPr>
          <w:color w:val="000000"/>
          <w:sz w:val="24"/>
          <w:szCs w:val="24"/>
          <w:lang w:val="en-AU"/>
        </w:rPr>
        <w:t xml:space="preserve">Renal abnormalities, ranging from elevated serum creatinine to renal tubular acidosis, renal failure and death were reported rarely in patients treated with azacitidine (see </w:t>
      </w:r>
      <w:r w:rsidR="00C21EE0" w:rsidRPr="00DC41AF">
        <w:rPr>
          <w:color w:val="000000"/>
          <w:sz w:val="24"/>
          <w:szCs w:val="24"/>
          <w:lang w:val="en-AU"/>
        </w:rPr>
        <w:t>Precautions</w:t>
      </w:r>
      <w:r w:rsidRPr="00DC41AF">
        <w:rPr>
          <w:color w:val="000000"/>
          <w:sz w:val="24"/>
          <w:szCs w:val="24"/>
          <w:lang w:val="en-AU"/>
        </w:rPr>
        <w:t>).</w:t>
      </w:r>
    </w:p>
    <w:p w:rsidR="003212BC" w:rsidRPr="00DC41AF" w:rsidRDefault="003212BC" w:rsidP="00DC41AF">
      <w:pPr>
        <w:rPr>
          <w:color w:val="000000"/>
          <w:sz w:val="24"/>
          <w:szCs w:val="24"/>
          <w:u w:val="single"/>
          <w:lang w:val="en-AU"/>
        </w:rPr>
      </w:pPr>
    </w:p>
    <w:p w:rsidR="003212BC" w:rsidRPr="00DC41AF" w:rsidRDefault="003212BC" w:rsidP="00DC41AF">
      <w:pPr>
        <w:keepNext/>
        <w:rPr>
          <w:color w:val="000000"/>
          <w:sz w:val="24"/>
          <w:szCs w:val="24"/>
          <w:u w:val="single"/>
          <w:lang w:val="en-AU"/>
        </w:rPr>
      </w:pPr>
      <w:r w:rsidRPr="00DC41AF">
        <w:rPr>
          <w:color w:val="000000"/>
          <w:sz w:val="24"/>
          <w:szCs w:val="24"/>
          <w:u w:val="single"/>
          <w:lang w:val="en-AU"/>
        </w:rPr>
        <w:lastRenderedPageBreak/>
        <w:t>Hepatic adverse reactions</w:t>
      </w:r>
    </w:p>
    <w:p w:rsidR="003212BC" w:rsidRPr="00DC41AF" w:rsidRDefault="003212BC" w:rsidP="00DC41AF">
      <w:pPr>
        <w:spacing w:before="120"/>
        <w:rPr>
          <w:color w:val="000000"/>
          <w:sz w:val="24"/>
          <w:szCs w:val="24"/>
          <w:lang w:val="en-AU"/>
        </w:rPr>
      </w:pPr>
      <w:r w:rsidRPr="00DC41AF">
        <w:rPr>
          <w:color w:val="000000"/>
          <w:sz w:val="24"/>
          <w:szCs w:val="24"/>
          <w:lang w:val="en-AU"/>
        </w:rPr>
        <w:t xml:space="preserve">Patients with extensive tumour burden due to metastatic disease have been rarely reported to experience progressive hepatic coma and death during azacitidine treatment (see </w:t>
      </w:r>
      <w:r w:rsidR="00C21EE0" w:rsidRPr="00DC41AF">
        <w:rPr>
          <w:color w:val="000000"/>
          <w:sz w:val="24"/>
          <w:szCs w:val="24"/>
          <w:lang w:val="en-AU"/>
        </w:rPr>
        <w:t>Precautions</w:t>
      </w:r>
      <w:r w:rsidRPr="00DC41AF">
        <w:rPr>
          <w:color w:val="000000"/>
          <w:sz w:val="24"/>
          <w:szCs w:val="24"/>
          <w:lang w:val="en-AU"/>
        </w:rPr>
        <w:t>)</w:t>
      </w:r>
      <w:r w:rsidR="00C21EE0" w:rsidRPr="00DC41AF">
        <w:rPr>
          <w:color w:val="000000"/>
          <w:sz w:val="24"/>
          <w:szCs w:val="24"/>
          <w:lang w:val="en-AU"/>
        </w:rPr>
        <w:t>.</w:t>
      </w:r>
    </w:p>
    <w:p w:rsidR="00967C79" w:rsidRPr="00DC41AF" w:rsidRDefault="00967C79" w:rsidP="008E4264">
      <w:pPr>
        <w:jc w:val="both"/>
        <w:rPr>
          <w:sz w:val="24"/>
          <w:szCs w:val="24"/>
          <w:lang w:val="en-AU"/>
        </w:rPr>
      </w:pPr>
    </w:p>
    <w:p w:rsidR="003212BC" w:rsidRPr="00DC41AF" w:rsidRDefault="003212BC" w:rsidP="00DC41AF">
      <w:pPr>
        <w:keepNext/>
        <w:rPr>
          <w:b/>
          <w:sz w:val="24"/>
          <w:szCs w:val="24"/>
          <w:u w:val="single"/>
          <w:lang w:val="en-AU"/>
        </w:rPr>
      </w:pPr>
      <w:r w:rsidRPr="00DC41AF">
        <w:rPr>
          <w:b/>
          <w:sz w:val="24"/>
          <w:szCs w:val="24"/>
          <w:u w:val="single"/>
          <w:lang w:val="en-AU"/>
        </w:rPr>
        <w:t>Post-marketing Data</w:t>
      </w:r>
    </w:p>
    <w:p w:rsidR="00967C79" w:rsidRPr="00DC41AF" w:rsidRDefault="00967C79" w:rsidP="00DC41AF">
      <w:pPr>
        <w:pStyle w:val="C-BodyText"/>
        <w:spacing w:after="0" w:line="240" w:lineRule="auto"/>
        <w:rPr>
          <w:bCs/>
          <w:szCs w:val="24"/>
          <w:lang w:val="en-AU"/>
        </w:rPr>
      </w:pPr>
      <w:r w:rsidRPr="00DC41AF">
        <w:rPr>
          <w:bCs/>
          <w:szCs w:val="24"/>
          <w:lang w:val="en-AU"/>
        </w:rPr>
        <w:t>The following events have been reported in post-marketing setting:</w:t>
      </w:r>
    </w:p>
    <w:p w:rsidR="00967C79" w:rsidRPr="00DC41AF" w:rsidRDefault="00967C79" w:rsidP="00DC41AF">
      <w:pPr>
        <w:pStyle w:val="C-BodyText"/>
        <w:numPr>
          <w:ilvl w:val="0"/>
          <w:numId w:val="10"/>
        </w:numPr>
        <w:spacing w:after="0" w:line="240" w:lineRule="auto"/>
        <w:ind w:left="448" w:hanging="448"/>
        <w:rPr>
          <w:bCs/>
          <w:szCs w:val="24"/>
          <w:lang w:val="en-AU"/>
        </w:rPr>
      </w:pPr>
      <w:r w:rsidRPr="00DC41AF">
        <w:rPr>
          <w:bCs/>
          <w:szCs w:val="24"/>
          <w:lang w:val="en-AU"/>
        </w:rPr>
        <w:t>Interstitial lung disease</w:t>
      </w:r>
    </w:p>
    <w:p w:rsidR="00967C79" w:rsidRPr="00DC41AF" w:rsidRDefault="00967C79" w:rsidP="00DC41AF">
      <w:pPr>
        <w:pStyle w:val="ListParagraph"/>
        <w:numPr>
          <w:ilvl w:val="0"/>
          <w:numId w:val="10"/>
        </w:numPr>
        <w:ind w:left="450" w:hanging="450"/>
        <w:rPr>
          <w:sz w:val="24"/>
          <w:szCs w:val="24"/>
          <w:lang w:val="en-AU"/>
        </w:rPr>
      </w:pPr>
      <w:proofErr w:type="spellStart"/>
      <w:r w:rsidRPr="00DC41AF">
        <w:rPr>
          <w:sz w:val="24"/>
          <w:szCs w:val="24"/>
          <w:lang w:val="en-AU"/>
        </w:rPr>
        <w:t>Tumor</w:t>
      </w:r>
      <w:proofErr w:type="spellEnd"/>
      <w:r w:rsidRPr="00DC41AF">
        <w:rPr>
          <w:sz w:val="24"/>
          <w:szCs w:val="24"/>
          <w:lang w:val="en-AU"/>
        </w:rPr>
        <w:t xml:space="preserve"> </w:t>
      </w:r>
      <w:proofErr w:type="spellStart"/>
      <w:r w:rsidRPr="00DC41AF">
        <w:rPr>
          <w:sz w:val="24"/>
          <w:szCs w:val="24"/>
          <w:lang w:val="en-AU"/>
        </w:rPr>
        <w:t>Lysis</w:t>
      </w:r>
      <w:proofErr w:type="spellEnd"/>
      <w:r w:rsidRPr="00DC41AF">
        <w:rPr>
          <w:sz w:val="24"/>
          <w:szCs w:val="24"/>
          <w:lang w:val="en-AU"/>
        </w:rPr>
        <w:t xml:space="preserve"> Syndrome</w:t>
      </w:r>
    </w:p>
    <w:p w:rsidR="00967C79" w:rsidRPr="00DC41AF" w:rsidRDefault="00967C79" w:rsidP="00DC41AF">
      <w:pPr>
        <w:pStyle w:val="C-BodyText"/>
        <w:numPr>
          <w:ilvl w:val="0"/>
          <w:numId w:val="10"/>
        </w:numPr>
        <w:spacing w:before="0" w:after="0"/>
        <w:ind w:left="450" w:hanging="450"/>
        <w:rPr>
          <w:bCs/>
          <w:szCs w:val="24"/>
          <w:lang w:val="en-AU"/>
        </w:rPr>
      </w:pPr>
      <w:r w:rsidRPr="00DC41AF">
        <w:rPr>
          <w:szCs w:val="24"/>
          <w:lang w:val="en-AU"/>
        </w:rPr>
        <w:t>Injection Site Necrosis</w:t>
      </w:r>
    </w:p>
    <w:p w:rsidR="00D25A88" w:rsidRPr="00DC41AF" w:rsidRDefault="00D25A88" w:rsidP="00DC41AF">
      <w:pPr>
        <w:pStyle w:val="C-BodyText"/>
        <w:numPr>
          <w:ilvl w:val="0"/>
          <w:numId w:val="10"/>
        </w:numPr>
        <w:spacing w:before="0" w:after="0"/>
        <w:ind w:left="450" w:hanging="450"/>
        <w:rPr>
          <w:bCs/>
          <w:szCs w:val="24"/>
          <w:lang w:val="en-AU"/>
        </w:rPr>
      </w:pPr>
      <w:proofErr w:type="spellStart"/>
      <w:r w:rsidRPr="00DC41AF">
        <w:rPr>
          <w:szCs w:val="24"/>
          <w:lang w:val="en-AU"/>
        </w:rPr>
        <w:t>Cellulitis</w:t>
      </w:r>
      <w:proofErr w:type="spellEnd"/>
      <w:r w:rsidR="004A185D">
        <w:rPr>
          <w:szCs w:val="24"/>
          <w:lang w:val="en-AU"/>
        </w:rPr>
        <w:t>.</w:t>
      </w:r>
    </w:p>
    <w:p w:rsidR="003212BC" w:rsidRPr="00DC41AF" w:rsidRDefault="003212BC" w:rsidP="00DC41AF">
      <w:pPr>
        <w:rPr>
          <w:sz w:val="24"/>
          <w:szCs w:val="24"/>
          <w:lang w:val="en-AU"/>
        </w:rPr>
      </w:pPr>
    </w:p>
    <w:p w:rsidR="00E64DDF" w:rsidRPr="00DC41AF" w:rsidRDefault="00E64DDF" w:rsidP="00DC41AF">
      <w:pPr>
        <w:rPr>
          <w:sz w:val="24"/>
          <w:szCs w:val="24"/>
          <w:lang w:val="en-AU"/>
        </w:rPr>
      </w:pPr>
    </w:p>
    <w:p w:rsidR="00B52ACD" w:rsidRPr="00DC41AF" w:rsidRDefault="00F90709" w:rsidP="00DC41AF">
      <w:pPr>
        <w:pStyle w:val="Heading2"/>
        <w:numPr>
          <w:ilvl w:val="0"/>
          <w:numId w:val="11"/>
        </w:numPr>
        <w:tabs>
          <w:tab w:val="left" w:pos="709"/>
        </w:tabs>
        <w:ind w:left="709" w:hanging="709"/>
        <w:rPr>
          <w:sz w:val="24"/>
          <w:szCs w:val="24"/>
          <w:lang w:val="en-AU"/>
        </w:rPr>
      </w:pPr>
      <w:r w:rsidRPr="00DC41AF">
        <w:rPr>
          <w:sz w:val="24"/>
          <w:szCs w:val="24"/>
          <w:lang w:val="en-AU"/>
        </w:rPr>
        <w:t>Dosage and administration</w:t>
      </w:r>
    </w:p>
    <w:p w:rsidR="00D80BB6" w:rsidRPr="00DC41AF" w:rsidRDefault="008B72B8" w:rsidP="00DC41AF">
      <w:pPr>
        <w:spacing w:before="120"/>
        <w:rPr>
          <w:sz w:val="24"/>
          <w:szCs w:val="24"/>
          <w:lang w:val="en-AU"/>
        </w:rPr>
      </w:pPr>
      <w:r w:rsidRPr="00DC41AF">
        <w:rPr>
          <w:sz w:val="24"/>
          <w:szCs w:val="24"/>
          <w:lang w:val="en-AU"/>
        </w:rPr>
        <w:t>Vidaza treatment should only be administered under the supervision of a physician experienced in the use of cancer chemotherapeutic agents.</w:t>
      </w:r>
      <w:r w:rsidR="00D80BB6" w:rsidRPr="00DC41AF">
        <w:rPr>
          <w:sz w:val="24"/>
          <w:szCs w:val="24"/>
          <w:lang w:val="en-AU"/>
        </w:rPr>
        <w:t xml:space="preserve"> Patients should be </w:t>
      </w:r>
      <w:proofErr w:type="spellStart"/>
      <w:r w:rsidR="00D80BB6" w:rsidRPr="00DC41AF">
        <w:rPr>
          <w:sz w:val="24"/>
          <w:szCs w:val="24"/>
          <w:lang w:val="en-AU"/>
        </w:rPr>
        <w:t>premed</w:t>
      </w:r>
      <w:r w:rsidR="008E4264" w:rsidRPr="00DC41AF">
        <w:rPr>
          <w:sz w:val="24"/>
          <w:szCs w:val="24"/>
          <w:lang w:val="en-AU"/>
        </w:rPr>
        <w:t>icated</w:t>
      </w:r>
      <w:proofErr w:type="spellEnd"/>
      <w:r w:rsidR="008E4264" w:rsidRPr="00DC41AF">
        <w:rPr>
          <w:sz w:val="24"/>
          <w:szCs w:val="24"/>
          <w:lang w:val="en-AU"/>
        </w:rPr>
        <w:t xml:space="preserve"> for nausea and vomiting.</w:t>
      </w:r>
    </w:p>
    <w:p w:rsidR="008B72B8" w:rsidRPr="00DC41AF" w:rsidRDefault="008B72B8" w:rsidP="00DC41AF">
      <w:pPr>
        <w:rPr>
          <w:sz w:val="24"/>
          <w:szCs w:val="24"/>
          <w:lang w:val="en-AU"/>
        </w:rPr>
      </w:pPr>
    </w:p>
    <w:p w:rsidR="00404E77" w:rsidRPr="00DC41AF" w:rsidRDefault="00404E77" w:rsidP="00DC41AF">
      <w:pPr>
        <w:keepNext/>
        <w:rPr>
          <w:b/>
          <w:sz w:val="24"/>
          <w:szCs w:val="24"/>
          <w:lang w:val="en-AU"/>
        </w:rPr>
      </w:pPr>
      <w:r w:rsidRPr="00DC41AF">
        <w:rPr>
          <w:b/>
          <w:sz w:val="24"/>
          <w:szCs w:val="24"/>
          <w:lang w:val="en-AU"/>
        </w:rPr>
        <w:t>Recommended Dosage</w:t>
      </w:r>
      <w:r w:rsidR="008B72B8" w:rsidRPr="00DC41AF">
        <w:rPr>
          <w:b/>
          <w:sz w:val="24"/>
          <w:szCs w:val="24"/>
          <w:lang w:val="en-AU"/>
        </w:rPr>
        <w:t xml:space="preserve"> in Adults</w:t>
      </w:r>
      <w:r w:rsidRPr="00DC41AF">
        <w:rPr>
          <w:b/>
          <w:sz w:val="24"/>
          <w:szCs w:val="24"/>
          <w:lang w:val="en-AU"/>
        </w:rPr>
        <w:t>:</w:t>
      </w:r>
    </w:p>
    <w:p w:rsidR="00984845" w:rsidRPr="00DC41AF" w:rsidRDefault="00984845" w:rsidP="00DC41AF">
      <w:pPr>
        <w:pStyle w:val="Heading1"/>
        <w:spacing w:before="120"/>
        <w:rPr>
          <w:rFonts w:ascii="Times New Roman" w:hAnsi="Times New Roman"/>
          <w:szCs w:val="24"/>
          <w:u w:val="single"/>
          <w:lang w:val="en-AU"/>
        </w:rPr>
      </w:pPr>
      <w:r w:rsidRPr="00DC41AF">
        <w:rPr>
          <w:rFonts w:ascii="Times New Roman" w:hAnsi="Times New Roman"/>
          <w:szCs w:val="24"/>
          <w:u w:val="single"/>
          <w:lang w:val="en-AU"/>
        </w:rPr>
        <w:t>First Treatment Cycle</w:t>
      </w:r>
    </w:p>
    <w:p w:rsidR="00984845" w:rsidRPr="00DC41AF" w:rsidRDefault="00984845" w:rsidP="00DC41AF">
      <w:pPr>
        <w:spacing w:before="120"/>
        <w:rPr>
          <w:sz w:val="24"/>
          <w:szCs w:val="24"/>
          <w:lang w:val="en-AU"/>
        </w:rPr>
      </w:pPr>
      <w:r w:rsidRPr="00DC41AF">
        <w:rPr>
          <w:sz w:val="24"/>
          <w:szCs w:val="24"/>
          <w:lang w:val="en-AU"/>
        </w:rPr>
        <w:t>The recommended starting dose for the first treatment cycle, for all patients regardless of baseline haematology laboratory values, is 75</w:t>
      </w:r>
      <w:r w:rsidR="002C7E55" w:rsidRPr="00DC41AF">
        <w:rPr>
          <w:sz w:val="24"/>
          <w:szCs w:val="24"/>
          <w:lang w:val="en-AU"/>
        </w:rPr>
        <w:t> </w:t>
      </w:r>
      <w:r w:rsidRPr="00DC41AF">
        <w:rPr>
          <w:sz w:val="24"/>
          <w:szCs w:val="24"/>
          <w:lang w:val="en-AU"/>
        </w:rPr>
        <w:t>mg/m</w:t>
      </w:r>
      <w:r w:rsidRPr="00DC41AF">
        <w:rPr>
          <w:sz w:val="24"/>
          <w:szCs w:val="24"/>
          <w:vertAlign w:val="superscript"/>
          <w:lang w:val="en-AU"/>
        </w:rPr>
        <w:t>2</w:t>
      </w:r>
      <w:r w:rsidRPr="00DC41AF">
        <w:rPr>
          <w:sz w:val="24"/>
          <w:szCs w:val="24"/>
          <w:lang w:val="en-AU"/>
        </w:rPr>
        <w:t xml:space="preserve"> </w:t>
      </w:r>
      <w:r w:rsidR="008B72B8" w:rsidRPr="00DC41AF">
        <w:rPr>
          <w:sz w:val="24"/>
          <w:szCs w:val="24"/>
          <w:lang w:val="en-AU"/>
        </w:rPr>
        <w:t xml:space="preserve">of body surface area given </w:t>
      </w:r>
      <w:r w:rsidRPr="00DC41AF">
        <w:rPr>
          <w:sz w:val="24"/>
          <w:szCs w:val="24"/>
          <w:lang w:val="en-AU"/>
        </w:rPr>
        <w:t>subcuta</w:t>
      </w:r>
      <w:r w:rsidR="008E4264" w:rsidRPr="00DC41AF">
        <w:rPr>
          <w:sz w:val="24"/>
          <w:szCs w:val="24"/>
          <w:lang w:val="en-AU"/>
        </w:rPr>
        <w:t>neously</w:t>
      </w:r>
      <w:r w:rsidR="00B9666D" w:rsidRPr="00DC41AF">
        <w:rPr>
          <w:sz w:val="24"/>
          <w:szCs w:val="24"/>
          <w:lang w:val="en-AU"/>
        </w:rPr>
        <w:t xml:space="preserve"> or</w:t>
      </w:r>
      <w:r w:rsidR="00CC757B" w:rsidRPr="00DC41AF">
        <w:rPr>
          <w:sz w:val="24"/>
          <w:szCs w:val="24"/>
          <w:lang w:val="en-AU"/>
        </w:rPr>
        <w:t xml:space="preserve"> by</w:t>
      </w:r>
      <w:r w:rsidR="00B9666D" w:rsidRPr="00DC41AF">
        <w:rPr>
          <w:sz w:val="24"/>
          <w:szCs w:val="24"/>
          <w:lang w:val="en-AU"/>
        </w:rPr>
        <w:t xml:space="preserve"> intravenou</w:t>
      </w:r>
      <w:r w:rsidR="00CC757B" w:rsidRPr="00DC41AF">
        <w:rPr>
          <w:sz w:val="24"/>
          <w:szCs w:val="24"/>
          <w:lang w:val="en-AU"/>
        </w:rPr>
        <w:t>s infusion</w:t>
      </w:r>
      <w:r w:rsidR="008E4264" w:rsidRPr="00DC41AF">
        <w:rPr>
          <w:sz w:val="24"/>
          <w:szCs w:val="24"/>
          <w:lang w:val="en-AU"/>
        </w:rPr>
        <w:t>, daily for seven days</w:t>
      </w:r>
      <w:r w:rsidR="00077D7F" w:rsidRPr="00DC41AF">
        <w:rPr>
          <w:sz w:val="24"/>
          <w:szCs w:val="24"/>
          <w:lang w:val="en-AU"/>
        </w:rPr>
        <w:t>,</w:t>
      </w:r>
      <w:r w:rsidR="00077D7F" w:rsidRPr="00DC41AF">
        <w:rPr>
          <w:lang w:val="en-AU"/>
        </w:rPr>
        <w:t xml:space="preserve"> </w:t>
      </w:r>
      <w:r w:rsidR="00077D7F" w:rsidRPr="00DC41AF">
        <w:rPr>
          <w:sz w:val="24"/>
          <w:szCs w:val="24"/>
          <w:lang w:val="en-AU"/>
        </w:rPr>
        <w:t>followed by a rest period of 21</w:t>
      </w:r>
      <w:r w:rsidR="0050092E" w:rsidRPr="00DC41AF">
        <w:rPr>
          <w:sz w:val="24"/>
          <w:szCs w:val="24"/>
          <w:lang w:val="en-AU"/>
        </w:rPr>
        <w:t> </w:t>
      </w:r>
      <w:r w:rsidR="00A72AE3">
        <w:rPr>
          <w:sz w:val="24"/>
          <w:szCs w:val="24"/>
          <w:lang w:val="en-AU"/>
        </w:rPr>
        <w:t>days (28</w:t>
      </w:r>
      <w:r w:rsidR="00A72AE3">
        <w:rPr>
          <w:sz w:val="24"/>
          <w:szCs w:val="24"/>
          <w:lang w:val="en-AU"/>
        </w:rPr>
        <w:noBreakHyphen/>
      </w:r>
      <w:r w:rsidR="00077D7F" w:rsidRPr="00DC41AF">
        <w:rPr>
          <w:sz w:val="24"/>
          <w:szCs w:val="24"/>
          <w:lang w:val="en-AU"/>
        </w:rPr>
        <w:t>day treatment cycle).</w:t>
      </w:r>
    </w:p>
    <w:p w:rsidR="008B72B8" w:rsidRPr="00DC41AF" w:rsidRDefault="008B72B8" w:rsidP="00DC41AF">
      <w:pPr>
        <w:rPr>
          <w:sz w:val="24"/>
          <w:szCs w:val="24"/>
          <w:lang w:val="en-AU"/>
        </w:rPr>
      </w:pPr>
    </w:p>
    <w:p w:rsidR="00984845" w:rsidRPr="00DC41AF" w:rsidRDefault="00984845" w:rsidP="00DC41AF">
      <w:pPr>
        <w:pStyle w:val="Heading1"/>
        <w:rPr>
          <w:rFonts w:ascii="Times New Roman" w:hAnsi="Times New Roman"/>
          <w:szCs w:val="24"/>
          <w:u w:val="single"/>
          <w:lang w:val="en-AU"/>
        </w:rPr>
      </w:pPr>
      <w:r w:rsidRPr="00DC41AF">
        <w:rPr>
          <w:rFonts w:ascii="Times New Roman" w:hAnsi="Times New Roman"/>
          <w:szCs w:val="24"/>
          <w:u w:val="single"/>
          <w:lang w:val="en-AU"/>
        </w:rPr>
        <w:t>Subsequent Treatment Cycles</w:t>
      </w:r>
    </w:p>
    <w:p w:rsidR="008B72B8" w:rsidRPr="00DC41AF" w:rsidRDefault="008B72B8" w:rsidP="00DC41AF">
      <w:pPr>
        <w:spacing w:before="120"/>
        <w:rPr>
          <w:i/>
          <w:iCs/>
          <w:sz w:val="24"/>
          <w:szCs w:val="24"/>
          <w:lang w:val="en-AU"/>
        </w:rPr>
      </w:pPr>
      <w:r w:rsidRPr="00DC41AF">
        <w:rPr>
          <w:sz w:val="24"/>
          <w:szCs w:val="24"/>
          <w:lang w:val="en-AU"/>
        </w:rPr>
        <w:t>Cycles should be repeated every 28 days. It is recommended that patients be treated for a minimum of 6 cycles. However, complete or partial response may require more than 6 treatment cycles. Treatment may be continued as long as the patient continues to benefit or until disease progression.</w:t>
      </w:r>
    </w:p>
    <w:p w:rsidR="008B72B8" w:rsidRPr="00DC41AF" w:rsidRDefault="008B72B8" w:rsidP="00DC41AF">
      <w:pPr>
        <w:rPr>
          <w:sz w:val="24"/>
          <w:szCs w:val="24"/>
          <w:lang w:val="en-AU"/>
        </w:rPr>
      </w:pPr>
    </w:p>
    <w:p w:rsidR="008B72B8" w:rsidRPr="00DC41AF" w:rsidRDefault="008B72B8" w:rsidP="00DC41AF">
      <w:pPr>
        <w:rPr>
          <w:sz w:val="24"/>
          <w:szCs w:val="24"/>
          <w:lang w:val="en-AU"/>
        </w:rPr>
      </w:pPr>
      <w:r w:rsidRPr="00DC41AF">
        <w:rPr>
          <w:sz w:val="24"/>
          <w:szCs w:val="24"/>
          <w:lang w:val="en-AU"/>
        </w:rPr>
        <w:t xml:space="preserve">Patients should be monitored for </w:t>
      </w:r>
      <w:r w:rsidR="00636C44" w:rsidRPr="00DC41AF">
        <w:rPr>
          <w:sz w:val="24"/>
          <w:szCs w:val="24"/>
          <w:lang w:val="en-AU"/>
        </w:rPr>
        <w:t>haematologic</w:t>
      </w:r>
      <w:r w:rsidR="006D61F2" w:rsidRPr="00DC41AF">
        <w:rPr>
          <w:sz w:val="24"/>
          <w:szCs w:val="24"/>
          <w:lang w:val="en-AU"/>
        </w:rPr>
        <w:t>al</w:t>
      </w:r>
      <w:r w:rsidRPr="00DC41AF">
        <w:rPr>
          <w:sz w:val="24"/>
          <w:szCs w:val="24"/>
          <w:lang w:val="en-AU"/>
        </w:rPr>
        <w:t xml:space="preserve"> response and renal toxicities, and a dose delay or reduction as des</w:t>
      </w:r>
      <w:r w:rsidR="004A185D">
        <w:rPr>
          <w:sz w:val="24"/>
          <w:szCs w:val="24"/>
          <w:lang w:val="en-AU"/>
        </w:rPr>
        <w:t>cribed below may be necessary.</w:t>
      </w:r>
    </w:p>
    <w:p w:rsidR="008B72B8" w:rsidRPr="00DC41AF" w:rsidRDefault="008B72B8" w:rsidP="00DC41AF">
      <w:pPr>
        <w:rPr>
          <w:sz w:val="24"/>
          <w:szCs w:val="24"/>
          <w:lang w:val="en-AU"/>
        </w:rPr>
      </w:pPr>
    </w:p>
    <w:p w:rsidR="008B72B8" w:rsidRPr="00DC41AF" w:rsidRDefault="00D25A88" w:rsidP="00DC41AF">
      <w:pPr>
        <w:rPr>
          <w:sz w:val="24"/>
          <w:szCs w:val="24"/>
          <w:lang w:val="en-AU"/>
        </w:rPr>
      </w:pPr>
      <w:r w:rsidRPr="00DC41AF">
        <w:rPr>
          <w:sz w:val="24"/>
          <w:szCs w:val="24"/>
          <w:lang w:val="en-AU"/>
        </w:rPr>
        <w:t>With subcutaneous injection, r</w:t>
      </w:r>
      <w:r w:rsidR="008B72B8" w:rsidRPr="00DC41AF">
        <w:rPr>
          <w:sz w:val="24"/>
          <w:szCs w:val="24"/>
          <w:lang w:val="en-AU"/>
        </w:rPr>
        <w:t>otate sites for injection (thigh, abdomen, or upper arm). New injections should be given at least 2.5 cm from the previous site and never into areas where the site is tender, bruised, red, or hard.</w:t>
      </w:r>
    </w:p>
    <w:p w:rsidR="006F3009" w:rsidRPr="00DC41AF" w:rsidRDefault="006F3009" w:rsidP="00DC41AF">
      <w:pPr>
        <w:rPr>
          <w:sz w:val="24"/>
          <w:szCs w:val="24"/>
          <w:lang w:val="en-AU"/>
        </w:rPr>
      </w:pPr>
    </w:p>
    <w:p w:rsidR="00404E77" w:rsidRPr="00DC41AF" w:rsidRDefault="00404E77" w:rsidP="00DC41AF">
      <w:pPr>
        <w:keepNext/>
        <w:rPr>
          <w:b/>
          <w:sz w:val="24"/>
          <w:szCs w:val="24"/>
          <w:u w:val="single"/>
          <w:lang w:val="en-AU"/>
        </w:rPr>
      </w:pPr>
      <w:r w:rsidRPr="00DC41AF">
        <w:rPr>
          <w:b/>
          <w:sz w:val="24"/>
          <w:szCs w:val="24"/>
          <w:u w:val="single"/>
          <w:lang w:val="en-AU"/>
        </w:rPr>
        <w:t xml:space="preserve">Dosage Adjustment based on Haematology Laboratory Values: </w:t>
      </w:r>
    </w:p>
    <w:p w:rsidR="008B72B8" w:rsidRPr="00DC41AF" w:rsidRDefault="00200422" w:rsidP="00DC41AF">
      <w:pPr>
        <w:keepNext/>
        <w:spacing w:before="120"/>
        <w:rPr>
          <w:bCs/>
          <w:sz w:val="24"/>
          <w:szCs w:val="24"/>
          <w:u w:val="single"/>
          <w:lang w:val="en-AU"/>
        </w:rPr>
      </w:pPr>
      <w:r w:rsidRPr="00DC41AF">
        <w:rPr>
          <w:bCs/>
          <w:sz w:val="24"/>
          <w:szCs w:val="24"/>
          <w:u w:val="single"/>
          <w:lang w:val="en-AU"/>
        </w:rPr>
        <w:t>Patients without reduced baseline blood counts (i.e. WBC</w:t>
      </w:r>
      <w:r w:rsidR="004A185D">
        <w:rPr>
          <w:bCs/>
          <w:sz w:val="24"/>
          <w:szCs w:val="24"/>
          <w:u w:val="single"/>
          <w:lang w:val="en-AU"/>
        </w:rPr>
        <w:t> ≥ 3.0 x </w:t>
      </w:r>
      <w:r w:rsidRPr="00DC41AF">
        <w:rPr>
          <w:bCs/>
          <w:sz w:val="24"/>
          <w:szCs w:val="24"/>
          <w:u w:val="single"/>
          <w:lang w:val="en-AU"/>
        </w:rPr>
        <w:t>10</w:t>
      </w:r>
      <w:r w:rsidRPr="00DC41AF">
        <w:rPr>
          <w:bCs/>
          <w:sz w:val="24"/>
          <w:szCs w:val="24"/>
          <w:u w:val="single"/>
          <w:vertAlign w:val="superscript"/>
          <w:lang w:val="en-AU"/>
        </w:rPr>
        <w:t>9</w:t>
      </w:r>
      <w:r w:rsidR="004A185D">
        <w:rPr>
          <w:bCs/>
          <w:sz w:val="24"/>
          <w:szCs w:val="24"/>
          <w:u w:val="single"/>
          <w:lang w:val="en-AU"/>
        </w:rPr>
        <w:t>/L and ANC ≥ 1.5 </w:t>
      </w:r>
      <w:r w:rsidRPr="00DC41AF">
        <w:rPr>
          <w:bCs/>
          <w:sz w:val="24"/>
          <w:szCs w:val="24"/>
          <w:u w:val="single"/>
          <w:lang w:val="en-AU"/>
        </w:rPr>
        <w:t>x</w:t>
      </w:r>
      <w:r w:rsidR="004A185D">
        <w:rPr>
          <w:bCs/>
          <w:sz w:val="24"/>
          <w:szCs w:val="24"/>
          <w:u w:val="single"/>
          <w:lang w:val="en-AU"/>
        </w:rPr>
        <w:t> </w:t>
      </w:r>
      <w:r w:rsidRPr="00DC41AF">
        <w:rPr>
          <w:bCs/>
          <w:sz w:val="24"/>
          <w:szCs w:val="24"/>
          <w:u w:val="single"/>
          <w:lang w:val="en-AU"/>
        </w:rPr>
        <w:t>10</w:t>
      </w:r>
      <w:r w:rsidRPr="00DC41AF">
        <w:rPr>
          <w:bCs/>
          <w:sz w:val="24"/>
          <w:szCs w:val="24"/>
          <w:u w:val="single"/>
          <w:vertAlign w:val="superscript"/>
          <w:lang w:val="en-AU"/>
        </w:rPr>
        <w:t>9</w:t>
      </w:r>
      <w:r w:rsidRPr="00DC41AF">
        <w:rPr>
          <w:bCs/>
          <w:sz w:val="24"/>
          <w:szCs w:val="24"/>
          <w:u w:val="single"/>
          <w:lang w:val="en-AU"/>
        </w:rPr>
        <w:t>/L, and platelets ≥ 75.0</w:t>
      </w:r>
      <w:r w:rsidR="004A185D">
        <w:rPr>
          <w:bCs/>
          <w:sz w:val="24"/>
          <w:szCs w:val="24"/>
          <w:u w:val="single"/>
          <w:lang w:val="en-AU"/>
        </w:rPr>
        <w:t> x </w:t>
      </w:r>
      <w:r w:rsidRPr="00DC41AF">
        <w:rPr>
          <w:bCs/>
          <w:sz w:val="24"/>
          <w:szCs w:val="24"/>
          <w:u w:val="single"/>
          <w:lang w:val="en-AU"/>
        </w:rPr>
        <w:t>10</w:t>
      </w:r>
      <w:r w:rsidRPr="00DC41AF">
        <w:rPr>
          <w:bCs/>
          <w:sz w:val="24"/>
          <w:szCs w:val="24"/>
          <w:u w:val="single"/>
          <w:vertAlign w:val="superscript"/>
          <w:lang w:val="en-AU"/>
        </w:rPr>
        <w:t>9</w:t>
      </w:r>
      <w:r w:rsidRPr="00DC41AF">
        <w:rPr>
          <w:bCs/>
          <w:sz w:val="24"/>
          <w:szCs w:val="24"/>
          <w:u w:val="single"/>
          <w:lang w:val="en-AU"/>
        </w:rPr>
        <w:t>/L) prior to the first treatment</w:t>
      </w:r>
    </w:p>
    <w:p w:rsidR="008B72B8" w:rsidRPr="00DC41AF" w:rsidRDefault="008B72B8" w:rsidP="00DC41AF">
      <w:pPr>
        <w:spacing w:before="120"/>
        <w:rPr>
          <w:sz w:val="24"/>
          <w:szCs w:val="24"/>
          <w:lang w:val="en-AU"/>
        </w:rPr>
      </w:pPr>
      <w:r w:rsidRPr="00DC41AF">
        <w:rPr>
          <w:sz w:val="24"/>
          <w:szCs w:val="24"/>
          <w:lang w:val="en-AU"/>
        </w:rPr>
        <w:t xml:space="preserve">If </w:t>
      </w:r>
      <w:r w:rsidR="00636C44" w:rsidRPr="00DC41AF">
        <w:rPr>
          <w:sz w:val="24"/>
          <w:szCs w:val="24"/>
          <w:lang w:val="en-AU"/>
        </w:rPr>
        <w:t>haematologic</w:t>
      </w:r>
      <w:r w:rsidR="006D61F2" w:rsidRPr="00DC41AF">
        <w:rPr>
          <w:sz w:val="24"/>
          <w:szCs w:val="24"/>
          <w:lang w:val="en-AU"/>
        </w:rPr>
        <w:t>al</w:t>
      </w:r>
      <w:r w:rsidRPr="00DC41AF">
        <w:rPr>
          <w:sz w:val="24"/>
          <w:szCs w:val="24"/>
          <w:lang w:val="en-AU"/>
        </w:rPr>
        <w:t xml:space="preserve"> toxicity is observed following Vidaza treatment (as defined by: Platelets &lt;</w:t>
      </w:r>
      <w:r w:rsidR="002C7E55" w:rsidRPr="00DC41AF">
        <w:rPr>
          <w:sz w:val="24"/>
          <w:szCs w:val="24"/>
          <w:lang w:val="en-AU"/>
        </w:rPr>
        <w:t> </w:t>
      </w:r>
      <w:r w:rsidRPr="00DC41AF">
        <w:rPr>
          <w:sz w:val="24"/>
          <w:szCs w:val="24"/>
          <w:lang w:val="en-AU"/>
        </w:rPr>
        <w:t>50.0</w:t>
      </w:r>
      <w:r w:rsidR="004A185D">
        <w:rPr>
          <w:sz w:val="24"/>
          <w:szCs w:val="24"/>
          <w:lang w:val="en-AU"/>
        </w:rPr>
        <w:t> </w:t>
      </w:r>
      <w:r w:rsidRPr="00DC41AF">
        <w:rPr>
          <w:sz w:val="24"/>
          <w:szCs w:val="24"/>
          <w:lang w:val="en-AU"/>
        </w:rPr>
        <w:t>x</w:t>
      </w:r>
      <w:r w:rsidR="004A185D">
        <w:rPr>
          <w:sz w:val="24"/>
          <w:szCs w:val="24"/>
          <w:lang w:val="en-AU"/>
        </w:rPr>
        <w:t> </w:t>
      </w:r>
      <w:r w:rsidRPr="00DC41AF">
        <w:rPr>
          <w:sz w:val="24"/>
          <w:szCs w:val="24"/>
          <w:lang w:val="en-AU"/>
        </w:rPr>
        <w:t>10</w:t>
      </w:r>
      <w:r w:rsidRPr="00DC41AF">
        <w:rPr>
          <w:sz w:val="24"/>
          <w:szCs w:val="24"/>
          <w:vertAlign w:val="superscript"/>
          <w:lang w:val="en-AU"/>
        </w:rPr>
        <w:t>9</w:t>
      </w:r>
      <w:r w:rsidRPr="00DC41AF">
        <w:rPr>
          <w:sz w:val="24"/>
          <w:szCs w:val="24"/>
          <w:lang w:val="en-AU"/>
        </w:rPr>
        <w:t>/L and/or ANC &lt;</w:t>
      </w:r>
      <w:r w:rsidR="002C7E55" w:rsidRPr="00DC41AF">
        <w:rPr>
          <w:sz w:val="24"/>
          <w:szCs w:val="24"/>
          <w:lang w:val="en-AU"/>
        </w:rPr>
        <w:t> </w:t>
      </w:r>
      <w:r w:rsidR="004A185D">
        <w:rPr>
          <w:sz w:val="24"/>
          <w:szCs w:val="24"/>
          <w:lang w:val="en-AU"/>
        </w:rPr>
        <w:t>1 x </w:t>
      </w:r>
      <w:r w:rsidRPr="00DC41AF">
        <w:rPr>
          <w:sz w:val="24"/>
          <w:szCs w:val="24"/>
          <w:lang w:val="en-AU"/>
        </w:rPr>
        <w:t>10</w:t>
      </w:r>
      <w:r w:rsidRPr="00DC41AF">
        <w:rPr>
          <w:sz w:val="24"/>
          <w:szCs w:val="24"/>
          <w:vertAlign w:val="superscript"/>
          <w:lang w:val="en-AU"/>
        </w:rPr>
        <w:t>9</w:t>
      </w:r>
      <w:r w:rsidRPr="00DC41AF">
        <w:rPr>
          <w:sz w:val="24"/>
          <w:szCs w:val="24"/>
          <w:lang w:val="en-AU"/>
        </w:rPr>
        <w:t>/L) the next cycle of Vidaza therapy should be delayed until the platelet count and the ANC have recovered</w:t>
      </w:r>
      <w:r w:rsidR="0050092E" w:rsidRPr="00DC41AF">
        <w:rPr>
          <w:sz w:val="24"/>
          <w:szCs w:val="24"/>
          <w:lang w:val="en-AU"/>
        </w:rPr>
        <w:t>.</w:t>
      </w:r>
      <w:r w:rsidRPr="00DC41AF">
        <w:rPr>
          <w:sz w:val="24"/>
          <w:szCs w:val="24"/>
          <w:lang w:val="en-AU"/>
        </w:rPr>
        <w:t xml:space="preserve"> </w:t>
      </w:r>
      <w:r w:rsidR="0067313B" w:rsidRPr="00DC41AF">
        <w:rPr>
          <w:sz w:val="24"/>
          <w:szCs w:val="24"/>
          <w:lang w:val="en-AU"/>
        </w:rPr>
        <w:t xml:space="preserve">If recovery is </w:t>
      </w:r>
      <w:r w:rsidR="0067313B" w:rsidRPr="00DC41AF">
        <w:rPr>
          <w:sz w:val="24"/>
          <w:szCs w:val="24"/>
          <w:lang w:val="en-AU"/>
        </w:rPr>
        <w:lastRenderedPageBreak/>
        <w:t>achieved within 14</w:t>
      </w:r>
      <w:r w:rsidR="0050092E" w:rsidRPr="00DC41AF">
        <w:rPr>
          <w:sz w:val="24"/>
          <w:szCs w:val="24"/>
          <w:lang w:val="en-AU"/>
        </w:rPr>
        <w:t> </w:t>
      </w:r>
      <w:r w:rsidR="0067313B" w:rsidRPr="00DC41AF">
        <w:rPr>
          <w:sz w:val="24"/>
          <w:szCs w:val="24"/>
          <w:lang w:val="en-AU"/>
        </w:rPr>
        <w:t xml:space="preserve">days, no dose adjustment is necessary. </w:t>
      </w:r>
      <w:r w:rsidRPr="00DC41AF">
        <w:rPr>
          <w:sz w:val="24"/>
          <w:szCs w:val="24"/>
          <w:lang w:val="en-AU"/>
        </w:rPr>
        <w:t>If recovery has not been achieved within 14</w:t>
      </w:r>
      <w:r w:rsidR="0050092E" w:rsidRPr="00DC41AF">
        <w:rPr>
          <w:sz w:val="24"/>
          <w:szCs w:val="24"/>
          <w:lang w:val="en-AU"/>
        </w:rPr>
        <w:t> </w:t>
      </w:r>
      <w:r w:rsidRPr="00DC41AF">
        <w:rPr>
          <w:sz w:val="24"/>
          <w:szCs w:val="24"/>
          <w:lang w:val="en-AU"/>
        </w:rPr>
        <w:t>days, the dose should be reduced according to the following table. Following dose modifications, the cycle duration should return to 28</w:t>
      </w:r>
      <w:r w:rsidR="0050092E" w:rsidRPr="00DC41AF">
        <w:rPr>
          <w:sz w:val="24"/>
          <w:szCs w:val="24"/>
          <w:lang w:val="en-AU"/>
        </w:rPr>
        <w:t> </w:t>
      </w:r>
      <w:r w:rsidRPr="00DC41AF">
        <w:rPr>
          <w:sz w:val="24"/>
          <w:szCs w:val="24"/>
          <w:lang w:val="en-AU"/>
        </w:rPr>
        <w:t>days.</w:t>
      </w:r>
    </w:p>
    <w:p w:rsidR="003E76BC" w:rsidRPr="00DC41AF" w:rsidRDefault="003E76BC">
      <w:pPr>
        <w:rPr>
          <w:sz w:val="24"/>
          <w:szCs w:val="24"/>
          <w:u w:val="single"/>
          <w:lang w:val="en-AU"/>
        </w:rPr>
      </w:pPr>
      <w:r w:rsidRPr="00DC41AF">
        <w:rPr>
          <w:sz w:val="24"/>
          <w:szCs w:val="24"/>
          <w:u w:val="single"/>
          <w:lang w:val="en-AU"/>
        </w:rPr>
        <w:br w:type="page"/>
      </w:r>
    </w:p>
    <w:tbl>
      <w:tblPr>
        <w:tblW w:w="0" w:type="auto"/>
        <w:tblInd w:w="828" w:type="dxa"/>
        <w:tblLayout w:type="fixed"/>
        <w:tblLook w:val="00BF"/>
      </w:tblPr>
      <w:tblGrid>
        <w:gridCol w:w="2040"/>
        <w:gridCol w:w="2040"/>
        <w:gridCol w:w="2760"/>
      </w:tblGrid>
      <w:tr w:rsidR="008B72B8" w:rsidRPr="00DC41AF" w:rsidTr="00A51FF8">
        <w:tc>
          <w:tcPr>
            <w:tcW w:w="4080" w:type="dxa"/>
            <w:gridSpan w:val="2"/>
            <w:tcBorders>
              <w:top w:val="single" w:sz="6" w:space="0" w:color="000000"/>
              <w:left w:val="single" w:sz="6" w:space="0" w:color="000000"/>
              <w:right w:val="single" w:sz="6" w:space="0" w:color="000000"/>
            </w:tcBorders>
            <w:vAlign w:val="center"/>
          </w:tcPr>
          <w:p w:rsidR="008B72B8" w:rsidRPr="00DC41AF" w:rsidRDefault="008B72B8" w:rsidP="00A51FF8">
            <w:pPr>
              <w:jc w:val="center"/>
              <w:rPr>
                <w:sz w:val="24"/>
                <w:szCs w:val="24"/>
                <w:lang w:val="en-AU"/>
              </w:rPr>
            </w:pPr>
            <w:r w:rsidRPr="00DC41AF">
              <w:rPr>
                <w:sz w:val="24"/>
                <w:szCs w:val="24"/>
                <w:lang w:val="en-AU"/>
              </w:rPr>
              <w:lastRenderedPageBreak/>
              <w:t>Nadir counts</w:t>
            </w:r>
          </w:p>
        </w:tc>
        <w:tc>
          <w:tcPr>
            <w:tcW w:w="2760" w:type="dxa"/>
            <w:vMerge w:val="restart"/>
            <w:tcBorders>
              <w:top w:val="single" w:sz="6" w:space="0" w:color="000000"/>
              <w:left w:val="single" w:sz="6" w:space="0" w:color="000000"/>
              <w:right w:val="single" w:sz="6" w:space="0" w:color="000000"/>
            </w:tcBorders>
            <w:vAlign w:val="center"/>
          </w:tcPr>
          <w:p w:rsidR="008B72B8" w:rsidRPr="00DC41AF" w:rsidRDefault="008B72B8" w:rsidP="008B72B8">
            <w:pPr>
              <w:jc w:val="both"/>
              <w:rPr>
                <w:sz w:val="24"/>
                <w:szCs w:val="24"/>
                <w:lang w:val="en-AU"/>
              </w:rPr>
            </w:pPr>
            <w:r w:rsidRPr="00DC41AF">
              <w:rPr>
                <w:sz w:val="24"/>
                <w:szCs w:val="24"/>
                <w:lang w:val="en-AU"/>
              </w:rPr>
              <w:t>% Dose in the next cycle</w:t>
            </w:r>
            <w:r w:rsidR="00FA7BEE" w:rsidRPr="00DC41AF">
              <w:rPr>
                <w:sz w:val="24"/>
                <w:szCs w:val="24"/>
                <w:lang w:val="en-AU"/>
              </w:rPr>
              <w:t xml:space="preserve"> if recovery* is not achieved within 14</w:t>
            </w:r>
            <w:r w:rsidR="0050092E" w:rsidRPr="00DC41AF">
              <w:rPr>
                <w:sz w:val="24"/>
                <w:szCs w:val="24"/>
                <w:lang w:val="en-AU"/>
              </w:rPr>
              <w:t> </w:t>
            </w:r>
            <w:r w:rsidR="00FA7BEE" w:rsidRPr="00DC41AF">
              <w:rPr>
                <w:sz w:val="24"/>
                <w:szCs w:val="24"/>
                <w:lang w:val="en-AU"/>
              </w:rPr>
              <w:t>days</w:t>
            </w:r>
          </w:p>
        </w:tc>
      </w:tr>
      <w:tr w:rsidR="008B72B8" w:rsidRPr="00DC41AF" w:rsidTr="00A51FF8">
        <w:tc>
          <w:tcPr>
            <w:tcW w:w="2040" w:type="dxa"/>
            <w:tcBorders>
              <w:top w:val="single" w:sz="6" w:space="0" w:color="000000"/>
              <w:left w:val="single" w:sz="6" w:space="0" w:color="000000"/>
              <w:bottom w:val="single" w:sz="6" w:space="0" w:color="000000"/>
              <w:right w:val="single" w:sz="6" w:space="0" w:color="000000"/>
            </w:tcBorders>
            <w:vAlign w:val="center"/>
          </w:tcPr>
          <w:p w:rsidR="008B72B8" w:rsidRPr="00DC41AF" w:rsidRDefault="004A185D" w:rsidP="008B72B8">
            <w:pPr>
              <w:jc w:val="both"/>
              <w:rPr>
                <w:sz w:val="24"/>
                <w:szCs w:val="24"/>
                <w:lang w:val="en-AU"/>
              </w:rPr>
            </w:pPr>
            <w:r>
              <w:rPr>
                <w:sz w:val="24"/>
                <w:szCs w:val="24"/>
                <w:lang w:val="en-AU"/>
              </w:rPr>
              <w:t>ANC (x </w:t>
            </w:r>
            <w:r w:rsidR="008B72B8" w:rsidRPr="00DC41AF">
              <w:rPr>
                <w:sz w:val="24"/>
                <w:szCs w:val="24"/>
                <w:lang w:val="en-AU"/>
              </w:rPr>
              <w:t>10</w:t>
            </w:r>
            <w:r w:rsidR="008B72B8" w:rsidRPr="00DC41AF">
              <w:rPr>
                <w:sz w:val="24"/>
                <w:szCs w:val="24"/>
                <w:vertAlign w:val="superscript"/>
                <w:lang w:val="en-AU"/>
              </w:rPr>
              <w:t>9</w:t>
            </w:r>
            <w:r w:rsidR="008B72B8" w:rsidRPr="00DC41AF">
              <w:rPr>
                <w:sz w:val="24"/>
                <w:szCs w:val="24"/>
                <w:lang w:val="en-AU"/>
              </w:rPr>
              <w:t>/L)</w:t>
            </w:r>
          </w:p>
        </w:tc>
        <w:tc>
          <w:tcPr>
            <w:tcW w:w="2040" w:type="dxa"/>
            <w:tcBorders>
              <w:top w:val="single" w:sz="6" w:space="0" w:color="000000"/>
              <w:left w:val="single" w:sz="6" w:space="0" w:color="000000"/>
              <w:bottom w:val="single" w:sz="6" w:space="0" w:color="000000"/>
              <w:right w:val="single" w:sz="6" w:space="0" w:color="000000"/>
            </w:tcBorders>
            <w:vAlign w:val="center"/>
          </w:tcPr>
          <w:p w:rsidR="008B72B8" w:rsidRPr="00DC41AF" w:rsidRDefault="004A185D" w:rsidP="008B72B8">
            <w:pPr>
              <w:jc w:val="both"/>
              <w:rPr>
                <w:sz w:val="24"/>
                <w:szCs w:val="24"/>
                <w:lang w:val="en-AU"/>
              </w:rPr>
            </w:pPr>
            <w:r>
              <w:rPr>
                <w:sz w:val="24"/>
                <w:szCs w:val="24"/>
                <w:lang w:val="en-AU"/>
              </w:rPr>
              <w:t>Platelets (x </w:t>
            </w:r>
            <w:r w:rsidR="008B72B8" w:rsidRPr="00DC41AF">
              <w:rPr>
                <w:sz w:val="24"/>
                <w:szCs w:val="24"/>
                <w:lang w:val="en-AU"/>
              </w:rPr>
              <w:t>10</w:t>
            </w:r>
            <w:r w:rsidR="008B72B8" w:rsidRPr="00DC41AF">
              <w:rPr>
                <w:sz w:val="24"/>
                <w:szCs w:val="24"/>
                <w:vertAlign w:val="superscript"/>
                <w:lang w:val="en-AU"/>
              </w:rPr>
              <w:t>9</w:t>
            </w:r>
            <w:r w:rsidR="008B72B8" w:rsidRPr="00DC41AF">
              <w:rPr>
                <w:sz w:val="24"/>
                <w:szCs w:val="24"/>
                <w:lang w:val="en-AU"/>
              </w:rPr>
              <w:t>/L)</w:t>
            </w:r>
          </w:p>
        </w:tc>
        <w:tc>
          <w:tcPr>
            <w:tcW w:w="2760" w:type="dxa"/>
            <w:vMerge/>
            <w:tcBorders>
              <w:left w:val="single" w:sz="6" w:space="0" w:color="000000"/>
              <w:bottom w:val="single" w:sz="6" w:space="0" w:color="000000"/>
              <w:right w:val="single" w:sz="6" w:space="0" w:color="000000"/>
            </w:tcBorders>
            <w:vAlign w:val="center"/>
          </w:tcPr>
          <w:p w:rsidR="008B72B8" w:rsidRPr="00DC41AF" w:rsidRDefault="008B72B8" w:rsidP="008B72B8">
            <w:pPr>
              <w:jc w:val="both"/>
              <w:rPr>
                <w:sz w:val="24"/>
                <w:szCs w:val="24"/>
                <w:lang w:val="en-AU"/>
              </w:rPr>
            </w:pPr>
          </w:p>
        </w:tc>
      </w:tr>
      <w:tr w:rsidR="008B72B8" w:rsidRPr="00DC41AF" w:rsidTr="00A51FF8">
        <w:tc>
          <w:tcPr>
            <w:tcW w:w="2040" w:type="dxa"/>
            <w:tcBorders>
              <w:top w:val="single" w:sz="6" w:space="0" w:color="000000"/>
              <w:left w:val="single" w:sz="6" w:space="0" w:color="000000"/>
              <w:bottom w:val="single" w:sz="6" w:space="0" w:color="000000"/>
              <w:right w:val="single" w:sz="6" w:space="0" w:color="000000"/>
            </w:tcBorders>
            <w:vAlign w:val="center"/>
          </w:tcPr>
          <w:p w:rsidR="008B72B8" w:rsidRPr="00DC41AF" w:rsidRDefault="008B72B8" w:rsidP="00A51FF8">
            <w:pPr>
              <w:jc w:val="center"/>
              <w:rPr>
                <w:sz w:val="24"/>
                <w:szCs w:val="24"/>
                <w:lang w:val="en-AU"/>
              </w:rPr>
            </w:pPr>
            <w:r w:rsidRPr="00DC41AF">
              <w:rPr>
                <w:sz w:val="24"/>
                <w:szCs w:val="24"/>
                <w:lang w:val="en-AU"/>
              </w:rPr>
              <w:t>≤ 1.0</w:t>
            </w:r>
          </w:p>
        </w:tc>
        <w:tc>
          <w:tcPr>
            <w:tcW w:w="2040" w:type="dxa"/>
            <w:tcBorders>
              <w:top w:val="single" w:sz="6" w:space="0" w:color="000000"/>
              <w:left w:val="single" w:sz="6" w:space="0" w:color="000000"/>
              <w:bottom w:val="single" w:sz="6" w:space="0" w:color="000000"/>
              <w:right w:val="single" w:sz="6" w:space="0" w:color="000000"/>
            </w:tcBorders>
            <w:vAlign w:val="center"/>
          </w:tcPr>
          <w:p w:rsidR="008B72B8" w:rsidRPr="00DC41AF" w:rsidRDefault="008B72B8" w:rsidP="00A51FF8">
            <w:pPr>
              <w:jc w:val="center"/>
              <w:rPr>
                <w:sz w:val="24"/>
                <w:szCs w:val="24"/>
                <w:lang w:val="en-AU"/>
              </w:rPr>
            </w:pPr>
            <w:r w:rsidRPr="00DC41AF">
              <w:rPr>
                <w:sz w:val="24"/>
                <w:szCs w:val="24"/>
                <w:lang w:val="en-AU"/>
              </w:rPr>
              <w:t>≤ 50.0</w:t>
            </w:r>
          </w:p>
        </w:tc>
        <w:tc>
          <w:tcPr>
            <w:tcW w:w="2760" w:type="dxa"/>
            <w:tcBorders>
              <w:top w:val="single" w:sz="6" w:space="0" w:color="000000"/>
              <w:left w:val="single" w:sz="6" w:space="0" w:color="000000"/>
              <w:bottom w:val="single" w:sz="6" w:space="0" w:color="000000"/>
              <w:right w:val="single" w:sz="6" w:space="0" w:color="000000"/>
            </w:tcBorders>
            <w:vAlign w:val="center"/>
          </w:tcPr>
          <w:p w:rsidR="008B72B8" w:rsidRPr="00DC41AF" w:rsidRDefault="008B72B8" w:rsidP="00A51FF8">
            <w:pPr>
              <w:jc w:val="center"/>
              <w:rPr>
                <w:sz w:val="24"/>
                <w:szCs w:val="24"/>
                <w:lang w:val="en-AU"/>
              </w:rPr>
            </w:pPr>
            <w:r w:rsidRPr="00DC41AF">
              <w:rPr>
                <w:sz w:val="24"/>
                <w:szCs w:val="24"/>
                <w:lang w:val="en-AU"/>
              </w:rPr>
              <w:t>50%</w:t>
            </w:r>
          </w:p>
        </w:tc>
      </w:tr>
      <w:tr w:rsidR="008B72B8" w:rsidRPr="00DC41AF" w:rsidTr="00A51FF8">
        <w:tc>
          <w:tcPr>
            <w:tcW w:w="2040" w:type="dxa"/>
            <w:tcBorders>
              <w:top w:val="single" w:sz="6" w:space="0" w:color="000000"/>
              <w:left w:val="single" w:sz="6" w:space="0" w:color="000000"/>
              <w:bottom w:val="single" w:sz="6" w:space="0" w:color="000000"/>
              <w:right w:val="single" w:sz="6" w:space="0" w:color="000000"/>
            </w:tcBorders>
            <w:vAlign w:val="center"/>
          </w:tcPr>
          <w:p w:rsidR="008B72B8" w:rsidRPr="00DC41AF" w:rsidRDefault="008B72B8" w:rsidP="00A51FF8">
            <w:pPr>
              <w:jc w:val="center"/>
              <w:rPr>
                <w:sz w:val="24"/>
                <w:szCs w:val="24"/>
                <w:lang w:val="en-AU"/>
              </w:rPr>
            </w:pPr>
            <w:r w:rsidRPr="00DC41AF">
              <w:rPr>
                <w:sz w:val="24"/>
                <w:szCs w:val="24"/>
                <w:lang w:val="en-AU"/>
              </w:rPr>
              <w:t>&gt; 1.0</w:t>
            </w:r>
          </w:p>
        </w:tc>
        <w:tc>
          <w:tcPr>
            <w:tcW w:w="2040" w:type="dxa"/>
            <w:tcBorders>
              <w:top w:val="single" w:sz="6" w:space="0" w:color="000000"/>
              <w:left w:val="single" w:sz="6" w:space="0" w:color="000000"/>
              <w:bottom w:val="single" w:sz="6" w:space="0" w:color="000000"/>
              <w:right w:val="single" w:sz="6" w:space="0" w:color="000000"/>
            </w:tcBorders>
            <w:vAlign w:val="center"/>
          </w:tcPr>
          <w:p w:rsidR="008B72B8" w:rsidRPr="00DC41AF" w:rsidRDefault="008B72B8" w:rsidP="00A51FF8">
            <w:pPr>
              <w:jc w:val="center"/>
              <w:rPr>
                <w:sz w:val="24"/>
                <w:szCs w:val="24"/>
                <w:lang w:val="en-AU"/>
              </w:rPr>
            </w:pPr>
            <w:r w:rsidRPr="00DC41AF">
              <w:rPr>
                <w:sz w:val="24"/>
                <w:szCs w:val="24"/>
                <w:lang w:val="en-AU"/>
              </w:rPr>
              <w:t>&gt; 50.0</w:t>
            </w:r>
          </w:p>
        </w:tc>
        <w:tc>
          <w:tcPr>
            <w:tcW w:w="2760" w:type="dxa"/>
            <w:tcBorders>
              <w:top w:val="single" w:sz="6" w:space="0" w:color="000000"/>
              <w:left w:val="single" w:sz="6" w:space="0" w:color="000000"/>
              <w:bottom w:val="single" w:sz="6" w:space="0" w:color="000000"/>
              <w:right w:val="single" w:sz="6" w:space="0" w:color="000000"/>
            </w:tcBorders>
            <w:vAlign w:val="center"/>
          </w:tcPr>
          <w:p w:rsidR="008B72B8" w:rsidRPr="00DC41AF" w:rsidRDefault="008B72B8" w:rsidP="00A51FF8">
            <w:pPr>
              <w:jc w:val="center"/>
              <w:rPr>
                <w:sz w:val="24"/>
                <w:szCs w:val="24"/>
                <w:lang w:val="en-AU"/>
              </w:rPr>
            </w:pPr>
            <w:r w:rsidRPr="00DC41AF">
              <w:rPr>
                <w:sz w:val="24"/>
                <w:szCs w:val="24"/>
                <w:lang w:val="en-AU"/>
              </w:rPr>
              <w:t>100%</w:t>
            </w:r>
          </w:p>
        </w:tc>
      </w:tr>
    </w:tbl>
    <w:p w:rsidR="008B72B8" w:rsidRPr="00DC41AF" w:rsidRDefault="004A185D" w:rsidP="008B72B8">
      <w:pPr>
        <w:jc w:val="both"/>
        <w:rPr>
          <w:sz w:val="24"/>
          <w:szCs w:val="24"/>
          <w:lang w:val="en-AU"/>
        </w:rPr>
      </w:pPr>
      <w:r>
        <w:rPr>
          <w:sz w:val="24"/>
          <w:szCs w:val="24"/>
          <w:lang w:val="en-AU"/>
        </w:rPr>
        <w:tab/>
        <w:t>*recovery = </w:t>
      </w:r>
      <w:r w:rsidR="00FA7BEE" w:rsidRPr="00DC41AF">
        <w:rPr>
          <w:sz w:val="24"/>
          <w:szCs w:val="24"/>
          <w:lang w:val="en-AU"/>
        </w:rPr>
        <w:t>counts</w:t>
      </w:r>
      <w:r>
        <w:rPr>
          <w:sz w:val="24"/>
          <w:szCs w:val="24"/>
          <w:lang w:val="en-AU"/>
        </w:rPr>
        <w:t> </w:t>
      </w:r>
      <w:r w:rsidR="00FA7BEE" w:rsidRPr="00DC41AF">
        <w:rPr>
          <w:sz w:val="24"/>
          <w:szCs w:val="24"/>
          <w:lang w:val="en-AU"/>
        </w:rPr>
        <w:t>≥</w:t>
      </w:r>
      <w:r w:rsidR="0050092E" w:rsidRPr="00DC41AF">
        <w:rPr>
          <w:sz w:val="24"/>
          <w:szCs w:val="24"/>
          <w:lang w:val="en-AU"/>
        </w:rPr>
        <w:t> </w:t>
      </w:r>
      <w:r w:rsidR="00FA7BEE" w:rsidRPr="00DC41AF">
        <w:rPr>
          <w:sz w:val="24"/>
          <w:szCs w:val="24"/>
          <w:lang w:val="en-AU"/>
        </w:rPr>
        <w:t>Nadir count + (0.5 x [Baseline count</w:t>
      </w:r>
      <w:r w:rsidR="001C1C9A" w:rsidRPr="00DC41AF">
        <w:rPr>
          <w:sz w:val="24"/>
          <w:szCs w:val="24"/>
          <w:lang w:val="en-AU"/>
        </w:rPr>
        <w:t xml:space="preserve"> </w:t>
      </w:r>
      <w:r w:rsidR="00FA7BEE" w:rsidRPr="00DC41AF">
        <w:rPr>
          <w:sz w:val="24"/>
          <w:szCs w:val="24"/>
          <w:lang w:val="en-AU"/>
        </w:rPr>
        <w:t>- Nadir count])</w:t>
      </w:r>
    </w:p>
    <w:p w:rsidR="00FA7BEE" w:rsidRPr="00DC41AF" w:rsidRDefault="00FA7BEE" w:rsidP="008B72B8">
      <w:pPr>
        <w:jc w:val="both"/>
        <w:rPr>
          <w:sz w:val="24"/>
          <w:szCs w:val="24"/>
          <w:u w:val="single"/>
          <w:lang w:val="en-AU"/>
        </w:rPr>
      </w:pPr>
    </w:p>
    <w:p w:rsidR="008B72B8" w:rsidRPr="00DC41AF" w:rsidRDefault="00200422" w:rsidP="00426D9F">
      <w:pPr>
        <w:keepNext/>
        <w:rPr>
          <w:bCs/>
          <w:sz w:val="24"/>
          <w:szCs w:val="24"/>
          <w:u w:val="single"/>
          <w:lang w:val="en-AU"/>
        </w:rPr>
      </w:pPr>
      <w:r w:rsidRPr="00DC41AF">
        <w:rPr>
          <w:bCs/>
          <w:sz w:val="24"/>
          <w:szCs w:val="24"/>
          <w:u w:val="single"/>
          <w:lang w:val="en-AU"/>
        </w:rPr>
        <w:t xml:space="preserve">Patients with reduced </w:t>
      </w:r>
      <w:r w:rsidR="004A185D">
        <w:rPr>
          <w:bCs/>
          <w:sz w:val="24"/>
          <w:szCs w:val="24"/>
          <w:u w:val="single"/>
          <w:lang w:val="en-AU"/>
        </w:rPr>
        <w:t>baseline blood counts (i.e. WBC </w:t>
      </w:r>
      <w:r w:rsidRPr="00DC41AF">
        <w:rPr>
          <w:bCs/>
          <w:sz w:val="24"/>
          <w:szCs w:val="24"/>
          <w:u w:val="single"/>
          <w:lang w:val="en-AU"/>
        </w:rPr>
        <w:t>&lt; 3.0</w:t>
      </w:r>
      <w:r w:rsidR="004A185D">
        <w:rPr>
          <w:bCs/>
          <w:sz w:val="24"/>
          <w:szCs w:val="24"/>
          <w:u w:val="single"/>
          <w:lang w:val="en-AU"/>
        </w:rPr>
        <w:t> </w:t>
      </w:r>
      <w:r w:rsidRPr="00DC41AF">
        <w:rPr>
          <w:bCs/>
          <w:sz w:val="24"/>
          <w:szCs w:val="24"/>
          <w:u w:val="single"/>
          <w:lang w:val="en-AU"/>
        </w:rPr>
        <w:t>x</w:t>
      </w:r>
      <w:r w:rsidR="004A185D">
        <w:rPr>
          <w:bCs/>
          <w:sz w:val="24"/>
          <w:szCs w:val="24"/>
          <w:u w:val="single"/>
          <w:lang w:val="en-AU"/>
        </w:rPr>
        <w:t> </w:t>
      </w:r>
      <w:r w:rsidRPr="00DC41AF">
        <w:rPr>
          <w:bCs/>
          <w:sz w:val="24"/>
          <w:szCs w:val="24"/>
          <w:u w:val="single"/>
          <w:lang w:val="en-AU"/>
        </w:rPr>
        <w:t>10</w:t>
      </w:r>
      <w:r w:rsidRPr="00DC41AF">
        <w:rPr>
          <w:bCs/>
          <w:sz w:val="24"/>
          <w:szCs w:val="24"/>
          <w:u w:val="single"/>
          <w:vertAlign w:val="superscript"/>
          <w:lang w:val="en-AU"/>
        </w:rPr>
        <w:t>9</w:t>
      </w:r>
      <w:r w:rsidR="004A185D">
        <w:rPr>
          <w:bCs/>
          <w:sz w:val="24"/>
          <w:szCs w:val="24"/>
          <w:u w:val="single"/>
          <w:lang w:val="en-AU"/>
        </w:rPr>
        <w:t>/L, ANC &lt; 1.5 </w:t>
      </w:r>
      <w:r w:rsidRPr="00DC41AF">
        <w:rPr>
          <w:bCs/>
          <w:sz w:val="24"/>
          <w:szCs w:val="24"/>
          <w:u w:val="single"/>
          <w:lang w:val="en-AU"/>
        </w:rPr>
        <w:t>x 10</w:t>
      </w:r>
      <w:r w:rsidRPr="00DC41AF">
        <w:rPr>
          <w:bCs/>
          <w:sz w:val="24"/>
          <w:szCs w:val="24"/>
          <w:u w:val="single"/>
          <w:vertAlign w:val="superscript"/>
          <w:lang w:val="en-AU"/>
        </w:rPr>
        <w:t>9</w:t>
      </w:r>
      <w:r w:rsidR="004A185D">
        <w:rPr>
          <w:bCs/>
          <w:sz w:val="24"/>
          <w:szCs w:val="24"/>
          <w:u w:val="single"/>
          <w:lang w:val="en-AU"/>
        </w:rPr>
        <w:t>/L, or platelets &lt; 75.0 x </w:t>
      </w:r>
      <w:r w:rsidRPr="00DC41AF">
        <w:rPr>
          <w:bCs/>
          <w:sz w:val="24"/>
          <w:szCs w:val="24"/>
          <w:u w:val="single"/>
          <w:lang w:val="en-AU"/>
        </w:rPr>
        <w:t>10</w:t>
      </w:r>
      <w:r w:rsidRPr="00DC41AF">
        <w:rPr>
          <w:bCs/>
          <w:sz w:val="24"/>
          <w:szCs w:val="24"/>
          <w:u w:val="single"/>
          <w:vertAlign w:val="superscript"/>
          <w:lang w:val="en-AU"/>
        </w:rPr>
        <w:t>9</w:t>
      </w:r>
      <w:r w:rsidRPr="00DC41AF">
        <w:rPr>
          <w:bCs/>
          <w:sz w:val="24"/>
          <w:szCs w:val="24"/>
          <w:u w:val="single"/>
          <w:lang w:val="en-AU"/>
        </w:rPr>
        <w:t>/L) prior to the first treatment</w:t>
      </w:r>
    </w:p>
    <w:p w:rsidR="008B72B8" w:rsidRPr="00DC41AF" w:rsidRDefault="008B72B8" w:rsidP="0050092E">
      <w:pPr>
        <w:spacing w:before="120"/>
        <w:rPr>
          <w:sz w:val="24"/>
          <w:szCs w:val="24"/>
          <w:lang w:val="en-AU"/>
        </w:rPr>
      </w:pPr>
      <w:r w:rsidRPr="00DC41AF">
        <w:rPr>
          <w:sz w:val="24"/>
          <w:szCs w:val="24"/>
          <w:lang w:val="en-AU"/>
        </w:rPr>
        <w:t>If the decrease in WBC or ANC or platelets from that prior to treatment is less than 50%, or greater than 50% but with an improvement in any cell line differentiation, the next cycle should not be delayed and no dose adjustment made.</w:t>
      </w:r>
    </w:p>
    <w:p w:rsidR="008B72B8" w:rsidRPr="00DC41AF" w:rsidRDefault="008B72B8" w:rsidP="00426D9F">
      <w:pPr>
        <w:rPr>
          <w:sz w:val="24"/>
          <w:szCs w:val="24"/>
          <w:lang w:val="en-AU"/>
        </w:rPr>
      </w:pPr>
    </w:p>
    <w:p w:rsidR="008B72B8" w:rsidRPr="00DC41AF" w:rsidRDefault="008B72B8" w:rsidP="00426D9F">
      <w:pPr>
        <w:rPr>
          <w:sz w:val="24"/>
          <w:szCs w:val="24"/>
          <w:lang w:val="en-AU"/>
        </w:rPr>
      </w:pPr>
      <w:r w:rsidRPr="00DC41AF">
        <w:rPr>
          <w:sz w:val="24"/>
          <w:szCs w:val="24"/>
          <w:lang w:val="en-AU"/>
        </w:rPr>
        <w:t xml:space="preserve">If the decrease in WBC or ANC or platelets is greater than 50% from that prior to treatment, with no improvement in cell line differentiation, the next cycle of Vidaza therapy should be delayed until the platelet count and the ANC have recovered </w:t>
      </w:r>
      <w:r w:rsidR="005C0CBE" w:rsidRPr="00DC41AF">
        <w:rPr>
          <w:sz w:val="24"/>
          <w:szCs w:val="24"/>
          <w:lang w:val="en-AU"/>
        </w:rPr>
        <w:t>{</w:t>
      </w:r>
      <w:r w:rsidR="005273A4" w:rsidRPr="00DC41AF">
        <w:rPr>
          <w:sz w:val="24"/>
          <w:szCs w:val="24"/>
          <w:lang w:val="en-AU"/>
        </w:rPr>
        <w:t>counts</w:t>
      </w:r>
      <w:r w:rsidR="004A185D">
        <w:rPr>
          <w:sz w:val="24"/>
          <w:szCs w:val="24"/>
          <w:lang w:val="en-AU"/>
        </w:rPr>
        <w:t> </w:t>
      </w:r>
      <w:r w:rsidR="005273A4" w:rsidRPr="00DC41AF">
        <w:rPr>
          <w:sz w:val="24"/>
          <w:szCs w:val="24"/>
          <w:lang w:val="en-AU"/>
        </w:rPr>
        <w:t>≥ </w:t>
      </w:r>
      <w:r w:rsidRPr="00DC41AF">
        <w:rPr>
          <w:sz w:val="24"/>
          <w:szCs w:val="24"/>
          <w:lang w:val="en-AU"/>
        </w:rPr>
        <w:t>Nadir Count + (0.5 x [Baseline Count – Nadir Count])</w:t>
      </w:r>
      <w:r w:rsidR="005C0CBE" w:rsidRPr="00DC41AF">
        <w:rPr>
          <w:sz w:val="24"/>
          <w:szCs w:val="24"/>
          <w:lang w:val="en-AU"/>
        </w:rPr>
        <w:t>}</w:t>
      </w:r>
      <w:r w:rsidRPr="00DC41AF">
        <w:rPr>
          <w:sz w:val="24"/>
          <w:szCs w:val="24"/>
          <w:lang w:val="en-AU"/>
        </w:rPr>
        <w:t xml:space="preserve"> and, if recovery has not been achieved within 14</w:t>
      </w:r>
      <w:r w:rsidR="0050092E" w:rsidRPr="00DC41AF">
        <w:rPr>
          <w:sz w:val="24"/>
          <w:szCs w:val="24"/>
          <w:lang w:val="en-AU"/>
        </w:rPr>
        <w:t> </w:t>
      </w:r>
      <w:r w:rsidRPr="00DC41AF">
        <w:rPr>
          <w:sz w:val="24"/>
          <w:szCs w:val="24"/>
          <w:lang w:val="en-AU"/>
        </w:rPr>
        <w:t xml:space="preserve">days, bone marrow </w:t>
      </w:r>
      <w:proofErr w:type="spellStart"/>
      <w:r w:rsidRPr="00DC41AF">
        <w:rPr>
          <w:sz w:val="24"/>
          <w:szCs w:val="24"/>
          <w:lang w:val="en-AU"/>
        </w:rPr>
        <w:t>cellularity</w:t>
      </w:r>
      <w:proofErr w:type="spellEnd"/>
      <w:r w:rsidRPr="00DC41AF">
        <w:rPr>
          <w:sz w:val="24"/>
          <w:szCs w:val="24"/>
          <w:lang w:val="en-AU"/>
        </w:rPr>
        <w:t xml:space="preserve"> must be determined. If the bone marrow </w:t>
      </w:r>
      <w:proofErr w:type="spellStart"/>
      <w:r w:rsidRPr="00DC41AF">
        <w:rPr>
          <w:sz w:val="24"/>
          <w:szCs w:val="24"/>
          <w:lang w:val="en-AU"/>
        </w:rPr>
        <w:t>cellularity</w:t>
      </w:r>
      <w:proofErr w:type="spellEnd"/>
      <w:r w:rsidRPr="00DC41AF">
        <w:rPr>
          <w:sz w:val="24"/>
          <w:szCs w:val="24"/>
          <w:lang w:val="en-AU"/>
        </w:rPr>
        <w:t xml:space="preserve"> is &gt; 50% no dose adjustments should be made. If bone marrow </w:t>
      </w:r>
      <w:proofErr w:type="spellStart"/>
      <w:r w:rsidRPr="00DC41AF">
        <w:rPr>
          <w:sz w:val="24"/>
          <w:szCs w:val="24"/>
          <w:lang w:val="en-AU"/>
        </w:rPr>
        <w:t>cellularity</w:t>
      </w:r>
      <w:proofErr w:type="spellEnd"/>
      <w:r w:rsidRPr="00DC41AF">
        <w:rPr>
          <w:sz w:val="24"/>
          <w:szCs w:val="24"/>
          <w:lang w:val="en-AU"/>
        </w:rPr>
        <w:t xml:space="preserve"> is ≤</w:t>
      </w:r>
      <w:r w:rsidR="002C7E55" w:rsidRPr="00DC41AF">
        <w:rPr>
          <w:sz w:val="24"/>
          <w:szCs w:val="24"/>
          <w:lang w:val="en-AU"/>
        </w:rPr>
        <w:t> </w:t>
      </w:r>
      <w:r w:rsidRPr="00DC41AF">
        <w:rPr>
          <w:sz w:val="24"/>
          <w:szCs w:val="24"/>
          <w:lang w:val="en-AU"/>
        </w:rPr>
        <w:t>50%, delay treatment and reduce the dose according to the following table:</w:t>
      </w:r>
    </w:p>
    <w:p w:rsidR="00040DA8" w:rsidRPr="00DC41AF" w:rsidRDefault="00040DA8" w:rsidP="008B72B8">
      <w:pPr>
        <w:jc w:val="both"/>
        <w:rPr>
          <w:sz w:val="24"/>
          <w:szCs w:val="24"/>
          <w:lang w:val="en-AU"/>
        </w:rPr>
      </w:pPr>
    </w:p>
    <w:tbl>
      <w:tblPr>
        <w:tblW w:w="7556" w:type="dxa"/>
        <w:jc w:val="center"/>
        <w:tblInd w:w="-577" w:type="dxa"/>
        <w:tblLayout w:type="fixed"/>
        <w:tblLook w:val="00BF"/>
      </w:tblPr>
      <w:tblGrid>
        <w:gridCol w:w="2756"/>
        <w:gridCol w:w="2391"/>
        <w:gridCol w:w="2409"/>
      </w:tblGrid>
      <w:tr w:rsidR="008B72B8" w:rsidRPr="00DC41AF" w:rsidTr="00A51FF8">
        <w:trPr>
          <w:jc w:val="center"/>
        </w:trPr>
        <w:tc>
          <w:tcPr>
            <w:tcW w:w="2756" w:type="dxa"/>
            <w:tcBorders>
              <w:top w:val="single" w:sz="6" w:space="0" w:color="000000"/>
              <w:left w:val="single" w:sz="6" w:space="0" w:color="000000"/>
              <w:bottom w:val="single" w:sz="4" w:space="0" w:color="auto"/>
              <w:right w:val="single" w:sz="4" w:space="0" w:color="auto"/>
            </w:tcBorders>
          </w:tcPr>
          <w:p w:rsidR="008B72B8" w:rsidRPr="00DC41AF" w:rsidRDefault="008B72B8" w:rsidP="00CD174E">
            <w:pPr>
              <w:rPr>
                <w:sz w:val="24"/>
                <w:szCs w:val="24"/>
                <w:lang w:val="en-AU"/>
              </w:rPr>
            </w:pPr>
            <w:r w:rsidRPr="00DC41AF">
              <w:rPr>
                <w:sz w:val="24"/>
                <w:szCs w:val="24"/>
                <w:lang w:val="en-AU"/>
              </w:rPr>
              <w:t>Bone</w:t>
            </w:r>
            <w:r w:rsidR="00CD174E" w:rsidRPr="00DC41AF">
              <w:rPr>
                <w:sz w:val="24"/>
                <w:szCs w:val="24"/>
                <w:lang w:val="en-AU"/>
              </w:rPr>
              <w:t xml:space="preserve"> </w:t>
            </w:r>
            <w:r w:rsidRPr="00DC41AF">
              <w:rPr>
                <w:sz w:val="24"/>
                <w:szCs w:val="24"/>
                <w:lang w:val="en-AU"/>
              </w:rPr>
              <w:t xml:space="preserve">marrow </w:t>
            </w:r>
            <w:proofErr w:type="spellStart"/>
            <w:r w:rsidRPr="00DC41AF">
              <w:rPr>
                <w:sz w:val="24"/>
                <w:szCs w:val="24"/>
                <w:lang w:val="en-AU"/>
              </w:rPr>
              <w:t>cellularity</w:t>
            </w:r>
            <w:proofErr w:type="spellEnd"/>
          </w:p>
        </w:tc>
        <w:tc>
          <w:tcPr>
            <w:tcW w:w="4800" w:type="dxa"/>
            <w:gridSpan w:val="2"/>
            <w:tcBorders>
              <w:top w:val="single" w:sz="6" w:space="0" w:color="000000"/>
              <w:left w:val="single" w:sz="4" w:space="0" w:color="auto"/>
              <w:bottom w:val="single" w:sz="4" w:space="0" w:color="auto"/>
              <w:right w:val="single" w:sz="6" w:space="0" w:color="000000"/>
            </w:tcBorders>
          </w:tcPr>
          <w:p w:rsidR="008B72B8" w:rsidRPr="00DC41AF" w:rsidRDefault="008B72B8" w:rsidP="00A51FF8">
            <w:pPr>
              <w:jc w:val="center"/>
              <w:rPr>
                <w:sz w:val="24"/>
                <w:szCs w:val="24"/>
                <w:lang w:val="en-AU"/>
              </w:rPr>
            </w:pPr>
            <w:r w:rsidRPr="00DC41AF">
              <w:rPr>
                <w:sz w:val="24"/>
                <w:szCs w:val="24"/>
                <w:lang w:val="en-AU"/>
              </w:rPr>
              <w:t>% Dose in the next cycle</w:t>
            </w:r>
            <w:r w:rsidR="00FA7BEE" w:rsidRPr="00DC41AF">
              <w:rPr>
                <w:sz w:val="24"/>
                <w:szCs w:val="24"/>
                <w:lang w:val="en-AU"/>
              </w:rPr>
              <w:t xml:space="preserve"> if recovery is not achieved within 14</w:t>
            </w:r>
            <w:r w:rsidR="0050092E" w:rsidRPr="00DC41AF">
              <w:rPr>
                <w:sz w:val="24"/>
                <w:szCs w:val="24"/>
                <w:lang w:val="en-AU"/>
              </w:rPr>
              <w:t> </w:t>
            </w:r>
            <w:r w:rsidR="00FA7BEE" w:rsidRPr="00DC41AF">
              <w:rPr>
                <w:sz w:val="24"/>
                <w:szCs w:val="24"/>
                <w:lang w:val="en-AU"/>
              </w:rPr>
              <w:t>days</w:t>
            </w:r>
          </w:p>
        </w:tc>
      </w:tr>
      <w:tr w:rsidR="008B72B8" w:rsidRPr="00DC41AF" w:rsidTr="00A51FF8">
        <w:trPr>
          <w:jc w:val="center"/>
        </w:trPr>
        <w:tc>
          <w:tcPr>
            <w:tcW w:w="2756" w:type="dxa"/>
            <w:tcBorders>
              <w:top w:val="single" w:sz="4" w:space="0" w:color="auto"/>
              <w:left w:val="single" w:sz="6" w:space="0" w:color="000000"/>
              <w:bottom w:val="single" w:sz="4" w:space="0" w:color="auto"/>
              <w:right w:val="single" w:sz="4" w:space="0" w:color="auto"/>
            </w:tcBorders>
          </w:tcPr>
          <w:p w:rsidR="008B72B8" w:rsidRPr="00DC41AF" w:rsidRDefault="008B72B8" w:rsidP="008B72B8">
            <w:pPr>
              <w:jc w:val="both"/>
              <w:rPr>
                <w:sz w:val="24"/>
                <w:szCs w:val="24"/>
                <w:lang w:val="en-AU"/>
              </w:rPr>
            </w:pPr>
          </w:p>
        </w:tc>
        <w:tc>
          <w:tcPr>
            <w:tcW w:w="2391" w:type="dxa"/>
            <w:tcBorders>
              <w:top w:val="single" w:sz="4" w:space="0" w:color="auto"/>
              <w:left w:val="single" w:sz="4" w:space="0" w:color="auto"/>
              <w:bottom w:val="single" w:sz="4" w:space="0" w:color="auto"/>
              <w:right w:val="single" w:sz="6" w:space="0" w:color="000000"/>
            </w:tcBorders>
          </w:tcPr>
          <w:p w:rsidR="008B72B8" w:rsidRPr="00DC41AF" w:rsidRDefault="008B72B8" w:rsidP="008B72B8">
            <w:pPr>
              <w:jc w:val="both"/>
              <w:rPr>
                <w:sz w:val="24"/>
                <w:szCs w:val="24"/>
                <w:lang w:val="en-AU"/>
              </w:rPr>
            </w:pPr>
            <w:r w:rsidRPr="00DC41AF">
              <w:rPr>
                <w:sz w:val="24"/>
                <w:szCs w:val="24"/>
                <w:lang w:val="en-AU"/>
              </w:rPr>
              <w:t>Recovery</w:t>
            </w:r>
            <w:r w:rsidRPr="00DC41AF">
              <w:rPr>
                <w:sz w:val="24"/>
                <w:szCs w:val="24"/>
                <w:vertAlign w:val="superscript"/>
                <w:lang w:val="en-AU"/>
              </w:rPr>
              <w:t>*</w:t>
            </w:r>
            <w:r w:rsidRPr="00DC41AF">
              <w:rPr>
                <w:sz w:val="24"/>
                <w:szCs w:val="24"/>
                <w:lang w:val="en-AU"/>
              </w:rPr>
              <w:t xml:space="preserve"> ≤</w:t>
            </w:r>
            <w:r w:rsidR="00672EE1" w:rsidRPr="00DC41AF">
              <w:rPr>
                <w:sz w:val="24"/>
                <w:szCs w:val="24"/>
                <w:lang w:val="en-AU"/>
              </w:rPr>
              <w:t> </w:t>
            </w:r>
            <w:r w:rsidRPr="00DC41AF">
              <w:rPr>
                <w:sz w:val="24"/>
                <w:szCs w:val="24"/>
                <w:lang w:val="en-AU"/>
              </w:rPr>
              <w:t>21</w:t>
            </w:r>
            <w:r w:rsidR="0050092E" w:rsidRPr="00DC41AF">
              <w:rPr>
                <w:sz w:val="24"/>
                <w:szCs w:val="24"/>
                <w:lang w:val="en-AU"/>
              </w:rPr>
              <w:t> </w:t>
            </w:r>
            <w:r w:rsidRPr="00DC41AF">
              <w:rPr>
                <w:sz w:val="24"/>
                <w:szCs w:val="24"/>
                <w:lang w:val="en-AU"/>
              </w:rPr>
              <w:t>days</w:t>
            </w:r>
          </w:p>
        </w:tc>
        <w:tc>
          <w:tcPr>
            <w:tcW w:w="2409" w:type="dxa"/>
            <w:tcBorders>
              <w:top w:val="single" w:sz="4" w:space="0" w:color="auto"/>
              <w:bottom w:val="single" w:sz="4" w:space="0" w:color="auto"/>
              <w:right w:val="single" w:sz="6" w:space="0" w:color="000000"/>
            </w:tcBorders>
          </w:tcPr>
          <w:p w:rsidR="008B72B8" w:rsidRPr="00DC41AF" w:rsidRDefault="008B72B8" w:rsidP="0050092E">
            <w:pPr>
              <w:jc w:val="both"/>
              <w:rPr>
                <w:sz w:val="24"/>
                <w:szCs w:val="24"/>
                <w:lang w:val="en-AU"/>
              </w:rPr>
            </w:pPr>
            <w:r w:rsidRPr="00DC41AF">
              <w:rPr>
                <w:sz w:val="24"/>
                <w:szCs w:val="24"/>
                <w:lang w:val="en-AU"/>
              </w:rPr>
              <w:t>Recovery</w:t>
            </w:r>
            <w:r w:rsidRPr="00DC41AF">
              <w:rPr>
                <w:sz w:val="24"/>
                <w:szCs w:val="24"/>
                <w:vertAlign w:val="superscript"/>
                <w:lang w:val="en-AU"/>
              </w:rPr>
              <w:t>*</w:t>
            </w:r>
            <w:r w:rsidRPr="00DC41AF">
              <w:rPr>
                <w:sz w:val="24"/>
                <w:szCs w:val="24"/>
                <w:lang w:val="en-AU"/>
              </w:rPr>
              <w:t xml:space="preserve"> &gt;</w:t>
            </w:r>
            <w:r w:rsidR="00672EE1" w:rsidRPr="00DC41AF">
              <w:rPr>
                <w:sz w:val="24"/>
                <w:szCs w:val="24"/>
                <w:lang w:val="en-AU"/>
              </w:rPr>
              <w:t> </w:t>
            </w:r>
            <w:r w:rsidRPr="00DC41AF">
              <w:rPr>
                <w:sz w:val="24"/>
                <w:szCs w:val="24"/>
                <w:lang w:val="en-AU"/>
              </w:rPr>
              <w:t>21</w:t>
            </w:r>
            <w:r w:rsidR="0050092E" w:rsidRPr="00DC41AF">
              <w:rPr>
                <w:sz w:val="24"/>
                <w:szCs w:val="24"/>
                <w:lang w:val="en-AU"/>
              </w:rPr>
              <w:t> </w:t>
            </w:r>
            <w:r w:rsidRPr="00DC41AF">
              <w:rPr>
                <w:sz w:val="24"/>
                <w:szCs w:val="24"/>
                <w:lang w:val="en-AU"/>
              </w:rPr>
              <w:t>days</w:t>
            </w:r>
          </w:p>
        </w:tc>
      </w:tr>
      <w:tr w:rsidR="008B72B8" w:rsidRPr="00DC41AF" w:rsidTr="00A51FF8">
        <w:trPr>
          <w:jc w:val="center"/>
        </w:trPr>
        <w:tc>
          <w:tcPr>
            <w:tcW w:w="2756" w:type="dxa"/>
            <w:tcBorders>
              <w:top w:val="single" w:sz="4" w:space="0" w:color="auto"/>
              <w:left w:val="single" w:sz="6" w:space="0" w:color="000000"/>
              <w:bottom w:val="single" w:sz="4" w:space="0" w:color="auto"/>
              <w:right w:val="single" w:sz="4" w:space="0" w:color="auto"/>
            </w:tcBorders>
          </w:tcPr>
          <w:p w:rsidR="008B72B8" w:rsidRPr="00DC41AF" w:rsidRDefault="008B72B8" w:rsidP="00A51FF8">
            <w:pPr>
              <w:jc w:val="center"/>
              <w:rPr>
                <w:sz w:val="24"/>
                <w:szCs w:val="24"/>
                <w:lang w:val="en-AU"/>
              </w:rPr>
            </w:pPr>
            <w:r w:rsidRPr="00DC41AF">
              <w:rPr>
                <w:sz w:val="24"/>
                <w:szCs w:val="24"/>
                <w:lang w:val="en-AU"/>
              </w:rPr>
              <w:t>15-50%</w:t>
            </w:r>
          </w:p>
        </w:tc>
        <w:tc>
          <w:tcPr>
            <w:tcW w:w="2391" w:type="dxa"/>
            <w:tcBorders>
              <w:top w:val="single" w:sz="4" w:space="0" w:color="auto"/>
              <w:left w:val="single" w:sz="4" w:space="0" w:color="auto"/>
              <w:bottom w:val="single" w:sz="4" w:space="0" w:color="auto"/>
              <w:right w:val="single" w:sz="4" w:space="0" w:color="auto"/>
            </w:tcBorders>
          </w:tcPr>
          <w:p w:rsidR="008B72B8" w:rsidRPr="00DC41AF" w:rsidRDefault="008B72B8" w:rsidP="00A51FF8">
            <w:pPr>
              <w:jc w:val="center"/>
              <w:rPr>
                <w:sz w:val="24"/>
                <w:szCs w:val="24"/>
                <w:lang w:val="en-AU"/>
              </w:rPr>
            </w:pPr>
            <w:r w:rsidRPr="00DC41AF">
              <w:rPr>
                <w:sz w:val="24"/>
                <w:szCs w:val="24"/>
                <w:lang w:val="en-AU"/>
              </w:rPr>
              <w:t>100</w:t>
            </w:r>
          </w:p>
        </w:tc>
        <w:tc>
          <w:tcPr>
            <w:tcW w:w="2409" w:type="dxa"/>
            <w:tcBorders>
              <w:top w:val="single" w:sz="4" w:space="0" w:color="auto"/>
              <w:left w:val="single" w:sz="4" w:space="0" w:color="auto"/>
              <w:bottom w:val="single" w:sz="4" w:space="0" w:color="auto"/>
              <w:right w:val="single" w:sz="6" w:space="0" w:color="000000"/>
            </w:tcBorders>
          </w:tcPr>
          <w:p w:rsidR="008B72B8" w:rsidRPr="00DC41AF" w:rsidRDefault="008B72B8" w:rsidP="00A51FF8">
            <w:pPr>
              <w:jc w:val="center"/>
              <w:rPr>
                <w:sz w:val="24"/>
                <w:szCs w:val="24"/>
                <w:lang w:val="en-AU"/>
              </w:rPr>
            </w:pPr>
            <w:r w:rsidRPr="00DC41AF">
              <w:rPr>
                <w:sz w:val="24"/>
                <w:szCs w:val="24"/>
                <w:lang w:val="en-AU"/>
              </w:rPr>
              <w:t>50</w:t>
            </w:r>
          </w:p>
        </w:tc>
      </w:tr>
      <w:tr w:rsidR="008B72B8" w:rsidRPr="00DC41AF" w:rsidTr="00A51FF8">
        <w:trPr>
          <w:jc w:val="center"/>
        </w:trPr>
        <w:tc>
          <w:tcPr>
            <w:tcW w:w="2756" w:type="dxa"/>
            <w:tcBorders>
              <w:top w:val="single" w:sz="4" w:space="0" w:color="auto"/>
              <w:left w:val="single" w:sz="6" w:space="0" w:color="000000"/>
              <w:bottom w:val="single" w:sz="4" w:space="0" w:color="auto"/>
              <w:right w:val="single" w:sz="4" w:space="0" w:color="auto"/>
            </w:tcBorders>
          </w:tcPr>
          <w:p w:rsidR="008B72B8" w:rsidRPr="00DC41AF" w:rsidRDefault="008B72B8" w:rsidP="00A51FF8">
            <w:pPr>
              <w:jc w:val="center"/>
              <w:rPr>
                <w:sz w:val="24"/>
                <w:szCs w:val="24"/>
                <w:lang w:val="en-AU"/>
              </w:rPr>
            </w:pPr>
            <w:r w:rsidRPr="00DC41AF">
              <w:rPr>
                <w:sz w:val="24"/>
                <w:szCs w:val="24"/>
                <w:lang w:val="en-AU"/>
              </w:rPr>
              <w:t>&lt;</w:t>
            </w:r>
            <w:r w:rsidR="00672EE1" w:rsidRPr="00DC41AF">
              <w:rPr>
                <w:sz w:val="24"/>
                <w:szCs w:val="24"/>
                <w:lang w:val="en-AU"/>
              </w:rPr>
              <w:t> </w:t>
            </w:r>
            <w:r w:rsidRPr="00DC41AF">
              <w:rPr>
                <w:sz w:val="24"/>
                <w:szCs w:val="24"/>
                <w:lang w:val="en-AU"/>
              </w:rPr>
              <w:t>15%</w:t>
            </w:r>
          </w:p>
        </w:tc>
        <w:tc>
          <w:tcPr>
            <w:tcW w:w="2391" w:type="dxa"/>
            <w:tcBorders>
              <w:top w:val="single" w:sz="4" w:space="0" w:color="auto"/>
              <w:left w:val="single" w:sz="4" w:space="0" w:color="auto"/>
              <w:bottom w:val="single" w:sz="4" w:space="0" w:color="auto"/>
              <w:right w:val="single" w:sz="6" w:space="0" w:color="000000"/>
            </w:tcBorders>
          </w:tcPr>
          <w:p w:rsidR="008B72B8" w:rsidRPr="00DC41AF" w:rsidRDefault="008B72B8" w:rsidP="00A51FF8">
            <w:pPr>
              <w:jc w:val="center"/>
              <w:rPr>
                <w:sz w:val="24"/>
                <w:szCs w:val="24"/>
                <w:lang w:val="en-AU"/>
              </w:rPr>
            </w:pPr>
            <w:r w:rsidRPr="00DC41AF">
              <w:rPr>
                <w:sz w:val="24"/>
                <w:szCs w:val="24"/>
                <w:lang w:val="en-AU"/>
              </w:rPr>
              <w:t>100</w:t>
            </w:r>
          </w:p>
        </w:tc>
        <w:tc>
          <w:tcPr>
            <w:tcW w:w="2409" w:type="dxa"/>
            <w:tcBorders>
              <w:top w:val="single" w:sz="4" w:space="0" w:color="auto"/>
              <w:bottom w:val="single" w:sz="4" w:space="0" w:color="auto"/>
              <w:right w:val="single" w:sz="6" w:space="0" w:color="000000"/>
            </w:tcBorders>
          </w:tcPr>
          <w:p w:rsidR="008B72B8" w:rsidRPr="00DC41AF" w:rsidRDefault="008B72B8" w:rsidP="00A51FF8">
            <w:pPr>
              <w:jc w:val="center"/>
              <w:rPr>
                <w:sz w:val="24"/>
                <w:szCs w:val="24"/>
                <w:lang w:val="en-AU"/>
              </w:rPr>
            </w:pPr>
            <w:r w:rsidRPr="00DC41AF">
              <w:rPr>
                <w:sz w:val="24"/>
                <w:szCs w:val="24"/>
                <w:lang w:val="en-AU"/>
              </w:rPr>
              <w:t>33</w:t>
            </w:r>
          </w:p>
        </w:tc>
      </w:tr>
      <w:tr w:rsidR="008B72B8" w:rsidRPr="00DC41AF" w:rsidTr="00A51FF8">
        <w:trPr>
          <w:jc w:val="center"/>
        </w:trPr>
        <w:tc>
          <w:tcPr>
            <w:tcW w:w="7556" w:type="dxa"/>
            <w:gridSpan w:val="3"/>
            <w:tcBorders>
              <w:top w:val="single" w:sz="4" w:space="0" w:color="auto"/>
            </w:tcBorders>
          </w:tcPr>
          <w:p w:rsidR="008B72B8" w:rsidRPr="00DC41AF" w:rsidRDefault="008B72B8" w:rsidP="004A185D">
            <w:pPr>
              <w:jc w:val="both"/>
              <w:rPr>
                <w:sz w:val="22"/>
                <w:szCs w:val="22"/>
                <w:lang w:val="en-AU"/>
              </w:rPr>
            </w:pPr>
            <w:r w:rsidRPr="00DC41AF">
              <w:rPr>
                <w:sz w:val="22"/>
                <w:szCs w:val="22"/>
                <w:vertAlign w:val="superscript"/>
                <w:lang w:val="en-AU"/>
              </w:rPr>
              <w:t>*</w:t>
            </w:r>
            <w:r w:rsidRPr="00DC41AF">
              <w:rPr>
                <w:sz w:val="22"/>
                <w:szCs w:val="22"/>
                <w:lang w:val="en-AU"/>
              </w:rPr>
              <w:t>Recovery</w:t>
            </w:r>
            <w:r w:rsidR="004A185D">
              <w:rPr>
                <w:sz w:val="22"/>
                <w:szCs w:val="22"/>
                <w:lang w:val="en-AU"/>
              </w:rPr>
              <w:t> = counts </w:t>
            </w:r>
            <w:r w:rsidR="005273A4" w:rsidRPr="00DC41AF">
              <w:rPr>
                <w:sz w:val="22"/>
                <w:szCs w:val="22"/>
                <w:lang w:val="en-AU"/>
              </w:rPr>
              <w:t>≥</w:t>
            </w:r>
            <w:r w:rsidR="002C7E55" w:rsidRPr="00DC41AF">
              <w:rPr>
                <w:sz w:val="22"/>
                <w:szCs w:val="22"/>
                <w:lang w:val="en-AU"/>
              </w:rPr>
              <w:t> </w:t>
            </w:r>
            <w:r w:rsidRPr="00DC41AF">
              <w:rPr>
                <w:sz w:val="22"/>
                <w:szCs w:val="22"/>
                <w:lang w:val="en-AU"/>
              </w:rPr>
              <w:t>Nadir Count + (0.5 x [Baseline Count – Nadir Count])</w:t>
            </w:r>
          </w:p>
        </w:tc>
      </w:tr>
    </w:tbl>
    <w:p w:rsidR="00073DC3" w:rsidRPr="00DC41AF" w:rsidRDefault="00073DC3" w:rsidP="00DC41AF">
      <w:pPr>
        <w:rPr>
          <w:sz w:val="24"/>
          <w:szCs w:val="24"/>
          <w:lang w:val="en-AU"/>
        </w:rPr>
      </w:pPr>
    </w:p>
    <w:p w:rsidR="00073DC3" w:rsidRPr="00DC41AF" w:rsidRDefault="00073DC3" w:rsidP="00DC41AF">
      <w:pPr>
        <w:rPr>
          <w:sz w:val="24"/>
          <w:szCs w:val="24"/>
          <w:u w:val="single"/>
          <w:lang w:val="en-AU"/>
        </w:rPr>
      </w:pPr>
      <w:r w:rsidRPr="00DC41AF">
        <w:rPr>
          <w:sz w:val="24"/>
          <w:szCs w:val="24"/>
          <w:lang w:val="en-AU"/>
        </w:rPr>
        <w:t>Following dose modifications, the cycle duration should return to 28</w:t>
      </w:r>
      <w:r w:rsidR="0050092E" w:rsidRPr="00DC41AF">
        <w:rPr>
          <w:sz w:val="24"/>
          <w:szCs w:val="24"/>
          <w:lang w:val="en-AU"/>
        </w:rPr>
        <w:t> </w:t>
      </w:r>
      <w:r w:rsidRPr="00DC41AF">
        <w:rPr>
          <w:sz w:val="24"/>
          <w:szCs w:val="24"/>
          <w:lang w:val="en-AU"/>
        </w:rPr>
        <w:t>days.</w:t>
      </w:r>
    </w:p>
    <w:p w:rsidR="00073DC3" w:rsidRPr="00DC41AF" w:rsidRDefault="00073DC3" w:rsidP="00DC41AF">
      <w:pPr>
        <w:rPr>
          <w:sz w:val="24"/>
          <w:szCs w:val="24"/>
          <w:lang w:val="en-AU"/>
        </w:rPr>
      </w:pPr>
    </w:p>
    <w:p w:rsidR="00073DC3" w:rsidRPr="00DC41AF" w:rsidRDefault="00073DC3" w:rsidP="00DC41AF">
      <w:pPr>
        <w:keepNext/>
        <w:rPr>
          <w:b/>
          <w:sz w:val="24"/>
          <w:szCs w:val="24"/>
          <w:u w:val="single"/>
          <w:lang w:val="en-AU"/>
        </w:rPr>
      </w:pPr>
      <w:r w:rsidRPr="00DC41AF">
        <w:rPr>
          <w:b/>
          <w:sz w:val="24"/>
          <w:szCs w:val="24"/>
          <w:u w:val="single"/>
          <w:lang w:val="en-AU"/>
        </w:rPr>
        <w:t>Dose adjustment based on renal function and serum electrolytes:</w:t>
      </w:r>
    </w:p>
    <w:p w:rsidR="00404E77" w:rsidRPr="00DC41AF" w:rsidRDefault="00274F13" w:rsidP="00DC41AF">
      <w:pPr>
        <w:spacing w:before="120"/>
        <w:rPr>
          <w:sz w:val="24"/>
          <w:szCs w:val="24"/>
          <w:lang w:val="en-AU"/>
        </w:rPr>
      </w:pPr>
      <w:r w:rsidRPr="00DC41AF">
        <w:rPr>
          <w:sz w:val="24"/>
          <w:szCs w:val="24"/>
          <w:lang w:val="en-AU"/>
        </w:rPr>
        <w:t>If unexplained reductions in serum bicarbonate levels to less than 20 </w:t>
      </w:r>
      <w:proofErr w:type="spellStart"/>
      <w:r w:rsidRPr="00DC41AF">
        <w:rPr>
          <w:sz w:val="24"/>
          <w:szCs w:val="24"/>
          <w:lang w:val="en-AU"/>
        </w:rPr>
        <w:t>mmol</w:t>
      </w:r>
      <w:proofErr w:type="spellEnd"/>
      <w:r w:rsidRPr="00DC41AF">
        <w:rPr>
          <w:sz w:val="24"/>
          <w:szCs w:val="24"/>
          <w:lang w:val="en-AU"/>
        </w:rPr>
        <w:t xml:space="preserve">/L occur, the dose should be reduced by 50% on the next cycle. Similarly, if unexplained </w:t>
      </w:r>
      <w:r w:rsidR="006D61F2" w:rsidRPr="00DC41AF">
        <w:rPr>
          <w:sz w:val="24"/>
          <w:szCs w:val="24"/>
          <w:lang w:val="en-AU"/>
        </w:rPr>
        <w:t xml:space="preserve">and clinically significant </w:t>
      </w:r>
      <w:r w:rsidRPr="00DC41AF">
        <w:rPr>
          <w:sz w:val="24"/>
          <w:szCs w:val="24"/>
          <w:lang w:val="en-AU"/>
        </w:rPr>
        <w:t>elevations of serum creatinine or blood urea nitrogen (BUN) occur, the next cycle should be delayed until values return to normal or baseline and the dose should be reduced by 50% on the next treatment cycle</w:t>
      </w:r>
      <w:r w:rsidR="00404E77" w:rsidRPr="00DC41AF">
        <w:rPr>
          <w:sz w:val="24"/>
          <w:szCs w:val="24"/>
          <w:lang w:val="en-AU"/>
        </w:rPr>
        <w:t xml:space="preserve"> (</w:t>
      </w:r>
      <w:r w:rsidR="00D7668E" w:rsidRPr="00DC41AF">
        <w:rPr>
          <w:sz w:val="24"/>
          <w:szCs w:val="24"/>
          <w:lang w:val="en-AU"/>
        </w:rPr>
        <w:t>s</w:t>
      </w:r>
      <w:r w:rsidR="00404E77" w:rsidRPr="00DC41AF">
        <w:rPr>
          <w:sz w:val="24"/>
          <w:szCs w:val="24"/>
          <w:lang w:val="en-AU"/>
        </w:rPr>
        <w:t xml:space="preserve">ee </w:t>
      </w:r>
      <w:r w:rsidR="004D5EE4" w:rsidRPr="00DC41AF">
        <w:rPr>
          <w:sz w:val="24"/>
          <w:szCs w:val="24"/>
          <w:lang w:val="en-AU"/>
        </w:rPr>
        <w:t>PRECAUTIONS</w:t>
      </w:r>
      <w:r w:rsidR="004A185D">
        <w:rPr>
          <w:sz w:val="24"/>
          <w:szCs w:val="24"/>
          <w:lang w:val="en-AU"/>
        </w:rPr>
        <w:t>)</w:t>
      </w:r>
    </w:p>
    <w:p w:rsidR="006F3009" w:rsidRPr="00DC41AF" w:rsidRDefault="006F3009" w:rsidP="00DC41AF">
      <w:pPr>
        <w:rPr>
          <w:sz w:val="24"/>
          <w:szCs w:val="24"/>
          <w:lang w:val="en-AU"/>
        </w:rPr>
      </w:pPr>
    </w:p>
    <w:p w:rsidR="00FE0D45" w:rsidRPr="00DC41AF" w:rsidRDefault="00FE0D45" w:rsidP="00DC41AF">
      <w:pPr>
        <w:keepNext/>
        <w:rPr>
          <w:b/>
          <w:sz w:val="24"/>
          <w:szCs w:val="24"/>
          <w:u w:val="single"/>
          <w:lang w:val="en-AU"/>
        </w:rPr>
      </w:pPr>
      <w:r w:rsidRPr="00DC41AF">
        <w:rPr>
          <w:b/>
          <w:sz w:val="24"/>
          <w:szCs w:val="24"/>
          <w:u w:val="single"/>
          <w:lang w:val="en-AU"/>
        </w:rPr>
        <w:t>Preparation of Vidaza:</w:t>
      </w:r>
    </w:p>
    <w:p w:rsidR="00FE0D45" w:rsidRPr="00DC41AF" w:rsidRDefault="00FE0D45" w:rsidP="00DC41AF">
      <w:pPr>
        <w:pStyle w:val="Heading1"/>
        <w:keepNext w:val="0"/>
        <w:spacing w:before="120"/>
        <w:rPr>
          <w:rFonts w:ascii="Times New Roman" w:hAnsi="Times New Roman"/>
          <w:lang w:val="en-AU"/>
        </w:rPr>
      </w:pPr>
      <w:proofErr w:type="spellStart"/>
      <w:r w:rsidRPr="00DC41AF">
        <w:rPr>
          <w:rFonts w:ascii="Times New Roman" w:hAnsi="Times New Roman"/>
          <w:lang w:val="en-AU"/>
        </w:rPr>
        <w:t>Vidaza</w:t>
      </w:r>
      <w:proofErr w:type="spellEnd"/>
      <w:r w:rsidRPr="00DC41AF">
        <w:rPr>
          <w:rFonts w:ascii="Times New Roman" w:hAnsi="Times New Roman"/>
          <w:lang w:val="en-AU"/>
        </w:rPr>
        <w:t xml:space="preserve"> is a </w:t>
      </w:r>
      <w:proofErr w:type="spellStart"/>
      <w:r w:rsidRPr="00DC41AF">
        <w:rPr>
          <w:rFonts w:ascii="Times New Roman" w:hAnsi="Times New Roman"/>
          <w:lang w:val="en-AU"/>
        </w:rPr>
        <w:t>cytotoxic</w:t>
      </w:r>
      <w:proofErr w:type="spellEnd"/>
      <w:r w:rsidRPr="00DC41AF">
        <w:rPr>
          <w:rFonts w:ascii="Times New Roman" w:hAnsi="Times New Roman"/>
          <w:lang w:val="en-AU"/>
        </w:rPr>
        <w:t xml:space="preserve"> drug and, as with other potentially toxic compounds, caution should be exercised when handling and preparing Vidaza suspensions. </w:t>
      </w:r>
      <w:r w:rsidR="00C74E67" w:rsidRPr="00DC41AF">
        <w:rPr>
          <w:rFonts w:ascii="Times New Roman" w:hAnsi="Times New Roman"/>
          <w:lang w:val="en-AU"/>
        </w:rPr>
        <w:t>Procedures for proper handling and disposal of anticancer drugs should be applied.</w:t>
      </w:r>
    </w:p>
    <w:p w:rsidR="000C65F3" w:rsidRPr="00DC41AF" w:rsidRDefault="000C65F3" w:rsidP="00DC41AF">
      <w:pPr>
        <w:pStyle w:val="NormalWeb"/>
        <w:spacing w:before="0" w:after="0"/>
        <w:rPr>
          <w:rFonts w:ascii="Times New Roman" w:hAnsi="Times New Roman"/>
          <w:lang w:val="en-AU"/>
        </w:rPr>
      </w:pPr>
    </w:p>
    <w:p w:rsidR="003E76BC" w:rsidRPr="00DC41AF" w:rsidRDefault="00FE0D45" w:rsidP="00DC41AF">
      <w:pPr>
        <w:pStyle w:val="NormalWeb"/>
        <w:spacing w:before="0" w:after="0"/>
        <w:rPr>
          <w:rFonts w:ascii="Times New Roman" w:hAnsi="Times New Roman"/>
          <w:lang w:val="en-AU"/>
        </w:rPr>
      </w:pPr>
      <w:r w:rsidRPr="00DC41AF">
        <w:rPr>
          <w:rFonts w:ascii="Times New Roman" w:hAnsi="Times New Roman"/>
          <w:lang w:val="en-AU"/>
        </w:rPr>
        <w:t>If reconstituted Vidaza comes into contact with the skin, immediately and thoroughly wash with soap and water. If it comes into contact with mucous membranes, flush thoroughly with water.</w:t>
      </w:r>
    </w:p>
    <w:p w:rsidR="00CA4FAB" w:rsidRPr="00DC41AF" w:rsidRDefault="00CA4FAB" w:rsidP="00426D9F">
      <w:pPr>
        <w:pStyle w:val="NormalWeb"/>
        <w:spacing w:before="0" w:after="0"/>
        <w:rPr>
          <w:rFonts w:ascii="Times New Roman" w:hAnsi="Times New Roman"/>
          <w:lang w:val="en-AU"/>
        </w:rPr>
      </w:pPr>
    </w:p>
    <w:p w:rsidR="00AF2328" w:rsidRPr="00DC41AF" w:rsidRDefault="00AF2328" w:rsidP="00DC41AF">
      <w:pPr>
        <w:rPr>
          <w:sz w:val="24"/>
          <w:lang w:val="en-AU"/>
        </w:rPr>
      </w:pPr>
      <w:r w:rsidRPr="00DC41AF">
        <w:rPr>
          <w:sz w:val="24"/>
          <w:lang w:val="en-AU"/>
        </w:rPr>
        <w:lastRenderedPageBreak/>
        <w:t xml:space="preserve">The Vidaza vial is single-use and does not contain any preservatives. Unused portions of each vial should be discarded in accordance with local requirements for disposal of </w:t>
      </w:r>
      <w:proofErr w:type="spellStart"/>
      <w:r w:rsidRPr="00DC41AF">
        <w:rPr>
          <w:sz w:val="24"/>
          <w:lang w:val="en-AU"/>
        </w:rPr>
        <w:t>cytotoxic</w:t>
      </w:r>
      <w:proofErr w:type="spellEnd"/>
      <w:r w:rsidRPr="00DC41AF">
        <w:rPr>
          <w:sz w:val="24"/>
          <w:lang w:val="en-AU"/>
        </w:rPr>
        <w:t xml:space="preserve"> compounds.</w:t>
      </w:r>
    </w:p>
    <w:p w:rsidR="00AF2328" w:rsidRPr="00DC41AF" w:rsidRDefault="00AF2328" w:rsidP="00DC41AF">
      <w:pPr>
        <w:pStyle w:val="NormalWeb"/>
        <w:spacing w:before="0" w:after="0"/>
        <w:rPr>
          <w:rFonts w:ascii="Times New Roman" w:hAnsi="Times New Roman"/>
          <w:lang w:val="en-AU"/>
        </w:rPr>
      </w:pPr>
    </w:p>
    <w:p w:rsidR="00AF2328" w:rsidRPr="00DC41AF" w:rsidRDefault="00AF2328" w:rsidP="00DC41AF">
      <w:pPr>
        <w:pStyle w:val="NormalWeb"/>
        <w:keepNext/>
        <w:spacing w:before="0" w:after="0"/>
        <w:rPr>
          <w:rFonts w:ascii="Times New Roman" w:hAnsi="Times New Roman"/>
          <w:b/>
          <w:lang w:val="en-AU"/>
        </w:rPr>
      </w:pPr>
      <w:r w:rsidRPr="00DC41AF">
        <w:rPr>
          <w:rFonts w:ascii="Times New Roman" w:hAnsi="Times New Roman"/>
          <w:b/>
          <w:lang w:val="en-AU"/>
        </w:rPr>
        <w:t>Instructions for Subcutaneous Administration:</w:t>
      </w:r>
    </w:p>
    <w:p w:rsidR="009E6DE6" w:rsidRPr="00DC41AF" w:rsidRDefault="009E6DE6" w:rsidP="00DC41AF">
      <w:pPr>
        <w:pStyle w:val="Header"/>
        <w:tabs>
          <w:tab w:val="clear" w:pos="4320"/>
          <w:tab w:val="clear" w:pos="8640"/>
        </w:tabs>
        <w:spacing w:before="120"/>
        <w:rPr>
          <w:sz w:val="24"/>
          <w:szCs w:val="24"/>
          <w:lang w:val="en-AU"/>
        </w:rPr>
      </w:pPr>
      <w:r w:rsidRPr="00DC41AF">
        <w:rPr>
          <w:sz w:val="24"/>
          <w:szCs w:val="24"/>
          <w:lang w:val="en-AU"/>
        </w:rPr>
        <w:t xml:space="preserve">Vidaza must be reconstituted </w:t>
      </w:r>
      <w:r w:rsidR="00576CEA" w:rsidRPr="00DC41AF">
        <w:rPr>
          <w:sz w:val="24"/>
          <w:szCs w:val="24"/>
          <w:lang w:val="en-AU"/>
        </w:rPr>
        <w:t xml:space="preserve">with water for injections </w:t>
      </w:r>
      <w:r w:rsidRPr="00DC41AF">
        <w:rPr>
          <w:sz w:val="24"/>
          <w:szCs w:val="24"/>
          <w:lang w:val="en-AU"/>
        </w:rPr>
        <w:t>to form a uniform suspension prior to administration</w:t>
      </w:r>
      <w:r w:rsidR="007338B5" w:rsidRPr="00DC41AF">
        <w:rPr>
          <w:sz w:val="24"/>
          <w:szCs w:val="24"/>
          <w:lang w:val="en-AU"/>
        </w:rPr>
        <w:t xml:space="preserve"> as follows</w:t>
      </w:r>
      <w:r w:rsidRPr="00DC41AF">
        <w:rPr>
          <w:sz w:val="24"/>
          <w:szCs w:val="24"/>
          <w:lang w:val="en-AU"/>
        </w:rPr>
        <w:t xml:space="preserve">. Aseptically add 4 mL of sterilised water for injections slowly into the vial. Vigorously shake the vial until a uniform, cloudy suspension is achieved. </w:t>
      </w:r>
      <w:r w:rsidR="003B4F93" w:rsidRPr="00DC41AF">
        <w:rPr>
          <w:sz w:val="24"/>
          <w:szCs w:val="24"/>
          <w:lang w:val="en-AU"/>
        </w:rPr>
        <w:t xml:space="preserve">No filters, and no adaptors, spikes or closed systems that contain filters, should be used after reconstitution since these could remove the active substance. </w:t>
      </w:r>
      <w:r w:rsidRPr="00DC41AF">
        <w:rPr>
          <w:sz w:val="24"/>
          <w:szCs w:val="24"/>
          <w:lang w:val="en-AU"/>
        </w:rPr>
        <w:t xml:space="preserve">The suspension contains </w:t>
      </w:r>
      <w:proofErr w:type="spellStart"/>
      <w:r w:rsidRPr="00DC41AF">
        <w:rPr>
          <w:sz w:val="24"/>
          <w:szCs w:val="24"/>
          <w:lang w:val="en-AU"/>
        </w:rPr>
        <w:t>azacitidine</w:t>
      </w:r>
      <w:proofErr w:type="spellEnd"/>
      <w:r w:rsidRPr="00DC41AF">
        <w:rPr>
          <w:sz w:val="24"/>
          <w:szCs w:val="24"/>
          <w:lang w:val="en-AU"/>
        </w:rPr>
        <w:t xml:space="preserve"> 25 mg/</w:t>
      </w:r>
      <w:proofErr w:type="spellStart"/>
      <w:r w:rsidRPr="00DC41AF">
        <w:rPr>
          <w:sz w:val="24"/>
          <w:szCs w:val="24"/>
          <w:lang w:val="en-AU"/>
        </w:rPr>
        <w:t>mL.</w:t>
      </w:r>
      <w:proofErr w:type="spellEnd"/>
      <w:r w:rsidR="00B1524F" w:rsidRPr="00DC41AF">
        <w:rPr>
          <w:sz w:val="24"/>
          <w:szCs w:val="24"/>
          <w:lang w:val="en-AU"/>
        </w:rPr>
        <w:t xml:space="preserve"> The maximum recovery of azacitidine is 96% per vial following reconstitution.</w:t>
      </w:r>
    </w:p>
    <w:p w:rsidR="000D3110" w:rsidRPr="00DC41AF" w:rsidRDefault="000D3110" w:rsidP="00DC41AF">
      <w:pPr>
        <w:pStyle w:val="Header"/>
        <w:tabs>
          <w:tab w:val="clear" w:pos="4320"/>
          <w:tab w:val="clear" w:pos="8640"/>
        </w:tabs>
        <w:rPr>
          <w:sz w:val="24"/>
          <w:szCs w:val="24"/>
          <w:lang w:val="en-AU"/>
        </w:rPr>
      </w:pPr>
    </w:p>
    <w:p w:rsidR="000D3110" w:rsidRPr="00DC41AF" w:rsidRDefault="00F621C6" w:rsidP="00DC41AF">
      <w:pPr>
        <w:keepNext/>
        <w:rPr>
          <w:color w:val="000000"/>
          <w:sz w:val="24"/>
          <w:u w:val="single"/>
          <w:lang w:val="en-AU"/>
        </w:rPr>
      </w:pPr>
      <w:r w:rsidRPr="00DC41AF">
        <w:rPr>
          <w:bCs/>
          <w:color w:val="000000"/>
          <w:sz w:val="24"/>
          <w:u w:val="single"/>
          <w:lang w:val="en-AU"/>
        </w:rPr>
        <w:t xml:space="preserve">Suspension </w:t>
      </w:r>
      <w:r w:rsidR="000D3110" w:rsidRPr="00DC41AF">
        <w:rPr>
          <w:bCs/>
          <w:color w:val="000000"/>
          <w:sz w:val="24"/>
          <w:u w:val="single"/>
          <w:lang w:val="en-AU"/>
        </w:rPr>
        <w:t>Stability</w:t>
      </w:r>
      <w:r w:rsidR="000D3110" w:rsidRPr="00DC41AF">
        <w:rPr>
          <w:color w:val="000000"/>
          <w:sz w:val="24"/>
          <w:u w:val="single"/>
          <w:lang w:val="en-AU"/>
        </w:rPr>
        <w:t xml:space="preserve"> </w:t>
      </w:r>
    </w:p>
    <w:p w:rsidR="00475EBB" w:rsidRPr="00DC41AF" w:rsidRDefault="000D3110" w:rsidP="00DC41AF">
      <w:pPr>
        <w:rPr>
          <w:color w:val="000000"/>
          <w:sz w:val="24"/>
          <w:lang w:val="en-AU"/>
        </w:rPr>
      </w:pPr>
      <w:r w:rsidRPr="00DC41AF">
        <w:rPr>
          <w:color w:val="000000"/>
          <w:sz w:val="24"/>
          <w:lang w:val="en-AU"/>
        </w:rPr>
        <w:t xml:space="preserve">To reduce microbiological hazard, use as soon as practicable after reconstitution. </w:t>
      </w:r>
    </w:p>
    <w:p w:rsidR="00475EBB" w:rsidRPr="00DC41AF" w:rsidRDefault="00475EBB" w:rsidP="00DC41AF">
      <w:pPr>
        <w:rPr>
          <w:color w:val="000000"/>
          <w:sz w:val="24"/>
          <w:lang w:val="en-AU"/>
        </w:rPr>
      </w:pPr>
    </w:p>
    <w:p w:rsidR="000D3110" w:rsidRPr="00DC41AF" w:rsidRDefault="000D3110" w:rsidP="00DC41AF">
      <w:pPr>
        <w:keepNext/>
        <w:rPr>
          <w:color w:val="000000"/>
          <w:sz w:val="24"/>
          <w:lang w:val="en-AU"/>
        </w:rPr>
      </w:pPr>
      <w:r w:rsidRPr="00DC41AF">
        <w:rPr>
          <w:color w:val="000000"/>
          <w:sz w:val="24"/>
          <w:lang w:val="en-AU"/>
        </w:rPr>
        <w:t xml:space="preserve">Reconstituted </w:t>
      </w:r>
      <w:r w:rsidRPr="00DC41AF">
        <w:rPr>
          <w:sz w:val="24"/>
          <w:lang w:val="en-AU"/>
        </w:rPr>
        <w:t xml:space="preserve">Vidaza </w:t>
      </w:r>
      <w:r w:rsidR="00475EBB" w:rsidRPr="00DC41AF">
        <w:rPr>
          <w:sz w:val="24"/>
          <w:lang w:val="en-AU"/>
        </w:rPr>
        <w:t xml:space="preserve">suspension </w:t>
      </w:r>
      <w:r w:rsidRPr="00DC41AF">
        <w:rPr>
          <w:color w:val="000000"/>
          <w:sz w:val="24"/>
          <w:lang w:val="en-AU"/>
        </w:rPr>
        <w:t>may be stored for up to:</w:t>
      </w:r>
    </w:p>
    <w:p w:rsidR="000D3110" w:rsidRPr="00DC41AF" w:rsidRDefault="000D3110" w:rsidP="00DC41AF">
      <w:pPr>
        <w:numPr>
          <w:ilvl w:val="0"/>
          <w:numId w:val="8"/>
        </w:numPr>
        <w:ind w:left="777" w:hanging="357"/>
        <w:rPr>
          <w:sz w:val="24"/>
          <w:lang w:val="en-AU"/>
        </w:rPr>
      </w:pPr>
      <w:r w:rsidRPr="00DC41AF">
        <w:rPr>
          <w:color w:val="000000"/>
          <w:sz w:val="24"/>
          <w:lang w:val="en-AU"/>
        </w:rPr>
        <w:t>1</w:t>
      </w:r>
      <w:r w:rsidR="009A4E48" w:rsidRPr="00DC41AF">
        <w:rPr>
          <w:color w:val="000000"/>
          <w:sz w:val="24"/>
          <w:lang w:val="en-AU"/>
        </w:rPr>
        <w:t> </w:t>
      </w:r>
      <w:r w:rsidRPr="00DC41AF">
        <w:rPr>
          <w:color w:val="000000"/>
          <w:sz w:val="24"/>
          <w:lang w:val="en-AU"/>
        </w:rPr>
        <w:t xml:space="preserve">hour at 25°C, or </w:t>
      </w:r>
    </w:p>
    <w:p w:rsidR="000D3110" w:rsidRPr="00DC41AF" w:rsidRDefault="000D3110" w:rsidP="00DC41AF">
      <w:pPr>
        <w:numPr>
          <w:ilvl w:val="0"/>
          <w:numId w:val="8"/>
        </w:numPr>
        <w:rPr>
          <w:sz w:val="24"/>
          <w:lang w:val="en-AU"/>
        </w:rPr>
      </w:pPr>
      <w:r w:rsidRPr="00DC41AF">
        <w:rPr>
          <w:color w:val="000000"/>
          <w:sz w:val="24"/>
          <w:lang w:val="en-AU"/>
        </w:rPr>
        <w:t>8</w:t>
      </w:r>
      <w:r w:rsidR="009A4E48" w:rsidRPr="00DC41AF">
        <w:rPr>
          <w:color w:val="000000"/>
          <w:sz w:val="24"/>
          <w:lang w:val="en-AU"/>
        </w:rPr>
        <w:t> </w:t>
      </w:r>
      <w:r w:rsidRPr="00DC41AF">
        <w:rPr>
          <w:color w:val="000000"/>
          <w:sz w:val="24"/>
          <w:lang w:val="en-AU"/>
        </w:rPr>
        <w:t>hours between 2°C</w:t>
      </w:r>
      <w:r w:rsidRPr="00DC41AF">
        <w:rPr>
          <w:i/>
          <w:iCs/>
          <w:color w:val="000000"/>
          <w:sz w:val="24"/>
          <w:lang w:val="en-AU"/>
        </w:rPr>
        <w:t xml:space="preserve"> </w:t>
      </w:r>
      <w:r w:rsidRPr="00DC41AF">
        <w:rPr>
          <w:color w:val="000000"/>
          <w:sz w:val="24"/>
          <w:lang w:val="en-AU"/>
        </w:rPr>
        <w:t>and 8°C, or</w:t>
      </w:r>
    </w:p>
    <w:p w:rsidR="000D3110" w:rsidRPr="00DC41AF" w:rsidRDefault="000D3110" w:rsidP="00DC41AF">
      <w:pPr>
        <w:numPr>
          <w:ilvl w:val="0"/>
          <w:numId w:val="8"/>
        </w:numPr>
        <w:rPr>
          <w:sz w:val="24"/>
          <w:lang w:val="en-AU"/>
        </w:rPr>
      </w:pPr>
      <w:r w:rsidRPr="00DC41AF">
        <w:rPr>
          <w:color w:val="000000"/>
          <w:sz w:val="24"/>
          <w:lang w:val="en-AU"/>
        </w:rPr>
        <w:t>22 hours between 2°C</w:t>
      </w:r>
      <w:r w:rsidRPr="00DC41AF">
        <w:rPr>
          <w:i/>
          <w:iCs/>
          <w:color w:val="000000"/>
          <w:sz w:val="24"/>
          <w:lang w:val="en-AU"/>
        </w:rPr>
        <w:t xml:space="preserve"> </w:t>
      </w:r>
      <w:r w:rsidRPr="00DC41AF">
        <w:rPr>
          <w:color w:val="000000"/>
          <w:sz w:val="24"/>
          <w:lang w:val="en-AU"/>
        </w:rPr>
        <w:t>and 8°C when reconstituted with refrigerated (2°C</w:t>
      </w:r>
      <w:r w:rsidR="00A72AE3">
        <w:rPr>
          <w:color w:val="000000"/>
          <w:sz w:val="24"/>
          <w:lang w:val="en-AU"/>
        </w:rPr>
        <w:noBreakHyphen/>
      </w:r>
      <w:r w:rsidRPr="00DC41AF">
        <w:rPr>
          <w:color w:val="000000"/>
          <w:sz w:val="24"/>
          <w:lang w:val="en-AU"/>
        </w:rPr>
        <w:t xml:space="preserve">8°C) water for injections. </w:t>
      </w:r>
    </w:p>
    <w:p w:rsidR="003A27B1" w:rsidRPr="00DC41AF" w:rsidRDefault="003A27B1" w:rsidP="00DC41AF">
      <w:pPr>
        <w:pStyle w:val="Header"/>
        <w:tabs>
          <w:tab w:val="clear" w:pos="4320"/>
          <w:tab w:val="clear" w:pos="8640"/>
        </w:tabs>
        <w:rPr>
          <w:sz w:val="24"/>
          <w:szCs w:val="24"/>
          <w:lang w:val="en-AU"/>
        </w:rPr>
      </w:pPr>
    </w:p>
    <w:p w:rsidR="009A4E48" w:rsidRPr="00DC41AF" w:rsidRDefault="00FE0D45" w:rsidP="00DC41AF">
      <w:pPr>
        <w:keepNext/>
        <w:rPr>
          <w:sz w:val="24"/>
          <w:u w:val="single"/>
          <w:lang w:val="en-AU"/>
        </w:rPr>
      </w:pPr>
      <w:r w:rsidRPr="00DC41AF">
        <w:rPr>
          <w:sz w:val="24"/>
          <w:u w:val="single"/>
          <w:lang w:val="en-AU"/>
        </w:rPr>
        <w:t xml:space="preserve">Preparation for Immediate </w:t>
      </w:r>
      <w:r w:rsidR="00AF2328" w:rsidRPr="00DC41AF">
        <w:rPr>
          <w:sz w:val="24"/>
          <w:u w:val="single"/>
          <w:lang w:val="en-AU"/>
        </w:rPr>
        <w:t xml:space="preserve">Subcutaneous </w:t>
      </w:r>
      <w:r w:rsidRPr="00DC41AF">
        <w:rPr>
          <w:sz w:val="24"/>
          <w:u w:val="single"/>
          <w:lang w:val="en-AU"/>
        </w:rPr>
        <w:t>Administration:</w:t>
      </w:r>
    </w:p>
    <w:p w:rsidR="00FE0D45" w:rsidRPr="00DC41AF" w:rsidRDefault="00FE0D45" w:rsidP="00DC41AF">
      <w:pPr>
        <w:rPr>
          <w:sz w:val="24"/>
          <w:lang w:val="en-AU"/>
        </w:rPr>
      </w:pPr>
      <w:r w:rsidRPr="00DC41AF">
        <w:rPr>
          <w:sz w:val="24"/>
          <w:lang w:val="en-AU"/>
        </w:rPr>
        <w:t>Doses greater than 4</w:t>
      </w:r>
      <w:r w:rsidR="00672EE1" w:rsidRPr="00DC41AF">
        <w:rPr>
          <w:sz w:val="24"/>
          <w:lang w:val="en-AU"/>
        </w:rPr>
        <w:t> </w:t>
      </w:r>
      <w:r w:rsidRPr="00DC41AF">
        <w:rPr>
          <w:sz w:val="24"/>
          <w:lang w:val="en-AU"/>
        </w:rPr>
        <w:t>mL should be divided equally into two syringes</w:t>
      </w:r>
      <w:r w:rsidR="009E6DE6" w:rsidRPr="00DC41AF">
        <w:rPr>
          <w:sz w:val="24"/>
          <w:lang w:val="en-AU"/>
        </w:rPr>
        <w:t xml:space="preserve"> and injected into two separate sites</w:t>
      </w:r>
      <w:r w:rsidRPr="00DC41AF">
        <w:rPr>
          <w:sz w:val="24"/>
          <w:lang w:val="en-AU"/>
        </w:rPr>
        <w:t>. The product may be held at room temperature</w:t>
      </w:r>
      <w:r w:rsidR="002D3D0C" w:rsidRPr="00DC41AF">
        <w:rPr>
          <w:sz w:val="24"/>
          <w:lang w:val="en-AU"/>
        </w:rPr>
        <w:t xml:space="preserve"> (25ºC)</w:t>
      </w:r>
      <w:r w:rsidRPr="00DC41AF">
        <w:rPr>
          <w:sz w:val="24"/>
          <w:lang w:val="en-AU"/>
        </w:rPr>
        <w:t xml:space="preserve"> for up to 1</w:t>
      </w:r>
      <w:r w:rsidR="009A4E48" w:rsidRPr="00DC41AF">
        <w:rPr>
          <w:sz w:val="24"/>
          <w:lang w:val="en-AU"/>
        </w:rPr>
        <w:t> </w:t>
      </w:r>
      <w:r w:rsidRPr="00DC41AF">
        <w:rPr>
          <w:sz w:val="24"/>
          <w:lang w:val="en-AU"/>
        </w:rPr>
        <w:t>hour, but must be administered within 1</w:t>
      </w:r>
      <w:r w:rsidR="009A4E48" w:rsidRPr="00DC41AF">
        <w:rPr>
          <w:sz w:val="24"/>
          <w:lang w:val="en-AU"/>
        </w:rPr>
        <w:t> </w:t>
      </w:r>
      <w:r w:rsidRPr="00DC41AF">
        <w:rPr>
          <w:sz w:val="24"/>
          <w:lang w:val="en-AU"/>
        </w:rPr>
        <w:t xml:space="preserve">hour after reconstitution. </w:t>
      </w:r>
    </w:p>
    <w:p w:rsidR="00FE0D45" w:rsidRPr="00DC41AF" w:rsidRDefault="00FE0D45" w:rsidP="00DC41AF">
      <w:pPr>
        <w:pStyle w:val="Header"/>
        <w:tabs>
          <w:tab w:val="clear" w:pos="4320"/>
          <w:tab w:val="clear" w:pos="8640"/>
        </w:tabs>
        <w:rPr>
          <w:sz w:val="24"/>
          <w:lang w:val="en-AU"/>
        </w:rPr>
      </w:pPr>
    </w:p>
    <w:p w:rsidR="009A4E48" w:rsidRPr="00DC41AF" w:rsidRDefault="00FE0D45" w:rsidP="00DC41AF">
      <w:pPr>
        <w:keepNext/>
        <w:rPr>
          <w:sz w:val="24"/>
          <w:u w:val="single"/>
          <w:lang w:val="en-AU"/>
        </w:rPr>
      </w:pPr>
      <w:r w:rsidRPr="00DC41AF">
        <w:rPr>
          <w:sz w:val="24"/>
          <w:u w:val="single"/>
          <w:lang w:val="en-AU"/>
        </w:rPr>
        <w:t xml:space="preserve">Preparation for Delayed </w:t>
      </w:r>
      <w:r w:rsidR="00AF2328" w:rsidRPr="00DC41AF">
        <w:rPr>
          <w:sz w:val="24"/>
          <w:u w:val="single"/>
          <w:lang w:val="en-AU"/>
        </w:rPr>
        <w:t xml:space="preserve">Subcutaneous </w:t>
      </w:r>
      <w:r w:rsidRPr="00DC41AF">
        <w:rPr>
          <w:sz w:val="24"/>
          <w:u w:val="single"/>
          <w:lang w:val="en-AU"/>
        </w:rPr>
        <w:t>Administration:</w:t>
      </w:r>
    </w:p>
    <w:p w:rsidR="00AF2328" w:rsidRPr="00DC41AF" w:rsidRDefault="00FE0D45" w:rsidP="00DC41AF">
      <w:pPr>
        <w:keepNext/>
        <w:rPr>
          <w:sz w:val="24"/>
          <w:lang w:val="en-AU"/>
        </w:rPr>
      </w:pPr>
      <w:r w:rsidRPr="00DC41AF">
        <w:rPr>
          <w:sz w:val="24"/>
          <w:lang w:val="en-AU"/>
        </w:rPr>
        <w:t>The reconstituted product may be kept in the vial or drawn into a syringe. Doses greater than 4</w:t>
      </w:r>
      <w:r w:rsidR="00672EE1" w:rsidRPr="00DC41AF">
        <w:rPr>
          <w:sz w:val="24"/>
          <w:lang w:val="en-AU"/>
        </w:rPr>
        <w:t> </w:t>
      </w:r>
      <w:r w:rsidRPr="00DC41AF">
        <w:rPr>
          <w:sz w:val="24"/>
          <w:lang w:val="en-AU"/>
        </w:rPr>
        <w:t>mL should be divided equally into two syringes. The product must be refrigerated immediately</w:t>
      </w:r>
      <w:r w:rsidR="00576CEA" w:rsidRPr="00DC41AF">
        <w:rPr>
          <w:sz w:val="24"/>
          <w:lang w:val="en-AU"/>
        </w:rPr>
        <w:t xml:space="preserve">. </w:t>
      </w:r>
    </w:p>
    <w:p w:rsidR="00AF2328" w:rsidRPr="00DC41AF" w:rsidRDefault="00576CEA" w:rsidP="00DC41AF">
      <w:pPr>
        <w:pStyle w:val="ListParagraph"/>
        <w:numPr>
          <w:ilvl w:val="0"/>
          <w:numId w:val="12"/>
        </w:numPr>
        <w:ind w:left="714" w:hanging="357"/>
        <w:rPr>
          <w:sz w:val="24"/>
          <w:lang w:val="en-AU"/>
        </w:rPr>
      </w:pPr>
      <w:r w:rsidRPr="00DC41AF">
        <w:rPr>
          <w:sz w:val="24"/>
          <w:lang w:val="en-AU"/>
        </w:rPr>
        <w:t>When Vidaza is reconstituted using water for injections that has not been refrigerated</w:t>
      </w:r>
      <w:r w:rsidR="00FE0D45" w:rsidRPr="00DC41AF">
        <w:rPr>
          <w:sz w:val="24"/>
          <w:lang w:val="en-AU"/>
        </w:rPr>
        <w:t xml:space="preserve">, </w:t>
      </w:r>
      <w:r w:rsidRPr="00DC41AF">
        <w:rPr>
          <w:sz w:val="24"/>
          <w:lang w:val="en-AU"/>
        </w:rPr>
        <w:t xml:space="preserve">the product </w:t>
      </w:r>
      <w:r w:rsidR="00FE0D45" w:rsidRPr="00DC41AF">
        <w:rPr>
          <w:sz w:val="24"/>
          <w:lang w:val="en-AU"/>
        </w:rPr>
        <w:t>may be held under refrigerated conditions (2ºC</w:t>
      </w:r>
      <w:r w:rsidR="00A72AE3">
        <w:rPr>
          <w:sz w:val="24"/>
          <w:lang w:val="en-AU"/>
        </w:rPr>
        <w:noBreakHyphen/>
      </w:r>
      <w:r w:rsidR="00FE0D45" w:rsidRPr="00DC41AF">
        <w:rPr>
          <w:sz w:val="24"/>
          <w:lang w:val="en-AU"/>
        </w:rPr>
        <w:t>8ºC) for up to 8</w:t>
      </w:r>
      <w:r w:rsidR="009A4E48" w:rsidRPr="00DC41AF">
        <w:rPr>
          <w:sz w:val="24"/>
          <w:lang w:val="en-AU"/>
        </w:rPr>
        <w:t> </w:t>
      </w:r>
      <w:r w:rsidR="00FE0D45" w:rsidRPr="00DC41AF">
        <w:rPr>
          <w:sz w:val="24"/>
          <w:lang w:val="en-AU"/>
        </w:rPr>
        <w:t>hours.</w:t>
      </w:r>
      <w:r w:rsidRPr="00DC41AF">
        <w:rPr>
          <w:sz w:val="24"/>
          <w:lang w:val="en-AU"/>
        </w:rPr>
        <w:t xml:space="preserve"> </w:t>
      </w:r>
    </w:p>
    <w:p w:rsidR="00AF2328" w:rsidRPr="00DC41AF" w:rsidRDefault="00576CEA" w:rsidP="00DC41AF">
      <w:pPr>
        <w:pStyle w:val="ListParagraph"/>
        <w:numPr>
          <w:ilvl w:val="0"/>
          <w:numId w:val="12"/>
        </w:numPr>
        <w:rPr>
          <w:sz w:val="24"/>
          <w:lang w:val="en-AU"/>
        </w:rPr>
      </w:pPr>
      <w:r w:rsidRPr="00DC41AF">
        <w:rPr>
          <w:sz w:val="24"/>
          <w:lang w:val="en-AU"/>
        </w:rPr>
        <w:t>When Vidaza is reconstituted using refrigerated (2°C</w:t>
      </w:r>
      <w:r w:rsidR="00A72AE3">
        <w:rPr>
          <w:sz w:val="24"/>
          <w:lang w:val="en-AU"/>
        </w:rPr>
        <w:noBreakHyphen/>
      </w:r>
      <w:r w:rsidRPr="00DC41AF">
        <w:rPr>
          <w:sz w:val="24"/>
          <w:lang w:val="en-AU"/>
        </w:rPr>
        <w:t>8°C) water for injection</w:t>
      </w:r>
      <w:r w:rsidR="004E466E" w:rsidRPr="00DC41AF">
        <w:rPr>
          <w:sz w:val="24"/>
          <w:lang w:val="en-AU"/>
        </w:rPr>
        <w:t>s</w:t>
      </w:r>
      <w:r w:rsidRPr="00DC41AF">
        <w:rPr>
          <w:sz w:val="24"/>
          <w:lang w:val="en-AU"/>
        </w:rPr>
        <w:t>, the product may be stored under refrigerated conditions (2ºC</w:t>
      </w:r>
      <w:r w:rsidR="00A72AE3">
        <w:rPr>
          <w:sz w:val="24"/>
          <w:lang w:val="en-AU"/>
        </w:rPr>
        <w:noBreakHyphen/>
      </w:r>
      <w:r w:rsidRPr="00DC41AF">
        <w:rPr>
          <w:sz w:val="24"/>
          <w:lang w:val="en-AU"/>
        </w:rPr>
        <w:t>8ºC) for up to 22</w:t>
      </w:r>
      <w:r w:rsidR="009A4E48" w:rsidRPr="00DC41AF">
        <w:rPr>
          <w:sz w:val="24"/>
          <w:lang w:val="en-AU"/>
        </w:rPr>
        <w:t> </w:t>
      </w:r>
      <w:r w:rsidRPr="00DC41AF">
        <w:rPr>
          <w:sz w:val="24"/>
          <w:lang w:val="en-AU"/>
        </w:rPr>
        <w:t>hours.</w:t>
      </w:r>
      <w:r w:rsidR="00FE0D45" w:rsidRPr="00DC41AF">
        <w:rPr>
          <w:sz w:val="24"/>
          <w:lang w:val="en-AU"/>
        </w:rPr>
        <w:t xml:space="preserve"> </w:t>
      </w:r>
    </w:p>
    <w:p w:rsidR="00940FF0" w:rsidRPr="00DC41AF" w:rsidRDefault="00FE0D45" w:rsidP="00DC41AF">
      <w:pPr>
        <w:rPr>
          <w:sz w:val="24"/>
          <w:lang w:val="en-AU"/>
        </w:rPr>
      </w:pPr>
      <w:r w:rsidRPr="00DC41AF">
        <w:rPr>
          <w:sz w:val="24"/>
          <w:lang w:val="en-AU"/>
        </w:rPr>
        <w:t>After removal from refrigerated conditions, the suspension may be allowed to equilibrate to room temperature for up to 30</w:t>
      </w:r>
      <w:r w:rsidR="009A4E48" w:rsidRPr="00DC41AF">
        <w:rPr>
          <w:sz w:val="24"/>
          <w:lang w:val="en-AU"/>
        </w:rPr>
        <w:t> </w:t>
      </w:r>
      <w:r w:rsidRPr="00DC41AF">
        <w:rPr>
          <w:sz w:val="24"/>
          <w:lang w:val="en-AU"/>
        </w:rPr>
        <w:t>minutes prior to administration.</w:t>
      </w:r>
    </w:p>
    <w:p w:rsidR="00FE0D45" w:rsidRPr="00DC41AF" w:rsidRDefault="00FE0D45" w:rsidP="00DC41AF">
      <w:pPr>
        <w:rPr>
          <w:sz w:val="24"/>
          <w:lang w:val="en-AU"/>
        </w:rPr>
      </w:pPr>
    </w:p>
    <w:p w:rsidR="00EF1257" w:rsidRPr="00DC41AF" w:rsidRDefault="00AF2328" w:rsidP="00DC41AF">
      <w:pPr>
        <w:pStyle w:val="Heading1"/>
        <w:rPr>
          <w:rFonts w:ascii="Times New Roman" w:hAnsi="Times New Roman"/>
          <w:bCs/>
          <w:u w:val="single"/>
          <w:lang w:val="en-AU"/>
        </w:rPr>
      </w:pPr>
      <w:r w:rsidRPr="00DC41AF">
        <w:rPr>
          <w:rFonts w:ascii="Times New Roman" w:hAnsi="Times New Roman"/>
          <w:bCs/>
          <w:u w:val="single"/>
          <w:lang w:val="en-AU"/>
        </w:rPr>
        <w:t xml:space="preserve">Subcutaneous </w:t>
      </w:r>
      <w:r w:rsidR="00FE0D45" w:rsidRPr="00DC41AF">
        <w:rPr>
          <w:rFonts w:ascii="Times New Roman" w:hAnsi="Times New Roman"/>
          <w:bCs/>
          <w:u w:val="single"/>
          <w:lang w:val="en-AU"/>
        </w:rPr>
        <w:t>Administration:</w:t>
      </w:r>
    </w:p>
    <w:p w:rsidR="00FE0D45" w:rsidRPr="00DC41AF" w:rsidRDefault="00C75B9C" w:rsidP="00DC41AF">
      <w:pPr>
        <w:rPr>
          <w:sz w:val="24"/>
          <w:lang w:val="en-AU"/>
        </w:rPr>
      </w:pPr>
      <w:r w:rsidRPr="00DC41AF">
        <w:rPr>
          <w:sz w:val="24"/>
          <w:szCs w:val="24"/>
          <w:lang w:val="en-AU"/>
        </w:rPr>
        <w:t>The contents of the dosing syringe must be re</w:t>
      </w:r>
      <w:r w:rsidR="00672EE1" w:rsidRPr="00DC41AF">
        <w:rPr>
          <w:sz w:val="24"/>
          <w:szCs w:val="24"/>
          <w:lang w:val="en-AU"/>
        </w:rPr>
        <w:t>-</w:t>
      </w:r>
      <w:r w:rsidRPr="00DC41AF">
        <w:rPr>
          <w:sz w:val="24"/>
          <w:szCs w:val="24"/>
          <w:lang w:val="en-AU"/>
        </w:rPr>
        <w:t>suspended immediately prior to administration. To re</w:t>
      </w:r>
      <w:r w:rsidR="00672EE1" w:rsidRPr="00DC41AF">
        <w:rPr>
          <w:sz w:val="24"/>
          <w:szCs w:val="24"/>
          <w:lang w:val="en-AU"/>
        </w:rPr>
        <w:t>-</w:t>
      </w:r>
      <w:r w:rsidRPr="00DC41AF">
        <w:rPr>
          <w:sz w:val="24"/>
          <w:szCs w:val="24"/>
          <w:lang w:val="en-AU"/>
        </w:rPr>
        <w:t>suspend, vigorously roll the syringe between the palms until a uniform, cloudy suspension is achieved.</w:t>
      </w:r>
      <w:r w:rsidR="00EC6B7F" w:rsidRPr="00DC41AF">
        <w:rPr>
          <w:sz w:val="24"/>
          <w:szCs w:val="24"/>
          <w:lang w:val="en-AU"/>
        </w:rPr>
        <w:t xml:space="preserve"> </w:t>
      </w:r>
    </w:p>
    <w:p w:rsidR="004A185D" w:rsidRDefault="004A185D" w:rsidP="00DC41AF">
      <w:pPr>
        <w:rPr>
          <w:sz w:val="24"/>
          <w:lang w:val="en-AU"/>
        </w:rPr>
      </w:pPr>
    </w:p>
    <w:p w:rsidR="00FE0D45" w:rsidRPr="00DC41AF" w:rsidRDefault="00FE0D45" w:rsidP="00DC41AF">
      <w:pPr>
        <w:rPr>
          <w:sz w:val="24"/>
          <w:lang w:val="en-AU"/>
        </w:rPr>
      </w:pPr>
      <w:r w:rsidRPr="00DC41AF">
        <w:rPr>
          <w:sz w:val="24"/>
          <w:lang w:val="en-AU"/>
        </w:rPr>
        <w:t>Doses greater than 4</w:t>
      </w:r>
      <w:r w:rsidR="00672EE1" w:rsidRPr="00DC41AF">
        <w:rPr>
          <w:sz w:val="24"/>
          <w:lang w:val="en-AU"/>
        </w:rPr>
        <w:t> </w:t>
      </w:r>
      <w:r w:rsidRPr="00DC41AF">
        <w:rPr>
          <w:sz w:val="24"/>
          <w:lang w:val="en-AU"/>
        </w:rPr>
        <w:t xml:space="preserve">mL should be divided equally into 2 syringes and injected into 2 separate sites. Rotate sites for each injection (thigh, abdomen, or upper arm). New </w:t>
      </w:r>
      <w:r w:rsidRPr="00DC41AF">
        <w:rPr>
          <w:sz w:val="24"/>
          <w:lang w:val="en-AU"/>
        </w:rPr>
        <w:lastRenderedPageBreak/>
        <w:t xml:space="preserve">injections should be given at least </w:t>
      </w:r>
      <w:r w:rsidR="002B2929" w:rsidRPr="00DC41AF">
        <w:rPr>
          <w:sz w:val="24"/>
          <w:szCs w:val="24"/>
          <w:lang w:val="en-AU"/>
        </w:rPr>
        <w:t>2.5 cm</w:t>
      </w:r>
      <w:r w:rsidR="002B2929" w:rsidRPr="00DC41AF">
        <w:rPr>
          <w:sz w:val="24"/>
          <w:lang w:val="en-AU"/>
        </w:rPr>
        <w:t xml:space="preserve"> or </w:t>
      </w:r>
      <w:r w:rsidRPr="00DC41AF">
        <w:rPr>
          <w:sz w:val="24"/>
          <w:lang w:val="en-AU"/>
        </w:rPr>
        <w:t>one inch from an old site and never into areas w</w:t>
      </w:r>
      <w:r w:rsidR="00D300C5" w:rsidRPr="00DC41AF">
        <w:rPr>
          <w:sz w:val="24"/>
          <w:lang w:val="en-AU"/>
        </w:rPr>
        <w:t>h</w:t>
      </w:r>
      <w:r w:rsidRPr="00DC41AF">
        <w:rPr>
          <w:sz w:val="24"/>
          <w:lang w:val="en-AU"/>
        </w:rPr>
        <w:t>ere the site is te</w:t>
      </w:r>
      <w:r w:rsidR="00251A05" w:rsidRPr="00DC41AF">
        <w:rPr>
          <w:sz w:val="24"/>
          <w:lang w:val="en-AU"/>
        </w:rPr>
        <w:t>nder, bruised, red, or hard.</w:t>
      </w:r>
    </w:p>
    <w:p w:rsidR="00D25A88" w:rsidRPr="00DC41AF" w:rsidRDefault="00AF2328" w:rsidP="00DC41AF">
      <w:pPr>
        <w:keepNext/>
        <w:rPr>
          <w:b/>
          <w:sz w:val="24"/>
          <w:lang w:val="en-AU"/>
        </w:rPr>
      </w:pPr>
      <w:r w:rsidRPr="00DC41AF">
        <w:rPr>
          <w:b/>
          <w:sz w:val="24"/>
          <w:lang w:val="en-AU"/>
        </w:rPr>
        <w:t>Instructions for Intravenous Administration</w:t>
      </w:r>
    </w:p>
    <w:p w:rsidR="00D25A88" w:rsidRPr="00DC41AF" w:rsidRDefault="00D25A88" w:rsidP="00DC41AF">
      <w:pPr>
        <w:keepNext/>
        <w:spacing w:before="120"/>
        <w:rPr>
          <w:sz w:val="24"/>
          <w:szCs w:val="24"/>
          <w:u w:val="single"/>
          <w:lang w:val="en-AU"/>
        </w:rPr>
      </w:pPr>
      <w:r w:rsidRPr="00DC41AF">
        <w:rPr>
          <w:sz w:val="24"/>
          <w:szCs w:val="24"/>
          <w:u w:val="single"/>
          <w:lang w:val="en-AU"/>
        </w:rPr>
        <w:t>Preparation for intravenous administration</w:t>
      </w:r>
    </w:p>
    <w:p w:rsidR="00D25A88" w:rsidRPr="00DC41AF" w:rsidRDefault="00AF2328" w:rsidP="00DC41AF">
      <w:pPr>
        <w:spacing w:before="120"/>
        <w:rPr>
          <w:sz w:val="24"/>
          <w:lang w:val="en-AU"/>
        </w:rPr>
      </w:pPr>
      <w:r w:rsidRPr="00DC41AF">
        <w:rPr>
          <w:sz w:val="24"/>
          <w:lang w:val="en-AU"/>
        </w:rPr>
        <w:t>Reconstitute the appropriate number of Vidaza vials to achieve the desired dose</w:t>
      </w:r>
      <w:r w:rsidR="000C65F3" w:rsidRPr="00DC41AF">
        <w:rPr>
          <w:sz w:val="24"/>
          <w:lang w:val="en-AU"/>
        </w:rPr>
        <w:t xml:space="preserve"> as follows</w:t>
      </w:r>
      <w:r w:rsidRPr="00DC41AF">
        <w:rPr>
          <w:sz w:val="24"/>
          <w:lang w:val="en-AU"/>
        </w:rPr>
        <w:t xml:space="preserve">.  </w:t>
      </w:r>
    </w:p>
    <w:p w:rsidR="00426D9F" w:rsidRPr="00DC41AF" w:rsidRDefault="00426D9F" w:rsidP="00DC41AF">
      <w:pPr>
        <w:rPr>
          <w:sz w:val="24"/>
          <w:lang w:val="en-AU"/>
        </w:rPr>
      </w:pPr>
    </w:p>
    <w:p w:rsidR="00AF2328" w:rsidRPr="00DC41AF" w:rsidRDefault="00AF2328" w:rsidP="00DC41AF">
      <w:pPr>
        <w:rPr>
          <w:sz w:val="24"/>
          <w:lang w:val="en-AU"/>
        </w:rPr>
      </w:pPr>
      <w:r w:rsidRPr="00DC41AF">
        <w:rPr>
          <w:sz w:val="24"/>
          <w:lang w:val="en-AU"/>
        </w:rPr>
        <w:t>Reconstitute each vial with 10</w:t>
      </w:r>
      <w:r w:rsidR="009A4E48" w:rsidRPr="00DC41AF">
        <w:rPr>
          <w:sz w:val="24"/>
          <w:lang w:val="en-AU"/>
        </w:rPr>
        <w:t> </w:t>
      </w:r>
      <w:r w:rsidRPr="00DC41AF">
        <w:rPr>
          <w:sz w:val="24"/>
          <w:lang w:val="en-AU"/>
        </w:rPr>
        <w:t xml:space="preserve">mL sterile water for injection.  Vigorously shake or roll the vial until all </w:t>
      </w:r>
      <w:r w:rsidR="00B54A75" w:rsidRPr="00DC41AF">
        <w:rPr>
          <w:sz w:val="24"/>
          <w:lang w:val="en-AU"/>
        </w:rPr>
        <w:t xml:space="preserve">solids are dissolved.  The resulting solution will contain </w:t>
      </w:r>
      <w:proofErr w:type="spellStart"/>
      <w:r w:rsidR="00B54A75" w:rsidRPr="00DC41AF">
        <w:rPr>
          <w:sz w:val="24"/>
          <w:lang w:val="en-AU"/>
        </w:rPr>
        <w:t>azacitidine</w:t>
      </w:r>
      <w:proofErr w:type="spellEnd"/>
      <w:r w:rsidR="00B54A75" w:rsidRPr="00DC41AF">
        <w:rPr>
          <w:sz w:val="24"/>
          <w:lang w:val="en-AU"/>
        </w:rPr>
        <w:t xml:space="preserve"> 10</w:t>
      </w:r>
      <w:r w:rsidR="009A4E48" w:rsidRPr="00DC41AF">
        <w:rPr>
          <w:sz w:val="24"/>
          <w:lang w:val="en-AU"/>
        </w:rPr>
        <w:t> </w:t>
      </w:r>
      <w:r w:rsidR="00B54A75" w:rsidRPr="00DC41AF">
        <w:rPr>
          <w:sz w:val="24"/>
          <w:lang w:val="en-AU"/>
        </w:rPr>
        <w:t>mg/</w:t>
      </w:r>
      <w:proofErr w:type="spellStart"/>
      <w:r w:rsidR="00B54A75" w:rsidRPr="00DC41AF">
        <w:rPr>
          <w:sz w:val="24"/>
          <w:lang w:val="en-AU"/>
        </w:rPr>
        <w:t>mL.</w:t>
      </w:r>
      <w:proofErr w:type="spellEnd"/>
      <w:r w:rsidR="00B54A75" w:rsidRPr="00DC41AF">
        <w:rPr>
          <w:sz w:val="24"/>
          <w:lang w:val="en-AU"/>
        </w:rPr>
        <w:t xml:space="preserve">  The solution should be clear.</w:t>
      </w:r>
    </w:p>
    <w:p w:rsidR="006C495E" w:rsidRPr="00DC41AF" w:rsidRDefault="006C495E" w:rsidP="00DC41AF">
      <w:pPr>
        <w:rPr>
          <w:sz w:val="24"/>
          <w:lang w:val="en-AU"/>
        </w:rPr>
      </w:pPr>
    </w:p>
    <w:p w:rsidR="00B54A75" w:rsidRPr="00DC41AF" w:rsidRDefault="00B54A75" w:rsidP="00DC41AF">
      <w:pPr>
        <w:rPr>
          <w:sz w:val="24"/>
          <w:lang w:val="en-AU"/>
        </w:rPr>
      </w:pPr>
      <w:r w:rsidRPr="00DC41AF">
        <w:rPr>
          <w:sz w:val="24"/>
          <w:lang w:val="en-AU"/>
        </w:rPr>
        <w:t>Withdraw the required amount of Vidaza solution to deliver the desired dose and inject into a 50</w:t>
      </w:r>
      <w:r w:rsidR="00A72AE3">
        <w:rPr>
          <w:sz w:val="24"/>
          <w:lang w:val="en-AU"/>
        </w:rPr>
        <w:noBreakHyphen/>
      </w:r>
      <w:r w:rsidRPr="00DC41AF">
        <w:rPr>
          <w:sz w:val="24"/>
          <w:lang w:val="en-AU"/>
        </w:rPr>
        <w:t>100</w:t>
      </w:r>
      <w:r w:rsidR="009A4E48" w:rsidRPr="00DC41AF">
        <w:rPr>
          <w:sz w:val="24"/>
          <w:lang w:val="en-AU"/>
        </w:rPr>
        <w:t> </w:t>
      </w:r>
      <w:r w:rsidRPr="00DC41AF">
        <w:rPr>
          <w:sz w:val="24"/>
          <w:lang w:val="en-AU"/>
        </w:rPr>
        <w:t>mL infusion bag of either 0.9% Sodium Chloride Injection or Lactated Ringer’s Injection.</w:t>
      </w:r>
    </w:p>
    <w:p w:rsidR="00940FF0" w:rsidRPr="00DC41AF" w:rsidRDefault="00940FF0" w:rsidP="00DC41AF">
      <w:pPr>
        <w:rPr>
          <w:sz w:val="24"/>
          <w:lang w:val="en-AU"/>
        </w:rPr>
      </w:pPr>
    </w:p>
    <w:p w:rsidR="003A27B1" w:rsidRPr="00DC41AF" w:rsidRDefault="00B54A75" w:rsidP="00DC41AF">
      <w:pPr>
        <w:keepNext/>
        <w:rPr>
          <w:sz w:val="24"/>
          <w:u w:val="single"/>
          <w:lang w:val="en-AU"/>
        </w:rPr>
      </w:pPr>
      <w:r w:rsidRPr="00DC41AF">
        <w:rPr>
          <w:sz w:val="24"/>
          <w:u w:val="single"/>
          <w:lang w:val="en-AU"/>
        </w:rPr>
        <w:t>Intravenous Solution Incompatibility</w:t>
      </w:r>
    </w:p>
    <w:p w:rsidR="00B54A75" w:rsidRPr="00DC41AF" w:rsidRDefault="00EF1257" w:rsidP="00DC41AF">
      <w:pPr>
        <w:spacing w:before="120"/>
        <w:rPr>
          <w:sz w:val="24"/>
          <w:lang w:val="en-AU"/>
        </w:rPr>
      </w:pPr>
      <w:r w:rsidRPr="00DC41AF">
        <w:rPr>
          <w:sz w:val="24"/>
          <w:lang w:val="en-AU"/>
        </w:rPr>
        <w:t>Vidaza is incompatible with 5</w:t>
      </w:r>
      <w:r w:rsidR="00694FEC" w:rsidRPr="00DC41AF">
        <w:rPr>
          <w:sz w:val="24"/>
          <w:lang w:val="en-AU"/>
        </w:rPr>
        <w:t>% d</w:t>
      </w:r>
      <w:r w:rsidRPr="00DC41AF">
        <w:rPr>
          <w:sz w:val="24"/>
          <w:lang w:val="en-AU"/>
        </w:rPr>
        <w:t xml:space="preserve">extrose solution, </w:t>
      </w:r>
      <w:proofErr w:type="spellStart"/>
      <w:r w:rsidR="005639BA" w:rsidRPr="00DC41AF">
        <w:rPr>
          <w:sz w:val="24"/>
          <w:szCs w:val="24"/>
          <w:lang w:val="en-AU"/>
        </w:rPr>
        <w:t>v</w:t>
      </w:r>
      <w:r w:rsidR="00694FEC" w:rsidRPr="00DC41AF">
        <w:rPr>
          <w:sz w:val="24"/>
          <w:szCs w:val="24"/>
          <w:lang w:val="en-AU"/>
        </w:rPr>
        <w:t>olulyte</w:t>
      </w:r>
      <w:proofErr w:type="spellEnd"/>
      <w:r w:rsidRPr="00DC41AF">
        <w:rPr>
          <w:sz w:val="22"/>
          <w:szCs w:val="22"/>
          <w:lang w:val="en-AU"/>
        </w:rPr>
        <w:t xml:space="preserve"> </w:t>
      </w:r>
      <w:r w:rsidRPr="00DC41AF">
        <w:rPr>
          <w:sz w:val="24"/>
          <w:lang w:val="en-AU"/>
        </w:rPr>
        <w:t>or solutions that contain bicarbonate.  These solutions have the potential to increase the rate of degradation of Vidaza and should therefore be avoided.</w:t>
      </w:r>
    </w:p>
    <w:p w:rsidR="00B54A75" w:rsidRPr="00DC41AF" w:rsidRDefault="00B54A75" w:rsidP="00DC41AF">
      <w:pPr>
        <w:rPr>
          <w:sz w:val="24"/>
          <w:u w:val="single"/>
          <w:lang w:val="en-AU"/>
        </w:rPr>
      </w:pPr>
    </w:p>
    <w:p w:rsidR="00B54A75" w:rsidRPr="00DC41AF" w:rsidRDefault="00EF1257" w:rsidP="00DC41AF">
      <w:pPr>
        <w:keepNext/>
        <w:rPr>
          <w:sz w:val="24"/>
          <w:u w:val="single"/>
          <w:lang w:val="en-AU"/>
        </w:rPr>
      </w:pPr>
      <w:r w:rsidRPr="00DC41AF">
        <w:rPr>
          <w:sz w:val="24"/>
          <w:u w:val="single"/>
          <w:lang w:val="en-AU"/>
        </w:rPr>
        <w:t>Intravenous Administration</w:t>
      </w:r>
    </w:p>
    <w:p w:rsidR="00B54A75" w:rsidRPr="00DC41AF" w:rsidRDefault="00B54A75" w:rsidP="00DC41AF">
      <w:pPr>
        <w:spacing w:before="120"/>
        <w:rPr>
          <w:sz w:val="24"/>
          <w:lang w:val="en-AU"/>
        </w:rPr>
      </w:pPr>
      <w:r w:rsidRPr="00DC41AF">
        <w:rPr>
          <w:sz w:val="24"/>
          <w:lang w:val="en-AU"/>
        </w:rPr>
        <w:t xml:space="preserve">Vidaza solution </w:t>
      </w:r>
      <w:r w:rsidR="004650DB" w:rsidRPr="00DC41AF">
        <w:rPr>
          <w:sz w:val="24"/>
          <w:lang w:val="en-AU"/>
        </w:rPr>
        <w:t>is</w:t>
      </w:r>
      <w:r w:rsidRPr="00DC41AF">
        <w:rPr>
          <w:sz w:val="24"/>
          <w:lang w:val="en-AU"/>
        </w:rPr>
        <w:t xml:space="preserve"> administered </w:t>
      </w:r>
      <w:r w:rsidR="00EC6B7F" w:rsidRPr="00DC41AF">
        <w:rPr>
          <w:sz w:val="24"/>
          <w:lang w:val="en-AU"/>
        </w:rPr>
        <w:t>as an intravenous infusion</w:t>
      </w:r>
      <w:r w:rsidRPr="00DC41AF">
        <w:rPr>
          <w:sz w:val="24"/>
          <w:lang w:val="en-AU"/>
        </w:rPr>
        <w:t>.  Administer the total dose over a period of 10</w:t>
      </w:r>
      <w:r w:rsidR="00A72AE3">
        <w:rPr>
          <w:sz w:val="24"/>
          <w:lang w:val="en-AU"/>
        </w:rPr>
        <w:noBreakHyphen/>
      </w:r>
      <w:r w:rsidRPr="00DC41AF">
        <w:rPr>
          <w:sz w:val="24"/>
          <w:lang w:val="en-AU"/>
        </w:rPr>
        <w:t>40</w:t>
      </w:r>
      <w:r w:rsidR="00940FF0" w:rsidRPr="00DC41AF">
        <w:rPr>
          <w:sz w:val="24"/>
          <w:lang w:val="en-AU"/>
        </w:rPr>
        <w:t xml:space="preserve"> minutes.  The </w:t>
      </w:r>
      <w:r w:rsidR="00D25A88" w:rsidRPr="00DC41AF">
        <w:rPr>
          <w:sz w:val="24"/>
          <w:lang w:val="en-AU"/>
        </w:rPr>
        <w:t xml:space="preserve">intravenous </w:t>
      </w:r>
      <w:r w:rsidR="00940FF0" w:rsidRPr="00DC41AF">
        <w:rPr>
          <w:sz w:val="24"/>
          <w:lang w:val="en-AU"/>
        </w:rPr>
        <w:t>administration m</w:t>
      </w:r>
      <w:r w:rsidRPr="00DC41AF">
        <w:rPr>
          <w:sz w:val="24"/>
          <w:lang w:val="en-AU"/>
        </w:rPr>
        <w:t>ust be completed within</w:t>
      </w:r>
      <w:r w:rsidR="00D25A88" w:rsidRPr="00DC41AF">
        <w:rPr>
          <w:sz w:val="24"/>
          <w:lang w:val="en-AU"/>
        </w:rPr>
        <w:t xml:space="preserve"> 45</w:t>
      </w:r>
      <w:r w:rsidR="00DE4699" w:rsidRPr="00DC41AF">
        <w:rPr>
          <w:sz w:val="24"/>
          <w:lang w:val="en-AU"/>
        </w:rPr>
        <w:t> </w:t>
      </w:r>
      <w:r w:rsidR="00D25A88" w:rsidRPr="00DC41AF">
        <w:rPr>
          <w:sz w:val="24"/>
          <w:lang w:val="en-AU"/>
        </w:rPr>
        <w:t>minutes</w:t>
      </w:r>
      <w:r w:rsidRPr="00DC41AF">
        <w:rPr>
          <w:sz w:val="24"/>
          <w:lang w:val="en-AU"/>
        </w:rPr>
        <w:t xml:space="preserve"> of reconstitution of the Vidaza vial.</w:t>
      </w:r>
    </w:p>
    <w:p w:rsidR="002C2F3D" w:rsidRPr="00DC41AF" w:rsidRDefault="002C2F3D" w:rsidP="00DC41AF">
      <w:pPr>
        <w:rPr>
          <w:sz w:val="24"/>
          <w:lang w:val="en-AU"/>
        </w:rPr>
      </w:pPr>
    </w:p>
    <w:p w:rsidR="002C2F3D" w:rsidRPr="00DC41AF" w:rsidRDefault="002C2F3D" w:rsidP="00DC41AF">
      <w:pPr>
        <w:rPr>
          <w:sz w:val="24"/>
          <w:lang w:val="en-AU"/>
        </w:rPr>
      </w:pPr>
    </w:p>
    <w:p w:rsidR="00B52ACD" w:rsidRPr="00DC41AF" w:rsidRDefault="00F90709" w:rsidP="00DC41AF">
      <w:pPr>
        <w:pStyle w:val="Heading2"/>
        <w:numPr>
          <w:ilvl w:val="0"/>
          <w:numId w:val="11"/>
        </w:numPr>
        <w:ind w:left="709" w:hanging="709"/>
        <w:rPr>
          <w:sz w:val="24"/>
          <w:lang w:val="en-AU"/>
        </w:rPr>
      </w:pPr>
      <w:proofErr w:type="spellStart"/>
      <w:r w:rsidRPr="00DC41AF">
        <w:rPr>
          <w:sz w:val="24"/>
          <w:lang w:val="en-AU"/>
        </w:rPr>
        <w:t>Overdosage</w:t>
      </w:r>
      <w:proofErr w:type="spellEnd"/>
    </w:p>
    <w:p w:rsidR="006A73B9" w:rsidRPr="00DC41AF" w:rsidRDefault="006A73B9" w:rsidP="00DC41AF">
      <w:pPr>
        <w:spacing w:before="120"/>
        <w:rPr>
          <w:sz w:val="24"/>
          <w:szCs w:val="24"/>
          <w:lang w:val="en-AU"/>
        </w:rPr>
      </w:pPr>
      <w:r w:rsidRPr="00DC41AF">
        <w:rPr>
          <w:sz w:val="24"/>
          <w:szCs w:val="24"/>
          <w:lang w:val="en-AU"/>
        </w:rPr>
        <w:t xml:space="preserve">In the event of </w:t>
      </w:r>
      <w:proofErr w:type="spellStart"/>
      <w:r w:rsidRPr="00DC41AF">
        <w:rPr>
          <w:sz w:val="24"/>
          <w:szCs w:val="24"/>
          <w:lang w:val="en-AU"/>
        </w:rPr>
        <w:t>overdosage</w:t>
      </w:r>
      <w:proofErr w:type="spellEnd"/>
      <w:r w:rsidRPr="00DC41AF">
        <w:rPr>
          <w:sz w:val="24"/>
          <w:szCs w:val="24"/>
          <w:lang w:val="en-AU"/>
        </w:rPr>
        <w:t xml:space="preserve">, the patient should be monitored with appropriate blood counts and should receive supportive treatment, as necessary. There is no known specific antidote for </w:t>
      </w:r>
      <w:proofErr w:type="spellStart"/>
      <w:r w:rsidRPr="00DC41AF">
        <w:rPr>
          <w:sz w:val="24"/>
          <w:szCs w:val="24"/>
          <w:lang w:val="en-AU"/>
        </w:rPr>
        <w:t>azacitidine</w:t>
      </w:r>
      <w:proofErr w:type="spellEnd"/>
      <w:r w:rsidRPr="00DC41AF">
        <w:rPr>
          <w:sz w:val="24"/>
          <w:szCs w:val="24"/>
          <w:lang w:val="en-AU"/>
        </w:rPr>
        <w:t xml:space="preserve"> </w:t>
      </w:r>
      <w:proofErr w:type="spellStart"/>
      <w:r w:rsidRPr="00DC41AF">
        <w:rPr>
          <w:sz w:val="24"/>
          <w:szCs w:val="24"/>
          <w:lang w:val="en-AU"/>
        </w:rPr>
        <w:t>overdosage</w:t>
      </w:r>
      <w:proofErr w:type="spellEnd"/>
      <w:r w:rsidRPr="00DC41AF">
        <w:rPr>
          <w:sz w:val="24"/>
          <w:szCs w:val="24"/>
          <w:lang w:val="en-AU"/>
        </w:rPr>
        <w:t>.</w:t>
      </w:r>
      <w:r w:rsidR="00650591" w:rsidRPr="00DC41AF">
        <w:rPr>
          <w:sz w:val="24"/>
          <w:lang w:val="en-AU"/>
        </w:rPr>
        <w:t xml:space="preserve"> </w:t>
      </w:r>
      <w:r w:rsidR="006F77D7" w:rsidRPr="00DC41AF">
        <w:rPr>
          <w:sz w:val="24"/>
          <w:lang w:val="en-AU"/>
        </w:rPr>
        <w:t>In Australia, c</w:t>
      </w:r>
      <w:r w:rsidR="00650591" w:rsidRPr="00DC41AF">
        <w:rPr>
          <w:sz w:val="24"/>
          <w:lang w:val="en-AU"/>
        </w:rPr>
        <w:t>ontact the Poisons Advisory Centre on 13</w:t>
      </w:r>
      <w:r w:rsidR="00DE4699" w:rsidRPr="00DC41AF">
        <w:rPr>
          <w:sz w:val="24"/>
          <w:lang w:val="en-AU"/>
        </w:rPr>
        <w:t> </w:t>
      </w:r>
      <w:r w:rsidR="00650591" w:rsidRPr="00DC41AF">
        <w:rPr>
          <w:sz w:val="24"/>
          <w:lang w:val="en-AU"/>
        </w:rPr>
        <w:t>11</w:t>
      </w:r>
      <w:r w:rsidR="00DE4699" w:rsidRPr="00DC41AF">
        <w:rPr>
          <w:sz w:val="24"/>
          <w:lang w:val="en-AU"/>
        </w:rPr>
        <w:t> </w:t>
      </w:r>
      <w:r w:rsidR="00650591" w:rsidRPr="00DC41AF">
        <w:rPr>
          <w:sz w:val="24"/>
          <w:lang w:val="en-AU"/>
        </w:rPr>
        <w:t>26 for advice on management.</w:t>
      </w:r>
      <w:r w:rsidR="006F77D7" w:rsidRPr="00DC41AF">
        <w:rPr>
          <w:sz w:val="24"/>
          <w:lang w:val="en-AU"/>
        </w:rPr>
        <w:t xml:space="preserve"> In New Zealand, contact the National Poison Centre on 0800 POISON or 0800 764 766 for advice on management.</w:t>
      </w:r>
    </w:p>
    <w:p w:rsidR="006A73B9" w:rsidRPr="00DC41AF" w:rsidRDefault="006A73B9" w:rsidP="00DC41AF">
      <w:pPr>
        <w:rPr>
          <w:sz w:val="24"/>
          <w:szCs w:val="24"/>
          <w:lang w:val="en-AU"/>
        </w:rPr>
      </w:pPr>
    </w:p>
    <w:p w:rsidR="00570632" w:rsidRPr="00DC41AF" w:rsidRDefault="006A73B9" w:rsidP="00DC41AF">
      <w:pPr>
        <w:rPr>
          <w:sz w:val="24"/>
          <w:lang w:val="en-AU"/>
        </w:rPr>
      </w:pPr>
      <w:r w:rsidRPr="00DC41AF">
        <w:rPr>
          <w:sz w:val="24"/>
          <w:szCs w:val="24"/>
          <w:lang w:val="en-AU"/>
        </w:rPr>
        <w:t>One case of overdose with azacitidine was reported during clinical trials. A patient experienced diarrhoea, nausea, and vomiting after receiving a single IV dose of approximately 290</w:t>
      </w:r>
      <w:r w:rsidR="007E7295" w:rsidRPr="00DC41AF">
        <w:rPr>
          <w:sz w:val="24"/>
          <w:szCs w:val="24"/>
          <w:lang w:val="en-AU"/>
        </w:rPr>
        <w:t> </w:t>
      </w:r>
      <w:r w:rsidRPr="00DC41AF">
        <w:rPr>
          <w:sz w:val="24"/>
          <w:szCs w:val="24"/>
          <w:lang w:val="en-AU"/>
        </w:rPr>
        <w:t>mg/m</w:t>
      </w:r>
      <w:r w:rsidRPr="00DC41AF">
        <w:rPr>
          <w:sz w:val="24"/>
          <w:szCs w:val="24"/>
          <w:vertAlign w:val="superscript"/>
          <w:lang w:val="en-AU"/>
        </w:rPr>
        <w:t>2</w:t>
      </w:r>
      <w:r w:rsidRPr="00DC41AF">
        <w:rPr>
          <w:sz w:val="24"/>
          <w:szCs w:val="24"/>
          <w:lang w:val="en-AU"/>
        </w:rPr>
        <w:t xml:space="preserve">, almost 4 times the recommended starting dose. The events resolved without </w:t>
      </w:r>
      <w:proofErr w:type="spellStart"/>
      <w:r w:rsidRPr="00DC41AF">
        <w:rPr>
          <w:sz w:val="24"/>
          <w:szCs w:val="24"/>
          <w:lang w:val="en-AU"/>
        </w:rPr>
        <w:t>sequelae</w:t>
      </w:r>
      <w:proofErr w:type="spellEnd"/>
      <w:r w:rsidRPr="00DC41AF">
        <w:rPr>
          <w:sz w:val="24"/>
          <w:szCs w:val="24"/>
          <w:lang w:val="en-AU"/>
        </w:rPr>
        <w:t xml:space="preserve">, and the correct dose </w:t>
      </w:r>
      <w:r w:rsidR="004D5EE4" w:rsidRPr="00DC41AF">
        <w:rPr>
          <w:sz w:val="24"/>
          <w:szCs w:val="24"/>
          <w:lang w:val="en-AU"/>
        </w:rPr>
        <w:t xml:space="preserve">was resumed the following day. </w:t>
      </w:r>
    </w:p>
    <w:p w:rsidR="00CD174E" w:rsidRPr="00DC41AF" w:rsidRDefault="00CD174E" w:rsidP="00DC41AF">
      <w:pPr>
        <w:pStyle w:val="Heading4"/>
        <w:keepNext w:val="0"/>
        <w:spacing w:before="0" w:after="0"/>
        <w:rPr>
          <w:b w:val="0"/>
          <w:lang w:val="en-AU"/>
        </w:rPr>
      </w:pPr>
    </w:p>
    <w:p w:rsidR="003A27B1" w:rsidRPr="00DC41AF" w:rsidRDefault="003A27B1" w:rsidP="00DC41AF">
      <w:pPr>
        <w:rPr>
          <w:sz w:val="24"/>
          <w:szCs w:val="24"/>
          <w:lang w:val="en-AU"/>
        </w:rPr>
      </w:pPr>
    </w:p>
    <w:p w:rsidR="00B52ACD" w:rsidRPr="00DC41AF" w:rsidRDefault="00F90709" w:rsidP="00DC41AF">
      <w:pPr>
        <w:pStyle w:val="Heading4"/>
        <w:numPr>
          <w:ilvl w:val="0"/>
          <w:numId w:val="11"/>
        </w:numPr>
        <w:spacing w:before="0" w:after="0"/>
        <w:ind w:left="709" w:hanging="709"/>
        <w:rPr>
          <w:szCs w:val="24"/>
          <w:lang w:val="en-AU"/>
        </w:rPr>
      </w:pPr>
      <w:r w:rsidRPr="00DC41AF">
        <w:rPr>
          <w:lang w:val="en-AU"/>
        </w:rPr>
        <w:t>Presentation and storage conditions</w:t>
      </w:r>
    </w:p>
    <w:p w:rsidR="000A1A7A" w:rsidRPr="00DC41AF" w:rsidRDefault="000A1A7A" w:rsidP="00DC41AF">
      <w:pPr>
        <w:spacing w:before="120"/>
        <w:rPr>
          <w:sz w:val="24"/>
          <w:szCs w:val="24"/>
          <w:lang w:val="en-AU"/>
        </w:rPr>
      </w:pPr>
      <w:r w:rsidRPr="00DC41AF">
        <w:rPr>
          <w:sz w:val="24"/>
          <w:szCs w:val="24"/>
          <w:lang w:val="en-AU"/>
        </w:rPr>
        <w:t>Each vial contains 100</w:t>
      </w:r>
      <w:r w:rsidR="00C21EE0" w:rsidRPr="00DC41AF">
        <w:rPr>
          <w:sz w:val="24"/>
          <w:szCs w:val="24"/>
          <w:lang w:val="en-AU"/>
        </w:rPr>
        <w:t> </w:t>
      </w:r>
      <w:r w:rsidRPr="00DC41AF">
        <w:rPr>
          <w:sz w:val="24"/>
          <w:szCs w:val="24"/>
          <w:lang w:val="en-AU"/>
        </w:rPr>
        <w:t>mg azacitidine and 100</w:t>
      </w:r>
      <w:r w:rsidR="00C21EE0" w:rsidRPr="00DC41AF">
        <w:rPr>
          <w:sz w:val="24"/>
          <w:szCs w:val="24"/>
          <w:lang w:val="en-AU"/>
        </w:rPr>
        <w:t> </w:t>
      </w:r>
      <w:r w:rsidRPr="00DC41AF">
        <w:rPr>
          <w:sz w:val="24"/>
          <w:szCs w:val="24"/>
          <w:lang w:val="en-AU"/>
        </w:rPr>
        <w:t>mg mannitol.</w:t>
      </w:r>
    </w:p>
    <w:p w:rsidR="000A1A7A" w:rsidRPr="00DC41AF" w:rsidRDefault="000A1A7A" w:rsidP="00DC41AF">
      <w:pPr>
        <w:rPr>
          <w:sz w:val="24"/>
          <w:szCs w:val="24"/>
          <w:lang w:val="en-AU"/>
        </w:rPr>
      </w:pPr>
    </w:p>
    <w:p w:rsidR="000A1A7A" w:rsidRPr="00DC41AF" w:rsidRDefault="00FE0D45" w:rsidP="00DC41AF">
      <w:pPr>
        <w:rPr>
          <w:sz w:val="24"/>
          <w:szCs w:val="24"/>
          <w:lang w:val="en-AU"/>
        </w:rPr>
      </w:pPr>
      <w:r w:rsidRPr="00DC41AF">
        <w:rPr>
          <w:sz w:val="24"/>
          <w:szCs w:val="24"/>
          <w:lang w:val="en-AU"/>
        </w:rPr>
        <w:t>Vidaza</w:t>
      </w:r>
      <w:r w:rsidR="00CD174E" w:rsidRPr="00DC41AF">
        <w:rPr>
          <w:sz w:val="24"/>
          <w:szCs w:val="24"/>
          <w:vertAlign w:val="superscript"/>
          <w:lang w:val="en-AU"/>
        </w:rPr>
        <w:t xml:space="preserve"> </w:t>
      </w:r>
      <w:r w:rsidR="00CD174E" w:rsidRPr="00DC41AF">
        <w:rPr>
          <w:sz w:val="24"/>
          <w:szCs w:val="24"/>
          <w:lang w:val="en-AU"/>
        </w:rPr>
        <w:t>is</w:t>
      </w:r>
      <w:r w:rsidR="000A1A7A" w:rsidRPr="00DC41AF">
        <w:rPr>
          <w:sz w:val="24"/>
          <w:szCs w:val="24"/>
          <w:lang w:val="en-AU"/>
        </w:rPr>
        <w:t xml:space="preserve"> supplied in a colourless single use Type I glass vial sealed with butyl rubber stopper and alumi</w:t>
      </w:r>
      <w:r w:rsidR="00D660A7" w:rsidRPr="00DC41AF">
        <w:rPr>
          <w:sz w:val="24"/>
          <w:szCs w:val="24"/>
          <w:lang w:val="en-AU"/>
        </w:rPr>
        <w:t>nium seal with plastic button.</w:t>
      </w:r>
    </w:p>
    <w:p w:rsidR="00F47728" w:rsidRPr="00DC41AF" w:rsidRDefault="00F47728" w:rsidP="00DC41AF">
      <w:pPr>
        <w:rPr>
          <w:sz w:val="24"/>
          <w:szCs w:val="24"/>
          <w:lang w:val="en-AU"/>
        </w:rPr>
      </w:pPr>
    </w:p>
    <w:p w:rsidR="000A1A7A" w:rsidRPr="00DC41AF" w:rsidRDefault="000A1A7A" w:rsidP="00DC41AF">
      <w:pPr>
        <w:rPr>
          <w:b/>
          <w:sz w:val="24"/>
          <w:szCs w:val="24"/>
          <w:lang w:val="en-AU"/>
        </w:rPr>
      </w:pPr>
      <w:r w:rsidRPr="00DC41AF">
        <w:rPr>
          <w:sz w:val="24"/>
          <w:szCs w:val="24"/>
          <w:lang w:val="en-AU"/>
        </w:rPr>
        <w:lastRenderedPageBreak/>
        <w:t>Pack sizes:  1 vial</w:t>
      </w:r>
    </w:p>
    <w:p w:rsidR="00F47728" w:rsidRPr="00DC41AF" w:rsidRDefault="00F47728" w:rsidP="00AE2776">
      <w:pPr>
        <w:jc w:val="both"/>
        <w:rPr>
          <w:sz w:val="24"/>
          <w:szCs w:val="24"/>
          <w:lang w:val="en-AU"/>
        </w:rPr>
      </w:pPr>
    </w:p>
    <w:p w:rsidR="00AE2776" w:rsidRPr="00DC41AF" w:rsidRDefault="00AE2776" w:rsidP="00DC41AF">
      <w:pPr>
        <w:keepNext/>
        <w:rPr>
          <w:b/>
          <w:sz w:val="24"/>
          <w:lang w:val="en-AU"/>
        </w:rPr>
      </w:pPr>
      <w:r w:rsidRPr="00DC41AF">
        <w:rPr>
          <w:b/>
          <w:sz w:val="24"/>
          <w:lang w:val="en-AU"/>
        </w:rPr>
        <w:t>Storage</w:t>
      </w:r>
    </w:p>
    <w:p w:rsidR="00AE2776" w:rsidRPr="00DC41AF" w:rsidRDefault="00AE2776" w:rsidP="00DC41AF">
      <w:pPr>
        <w:spacing w:before="120"/>
        <w:rPr>
          <w:sz w:val="24"/>
          <w:szCs w:val="24"/>
          <w:lang w:val="en-AU"/>
        </w:rPr>
      </w:pPr>
      <w:r w:rsidRPr="00DC41AF">
        <w:rPr>
          <w:sz w:val="24"/>
          <w:szCs w:val="24"/>
          <w:lang w:val="en-AU"/>
        </w:rPr>
        <w:t xml:space="preserve">Powder for injection: Store below </w:t>
      </w:r>
      <w:r w:rsidR="004D5EE4" w:rsidRPr="00DC41AF">
        <w:rPr>
          <w:sz w:val="24"/>
          <w:szCs w:val="24"/>
          <w:lang w:val="en-AU"/>
        </w:rPr>
        <w:t>25</w:t>
      </w:r>
      <w:r w:rsidRPr="00DC41AF">
        <w:rPr>
          <w:sz w:val="24"/>
          <w:szCs w:val="24"/>
          <w:lang w:val="en-AU"/>
        </w:rPr>
        <w:sym w:font="Symbol" w:char="F0B0"/>
      </w:r>
      <w:r w:rsidRPr="00DC41AF">
        <w:rPr>
          <w:sz w:val="24"/>
          <w:szCs w:val="24"/>
          <w:lang w:val="en-AU"/>
        </w:rPr>
        <w:t>C.</w:t>
      </w:r>
    </w:p>
    <w:p w:rsidR="004650DB" w:rsidRPr="00DC41AF" w:rsidRDefault="004650DB" w:rsidP="00DC41AF">
      <w:pPr>
        <w:rPr>
          <w:sz w:val="24"/>
          <w:szCs w:val="24"/>
          <w:lang w:val="en-AU"/>
        </w:rPr>
      </w:pPr>
    </w:p>
    <w:p w:rsidR="003A27B1" w:rsidRPr="00DC41AF" w:rsidRDefault="003A27B1" w:rsidP="00DC41AF">
      <w:pPr>
        <w:rPr>
          <w:sz w:val="24"/>
          <w:lang w:val="en-AU"/>
        </w:rPr>
      </w:pPr>
    </w:p>
    <w:p w:rsidR="00B52ACD" w:rsidRPr="00DC41AF" w:rsidRDefault="00F90709" w:rsidP="00DC41AF">
      <w:pPr>
        <w:pStyle w:val="ListParagraph"/>
        <w:keepNext/>
        <w:numPr>
          <w:ilvl w:val="0"/>
          <w:numId w:val="11"/>
        </w:numPr>
        <w:ind w:left="709" w:hanging="709"/>
        <w:rPr>
          <w:sz w:val="24"/>
          <w:lang w:val="en-AU"/>
        </w:rPr>
      </w:pPr>
      <w:r w:rsidRPr="00DC41AF">
        <w:rPr>
          <w:b/>
          <w:sz w:val="24"/>
          <w:lang w:val="en-AU"/>
        </w:rPr>
        <w:t>Name and Address of the Sponsor</w:t>
      </w:r>
    </w:p>
    <w:p w:rsidR="00D300C5" w:rsidRPr="00DC41AF" w:rsidRDefault="00D300C5" w:rsidP="00DC41AF">
      <w:pPr>
        <w:keepNext/>
        <w:spacing w:before="120"/>
        <w:rPr>
          <w:sz w:val="24"/>
          <w:lang w:val="en-AU"/>
        </w:rPr>
      </w:pPr>
      <w:r w:rsidRPr="00DC41AF">
        <w:rPr>
          <w:sz w:val="24"/>
          <w:lang w:val="en-AU"/>
        </w:rPr>
        <w:t>Sponsored in Australia by:</w:t>
      </w:r>
    </w:p>
    <w:p w:rsidR="00CD174E" w:rsidRPr="00DC41AF" w:rsidRDefault="00CD174E" w:rsidP="00DC41AF">
      <w:pPr>
        <w:spacing w:before="120"/>
        <w:rPr>
          <w:sz w:val="24"/>
          <w:lang w:val="en-AU"/>
        </w:rPr>
      </w:pPr>
      <w:r w:rsidRPr="00DC41AF">
        <w:rPr>
          <w:sz w:val="24"/>
          <w:lang w:val="en-AU"/>
        </w:rPr>
        <w:t>Celgene Pty Ltd.</w:t>
      </w:r>
    </w:p>
    <w:p w:rsidR="00CD174E" w:rsidRPr="00DC41AF" w:rsidRDefault="00CD174E" w:rsidP="00DC41AF">
      <w:pPr>
        <w:rPr>
          <w:sz w:val="24"/>
          <w:lang w:val="en-AU"/>
        </w:rPr>
      </w:pPr>
      <w:r w:rsidRPr="00DC41AF">
        <w:rPr>
          <w:sz w:val="24"/>
          <w:lang w:val="en-AU"/>
        </w:rPr>
        <w:t xml:space="preserve">Level 7, 607 St Kilda Road, </w:t>
      </w:r>
    </w:p>
    <w:p w:rsidR="00D300C5" w:rsidRPr="00DC41AF" w:rsidRDefault="00570632" w:rsidP="00DC41AF">
      <w:pPr>
        <w:rPr>
          <w:sz w:val="24"/>
          <w:lang w:val="en-AU"/>
        </w:rPr>
      </w:pPr>
      <w:r w:rsidRPr="00DC41AF">
        <w:rPr>
          <w:sz w:val="24"/>
          <w:lang w:val="en-AU"/>
        </w:rPr>
        <w:t>Melbourne Vic</w:t>
      </w:r>
      <w:r w:rsidR="00D300C5" w:rsidRPr="00DC41AF">
        <w:rPr>
          <w:sz w:val="24"/>
          <w:lang w:val="en-AU"/>
        </w:rPr>
        <w:t>toria</w:t>
      </w:r>
      <w:r w:rsidRPr="00DC41AF">
        <w:rPr>
          <w:sz w:val="24"/>
          <w:lang w:val="en-AU"/>
        </w:rPr>
        <w:t xml:space="preserve"> </w:t>
      </w:r>
      <w:r w:rsidR="00D300C5" w:rsidRPr="00DC41AF">
        <w:rPr>
          <w:sz w:val="24"/>
          <w:lang w:val="en-AU"/>
        </w:rPr>
        <w:t xml:space="preserve">- </w:t>
      </w:r>
      <w:r w:rsidRPr="00DC41AF">
        <w:rPr>
          <w:sz w:val="24"/>
          <w:lang w:val="en-AU"/>
        </w:rPr>
        <w:t>3004</w:t>
      </w:r>
    </w:p>
    <w:p w:rsidR="00570632" w:rsidRPr="00DC41AF" w:rsidRDefault="00CD174E" w:rsidP="00DC41AF">
      <w:pPr>
        <w:rPr>
          <w:sz w:val="24"/>
          <w:lang w:val="en-AU"/>
        </w:rPr>
      </w:pPr>
      <w:r w:rsidRPr="00DC41AF">
        <w:rPr>
          <w:sz w:val="24"/>
          <w:lang w:val="en-AU"/>
        </w:rPr>
        <w:t>Australia</w:t>
      </w:r>
      <w:r w:rsidR="00D300C5" w:rsidRPr="00DC41AF">
        <w:rPr>
          <w:sz w:val="24"/>
          <w:lang w:val="en-AU"/>
        </w:rPr>
        <w:t>.</w:t>
      </w:r>
    </w:p>
    <w:p w:rsidR="00570632" w:rsidRPr="00DC41AF" w:rsidRDefault="00570632" w:rsidP="00DC41AF">
      <w:pPr>
        <w:rPr>
          <w:sz w:val="24"/>
          <w:lang w:val="en-AU"/>
        </w:rPr>
      </w:pPr>
    </w:p>
    <w:p w:rsidR="00570632" w:rsidRPr="00DC41AF" w:rsidRDefault="00570632" w:rsidP="00DC41AF">
      <w:pPr>
        <w:rPr>
          <w:sz w:val="24"/>
          <w:lang w:val="en-AU"/>
        </w:rPr>
      </w:pPr>
      <w:r w:rsidRPr="00DC41AF">
        <w:rPr>
          <w:sz w:val="24"/>
          <w:lang w:val="en-AU"/>
        </w:rPr>
        <w:t xml:space="preserve">AUST R No: </w:t>
      </w:r>
      <w:r w:rsidR="00F144FD" w:rsidRPr="00DC41AF">
        <w:rPr>
          <w:sz w:val="24"/>
          <w:lang w:val="en-AU"/>
        </w:rPr>
        <w:t>153080</w:t>
      </w:r>
    </w:p>
    <w:p w:rsidR="00570632" w:rsidRPr="00DC41AF" w:rsidRDefault="00570632" w:rsidP="00DC41AF">
      <w:pPr>
        <w:rPr>
          <w:sz w:val="24"/>
          <w:lang w:val="en-AU"/>
        </w:rPr>
      </w:pPr>
    </w:p>
    <w:p w:rsidR="007F2F35" w:rsidRPr="00DC41AF" w:rsidRDefault="00D300C5" w:rsidP="00DC41AF">
      <w:pPr>
        <w:keepNext/>
        <w:rPr>
          <w:sz w:val="24"/>
          <w:lang w:val="en-AU"/>
        </w:rPr>
      </w:pPr>
      <w:r w:rsidRPr="00DC41AF">
        <w:rPr>
          <w:sz w:val="24"/>
          <w:lang w:val="en-AU"/>
        </w:rPr>
        <w:t>Sponsored in New Zealand by:</w:t>
      </w:r>
    </w:p>
    <w:p w:rsidR="00D300C5" w:rsidRPr="00DC41AF" w:rsidRDefault="00D300C5" w:rsidP="00DC41AF">
      <w:pPr>
        <w:spacing w:before="120"/>
        <w:rPr>
          <w:sz w:val="24"/>
          <w:lang w:val="en-AU"/>
        </w:rPr>
      </w:pPr>
      <w:r w:rsidRPr="00DC41AF">
        <w:rPr>
          <w:sz w:val="24"/>
          <w:lang w:val="en-AU"/>
        </w:rPr>
        <w:t>Celgene Limited</w:t>
      </w:r>
    </w:p>
    <w:p w:rsidR="00D300C5" w:rsidRPr="00DC41AF" w:rsidRDefault="00D300C5" w:rsidP="00DC41AF">
      <w:pPr>
        <w:rPr>
          <w:sz w:val="24"/>
          <w:lang w:val="en-AU"/>
        </w:rPr>
      </w:pPr>
      <w:r w:rsidRPr="00DC41AF">
        <w:rPr>
          <w:sz w:val="24"/>
          <w:lang w:val="en-AU"/>
        </w:rPr>
        <w:t>Level 7, 28 Brandon Street</w:t>
      </w:r>
    </w:p>
    <w:p w:rsidR="00D300C5" w:rsidRPr="00DC41AF" w:rsidRDefault="00D300C5" w:rsidP="00DC41AF">
      <w:pPr>
        <w:rPr>
          <w:sz w:val="24"/>
          <w:lang w:val="en-AU"/>
        </w:rPr>
      </w:pPr>
      <w:r w:rsidRPr="00DC41AF">
        <w:rPr>
          <w:sz w:val="24"/>
          <w:lang w:val="en-AU"/>
        </w:rPr>
        <w:t>Wellington</w:t>
      </w:r>
    </w:p>
    <w:p w:rsidR="00D300C5" w:rsidRPr="00DC41AF" w:rsidRDefault="00D300C5" w:rsidP="00DC41AF">
      <w:pPr>
        <w:rPr>
          <w:sz w:val="24"/>
          <w:lang w:val="en-AU"/>
        </w:rPr>
      </w:pPr>
      <w:r w:rsidRPr="00DC41AF">
        <w:rPr>
          <w:sz w:val="24"/>
          <w:lang w:val="en-AU"/>
        </w:rPr>
        <w:t>New Zealand.</w:t>
      </w:r>
    </w:p>
    <w:p w:rsidR="00D300C5" w:rsidRPr="00DC41AF" w:rsidRDefault="00D300C5" w:rsidP="00DC41AF">
      <w:pPr>
        <w:rPr>
          <w:sz w:val="24"/>
          <w:lang w:val="en-AU"/>
        </w:rPr>
      </w:pPr>
    </w:p>
    <w:p w:rsidR="00681931" w:rsidRPr="00DC41AF" w:rsidRDefault="00681931" w:rsidP="00DC41AF">
      <w:pPr>
        <w:rPr>
          <w:sz w:val="24"/>
          <w:lang w:val="en-AU"/>
        </w:rPr>
      </w:pPr>
    </w:p>
    <w:p w:rsidR="00B52ACD" w:rsidRPr="00DC41AF" w:rsidRDefault="00F90709" w:rsidP="00DC41AF">
      <w:pPr>
        <w:pStyle w:val="ListParagraph"/>
        <w:keepNext/>
        <w:numPr>
          <w:ilvl w:val="0"/>
          <w:numId w:val="11"/>
        </w:numPr>
        <w:ind w:left="709" w:hanging="709"/>
        <w:rPr>
          <w:sz w:val="24"/>
          <w:lang w:val="en-AU"/>
        </w:rPr>
      </w:pPr>
      <w:r w:rsidRPr="00DC41AF">
        <w:rPr>
          <w:b/>
          <w:sz w:val="24"/>
          <w:lang w:val="en-AU"/>
        </w:rPr>
        <w:t>Poison Schedule of the Medicine:</w:t>
      </w:r>
    </w:p>
    <w:p w:rsidR="008A25D2" w:rsidRPr="00DC41AF" w:rsidRDefault="008A25D2" w:rsidP="00DC41AF">
      <w:pPr>
        <w:spacing w:before="120"/>
        <w:rPr>
          <w:sz w:val="24"/>
          <w:lang w:val="en-AU"/>
        </w:rPr>
      </w:pPr>
      <w:r w:rsidRPr="00DC41AF">
        <w:rPr>
          <w:sz w:val="24"/>
          <w:lang w:val="en-AU"/>
        </w:rPr>
        <w:t>Schedule 4</w:t>
      </w:r>
      <w:r w:rsidR="006F77D7" w:rsidRPr="00DC41AF">
        <w:rPr>
          <w:sz w:val="24"/>
          <w:lang w:val="en-AU"/>
        </w:rPr>
        <w:t xml:space="preserve"> (Prescription Only Medicine)</w:t>
      </w:r>
    </w:p>
    <w:p w:rsidR="00E91AE5" w:rsidRPr="00DC41AF" w:rsidRDefault="00E91AE5" w:rsidP="00DC41AF">
      <w:pPr>
        <w:rPr>
          <w:sz w:val="24"/>
          <w:lang w:val="en-AU"/>
        </w:rPr>
      </w:pPr>
    </w:p>
    <w:p w:rsidR="00681931" w:rsidRPr="00DC41AF" w:rsidRDefault="00681931" w:rsidP="00DC41AF">
      <w:pPr>
        <w:rPr>
          <w:sz w:val="24"/>
          <w:lang w:val="en-AU"/>
        </w:rPr>
      </w:pPr>
    </w:p>
    <w:p w:rsidR="00B52ACD" w:rsidRPr="00DC41AF" w:rsidRDefault="009A6290" w:rsidP="00DC41AF">
      <w:pPr>
        <w:pStyle w:val="ListParagraph"/>
        <w:keepNext/>
        <w:numPr>
          <w:ilvl w:val="0"/>
          <w:numId w:val="11"/>
        </w:numPr>
        <w:ind w:left="709" w:right="-329" w:hanging="709"/>
        <w:rPr>
          <w:b/>
          <w:sz w:val="24"/>
          <w:lang w:val="en-AU"/>
        </w:rPr>
      </w:pPr>
      <w:r w:rsidRPr="00DC41AF">
        <w:rPr>
          <w:b/>
          <w:sz w:val="24"/>
          <w:lang w:val="en-AU"/>
        </w:rPr>
        <w:t>Date of first inclusion in the Australian Register of Therapeutic Goods (the ARTG):</w:t>
      </w:r>
    </w:p>
    <w:p w:rsidR="00570632" w:rsidRPr="00DC41AF" w:rsidRDefault="009A6290" w:rsidP="00DC41AF">
      <w:pPr>
        <w:keepNext/>
        <w:spacing w:before="120"/>
        <w:ind w:right="-329"/>
        <w:rPr>
          <w:sz w:val="24"/>
          <w:lang w:val="en-AU"/>
        </w:rPr>
      </w:pPr>
      <w:r w:rsidRPr="00DC41AF">
        <w:rPr>
          <w:sz w:val="24"/>
          <w:lang w:val="en-AU"/>
        </w:rPr>
        <w:t>30 November 20</w:t>
      </w:r>
      <w:r w:rsidR="004D10FD" w:rsidRPr="00DC41AF">
        <w:rPr>
          <w:sz w:val="24"/>
          <w:lang w:val="en-AU"/>
        </w:rPr>
        <w:t>09</w:t>
      </w:r>
    </w:p>
    <w:p w:rsidR="009A6290" w:rsidRPr="00DC41AF" w:rsidRDefault="009A6290" w:rsidP="00DC41AF">
      <w:pPr>
        <w:ind w:right="-331"/>
        <w:rPr>
          <w:sz w:val="24"/>
          <w:lang w:val="en-AU"/>
        </w:rPr>
      </w:pPr>
    </w:p>
    <w:p w:rsidR="00681931" w:rsidRPr="00DC41AF" w:rsidRDefault="00681931" w:rsidP="00DC41AF">
      <w:pPr>
        <w:ind w:right="-331"/>
        <w:rPr>
          <w:sz w:val="24"/>
          <w:lang w:val="en-AU"/>
        </w:rPr>
      </w:pPr>
    </w:p>
    <w:p w:rsidR="00B52ACD" w:rsidRPr="00DC41AF" w:rsidRDefault="00556B42" w:rsidP="00DC41AF">
      <w:pPr>
        <w:pStyle w:val="ListParagraph"/>
        <w:keepNext/>
        <w:numPr>
          <w:ilvl w:val="0"/>
          <w:numId w:val="11"/>
        </w:numPr>
        <w:ind w:left="709" w:right="-329" w:hanging="709"/>
        <w:rPr>
          <w:b/>
          <w:sz w:val="24"/>
          <w:lang w:val="en-AU"/>
        </w:rPr>
      </w:pPr>
      <w:r w:rsidRPr="00DC41AF">
        <w:rPr>
          <w:b/>
          <w:sz w:val="24"/>
          <w:lang w:val="en-AU"/>
        </w:rPr>
        <w:t xml:space="preserve">Date of most recent </w:t>
      </w:r>
      <w:r w:rsidR="00955149" w:rsidRPr="00DC41AF">
        <w:rPr>
          <w:b/>
          <w:sz w:val="24"/>
          <w:lang w:val="en-AU"/>
        </w:rPr>
        <w:t>amendment</w:t>
      </w:r>
      <w:r w:rsidR="009A6290" w:rsidRPr="00DC41AF">
        <w:rPr>
          <w:b/>
          <w:sz w:val="24"/>
          <w:lang w:val="en-AU"/>
        </w:rPr>
        <w:t>:</w:t>
      </w:r>
    </w:p>
    <w:p w:rsidR="00556B42" w:rsidRPr="00DC41AF" w:rsidRDefault="00162EDA" w:rsidP="00DC41AF">
      <w:pPr>
        <w:spacing w:before="120"/>
        <w:ind w:right="-329"/>
        <w:rPr>
          <w:sz w:val="24"/>
          <w:lang w:val="en-AU"/>
        </w:rPr>
      </w:pPr>
      <w:r w:rsidRPr="00DC41AF">
        <w:rPr>
          <w:sz w:val="24"/>
          <w:lang w:val="en-AU"/>
        </w:rPr>
        <w:t>11 April 2013</w:t>
      </w:r>
    </w:p>
    <w:sectPr w:rsidR="00556B42" w:rsidRPr="00DC41AF" w:rsidSect="00CA4FAB">
      <w:headerReference w:type="default" r:id="rId11"/>
      <w:footerReference w:type="default" r:id="rId12"/>
      <w:pgSz w:w="11909" w:h="16834" w:code="9"/>
      <w:pgMar w:top="1276" w:right="1800" w:bottom="567" w:left="1800" w:header="720" w:footer="5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85D" w:rsidRDefault="004A185D">
      <w:r>
        <w:separator/>
      </w:r>
    </w:p>
    <w:p w:rsidR="004A185D" w:rsidRDefault="004A185D"/>
    <w:p w:rsidR="004A185D" w:rsidRDefault="004A185D"/>
    <w:p w:rsidR="004A185D" w:rsidRDefault="004A185D"/>
  </w:endnote>
  <w:endnote w:type="continuationSeparator" w:id="0">
    <w:p w:rsidR="004A185D" w:rsidRDefault="004A185D">
      <w:r>
        <w:continuationSeparator/>
      </w:r>
    </w:p>
    <w:p w:rsidR="004A185D" w:rsidRDefault="004A185D"/>
    <w:p w:rsidR="004A185D" w:rsidRDefault="004A185D"/>
    <w:p w:rsidR="004A185D" w:rsidRDefault="004A185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5D" w:rsidRPr="00BD26EA" w:rsidRDefault="004A185D">
    <w:pPr>
      <w:pStyle w:val="Footer"/>
    </w:pPr>
  </w:p>
  <w:p w:rsidR="004A185D" w:rsidRDefault="004A185D">
    <w:pPr>
      <w:pStyle w:val="Footer"/>
      <w:rPr>
        <w:rStyle w:val="PageNumber"/>
      </w:rPr>
    </w:pPr>
    <w:r w:rsidRPr="00BD26EA">
      <w:t>Vidaza</w:t>
    </w:r>
    <w:r w:rsidRPr="00BD26EA">
      <w:rPr>
        <w:vertAlign w:val="superscript"/>
      </w:rPr>
      <w:t>®</w:t>
    </w:r>
    <w:r w:rsidRPr="00BD26EA">
      <w:t xml:space="preserve"> (azacitidine</w:t>
    </w:r>
    <w:r>
      <w:t>)</w:t>
    </w:r>
    <w:r w:rsidRPr="00BD26EA">
      <w:t xml:space="preserve"> 100</w:t>
    </w:r>
    <w:r>
      <w:t> </w:t>
    </w:r>
    <w:r w:rsidRPr="00BD26EA">
      <w:t>mg Powder for Injection</w:t>
    </w:r>
    <w:r>
      <w:rPr>
        <w:rStyle w:val="PageNumber"/>
      </w:rPr>
      <w:t xml:space="preserve"> - </w:t>
    </w:r>
    <w:r w:rsidRPr="00BD26EA">
      <w:rPr>
        <w:rStyle w:val="PageNumber"/>
      </w:rPr>
      <w:t xml:space="preserve">Product Information </w:t>
    </w:r>
  </w:p>
  <w:p w:rsidR="004A185D" w:rsidRPr="006E42A2" w:rsidRDefault="004A185D">
    <w:pPr>
      <w:pStyle w:val="Footer"/>
      <w:rPr>
        <w:rStyle w:val="PageNumber"/>
        <w:sz w:val="10"/>
        <w:szCs w:val="10"/>
      </w:rPr>
    </w:pPr>
    <w:r w:rsidRPr="006E42A2">
      <w:rPr>
        <w:rStyle w:val="PageNumber"/>
        <w:sz w:val="10"/>
        <w:szCs w:val="10"/>
      </w:rPr>
      <w:t>Celgene v1.</w:t>
    </w:r>
    <w:r>
      <w:rPr>
        <w:rStyle w:val="PageNumber"/>
        <w:sz w:val="10"/>
        <w:szCs w:val="10"/>
      </w:rPr>
      <w:t>6</w:t>
    </w:r>
    <w:r w:rsidRPr="006E42A2">
      <w:rPr>
        <w:rStyle w:val="PageNumber"/>
        <w:sz w:val="10"/>
        <w:szCs w:val="10"/>
      </w:rPr>
      <w:t xml:space="preserve"> – </w:t>
    </w:r>
    <w:r>
      <w:rPr>
        <w:rStyle w:val="PageNumber"/>
        <w:sz w:val="10"/>
        <w:szCs w:val="10"/>
      </w:rPr>
      <w:t xml:space="preserve"> April 2013 </w:t>
    </w:r>
    <w:r w:rsidRPr="006E42A2">
      <w:rPr>
        <w:rStyle w:val="PageNumber"/>
        <w:sz w:val="10"/>
        <w:szCs w:val="10"/>
      </w:rPr>
      <w:t xml:space="preserve"> </w:t>
    </w:r>
  </w:p>
  <w:p w:rsidR="004A185D" w:rsidRDefault="004A185D" w:rsidP="005B1DDE">
    <w:pPr>
      <w:pStyle w:val="Footer"/>
      <w:tabs>
        <w:tab w:val="clear" w:pos="8640"/>
        <w:tab w:val="right" w:pos="8080"/>
      </w:tabs>
    </w:pPr>
    <w:r w:rsidRPr="00BD26EA">
      <w:tab/>
    </w:r>
    <w:r>
      <w:tab/>
    </w:r>
    <w:r w:rsidR="00183359">
      <w:rPr>
        <w:rStyle w:val="PageNumber"/>
      </w:rPr>
      <w:fldChar w:fldCharType="begin"/>
    </w:r>
    <w:r>
      <w:rPr>
        <w:rStyle w:val="PageNumber"/>
      </w:rPr>
      <w:instrText xml:space="preserve"> PAGE </w:instrText>
    </w:r>
    <w:r w:rsidR="00183359">
      <w:rPr>
        <w:rStyle w:val="PageNumber"/>
      </w:rPr>
      <w:fldChar w:fldCharType="separate"/>
    </w:r>
    <w:r w:rsidR="002F74AA">
      <w:rPr>
        <w:rStyle w:val="PageNumber"/>
        <w:noProof/>
      </w:rPr>
      <w:t>1</w:t>
    </w:r>
    <w:r w:rsidR="00183359">
      <w:rPr>
        <w:rStyle w:val="PageNumber"/>
      </w:rPr>
      <w:fldChar w:fldCharType="end"/>
    </w:r>
  </w:p>
  <w:p w:rsidR="004A185D" w:rsidRDefault="004A185D"/>
  <w:p w:rsidR="004A185D" w:rsidRDefault="004A185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85D" w:rsidRDefault="004A185D">
      <w:r>
        <w:separator/>
      </w:r>
    </w:p>
    <w:p w:rsidR="004A185D" w:rsidRDefault="004A185D"/>
    <w:p w:rsidR="004A185D" w:rsidRDefault="004A185D"/>
    <w:p w:rsidR="004A185D" w:rsidRDefault="004A185D"/>
  </w:footnote>
  <w:footnote w:type="continuationSeparator" w:id="0">
    <w:p w:rsidR="004A185D" w:rsidRDefault="004A185D">
      <w:r>
        <w:continuationSeparator/>
      </w:r>
    </w:p>
    <w:p w:rsidR="004A185D" w:rsidRDefault="004A185D"/>
    <w:p w:rsidR="004A185D" w:rsidRDefault="004A185D"/>
    <w:p w:rsidR="004A185D" w:rsidRDefault="004A18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0F8" w:rsidRPr="002D30F8" w:rsidRDefault="002D30F8" w:rsidP="002D30F8">
    <w:pPr>
      <w:pBdr>
        <w:top w:val="single" w:sz="4" w:space="1" w:color="auto"/>
        <w:left w:val="single" w:sz="4" w:space="4" w:color="auto"/>
        <w:bottom w:val="single" w:sz="4" w:space="1" w:color="auto"/>
        <w:right w:val="single" w:sz="4" w:space="4" w:color="auto"/>
      </w:pBdr>
      <w:shd w:val="clear" w:color="auto" w:fill="E4F2E0"/>
      <w:spacing w:before="40" w:after="40"/>
      <w:rPr>
        <w:b/>
      </w:rPr>
    </w:pPr>
    <w:r w:rsidRPr="00D361CA">
      <w:rPr>
        <w:b/>
      </w:rPr>
      <w:t xml:space="preserve">Attachment 1: Product information for </w:t>
    </w:r>
    <w:proofErr w:type="spellStart"/>
    <w:r w:rsidRPr="002D30F8">
      <w:rPr>
        <w:b/>
      </w:rPr>
      <w:t>AusPAR</w:t>
    </w:r>
    <w:proofErr w:type="spellEnd"/>
    <w:r w:rsidRPr="002D30F8">
      <w:rPr>
        <w:b/>
      </w:rPr>
      <w:t xml:space="preserve"> </w:t>
    </w:r>
    <w:proofErr w:type="spellStart"/>
    <w:r w:rsidRPr="002D30F8">
      <w:rPr>
        <w:b/>
      </w:rPr>
      <w:t>Vidaza</w:t>
    </w:r>
    <w:proofErr w:type="spellEnd"/>
    <w:r w:rsidRPr="002D30F8">
      <w:rPr>
        <w:b/>
      </w:rPr>
      <w:t xml:space="preserve"> </w:t>
    </w:r>
    <w:proofErr w:type="spellStart"/>
    <w:r w:rsidRPr="002D30F8">
      <w:rPr>
        <w:b/>
      </w:rPr>
      <w:t>Celgene</w:t>
    </w:r>
    <w:proofErr w:type="spellEnd"/>
    <w:r w:rsidRPr="002D30F8">
      <w:rPr>
        <w:b/>
      </w:rPr>
      <w:t xml:space="preserve"> Pty Ltd PM-2012-00341-3-4</w:t>
    </w:r>
    <w:r>
      <w:rPr>
        <w:b/>
      </w:rPr>
      <w:t xml:space="preserve"> </w:t>
    </w:r>
    <w:r w:rsidRPr="002D30F8">
      <w:rPr>
        <w:b/>
      </w:rPr>
      <w:t>Final 20 August 2013</w:t>
    </w:r>
    <w:r w:rsidRPr="00D361CA">
      <w:rPr>
        <w:b/>
      </w:rPr>
      <w:t xml:space="preserve">. This Product Information was approved at the time this </w:t>
    </w:r>
    <w:proofErr w:type="spellStart"/>
    <w:r w:rsidRPr="00D361CA">
      <w:rPr>
        <w:b/>
      </w:rPr>
      <w:t>AusPAR</w:t>
    </w:r>
    <w:proofErr w:type="spellEnd"/>
    <w:r w:rsidRPr="00D361CA">
      <w:rPr>
        <w:b/>
      </w:rPr>
      <w:t xml:space="preserve"> was published.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numFmt w:val="bullet"/>
      <w:lvlText w:val=""/>
      <w:lvlJc w:val="left"/>
      <w:pPr>
        <w:tabs>
          <w:tab w:val="num" w:pos="360"/>
        </w:tabs>
        <w:ind w:left="360" w:hanging="360"/>
      </w:pPr>
      <w:rPr>
        <w:rFonts w:ascii="Symbol" w:hAnsi="Symbol" w:hint="default"/>
        <w:b w:val="0"/>
        <w:sz w:val="20"/>
      </w:rPr>
    </w:lvl>
  </w:abstractNum>
  <w:abstractNum w:abstractNumId="1">
    <w:nsid w:val="098C6063"/>
    <w:multiLevelType w:val="hybridMultilevel"/>
    <w:tmpl w:val="32A09514"/>
    <w:lvl w:ilvl="0" w:tplc="CF487AB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3E081A"/>
    <w:multiLevelType w:val="hybridMultilevel"/>
    <w:tmpl w:val="78E6B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F52E5"/>
    <w:multiLevelType w:val="hybridMultilevel"/>
    <w:tmpl w:val="AFC8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25127"/>
    <w:multiLevelType w:val="hybridMultilevel"/>
    <w:tmpl w:val="FF3C5C84"/>
    <w:lvl w:ilvl="0" w:tplc="08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2B1331E9"/>
    <w:multiLevelType w:val="multilevel"/>
    <w:tmpl w:val="EB26CF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C5E5972"/>
    <w:multiLevelType w:val="hybridMultilevel"/>
    <w:tmpl w:val="DFC4F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0936D7E"/>
    <w:multiLevelType w:val="hybridMultilevel"/>
    <w:tmpl w:val="0310D86A"/>
    <w:lvl w:ilvl="0" w:tplc="04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125390A"/>
    <w:multiLevelType w:val="multilevel"/>
    <w:tmpl w:val="F2FE7A60"/>
    <w:lvl w:ilvl="0">
      <w:start w:val="2"/>
      <w:numFmt w:val="bullet"/>
      <w:lvlText w:val=""/>
      <w:lvlJc w:val="left"/>
      <w:pPr>
        <w:tabs>
          <w:tab w:val="num" w:pos="644"/>
        </w:tabs>
        <w:ind w:left="644" w:hanging="360"/>
      </w:pPr>
      <w:rPr>
        <w:rFonts w:ascii="Symbol" w:hAnsi="Symbol" w:hint="default"/>
        <w:sz w:val="16"/>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9">
    <w:nsid w:val="53B46D18"/>
    <w:multiLevelType w:val="hybridMultilevel"/>
    <w:tmpl w:val="D9C635FE"/>
    <w:lvl w:ilvl="0" w:tplc="1E782E4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327EB6"/>
    <w:multiLevelType w:val="hybridMultilevel"/>
    <w:tmpl w:val="D280F97A"/>
    <w:lvl w:ilvl="0" w:tplc="08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68A26CF"/>
    <w:multiLevelType w:val="hybridMultilevel"/>
    <w:tmpl w:val="FAB21042"/>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821585"/>
    <w:multiLevelType w:val="hybridMultilevel"/>
    <w:tmpl w:val="7A56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627A97"/>
    <w:multiLevelType w:val="hybridMultilevel"/>
    <w:tmpl w:val="84B81784"/>
    <w:lvl w:ilvl="0" w:tplc="B9E2C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D48F3"/>
    <w:multiLevelType w:val="multilevel"/>
    <w:tmpl w:val="B0C28F0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0F0732C"/>
    <w:multiLevelType w:val="hybridMultilevel"/>
    <w:tmpl w:val="9AAE884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782D2929"/>
    <w:multiLevelType w:val="hybridMultilevel"/>
    <w:tmpl w:val="983A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0"/>
  </w:num>
  <w:num w:numId="5">
    <w:abstractNumId w:val="7"/>
  </w:num>
  <w:num w:numId="6">
    <w:abstractNumId w:val="6"/>
  </w:num>
  <w:num w:numId="7">
    <w:abstractNumId w:val="10"/>
  </w:num>
  <w:num w:numId="8">
    <w:abstractNumId w:val="4"/>
  </w:num>
  <w:num w:numId="9">
    <w:abstractNumId w:val="13"/>
  </w:num>
  <w:num w:numId="10">
    <w:abstractNumId w:val="15"/>
  </w:num>
  <w:num w:numId="11">
    <w:abstractNumId w:val="9"/>
  </w:num>
  <w:num w:numId="12">
    <w:abstractNumId w:val="12"/>
  </w:num>
  <w:num w:numId="13">
    <w:abstractNumId w:val="3"/>
  </w:num>
  <w:num w:numId="14">
    <w:abstractNumId w:val="16"/>
  </w:num>
  <w:num w:numId="15">
    <w:abstractNumId w:val="2"/>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8849" fillcolor="white">
      <v:fill color="white"/>
    </o:shapedefaults>
  </w:hdrShapeDefaults>
  <w:footnotePr>
    <w:footnote w:id="-1"/>
    <w:footnote w:id="0"/>
  </w:footnotePr>
  <w:endnotePr>
    <w:endnote w:id="-1"/>
    <w:endnote w:id="0"/>
  </w:endnotePr>
  <w:compat/>
  <w:rsids>
    <w:rsidRoot w:val="0037698F"/>
    <w:rsid w:val="00004FE8"/>
    <w:rsid w:val="00006DA0"/>
    <w:rsid w:val="00012768"/>
    <w:rsid w:val="00013226"/>
    <w:rsid w:val="00020201"/>
    <w:rsid w:val="00023D17"/>
    <w:rsid w:val="000244D4"/>
    <w:rsid w:val="00040DA8"/>
    <w:rsid w:val="00043E8D"/>
    <w:rsid w:val="000516E8"/>
    <w:rsid w:val="00062BE7"/>
    <w:rsid w:val="00062D96"/>
    <w:rsid w:val="00073DC3"/>
    <w:rsid w:val="00077D7F"/>
    <w:rsid w:val="0008114D"/>
    <w:rsid w:val="000A1A7A"/>
    <w:rsid w:val="000B1AD0"/>
    <w:rsid w:val="000B2DF2"/>
    <w:rsid w:val="000C4760"/>
    <w:rsid w:val="000C65F3"/>
    <w:rsid w:val="000D1B76"/>
    <w:rsid w:val="000D3110"/>
    <w:rsid w:val="000D39B9"/>
    <w:rsid w:val="000E25EC"/>
    <w:rsid w:val="000E40E6"/>
    <w:rsid w:val="000F111D"/>
    <w:rsid w:val="000F6EFB"/>
    <w:rsid w:val="00116FA3"/>
    <w:rsid w:val="00123A5D"/>
    <w:rsid w:val="00150237"/>
    <w:rsid w:val="00157876"/>
    <w:rsid w:val="00161A9D"/>
    <w:rsid w:val="00162EDA"/>
    <w:rsid w:val="00167D09"/>
    <w:rsid w:val="00170708"/>
    <w:rsid w:val="00174D20"/>
    <w:rsid w:val="0018014F"/>
    <w:rsid w:val="00183359"/>
    <w:rsid w:val="00186961"/>
    <w:rsid w:val="00186B94"/>
    <w:rsid w:val="0018724B"/>
    <w:rsid w:val="0019740A"/>
    <w:rsid w:val="001C1C9A"/>
    <w:rsid w:val="001C667F"/>
    <w:rsid w:val="001D3838"/>
    <w:rsid w:val="001D3907"/>
    <w:rsid w:val="001D5F36"/>
    <w:rsid w:val="001E2E4A"/>
    <w:rsid w:val="00200422"/>
    <w:rsid w:val="002007DB"/>
    <w:rsid w:val="002014CE"/>
    <w:rsid w:val="0021466E"/>
    <w:rsid w:val="00217355"/>
    <w:rsid w:val="00221B8D"/>
    <w:rsid w:val="00226F03"/>
    <w:rsid w:val="00240A26"/>
    <w:rsid w:val="00250500"/>
    <w:rsid w:val="0025164C"/>
    <w:rsid w:val="00251A05"/>
    <w:rsid w:val="00252E2E"/>
    <w:rsid w:val="00264BAF"/>
    <w:rsid w:val="00274F13"/>
    <w:rsid w:val="00293FC4"/>
    <w:rsid w:val="00295407"/>
    <w:rsid w:val="002B2929"/>
    <w:rsid w:val="002C2F3D"/>
    <w:rsid w:val="002C3FB5"/>
    <w:rsid w:val="002C455A"/>
    <w:rsid w:val="002C5784"/>
    <w:rsid w:val="002C721C"/>
    <w:rsid w:val="002C7E55"/>
    <w:rsid w:val="002D30F8"/>
    <w:rsid w:val="002D3D0C"/>
    <w:rsid w:val="002D55FA"/>
    <w:rsid w:val="002D6CA9"/>
    <w:rsid w:val="002E0CA8"/>
    <w:rsid w:val="002F2C43"/>
    <w:rsid w:val="002F5C67"/>
    <w:rsid w:val="002F74AA"/>
    <w:rsid w:val="002F7B5E"/>
    <w:rsid w:val="00302CE2"/>
    <w:rsid w:val="00304262"/>
    <w:rsid w:val="00320936"/>
    <w:rsid w:val="003212BC"/>
    <w:rsid w:val="003309EB"/>
    <w:rsid w:val="00332E3A"/>
    <w:rsid w:val="00337816"/>
    <w:rsid w:val="00343F56"/>
    <w:rsid w:val="00350A8A"/>
    <w:rsid w:val="003618F7"/>
    <w:rsid w:val="0037698F"/>
    <w:rsid w:val="00387497"/>
    <w:rsid w:val="003A27B1"/>
    <w:rsid w:val="003A2EEF"/>
    <w:rsid w:val="003A3FE2"/>
    <w:rsid w:val="003A6422"/>
    <w:rsid w:val="003B0DBF"/>
    <w:rsid w:val="003B4E2F"/>
    <w:rsid w:val="003B4F93"/>
    <w:rsid w:val="003B76B9"/>
    <w:rsid w:val="003C2CC7"/>
    <w:rsid w:val="003E76BC"/>
    <w:rsid w:val="00404E77"/>
    <w:rsid w:val="0040528D"/>
    <w:rsid w:val="00406C42"/>
    <w:rsid w:val="0041356A"/>
    <w:rsid w:val="00416742"/>
    <w:rsid w:val="0042436F"/>
    <w:rsid w:val="00426D9F"/>
    <w:rsid w:val="00430150"/>
    <w:rsid w:val="00430D0C"/>
    <w:rsid w:val="00432F8F"/>
    <w:rsid w:val="00433C69"/>
    <w:rsid w:val="00433D3C"/>
    <w:rsid w:val="00445FCE"/>
    <w:rsid w:val="0044677A"/>
    <w:rsid w:val="00453371"/>
    <w:rsid w:val="00455A0D"/>
    <w:rsid w:val="0046124A"/>
    <w:rsid w:val="004649C6"/>
    <w:rsid w:val="004650DB"/>
    <w:rsid w:val="00467DD4"/>
    <w:rsid w:val="00467EBD"/>
    <w:rsid w:val="00471495"/>
    <w:rsid w:val="00473339"/>
    <w:rsid w:val="00475EBB"/>
    <w:rsid w:val="004863B7"/>
    <w:rsid w:val="00495E54"/>
    <w:rsid w:val="004A185D"/>
    <w:rsid w:val="004B63EB"/>
    <w:rsid w:val="004D10FD"/>
    <w:rsid w:val="004D3CD1"/>
    <w:rsid w:val="004D5EE4"/>
    <w:rsid w:val="004E03FC"/>
    <w:rsid w:val="004E30F7"/>
    <w:rsid w:val="004E466E"/>
    <w:rsid w:val="004E4B03"/>
    <w:rsid w:val="004F622E"/>
    <w:rsid w:val="0050092E"/>
    <w:rsid w:val="00504585"/>
    <w:rsid w:val="005079B6"/>
    <w:rsid w:val="00512843"/>
    <w:rsid w:val="00516DAC"/>
    <w:rsid w:val="00521829"/>
    <w:rsid w:val="005273A4"/>
    <w:rsid w:val="005342F6"/>
    <w:rsid w:val="00556B42"/>
    <w:rsid w:val="0056119A"/>
    <w:rsid w:val="005639BA"/>
    <w:rsid w:val="00564ED9"/>
    <w:rsid w:val="00570632"/>
    <w:rsid w:val="00576CEA"/>
    <w:rsid w:val="005978C2"/>
    <w:rsid w:val="005A6952"/>
    <w:rsid w:val="005B1DDE"/>
    <w:rsid w:val="005C0CBE"/>
    <w:rsid w:val="005D36B9"/>
    <w:rsid w:val="005E089C"/>
    <w:rsid w:val="005E446D"/>
    <w:rsid w:val="005E57AF"/>
    <w:rsid w:val="005E721F"/>
    <w:rsid w:val="005F046D"/>
    <w:rsid w:val="006011DA"/>
    <w:rsid w:val="00614999"/>
    <w:rsid w:val="006205FC"/>
    <w:rsid w:val="00636C44"/>
    <w:rsid w:val="00643CD3"/>
    <w:rsid w:val="00650591"/>
    <w:rsid w:val="00672EE1"/>
    <w:rsid w:val="0067313B"/>
    <w:rsid w:val="0068056B"/>
    <w:rsid w:val="00681931"/>
    <w:rsid w:val="00692A2A"/>
    <w:rsid w:val="00694FEC"/>
    <w:rsid w:val="006A73B9"/>
    <w:rsid w:val="006B7CB4"/>
    <w:rsid w:val="006C495E"/>
    <w:rsid w:val="006C5898"/>
    <w:rsid w:val="006D61F2"/>
    <w:rsid w:val="006D6C1B"/>
    <w:rsid w:val="006E42A2"/>
    <w:rsid w:val="006F3009"/>
    <w:rsid w:val="006F77D7"/>
    <w:rsid w:val="00710F01"/>
    <w:rsid w:val="00713CDD"/>
    <w:rsid w:val="00724F13"/>
    <w:rsid w:val="00725E87"/>
    <w:rsid w:val="007338B5"/>
    <w:rsid w:val="00735247"/>
    <w:rsid w:val="0074399A"/>
    <w:rsid w:val="00743B89"/>
    <w:rsid w:val="0074516C"/>
    <w:rsid w:val="00746925"/>
    <w:rsid w:val="007650D7"/>
    <w:rsid w:val="00765467"/>
    <w:rsid w:val="00767275"/>
    <w:rsid w:val="00772156"/>
    <w:rsid w:val="00772A39"/>
    <w:rsid w:val="00774A78"/>
    <w:rsid w:val="00780F69"/>
    <w:rsid w:val="00781ACA"/>
    <w:rsid w:val="00797094"/>
    <w:rsid w:val="007B3ACA"/>
    <w:rsid w:val="007C68B2"/>
    <w:rsid w:val="007C68C9"/>
    <w:rsid w:val="007D49FC"/>
    <w:rsid w:val="007E357E"/>
    <w:rsid w:val="007E68E7"/>
    <w:rsid w:val="007E7295"/>
    <w:rsid w:val="007F2F35"/>
    <w:rsid w:val="00803AA4"/>
    <w:rsid w:val="00822217"/>
    <w:rsid w:val="00823F38"/>
    <w:rsid w:val="00852659"/>
    <w:rsid w:val="00853810"/>
    <w:rsid w:val="008559B4"/>
    <w:rsid w:val="00861C26"/>
    <w:rsid w:val="00864C9C"/>
    <w:rsid w:val="00865D52"/>
    <w:rsid w:val="00871673"/>
    <w:rsid w:val="00874247"/>
    <w:rsid w:val="0088020B"/>
    <w:rsid w:val="00883DBB"/>
    <w:rsid w:val="0088557A"/>
    <w:rsid w:val="00896D20"/>
    <w:rsid w:val="008A25D2"/>
    <w:rsid w:val="008A688F"/>
    <w:rsid w:val="008A7627"/>
    <w:rsid w:val="008B21D8"/>
    <w:rsid w:val="008B3983"/>
    <w:rsid w:val="008B72B8"/>
    <w:rsid w:val="008C24FA"/>
    <w:rsid w:val="008C42F5"/>
    <w:rsid w:val="008D0BB7"/>
    <w:rsid w:val="008D5623"/>
    <w:rsid w:val="008E4264"/>
    <w:rsid w:val="008E740A"/>
    <w:rsid w:val="008E74F6"/>
    <w:rsid w:val="008F28EF"/>
    <w:rsid w:val="008F74D8"/>
    <w:rsid w:val="008F75F8"/>
    <w:rsid w:val="00916076"/>
    <w:rsid w:val="009170A5"/>
    <w:rsid w:val="00931F4B"/>
    <w:rsid w:val="00934440"/>
    <w:rsid w:val="00936EF8"/>
    <w:rsid w:val="0093767F"/>
    <w:rsid w:val="00940FF0"/>
    <w:rsid w:val="00955149"/>
    <w:rsid w:val="00956BAD"/>
    <w:rsid w:val="009574F1"/>
    <w:rsid w:val="00960723"/>
    <w:rsid w:val="00965172"/>
    <w:rsid w:val="00967437"/>
    <w:rsid w:val="00967C79"/>
    <w:rsid w:val="00971E00"/>
    <w:rsid w:val="009720DA"/>
    <w:rsid w:val="009821A1"/>
    <w:rsid w:val="0098431C"/>
    <w:rsid w:val="00984845"/>
    <w:rsid w:val="009A11CE"/>
    <w:rsid w:val="009A15D0"/>
    <w:rsid w:val="009A4E48"/>
    <w:rsid w:val="009A6290"/>
    <w:rsid w:val="009B20CC"/>
    <w:rsid w:val="009B69B8"/>
    <w:rsid w:val="009C3315"/>
    <w:rsid w:val="009C3480"/>
    <w:rsid w:val="009C7898"/>
    <w:rsid w:val="009D266F"/>
    <w:rsid w:val="009E1E58"/>
    <w:rsid w:val="009E4BC9"/>
    <w:rsid w:val="009E6DE6"/>
    <w:rsid w:val="009E7E6E"/>
    <w:rsid w:val="009F05DA"/>
    <w:rsid w:val="009F2AFF"/>
    <w:rsid w:val="00A03DB4"/>
    <w:rsid w:val="00A06A21"/>
    <w:rsid w:val="00A16D9C"/>
    <w:rsid w:val="00A248B9"/>
    <w:rsid w:val="00A279D2"/>
    <w:rsid w:val="00A35C98"/>
    <w:rsid w:val="00A432A7"/>
    <w:rsid w:val="00A468CD"/>
    <w:rsid w:val="00A4760C"/>
    <w:rsid w:val="00A51FF8"/>
    <w:rsid w:val="00A64096"/>
    <w:rsid w:val="00A72AE3"/>
    <w:rsid w:val="00A7545C"/>
    <w:rsid w:val="00A75652"/>
    <w:rsid w:val="00A877C0"/>
    <w:rsid w:val="00AC4374"/>
    <w:rsid w:val="00AD44F6"/>
    <w:rsid w:val="00AE0233"/>
    <w:rsid w:val="00AE203B"/>
    <w:rsid w:val="00AE2776"/>
    <w:rsid w:val="00AE5660"/>
    <w:rsid w:val="00AE7EA5"/>
    <w:rsid w:val="00AF05BC"/>
    <w:rsid w:val="00AF2328"/>
    <w:rsid w:val="00AF642A"/>
    <w:rsid w:val="00AF6586"/>
    <w:rsid w:val="00B07424"/>
    <w:rsid w:val="00B116BE"/>
    <w:rsid w:val="00B11EE8"/>
    <w:rsid w:val="00B14E5E"/>
    <w:rsid w:val="00B1524F"/>
    <w:rsid w:val="00B17C58"/>
    <w:rsid w:val="00B20850"/>
    <w:rsid w:val="00B24685"/>
    <w:rsid w:val="00B30B99"/>
    <w:rsid w:val="00B31635"/>
    <w:rsid w:val="00B510D4"/>
    <w:rsid w:val="00B52ACD"/>
    <w:rsid w:val="00B54A75"/>
    <w:rsid w:val="00B71E75"/>
    <w:rsid w:val="00B736B9"/>
    <w:rsid w:val="00B83D94"/>
    <w:rsid w:val="00B905F5"/>
    <w:rsid w:val="00B929A8"/>
    <w:rsid w:val="00B958CB"/>
    <w:rsid w:val="00B961E9"/>
    <w:rsid w:val="00B9666D"/>
    <w:rsid w:val="00BC3CFC"/>
    <w:rsid w:val="00BC5E54"/>
    <w:rsid w:val="00BC7BBD"/>
    <w:rsid w:val="00BD26EA"/>
    <w:rsid w:val="00BE1F9C"/>
    <w:rsid w:val="00BE2C03"/>
    <w:rsid w:val="00BF42B3"/>
    <w:rsid w:val="00BF4B36"/>
    <w:rsid w:val="00C101E6"/>
    <w:rsid w:val="00C21DA7"/>
    <w:rsid w:val="00C21EE0"/>
    <w:rsid w:val="00C34C51"/>
    <w:rsid w:val="00C51D02"/>
    <w:rsid w:val="00C56DA6"/>
    <w:rsid w:val="00C61EEB"/>
    <w:rsid w:val="00C62C33"/>
    <w:rsid w:val="00C631E6"/>
    <w:rsid w:val="00C67AF6"/>
    <w:rsid w:val="00C67DB1"/>
    <w:rsid w:val="00C74E67"/>
    <w:rsid w:val="00C75B9C"/>
    <w:rsid w:val="00C777F9"/>
    <w:rsid w:val="00CA4FAB"/>
    <w:rsid w:val="00CB1FB3"/>
    <w:rsid w:val="00CB341A"/>
    <w:rsid w:val="00CC1D81"/>
    <w:rsid w:val="00CC757B"/>
    <w:rsid w:val="00CD174E"/>
    <w:rsid w:val="00CD4C84"/>
    <w:rsid w:val="00CD751D"/>
    <w:rsid w:val="00CE1394"/>
    <w:rsid w:val="00D01251"/>
    <w:rsid w:val="00D01F7A"/>
    <w:rsid w:val="00D17BF3"/>
    <w:rsid w:val="00D22026"/>
    <w:rsid w:val="00D25A88"/>
    <w:rsid w:val="00D300C5"/>
    <w:rsid w:val="00D321E5"/>
    <w:rsid w:val="00D3325E"/>
    <w:rsid w:val="00D354E5"/>
    <w:rsid w:val="00D355C2"/>
    <w:rsid w:val="00D43211"/>
    <w:rsid w:val="00D50E8B"/>
    <w:rsid w:val="00D56A15"/>
    <w:rsid w:val="00D57125"/>
    <w:rsid w:val="00D660A7"/>
    <w:rsid w:val="00D713DD"/>
    <w:rsid w:val="00D7668E"/>
    <w:rsid w:val="00D80BB6"/>
    <w:rsid w:val="00D816C8"/>
    <w:rsid w:val="00D8791A"/>
    <w:rsid w:val="00D912D1"/>
    <w:rsid w:val="00D924D1"/>
    <w:rsid w:val="00DA1BB7"/>
    <w:rsid w:val="00DB1048"/>
    <w:rsid w:val="00DC41AF"/>
    <w:rsid w:val="00DC6E66"/>
    <w:rsid w:val="00DE16BB"/>
    <w:rsid w:val="00DE381E"/>
    <w:rsid w:val="00DE3BD9"/>
    <w:rsid w:val="00DE4699"/>
    <w:rsid w:val="00E00A6A"/>
    <w:rsid w:val="00E13EE8"/>
    <w:rsid w:val="00E1431F"/>
    <w:rsid w:val="00E14703"/>
    <w:rsid w:val="00E15D6B"/>
    <w:rsid w:val="00E17E32"/>
    <w:rsid w:val="00E41F26"/>
    <w:rsid w:val="00E4209B"/>
    <w:rsid w:val="00E6193A"/>
    <w:rsid w:val="00E64DDF"/>
    <w:rsid w:val="00E67C2A"/>
    <w:rsid w:val="00E727AF"/>
    <w:rsid w:val="00E7423E"/>
    <w:rsid w:val="00E87F9F"/>
    <w:rsid w:val="00E91AE5"/>
    <w:rsid w:val="00EA1CF2"/>
    <w:rsid w:val="00EB094C"/>
    <w:rsid w:val="00EB3007"/>
    <w:rsid w:val="00EB319D"/>
    <w:rsid w:val="00EB701C"/>
    <w:rsid w:val="00EB7A13"/>
    <w:rsid w:val="00EC31EB"/>
    <w:rsid w:val="00EC5928"/>
    <w:rsid w:val="00EC6B7F"/>
    <w:rsid w:val="00EC7FD3"/>
    <w:rsid w:val="00ED41DF"/>
    <w:rsid w:val="00ED480C"/>
    <w:rsid w:val="00EF1257"/>
    <w:rsid w:val="00EF54D6"/>
    <w:rsid w:val="00F01024"/>
    <w:rsid w:val="00F07AE0"/>
    <w:rsid w:val="00F10E9E"/>
    <w:rsid w:val="00F144FD"/>
    <w:rsid w:val="00F1780B"/>
    <w:rsid w:val="00F22A5A"/>
    <w:rsid w:val="00F22DD3"/>
    <w:rsid w:val="00F23223"/>
    <w:rsid w:val="00F26E06"/>
    <w:rsid w:val="00F3336A"/>
    <w:rsid w:val="00F47728"/>
    <w:rsid w:val="00F61808"/>
    <w:rsid w:val="00F621C6"/>
    <w:rsid w:val="00F631B2"/>
    <w:rsid w:val="00F66E19"/>
    <w:rsid w:val="00F70569"/>
    <w:rsid w:val="00F7403F"/>
    <w:rsid w:val="00F8068F"/>
    <w:rsid w:val="00F81C6D"/>
    <w:rsid w:val="00F871E9"/>
    <w:rsid w:val="00F90709"/>
    <w:rsid w:val="00F94482"/>
    <w:rsid w:val="00FA4864"/>
    <w:rsid w:val="00FA6E07"/>
    <w:rsid w:val="00FA7958"/>
    <w:rsid w:val="00FA7BEE"/>
    <w:rsid w:val="00FC791D"/>
    <w:rsid w:val="00FD00E6"/>
    <w:rsid w:val="00FD12EF"/>
    <w:rsid w:val="00FD5628"/>
    <w:rsid w:val="00FE0D45"/>
    <w:rsid w:val="00FE7DA4"/>
    <w:rsid w:val="00FF1412"/>
    <w:rsid w:val="00FF50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88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CD1"/>
    <w:rPr>
      <w:lang w:val="en-US" w:eastAsia="en-US"/>
    </w:rPr>
  </w:style>
  <w:style w:type="paragraph" w:styleId="Heading1">
    <w:name w:val="heading 1"/>
    <w:basedOn w:val="Normal"/>
    <w:next w:val="Normal"/>
    <w:qFormat/>
    <w:rsid w:val="004D3CD1"/>
    <w:pPr>
      <w:keepNext/>
      <w:outlineLvl w:val="0"/>
    </w:pPr>
    <w:rPr>
      <w:rFonts w:ascii="Arial" w:hAnsi="Arial"/>
      <w:sz w:val="24"/>
    </w:rPr>
  </w:style>
  <w:style w:type="paragraph" w:styleId="Heading2">
    <w:name w:val="heading 2"/>
    <w:basedOn w:val="Normal"/>
    <w:next w:val="Normal"/>
    <w:qFormat/>
    <w:rsid w:val="004D3CD1"/>
    <w:pPr>
      <w:keepNext/>
      <w:outlineLvl w:val="1"/>
    </w:pPr>
    <w:rPr>
      <w:b/>
    </w:rPr>
  </w:style>
  <w:style w:type="paragraph" w:styleId="Heading3">
    <w:name w:val="heading 3"/>
    <w:basedOn w:val="Normal"/>
    <w:next w:val="Normal"/>
    <w:qFormat/>
    <w:rsid w:val="004D3CD1"/>
    <w:pPr>
      <w:keepNext/>
      <w:spacing w:after="120"/>
      <w:outlineLvl w:val="2"/>
    </w:pPr>
    <w:rPr>
      <w:u w:val="single"/>
    </w:rPr>
  </w:style>
  <w:style w:type="paragraph" w:styleId="Heading4">
    <w:name w:val="heading 4"/>
    <w:basedOn w:val="Normal"/>
    <w:next w:val="Normal"/>
    <w:qFormat/>
    <w:rsid w:val="004D3CD1"/>
    <w:pPr>
      <w:keepNext/>
      <w:spacing w:before="240" w:after="120"/>
      <w:outlineLvl w:val="3"/>
    </w:pPr>
    <w:rPr>
      <w:b/>
      <w:sz w:val="24"/>
    </w:rPr>
  </w:style>
  <w:style w:type="paragraph" w:styleId="Heading5">
    <w:name w:val="heading 5"/>
    <w:basedOn w:val="Normal"/>
    <w:next w:val="Normal"/>
    <w:qFormat/>
    <w:rsid w:val="004D3CD1"/>
    <w:pPr>
      <w:keepNext/>
      <w:spacing w:before="240" w:after="120"/>
      <w:outlineLvl w:val="4"/>
    </w:pPr>
    <w:rPr>
      <w:sz w:val="24"/>
      <w:u w:val="single"/>
    </w:rPr>
  </w:style>
  <w:style w:type="paragraph" w:styleId="Heading6">
    <w:name w:val="heading 6"/>
    <w:basedOn w:val="Normal"/>
    <w:next w:val="Normal"/>
    <w:qFormat/>
    <w:rsid w:val="004D3CD1"/>
    <w:pPr>
      <w:keepNext/>
      <w:spacing w:before="120" w:after="60"/>
      <w:outlineLvl w:val="5"/>
    </w:pPr>
    <w:rPr>
      <w:b/>
      <w:u w:val="single"/>
    </w:rPr>
  </w:style>
  <w:style w:type="paragraph" w:styleId="Heading7">
    <w:name w:val="heading 7"/>
    <w:basedOn w:val="Normal"/>
    <w:next w:val="Normal"/>
    <w:qFormat/>
    <w:rsid w:val="004D3CD1"/>
    <w:pPr>
      <w:keepNext/>
      <w:ind w:left="1800"/>
      <w:outlineLvl w:val="6"/>
    </w:pPr>
    <w:rPr>
      <w:sz w:val="24"/>
    </w:rPr>
  </w:style>
  <w:style w:type="paragraph" w:styleId="Heading8">
    <w:name w:val="heading 8"/>
    <w:basedOn w:val="Normal"/>
    <w:next w:val="Normal"/>
    <w:qFormat/>
    <w:rsid w:val="004D3CD1"/>
    <w:pPr>
      <w:keepNext/>
      <w:outlineLvl w:val="7"/>
    </w:pPr>
    <w:rPr>
      <w:i/>
      <w:sz w:val="24"/>
    </w:rPr>
  </w:style>
  <w:style w:type="paragraph" w:styleId="Heading9">
    <w:name w:val="heading 9"/>
    <w:basedOn w:val="Normal"/>
    <w:next w:val="Normal"/>
    <w:qFormat/>
    <w:rsid w:val="004D3CD1"/>
    <w:pPr>
      <w:keepNext/>
      <w:spacing w:after="120"/>
      <w:jc w:val="both"/>
      <w:outlineLvl w:val="8"/>
    </w:pPr>
    <w:rPr>
      <w:color w:val="0000F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3CD1"/>
    <w:pPr>
      <w:jc w:val="center"/>
    </w:pPr>
    <w:rPr>
      <w:b/>
      <w:sz w:val="24"/>
    </w:rPr>
  </w:style>
  <w:style w:type="paragraph" w:styleId="BodyTextIndent">
    <w:name w:val="Body Text Indent"/>
    <w:basedOn w:val="Normal"/>
    <w:rsid w:val="004D3CD1"/>
    <w:pPr>
      <w:ind w:left="90"/>
      <w:jc w:val="both"/>
    </w:pPr>
    <w:rPr>
      <w:sz w:val="24"/>
    </w:rPr>
  </w:style>
  <w:style w:type="paragraph" w:styleId="BodyText">
    <w:name w:val="Body Text"/>
    <w:basedOn w:val="Normal"/>
    <w:rsid w:val="004D3CD1"/>
    <w:pPr>
      <w:jc w:val="both"/>
    </w:pPr>
    <w:rPr>
      <w:color w:val="0000FF"/>
      <w:sz w:val="24"/>
    </w:rPr>
  </w:style>
  <w:style w:type="paragraph" w:styleId="BodyText2">
    <w:name w:val="Body Text 2"/>
    <w:basedOn w:val="Normal"/>
    <w:rsid w:val="004D3CD1"/>
    <w:rPr>
      <w:sz w:val="24"/>
    </w:rPr>
  </w:style>
  <w:style w:type="paragraph" w:styleId="BodyText3">
    <w:name w:val="Body Text 3"/>
    <w:basedOn w:val="Normal"/>
    <w:rsid w:val="004D3CD1"/>
    <w:rPr>
      <w:color w:val="0000FF"/>
      <w:sz w:val="24"/>
    </w:rPr>
  </w:style>
  <w:style w:type="paragraph" w:styleId="Header">
    <w:name w:val="header"/>
    <w:aliases w:val="Header title"/>
    <w:basedOn w:val="Normal"/>
    <w:rsid w:val="004D3CD1"/>
    <w:pPr>
      <w:tabs>
        <w:tab w:val="center" w:pos="4320"/>
        <w:tab w:val="right" w:pos="8640"/>
      </w:tabs>
    </w:pPr>
  </w:style>
  <w:style w:type="paragraph" w:styleId="Footer">
    <w:name w:val="footer"/>
    <w:basedOn w:val="Normal"/>
    <w:rsid w:val="004D3CD1"/>
    <w:pPr>
      <w:tabs>
        <w:tab w:val="center" w:pos="4320"/>
        <w:tab w:val="right" w:pos="8640"/>
      </w:tabs>
    </w:pPr>
  </w:style>
  <w:style w:type="character" w:styleId="PageNumber">
    <w:name w:val="page number"/>
    <w:basedOn w:val="DefaultParagraphFont"/>
    <w:rsid w:val="004D3CD1"/>
  </w:style>
  <w:style w:type="paragraph" w:styleId="EndnoteText">
    <w:name w:val="endnote text"/>
    <w:basedOn w:val="Normal"/>
    <w:semiHidden/>
    <w:rsid w:val="004D3CD1"/>
    <w:pPr>
      <w:widowControl w:val="0"/>
      <w:tabs>
        <w:tab w:val="left" w:pos="567"/>
      </w:tabs>
    </w:pPr>
    <w:rPr>
      <w:sz w:val="18"/>
      <w:lang w:val="en-GB"/>
    </w:rPr>
  </w:style>
  <w:style w:type="paragraph" w:styleId="NormalWeb">
    <w:name w:val="Normal (Web)"/>
    <w:basedOn w:val="Normal"/>
    <w:rsid w:val="004D3CD1"/>
    <w:pPr>
      <w:spacing w:before="100" w:after="100"/>
    </w:pPr>
    <w:rPr>
      <w:rFonts w:ascii="Arial Unicode MS" w:eastAsia="Arial Unicode MS" w:hAnsi="Arial Unicode MS"/>
      <w:sz w:val="24"/>
      <w:lang w:val="en-GB"/>
    </w:rPr>
  </w:style>
  <w:style w:type="paragraph" w:styleId="BodyTextIndent2">
    <w:name w:val="Body Text Indent 2"/>
    <w:basedOn w:val="Normal"/>
    <w:rsid w:val="004D3CD1"/>
    <w:pPr>
      <w:tabs>
        <w:tab w:val="left" w:pos="567"/>
      </w:tabs>
      <w:spacing w:line="260" w:lineRule="exact"/>
      <w:ind w:left="567" w:hanging="567"/>
      <w:jc w:val="both"/>
    </w:pPr>
    <w:rPr>
      <w:b/>
      <w:sz w:val="22"/>
      <w:lang w:val="en-GB"/>
    </w:rPr>
  </w:style>
  <w:style w:type="paragraph" w:styleId="Caption">
    <w:name w:val="caption"/>
    <w:basedOn w:val="Normal"/>
    <w:next w:val="Normal"/>
    <w:qFormat/>
    <w:rsid w:val="004D3CD1"/>
    <w:pPr>
      <w:overflowPunct w:val="0"/>
      <w:autoSpaceDE w:val="0"/>
      <w:autoSpaceDN w:val="0"/>
      <w:adjustRightInd w:val="0"/>
      <w:spacing w:before="120" w:after="120"/>
      <w:textAlignment w:val="baseline"/>
    </w:pPr>
    <w:rPr>
      <w:b/>
      <w:sz w:val="24"/>
      <w:lang w:val="en-GB"/>
    </w:rPr>
  </w:style>
  <w:style w:type="paragraph" w:customStyle="1" w:styleId="Heading1Paratext">
    <w:name w:val="Heading 1 Paratext"/>
    <w:basedOn w:val="Normal"/>
    <w:rsid w:val="004D3CD1"/>
    <w:pPr>
      <w:overflowPunct w:val="0"/>
      <w:autoSpaceDE w:val="0"/>
      <w:autoSpaceDN w:val="0"/>
      <w:adjustRightInd w:val="0"/>
      <w:ind w:left="284"/>
      <w:textAlignment w:val="baseline"/>
    </w:pPr>
    <w:rPr>
      <w:sz w:val="24"/>
      <w:lang w:val="en-GB"/>
    </w:rPr>
  </w:style>
  <w:style w:type="paragraph" w:customStyle="1" w:styleId="Heading2Paratext">
    <w:name w:val="Heading 2 Paratext"/>
    <w:basedOn w:val="Normal"/>
    <w:rsid w:val="004D3CD1"/>
    <w:pPr>
      <w:overflowPunct w:val="0"/>
      <w:autoSpaceDE w:val="0"/>
      <w:autoSpaceDN w:val="0"/>
      <w:adjustRightInd w:val="0"/>
      <w:ind w:left="567"/>
      <w:textAlignment w:val="baseline"/>
    </w:pPr>
    <w:rPr>
      <w:sz w:val="24"/>
      <w:lang w:val="en-GB"/>
    </w:rPr>
  </w:style>
  <w:style w:type="paragraph" w:styleId="BalloonText">
    <w:name w:val="Balloon Text"/>
    <w:basedOn w:val="Normal"/>
    <w:semiHidden/>
    <w:rsid w:val="004D3CD1"/>
    <w:rPr>
      <w:rFonts w:ascii="Tahoma" w:hAnsi="Tahoma" w:cs="Tahoma"/>
      <w:sz w:val="16"/>
      <w:szCs w:val="16"/>
    </w:rPr>
  </w:style>
  <w:style w:type="paragraph" w:customStyle="1" w:styleId="TableHeadings">
    <w:name w:val="Table Headings"/>
    <w:basedOn w:val="Normal"/>
    <w:next w:val="Normal"/>
    <w:rsid w:val="009E1E58"/>
    <w:pPr>
      <w:keepLines/>
      <w:spacing w:after="60"/>
    </w:pPr>
    <w:rPr>
      <w:rFonts w:ascii="Arial" w:hAnsi="Arial"/>
      <w:b/>
      <w:kern w:val="22"/>
      <w:sz w:val="22"/>
      <w:szCs w:val="24"/>
    </w:rPr>
  </w:style>
  <w:style w:type="paragraph" w:customStyle="1" w:styleId="TableContent">
    <w:name w:val="Table Content"/>
    <w:basedOn w:val="BodyText"/>
    <w:next w:val="BodyText"/>
    <w:rsid w:val="009E1E58"/>
    <w:pPr>
      <w:keepLines/>
      <w:jc w:val="left"/>
    </w:pPr>
    <w:rPr>
      <w:rFonts w:ascii="Arial" w:hAnsi="Arial"/>
      <w:color w:val="auto"/>
      <w:kern w:val="22"/>
      <w:sz w:val="22"/>
      <w:szCs w:val="24"/>
    </w:rPr>
  </w:style>
  <w:style w:type="paragraph" w:customStyle="1" w:styleId="References">
    <w:name w:val="References"/>
    <w:basedOn w:val="BodyText"/>
    <w:next w:val="BodyText"/>
    <w:rsid w:val="009E1E58"/>
    <w:pPr>
      <w:keepLines/>
      <w:spacing w:after="240"/>
      <w:jc w:val="left"/>
    </w:pPr>
    <w:rPr>
      <w:color w:val="auto"/>
      <w:szCs w:val="24"/>
    </w:rPr>
  </w:style>
  <w:style w:type="paragraph" w:styleId="TOC3">
    <w:name w:val="toc 3"/>
    <w:basedOn w:val="Normal"/>
    <w:next w:val="Normal"/>
    <w:autoRedefine/>
    <w:semiHidden/>
    <w:rsid w:val="00404E77"/>
    <w:pPr>
      <w:jc w:val="center"/>
    </w:pPr>
    <w:rPr>
      <w:sz w:val="24"/>
      <w:szCs w:val="24"/>
      <w:lang w:val="fr-FR" w:eastAsia="fr-FR"/>
    </w:rPr>
  </w:style>
  <w:style w:type="paragraph" w:styleId="CommentText">
    <w:name w:val="annotation text"/>
    <w:basedOn w:val="Normal"/>
    <w:semiHidden/>
    <w:rsid w:val="00B31635"/>
    <w:rPr>
      <w:lang w:val="en-GB"/>
    </w:rPr>
  </w:style>
  <w:style w:type="character" w:styleId="CommentReference">
    <w:name w:val="annotation reference"/>
    <w:basedOn w:val="DefaultParagraphFont"/>
    <w:semiHidden/>
    <w:rsid w:val="003B4E2F"/>
    <w:rPr>
      <w:sz w:val="16"/>
      <w:szCs w:val="16"/>
    </w:rPr>
  </w:style>
  <w:style w:type="paragraph" w:styleId="CommentSubject">
    <w:name w:val="annotation subject"/>
    <w:basedOn w:val="CommentText"/>
    <w:next w:val="CommentText"/>
    <w:semiHidden/>
    <w:rsid w:val="003B4E2F"/>
    <w:rPr>
      <w:b/>
      <w:bCs/>
      <w:lang w:val="en-US"/>
    </w:rPr>
  </w:style>
  <w:style w:type="table" w:styleId="TableGrid">
    <w:name w:val="Table Grid"/>
    <w:basedOn w:val="TableNormal"/>
    <w:uiPriority w:val="59"/>
    <w:rsid w:val="00F80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basedOn w:val="DefaultParagraphFont"/>
    <w:rsid w:val="00781ACA"/>
    <w:rPr>
      <w:sz w:val="24"/>
      <w:szCs w:val="24"/>
      <w:lang w:val="en-US" w:eastAsia="en-US" w:bidi="ar-SA"/>
    </w:rPr>
  </w:style>
  <w:style w:type="paragraph" w:customStyle="1" w:styleId="C-BodyText">
    <w:name w:val="C-Body Text"/>
    <w:link w:val="C-BodyTextChar"/>
    <w:rsid w:val="00967C79"/>
    <w:pPr>
      <w:spacing w:before="120" w:after="120" w:line="280" w:lineRule="atLeast"/>
    </w:pPr>
    <w:rPr>
      <w:sz w:val="24"/>
      <w:lang w:val="en-US" w:eastAsia="en-US"/>
    </w:rPr>
  </w:style>
  <w:style w:type="character" w:customStyle="1" w:styleId="C-BodyTextChar">
    <w:name w:val="C-Body Text Char"/>
    <w:basedOn w:val="DefaultParagraphFont"/>
    <w:link w:val="C-BodyText"/>
    <w:rsid w:val="00967C79"/>
    <w:rPr>
      <w:sz w:val="24"/>
      <w:lang w:val="en-US" w:eastAsia="en-US"/>
    </w:rPr>
  </w:style>
  <w:style w:type="paragraph" w:styleId="ListParagraph">
    <w:name w:val="List Paragraph"/>
    <w:basedOn w:val="Normal"/>
    <w:uiPriority w:val="34"/>
    <w:qFormat/>
    <w:rsid w:val="00967C79"/>
    <w:pPr>
      <w:ind w:left="720"/>
      <w:contextualSpacing/>
    </w:pPr>
  </w:style>
  <w:style w:type="paragraph" w:styleId="Revision">
    <w:name w:val="Revision"/>
    <w:hidden/>
    <w:uiPriority w:val="99"/>
    <w:semiHidden/>
    <w:rsid w:val="00430D0C"/>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F5C79-38C7-411D-9799-5A315A53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5153</Words>
  <Characters>29557</Characters>
  <Application>Microsoft Office Word</Application>
  <DocSecurity>0</DocSecurity>
  <Lines>953</Lines>
  <Paragraphs>525</Paragraphs>
  <ScaleCrop>false</ScaleCrop>
  <HeadingPairs>
    <vt:vector size="2" baseType="variant">
      <vt:variant>
        <vt:lpstr>Title</vt:lpstr>
      </vt:variant>
      <vt:variant>
        <vt:i4>1</vt:i4>
      </vt:variant>
    </vt:vector>
  </HeadingPairs>
  <TitlesOfParts>
    <vt:vector size="1" baseType="lpstr">
      <vt:lpstr>AusPAR Attachment 1: Product Information for Vidaza (azacitidine)</vt:lpstr>
    </vt:vector>
  </TitlesOfParts>
  <Company>Celgene Pty Ltd</Company>
  <LinksUpToDate>false</LinksUpToDate>
  <CharactersWithSpaces>34185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Vidaza (azacitidine)</dc:title>
  <dc:subject>prescription medicine regulation</dc:subject>
  <dc:creator>Celgene Pty Ltd</dc:creator>
  <cp:keywords>product, information, prescription, medicine, regulation, vidaza, azacitidine</cp:keywords>
  <cp:lastModifiedBy>Bird, Gail</cp:lastModifiedBy>
  <cp:revision>17</cp:revision>
  <cp:lastPrinted>2011-10-13T02:39:00Z</cp:lastPrinted>
  <dcterms:created xsi:type="dcterms:W3CDTF">2013-04-16T05:09:00Z</dcterms:created>
  <dcterms:modified xsi:type="dcterms:W3CDTF">2013-10-14T03:17:00Z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