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70938" w:rsidP="00096AA7">
            <w:pPr>
              <w:rPr>
                <w:rFonts w:ascii="Arial" w:hAnsi="Arial" w:cs="Arial"/>
                <w:b/>
                <w:color w:val="002C47"/>
                <w:sz w:val="36"/>
                <w:szCs w:val="36"/>
              </w:rPr>
            </w:pPr>
            <w:r>
              <w:rPr>
                <w:rFonts w:ascii="Arial" w:hAnsi="Arial" w:cs="Arial"/>
                <w:b/>
                <w:color w:val="002C47"/>
                <w:sz w:val="36"/>
                <w:szCs w:val="36"/>
              </w:rPr>
              <w:t>August</w:t>
            </w:r>
            <w:r w:rsidR="00D06345">
              <w:rPr>
                <w:rFonts w:ascii="Arial" w:hAnsi="Arial" w:cs="Arial"/>
                <w:b/>
                <w:color w:val="002C47"/>
                <w:sz w:val="36"/>
                <w:szCs w:val="36"/>
              </w:rPr>
              <w:t xml:space="preserve">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Australian Pu</w:t>
            </w:r>
            <w:r w:rsidR="0043621D">
              <w:rPr>
                <w:color w:val="FFFFFF"/>
              </w:rPr>
              <w:t>blic Assessment Report for azacitidine</w:t>
            </w:r>
          </w:p>
        </w:tc>
      </w:tr>
      <w:tr w:rsidR="0032583B" w:rsidRPr="00B64760" w:rsidTr="0032583B">
        <w:tc>
          <w:tcPr>
            <w:tcW w:w="9079" w:type="dxa"/>
          </w:tcPr>
          <w:p w:rsidR="0032583B" w:rsidRPr="008E7846" w:rsidRDefault="0032583B" w:rsidP="00D06345">
            <w:pPr>
              <w:pStyle w:val="Subtitle"/>
              <w:rPr>
                <w:color w:val="FFFFFF"/>
              </w:rPr>
            </w:pPr>
            <w:r w:rsidRPr="008E7846">
              <w:rPr>
                <w:color w:val="FFFFFF"/>
              </w:rPr>
              <w:t xml:space="preserve">Proprietary Product Name: </w:t>
            </w:r>
            <w:r w:rsidR="00D06345">
              <w:rPr>
                <w:color w:val="FFFFFF"/>
              </w:rPr>
              <w:t>Vidaza</w:t>
            </w:r>
          </w:p>
        </w:tc>
      </w:tr>
      <w:tr w:rsidR="0032583B" w:rsidRPr="00B64760" w:rsidTr="0032583B">
        <w:trPr>
          <w:trHeight w:val="486"/>
        </w:trPr>
        <w:tc>
          <w:tcPr>
            <w:tcW w:w="9079" w:type="dxa"/>
          </w:tcPr>
          <w:p w:rsidR="0032583B" w:rsidRPr="008E7846" w:rsidRDefault="00D06345" w:rsidP="0032583B">
            <w:pPr>
              <w:pStyle w:val="Subtitle"/>
              <w:rPr>
                <w:color w:val="FFFFFF"/>
              </w:rPr>
            </w:pPr>
            <w:r>
              <w:rPr>
                <w:color w:val="FFFFFF"/>
              </w:rPr>
              <w:t>Sponsor: Celgene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AD0083" w:rsidRPr="00607888">
          <w:rPr>
            <w:rStyle w:val="Hyperlink"/>
          </w:rPr>
          <w:t>http://w</w:t>
        </w:r>
        <w:r w:rsidR="00A94FFA">
          <w:rPr>
            <w:rStyle w:val="Hyperlink"/>
          </w:rPr>
          <w:t>w</w:t>
        </w:r>
        <w:r w:rsidR="00AD0083" w:rsidRPr="00607888">
          <w:rPr>
            <w:rStyle w:val="Hyperlink"/>
          </w:rPr>
          <w:t>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0871C1" w:rsidRDefault="008E7846" w:rsidP="000871C1">
      <w:pPr>
        <w:pStyle w:val="ListBullet"/>
        <w:numPr>
          <w:ilvl w:val="0"/>
          <w:numId w:val="3"/>
        </w:numPr>
        <w:ind w:left="357" w:hanging="357"/>
      </w:pPr>
      <w:r>
        <w:t>A new AusPAR will be developed to reflect changes to indications and/or major variations to a prescription medicine subject to evaluation by the TGA.</w:t>
      </w:r>
    </w:p>
    <w:p w:rsidR="00D256C3" w:rsidRDefault="000871C1" w:rsidP="00D256C3">
      <w:pPr>
        <w:pStyle w:val="LegalCopy"/>
        <w:spacing w:before="3000"/>
        <w:rPr>
          <w:rFonts w:cs="Arial"/>
          <w:b/>
          <w:lang w:val="en-GB"/>
        </w:rPr>
      </w:pPr>
      <w:r w:rsidRPr="000871C1">
        <w:rPr>
          <w:rFonts w:cs="Arial"/>
          <w:b/>
          <w:lang w:val="en-GB"/>
        </w:rPr>
        <w:t>Copyright</w:t>
      </w:r>
    </w:p>
    <w:p w:rsidR="000871C1" w:rsidRDefault="00924482" w:rsidP="00924482">
      <w:pPr>
        <w:pStyle w:val="LegalCopy"/>
        <w:rPr>
          <w:rFonts w:cs="Arial"/>
          <w:lang w:val="en-GB"/>
        </w:rPr>
      </w:pPr>
      <w:r w:rsidRPr="00191B3B">
        <w:rPr>
          <w:rFonts w:cs="Arial"/>
          <w:lang w:val="en-GB"/>
        </w:rPr>
        <w:t>© Comm</w:t>
      </w:r>
      <w:r>
        <w:rPr>
          <w:rFonts w:cs="Arial"/>
          <w:lang w:val="en-GB"/>
        </w:rPr>
        <w:t>onwealth of Australia 201</w:t>
      </w:r>
      <w:r w:rsidR="00BF1190">
        <w:rPr>
          <w:rFonts w:cs="Arial"/>
          <w:lang w:val="en-GB"/>
        </w:rPr>
        <w:t>3</w:t>
      </w:r>
    </w:p>
    <w:p w:rsidR="00924482" w:rsidRDefault="00924482" w:rsidP="00924482">
      <w:pPr>
        <w:pStyle w:val="LegalCopy"/>
        <w:rPr>
          <w:rFonts w:cs="Arial"/>
        </w:rPr>
      </w:pPr>
      <w:r w:rsidRPr="00191B3B">
        <w:rPr>
          <w:rFonts w:cs="Arial"/>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0871C1" w:rsidRDefault="000871C1" w:rsidP="00924482">
      <w:pPr>
        <w:pStyle w:val="LegalCopy"/>
      </w:pP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p w:rsidR="00E33C0D" w:rsidRDefault="0019085A">
      <w:pPr>
        <w:pStyle w:val="TOC2"/>
        <w:rPr>
          <w:rFonts w:ascii="Calibri" w:eastAsia="Times New Roman" w:hAnsi="Calibri"/>
          <w:b w:val="0"/>
          <w:noProof/>
          <w:sz w:val="22"/>
          <w:lang w:eastAsia="en-AU"/>
        </w:rPr>
      </w:pPr>
      <w:r w:rsidRPr="0019085A">
        <w:fldChar w:fldCharType="begin"/>
      </w:r>
      <w:r w:rsidR="0089635C">
        <w:instrText xml:space="preserve"> TOC \o "1-3" \h \z \u </w:instrText>
      </w:r>
      <w:r w:rsidRPr="0019085A">
        <w:fldChar w:fldCharType="separate"/>
      </w:r>
      <w:hyperlink w:anchor="_Toc364416382" w:history="1">
        <w:r w:rsidR="00E33C0D" w:rsidRPr="002C7877">
          <w:rPr>
            <w:rStyle w:val="Hyperlink"/>
            <w:noProof/>
          </w:rPr>
          <w:t>I. Introduction to product submission</w:t>
        </w:r>
        <w:r w:rsidR="00E33C0D">
          <w:rPr>
            <w:noProof/>
            <w:webHidden/>
          </w:rPr>
          <w:tab/>
        </w:r>
        <w:r>
          <w:rPr>
            <w:noProof/>
            <w:webHidden/>
          </w:rPr>
          <w:fldChar w:fldCharType="begin"/>
        </w:r>
        <w:r w:rsidR="00E33C0D">
          <w:rPr>
            <w:noProof/>
            <w:webHidden/>
          </w:rPr>
          <w:instrText xml:space="preserve"> PAGEREF _Toc364416382 \h </w:instrText>
        </w:r>
        <w:r>
          <w:rPr>
            <w:noProof/>
            <w:webHidden/>
          </w:rPr>
        </w:r>
        <w:r>
          <w:rPr>
            <w:noProof/>
            <w:webHidden/>
          </w:rPr>
          <w:fldChar w:fldCharType="separate"/>
        </w:r>
        <w:r w:rsidR="00E33C0D">
          <w:rPr>
            <w:noProof/>
            <w:webHidden/>
          </w:rPr>
          <w:t>4</w:t>
        </w:r>
        <w:r>
          <w:rPr>
            <w:noProof/>
            <w:webHidden/>
          </w:rPr>
          <w:fldChar w:fldCharType="end"/>
        </w:r>
      </w:hyperlink>
    </w:p>
    <w:p w:rsidR="00E33C0D" w:rsidRDefault="0019085A">
      <w:pPr>
        <w:pStyle w:val="TOC3"/>
        <w:rPr>
          <w:rFonts w:ascii="Calibri" w:eastAsia="Times New Roman" w:hAnsi="Calibri"/>
          <w:noProof/>
          <w:lang w:eastAsia="en-AU"/>
        </w:rPr>
      </w:pPr>
      <w:hyperlink w:anchor="_Toc364416383" w:history="1">
        <w:r w:rsidR="00E33C0D" w:rsidRPr="002C7877">
          <w:rPr>
            <w:rStyle w:val="Hyperlink"/>
            <w:noProof/>
            <w:lang w:eastAsia="en-AU"/>
          </w:rPr>
          <w:t>Submission details</w:t>
        </w:r>
        <w:r w:rsidR="00E33C0D">
          <w:rPr>
            <w:noProof/>
            <w:webHidden/>
          </w:rPr>
          <w:tab/>
        </w:r>
        <w:r>
          <w:rPr>
            <w:noProof/>
            <w:webHidden/>
          </w:rPr>
          <w:fldChar w:fldCharType="begin"/>
        </w:r>
        <w:r w:rsidR="00E33C0D">
          <w:rPr>
            <w:noProof/>
            <w:webHidden/>
          </w:rPr>
          <w:instrText xml:space="preserve"> PAGEREF _Toc364416383 \h </w:instrText>
        </w:r>
        <w:r>
          <w:rPr>
            <w:noProof/>
            <w:webHidden/>
          </w:rPr>
        </w:r>
        <w:r>
          <w:rPr>
            <w:noProof/>
            <w:webHidden/>
          </w:rPr>
          <w:fldChar w:fldCharType="separate"/>
        </w:r>
        <w:r w:rsidR="00E33C0D">
          <w:rPr>
            <w:noProof/>
            <w:webHidden/>
          </w:rPr>
          <w:t>4</w:t>
        </w:r>
        <w:r>
          <w:rPr>
            <w:noProof/>
            <w:webHidden/>
          </w:rPr>
          <w:fldChar w:fldCharType="end"/>
        </w:r>
      </w:hyperlink>
    </w:p>
    <w:p w:rsidR="00E33C0D" w:rsidRDefault="0019085A">
      <w:pPr>
        <w:pStyle w:val="TOC3"/>
        <w:rPr>
          <w:rFonts w:ascii="Calibri" w:eastAsia="Times New Roman" w:hAnsi="Calibri"/>
          <w:noProof/>
          <w:lang w:eastAsia="en-AU"/>
        </w:rPr>
      </w:pPr>
      <w:hyperlink w:anchor="_Toc364416384" w:history="1">
        <w:r w:rsidR="00E33C0D" w:rsidRPr="002C7877">
          <w:rPr>
            <w:rStyle w:val="Hyperlink"/>
            <w:noProof/>
          </w:rPr>
          <w:t>Product background</w:t>
        </w:r>
        <w:r w:rsidR="00E33C0D">
          <w:rPr>
            <w:noProof/>
            <w:webHidden/>
          </w:rPr>
          <w:tab/>
        </w:r>
        <w:r>
          <w:rPr>
            <w:noProof/>
            <w:webHidden/>
          </w:rPr>
          <w:fldChar w:fldCharType="begin"/>
        </w:r>
        <w:r w:rsidR="00E33C0D">
          <w:rPr>
            <w:noProof/>
            <w:webHidden/>
          </w:rPr>
          <w:instrText xml:space="preserve"> PAGEREF _Toc364416384 \h </w:instrText>
        </w:r>
        <w:r>
          <w:rPr>
            <w:noProof/>
            <w:webHidden/>
          </w:rPr>
        </w:r>
        <w:r>
          <w:rPr>
            <w:noProof/>
            <w:webHidden/>
          </w:rPr>
          <w:fldChar w:fldCharType="separate"/>
        </w:r>
        <w:r w:rsidR="00E33C0D">
          <w:rPr>
            <w:noProof/>
            <w:webHidden/>
          </w:rPr>
          <w:t>4</w:t>
        </w:r>
        <w:r>
          <w:rPr>
            <w:noProof/>
            <w:webHidden/>
          </w:rPr>
          <w:fldChar w:fldCharType="end"/>
        </w:r>
      </w:hyperlink>
    </w:p>
    <w:p w:rsidR="00E33C0D" w:rsidRDefault="0019085A">
      <w:pPr>
        <w:pStyle w:val="TOC3"/>
        <w:rPr>
          <w:rFonts w:ascii="Calibri" w:eastAsia="Times New Roman" w:hAnsi="Calibri"/>
          <w:noProof/>
          <w:lang w:eastAsia="en-AU"/>
        </w:rPr>
      </w:pPr>
      <w:hyperlink w:anchor="_Toc364416385" w:history="1">
        <w:r w:rsidR="00E33C0D" w:rsidRPr="002C7877">
          <w:rPr>
            <w:rStyle w:val="Hyperlink"/>
            <w:noProof/>
          </w:rPr>
          <w:t>Regulatory status</w:t>
        </w:r>
        <w:r w:rsidR="00E33C0D">
          <w:rPr>
            <w:noProof/>
            <w:webHidden/>
          </w:rPr>
          <w:tab/>
        </w:r>
        <w:r>
          <w:rPr>
            <w:noProof/>
            <w:webHidden/>
          </w:rPr>
          <w:fldChar w:fldCharType="begin"/>
        </w:r>
        <w:r w:rsidR="00E33C0D">
          <w:rPr>
            <w:noProof/>
            <w:webHidden/>
          </w:rPr>
          <w:instrText xml:space="preserve"> PAGEREF _Toc364416385 \h </w:instrText>
        </w:r>
        <w:r>
          <w:rPr>
            <w:noProof/>
            <w:webHidden/>
          </w:rPr>
        </w:r>
        <w:r>
          <w:rPr>
            <w:noProof/>
            <w:webHidden/>
          </w:rPr>
          <w:fldChar w:fldCharType="separate"/>
        </w:r>
        <w:r w:rsidR="00E33C0D">
          <w:rPr>
            <w:noProof/>
            <w:webHidden/>
          </w:rPr>
          <w:t>5</w:t>
        </w:r>
        <w:r>
          <w:rPr>
            <w:noProof/>
            <w:webHidden/>
          </w:rPr>
          <w:fldChar w:fldCharType="end"/>
        </w:r>
      </w:hyperlink>
    </w:p>
    <w:p w:rsidR="00E33C0D" w:rsidRDefault="0019085A">
      <w:pPr>
        <w:pStyle w:val="TOC3"/>
        <w:rPr>
          <w:rFonts w:ascii="Calibri" w:eastAsia="Times New Roman" w:hAnsi="Calibri"/>
          <w:noProof/>
          <w:lang w:eastAsia="en-AU"/>
        </w:rPr>
      </w:pPr>
      <w:hyperlink w:anchor="_Toc364416386" w:history="1">
        <w:r w:rsidR="00E33C0D" w:rsidRPr="002C7877">
          <w:rPr>
            <w:rStyle w:val="Hyperlink"/>
            <w:noProof/>
          </w:rPr>
          <w:t>Product Information</w:t>
        </w:r>
        <w:r w:rsidR="00E33C0D">
          <w:rPr>
            <w:noProof/>
            <w:webHidden/>
          </w:rPr>
          <w:tab/>
        </w:r>
        <w:r>
          <w:rPr>
            <w:noProof/>
            <w:webHidden/>
          </w:rPr>
          <w:fldChar w:fldCharType="begin"/>
        </w:r>
        <w:r w:rsidR="00E33C0D">
          <w:rPr>
            <w:noProof/>
            <w:webHidden/>
          </w:rPr>
          <w:instrText xml:space="preserve"> PAGEREF _Toc364416386 \h </w:instrText>
        </w:r>
        <w:r>
          <w:rPr>
            <w:noProof/>
            <w:webHidden/>
          </w:rPr>
        </w:r>
        <w:r>
          <w:rPr>
            <w:noProof/>
            <w:webHidden/>
          </w:rPr>
          <w:fldChar w:fldCharType="separate"/>
        </w:r>
        <w:r w:rsidR="00E33C0D">
          <w:rPr>
            <w:noProof/>
            <w:webHidden/>
          </w:rPr>
          <w:t>5</w:t>
        </w:r>
        <w:r>
          <w:rPr>
            <w:noProof/>
            <w:webHidden/>
          </w:rPr>
          <w:fldChar w:fldCharType="end"/>
        </w:r>
      </w:hyperlink>
    </w:p>
    <w:p w:rsidR="00E33C0D" w:rsidRDefault="0019085A">
      <w:pPr>
        <w:pStyle w:val="TOC2"/>
        <w:rPr>
          <w:rFonts w:ascii="Calibri" w:eastAsia="Times New Roman" w:hAnsi="Calibri"/>
          <w:b w:val="0"/>
          <w:noProof/>
          <w:sz w:val="22"/>
          <w:lang w:eastAsia="en-AU"/>
        </w:rPr>
      </w:pPr>
      <w:hyperlink w:anchor="_Toc364416387" w:history="1">
        <w:r w:rsidR="00E33C0D" w:rsidRPr="002C7877">
          <w:rPr>
            <w:rStyle w:val="Hyperlink"/>
            <w:noProof/>
          </w:rPr>
          <w:t>II. Quality findings</w:t>
        </w:r>
        <w:r w:rsidR="00E33C0D">
          <w:rPr>
            <w:noProof/>
            <w:webHidden/>
          </w:rPr>
          <w:tab/>
        </w:r>
        <w:r>
          <w:rPr>
            <w:noProof/>
            <w:webHidden/>
          </w:rPr>
          <w:fldChar w:fldCharType="begin"/>
        </w:r>
        <w:r w:rsidR="00E33C0D">
          <w:rPr>
            <w:noProof/>
            <w:webHidden/>
          </w:rPr>
          <w:instrText xml:space="preserve"> PAGEREF _Toc364416387 \h </w:instrText>
        </w:r>
        <w:r>
          <w:rPr>
            <w:noProof/>
            <w:webHidden/>
          </w:rPr>
        </w:r>
        <w:r>
          <w:rPr>
            <w:noProof/>
            <w:webHidden/>
          </w:rPr>
          <w:fldChar w:fldCharType="separate"/>
        </w:r>
        <w:r w:rsidR="00E33C0D">
          <w:rPr>
            <w:noProof/>
            <w:webHidden/>
          </w:rPr>
          <w:t>6</w:t>
        </w:r>
        <w:r>
          <w:rPr>
            <w:noProof/>
            <w:webHidden/>
          </w:rPr>
          <w:fldChar w:fldCharType="end"/>
        </w:r>
      </w:hyperlink>
    </w:p>
    <w:p w:rsidR="00E33C0D" w:rsidRDefault="0019085A">
      <w:pPr>
        <w:pStyle w:val="TOC3"/>
        <w:rPr>
          <w:rFonts w:ascii="Calibri" w:eastAsia="Times New Roman" w:hAnsi="Calibri"/>
          <w:noProof/>
          <w:lang w:eastAsia="en-AU"/>
        </w:rPr>
      </w:pPr>
      <w:hyperlink w:anchor="_Toc364416388" w:history="1">
        <w:r w:rsidR="00E33C0D" w:rsidRPr="002C7877">
          <w:rPr>
            <w:rStyle w:val="Hyperlink"/>
            <w:noProof/>
          </w:rPr>
          <w:t>Drug substance (active ingredient)</w:t>
        </w:r>
        <w:r w:rsidR="00E33C0D">
          <w:rPr>
            <w:noProof/>
            <w:webHidden/>
          </w:rPr>
          <w:tab/>
        </w:r>
        <w:r>
          <w:rPr>
            <w:noProof/>
            <w:webHidden/>
          </w:rPr>
          <w:fldChar w:fldCharType="begin"/>
        </w:r>
        <w:r w:rsidR="00E33C0D">
          <w:rPr>
            <w:noProof/>
            <w:webHidden/>
          </w:rPr>
          <w:instrText xml:space="preserve"> PAGEREF _Toc364416388 \h </w:instrText>
        </w:r>
        <w:r>
          <w:rPr>
            <w:noProof/>
            <w:webHidden/>
          </w:rPr>
        </w:r>
        <w:r>
          <w:rPr>
            <w:noProof/>
            <w:webHidden/>
          </w:rPr>
          <w:fldChar w:fldCharType="separate"/>
        </w:r>
        <w:r w:rsidR="00E33C0D">
          <w:rPr>
            <w:noProof/>
            <w:webHidden/>
          </w:rPr>
          <w:t>6</w:t>
        </w:r>
        <w:r>
          <w:rPr>
            <w:noProof/>
            <w:webHidden/>
          </w:rPr>
          <w:fldChar w:fldCharType="end"/>
        </w:r>
      </w:hyperlink>
    </w:p>
    <w:p w:rsidR="00E33C0D" w:rsidRDefault="0019085A">
      <w:pPr>
        <w:pStyle w:val="TOC3"/>
        <w:rPr>
          <w:rFonts w:ascii="Calibri" w:eastAsia="Times New Roman" w:hAnsi="Calibri"/>
          <w:noProof/>
          <w:lang w:eastAsia="en-AU"/>
        </w:rPr>
      </w:pPr>
      <w:hyperlink w:anchor="_Toc364416389" w:history="1">
        <w:r w:rsidR="00E33C0D" w:rsidRPr="002C7877">
          <w:rPr>
            <w:rStyle w:val="Hyperlink"/>
            <w:noProof/>
          </w:rPr>
          <w:t>Drug product</w:t>
        </w:r>
        <w:r w:rsidR="00E33C0D">
          <w:rPr>
            <w:noProof/>
            <w:webHidden/>
          </w:rPr>
          <w:tab/>
        </w:r>
        <w:r>
          <w:rPr>
            <w:noProof/>
            <w:webHidden/>
          </w:rPr>
          <w:fldChar w:fldCharType="begin"/>
        </w:r>
        <w:r w:rsidR="00E33C0D">
          <w:rPr>
            <w:noProof/>
            <w:webHidden/>
          </w:rPr>
          <w:instrText xml:space="preserve"> PAGEREF _Toc364416389 \h </w:instrText>
        </w:r>
        <w:r>
          <w:rPr>
            <w:noProof/>
            <w:webHidden/>
          </w:rPr>
        </w:r>
        <w:r>
          <w:rPr>
            <w:noProof/>
            <w:webHidden/>
          </w:rPr>
          <w:fldChar w:fldCharType="separate"/>
        </w:r>
        <w:r w:rsidR="00E33C0D">
          <w:rPr>
            <w:noProof/>
            <w:webHidden/>
          </w:rPr>
          <w:t>6</w:t>
        </w:r>
        <w:r>
          <w:rPr>
            <w:noProof/>
            <w:webHidden/>
          </w:rPr>
          <w:fldChar w:fldCharType="end"/>
        </w:r>
      </w:hyperlink>
    </w:p>
    <w:p w:rsidR="00E33C0D" w:rsidRDefault="0019085A">
      <w:pPr>
        <w:pStyle w:val="TOC3"/>
        <w:rPr>
          <w:rFonts w:ascii="Calibri" w:eastAsia="Times New Roman" w:hAnsi="Calibri"/>
          <w:noProof/>
          <w:lang w:eastAsia="en-AU"/>
        </w:rPr>
      </w:pPr>
      <w:hyperlink w:anchor="_Toc364416390" w:history="1">
        <w:r w:rsidR="00E33C0D" w:rsidRPr="002C7877">
          <w:rPr>
            <w:rStyle w:val="Hyperlink"/>
            <w:noProof/>
          </w:rPr>
          <w:t>Biopharmaceutics</w:t>
        </w:r>
        <w:r w:rsidR="00E33C0D">
          <w:rPr>
            <w:noProof/>
            <w:webHidden/>
          </w:rPr>
          <w:tab/>
        </w:r>
        <w:r>
          <w:rPr>
            <w:noProof/>
            <w:webHidden/>
          </w:rPr>
          <w:fldChar w:fldCharType="begin"/>
        </w:r>
        <w:r w:rsidR="00E33C0D">
          <w:rPr>
            <w:noProof/>
            <w:webHidden/>
          </w:rPr>
          <w:instrText xml:space="preserve"> PAGEREF _Toc364416390 \h </w:instrText>
        </w:r>
        <w:r>
          <w:rPr>
            <w:noProof/>
            <w:webHidden/>
          </w:rPr>
        </w:r>
        <w:r>
          <w:rPr>
            <w:noProof/>
            <w:webHidden/>
          </w:rPr>
          <w:fldChar w:fldCharType="separate"/>
        </w:r>
        <w:r w:rsidR="00E33C0D">
          <w:rPr>
            <w:noProof/>
            <w:webHidden/>
          </w:rPr>
          <w:t>7</w:t>
        </w:r>
        <w:r>
          <w:rPr>
            <w:noProof/>
            <w:webHidden/>
          </w:rPr>
          <w:fldChar w:fldCharType="end"/>
        </w:r>
      </w:hyperlink>
    </w:p>
    <w:p w:rsidR="00E33C0D" w:rsidRDefault="0019085A">
      <w:pPr>
        <w:pStyle w:val="TOC3"/>
        <w:rPr>
          <w:rFonts w:ascii="Calibri" w:eastAsia="Times New Roman" w:hAnsi="Calibri"/>
          <w:noProof/>
          <w:lang w:eastAsia="en-AU"/>
        </w:rPr>
      </w:pPr>
      <w:hyperlink w:anchor="_Toc364416391" w:history="1">
        <w:r w:rsidR="00E33C0D" w:rsidRPr="002C7877">
          <w:rPr>
            <w:rStyle w:val="Hyperlink"/>
            <w:noProof/>
          </w:rPr>
          <w:t>Quality summary and conclusions</w:t>
        </w:r>
        <w:r w:rsidR="00E33C0D">
          <w:rPr>
            <w:noProof/>
            <w:webHidden/>
          </w:rPr>
          <w:tab/>
        </w:r>
        <w:r>
          <w:rPr>
            <w:noProof/>
            <w:webHidden/>
          </w:rPr>
          <w:fldChar w:fldCharType="begin"/>
        </w:r>
        <w:r w:rsidR="00E33C0D">
          <w:rPr>
            <w:noProof/>
            <w:webHidden/>
          </w:rPr>
          <w:instrText xml:space="preserve"> PAGEREF _Toc364416391 \h </w:instrText>
        </w:r>
        <w:r>
          <w:rPr>
            <w:noProof/>
            <w:webHidden/>
          </w:rPr>
        </w:r>
        <w:r>
          <w:rPr>
            <w:noProof/>
            <w:webHidden/>
          </w:rPr>
          <w:fldChar w:fldCharType="separate"/>
        </w:r>
        <w:r w:rsidR="00E33C0D">
          <w:rPr>
            <w:noProof/>
            <w:webHidden/>
          </w:rPr>
          <w:t>8</w:t>
        </w:r>
        <w:r>
          <w:rPr>
            <w:noProof/>
            <w:webHidden/>
          </w:rPr>
          <w:fldChar w:fldCharType="end"/>
        </w:r>
      </w:hyperlink>
    </w:p>
    <w:p w:rsidR="00E33C0D" w:rsidRDefault="0019085A">
      <w:pPr>
        <w:pStyle w:val="TOC2"/>
        <w:rPr>
          <w:rFonts w:ascii="Calibri" w:eastAsia="Times New Roman" w:hAnsi="Calibri"/>
          <w:b w:val="0"/>
          <w:noProof/>
          <w:sz w:val="22"/>
          <w:lang w:eastAsia="en-AU"/>
        </w:rPr>
      </w:pPr>
      <w:hyperlink w:anchor="_Toc364416392" w:history="1">
        <w:r w:rsidR="00E33C0D" w:rsidRPr="002C7877">
          <w:rPr>
            <w:rStyle w:val="Hyperlink"/>
            <w:noProof/>
          </w:rPr>
          <w:t>III. Nonclinical findings</w:t>
        </w:r>
        <w:r w:rsidR="00E33C0D">
          <w:rPr>
            <w:noProof/>
            <w:webHidden/>
          </w:rPr>
          <w:tab/>
        </w:r>
        <w:r>
          <w:rPr>
            <w:noProof/>
            <w:webHidden/>
          </w:rPr>
          <w:fldChar w:fldCharType="begin"/>
        </w:r>
        <w:r w:rsidR="00E33C0D">
          <w:rPr>
            <w:noProof/>
            <w:webHidden/>
          </w:rPr>
          <w:instrText xml:space="preserve"> PAGEREF _Toc364416392 \h </w:instrText>
        </w:r>
        <w:r>
          <w:rPr>
            <w:noProof/>
            <w:webHidden/>
          </w:rPr>
        </w:r>
        <w:r>
          <w:rPr>
            <w:noProof/>
            <w:webHidden/>
          </w:rPr>
          <w:fldChar w:fldCharType="separate"/>
        </w:r>
        <w:r w:rsidR="00E33C0D">
          <w:rPr>
            <w:noProof/>
            <w:webHidden/>
          </w:rPr>
          <w:t>9</w:t>
        </w:r>
        <w:r>
          <w:rPr>
            <w:noProof/>
            <w:webHidden/>
          </w:rPr>
          <w:fldChar w:fldCharType="end"/>
        </w:r>
      </w:hyperlink>
    </w:p>
    <w:p w:rsidR="00E33C0D" w:rsidRDefault="0019085A">
      <w:pPr>
        <w:pStyle w:val="TOC3"/>
        <w:rPr>
          <w:rFonts w:ascii="Calibri" w:eastAsia="Times New Roman" w:hAnsi="Calibri"/>
          <w:noProof/>
          <w:lang w:eastAsia="en-AU"/>
        </w:rPr>
      </w:pPr>
      <w:hyperlink w:anchor="_Toc364416393" w:history="1">
        <w:r w:rsidR="00E33C0D" w:rsidRPr="002C7877">
          <w:rPr>
            <w:rStyle w:val="Hyperlink"/>
            <w:noProof/>
          </w:rPr>
          <w:t>Introduction</w:t>
        </w:r>
        <w:r w:rsidR="00E33C0D">
          <w:rPr>
            <w:noProof/>
            <w:webHidden/>
          </w:rPr>
          <w:tab/>
        </w:r>
        <w:r>
          <w:rPr>
            <w:noProof/>
            <w:webHidden/>
          </w:rPr>
          <w:fldChar w:fldCharType="begin"/>
        </w:r>
        <w:r w:rsidR="00E33C0D">
          <w:rPr>
            <w:noProof/>
            <w:webHidden/>
          </w:rPr>
          <w:instrText xml:space="preserve"> PAGEREF _Toc364416393 \h </w:instrText>
        </w:r>
        <w:r>
          <w:rPr>
            <w:noProof/>
            <w:webHidden/>
          </w:rPr>
        </w:r>
        <w:r>
          <w:rPr>
            <w:noProof/>
            <w:webHidden/>
          </w:rPr>
          <w:fldChar w:fldCharType="separate"/>
        </w:r>
        <w:r w:rsidR="00E33C0D">
          <w:rPr>
            <w:noProof/>
            <w:webHidden/>
          </w:rPr>
          <w:t>9</w:t>
        </w:r>
        <w:r>
          <w:rPr>
            <w:noProof/>
            <w:webHidden/>
          </w:rPr>
          <w:fldChar w:fldCharType="end"/>
        </w:r>
      </w:hyperlink>
    </w:p>
    <w:p w:rsidR="00E33C0D" w:rsidRDefault="0019085A">
      <w:pPr>
        <w:pStyle w:val="TOC3"/>
        <w:rPr>
          <w:rFonts w:ascii="Calibri" w:eastAsia="Times New Roman" w:hAnsi="Calibri"/>
          <w:noProof/>
          <w:lang w:eastAsia="en-AU"/>
        </w:rPr>
      </w:pPr>
      <w:hyperlink w:anchor="_Toc364416394" w:history="1">
        <w:r w:rsidR="00E33C0D" w:rsidRPr="002C7877">
          <w:rPr>
            <w:rStyle w:val="Hyperlink"/>
            <w:noProof/>
          </w:rPr>
          <w:t>Pharmacology</w:t>
        </w:r>
        <w:r w:rsidR="00E33C0D">
          <w:rPr>
            <w:noProof/>
            <w:webHidden/>
          </w:rPr>
          <w:tab/>
        </w:r>
        <w:r>
          <w:rPr>
            <w:noProof/>
            <w:webHidden/>
          </w:rPr>
          <w:fldChar w:fldCharType="begin"/>
        </w:r>
        <w:r w:rsidR="00E33C0D">
          <w:rPr>
            <w:noProof/>
            <w:webHidden/>
          </w:rPr>
          <w:instrText xml:space="preserve"> PAGEREF _Toc364416394 \h </w:instrText>
        </w:r>
        <w:r>
          <w:rPr>
            <w:noProof/>
            <w:webHidden/>
          </w:rPr>
        </w:r>
        <w:r>
          <w:rPr>
            <w:noProof/>
            <w:webHidden/>
          </w:rPr>
          <w:fldChar w:fldCharType="separate"/>
        </w:r>
        <w:r w:rsidR="00E33C0D">
          <w:rPr>
            <w:noProof/>
            <w:webHidden/>
          </w:rPr>
          <w:t>9</w:t>
        </w:r>
        <w:r>
          <w:rPr>
            <w:noProof/>
            <w:webHidden/>
          </w:rPr>
          <w:fldChar w:fldCharType="end"/>
        </w:r>
      </w:hyperlink>
    </w:p>
    <w:p w:rsidR="00E33C0D" w:rsidRDefault="0019085A">
      <w:pPr>
        <w:pStyle w:val="TOC3"/>
        <w:rPr>
          <w:rFonts w:ascii="Calibri" w:eastAsia="Times New Roman" w:hAnsi="Calibri"/>
          <w:noProof/>
          <w:lang w:eastAsia="en-AU"/>
        </w:rPr>
      </w:pPr>
      <w:hyperlink w:anchor="_Toc364416395" w:history="1">
        <w:r w:rsidR="00E33C0D" w:rsidRPr="002C7877">
          <w:rPr>
            <w:rStyle w:val="Hyperlink"/>
            <w:noProof/>
          </w:rPr>
          <w:t>Pharmacokinetics</w:t>
        </w:r>
        <w:r w:rsidR="00E33C0D">
          <w:rPr>
            <w:noProof/>
            <w:webHidden/>
          </w:rPr>
          <w:tab/>
        </w:r>
        <w:r>
          <w:rPr>
            <w:noProof/>
            <w:webHidden/>
          </w:rPr>
          <w:fldChar w:fldCharType="begin"/>
        </w:r>
        <w:r w:rsidR="00E33C0D">
          <w:rPr>
            <w:noProof/>
            <w:webHidden/>
          </w:rPr>
          <w:instrText xml:space="preserve"> PAGEREF _Toc364416395 \h </w:instrText>
        </w:r>
        <w:r>
          <w:rPr>
            <w:noProof/>
            <w:webHidden/>
          </w:rPr>
        </w:r>
        <w:r>
          <w:rPr>
            <w:noProof/>
            <w:webHidden/>
          </w:rPr>
          <w:fldChar w:fldCharType="separate"/>
        </w:r>
        <w:r w:rsidR="00E33C0D">
          <w:rPr>
            <w:noProof/>
            <w:webHidden/>
          </w:rPr>
          <w:t>10</w:t>
        </w:r>
        <w:r>
          <w:rPr>
            <w:noProof/>
            <w:webHidden/>
          </w:rPr>
          <w:fldChar w:fldCharType="end"/>
        </w:r>
      </w:hyperlink>
    </w:p>
    <w:p w:rsidR="00E33C0D" w:rsidRDefault="0019085A">
      <w:pPr>
        <w:pStyle w:val="TOC3"/>
        <w:rPr>
          <w:rFonts w:ascii="Calibri" w:eastAsia="Times New Roman" w:hAnsi="Calibri"/>
          <w:noProof/>
          <w:lang w:eastAsia="en-AU"/>
        </w:rPr>
      </w:pPr>
      <w:hyperlink w:anchor="_Toc364416396" w:history="1">
        <w:r w:rsidR="00E33C0D" w:rsidRPr="002C7877">
          <w:rPr>
            <w:rStyle w:val="Hyperlink"/>
            <w:noProof/>
          </w:rPr>
          <w:t>Toxicology</w:t>
        </w:r>
        <w:r w:rsidR="00E33C0D">
          <w:rPr>
            <w:noProof/>
            <w:webHidden/>
          </w:rPr>
          <w:tab/>
        </w:r>
        <w:r>
          <w:rPr>
            <w:noProof/>
            <w:webHidden/>
          </w:rPr>
          <w:fldChar w:fldCharType="begin"/>
        </w:r>
        <w:r w:rsidR="00E33C0D">
          <w:rPr>
            <w:noProof/>
            <w:webHidden/>
          </w:rPr>
          <w:instrText xml:space="preserve"> PAGEREF _Toc364416396 \h </w:instrText>
        </w:r>
        <w:r>
          <w:rPr>
            <w:noProof/>
            <w:webHidden/>
          </w:rPr>
        </w:r>
        <w:r>
          <w:rPr>
            <w:noProof/>
            <w:webHidden/>
          </w:rPr>
          <w:fldChar w:fldCharType="separate"/>
        </w:r>
        <w:r w:rsidR="00E33C0D">
          <w:rPr>
            <w:noProof/>
            <w:webHidden/>
          </w:rPr>
          <w:t>10</w:t>
        </w:r>
        <w:r>
          <w:rPr>
            <w:noProof/>
            <w:webHidden/>
          </w:rPr>
          <w:fldChar w:fldCharType="end"/>
        </w:r>
      </w:hyperlink>
    </w:p>
    <w:p w:rsidR="00E33C0D" w:rsidRDefault="0019085A">
      <w:pPr>
        <w:pStyle w:val="TOC3"/>
        <w:rPr>
          <w:rFonts w:ascii="Calibri" w:eastAsia="Times New Roman" w:hAnsi="Calibri"/>
          <w:noProof/>
          <w:lang w:eastAsia="en-AU"/>
        </w:rPr>
      </w:pPr>
      <w:hyperlink w:anchor="_Toc364416397" w:history="1">
        <w:r w:rsidR="00E33C0D" w:rsidRPr="002C7877">
          <w:rPr>
            <w:rStyle w:val="Hyperlink"/>
            <w:noProof/>
          </w:rPr>
          <w:t>Nonclinical summary and conclusions</w:t>
        </w:r>
        <w:r w:rsidR="00E33C0D">
          <w:rPr>
            <w:noProof/>
            <w:webHidden/>
          </w:rPr>
          <w:tab/>
        </w:r>
        <w:r>
          <w:rPr>
            <w:noProof/>
            <w:webHidden/>
          </w:rPr>
          <w:fldChar w:fldCharType="begin"/>
        </w:r>
        <w:r w:rsidR="00E33C0D">
          <w:rPr>
            <w:noProof/>
            <w:webHidden/>
          </w:rPr>
          <w:instrText xml:space="preserve"> PAGEREF _Toc364416397 \h </w:instrText>
        </w:r>
        <w:r>
          <w:rPr>
            <w:noProof/>
            <w:webHidden/>
          </w:rPr>
        </w:r>
        <w:r>
          <w:rPr>
            <w:noProof/>
            <w:webHidden/>
          </w:rPr>
          <w:fldChar w:fldCharType="separate"/>
        </w:r>
        <w:r w:rsidR="00E33C0D">
          <w:rPr>
            <w:noProof/>
            <w:webHidden/>
          </w:rPr>
          <w:t>11</w:t>
        </w:r>
        <w:r>
          <w:rPr>
            <w:noProof/>
            <w:webHidden/>
          </w:rPr>
          <w:fldChar w:fldCharType="end"/>
        </w:r>
      </w:hyperlink>
    </w:p>
    <w:p w:rsidR="00E33C0D" w:rsidRDefault="0019085A">
      <w:pPr>
        <w:pStyle w:val="TOC2"/>
        <w:rPr>
          <w:rFonts w:ascii="Calibri" w:eastAsia="Times New Roman" w:hAnsi="Calibri"/>
          <w:b w:val="0"/>
          <w:noProof/>
          <w:sz w:val="22"/>
          <w:lang w:eastAsia="en-AU"/>
        </w:rPr>
      </w:pPr>
      <w:hyperlink w:anchor="_Toc364416398" w:history="1">
        <w:r w:rsidR="00E33C0D" w:rsidRPr="002C7877">
          <w:rPr>
            <w:rStyle w:val="Hyperlink"/>
            <w:noProof/>
          </w:rPr>
          <w:t>IV. Clinical findings</w:t>
        </w:r>
        <w:r w:rsidR="00E33C0D">
          <w:rPr>
            <w:noProof/>
            <w:webHidden/>
          </w:rPr>
          <w:tab/>
        </w:r>
        <w:r>
          <w:rPr>
            <w:noProof/>
            <w:webHidden/>
          </w:rPr>
          <w:fldChar w:fldCharType="begin"/>
        </w:r>
        <w:r w:rsidR="00E33C0D">
          <w:rPr>
            <w:noProof/>
            <w:webHidden/>
          </w:rPr>
          <w:instrText xml:space="preserve"> PAGEREF _Toc364416398 \h </w:instrText>
        </w:r>
        <w:r>
          <w:rPr>
            <w:noProof/>
            <w:webHidden/>
          </w:rPr>
        </w:r>
        <w:r>
          <w:rPr>
            <w:noProof/>
            <w:webHidden/>
          </w:rPr>
          <w:fldChar w:fldCharType="separate"/>
        </w:r>
        <w:r w:rsidR="00E33C0D">
          <w:rPr>
            <w:noProof/>
            <w:webHidden/>
          </w:rPr>
          <w:t>12</w:t>
        </w:r>
        <w:r>
          <w:rPr>
            <w:noProof/>
            <w:webHidden/>
          </w:rPr>
          <w:fldChar w:fldCharType="end"/>
        </w:r>
      </w:hyperlink>
    </w:p>
    <w:p w:rsidR="00E33C0D" w:rsidRDefault="0019085A">
      <w:pPr>
        <w:pStyle w:val="TOC3"/>
        <w:rPr>
          <w:rFonts w:ascii="Calibri" w:eastAsia="Times New Roman" w:hAnsi="Calibri"/>
          <w:noProof/>
          <w:lang w:eastAsia="en-AU"/>
        </w:rPr>
      </w:pPr>
      <w:hyperlink w:anchor="_Toc364416399" w:history="1">
        <w:r w:rsidR="00E33C0D" w:rsidRPr="002C7877">
          <w:rPr>
            <w:rStyle w:val="Hyperlink"/>
            <w:noProof/>
          </w:rPr>
          <w:t>Introduction</w:t>
        </w:r>
        <w:r w:rsidR="00E33C0D">
          <w:rPr>
            <w:noProof/>
            <w:webHidden/>
          </w:rPr>
          <w:tab/>
        </w:r>
        <w:r>
          <w:rPr>
            <w:noProof/>
            <w:webHidden/>
          </w:rPr>
          <w:fldChar w:fldCharType="begin"/>
        </w:r>
        <w:r w:rsidR="00E33C0D">
          <w:rPr>
            <w:noProof/>
            <w:webHidden/>
          </w:rPr>
          <w:instrText xml:space="preserve"> PAGEREF _Toc364416399 \h </w:instrText>
        </w:r>
        <w:r>
          <w:rPr>
            <w:noProof/>
            <w:webHidden/>
          </w:rPr>
        </w:r>
        <w:r>
          <w:rPr>
            <w:noProof/>
            <w:webHidden/>
          </w:rPr>
          <w:fldChar w:fldCharType="separate"/>
        </w:r>
        <w:r w:rsidR="00E33C0D">
          <w:rPr>
            <w:noProof/>
            <w:webHidden/>
          </w:rPr>
          <w:t>12</w:t>
        </w:r>
        <w:r>
          <w:rPr>
            <w:noProof/>
            <w:webHidden/>
          </w:rPr>
          <w:fldChar w:fldCharType="end"/>
        </w:r>
      </w:hyperlink>
    </w:p>
    <w:p w:rsidR="00E33C0D" w:rsidRDefault="0019085A">
      <w:pPr>
        <w:pStyle w:val="TOC3"/>
        <w:rPr>
          <w:rFonts w:ascii="Calibri" w:eastAsia="Times New Roman" w:hAnsi="Calibri"/>
          <w:noProof/>
          <w:lang w:eastAsia="en-AU"/>
        </w:rPr>
      </w:pPr>
      <w:hyperlink w:anchor="_Toc364416400" w:history="1">
        <w:r w:rsidR="00E33C0D" w:rsidRPr="002C7877">
          <w:rPr>
            <w:rStyle w:val="Hyperlink"/>
            <w:noProof/>
          </w:rPr>
          <w:t>Pharmacokinetics</w:t>
        </w:r>
        <w:r w:rsidR="00E33C0D">
          <w:rPr>
            <w:noProof/>
            <w:webHidden/>
          </w:rPr>
          <w:tab/>
        </w:r>
        <w:r>
          <w:rPr>
            <w:noProof/>
            <w:webHidden/>
          </w:rPr>
          <w:fldChar w:fldCharType="begin"/>
        </w:r>
        <w:r w:rsidR="00E33C0D">
          <w:rPr>
            <w:noProof/>
            <w:webHidden/>
          </w:rPr>
          <w:instrText xml:space="preserve"> PAGEREF _Toc364416400 \h </w:instrText>
        </w:r>
        <w:r>
          <w:rPr>
            <w:noProof/>
            <w:webHidden/>
          </w:rPr>
        </w:r>
        <w:r>
          <w:rPr>
            <w:noProof/>
            <w:webHidden/>
          </w:rPr>
          <w:fldChar w:fldCharType="separate"/>
        </w:r>
        <w:r w:rsidR="00E33C0D">
          <w:rPr>
            <w:noProof/>
            <w:webHidden/>
          </w:rPr>
          <w:t>12</w:t>
        </w:r>
        <w:r>
          <w:rPr>
            <w:noProof/>
            <w:webHidden/>
          </w:rPr>
          <w:fldChar w:fldCharType="end"/>
        </w:r>
      </w:hyperlink>
    </w:p>
    <w:p w:rsidR="00E33C0D" w:rsidRDefault="0019085A">
      <w:pPr>
        <w:pStyle w:val="TOC3"/>
        <w:rPr>
          <w:rFonts w:ascii="Calibri" w:eastAsia="Times New Roman" w:hAnsi="Calibri"/>
          <w:noProof/>
          <w:lang w:eastAsia="en-AU"/>
        </w:rPr>
      </w:pPr>
      <w:hyperlink w:anchor="_Toc364416401" w:history="1">
        <w:r w:rsidR="00E33C0D" w:rsidRPr="002C7877">
          <w:rPr>
            <w:rStyle w:val="Hyperlink"/>
            <w:noProof/>
          </w:rPr>
          <w:t>Pharmacodynamics</w:t>
        </w:r>
        <w:r w:rsidR="00E33C0D">
          <w:rPr>
            <w:noProof/>
            <w:webHidden/>
          </w:rPr>
          <w:tab/>
        </w:r>
        <w:r>
          <w:rPr>
            <w:noProof/>
            <w:webHidden/>
          </w:rPr>
          <w:fldChar w:fldCharType="begin"/>
        </w:r>
        <w:r w:rsidR="00E33C0D">
          <w:rPr>
            <w:noProof/>
            <w:webHidden/>
          </w:rPr>
          <w:instrText xml:space="preserve"> PAGEREF _Toc364416401 \h </w:instrText>
        </w:r>
        <w:r>
          <w:rPr>
            <w:noProof/>
            <w:webHidden/>
          </w:rPr>
        </w:r>
        <w:r>
          <w:rPr>
            <w:noProof/>
            <w:webHidden/>
          </w:rPr>
          <w:fldChar w:fldCharType="separate"/>
        </w:r>
        <w:r w:rsidR="00E33C0D">
          <w:rPr>
            <w:noProof/>
            <w:webHidden/>
          </w:rPr>
          <w:t>12</w:t>
        </w:r>
        <w:r>
          <w:rPr>
            <w:noProof/>
            <w:webHidden/>
          </w:rPr>
          <w:fldChar w:fldCharType="end"/>
        </w:r>
      </w:hyperlink>
    </w:p>
    <w:p w:rsidR="00E33C0D" w:rsidRDefault="0019085A">
      <w:pPr>
        <w:pStyle w:val="TOC3"/>
        <w:rPr>
          <w:rFonts w:ascii="Calibri" w:eastAsia="Times New Roman" w:hAnsi="Calibri"/>
          <w:noProof/>
          <w:lang w:eastAsia="en-AU"/>
        </w:rPr>
      </w:pPr>
      <w:hyperlink w:anchor="_Toc364416402" w:history="1">
        <w:r w:rsidR="00E33C0D" w:rsidRPr="002C7877">
          <w:rPr>
            <w:rStyle w:val="Hyperlink"/>
            <w:noProof/>
          </w:rPr>
          <w:t>Efficacy</w:t>
        </w:r>
        <w:r w:rsidR="00E33C0D">
          <w:rPr>
            <w:noProof/>
            <w:webHidden/>
          </w:rPr>
          <w:tab/>
        </w:r>
        <w:r>
          <w:rPr>
            <w:noProof/>
            <w:webHidden/>
          </w:rPr>
          <w:fldChar w:fldCharType="begin"/>
        </w:r>
        <w:r w:rsidR="00E33C0D">
          <w:rPr>
            <w:noProof/>
            <w:webHidden/>
          </w:rPr>
          <w:instrText xml:space="preserve"> PAGEREF _Toc364416402 \h </w:instrText>
        </w:r>
        <w:r>
          <w:rPr>
            <w:noProof/>
            <w:webHidden/>
          </w:rPr>
        </w:r>
        <w:r>
          <w:rPr>
            <w:noProof/>
            <w:webHidden/>
          </w:rPr>
          <w:fldChar w:fldCharType="separate"/>
        </w:r>
        <w:r w:rsidR="00E33C0D">
          <w:rPr>
            <w:noProof/>
            <w:webHidden/>
          </w:rPr>
          <w:t>12</w:t>
        </w:r>
        <w:r>
          <w:rPr>
            <w:noProof/>
            <w:webHidden/>
          </w:rPr>
          <w:fldChar w:fldCharType="end"/>
        </w:r>
      </w:hyperlink>
    </w:p>
    <w:p w:rsidR="00E33C0D" w:rsidRDefault="0019085A">
      <w:pPr>
        <w:pStyle w:val="TOC3"/>
        <w:rPr>
          <w:rFonts w:ascii="Calibri" w:eastAsia="Times New Roman" w:hAnsi="Calibri"/>
          <w:noProof/>
          <w:lang w:eastAsia="en-AU"/>
        </w:rPr>
      </w:pPr>
      <w:hyperlink w:anchor="_Toc364416403" w:history="1">
        <w:r w:rsidR="00E33C0D" w:rsidRPr="002C7877">
          <w:rPr>
            <w:rStyle w:val="Hyperlink"/>
            <w:noProof/>
          </w:rPr>
          <w:t>Safety</w:t>
        </w:r>
        <w:r w:rsidR="00E33C0D">
          <w:rPr>
            <w:noProof/>
            <w:webHidden/>
          </w:rPr>
          <w:tab/>
        </w:r>
        <w:r>
          <w:rPr>
            <w:noProof/>
            <w:webHidden/>
          </w:rPr>
          <w:fldChar w:fldCharType="begin"/>
        </w:r>
        <w:r w:rsidR="00E33C0D">
          <w:rPr>
            <w:noProof/>
            <w:webHidden/>
          </w:rPr>
          <w:instrText xml:space="preserve"> PAGEREF _Toc364416403 \h </w:instrText>
        </w:r>
        <w:r>
          <w:rPr>
            <w:noProof/>
            <w:webHidden/>
          </w:rPr>
        </w:r>
        <w:r>
          <w:rPr>
            <w:noProof/>
            <w:webHidden/>
          </w:rPr>
          <w:fldChar w:fldCharType="separate"/>
        </w:r>
        <w:r w:rsidR="00E33C0D">
          <w:rPr>
            <w:noProof/>
            <w:webHidden/>
          </w:rPr>
          <w:t>13</w:t>
        </w:r>
        <w:r>
          <w:rPr>
            <w:noProof/>
            <w:webHidden/>
          </w:rPr>
          <w:fldChar w:fldCharType="end"/>
        </w:r>
      </w:hyperlink>
    </w:p>
    <w:p w:rsidR="00E33C0D" w:rsidRDefault="0019085A">
      <w:pPr>
        <w:pStyle w:val="TOC3"/>
        <w:rPr>
          <w:rFonts w:ascii="Calibri" w:eastAsia="Times New Roman" w:hAnsi="Calibri"/>
          <w:noProof/>
          <w:lang w:eastAsia="en-AU"/>
        </w:rPr>
      </w:pPr>
      <w:hyperlink w:anchor="_Toc364416404" w:history="1">
        <w:r w:rsidR="00E33C0D" w:rsidRPr="002C7877">
          <w:rPr>
            <w:rStyle w:val="Hyperlink"/>
            <w:noProof/>
          </w:rPr>
          <w:t>List of questions</w:t>
        </w:r>
        <w:r w:rsidR="00E33C0D">
          <w:rPr>
            <w:noProof/>
            <w:webHidden/>
          </w:rPr>
          <w:tab/>
        </w:r>
        <w:r>
          <w:rPr>
            <w:noProof/>
            <w:webHidden/>
          </w:rPr>
          <w:fldChar w:fldCharType="begin"/>
        </w:r>
        <w:r w:rsidR="00E33C0D">
          <w:rPr>
            <w:noProof/>
            <w:webHidden/>
          </w:rPr>
          <w:instrText xml:space="preserve"> PAGEREF _Toc364416404 \h </w:instrText>
        </w:r>
        <w:r>
          <w:rPr>
            <w:noProof/>
            <w:webHidden/>
          </w:rPr>
        </w:r>
        <w:r>
          <w:rPr>
            <w:noProof/>
            <w:webHidden/>
          </w:rPr>
          <w:fldChar w:fldCharType="separate"/>
        </w:r>
        <w:r w:rsidR="00E33C0D">
          <w:rPr>
            <w:noProof/>
            <w:webHidden/>
          </w:rPr>
          <w:t>13</w:t>
        </w:r>
        <w:r>
          <w:rPr>
            <w:noProof/>
            <w:webHidden/>
          </w:rPr>
          <w:fldChar w:fldCharType="end"/>
        </w:r>
      </w:hyperlink>
    </w:p>
    <w:p w:rsidR="00E33C0D" w:rsidRDefault="0019085A">
      <w:pPr>
        <w:pStyle w:val="TOC3"/>
        <w:rPr>
          <w:rFonts w:ascii="Calibri" w:eastAsia="Times New Roman" w:hAnsi="Calibri"/>
          <w:noProof/>
          <w:lang w:eastAsia="en-AU"/>
        </w:rPr>
      </w:pPr>
      <w:hyperlink w:anchor="_Toc364416405" w:history="1">
        <w:r w:rsidR="00E33C0D" w:rsidRPr="002C7877">
          <w:rPr>
            <w:rStyle w:val="Hyperlink"/>
            <w:noProof/>
          </w:rPr>
          <w:t>Clinical summary and conclusions</w:t>
        </w:r>
        <w:r w:rsidR="00E33C0D">
          <w:rPr>
            <w:noProof/>
            <w:webHidden/>
          </w:rPr>
          <w:tab/>
        </w:r>
        <w:r>
          <w:rPr>
            <w:noProof/>
            <w:webHidden/>
          </w:rPr>
          <w:fldChar w:fldCharType="begin"/>
        </w:r>
        <w:r w:rsidR="00E33C0D">
          <w:rPr>
            <w:noProof/>
            <w:webHidden/>
          </w:rPr>
          <w:instrText xml:space="preserve"> PAGEREF _Toc364416405 \h </w:instrText>
        </w:r>
        <w:r>
          <w:rPr>
            <w:noProof/>
            <w:webHidden/>
          </w:rPr>
        </w:r>
        <w:r>
          <w:rPr>
            <w:noProof/>
            <w:webHidden/>
          </w:rPr>
          <w:fldChar w:fldCharType="separate"/>
        </w:r>
        <w:r w:rsidR="00E33C0D">
          <w:rPr>
            <w:noProof/>
            <w:webHidden/>
          </w:rPr>
          <w:t>13</w:t>
        </w:r>
        <w:r>
          <w:rPr>
            <w:noProof/>
            <w:webHidden/>
          </w:rPr>
          <w:fldChar w:fldCharType="end"/>
        </w:r>
      </w:hyperlink>
    </w:p>
    <w:p w:rsidR="00E33C0D" w:rsidRDefault="0019085A">
      <w:pPr>
        <w:pStyle w:val="TOC2"/>
        <w:rPr>
          <w:rFonts w:ascii="Calibri" w:eastAsia="Times New Roman" w:hAnsi="Calibri"/>
          <w:b w:val="0"/>
          <w:noProof/>
          <w:sz w:val="22"/>
          <w:lang w:eastAsia="en-AU"/>
        </w:rPr>
      </w:pPr>
      <w:hyperlink w:anchor="_Toc364416406" w:history="1">
        <w:r w:rsidR="00E33C0D" w:rsidRPr="002C7877">
          <w:rPr>
            <w:rStyle w:val="Hyperlink"/>
            <w:noProof/>
          </w:rPr>
          <w:t>V. Pharmacovigilance findings</w:t>
        </w:r>
        <w:r w:rsidR="00E33C0D">
          <w:rPr>
            <w:noProof/>
            <w:webHidden/>
          </w:rPr>
          <w:tab/>
        </w:r>
        <w:r>
          <w:rPr>
            <w:noProof/>
            <w:webHidden/>
          </w:rPr>
          <w:fldChar w:fldCharType="begin"/>
        </w:r>
        <w:r w:rsidR="00E33C0D">
          <w:rPr>
            <w:noProof/>
            <w:webHidden/>
          </w:rPr>
          <w:instrText xml:space="preserve"> PAGEREF _Toc364416406 \h </w:instrText>
        </w:r>
        <w:r>
          <w:rPr>
            <w:noProof/>
            <w:webHidden/>
          </w:rPr>
        </w:r>
        <w:r>
          <w:rPr>
            <w:noProof/>
            <w:webHidden/>
          </w:rPr>
          <w:fldChar w:fldCharType="separate"/>
        </w:r>
        <w:r w:rsidR="00E33C0D">
          <w:rPr>
            <w:noProof/>
            <w:webHidden/>
          </w:rPr>
          <w:t>14</w:t>
        </w:r>
        <w:r>
          <w:rPr>
            <w:noProof/>
            <w:webHidden/>
          </w:rPr>
          <w:fldChar w:fldCharType="end"/>
        </w:r>
      </w:hyperlink>
    </w:p>
    <w:p w:rsidR="00E33C0D" w:rsidRDefault="0019085A">
      <w:pPr>
        <w:pStyle w:val="TOC3"/>
        <w:rPr>
          <w:rFonts w:ascii="Calibri" w:eastAsia="Times New Roman" w:hAnsi="Calibri"/>
          <w:noProof/>
          <w:lang w:eastAsia="en-AU"/>
        </w:rPr>
      </w:pPr>
      <w:hyperlink w:anchor="_Toc364416407" w:history="1">
        <w:r w:rsidR="00E33C0D" w:rsidRPr="002C7877">
          <w:rPr>
            <w:rStyle w:val="Hyperlink"/>
            <w:noProof/>
            <w:lang w:eastAsia="en-AU"/>
          </w:rPr>
          <w:t>Risk management plan</w:t>
        </w:r>
        <w:r w:rsidR="00E33C0D">
          <w:rPr>
            <w:noProof/>
            <w:webHidden/>
          </w:rPr>
          <w:tab/>
        </w:r>
        <w:r>
          <w:rPr>
            <w:noProof/>
            <w:webHidden/>
          </w:rPr>
          <w:fldChar w:fldCharType="begin"/>
        </w:r>
        <w:r w:rsidR="00E33C0D">
          <w:rPr>
            <w:noProof/>
            <w:webHidden/>
          </w:rPr>
          <w:instrText xml:space="preserve"> PAGEREF _Toc364416407 \h </w:instrText>
        </w:r>
        <w:r>
          <w:rPr>
            <w:noProof/>
            <w:webHidden/>
          </w:rPr>
        </w:r>
        <w:r>
          <w:rPr>
            <w:noProof/>
            <w:webHidden/>
          </w:rPr>
          <w:fldChar w:fldCharType="separate"/>
        </w:r>
        <w:r w:rsidR="00E33C0D">
          <w:rPr>
            <w:noProof/>
            <w:webHidden/>
          </w:rPr>
          <w:t>14</w:t>
        </w:r>
        <w:r>
          <w:rPr>
            <w:noProof/>
            <w:webHidden/>
          </w:rPr>
          <w:fldChar w:fldCharType="end"/>
        </w:r>
      </w:hyperlink>
    </w:p>
    <w:p w:rsidR="00E33C0D" w:rsidRDefault="0019085A">
      <w:pPr>
        <w:pStyle w:val="TOC2"/>
        <w:rPr>
          <w:rFonts w:ascii="Calibri" w:eastAsia="Times New Roman" w:hAnsi="Calibri"/>
          <w:b w:val="0"/>
          <w:noProof/>
          <w:sz w:val="22"/>
          <w:lang w:eastAsia="en-AU"/>
        </w:rPr>
      </w:pPr>
      <w:hyperlink w:anchor="_Toc364416408" w:history="1">
        <w:r w:rsidR="00E33C0D" w:rsidRPr="002C7877">
          <w:rPr>
            <w:rStyle w:val="Hyperlink"/>
            <w:noProof/>
          </w:rPr>
          <w:t>VI. Overall conclusion and risk/benefit assessment</w:t>
        </w:r>
        <w:r w:rsidR="00E33C0D">
          <w:rPr>
            <w:noProof/>
            <w:webHidden/>
          </w:rPr>
          <w:tab/>
        </w:r>
        <w:r>
          <w:rPr>
            <w:noProof/>
            <w:webHidden/>
          </w:rPr>
          <w:fldChar w:fldCharType="begin"/>
        </w:r>
        <w:r w:rsidR="00E33C0D">
          <w:rPr>
            <w:noProof/>
            <w:webHidden/>
          </w:rPr>
          <w:instrText xml:space="preserve"> PAGEREF _Toc364416408 \h </w:instrText>
        </w:r>
        <w:r>
          <w:rPr>
            <w:noProof/>
            <w:webHidden/>
          </w:rPr>
        </w:r>
        <w:r>
          <w:rPr>
            <w:noProof/>
            <w:webHidden/>
          </w:rPr>
          <w:fldChar w:fldCharType="separate"/>
        </w:r>
        <w:r w:rsidR="00E33C0D">
          <w:rPr>
            <w:noProof/>
            <w:webHidden/>
          </w:rPr>
          <w:t>19</w:t>
        </w:r>
        <w:r>
          <w:rPr>
            <w:noProof/>
            <w:webHidden/>
          </w:rPr>
          <w:fldChar w:fldCharType="end"/>
        </w:r>
      </w:hyperlink>
    </w:p>
    <w:p w:rsidR="00E33C0D" w:rsidRDefault="0019085A">
      <w:pPr>
        <w:pStyle w:val="TOC3"/>
        <w:rPr>
          <w:rFonts w:ascii="Calibri" w:eastAsia="Times New Roman" w:hAnsi="Calibri"/>
          <w:noProof/>
          <w:lang w:eastAsia="en-AU"/>
        </w:rPr>
      </w:pPr>
      <w:hyperlink w:anchor="_Toc364416409" w:history="1">
        <w:r w:rsidR="00E33C0D" w:rsidRPr="002C7877">
          <w:rPr>
            <w:rStyle w:val="Hyperlink"/>
            <w:noProof/>
          </w:rPr>
          <w:t>Quality</w:t>
        </w:r>
        <w:r w:rsidR="00E33C0D">
          <w:rPr>
            <w:noProof/>
            <w:webHidden/>
          </w:rPr>
          <w:tab/>
        </w:r>
        <w:r>
          <w:rPr>
            <w:noProof/>
            <w:webHidden/>
          </w:rPr>
          <w:fldChar w:fldCharType="begin"/>
        </w:r>
        <w:r w:rsidR="00E33C0D">
          <w:rPr>
            <w:noProof/>
            <w:webHidden/>
          </w:rPr>
          <w:instrText xml:space="preserve"> PAGEREF _Toc364416409 \h </w:instrText>
        </w:r>
        <w:r>
          <w:rPr>
            <w:noProof/>
            <w:webHidden/>
          </w:rPr>
        </w:r>
        <w:r>
          <w:rPr>
            <w:noProof/>
            <w:webHidden/>
          </w:rPr>
          <w:fldChar w:fldCharType="separate"/>
        </w:r>
        <w:r w:rsidR="00E33C0D">
          <w:rPr>
            <w:noProof/>
            <w:webHidden/>
          </w:rPr>
          <w:t>19</w:t>
        </w:r>
        <w:r>
          <w:rPr>
            <w:noProof/>
            <w:webHidden/>
          </w:rPr>
          <w:fldChar w:fldCharType="end"/>
        </w:r>
      </w:hyperlink>
    </w:p>
    <w:p w:rsidR="00E33C0D" w:rsidRDefault="0019085A">
      <w:pPr>
        <w:pStyle w:val="TOC3"/>
        <w:rPr>
          <w:rFonts w:ascii="Calibri" w:eastAsia="Times New Roman" w:hAnsi="Calibri"/>
          <w:noProof/>
          <w:lang w:eastAsia="en-AU"/>
        </w:rPr>
      </w:pPr>
      <w:hyperlink w:anchor="_Toc364416410" w:history="1">
        <w:r w:rsidR="00E33C0D" w:rsidRPr="002C7877">
          <w:rPr>
            <w:rStyle w:val="Hyperlink"/>
            <w:noProof/>
          </w:rPr>
          <w:t>Nonclinical</w:t>
        </w:r>
        <w:r w:rsidR="00E33C0D">
          <w:rPr>
            <w:noProof/>
            <w:webHidden/>
          </w:rPr>
          <w:tab/>
        </w:r>
        <w:r>
          <w:rPr>
            <w:noProof/>
            <w:webHidden/>
          </w:rPr>
          <w:fldChar w:fldCharType="begin"/>
        </w:r>
        <w:r w:rsidR="00E33C0D">
          <w:rPr>
            <w:noProof/>
            <w:webHidden/>
          </w:rPr>
          <w:instrText xml:space="preserve"> PAGEREF _Toc364416410 \h </w:instrText>
        </w:r>
        <w:r>
          <w:rPr>
            <w:noProof/>
            <w:webHidden/>
          </w:rPr>
        </w:r>
        <w:r>
          <w:rPr>
            <w:noProof/>
            <w:webHidden/>
          </w:rPr>
          <w:fldChar w:fldCharType="separate"/>
        </w:r>
        <w:r w:rsidR="00E33C0D">
          <w:rPr>
            <w:noProof/>
            <w:webHidden/>
          </w:rPr>
          <w:t>19</w:t>
        </w:r>
        <w:r>
          <w:rPr>
            <w:noProof/>
            <w:webHidden/>
          </w:rPr>
          <w:fldChar w:fldCharType="end"/>
        </w:r>
      </w:hyperlink>
    </w:p>
    <w:p w:rsidR="00E33C0D" w:rsidRDefault="0019085A">
      <w:pPr>
        <w:pStyle w:val="TOC3"/>
        <w:rPr>
          <w:rFonts w:ascii="Calibri" w:eastAsia="Times New Roman" w:hAnsi="Calibri"/>
          <w:noProof/>
          <w:lang w:eastAsia="en-AU"/>
        </w:rPr>
      </w:pPr>
      <w:hyperlink w:anchor="_Toc364416411" w:history="1">
        <w:r w:rsidR="00E33C0D" w:rsidRPr="002C7877">
          <w:rPr>
            <w:rStyle w:val="Hyperlink"/>
            <w:noProof/>
          </w:rPr>
          <w:t>Clinical</w:t>
        </w:r>
        <w:r w:rsidR="00E33C0D">
          <w:rPr>
            <w:noProof/>
            <w:webHidden/>
          </w:rPr>
          <w:tab/>
        </w:r>
        <w:r>
          <w:rPr>
            <w:noProof/>
            <w:webHidden/>
          </w:rPr>
          <w:fldChar w:fldCharType="begin"/>
        </w:r>
        <w:r w:rsidR="00E33C0D">
          <w:rPr>
            <w:noProof/>
            <w:webHidden/>
          </w:rPr>
          <w:instrText xml:space="preserve"> PAGEREF _Toc364416411 \h </w:instrText>
        </w:r>
        <w:r>
          <w:rPr>
            <w:noProof/>
            <w:webHidden/>
          </w:rPr>
        </w:r>
        <w:r>
          <w:rPr>
            <w:noProof/>
            <w:webHidden/>
          </w:rPr>
          <w:fldChar w:fldCharType="separate"/>
        </w:r>
        <w:r w:rsidR="00E33C0D">
          <w:rPr>
            <w:noProof/>
            <w:webHidden/>
          </w:rPr>
          <w:t>19</w:t>
        </w:r>
        <w:r>
          <w:rPr>
            <w:noProof/>
            <w:webHidden/>
          </w:rPr>
          <w:fldChar w:fldCharType="end"/>
        </w:r>
      </w:hyperlink>
    </w:p>
    <w:p w:rsidR="00E33C0D" w:rsidRDefault="0019085A">
      <w:pPr>
        <w:pStyle w:val="TOC3"/>
        <w:rPr>
          <w:rFonts w:ascii="Calibri" w:eastAsia="Times New Roman" w:hAnsi="Calibri"/>
          <w:noProof/>
          <w:lang w:eastAsia="en-AU"/>
        </w:rPr>
      </w:pPr>
      <w:hyperlink w:anchor="_Toc364416412" w:history="1">
        <w:r w:rsidR="00E33C0D" w:rsidRPr="002C7877">
          <w:rPr>
            <w:rStyle w:val="Hyperlink"/>
            <w:noProof/>
            <w:lang w:eastAsia="en-AU"/>
          </w:rPr>
          <w:t>Risk management plan</w:t>
        </w:r>
        <w:r w:rsidR="00E33C0D">
          <w:rPr>
            <w:noProof/>
            <w:webHidden/>
          </w:rPr>
          <w:tab/>
        </w:r>
        <w:r>
          <w:rPr>
            <w:noProof/>
            <w:webHidden/>
          </w:rPr>
          <w:fldChar w:fldCharType="begin"/>
        </w:r>
        <w:r w:rsidR="00E33C0D">
          <w:rPr>
            <w:noProof/>
            <w:webHidden/>
          </w:rPr>
          <w:instrText xml:space="preserve"> PAGEREF _Toc364416412 \h </w:instrText>
        </w:r>
        <w:r>
          <w:rPr>
            <w:noProof/>
            <w:webHidden/>
          </w:rPr>
        </w:r>
        <w:r>
          <w:rPr>
            <w:noProof/>
            <w:webHidden/>
          </w:rPr>
          <w:fldChar w:fldCharType="separate"/>
        </w:r>
        <w:r w:rsidR="00E33C0D">
          <w:rPr>
            <w:noProof/>
            <w:webHidden/>
          </w:rPr>
          <w:t>23</w:t>
        </w:r>
        <w:r>
          <w:rPr>
            <w:noProof/>
            <w:webHidden/>
          </w:rPr>
          <w:fldChar w:fldCharType="end"/>
        </w:r>
      </w:hyperlink>
    </w:p>
    <w:p w:rsidR="00E33C0D" w:rsidRDefault="0019085A">
      <w:pPr>
        <w:pStyle w:val="TOC3"/>
        <w:rPr>
          <w:rFonts w:ascii="Calibri" w:eastAsia="Times New Roman" w:hAnsi="Calibri"/>
          <w:noProof/>
          <w:lang w:eastAsia="en-AU"/>
        </w:rPr>
      </w:pPr>
      <w:hyperlink w:anchor="_Toc364416413" w:history="1">
        <w:r w:rsidR="00E33C0D" w:rsidRPr="002C7877">
          <w:rPr>
            <w:rStyle w:val="Hyperlink"/>
            <w:noProof/>
          </w:rPr>
          <w:t>Risk-benefit analysis</w:t>
        </w:r>
        <w:r w:rsidR="00E33C0D">
          <w:rPr>
            <w:noProof/>
            <w:webHidden/>
          </w:rPr>
          <w:tab/>
        </w:r>
        <w:r>
          <w:rPr>
            <w:noProof/>
            <w:webHidden/>
          </w:rPr>
          <w:fldChar w:fldCharType="begin"/>
        </w:r>
        <w:r w:rsidR="00E33C0D">
          <w:rPr>
            <w:noProof/>
            <w:webHidden/>
          </w:rPr>
          <w:instrText xml:space="preserve"> PAGEREF _Toc364416413 \h </w:instrText>
        </w:r>
        <w:r>
          <w:rPr>
            <w:noProof/>
            <w:webHidden/>
          </w:rPr>
        </w:r>
        <w:r>
          <w:rPr>
            <w:noProof/>
            <w:webHidden/>
          </w:rPr>
          <w:fldChar w:fldCharType="separate"/>
        </w:r>
        <w:r w:rsidR="00E33C0D">
          <w:rPr>
            <w:noProof/>
            <w:webHidden/>
          </w:rPr>
          <w:t>23</w:t>
        </w:r>
        <w:r>
          <w:rPr>
            <w:noProof/>
            <w:webHidden/>
          </w:rPr>
          <w:fldChar w:fldCharType="end"/>
        </w:r>
      </w:hyperlink>
    </w:p>
    <w:p w:rsidR="00E33C0D" w:rsidRDefault="0019085A">
      <w:pPr>
        <w:pStyle w:val="TOC3"/>
        <w:rPr>
          <w:rFonts w:ascii="Calibri" w:eastAsia="Times New Roman" w:hAnsi="Calibri"/>
          <w:noProof/>
          <w:lang w:eastAsia="en-AU"/>
        </w:rPr>
      </w:pPr>
      <w:hyperlink w:anchor="_Toc364416414" w:history="1">
        <w:r w:rsidR="00E33C0D" w:rsidRPr="002C7877">
          <w:rPr>
            <w:rStyle w:val="Hyperlink"/>
            <w:noProof/>
          </w:rPr>
          <w:t>Outcome</w:t>
        </w:r>
        <w:r w:rsidR="00E33C0D">
          <w:rPr>
            <w:noProof/>
            <w:webHidden/>
          </w:rPr>
          <w:tab/>
        </w:r>
        <w:r>
          <w:rPr>
            <w:noProof/>
            <w:webHidden/>
          </w:rPr>
          <w:fldChar w:fldCharType="begin"/>
        </w:r>
        <w:r w:rsidR="00E33C0D">
          <w:rPr>
            <w:noProof/>
            <w:webHidden/>
          </w:rPr>
          <w:instrText xml:space="preserve"> PAGEREF _Toc364416414 \h </w:instrText>
        </w:r>
        <w:r>
          <w:rPr>
            <w:noProof/>
            <w:webHidden/>
          </w:rPr>
        </w:r>
        <w:r>
          <w:rPr>
            <w:noProof/>
            <w:webHidden/>
          </w:rPr>
          <w:fldChar w:fldCharType="separate"/>
        </w:r>
        <w:r w:rsidR="00E33C0D">
          <w:rPr>
            <w:noProof/>
            <w:webHidden/>
          </w:rPr>
          <w:t>29</w:t>
        </w:r>
        <w:r>
          <w:rPr>
            <w:noProof/>
            <w:webHidden/>
          </w:rPr>
          <w:fldChar w:fldCharType="end"/>
        </w:r>
      </w:hyperlink>
    </w:p>
    <w:p w:rsidR="00E33C0D" w:rsidRDefault="0019085A">
      <w:pPr>
        <w:pStyle w:val="TOC2"/>
        <w:rPr>
          <w:rFonts w:ascii="Calibri" w:eastAsia="Times New Roman" w:hAnsi="Calibri"/>
          <w:b w:val="0"/>
          <w:noProof/>
          <w:sz w:val="22"/>
          <w:lang w:eastAsia="en-AU"/>
        </w:rPr>
      </w:pPr>
      <w:hyperlink w:anchor="_Toc364416415" w:history="1">
        <w:r w:rsidR="00E33C0D" w:rsidRPr="002C7877">
          <w:rPr>
            <w:rStyle w:val="Hyperlink"/>
            <w:noProof/>
          </w:rPr>
          <w:t>Attachment 1. Product Information</w:t>
        </w:r>
        <w:r w:rsidR="00E33C0D">
          <w:rPr>
            <w:noProof/>
            <w:webHidden/>
          </w:rPr>
          <w:tab/>
        </w:r>
        <w:r>
          <w:rPr>
            <w:noProof/>
            <w:webHidden/>
          </w:rPr>
          <w:fldChar w:fldCharType="begin"/>
        </w:r>
        <w:r w:rsidR="00E33C0D">
          <w:rPr>
            <w:noProof/>
            <w:webHidden/>
          </w:rPr>
          <w:instrText xml:space="preserve"> PAGEREF _Toc364416415 \h </w:instrText>
        </w:r>
        <w:r>
          <w:rPr>
            <w:noProof/>
            <w:webHidden/>
          </w:rPr>
        </w:r>
        <w:r>
          <w:rPr>
            <w:noProof/>
            <w:webHidden/>
          </w:rPr>
          <w:fldChar w:fldCharType="separate"/>
        </w:r>
        <w:r w:rsidR="00E33C0D">
          <w:rPr>
            <w:noProof/>
            <w:webHidden/>
          </w:rPr>
          <w:t>30</w:t>
        </w:r>
        <w:r>
          <w:rPr>
            <w:noProof/>
            <w:webHidden/>
          </w:rPr>
          <w:fldChar w:fldCharType="end"/>
        </w:r>
      </w:hyperlink>
    </w:p>
    <w:p w:rsidR="00E33C0D" w:rsidRDefault="0019085A">
      <w:pPr>
        <w:pStyle w:val="TOC2"/>
        <w:rPr>
          <w:rFonts w:ascii="Calibri" w:eastAsia="Times New Roman" w:hAnsi="Calibri"/>
          <w:b w:val="0"/>
          <w:noProof/>
          <w:sz w:val="22"/>
          <w:lang w:eastAsia="en-AU"/>
        </w:rPr>
      </w:pPr>
      <w:hyperlink w:anchor="_Toc364416416" w:history="1">
        <w:r w:rsidR="00E33C0D" w:rsidRPr="002C7877">
          <w:rPr>
            <w:rStyle w:val="Hyperlink"/>
            <w:noProof/>
            <w:lang w:eastAsia="en-AU"/>
          </w:rPr>
          <w:t>Attachment 2. Extract from the Clinical Evaluation Report</w:t>
        </w:r>
        <w:r w:rsidR="00E33C0D">
          <w:rPr>
            <w:noProof/>
            <w:webHidden/>
          </w:rPr>
          <w:tab/>
        </w:r>
        <w:r>
          <w:rPr>
            <w:noProof/>
            <w:webHidden/>
          </w:rPr>
          <w:fldChar w:fldCharType="begin"/>
        </w:r>
        <w:r w:rsidR="00E33C0D">
          <w:rPr>
            <w:noProof/>
            <w:webHidden/>
          </w:rPr>
          <w:instrText xml:space="preserve"> PAGEREF _Toc364416416 \h </w:instrText>
        </w:r>
        <w:r>
          <w:rPr>
            <w:noProof/>
            <w:webHidden/>
          </w:rPr>
        </w:r>
        <w:r>
          <w:rPr>
            <w:noProof/>
            <w:webHidden/>
          </w:rPr>
          <w:fldChar w:fldCharType="separate"/>
        </w:r>
        <w:r w:rsidR="00E33C0D">
          <w:rPr>
            <w:noProof/>
            <w:webHidden/>
          </w:rPr>
          <w:t>30</w:t>
        </w:r>
        <w:r>
          <w:rPr>
            <w:noProof/>
            <w:webHidden/>
          </w:rPr>
          <w:fldChar w:fldCharType="end"/>
        </w:r>
      </w:hyperlink>
    </w:p>
    <w:p w:rsidR="008E7846" w:rsidRDefault="0019085A" w:rsidP="00556A22">
      <w:pPr>
        <w:pStyle w:val="Heading2"/>
      </w:pPr>
      <w:r>
        <w:lastRenderedPageBreak/>
        <w:fldChar w:fldCharType="end"/>
      </w:r>
      <w:bookmarkStart w:id="2" w:name="_Toc314842482"/>
      <w:bookmarkStart w:id="3" w:name="_Toc364416382"/>
      <w:r w:rsidR="00F53C07">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64416383"/>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p>
        </w:tc>
        <w:tc>
          <w:tcPr>
            <w:tcW w:w="6590" w:type="dxa"/>
          </w:tcPr>
          <w:p w:rsidR="008E7846" w:rsidRPr="003D1E62" w:rsidRDefault="00175776" w:rsidP="003D1E62">
            <w:r w:rsidRPr="00175776">
              <w:t>Major variation (route of administration)</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9D7199">
            <w:r w:rsidRPr="003D1E62">
              <w:t>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9D7199" w:rsidP="003D1E62">
            <w:r>
              <w:t>11 April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8E7846" w:rsidP="00E45619">
            <w:pPr>
              <w:rPr>
                <w:i/>
              </w:rPr>
            </w:pPr>
            <w:r w:rsidRPr="00487162">
              <w:rPr>
                <w:i/>
              </w:rPr>
              <w:t xml:space="preserve">Active ingredient(s): </w:t>
            </w:r>
          </w:p>
        </w:tc>
        <w:tc>
          <w:tcPr>
            <w:tcW w:w="6307" w:type="dxa"/>
          </w:tcPr>
          <w:p w:rsidR="008E7846" w:rsidRPr="00487162" w:rsidRDefault="009D7199" w:rsidP="00E45619">
            <w:r>
              <w:t>A</w:t>
            </w:r>
            <w:r w:rsidRPr="009D7199">
              <w:t>zacitidine</w:t>
            </w:r>
          </w:p>
        </w:tc>
      </w:tr>
      <w:tr w:rsidR="008E7846" w:rsidRPr="00487162" w:rsidTr="00BF1190">
        <w:tc>
          <w:tcPr>
            <w:tcW w:w="2907" w:type="dxa"/>
          </w:tcPr>
          <w:p w:rsidR="008E7846" w:rsidRPr="00487162" w:rsidRDefault="008E7846" w:rsidP="00E45619">
            <w:pPr>
              <w:rPr>
                <w:i/>
              </w:rPr>
            </w:pPr>
            <w:r w:rsidRPr="00487162">
              <w:rPr>
                <w:i/>
              </w:rPr>
              <w:t xml:space="preserve">Product Name(s): </w:t>
            </w:r>
          </w:p>
        </w:tc>
        <w:tc>
          <w:tcPr>
            <w:tcW w:w="6307" w:type="dxa"/>
          </w:tcPr>
          <w:p w:rsidR="008E7846" w:rsidRPr="00487162" w:rsidRDefault="009D7199" w:rsidP="00E45619">
            <w:r>
              <w:t>Vidaza</w:t>
            </w:r>
          </w:p>
        </w:tc>
      </w:tr>
      <w:tr w:rsidR="008E7846" w:rsidRPr="00487162" w:rsidTr="00BF1190">
        <w:tc>
          <w:tcPr>
            <w:tcW w:w="2907" w:type="dxa"/>
          </w:tcPr>
          <w:p w:rsidR="008E7846" w:rsidRPr="00487162" w:rsidRDefault="008E7846" w:rsidP="00E45619">
            <w:pPr>
              <w:rPr>
                <w:i/>
              </w:rPr>
            </w:pPr>
            <w:r w:rsidRPr="00487162">
              <w:rPr>
                <w:i/>
              </w:rPr>
              <w:t>Sponsor’s Name and Address:</w:t>
            </w:r>
          </w:p>
        </w:tc>
        <w:tc>
          <w:tcPr>
            <w:tcW w:w="6307" w:type="dxa"/>
          </w:tcPr>
          <w:p w:rsidR="008E7846" w:rsidRDefault="0043621D" w:rsidP="00E45619">
            <w:r>
              <w:t>Celgene Pty Ltd</w:t>
            </w:r>
          </w:p>
          <w:p w:rsidR="0043621D" w:rsidRDefault="00EA3923" w:rsidP="00E45619">
            <w:r>
              <w:t>Level 7, 607 St Kilda Road</w:t>
            </w:r>
          </w:p>
          <w:p w:rsidR="00EA3923" w:rsidRPr="00487162" w:rsidRDefault="00EA3923" w:rsidP="00E45619">
            <w:r>
              <w:t>Melbourne VIC 3004</w:t>
            </w:r>
          </w:p>
        </w:tc>
      </w:tr>
      <w:tr w:rsidR="008E7846" w:rsidRPr="00487162" w:rsidTr="00BF1190">
        <w:tc>
          <w:tcPr>
            <w:tcW w:w="2907" w:type="dxa"/>
          </w:tcPr>
          <w:p w:rsidR="008E7846" w:rsidRPr="00487162" w:rsidRDefault="008E7846" w:rsidP="00E45619">
            <w:pPr>
              <w:rPr>
                <w:i/>
              </w:rPr>
            </w:pPr>
            <w:r w:rsidRPr="00487162">
              <w:rPr>
                <w:i/>
              </w:rPr>
              <w:t xml:space="preserve">Dose form(s): </w:t>
            </w:r>
          </w:p>
        </w:tc>
        <w:tc>
          <w:tcPr>
            <w:tcW w:w="6307" w:type="dxa"/>
          </w:tcPr>
          <w:p w:rsidR="008E7846" w:rsidRPr="00487162" w:rsidRDefault="00D61D7D" w:rsidP="00E45619">
            <w:r>
              <w:t>Powder for injection</w:t>
            </w:r>
          </w:p>
        </w:tc>
      </w:tr>
      <w:tr w:rsidR="008E7846" w:rsidRPr="00487162" w:rsidTr="00BF1190">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D61D7D" w:rsidP="00E45619">
            <w:r>
              <w:t>100 mg</w:t>
            </w:r>
          </w:p>
        </w:tc>
      </w:tr>
      <w:tr w:rsidR="008E7846" w:rsidRPr="00487162" w:rsidTr="00BF1190">
        <w:tc>
          <w:tcPr>
            <w:tcW w:w="2907" w:type="dxa"/>
          </w:tcPr>
          <w:p w:rsidR="008E7846" w:rsidRPr="00487162" w:rsidRDefault="008E7846" w:rsidP="00E45619">
            <w:pPr>
              <w:rPr>
                <w:i/>
              </w:rPr>
            </w:pPr>
            <w:r w:rsidRPr="00487162">
              <w:rPr>
                <w:i/>
              </w:rPr>
              <w:t>Approved Therapeutic use:</w:t>
            </w:r>
          </w:p>
        </w:tc>
        <w:tc>
          <w:tcPr>
            <w:tcW w:w="6307" w:type="dxa"/>
          </w:tcPr>
          <w:p w:rsidR="00420A26" w:rsidRPr="00420A26" w:rsidRDefault="00420A26" w:rsidP="00420A26">
            <w:r w:rsidRPr="00420A26">
              <w:t>Vidaza is indicated for the treatment of patients with:</w:t>
            </w:r>
          </w:p>
          <w:p w:rsidR="00420A26" w:rsidRPr="00420A26" w:rsidRDefault="00420A26" w:rsidP="00420A26">
            <w:pPr>
              <w:pStyle w:val="ListBullet"/>
            </w:pPr>
            <w:r w:rsidRPr="00420A26">
              <w:t xml:space="preserve">Intermediate-2 and High-risk </w:t>
            </w:r>
            <w:proofErr w:type="spellStart"/>
            <w:r w:rsidRPr="00420A26">
              <w:t>Myelodysplastic</w:t>
            </w:r>
            <w:proofErr w:type="spellEnd"/>
            <w:r w:rsidRPr="00420A26">
              <w:t xml:space="preserve"> Syndromes (MDS) according to the International Prognostic Scoring System (IPSS),</w:t>
            </w:r>
          </w:p>
          <w:p w:rsidR="00420A26" w:rsidRPr="00420A26" w:rsidRDefault="00420A26" w:rsidP="00420A26">
            <w:pPr>
              <w:pStyle w:val="ListBullet"/>
            </w:pPr>
            <w:r w:rsidRPr="00420A26">
              <w:t xml:space="preserve">Chronic </w:t>
            </w:r>
            <w:proofErr w:type="spellStart"/>
            <w:r w:rsidRPr="00420A26">
              <w:t>Myelomonocytic</w:t>
            </w:r>
            <w:proofErr w:type="spellEnd"/>
            <w:r w:rsidRPr="00420A26">
              <w:t xml:space="preserve"> </w:t>
            </w:r>
            <w:proofErr w:type="spellStart"/>
            <w:r w:rsidRPr="00420A26">
              <w:t>Leukemia</w:t>
            </w:r>
            <w:proofErr w:type="spellEnd"/>
            <w:r w:rsidRPr="00420A26">
              <w:t xml:space="preserve"> (</w:t>
            </w:r>
            <w:proofErr w:type="spellStart"/>
            <w:r w:rsidRPr="00420A26">
              <w:t>CMMoL</w:t>
            </w:r>
            <w:proofErr w:type="spellEnd"/>
            <w:r w:rsidRPr="00420A26">
              <w:t xml:space="preserve"> (10%-29% marrow blasts without </w:t>
            </w:r>
            <w:proofErr w:type="spellStart"/>
            <w:r w:rsidRPr="00420A26">
              <w:t>Myeloproliferative</w:t>
            </w:r>
            <w:proofErr w:type="spellEnd"/>
            <w:r w:rsidRPr="00420A26">
              <w:t xml:space="preserve"> Disorder)), </w:t>
            </w:r>
          </w:p>
          <w:p w:rsidR="00420A26" w:rsidRPr="00420A26" w:rsidRDefault="00420A26" w:rsidP="00420A26">
            <w:pPr>
              <w:pStyle w:val="ListBullet"/>
            </w:pPr>
            <w:r w:rsidRPr="00420A26">
              <w:t xml:space="preserve">Acute Myeloid </w:t>
            </w:r>
            <w:proofErr w:type="spellStart"/>
            <w:r w:rsidRPr="00420A26">
              <w:t>Leukemia</w:t>
            </w:r>
            <w:proofErr w:type="spellEnd"/>
            <w:r w:rsidRPr="00420A26">
              <w:t xml:space="preserve"> (AML) with 20-30% blasts and multi-lineage dysplasia, according to World Health Organisation Classification (WHO), </w:t>
            </w:r>
          </w:p>
          <w:p w:rsidR="008E7846" w:rsidRPr="00487162" w:rsidRDefault="00420A26" w:rsidP="00420A26">
            <w:pPr>
              <w:rPr>
                <w:rFonts w:eastAsia="MS Mincho"/>
                <w:lang w:eastAsia="ja-JP"/>
              </w:rPr>
            </w:pPr>
            <w:r w:rsidRPr="00420A26">
              <w:t xml:space="preserve"> in whom </w:t>
            </w:r>
            <w:proofErr w:type="spellStart"/>
            <w:r w:rsidRPr="00420A26">
              <w:t>allogenic</w:t>
            </w:r>
            <w:proofErr w:type="spellEnd"/>
            <w:r w:rsidRPr="00420A26">
              <w:t xml:space="preserve"> stem cell transplantation is not indicated.</w:t>
            </w:r>
          </w:p>
        </w:tc>
      </w:tr>
      <w:tr w:rsidR="008E7846" w:rsidRPr="00487162" w:rsidTr="00BF1190">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35775F" w:rsidP="00E45619">
            <w:r>
              <w:t>Intravenous (IV)</w:t>
            </w:r>
          </w:p>
        </w:tc>
      </w:tr>
      <w:tr w:rsidR="008E7846" w:rsidRPr="00487162" w:rsidTr="00BF1190">
        <w:tc>
          <w:tcPr>
            <w:tcW w:w="2907" w:type="dxa"/>
          </w:tcPr>
          <w:p w:rsidR="008E7846" w:rsidRPr="00487162" w:rsidRDefault="008E7846" w:rsidP="00E45619">
            <w:pPr>
              <w:rPr>
                <w:i/>
              </w:rPr>
            </w:pPr>
            <w:r w:rsidRPr="00487162">
              <w:rPr>
                <w:i/>
              </w:rPr>
              <w:t>ARTG Number (s)</w:t>
            </w:r>
          </w:p>
        </w:tc>
        <w:tc>
          <w:tcPr>
            <w:tcW w:w="6307" w:type="dxa"/>
          </w:tcPr>
          <w:p w:rsidR="008E7846" w:rsidRPr="00487162" w:rsidRDefault="00373D9E" w:rsidP="00373D9E">
            <w:r>
              <w:t>153080</w:t>
            </w:r>
          </w:p>
        </w:tc>
      </w:tr>
    </w:tbl>
    <w:p w:rsidR="008E7846" w:rsidRDefault="008E7846" w:rsidP="008E7846">
      <w:pPr>
        <w:pStyle w:val="Heading3"/>
      </w:pPr>
      <w:bookmarkStart w:id="7" w:name="_Toc247691503"/>
      <w:bookmarkStart w:id="8" w:name="_Toc314842484"/>
      <w:bookmarkStart w:id="9" w:name="_Toc364416384"/>
      <w:r>
        <w:t>Product background</w:t>
      </w:r>
      <w:bookmarkEnd w:id="7"/>
      <w:bookmarkEnd w:id="8"/>
      <w:bookmarkEnd w:id="9"/>
    </w:p>
    <w:p w:rsidR="00654BC0" w:rsidRPr="00654BC0" w:rsidRDefault="006B1F84" w:rsidP="00654BC0">
      <w:bookmarkStart w:id="10" w:name="_Toc314842485"/>
      <w:bookmarkStart w:id="11" w:name="_Toc247691504"/>
      <w:r w:rsidRPr="00E74882">
        <w:t xml:space="preserve">This AusPAR describes an application by the sponsor, </w:t>
      </w:r>
      <w:proofErr w:type="spellStart"/>
      <w:r w:rsidRPr="00E74882">
        <w:t>Celgene</w:t>
      </w:r>
      <w:proofErr w:type="spellEnd"/>
      <w:r w:rsidRPr="00E74882">
        <w:t xml:space="preserve"> Pty Ltd, to extend the </w:t>
      </w:r>
      <w:r w:rsidR="00F8454F" w:rsidRPr="00E74882">
        <w:t xml:space="preserve">route of administration for azacitidine </w:t>
      </w:r>
      <w:r w:rsidRPr="00E74882">
        <w:t>(</w:t>
      </w:r>
      <w:r w:rsidR="00F8454F" w:rsidRPr="00E74882">
        <w:t>Vidaza</w:t>
      </w:r>
      <w:r w:rsidR="00E6767B">
        <w:t>)</w:t>
      </w:r>
      <w:r w:rsidRPr="00E74882">
        <w:t xml:space="preserve"> </w:t>
      </w:r>
      <w:r w:rsidR="00F8454F" w:rsidRPr="00E74882">
        <w:t>by adding IV infusion as an alternative to the approved subcutaneous (SC) route of administration.</w:t>
      </w:r>
      <w:r w:rsidR="00654BC0">
        <w:t xml:space="preserve"> </w:t>
      </w:r>
      <w:r w:rsidR="00654BC0" w:rsidRPr="00CC685F">
        <w:rPr>
          <w:szCs w:val="24"/>
        </w:rPr>
        <w:t xml:space="preserve">It is proposed that the daily dose be infused over a period of </w:t>
      </w:r>
      <w:r w:rsidR="00654BC0" w:rsidRPr="00654BC0">
        <w:rPr>
          <w:szCs w:val="24"/>
        </w:rPr>
        <w:t xml:space="preserve">10-40 </w:t>
      </w:r>
      <w:r w:rsidR="007C0CF3">
        <w:rPr>
          <w:szCs w:val="24"/>
        </w:rPr>
        <w:t>min</w:t>
      </w:r>
      <w:r w:rsidR="00654BC0" w:rsidRPr="00654BC0">
        <w:rPr>
          <w:szCs w:val="24"/>
        </w:rPr>
        <w:t>.</w:t>
      </w:r>
    </w:p>
    <w:p w:rsidR="00C74940" w:rsidRPr="00C74940" w:rsidRDefault="00C74940" w:rsidP="00C74940">
      <w:r>
        <w:t>Azacitidine</w:t>
      </w:r>
      <w:r w:rsidRPr="00C74940">
        <w:t xml:space="preserve"> is an analogue of </w:t>
      </w:r>
      <w:proofErr w:type="spellStart"/>
      <w:r w:rsidRPr="00C74940">
        <w:t>cytidine</w:t>
      </w:r>
      <w:proofErr w:type="spellEnd"/>
      <w:r>
        <w:t xml:space="preserve"> and an anti </w:t>
      </w:r>
      <w:proofErr w:type="spellStart"/>
      <w:r w:rsidRPr="00C74940">
        <w:t>neoplastic</w:t>
      </w:r>
      <w:proofErr w:type="spellEnd"/>
      <w:r w:rsidRPr="00C74940">
        <w:t xml:space="preserve"> agent</w:t>
      </w:r>
      <w:r>
        <w:t xml:space="preserve">. </w:t>
      </w:r>
      <w:r w:rsidRPr="00E74882">
        <w:t>Vidaza</w:t>
      </w:r>
      <w:r w:rsidRPr="00C74940">
        <w:t xml:space="preserve"> is presented in a vial as 100 mg azacitidine powder, requiring reconstitution</w:t>
      </w:r>
      <w:r w:rsidR="005C51AF">
        <w:t xml:space="preserve">. Vidaza </w:t>
      </w:r>
      <w:r w:rsidRPr="00C74940">
        <w:t>has the following indications:</w:t>
      </w:r>
    </w:p>
    <w:p w:rsidR="00C74940" w:rsidRPr="005C51AF" w:rsidRDefault="00C74940" w:rsidP="00556A22">
      <w:pPr>
        <w:keepNext/>
        <w:ind w:left="720"/>
        <w:rPr>
          <w:i/>
        </w:rPr>
      </w:pPr>
      <w:r w:rsidRPr="005C51AF">
        <w:rPr>
          <w:i/>
        </w:rPr>
        <w:lastRenderedPageBreak/>
        <w:t>Treatment of patients with:</w:t>
      </w:r>
    </w:p>
    <w:p w:rsidR="00C74940" w:rsidRPr="005C51AF" w:rsidRDefault="00C74940" w:rsidP="005C51AF">
      <w:pPr>
        <w:pStyle w:val="ListBullet3"/>
        <w:rPr>
          <w:i/>
        </w:rPr>
      </w:pPr>
      <w:r w:rsidRPr="005C51AF">
        <w:rPr>
          <w:i/>
        </w:rPr>
        <w:t xml:space="preserve">Intermediate-2 and High-risk </w:t>
      </w:r>
      <w:proofErr w:type="spellStart"/>
      <w:r w:rsidRPr="005C51AF">
        <w:rPr>
          <w:i/>
        </w:rPr>
        <w:t>Myelodysplastic</w:t>
      </w:r>
      <w:proofErr w:type="spellEnd"/>
      <w:r w:rsidRPr="005C51AF">
        <w:rPr>
          <w:i/>
        </w:rPr>
        <w:t xml:space="preserve"> Syndromes (MDS) according to the International Prognostic Scoring System (IPSS),</w:t>
      </w:r>
    </w:p>
    <w:p w:rsidR="00C74940" w:rsidRPr="005C51AF" w:rsidRDefault="00C74940" w:rsidP="005C51AF">
      <w:pPr>
        <w:pStyle w:val="ListBullet3"/>
        <w:rPr>
          <w:i/>
        </w:rPr>
      </w:pPr>
      <w:r w:rsidRPr="005C51AF">
        <w:rPr>
          <w:i/>
        </w:rPr>
        <w:t xml:space="preserve">Chronic </w:t>
      </w:r>
      <w:proofErr w:type="spellStart"/>
      <w:r w:rsidR="005C51AF" w:rsidRPr="005C51AF">
        <w:rPr>
          <w:i/>
        </w:rPr>
        <w:t>Myelomonocytic</w:t>
      </w:r>
      <w:proofErr w:type="spellEnd"/>
      <w:r w:rsidR="005C51AF" w:rsidRPr="005C51AF">
        <w:rPr>
          <w:i/>
        </w:rPr>
        <w:t xml:space="preserve"> </w:t>
      </w:r>
      <w:proofErr w:type="spellStart"/>
      <w:r w:rsidR="005C51AF" w:rsidRPr="005C51AF">
        <w:rPr>
          <w:i/>
        </w:rPr>
        <w:t>Leukemia</w:t>
      </w:r>
      <w:proofErr w:type="spellEnd"/>
      <w:r w:rsidR="005C51AF" w:rsidRPr="005C51AF">
        <w:rPr>
          <w:i/>
        </w:rPr>
        <w:t xml:space="preserve"> (</w:t>
      </w:r>
      <w:proofErr w:type="spellStart"/>
      <w:r w:rsidR="005C51AF" w:rsidRPr="005C51AF">
        <w:rPr>
          <w:i/>
        </w:rPr>
        <w:t>CMMoL</w:t>
      </w:r>
      <w:proofErr w:type="spellEnd"/>
      <w:r w:rsidR="005C51AF" w:rsidRPr="005C51AF">
        <w:rPr>
          <w:i/>
        </w:rPr>
        <w:t xml:space="preserve"> [</w:t>
      </w:r>
      <w:r w:rsidRPr="005C51AF">
        <w:rPr>
          <w:i/>
        </w:rPr>
        <w:t>10%-29% marrow blasts without</w:t>
      </w:r>
      <w:r w:rsidR="005C51AF" w:rsidRPr="005C51AF">
        <w:rPr>
          <w:i/>
        </w:rPr>
        <w:t xml:space="preserve"> </w:t>
      </w:r>
      <w:proofErr w:type="spellStart"/>
      <w:r w:rsidR="005C51AF" w:rsidRPr="005C51AF">
        <w:rPr>
          <w:i/>
        </w:rPr>
        <w:t>Myeloproliferative</w:t>
      </w:r>
      <w:proofErr w:type="spellEnd"/>
      <w:r w:rsidR="005C51AF" w:rsidRPr="005C51AF">
        <w:rPr>
          <w:i/>
        </w:rPr>
        <w:t xml:space="preserve"> Disorder]</w:t>
      </w:r>
      <w:r w:rsidRPr="005C51AF">
        <w:rPr>
          <w:i/>
        </w:rPr>
        <w:t>),</w:t>
      </w:r>
    </w:p>
    <w:p w:rsidR="00C74940" w:rsidRPr="005C51AF" w:rsidRDefault="00C74940" w:rsidP="005C51AF">
      <w:pPr>
        <w:pStyle w:val="ListBullet3"/>
        <w:rPr>
          <w:i/>
        </w:rPr>
      </w:pPr>
      <w:r w:rsidRPr="005C51AF">
        <w:rPr>
          <w:i/>
        </w:rPr>
        <w:t xml:space="preserve">Acute Myeloid </w:t>
      </w:r>
      <w:proofErr w:type="spellStart"/>
      <w:r w:rsidRPr="005C51AF">
        <w:rPr>
          <w:i/>
        </w:rPr>
        <w:t>Leukemia</w:t>
      </w:r>
      <w:proofErr w:type="spellEnd"/>
      <w:r w:rsidRPr="005C51AF">
        <w:rPr>
          <w:i/>
        </w:rPr>
        <w:t xml:space="preserve"> (AML</w:t>
      </w:r>
      <w:r w:rsidR="005C51AF" w:rsidRPr="005C51AF">
        <w:rPr>
          <w:i/>
        </w:rPr>
        <w:t xml:space="preserve">) with 20-30% blasts and multi </w:t>
      </w:r>
      <w:r w:rsidRPr="005C51AF">
        <w:rPr>
          <w:i/>
        </w:rPr>
        <w:t>lineage dysplasia, according to World Health Organisation Classification (WHO),</w:t>
      </w:r>
    </w:p>
    <w:p w:rsidR="00C74940" w:rsidRPr="00C74940" w:rsidRDefault="00C74940" w:rsidP="005C51AF">
      <w:pPr>
        <w:ind w:left="720"/>
      </w:pPr>
      <w:r w:rsidRPr="005C51AF">
        <w:rPr>
          <w:i/>
        </w:rPr>
        <w:t xml:space="preserve">in whom </w:t>
      </w:r>
      <w:proofErr w:type="spellStart"/>
      <w:r w:rsidRPr="005C51AF">
        <w:rPr>
          <w:i/>
        </w:rPr>
        <w:t>allogenic</w:t>
      </w:r>
      <w:proofErr w:type="spellEnd"/>
      <w:r w:rsidRPr="005C51AF">
        <w:rPr>
          <w:i/>
        </w:rPr>
        <w:t xml:space="preserve"> stem cell transplantation is not indicated.</w:t>
      </w:r>
    </w:p>
    <w:p w:rsidR="00132D8D" w:rsidRPr="00132D8D" w:rsidRDefault="00132D8D" w:rsidP="00132D8D">
      <w:r w:rsidRPr="00132D8D">
        <w:t xml:space="preserve">The rationale for proposing this new route of administration is that the sponsor believes physicians may be administering Vidaza by IV infusion off </w:t>
      </w:r>
      <w:r w:rsidR="00E6767B">
        <w:t xml:space="preserve">label </w:t>
      </w:r>
      <w:r w:rsidRPr="00132D8D">
        <w:t>without adequate knowledge of the stability profile or admi</w:t>
      </w:r>
      <w:r w:rsidR="00581F6C">
        <w:t>nistration technique</w:t>
      </w:r>
      <w:r w:rsidRPr="00132D8D">
        <w:t>.</w:t>
      </w:r>
    </w:p>
    <w:p w:rsidR="00132D8D" w:rsidRPr="00132D8D" w:rsidRDefault="00132D8D" w:rsidP="00132D8D">
      <w:r w:rsidRPr="00132D8D">
        <w:t>The US Label allows use by IV infusion or SC administration.</w:t>
      </w:r>
      <w:r w:rsidR="00581F6C">
        <w:t xml:space="preserve"> </w:t>
      </w:r>
      <w:r w:rsidRPr="00132D8D">
        <w:t>The US instructions for IV use are as follows:</w:t>
      </w:r>
    </w:p>
    <w:p w:rsidR="00132D8D" w:rsidRPr="00132D8D" w:rsidRDefault="00132D8D" w:rsidP="00132D8D">
      <w:pPr>
        <w:ind w:left="720"/>
        <w:rPr>
          <w:i/>
        </w:rPr>
      </w:pPr>
      <w:r>
        <w:rPr>
          <w:i/>
        </w:rPr>
        <w:t>Vidaza</w:t>
      </w:r>
      <w:r w:rsidRPr="00132D8D">
        <w:rPr>
          <w:i/>
        </w:rPr>
        <w:t xml:space="preserve"> solution is administered intravenously. Administer the</w:t>
      </w:r>
      <w:r w:rsidR="00581F6C">
        <w:rPr>
          <w:i/>
        </w:rPr>
        <w:t xml:space="preserve"> total dose over a period of 10</w:t>
      </w:r>
      <w:r w:rsidRPr="00132D8D">
        <w:rPr>
          <w:i/>
        </w:rPr>
        <w:t xml:space="preserve">-40 </w:t>
      </w:r>
      <w:r w:rsidR="007C0CF3">
        <w:rPr>
          <w:i/>
        </w:rPr>
        <w:t>min</w:t>
      </w:r>
      <w:r w:rsidRPr="00132D8D">
        <w:rPr>
          <w:i/>
        </w:rPr>
        <w:t xml:space="preserve">. The administration must be completed within 1 hour of reconstitution of the </w:t>
      </w:r>
      <w:r>
        <w:rPr>
          <w:i/>
        </w:rPr>
        <w:t>Vidaza</w:t>
      </w:r>
      <w:r w:rsidRPr="00132D8D">
        <w:rPr>
          <w:i/>
        </w:rPr>
        <w:t xml:space="preserve"> vial.</w:t>
      </w:r>
    </w:p>
    <w:p w:rsidR="00132D8D" w:rsidRPr="00132D8D" w:rsidRDefault="00132D8D" w:rsidP="00132D8D">
      <w:r w:rsidRPr="00132D8D">
        <w:t>The EU Summary of Product Characteristics</w:t>
      </w:r>
      <w:r w:rsidR="00581F6C">
        <w:t xml:space="preserve"> </w:t>
      </w:r>
      <w:r w:rsidR="00142DDD">
        <w:t>(</w:t>
      </w:r>
      <w:proofErr w:type="spellStart"/>
      <w:r w:rsidR="00142DDD">
        <w:t>SmPC</w:t>
      </w:r>
      <w:proofErr w:type="spellEnd"/>
      <w:r w:rsidR="00142DDD">
        <w:t xml:space="preserve">) </w:t>
      </w:r>
      <w:r w:rsidRPr="00132D8D">
        <w:t>recommends only SC use.</w:t>
      </w:r>
    </w:p>
    <w:p w:rsidR="00420A26" w:rsidRPr="00420A26" w:rsidRDefault="00132D8D" w:rsidP="00420A26">
      <w:r w:rsidRPr="00132D8D">
        <w:t>The current submission al</w:t>
      </w:r>
      <w:r w:rsidR="00581F6C">
        <w:t>so proposes amendments to the Product Information (PI)</w:t>
      </w:r>
      <w:r w:rsidRPr="00132D8D">
        <w:t xml:space="preserve"> regarding interaction with P450 </w:t>
      </w:r>
      <w:proofErr w:type="spellStart"/>
      <w:r w:rsidRPr="00132D8D">
        <w:t>isoenzymes</w:t>
      </w:r>
      <w:proofErr w:type="spellEnd"/>
      <w:r w:rsidRPr="00132D8D">
        <w:t xml:space="preserve"> and regarding adverse effects.</w:t>
      </w:r>
    </w:p>
    <w:p w:rsidR="008E7846" w:rsidRPr="003F31A2" w:rsidRDefault="00386150" w:rsidP="008E7846">
      <w:pPr>
        <w:pStyle w:val="Heading3"/>
      </w:pPr>
      <w:bookmarkStart w:id="12" w:name="_Toc364416385"/>
      <w:r>
        <w:t>Regulatory s</w:t>
      </w:r>
      <w:r w:rsidR="008E7846">
        <w:t>tatus</w:t>
      </w:r>
      <w:bookmarkEnd w:id="10"/>
      <w:bookmarkEnd w:id="12"/>
      <w:r w:rsidR="008E7846">
        <w:t xml:space="preserve"> </w:t>
      </w:r>
      <w:bookmarkEnd w:id="11"/>
    </w:p>
    <w:p w:rsidR="008B2743" w:rsidRDefault="00E6767B" w:rsidP="00E6767B">
      <w:r>
        <w:t>Vidaza</w:t>
      </w:r>
      <w:r w:rsidRPr="00C74940">
        <w:t xml:space="preserve"> </w:t>
      </w:r>
      <w:r w:rsidR="00330628">
        <w:t>was designated</w:t>
      </w:r>
      <w:r w:rsidR="0014643D" w:rsidRPr="0014643D">
        <w:t xml:space="preserve"> </w:t>
      </w:r>
      <w:r w:rsidR="0014643D">
        <w:t>an orphan drug</w:t>
      </w:r>
      <w:r w:rsidR="00330628">
        <w:t xml:space="preserve"> </w:t>
      </w:r>
      <w:r w:rsidR="000D07DF">
        <w:t xml:space="preserve">by the TGA </w:t>
      </w:r>
      <w:r w:rsidR="00B36AA2">
        <w:t xml:space="preserve">on 17 June 2008. It was </w:t>
      </w:r>
      <w:r w:rsidRPr="00C74940">
        <w:t xml:space="preserve">registered in Australia </w:t>
      </w:r>
      <w:r w:rsidR="00B36AA2">
        <w:t>in</w:t>
      </w:r>
      <w:r w:rsidRPr="00C74940">
        <w:t xml:space="preserve"> 2009</w:t>
      </w:r>
      <w:r>
        <w:t>.</w:t>
      </w:r>
    </w:p>
    <w:p w:rsidR="00E6767B" w:rsidRDefault="00516F99" w:rsidP="00E6767B">
      <w:proofErr w:type="spellStart"/>
      <w:r>
        <w:t>Vidaza</w:t>
      </w:r>
      <w:proofErr w:type="spellEnd"/>
      <w:r>
        <w:t xml:space="preserve"> has been approved for</w:t>
      </w:r>
      <w:r w:rsidR="00517077">
        <w:t xml:space="preserve"> use</w:t>
      </w:r>
      <w:r>
        <w:t xml:space="preserve"> by IV infusion</w:t>
      </w:r>
      <w:r w:rsidR="00517077">
        <w:t xml:space="preserve"> in a number of countries worldwide</w:t>
      </w:r>
      <w:r w:rsidR="00DA1F5C">
        <w:t xml:space="preserve"> including the US (26 January 2007), </w:t>
      </w:r>
      <w:r w:rsidR="007B2815">
        <w:t xml:space="preserve">Argentina (9 November 2007), Philippines (25 June 2008), Lebanon (8 August 2008), Hong Kong (15 August 2008), Macau (December 2008), Thailand (9 March 2009), Israel (22 March 2009), Japan (21 January 2011), </w:t>
      </w:r>
      <w:r w:rsidR="00DA1F5C">
        <w:t xml:space="preserve">South Korea (21 May 2012), </w:t>
      </w:r>
      <w:r w:rsidR="007B2815">
        <w:t xml:space="preserve">and </w:t>
      </w:r>
      <w:r w:rsidR="00281AAC">
        <w:t xml:space="preserve">Taiwan (3 September </w:t>
      </w:r>
      <w:r w:rsidR="007B2815">
        <w:t>2012).</w:t>
      </w:r>
      <w:r w:rsidR="007F7DF6">
        <w:t xml:space="preserve"> The approved indication in the US for SC and IV administration of </w:t>
      </w:r>
      <w:proofErr w:type="spellStart"/>
      <w:r w:rsidR="007F7DF6">
        <w:t>Vidaza</w:t>
      </w:r>
      <w:proofErr w:type="spellEnd"/>
      <w:r w:rsidR="007F7DF6">
        <w:t xml:space="preserve"> is:</w:t>
      </w:r>
    </w:p>
    <w:p w:rsidR="007F7DF6" w:rsidRPr="00110FF5" w:rsidRDefault="00110FF5" w:rsidP="00110FF5">
      <w:pPr>
        <w:ind w:left="720"/>
        <w:rPr>
          <w:i/>
        </w:rPr>
      </w:pPr>
      <w:proofErr w:type="spellStart"/>
      <w:r w:rsidRPr="00110FF5">
        <w:rPr>
          <w:i/>
        </w:rPr>
        <w:t>Vidaza</w:t>
      </w:r>
      <w:proofErr w:type="spellEnd"/>
      <w:r w:rsidRPr="00110FF5">
        <w:rPr>
          <w:i/>
        </w:rPr>
        <w:t xml:space="preserve"> is indicated for treatment of patients with the following French-American-British (FAB) </w:t>
      </w:r>
      <w:proofErr w:type="spellStart"/>
      <w:r w:rsidRPr="00110FF5">
        <w:rPr>
          <w:i/>
        </w:rPr>
        <w:t>myelodysplastic</w:t>
      </w:r>
      <w:proofErr w:type="spellEnd"/>
      <w:r w:rsidRPr="00110FF5">
        <w:rPr>
          <w:i/>
        </w:rPr>
        <w:t xml:space="preserve"> syndrome subtypes: refractory anaemia (RA) or refractory anaemia with ringed </w:t>
      </w:r>
      <w:proofErr w:type="spellStart"/>
      <w:r w:rsidRPr="00110FF5">
        <w:rPr>
          <w:i/>
        </w:rPr>
        <w:t>sideroblasts</w:t>
      </w:r>
      <w:proofErr w:type="spellEnd"/>
      <w:r w:rsidRPr="00110FF5">
        <w:rPr>
          <w:i/>
        </w:rPr>
        <w:t xml:space="preserve"> (if accompanied by neutropenia or thrombocytopenia or requiring transfusions), refractory anaemia with excess blasts (RAEB), refractory anaemia with excess blasts in transformation (RAEB-T), and chronic </w:t>
      </w:r>
      <w:proofErr w:type="spellStart"/>
      <w:r w:rsidRPr="00110FF5">
        <w:rPr>
          <w:i/>
        </w:rPr>
        <w:t>myelomonocytic</w:t>
      </w:r>
      <w:proofErr w:type="spellEnd"/>
      <w:r w:rsidRPr="00110FF5">
        <w:rPr>
          <w:i/>
        </w:rPr>
        <w:t xml:space="preserve"> leukaemia (</w:t>
      </w:r>
      <w:proofErr w:type="spellStart"/>
      <w:r w:rsidRPr="00110FF5">
        <w:rPr>
          <w:i/>
        </w:rPr>
        <w:t>CMMoL</w:t>
      </w:r>
      <w:proofErr w:type="spellEnd"/>
      <w:r w:rsidRPr="00110FF5">
        <w:rPr>
          <w:i/>
        </w:rPr>
        <w:t>).</w:t>
      </w:r>
    </w:p>
    <w:p w:rsidR="008E7846" w:rsidRDefault="008E7846" w:rsidP="008E7846">
      <w:pPr>
        <w:pStyle w:val="Heading3"/>
      </w:pPr>
      <w:bookmarkStart w:id="13" w:name="_Toc247691505"/>
      <w:bookmarkStart w:id="14" w:name="_Toc314842486"/>
      <w:bookmarkStart w:id="15" w:name="_Toc364416386"/>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64416387"/>
      <w:r>
        <w:lastRenderedPageBreak/>
        <w:t>II. Quality</w:t>
      </w:r>
      <w:bookmarkEnd w:id="1"/>
      <w:r>
        <w:t xml:space="preserve"> findings</w:t>
      </w:r>
      <w:bookmarkEnd w:id="16"/>
      <w:bookmarkEnd w:id="17"/>
      <w:bookmarkEnd w:id="18"/>
    </w:p>
    <w:p w:rsidR="008E7846" w:rsidRDefault="008E7846" w:rsidP="008E7846">
      <w:pPr>
        <w:pStyle w:val="Heading3"/>
      </w:pPr>
      <w:bookmarkStart w:id="19" w:name="_Toc247691507"/>
      <w:bookmarkStart w:id="20" w:name="_Toc314842488"/>
      <w:bookmarkStart w:id="21" w:name="_Toc364416388"/>
      <w:r w:rsidRPr="008751DC">
        <w:t xml:space="preserve">Drug </w:t>
      </w:r>
      <w:r>
        <w:t>s</w:t>
      </w:r>
      <w:r w:rsidRPr="008751DC">
        <w:t>ubstance</w:t>
      </w:r>
      <w:r>
        <w:t xml:space="preserve"> (active ingredient)</w:t>
      </w:r>
      <w:bookmarkEnd w:id="19"/>
      <w:bookmarkEnd w:id="20"/>
      <w:bookmarkEnd w:id="21"/>
    </w:p>
    <w:p w:rsidR="003C7ED9" w:rsidRPr="00432A75" w:rsidRDefault="003C7ED9" w:rsidP="003C7ED9">
      <w:r w:rsidRPr="00432A75">
        <w:t xml:space="preserve">The finished product is sterile and is supplied in glass (type I) vials containing 100 mg azacitidine and 100 mg </w:t>
      </w:r>
      <w:proofErr w:type="spellStart"/>
      <w:r w:rsidRPr="00432A75">
        <w:t>mannitol</w:t>
      </w:r>
      <w:proofErr w:type="spellEnd"/>
      <w:r w:rsidRPr="00432A75">
        <w:t>.</w:t>
      </w:r>
      <w:r w:rsidR="004B0743">
        <w:t xml:space="preserve"> </w:t>
      </w:r>
      <w:r w:rsidRPr="00432A75">
        <w:t xml:space="preserve">The maximum single and </w:t>
      </w:r>
      <w:r>
        <w:t>maximum daily dose</w:t>
      </w:r>
      <w:r w:rsidRPr="00432A75">
        <w:t xml:space="preserve"> recommended in the </w:t>
      </w:r>
      <w:r w:rsidR="004B0743">
        <w:t>PI</w:t>
      </w:r>
      <w:r w:rsidRPr="00432A75">
        <w:t xml:space="preserve"> is 75 mg/m</w:t>
      </w:r>
      <w:r w:rsidRPr="00432A75">
        <w:rPr>
          <w:vertAlign w:val="superscript"/>
        </w:rPr>
        <w:t>2</w:t>
      </w:r>
      <w:r w:rsidRPr="00432A75">
        <w:t xml:space="preserve"> body surface area.</w:t>
      </w:r>
      <w:r w:rsidR="005179E7">
        <w:t xml:space="preserve"> </w:t>
      </w:r>
    </w:p>
    <w:p w:rsidR="003C7ED9" w:rsidRPr="00432A75" w:rsidRDefault="003C7ED9" w:rsidP="003C7ED9">
      <w:r w:rsidRPr="00432A75">
        <w:t>The d</w:t>
      </w:r>
      <w:r w:rsidR="00403F09">
        <w:t>rug substance is a white/</w:t>
      </w:r>
      <w:r w:rsidR="00680D78">
        <w:t xml:space="preserve">off </w:t>
      </w:r>
      <w:r w:rsidRPr="00432A75">
        <w:t>white solid that is sparingly soluble in water (13.8 mg/</w:t>
      </w:r>
      <w:proofErr w:type="spellStart"/>
      <w:r w:rsidRPr="00432A75">
        <w:t>mL</w:t>
      </w:r>
      <w:proofErr w:type="spellEnd"/>
      <w:r w:rsidRPr="00432A75">
        <w:t>) and normal saline.</w:t>
      </w:r>
    </w:p>
    <w:p w:rsidR="003C7ED9" w:rsidRDefault="003C7ED9" w:rsidP="003C7ED9">
      <w:r>
        <w:t xml:space="preserve">There are currently no </w:t>
      </w:r>
      <w:r w:rsidR="00680D78" w:rsidRPr="00680D78">
        <w:t xml:space="preserve">British Pharmacopoeia </w:t>
      </w:r>
      <w:r w:rsidR="00680D78">
        <w:t>(</w:t>
      </w:r>
      <w:r>
        <w:t>BP</w:t>
      </w:r>
      <w:r w:rsidR="00680D78">
        <w:t>)</w:t>
      </w:r>
      <w:r>
        <w:t xml:space="preserve"> or </w:t>
      </w:r>
      <w:r w:rsidR="00680D78">
        <w:t>US</w:t>
      </w:r>
      <w:r w:rsidR="00680D78" w:rsidRPr="00680D78">
        <w:t xml:space="preserve"> Pharmacopoeia </w:t>
      </w:r>
      <w:r w:rsidR="00680D78">
        <w:t>(</w:t>
      </w:r>
      <w:r>
        <w:t>USP</w:t>
      </w:r>
      <w:r w:rsidR="00680D78">
        <w:t>)</w:t>
      </w:r>
      <w:r>
        <w:t xml:space="preserve"> monographs available for the drug substance or drug product.</w:t>
      </w:r>
      <w:r w:rsidR="005179E7">
        <w:t xml:space="preserve"> </w:t>
      </w:r>
    </w:p>
    <w:p w:rsidR="008E7846" w:rsidRDefault="008E7846" w:rsidP="008E7846">
      <w:pPr>
        <w:pStyle w:val="Heading3"/>
      </w:pPr>
      <w:bookmarkStart w:id="22" w:name="_Toc247691508"/>
      <w:bookmarkStart w:id="23" w:name="_Toc314842490"/>
      <w:bookmarkStart w:id="24" w:name="_Toc364416389"/>
      <w:r w:rsidRPr="008751DC">
        <w:t xml:space="preserve">Drug </w:t>
      </w:r>
      <w:r>
        <w:t>p</w:t>
      </w:r>
      <w:r w:rsidRPr="008751DC">
        <w:t>roduct</w:t>
      </w:r>
      <w:bookmarkEnd w:id="22"/>
      <w:bookmarkEnd w:id="23"/>
      <w:bookmarkEnd w:id="24"/>
    </w:p>
    <w:p w:rsidR="00573AD7" w:rsidRPr="00573AD7" w:rsidRDefault="00573AD7" w:rsidP="00573AD7">
      <w:r w:rsidRPr="00573AD7">
        <w:t xml:space="preserve">The PI instructions for </w:t>
      </w:r>
      <w:r>
        <w:t>IV</w:t>
      </w:r>
      <w:r w:rsidRPr="00573AD7">
        <w:t xml:space="preserve"> administration indicate that the vial contents are dissolved in 10 </w:t>
      </w:r>
      <w:proofErr w:type="spellStart"/>
      <w:r w:rsidRPr="00573AD7">
        <w:t>mL</w:t>
      </w:r>
      <w:proofErr w:type="spellEnd"/>
      <w:r w:rsidRPr="00573AD7">
        <w:t xml:space="preserve"> of sterile water for injections and that the reconstitut</w:t>
      </w:r>
      <w:r w:rsidR="005D4649">
        <w:t>ed solution is stable for 1 h</w:t>
      </w:r>
      <w:r w:rsidRPr="00573AD7">
        <w:t xml:space="preserve"> at room temperature.</w:t>
      </w:r>
    </w:p>
    <w:p w:rsidR="00573AD7" w:rsidRPr="00573AD7" w:rsidRDefault="00573AD7" w:rsidP="00573AD7">
      <w:r w:rsidRPr="00573AD7">
        <w:t xml:space="preserve">The required amount of the product is then injected into a 50-100 </w:t>
      </w:r>
      <w:proofErr w:type="spellStart"/>
      <w:r w:rsidRPr="00573AD7">
        <w:t>mL</w:t>
      </w:r>
      <w:proofErr w:type="spellEnd"/>
      <w:r w:rsidRPr="00573AD7">
        <w:t xml:space="preserve"> infusion bag of either 0.9% sodium chloride or lactated Ringer’s Injection.</w:t>
      </w:r>
      <w:r w:rsidR="005179E7">
        <w:t xml:space="preserve"> </w:t>
      </w:r>
      <w:r w:rsidRPr="00573AD7">
        <w:t xml:space="preserve">Administration must be complete within </w:t>
      </w:r>
      <w:r w:rsidR="00403F09">
        <w:t>1 h</w:t>
      </w:r>
      <w:r w:rsidRPr="00573AD7">
        <w:t xml:space="preserve"> of reconstitution.</w:t>
      </w:r>
      <w:r w:rsidR="005179E7">
        <w:t xml:space="preserve"> </w:t>
      </w:r>
    </w:p>
    <w:p w:rsidR="00573AD7" w:rsidRPr="00573AD7" w:rsidRDefault="00573AD7" w:rsidP="00573AD7">
      <w:r w:rsidRPr="00573AD7">
        <w:t>Studies conducted previously</w:t>
      </w:r>
      <w:r w:rsidR="006D06ED">
        <w:rPr>
          <w:rStyle w:val="FootnoteReference"/>
        </w:rPr>
        <w:footnoteReference w:id="1"/>
      </w:r>
      <w:r w:rsidR="00403F09">
        <w:t xml:space="preserve"> </w:t>
      </w:r>
      <w:r w:rsidRPr="00573AD7">
        <w:t>indicate that assay decreases by about 10% when solutions (0.2 mg/</w:t>
      </w:r>
      <w:proofErr w:type="spellStart"/>
      <w:r w:rsidRPr="00573AD7">
        <w:t>mL</w:t>
      </w:r>
      <w:proofErr w:type="spellEnd"/>
      <w:r w:rsidRPr="00573AD7">
        <w:t xml:space="preserve"> and 2.0 mg/</w:t>
      </w:r>
      <w:proofErr w:type="spellStart"/>
      <w:r w:rsidRPr="00573AD7">
        <w:t>mL</w:t>
      </w:r>
      <w:proofErr w:type="spellEnd"/>
      <w:r w:rsidRPr="00573AD7">
        <w:t>) of the drug substance were stored at r</w:t>
      </w:r>
      <w:r w:rsidR="005D4649">
        <w:t>oom temperature for about 2 h</w:t>
      </w:r>
      <w:r w:rsidRPr="00573AD7">
        <w:t xml:space="preserve"> in either Lactated Ringer’s or normal saline solution.</w:t>
      </w:r>
      <w:r w:rsidR="005179E7">
        <w:t xml:space="preserve"> </w:t>
      </w:r>
      <w:r w:rsidRPr="00573AD7">
        <w:t xml:space="preserve">In 5% dextrose solution, the same concentrations of the drug substance degraded by 10% within </w:t>
      </w:r>
      <w:r w:rsidR="00403F09">
        <w:t>1 h</w:t>
      </w:r>
      <w:r w:rsidRPr="00573AD7">
        <w:t>.</w:t>
      </w:r>
    </w:p>
    <w:p w:rsidR="00573AD7" w:rsidRPr="00573AD7" w:rsidRDefault="00573AD7" w:rsidP="00573AD7">
      <w:r w:rsidRPr="00573AD7">
        <w:t>These studies have now been supplemented with a company sponsored study, designed to evaluate drug product compatibility and stability with both normal saline and Lactated Ringer</w:t>
      </w:r>
      <w:r w:rsidR="00403F09">
        <w:t>’</w:t>
      </w:r>
      <w:r w:rsidRPr="00573AD7">
        <w:t>s IV fluids at concentrations of 1 mg/</w:t>
      </w:r>
      <w:proofErr w:type="spellStart"/>
      <w:r w:rsidRPr="00573AD7">
        <w:t>mL</w:t>
      </w:r>
      <w:proofErr w:type="spellEnd"/>
      <w:r w:rsidRPr="00573AD7">
        <w:t xml:space="preserve"> and 4 mg/</w:t>
      </w:r>
      <w:proofErr w:type="spellStart"/>
      <w:r w:rsidRPr="00573AD7">
        <w:t>mL.</w:t>
      </w:r>
      <w:proofErr w:type="spellEnd"/>
    </w:p>
    <w:p w:rsidR="00573AD7" w:rsidRPr="00573AD7" w:rsidRDefault="00573AD7" w:rsidP="00573AD7">
      <w:r w:rsidRPr="00573AD7">
        <w:t>In the 1 mg/</w:t>
      </w:r>
      <w:proofErr w:type="spellStart"/>
      <w:r w:rsidRPr="00573AD7">
        <w:t>mL</w:t>
      </w:r>
      <w:proofErr w:type="spellEnd"/>
      <w:r w:rsidRPr="00573AD7">
        <w:t xml:space="preserve"> experiments</w:t>
      </w:r>
      <w:r w:rsidR="00403F09">
        <w:t>,</w:t>
      </w:r>
      <w:r w:rsidRPr="00573AD7">
        <w:t xml:space="preserve"> the drug product was taken up in 10 </w:t>
      </w:r>
      <w:proofErr w:type="spellStart"/>
      <w:r w:rsidRPr="00573AD7">
        <w:t>mL</w:t>
      </w:r>
      <w:proofErr w:type="spellEnd"/>
      <w:r w:rsidRPr="00573AD7">
        <w:t xml:space="preserve"> of sterile water for injections and the vial contents were transferred to an IV bag containing either normal saline (100 </w:t>
      </w:r>
      <w:proofErr w:type="spellStart"/>
      <w:r w:rsidRPr="00573AD7">
        <w:t>mL</w:t>
      </w:r>
      <w:proofErr w:type="spellEnd"/>
      <w:r w:rsidRPr="00573AD7">
        <w:t xml:space="preserve">) or Lactated Ringer’s solution (100 </w:t>
      </w:r>
      <w:proofErr w:type="spellStart"/>
      <w:r w:rsidRPr="00573AD7">
        <w:t>mL</w:t>
      </w:r>
      <w:proofErr w:type="spellEnd"/>
      <w:r w:rsidRPr="00573AD7">
        <w:t>).</w:t>
      </w:r>
    </w:p>
    <w:p w:rsidR="00573AD7" w:rsidRPr="00573AD7" w:rsidRDefault="00573AD7" w:rsidP="00573AD7">
      <w:r w:rsidRPr="00573AD7">
        <w:t>For the 4 mg/</w:t>
      </w:r>
      <w:proofErr w:type="spellStart"/>
      <w:r w:rsidRPr="00573AD7">
        <w:t>mL</w:t>
      </w:r>
      <w:proofErr w:type="spellEnd"/>
      <w:r w:rsidRPr="00573AD7">
        <w:t xml:space="preserve"> dilution</w:t>
      </w:r>
      <w:r w:rsidR="00403F09">
        <w:t>,</w:t>
      </w:r>
      <w:r w:rsidRPr="00573AD7">
        <w:t xml:space="preserve"> two individual vials of the drug product were taken up in 2 x 20 </w:t>
      </w:r>
      <w:proofErr w:type="spellStart"/>
      <w:r w:rsidRPr="00573AD7">
        <w:t>mL</w:t>
      </w:r>
      <w:proofErr w:type="spellEnd"/>
      <w:r w:rsidRPr="00573AD7">
        <w:t xml:space="preserve"> of sterile water for injection.</w:t>
      </w:r>
      <w:r w:rsidR="005179E7">
        <w:t xml:space="preserve"> </w:t>
      </w:r>
      <w:r w:rsidRPr="00573AD7">
        <w:t xml:space="preserve">The vial contents were transferred to IV bags containing either normal saline (30 </w:t>
      </w:r>
      <w:proofErr w:type="spellStart"/>
      <w:r w:rsidRPr="00573AD7">
        <w:t>mL</w:t>
      </w:r>
      <w:proofErr w:type="spellEnd"/>
      <w:r w:rsidRPr="00573AD7">
        <w:t xml:space="preserve">) or Lactated Ringer’s solution (30 </w:t>
      </w:r>
      <w:proofErr w:type="spellStart"/>
      <w:r w:rsidRPr="00573AD7">
        <w:t>mL</w:t>
      </w:r>
      <w:proofErr w:type="spellEnd"/>
      <w:r w:rsidRPr="00573AD7">
        <w:t>).</w:t>
      </w:r>
    </w:p>
    <w:p w:rsidR="00573AD7" w:rsidRPr="00110FF5" w:rsidRDefault="00573AD7" w:rsidP="00110FF5">
      <w:r w:rsidRPr="00110FF5">
        <w:t>Control samples were prepared in which the reconstituted drug product (10 mg/</w:t>
      </w:r>
      <w:proofErr w:type="spellStart"/>
      <w:r w:rsidRPr="00110FF5">
        <w:t>mL</w:t>
      </w:r>
      <w:proofErr w:type="spellEnd"/>
      <w:r w:rsidRPr="00110FF5">
        <w:t>) was stored in volumetric flasks with each of the IV fluids.</w:t>
      </w:r>
      <w:r w:rsidR="005179E7">
        <w:t xml:space="preserve"> </w:t>
      </w:r>
    </w:p>
    <w:p w:rsidR="00573AD7" w:rsidRPr="00573AD7" w:rsidRDefault="00573AD7" w:rsidP="00573AD7">
      <w:r w:rsidRPr="00573AD7">
        <w:t xml:space="preserve">The experimental period entailed a 30 </w:t>
      </w:r>
      <w:r w:rsidR="007C0CF3">
        <w:t>min</w:t>
      </w:r>
      <w:r w:rsidRPr="00573AD7">
        <w:t xml:space="preserve"> hold period followed by a 30 </w:t>
      </w:r>
      <w:r w:rsidR="007C0CF3">
        <w:t>min</w:t>
      </w:r>
      <w:r w:rsidRPr="00573AD7">
        <w:t xml:space="preserve"> infusion period.</w:t>
      </w:r>
      <w:r w:rsidR="005179E7">
        <w:t xml:space="preserve"> </w:t>
      </w:r>
      <w:r w:rsidRPr="00573AD7">
        <w:t>During the hold period, the IV bags were held undisturbed.</w:t>
      </w:r>
      <w:r w:rsidR="005179E7">
        <w:t xml:space="preserve"> </w:t>
      </w:r>
      <w:r w:rsidRPr="00573AD7">
        <w:t xml:space="preserve">The drug product solution was then pushed through the IV line using a volumetric infusion pump over 30 </w:t>
      </w:r>
      <w:r w:rsidR="007C0CF3">
        <w:t>min</w:t>
      </w:r>
      <w:r w:rsidRPr="00573AD7">
        <w:t>.</w:t>
      </w:r>
      <w:r w:rsidR="005179E7">
        <w:t xml:space="preserve"> </w:t>
      </w:r>
      <w:r w:rsidRPr="00573AD7">
        <w:t xml:space="preserve">Sample analysis (using the approved </w:t>
      </w:r>
      <w:r w:rsidR="00403F09">
        <w:t xml:space="preserve">high </w:t>
      </w:r>
      <w:r w:rsidR="00403F09" w:rsidRPr="00403F09">
        <w:t xml:space="preserve">performance liquid chromatography </w:t>
      </w:r>
      <w:r w:rsidR="00403F09">
        <w:t>[</w:t>
      </w:r>
      <w:r w:rsidRPr="00573AD7">
        <w:t>HPLC</w:t>
      </w:r>
      <w:r w:rsidR="00403F09">
        <w:t>]</w:t>
      </w:r>
      <w:r w:rsidRPr="00573AD7">
        <w:t xml:space="preserve"> conditions) occurred after 0, 30, 45 and 60 </w:t>
      </w:r>
      <w:r w:rsidR="007C0CF3">
        <w:t>min</w:t>
      </w:r>
      <w:r w:rsidRPr="00573AD7">
        <w:t>.</w:t>
      </w:r>
    </w:p>
    <w:p w:rsidR="00573AD7" w:rsidRPr="00573AD7" w:rsidRDefault="00573AD7" w:rsidP="00573AD7">
      <w:r w:rsidRPr="00573AD7">
        <w:t>The assay results were variable and were quoted against the initial azacitidine measurement (after the product had been reconstituted and diluted with an appropriate IV solution).</w:t>
      </w:r>
      <w:r w:rsidR="005179E7">
        <w:t xml:space="preserve"> </w:t>
      </w:r>
      <w:r w:rsidRPr="00573AD7">
        <w:t>Under all conditions ther</w:t>
      </w:r>
      <w:r w:rsidR="00834B8D">
        <w:t>e was a clear decrease in assay</w:t>
      </w:r>
      <w:r w:rsidRPr="00573AD7">
        <w:t xml:space="preserve"> however this was not easily quantified as assay results for the initial reconstituted solution were not provided.</w:t>
      </w:r>
      <w:r w:rsidR="005179E7">
        <w:t xml:space="preserve"> </w:t>
      </w:r>
    </w:p>
    <w:p w:rsidR="00573AD7" w:rsidRPr="00FD17B0" w:rsidRDefault="00373D9E" w:rsidP="00573AD7">
      <w:pPr>
        <w:rPr>
          <w:i/>
        </w:rPr>
      </w:pPr>
      <w:r w:rsidRPr="00573AD7">
        <w:lastRenderedPageBreak/>
        <w:t>Nevertheless, it appears that for</w:t>
      </w:r>
      <w:r>
        <w:t xml:space="preserve"> the product (especially when </w:t>
      </w:r>
      <w:r w:rsidRPr="00573AD7">
        <w:t xml:space="preserve">mixed with normal saline) may not meet the </w:t>
      </w:r>
      <w:r>
        <w:t>currently approved acceptance criteria limit for assay after 1 h</w:t>
      </w:r>
      <w:r w:rsidRPr="00573AD7">
        <w:t>.</w:t>
      </w:r>
      <w:r>
        <w:t xml:space="preserve"> </w:t>
      </w:r>
      <w:r w:rsidRPr="00573AD7">
        <w:t xml:space="preserve">Given the results it would seem appropriate that the instruction in the PI should be changed from ‘Administration must be complete within </w:t>
      </w:r>
      <w:r>
        <w:t>1 h</w:t>
      </w:r>
      <w:r w:rsidRPr="00573AD7">
        <w:t xml:space="preserve"> of reconstitution’ to ‘Administration must be complete within 30 </w:t>
      </w:r>
      <w:r>
        <w:t>min</w:t>
      </w:r>
      <w:r w:rsidRPr="00573AD7">
        <w:t xml:space="preserve"> of </w:t>
      </w:r>
      <w:r>
        <w:t xml:space="preserve">reconstitution’. </w:t>
      </w:r>
      <w:r w:rsidRPr="00FD17B0">
        <w:rPr>
          <w:i/>
        </w:rPr>
        <w:t xml:space="preserve">The </w:t>
      </w:r>
      <w:r>
        <w:rPr>
          <w:i/>
        </w:rPr>
        <w:t>sponsor</w:t>
      </w:r>
      <w:r w:rsidRPr="00FD17B0">
        <w:rPr>
          <w:i/>
        </w:rPr>
        <w:t xml:space="preserve"> will be asked to comment on this suggestion and also to provide a mass balance analysis and an analysis of the degradants formed in the compatibility studies.</w:t>
      </w:r>
      <w:r w:rsidR="00573AD7" w:rsidRPr="00FD17B0">
        <w:rPr>
          <w:i/>
        </w:rPr>
        <w:t xml:space="preserve"> </w:t>
      </w:r>
    </w:p>
    <w:p w:rsidR="008E7846" w:rsidRDefault="008E7846" w:rsidP="008E7846">
      <w:pPr>
        <w:pStyle w:val="Heading3"/>
      </w:pPr>
      <w:bookmarkStart w:id="25" w:name="_Toc314842491"/>
      <w:bookmarkStart w:id="26" w:name="_Toc364416390"/>
      <w:proofErr w:type="spellStart"/>
      <w:r>
        <w:t>Biopharmaceutics</w:t>
      </w:r>
      <w:bookmarkEnd w:id="25"/>
      <w:bookmarkEnd w:id="26"/>
      <w:proofErr w:type="spellEnd"/>
    </w:p>
    <w:p w:rsidR="00F01787" w:rsidRPr="00F01787" w:rsidRDefault="00F01787" w:rsidP="00F01787">
      <w:r w:rsidRPr="00F01787">
        <w:t>In the original application to register Vidaza by SC injection</w:t>
      </w:r>
      <w:r>
        <w:t>,</w:t>
      </w:r>
      <w:r w:rsidRPr="00F01787">
        <w:t xml:space="preserve"> a two</w:t>
      </w:r>
      <w:r>
        <w:t xml:space="preserve"> </w:t>
      </w:r>
      <w:r w:rsidRPr="00F01787">
        <w:t xml:space="preserve">period crossover study </w:t>
      </w:r>
      <w:r w:rsidR="00403F09">
        <w:t xml:space="preserve">(Study AZA-2002-BA-002) </w:t>
      </w:r>
      <w:r w:rsidRPr="00F01787">
        <w:t xml:space="preserve">was conducted to assess the bioavailability of AC and IV azacitidine in subjects with </w:t>
      </w:r>
      <w:r w:rsidR="00CB48C3">
        <w:t>MDS</w:t>
      </w:r>
      <w:r w:rsidR="00403F09">
        <w:t xml:space="preserve">. </w:t>
      </w:r>
      <w:r w:rsidRPr="00F01787">
        <w:t xml:space="preserve">The pharmacokinetics of </w:t>
      </w:r>
      <w:proofErr w:type="spellStart"/>
      <w:r w:rsidRPr="00F01787">
        <w:t>azacitidine</w:t>
      </w:r>
      <w:proofErr w:type="spellEnd"/>
      <w:r w:rsidRPr="00F01787">
        <w:t xml:space="preserve"> were studied following single 75 mg/m</w:t>
      </w:r>
      <w:r w:rsidRPr="00FA01A3">
        <w:rPr>
          <w:vertAlign w:val="superscript"/>
        </w:rPr>
        <w:t>2</w:t>
      </w:r>
      <w:r w:rsidRPr="00F01787">
        <w:t xml:space="preserve"> SC and IV doses in 6 subjects.</w:t>
      </w:r>
    </w:p>
    <w:p w:rsidR="00F01787" w:rsidRPr="00F01787" w:rsidRDefault="00FA01A3" w:rsidP="00F01787">
      <w:r>
        <w:t xml:space="preserve">The study revealed that </w:t>
      </w:r>
      <w:proofErr w:type="spellStart"/>
      <w:r w:rsidR="00F01787" w:rsidRPr="00F01787">
        <w:t>azacitidine</w:t>
      </w:r>
      <w:proofErr w:type="spellEnd"/>
      <w:r w:rsidR="00F01787" w:rsidRPr="00F01787">
        <w:t xml:space="preserve"> was rapidly absorbed following SC administration, with maximum plasma concentrations occurring at the fir</w:t>
      </w:r>
      <w:r>
        <w:t xml:space="preserve">st </w:t>
      </w:r>
      <w:proofErr w:type="spellStart"/>
      <w:r>
        <w:t>postdose</w:t>
      </w:r>
      <w:proofErr w:type="spellEnd"/>
      <w:r>
        <w:t xml:space="preserve"> sampling time (30 </w:t>
      </w:r>
      <w:r w:rsidR="007C0CF3">
        <w:t>min</w:t>
      </w:r>
      <w:r w:rsidR="00F01787" w:rsidRPr="00F01787">
        <w:t>) in all 6 subjects.</w:t>
      </w:r>
      <w:r w:rsidR="005179E7">
        <w:t xml:space="preserve"> </w:t>
      </w:r>
      <w:r w:rsidR="00C553CB">
        <w:t xml:space="preserve">Following IV infusion, </w:t>
      </w:r>
      <w:r w:rsidR="000D5AB3">
        <w:t>the m</w:t>
      </w:r>
      <w:r w:rsidR="000D5AB3" w:rsidRPr="000D5AB3">
        <w:t>aximum plasma drug concentration</w:t>
      </w:r>
      <w:r w:rsidR="00C553CB">
        <w:t xml:space="preserve"> (</w:t>
      </w:r>
      <w:proofErr w:type="spellStart"/>
      <w:r w:rsidR="00C553CB">
        <w:t>C</w:t>
      </w:r>
      <w:r w:rsidR="00C553CB" w:rsidRPr="00A83165">
        <w:rPr>
          <w:vertAlign w:val="subscript"/>
        </w:rPr>
        <w:t>max</w:t>
      </w:r>
      <w:proofErr w:type="spellEnd"/>
      <w:r w:rsidR="00C553CB">
        <w:t xml:space="preserve">) </w:t>
      </w:r>
      <w:r w:rsidR="00F01787" w:rsidRPr="00F01787">
        <w:t xml:space="preserve">was observed 5 </w:t>
      </w:r>
      <w:r w:rsidR="007C0CF3">
        <w:t>min</w:t>
      </w:r>
      <w:r w:rsidR="00F01787" w:rsidRPr="00F01787">
        <w:t xml:space="preserve"> into the 10</w:t>
      </w:r>
      <w:r>
        <w:t xml:space="preserve"> </w:t>
      </w:r>
      <w:r w:rsidR="007C0CF3">
        <w:t>min</w:t>
      </w:r>
      <w:r w:rsidR="00F01787" w:rsidRPr="00F01787">
        <w:t xml:space="preserve"> infusion in 2 of 6 subjects, and at the end of saline flush (11 </w:t>
      </w:r>
      <w:r w:rsidR="007C0CF3">
        <w:t>min</w:t>
      </w:r>
      <w:r w:rsidR="00F01787" w:rsidRPr="00F01787">
        <w:t xml:space="preserve">) in the remaining 4 subjects. The mean maximum azacitidine plasma concentration following IV infusion was 2580 </w:t>
      </w:r>
      <w:proofErr w:type="spellStart"/>
      <w:r w:rsidR="00F01787" w:rsidRPr="00F01787">
        <w:t>ng</w:t>
      </w:r>
      <w:proofErr w:type="spellEnd"/>
      <w:r w:rsidR="00F01787" w:rsidRPr="00F01787">
        <w:t>/</w:t>
      </w:r>
      <w:proofErr w:type="spellStart"/>
      <w:r w:rsidR="00F01787" w:rsidRPr="00F01787">
        <w:t>mL</w:t>
      </w:r>
      <w:proofErr w:type="spellEnd"/>
      <w:r w:rsidR="00F01787" w:rsidRPr="00F01787">
        <w:t>, almost 4</w:t>
      </w:r>
      <w:r w:rsidR="00C553CB">
        <w:t xml:space="preserve"> </w:t>
      </w:r>
      <w:r w:rsidR="00F01787" w:rsidRPr="00F01787">
        <w:t xml:space="preserve">fold higher than those observed following SC administration (687 </w:t>
      </w:r>
      <w:proofErr w:type="spellStart"/>
      <w:r w:rsidR="00F01787" w:rsidRPr="00F01787">
        <w:t>ng</w:t>
      </w:r>
      <w:proofErr w:type="spellEnd"/>
      <w:r w:rsidR="00C874CC">
        <w:t>/</w:t>
      </w:r>
      <w:proofErr w:type="spellStart"/>
      <w:r w:rsidR="00C874CC">
        <w:t>mL</w:t>
      </w:r>
      <w:proofErr w:type="spellEnd"/>
      <w:r w:rsidR="00C874CC">
        <w:t xml:space="preserve"> [geometric least</w:t>
      </w:r>
      <w:r w:rsidR="00F25945">
        <w:t xml:space="preserve"> </w:t>
      </w:r>
      <w:r w:rsidR="00C874CC">
        <w:t>squares mea</w:t>
      </w:r>
      <w:r w:rsidR="00F01787" w:rsidRPr="00F01787">
        <w:t xml:space="preserve">n; arithmetic mean = 750 </w:t>
      </w:r>
      <w:proofErr w:type="spellStart"/>
      <w:r w:rsidR="00F01787" w:rsidRPr="00F01787">
        <w:t>ng</w:t>
      </w:r>
      <w:proofErr w:type="spellEnd"/>
      <w:r w:rsidR="00F01787" w:rsidRPr="00F01787">
        <w:t>/</w:t>
      </w:r>
      <w:proofErr w:type="spellStart"/>
      <w:r w:rsidR="00F01787" w:rsidRPr="00F01787">
        <w:t>mL</w:t>
      </w:r>
      <w:proofErr w:type="spellEnd"/>
      <w:r w:rsidR="00F01787" w:rsidRPr="00F01787">
        <w:t xml:space="preserve">]). The differences in </w:t>
      </w:r>
      <w:proofErr w:type="spellStart"/>
      <w:r w:rsidR="00A83165">
        <w:t>C</w:t>
      </w:r>
      <w:r w:rsidR="00A83165" w:rsidRPr="00A83165">
        <w:rPr>
          <w:vertAlign w:val="subscript"/>
        </w:rPr>
        <w:t>max</w:t>
      </w:r>
      <w:proofErr w:type="spellEnd"/>
      <w:r w:rsidR="00F01787" w:rsidRPr="00F01787">
        <w:t xml:space="preserve"> are consistent with higher maximum exposure expected following IV versus </w:t>
      </w:r>
      <w:proofErr w:type="spellStart"/>
      <w:r w:rsidR="00F01787" w:rsidRPr="00F01787">
        <w:t>extravascular</w:t>
      </w:r>
      <w:proofErr w:type="spellEnd"/>
      <w:r w:rsidR="00F01787" w:rsidRPr="00F01787">
        <w:t xml:space="preserve"> drug administration.</w:t>
      </w:r>
      <w:r w:rsidR="005179E7">
        <w:t xml:space="preserve"> </w:t>
      </w:r>
      <w:r w:rsidR="00F01787" w:rsidRPr="00F01787">
        <w:t>Azacitidine was also rapidly eliminated: the mean half</w:t>
      </w:r>
      <w:r w:rsidR="007C0CF3">
        <w:t xml:space="preserve"> </w:t>
      </w:r>
      <w:r w:rsidR="00F01787" w:rsidRPr="00F01787">
        <w:t>life after IV administration wa</w:t>
      </w:r>
      <w:r w:rsidR="008B2743">
        <w:t>s 0.36 h</w:t>
      </w:r>
      <w:r w:rsidR="00E56761">
        <w:t xml:space="preserve"> (approximately 22 ±</w:t>
      </w:r>
      <w:r w:rsidR="00F01787" w:rsidRPr="00F01787">
        <w:t xml:space="preserve"> 1 min), while that after SC administration was slightly longer (0.69 h; approximately 41 </w:t>
      </w:r>
      <w:r w:rsidR="00E56761">
        <w:t>±</w:t>
      </w:r>
      <w:r w:rsidR="00F01787" w:rsidRPr="00F01787">
        <w:t xml:space="preserve"> 8 min).</w:t>
      </w:r>
      <w:r w:rsidR="005179E7">
        <w:t xml:space="preserve"> </w:t>
      </w:r>
      <w:r w:rsidR="00F01787" w:rsidRPr="00F01787">
        <w:t>The apparent (SC) clearance was 167.48 L/h and the systemic (IV) clearance was 146.70 L/h.</w:t>
      </w:r>
      <w:r w:rsidR="005179E7">
        <w:t xml:space="preserve"> </w:t>
      </w:r>
    </w:p>
    <w:p w:rsidR="00F01787" w:rsidRPr="00F01787" w:rsidRDefault="00F01787" w:rsidP="00F01787">
      <w:r w:rsidRPr="00F01787">
        <w:t>In the current submission</w:t>
      </w:r>
      <w:r w:rsidR="006611FA">
        <w:t>,</w:t>
      </w:r>
      <w:r w:rsidRPr="00F01787">
        <w:t xml:space="preserve"> results were provided from pharmacokinetic modelling and simulation of data from Study AZA-2002-BA-002 in order to develop a population PK model. The objective of this modelling and simulation was to characterise the expected systemic exposure resulting from a longer azacitidine IV infusion and to compare to that observed upon 10</w:t>
      </w:r>
      <w:r w:rsidR="008A2B01">
        <w:t xml:space="preserve"> </w:t>
      </w:r>
      <w:r w:rsidR="007C0CF3">
        <w:t>min</w:t>
      </w:r>
      <w:r w:rsidRPr="00F01787">
        <w:t xml:space="preserve"> IV infusion or SC injection.</w:t>
      </w:r>
      <w:r w:rsidR="005179E7">
        <w:t xml:space="preserve"> </w:t>
      </w:r>
      <w:r w:rsidRPr="00F01787">
        <w:t>T</w:t>
      </w:r>
      <w:r w:rsidR="00D2300C">
        <w:t>his study has not been assessed;</w:t>
      </w:r>
      <w:r w:rsidRPr="00F01787">
        <w:t xml:space="preserve"> rather</w:t>
      </w:r>
      <w:r w:rsidR="00D2300C">
        <w:t>,</w:t>
      </w:r>
      <w:r w:rsidRPr="00F01787">
        <w:t xml:space="preserve"> the results from it are quoted below.</w:t>
      </w:r>
      <w:r w:rsidR="005179E7">
        <w:t xml:space="preserve"> </w:t>
      </w:r>
    </w:p>
    <w:p w:rsidR="00F01787" w:rsidRPr="00F01787" w:rsidRDefault="00F01787" w:rsidP="00F01787">
      <w:r w:rsidRPr="00F01787">
        <w:t>The average azacitidine systemic exposure that would be ex</w:t>
      </w:r>
      <w:r>
        <w:t xml:space="preserve">pected following IV infusion of </w:t>
      </w:r>
      <w:r w:rsidRPr="00F01787">
        <w:t>75 mg/m</w:t>
      </w:r>
      <w:r w:rsidRPr="00F01787">
        <w:rPr>
          <w:vertAlign w:val="superscript"/>
        </w:rPr>
        <w:t>2</w:t>
      </w:r>
      <w:r w:rsidRPr="00F01787">
        <w:t xml:space="preserve"> over longer time periods was simulated using a two</w:t>
      </w:r>
      <w:r w:rsidR="00D2300C">
        <w:t xml:space="preserve"> </w:t>
      </w:r>
      <w:r w:rsidRPr="00F01787">
        <w:t>compartment model. The total azacitidine dose was set at 142.5 mg, which corresponds to a dose of 75 mg/m</w:t>
      </w:r>
      <w:r w:rsidRPr="00F01787">
        <w:rPr>
          <w:vertAlign w:val="superscript"/>
        </w:rPr>
        <w:t>2</w:t>
      </w:r>
      <w:r w:rsidRPr="00F01787">
        <w:t xml:space="preserve"> in a typical subject with body surface area of 1.9 m</w:t>
      </w:r>
      <w:r w:rsidRPr="00F01787">
        <w:rPr>
          <w:vertAlign w:val="superscript"/>
        </w:rPr>
        <w:t>2</w:t>
      </w:r>
      <w:r w:rsidRPr="00F01787">
        <w:t>.</w:t>
      </w:r>
    </w:p>
    <w:p w:rsidR="00F01787" w:rsidRPr="00F01787" w:rsidRDefault="00F01787" w:rsidP="00F01787">
      <w:r>
        <w:t xml:space="preserve">Figure 1 </w:t>
      </w:r>
      <w:r w:rsidRPr="00F01787">
        <w:t xml:space="preserve">presents the simulated mean IV profiles </w:t>
      </w:r>
      <w:r>
        <w:t xml:space="preserve">following a 20, 30, and 40 </w:t>
      </w:r>
      <w:r w:rsidR="007C0CF3">
        <w:t>min</w:t>
      </w:r>
      <w:r w:rsidRPr="00F01787">
        <w:t xml:space="preserve"> infusion. For comparison, the observed mean IV profile fol</w:t>
      </w:r>
      <w:r>
        <w:t xml:space="preserve">lowing a 10 </w:t>
      </w:r>
      <w:r w:rsidR="007C0CF3">
        <w:t>min</w:t>
      </w:r>
      <w:r w:rsidRPr="00F01787">
        <w:t xml:space="preserve"> infusion and the observed mean SC profile ha</w:t>
      </w:r>
      <w:r w:rsidR="00D2300C">
        <w:t>s</w:t>
      </w:r>
      <w:r w:rsidRPr="00F01787">
        <w:t xml:space="preserve"> been overlaid on the simulated IV profiles. Predicted azacitidine concentrations following 10</w:t>
      </w:r>
      <w:r>
        <w:t xml:space="preserve"> </w:t>
      </w:r>
      <w:r w:rsidR="007C0CF3">
        <w:t>min</w:t>
      </w:r>
      <w:r w:rsidRPr="00F01787">
        <w:t xml:space="preserve"> IV infusion were generally consistent with observed concentrations.</w:t>
      </w:r>
      <w:r w:rsidR="005179E7">
        <w:t xml:space="preserve"> </w:t>
      </w:r>
    </w:p>
    <w:p w:rsidR="00F01787" w:rsidRDefault="00D2300C" w:rsidP="00F01787">
      <w:pPr>
        <w:pStyle w:val="FigureTitle"/>
        <w:rPr>
          <w:lang w:val="en-GB"/>
        </w:rPr>
      </w:pPr>
      <w:r>
        <w:br w:type="page"/>
      </w:r>
      <w:r w:rsidR="00F01787">
        <w:lastRenderedPageBreak/>
        <w:t>Figure 1:</w:t>
      </w:r>
      <w:r w:rsidR="00F01787" w:rsidRPr="004C5C28">
        <w:t xml:space="preserve"> </w:t>
      </w:r>
      <w:r w:rsidR="00B27A5F">
        <w:t xml:space="preserve">Mean </w:t>
      </w:r>
      <w:proofErr w:type="spellStart"/>
      <w:r w:rsidR="00B27A5F">
        <w:t>azacitidine</w:t>
      </w:r>
      <w:proofErr w:type="spellEnd"/>
      <w:r w:rsidR="00B27A5F">
        <w:t xml:space="preserve"> pharmacokinetic profiles following administration of 75 mg/m</w:t>
      </w:r>
      <w:r w:rsidR="00B27A5F" w:rsidRPr="00B27A5F">
        <w:rPr>
          <w:vertAlign w:val="superscript"/>
        </w:rPr>
        <w:t>2</w:t>
      </w:r>
      <w:r w:rsidR="00B27A5F">
        <w:t xml:space="preserve"> via IV infusion or SC injection</w:t>
      </w:r>
      <w:r w:rsidR="00157407">
        <w:t>.</w:t>
      </w:r>
    </w:p>
    <w:p w:rsidR="00F01787" w:rsidRDefault="00AC7BD2" w:rsidP="00A95396">
      <w:pPr>
        <w:jc w:val="center"/>
      </w:pPr>
      <w:r>
        <w:rPr>
          <w:noProof/>
          <w:lang w:eastAsia="en-AU"/>
        </w:rPr>
        <w:drawing>
          <wp:inline distT="0" distB="0" distL="0" distR="0">
            <wp:extent cx="4055745" cy="2428875"/>
            <wp:effectExtent l="19050" t="0" r="1905" b="0"/>
            <wp:docPr id="10" name="Picture 1" descr="Figure 1: Mean azacitidine pharmacokinetic profiles following administration of 75 mg/m2 via IV infusion or SC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Mean azacitidine pharmacokinetic profiles following administration of 75 mg/m2 via IV infusion or SC injection."/>
                    <pic:cNvPicPr>
                      <a:picLocks noChangeAspect="1" noChangeArrowheads="1"/>
                    </pic:cNvPicPr>
                  </pic:nvPicPr>
                  <pic:blipFill>
                    <a:blip r:embed="rId16" cstate="print"/>
                    <a:srcRect/>
                    <a:stretch>
                      <a:fillRect/>
                    </a:stretch>
                  </pic:blipFill>
                  <pic:spPr bwMode="auto">
                    <a:xfrm>
                      <a:off x="0" y="0"/>
                      <a:ext cx="4055745" cy="2428875"/>
                    </a:xfrm>
                    <a:prstGeom prst="rect">
                      <a:avLst/>
                    </a:prstGeom>
                    <a:noFill/>
                    <a:ln w="9525">
                      <a:noFill/>
                      <a:miter lim="800000"/>
                      <a:headEnd/>
                      <a:tailEnd/>
                    </a:ln>
                  </pic:spPr>
                </pic:pic>
              </a:graphicData>
            </a:graphic>
          </wp:inline>
        </w:drawing>
      </w:r>
    </w:p>
    <w:p w:rsidR="00B27A5F" w:rsidRPr="00573EB1" w:rsidRDefault="00B27A5F" w:rsidP="00B27A5F">
      <w:pPr>
        <w:autoSpaceDE w:val="0"/>
        <w:autoSpaceDN w:val="0"/>
        <w:adjustRightInd w:val="0"/>
        <w:spacing w:before="0" w:after="0"/>
        <w:rPr>
          <w:color w:val="000000"/>
          <w:szCs w:val="24"/>
          <w:lang w:eastAsia="en-AU"/>
        </w:rPr>
      </w:pPr>
      <w:r w:rsidRPr="00573EB1">
        <w:rPr>
          <w:color w:val="000000"/>
          <w:szCs w:val="24"/>
          <w:lang w:eastAsia="en-AU"/>
        </w:rPr>
        <w:t xml:space="preserve">Population estimates of azacitidine exposure following each simulated IV infusion are presented in </w:t>
      </w:r>
      <w:r w:rsidR="00C13BE4">
        <w:rPr>
          <w:color w:val="000000"/>
          <w:szCs w:val="24"/>
          <w:lang w:eastAsia="en-AU"/>
        </w:rPr>
        <w:t xml:space="preserve">Table </w:t>
      </w:r>
      <w:r w:rsidR="00110FF5">
        <w:rPr>
          <w:color w:val="000000"/>
          <w:szCs w:val="24"/>
          <w:lang w:eastAsia="en-AU"/>
        </w:rPr>
        <w:t>1</w:t>
      </w:r>
      <w:r w:rsidRPr="00573EB1">
        <w:rPr>
          <w:color w:val="000000"/>
          <w:szCs w:val="24"/>
          <w:lang w:eastAsia="en-AU"/>
        </w:rPr>
        <w:t>. For reference, the average exposure parameters</w:t>
      </w:r>
      <w:r>
        <w:rPr>
          <w:color w:val="000000"/>
          <w:szCs w:val="24"/>
          <w:lang w:eastAsia="en-AU"/>
        </w:rPr>
        <w:t xml:space="preserve"> observed after SC injection of </w:t>
      </w:r>
      <w:r w:rsidRPr="00573EB1">
        <w:rPr>
          <w:color w:val="000000"/>
          <w:szCs w:val="24"/>
          <w:lang w:eastAsia="en-AU"/>
        </w:rPr>
        <w:t>75 mg/m</w:t>
      </w:r>
      <w:r w:rsidRPr="00573EB1">
        <w:rPr>
          <w:color w:val="000000"/>
          <w:szCs w:val="24"/>
          <w:vertAlign w:val="superscript"/>
          <w:lang w:eastAsia="en-AU"/>
        </w:rPr>
        <w:t>2</w:t>
      </w:r>
      <w:r w:rsidRPr="00573EB1">
        <w:rPr>
          <w:color w:val="000000"/>
          <w:szCs w:val="24"/>
          <w:lang w:eastAsia="en-AU"/>
        </w:rPr>
        <w:t xml:space="preserve"> are also reported, along with the ratio of IV </w:t>
      </w:r>
      <w:r w:rsidR="00E04C38">
        <w:rPr>
          <w:color w:val="000000"/>
          <w:szCs w:val="24"/>
          <w:lang w:eastAsia="en-AU"/>
        </w:rPr>
        <w:t xml:space="preserve">to SC mean exposure parameters: </w:t>
      </w:r>
      <w:proofErr w:type="spellStart"/>
      <w:r w:rsidR="00A83165">
        <w:t>C</w:t>
      </w:r>
      <w:r w:rsidR="00A83165" w:rsidRPr="00A83165">
        <w:rPr>
          <w:vertAlign w:val="subscript"/>
        </w:rPr>
        <w:t>max</w:t>
      </w:r>
      <w:proofErr w:type="spellEnd"/>
      <w:r w:rsidRPr="00573EB1">
        <w:rPr>
          <w:color w:val="000000"/>
          <w:szCs w:val="24"/>
          <w:lang w:eastAsia="en-AU"/>
        </w:rPr>
        <w:t xml:space="preserve"> and AUC</w:t>
      </w:r>
      <w:r w:rsidR="00E04C38">
        <w:rPr>
          <w:color w:val="000000"/>
          <w:szCs w:val="24"/>
          <w:lang w:eastAsia="en-AU"/>
        </w:rPr>
        <w:t xml:space="preserve"> (a</w:t>
      </w:r>
      <w:r w:rsidR="00E04C38" w:rsidRPr="00E04C38">
        <w:rPr>
          <w:color w:val="000000"/>
          <w:szCs w:val="24"/>
          <w:lang w:eastAsia="en-AU"/>
        </w:rPr>
        <w:t>rea under the plasma concentration-time curve</w:t>
      </w:r>
      <w:r w:rsidRPr="00573EB1">
        <w:rPr>
          <w:color w:val="000000"/>
          <w:szCs w:val="24"/>
          <w:lang w:eastAsia="en-AU"/>
        </w:rPr>
        <w:t>).</w:t>
      </w:r>
    </w:p>
    <w:p w:rsidR="00B27A5F" w:rsidRDefault="00B27A5F" w:rsidP="00B27A5F">
      <w:pPr>
        <w:pStyle w:val="FigureTitle"/>
        <w:rPr>
          <w:lang w:val="en-GB"/>
        </w:rPr>
      </w:pPr>
      <w:r>
        <w:t xml:space="preserve">Table </w:t>
      </w:r>
      <w:r w:rsidR="00110FF5">
        <w:t>1</w:t>
      </w:r>
      <w:r>
        <w:t>:</w:t>
      </w:r>
      <w:r w:rsidRPr="004C5C28">
        <w:t xml:space="preserve"> </w:t>
      </w:r>
      <w:r>
        <w:t>Simulated mean exposure parameters following IV infusion of 75 mg/m</w:t>
      </w:r>
      <w:r w:rsidRPr="00B27A5F">
        <w:rPr>
          <w:vertAlign w:val="superscript"/>
        </w:rPr>
        <w:t>2</w:t>
      </w:r>
      <w:r>
        <w:t xml:space="preserve"> </w:t>
      </w:r>
      <w:r w:rsidR="00A33207">
        <w:t xml:space="preserve">over 20, 30 and 40 </w:t>
      </w:r>
      <w:r w:rsidR="007C0CF3">
        <w:t>min</w:t>
      </w:r>
      <w:r w:rsidR="00A33207">
        <w:t>.</w:t>
      </w:r>
    </w:p>
    <w:p w:rsidR="00B27A5F" w:rsidRDefault="00AC7BD2" w:rsidP="00A95396">
      <w:pPr>
        <w:jc w:val="center"/>
      </w:pPr>
      <w:r>
        <w:rPr>
          <w:noProof/>
          <w:lang w:eastAsia="en-AU"/>
        </w:rPr>
        <w:drawing>
          <wp:inline distT="0" distB="0" distL="0" distR="0">
            <wp:extent cx="4768215" cy="1447165"/>
            <wp:effectExtent l="19050" t="0" r="0" b="0"/>
            <wp:docPr id="2" name="Picture 2" descr="Table 1: Simulated mean exposure parameters following IV infusion of 75 mg/m2 over 20, 30 and 40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Simulated mean exposure parameters following IV infusion of 75 mg/m2 over 20, 30 and 40 min."/>
                    <pic:cNvPicPr>
                      <a:picLocks noChangeAspect="1" noChangeArrowheads="1"/>
                    </pic:cNvPicPr>
                  </pic:nvPicPr>
                  <pic:blipFill>
                    <a:blip r:embed="rId17" cstate="print"/>
                    <a:srcRect/>
                    <a:stretch>
                      <a:fillRect/>
                    </a:stretch>
                  </pic:blipFill>
                  <pic:spPr bwMode="auto">
                    <a:xfrm>
                      <a:off x="0" y="0"/>
                      <a:ext cx="4768215" cy="1447165"/>
                    </a:xfrm>
                    <a:prstGeom prst="rect">
                      <a:avLst/>
                    </a:prstGeom>
                    <a:noFill/>
                    <a:ln w="9525">
                      <a:noFill/>
                      <a:miter lim="800000"/>
                      <a:headEnd/>
                      <a:tailEnd/>
                    </a:ln>
                  </pic:spPr>
                </pic:pic>
              </a:graphicData>
            </a:graphic>
          </wp:inline>
        </w:drawing>
      </w:r>
    </w:p>
    <w:p w:rsidR="00DC6923" w:rsidRPr="00DC6923" w:rsidRDefault="00DC6923" w:rsidP="00DC6923">
      <w:r w:rsidRPr="00DC6923">
        <w:t>The information presented in the PK studies is consistent with the information in the PI.</w:t>
      </w:r>
      <w:r w:rsidR="005179E7">
        <w:t xml:space="preserve"> </w:t>
      </w:r>
    </w:p>
    <w:p w:rsidR="008E7846" w:rsidRPr="008751DC" w:rsidRDefault="008E7846" w:rsidP="008E7846">
      <w:pPr>
        <w:pStyle w:val="Heading3"/>
      </w:pPr>
      <w:bookmarkStart w:id="27" w:name="_Toc247691509"/>
      <w:bookmarkStart w:id="28" w:name="_Toc314842493"/>
      <w:bookmarkStart w:id="29" w:name="_Toc364416391"/>
      <w:r>
        <w:t>Quality s</w:t>
      </w:r>
      <w:r w:rsidRPr="008751DC">
        <w:t>ummary</w:t>
      </w:r>
      <w:r>
        <w:t xml:space="preserve"> and conclusions</w:t>
      </w:r>
      <w:bookmarkEnd w:id="27"/>
      <w:bookmarkEnd w:id="28"/>
      <w:bookmarkEnd w:id="29"/>
    </w:p>
    <w:p w:rsidR="00CE6902" w:rsidRPr="00CE6902" w:rsidRDefault="00CE6902" w:rsidP="00CE6902">
      <w:r w:rsidRPr="00CE6902">
        <w:t xml:space="preserve">The application and the supporting data relating to the composition, development, manufacture, quality control, stability and bioavailability of the product have been assessed and checked for compliance, as applicable, with Australian legislation and requirements for new medicines and in accordance with </w:t>
      </w:r>
      <w:proofErr w:type="spellStart"/>
      <w:r w:rsidRPr="00CE6902">
        <w:t>pharmacopoeial</w:t>
      </w:r>
      <w:proofErr w:type="spellEnd"/>
      <w:r w:rsidRPr="00CE6902">
        <w:t xml:space="preserve"> standards and the technical guidelines adopted by the TGA. These data are complete and satisfactory except for the issues listed below.</w:t>
      </w:r>
    </w:p>
    <w:p w:rsidR="00CE6902" w:rsidRPr="00CE6902" w:rsidRDefault="00CE6902" w:rsidP="00CE6902">
      <w:pPr>
        <w:pStyle w:val="Heading4"/>
      </w:pPr>
      <w:r w:rsidRPr="00CE6902">
        <w:t>Drug product</w:t>
      </w:r>
    </w:p>
    <w:p w:rsidR="00CE6902" w:rsidRPr="00CE6902" w:rsidRDefault="00CE6902" w:rsidP="00311F68">
      <w:pPr>
        <w:pStyle w:val="ListBullet"/>
      </w:pPr>
      <w:r w:rsidRPr="00CE6902">
        <w:t>Please provide an assurance that no changes have been made to the manufacturing aspects of the drug product and that the only changes to the quality aspects are those regarding the drug product specification.</w:t>
      </w:r>
      <w:r w:rsidR="005179E7">
        <w:t xml:space="preserve"> </w:t>
      </w:r>
    </w:p>
    <w:p w:rsidR="00CE6902" w:rsidRPr="00CE6902" w:rsidRDefault="00CE6902" w:rsidP="00311F68">
      <w:pPr>
        <w:pStyle w:val="ListBullet"/>
      </w:pPr>
      <w:r w:rsidRPr="00CE6902">
        <w:t>The results from the compatibility study are quoted as a percentage of the initial azacitidine concentr</w:t>
      </w:r>
      <w:r w:rsidR="00AD7D1A">
        <w:t xml:space="preserve">ation in the IV fluid </w:t>
      </w:r>
      <w:proofErr w:type="spellStart"/>
      <w:r w:rsidR="00AD7D1A">
        <w:t>diluent</w:t>
      </w:r>
      <w:proofErr w:type="spellEnd"/>
      <w:r w:rsidR="00AD7D1A">
        <w:t xml:space="preserve">. </w:t>
      </w:r>
      <w:r w:rsidRPr="00CE6902">
        <w:t>No consideration seems to have been given to degradation of the drug substance prio</w:t>
      </w:r>
      <w:r w:rsidR="0079502D">
        <w:t>r to mixture with the IV fluid.</w:t>
      </w:r>
      <w:r w:rsidRPr="00CE6902">
        <w:t xml:space="preserve"> It is not </w:t>
      </w:r>
      <w:r w:rsidRPr="00CE6902">
        <w:lastRenderedPageBreak/>
        <w:t>clear from the results that the product would meet the assay expiry limi</w:t>
      </w:r>
      <w:r w:rsidR="00AD7D1A">
        <w:t xml:space="preserve">t after 60 </w:t>
      </w:r>
      <w:r w:rsidR="007C0CF3">
        <w:t>min</w:t>
      </w:r>
      <w:r w:rsidR="00AD7D1A">
        <w:t xml:space="preserve"> of storage. </w:t>
      </w:r>
      <w:r w:rsidRPr="00CE6902">
        <w:t xml:space="preserve">Therefore, it appears that the instruction in the PI of ‘Administration must be complete within </w:t>
      </w:r>
      <w:r w:rsidR="007C0CF3">
        <w:t>1 h</w:t>
      </w:r>
      <w:r w:rsidRPr="00CE6902">
        <w:t xml:space="preserve"> of reconstitution’ should be changed to ‘Administration must be complete within 30 </w:t>
      </w:r>
      <w:r w:rsidR="007C0CF3">
        <w:t>min</w:t>
      </w:r>
      <w:r w:rsidRPr="00CE6902">
        <w:t xml:space="preserve"> of reconstitution’.</w:t>
      </w:r>
      <w:r w:rsidR="005179E7">
        <w:t xml:space="preserve"> </w:t>
      </w:r>
    </w:p>
    <w:p w:rsidR="00CE6902" w:rsidRPr="00CE6902" w:rsidRDefault="00CE6902" w:rsidP="00311F68">
      <w:pPr>
        <w:pStyle w:val="ListBullet"/>
        <w:numPr>
          <w:ilvl w:val="0"/>
          <w:numId w:val="0"/>
        </w:numPr>
        <w:ind w:left="360"/>
      </w:pPr>
      <w:r w:rsidRPr="00CE6902">
        <w:t>Please comment on these observations and also provide an analysis of the degradants formed in the compatibility studies.</w:t>
      </w:r>
    </w:p>
    <w:p w:rsidR="008E7846" w:rsidRDefault="008E7846" w:rsidP="008E7846">
      <w:pPr>
        <w:pStyle w:val="Heading2"/>
      </w:pPr>
      <w:bookmarkStart w:id="30" w:name="_Toc196046439"/>
      <w:bookmarkStart w:id="31" w:name="_Toc247691510"/>
      <w:bookmarkStart w:id="32" w:name="_Toc314842494"/>
      <w:bookmarkStart w:id="33" w:name="_Toc364416392"/>
      <w:r>
        <w:t>III. Nonclinical</w:t>
      </w:r>
      <w:bookmarkEnd w:id="30"/>
      <w:r>
        <w:t xml:space="preserve"> findings</w:t>
      </w:r>
      <w:bookmarkEnd w:id="31"/>
      <w:bookmarkEnd w:id="32"/>
      <w:bookmarkEnd w:id="33"/>
    </w:p>
    <w:p w:rsidR="008E7846" w:rsidRDefault="008E7846" w:rsidP="008E7846">
      <w:pPr>
        <w:pStyle w:val="Heading3"/>
      </w:pPr>
      <w:bookmarkStart w:id="34" w:name="_Toc247691511"/>
      <w:bookmarkStart w:id="35" w:name="_Toc314842495"/>
      <w:bookmarkStart w:id="36" w:name="_Toc364416393"/>
      <w:r>
        <w:t>Introduction</w:t>
      </w:r>
      <w:bookmarkEnd w:id="34"/>
      <w:bookmarkEnd w:id="35"/>
      <w:bookmarkEnd w:id="36"/>
    </w:p>
    <w:p w:rsidR="00D02EE3" w:rsidRPr="00D02EE3" w:rsidRDefault="00D02EE3" w:rsidP="00D02EE3">
      <w:r w:rsidRPr="00D02EE3">
        <w:t>Vidaza (</w:t>
      </w:r>
      <w:proofErr w:type="spellStart"/>
      <w:r w:rsidRPr="00D02EE3">
        <w:t>azacitidine</w:t>
      </w:r>
      <w:proofErr w:type="spellEnd"/>
      <w:r w:rsidRPr="00D02EE3">
        <w:t xml:space="preserve">) is a </w:t>
      </w:r>
      <w:proofErr w:type="spellStart"/>
      <w:r w:rsidRPr="00D02EE3">
        <w:t>pyrimidine</w:t>
      </w:r>
      <w:proofErr w:type="spellEnd"/>
      <w:r w:rsidRPr="00D02EE3">
        <w:t xml:space="preserve"> analogue currently approved as an SC treatment for patients with:</w:t>
      </w:r>
    </w:p>
    <w:p w:rsidR="00D02EE3" w:rsidRPr="00D02EE3" w:rsidRDefault="00D02EE3" w:rsidP="00D02EE3">
      <w:pPr>
        <w:pStyle w:val="ListBullet"/>
      </w:pPr>
      <w:r w:rsidRPr="00D02EE3">
        <w:t xml:space="preserve">Intermediate-2 and High-risk </w:t>
      </w:r>
      <w:proofErr w:type="spellStart"/>
      <w:r w:rsidRPr="00D02EE3">
        <w:t>Myelodysplastic</w:t>
      </w:r>
      <w:proofErr w:type="spellEnd"/>
      <w:r w:rsidRPr="00D02EE3">
        <w:t xml:space="preserve"> Syndromes (MDS) according to the International Prognostic Scoring System (IPSS);</w:t>
      </w:r>
    </w:p>
    <w:p w:rsidR="00D02EE3" w:rsidRPr="00D02EE3" w:rsidRDefault="00D02EE3" w:rsidP="00D02EE3">
      <w:pPr>
        <w:pStyle w:val="ListBullet"/>
      </w:pPr>
      <w:r w:rsidRPr="00D02EE3">
        <w:t xml:space="preserve">Chronic </w:t>
      </w:r>
      <w:proofErr w:type="spellStart"/>
      <w:r w:rsidRPr="00D02EE3">
        <w:t>Myelomonocytic</w:t>
      </w:r>
      <w:proofErr w:type="spellEnd"/>
      <w:r w:rsidRPr="00D02EE3">
        <w:t xml:space="preserve"> Leukaemia (</w:t>
      </w:r>
      <w:proofErr w:type="spellStart"/>
      <w:r w:rsidRPr="00D02EE3">
        <w:t>CMMoL</w:t>
      </w:r>
      <w:proofErr w:type="spellEnd"/>
      <w:r w:rsidRPr="00D02EE3">
        <w:t xml:space="preserve"> (10%-29% marrow blasts without </w:t>
      </w:r>
      <w:proofErr w:type="spellStart"/>
      <w:r w:rsidRPr="00D02EE3">
        <w:t>Myeloproliferative</w:t>
      </w:r>
      <w:proofErr w:type="spellEnd"/>
      <w:r w:rsidRPr="00D02EE3">
        <w:t xml:space="preserve"> Disorder));</w:t>
      </w:r>
    </w:p>
    <w:p w:rsidR="00D02EE3" w:rsidRPr="00D02EE3" w:rsidRDefault="00D02EE3" w:rsidP="00D02EE3">
      <w:pPr>
        <w:pStyle w:val="ListBullet"/>
      </w:pPr>
      <w:r w:rsidRPr="00D02EE3">
        <w:t>Acute Myeloid Leukaemia (AML) with 20-30% blasts and multi</w:t>
      </w:r>
      <w:r w:rsidR="001E4538">
        <w:t xml:space="preserve"> </w:t>
      </w:r>
      <w:r w:rsidRPr="00D02EE3">
        <w:t xml:space="preserve">lineage dysplasia, according to World Health Organisation Classification (WHO), in whom </w:t>
      </w:r>
      <w:proofErr w:type="spellStart"/>
      <w:r w:rsidRPr="00D02EE3">
        <w:t>allogeneic</w:t>
      </w:r>
      <w:proofErr w:type="spellEnd"/>
      <w:r w:rsidRPr="00D02EE3">
        <w:t xml:space="preserve"> stem cell transplantation is not indicated.</w:t>
      </w:r>
    </w:p>
    <w:p w:rsidR="00D02EE3" w:rsidRPr="00D02EE3" w:rsidRDefault="00D02EE3" w:rsidP="00D02EE3">
      <w:r w:rsidRPr="00D02EE3">
        <w:t xml:space="preserve">The current submission seeks approval for a new route of administration (IV infusion over 10 to 40 min). No changes are proposed to the formulation, dose or dosage regimen; however, a number of proposed changes to the </w:t>
      </w:r>
      <w:r w:rsidR="00C557F4">
        <w:t>PI</w:t>
      </w:r>
      <w:r w:rsidRPr="00D02EE3">
        <w:t xml:space="preserve"> document require nonclinical comment.</w:t>
      </w:r>
    </w:p>
    <w:p w:rsidR="00D02EE3" w:rsidRPr="00D02EE3" w:rsidRDefault="00D02EE3" w:rsidP="00D02EE3">
      <w:r w:rsidRPr="00D02EE3">
        <w:t xml:space="preserve">No new data were provided </w:t>
      </w:r>
      <w:r w:rsidR="006F071F">
        <w:t>to the nonclinical evaluator</w:t>
      </w:r>
      <w:r w:rsidRPr="00D02EE3">
        <w:t xml:space="preserve"> to support the new route of administration. Previously evaluated studies (Studies ADL-NCI-72-35 and ADL-NCI-72-38; SN 2008-1751-4) were submitted to address local tolerance and toxicity issues associated with IV administration. A study (Study DMP-002) examining the effects of azacitidine on a series of CYP450 enzymes was submitted. In response to a </w:t>
      </w:r>
      <w:r w:rsidR="00046341">
        <w:t>Section 31</w:t>
      </w:r>
      <w:r w:rsidRPr="00D02EE3">
        <w:t xml:space="preserve"> request, the </w:t>
      </w:r>
      <w:r w:rsidR="00110FF5">
        <w:t>sponsor provided four</w:t>
      </w:r>
      <w:r w:rsidRPr="00D02EE3">
        <w:t xml:space="preserve"> new cardiovascular safety pharmacology studies.</w:t>
      </w:r>
    </w:p>
    <w:p w:rsidR="008E7846" w:rsidRDefault="008E7846" w:rsidP="008E7846">
      <w:pPr>
        <w:pStyle w:val="Heading3"/>
      </w:pPr>
      <w:bookmarkStart w:id="37" w:name="_Toc247691512"/>
      <w:bookmarkStart w:id="38" w:name="_Toc314842496"/>
      <w:bookmarkStart w:id="39" w:name="_Toc364416394"/>
      <w:r w:rsidRPr="00020030">
        <w:t>Pharmacology</w:t>
      </w:r>
      <w:bookmarkEnd w:id="37"/>
      <w:bookmarkEnd w:id="38"/>
      <w:bookmarkEnd w:id="39"/>
    </w:p>
    <w:p w:rsidR="0065532C" w:rsidRPr="0065532C" w:rsidRDefault="0065532C" w:rsidP="0065532C">
      <w:r w:rsidRPr="0065532C">
        <w:t xml:space="preserve">Dogs that received ≥2 mg/kg IV azacitidine had marked tachycardia while hypotension was evident at ≥4 mg/kg IV. An increase in the </w:t>
      </w:r>
      <w:proofErr w:type="spellStart"/>
      <w:r w:rsidRPr="0065532C">
        <w:t>QTc</w:t>
      </w:r>
      <w:proofErr w:type="spellEnd"/>
      <w:r w:rsidRPr="0065532C">
        <w:t xml:space="preserve"> interval was also seen at ≥2 mg/kg IV. A decrease in PR interval was seen at these doses but this was likely associated with the increase in heart rate. An increase in </w:t>
      </w:r>
      <w:proofErr w:type="spellStart"/>
      <w:r w:rsidRPr="0065532C">
        <w:t>creatine</w:t>
      </w:r>
      <w:proofErr w:type="spellEnd"/>
      <w:r w:rsidRPr="0065532C">
        <w:t xml:space="preserve"> </w:t>
      </w:r>
      <w:proofErr w:type="spellStart"/>
      <w:r w:rsidRPr="0065532C">
        <w:t>kinase</w:t>
      </w:r>
      <w:proofErr w:type="spellEnd"/>
      <w:r w:rsidRPr="0065532C">
        <w:t xml:space="preserve"> fraction 2 (CK-MB)</w:t>
      </w:r>
      <w:r w:rsidR="00161521">
        <w:t xml:space="preserve"> </w:t>
      </w:r>
      <w:r w:rsidRPr="0065532C">
        <w:t xml:space="preserve">on </w:t>
      </w:r>
      <w:r w:rsidR="00161521">
        <w:t>D</w:t>
      </w:r>
      <w:r w:rsidRPr="0065532C">
        <w:t>ay 1 suggested some damage to cardiac muscles.</w:t>
      </w:r>
      <w:r w:rsidR="00B258A4">
        <w:rPr>
          <w:rStyle w:val="FootnoteReference"/>
        </w:rPr>
        <w:footnoteReference w:id="2"/>
      </w:r>
      <w:r w:rsidRPr="0065532C">
        <w:t xml:space="preserve"> </w:t>
      </w:r>
      <w:r w:rsidRPr="004F0554">
        <w:rPr>
          <w:i/>
        </w:rPr>
        <w:t>In vitro</w:t>
      </w:r>
      <w:r w:rsidRPr="0065532C">
        <w:t xml:space="preserve"> studies were conducted in an attempt to understand the </w:t>
      </w:r>
      <w:r w:rsidRPr="004F0554">
        <w:rPr>
          <w:i/>
        </w:rPr>
        <w:t>in vivo</w:t>
      </w:r>
      <w:r w:rsidRPr="0065532C">
        <w:t xml:space="preserve"> findings. A decrease in the spontaneous beating rate was seen in guinea pig </w:t>
      </w:r>
      <w:proofErr w:type="spellStart"/>
      <w:r w:rsidRPr="0065532C">
        <w:t>atrial</w:t>
      </w:r>
      <w:proofErr w:type="spellEnd"/>
      <w:r w:rsidRPr="0065532C">
        <w:t xml:space="preserve"> preparations at ≥10 </w:t>
      </w:r>
      <w:r w:rsidR="00116447">
        <w:t>µ</w:t>
      </w:r>
      <w:r w:rsidRPr="0065532C">
        <w:t xml:space="preserve">M (approximately equivalent to the clinical </w:t>
      </w:r>
      <w:proofErr w:type="spellStart"/>
      <w:r w:rsidR="00A83165">
        <w:t>C</w:t>
      </w:r>
      <w:r w:rsidR="00A83165" w:rsidRPr="00A83165">
        <w:rPr>
          <w:vertAlign w:val="subscript"/>
        </w:rPr>
        <w:t>max</w:t>
      </w:r>
      <w:proofErr w:type="spellEnd"/>
      <w:r w:rsidRPr="0065532C">
        <w:t xml:space="preserve"> from a 10 min IV infusion) and a small decrease in heart rate was seen in isolated guinea pig heart preparations at ≥20 µM (~2 times the clinical </w:t>
      </w:r>
      <w:proofErr w:type="spellStart"/>
      <w:r w:rsidR="00A83165">
        <w:t>C</w:t>
      </w:r>
      <w:r w:rsidR="00A83165" w:rsidRPr="00A83165">
        <w:rPr>
          <w:vertAlign w:val="subscript"/>
        </w:rPr>
        <w:t>max</w:t>
      </w:r>
      <w:proofErr w:type="spellEnd"/>
      <w:r w:rsidRPr="0065532C">
        <w:t xml:space="preserve"> from a 10 min IV infusion), suggesting a negative </w:t>
      </w:r>
      <w:proofErr w:type="spellStart"/>
      <w:r w:rsidRPr="0065532C">
        <w:t>chronotropic</w:t>
      </w:r>
      <w:proofErr w:type="spellEnd"/>
      <w:r w:rsidRPr="0065532C">
        <w:t xml:space="preserve"> effect rather than the positive effect seen </w:t>
      </w:r>
      <w:r w:rsidRPr="00601DFB">
        <w:rPr>
          <w:i/>
        </w:rPr>
        <w:t>in vivo</w:t>
      </w:r>
      <w:r w:rsidRPr="0065532C">
        <w:t xml:space="preserve">. There was no evidence of a </w:t>
      </w:r>
      <w:proofErr w:type="spellStart"/>
      <w:r w:rsidRPr="0065532C">
        <w:t>vasodilatory</w:t>
      </w:r>
      <w:proofErr w:type="spellEnd"/>
      <w:r w:rsidRPr="0065532C">
        <w:t xml:space="preserve"> effect in isolated rat aorta preparations at ≤40 µM (3.8 times the clinical </w:t>
      </w:r>
      <w:proofErr w:type="spellStart"/>
      <w:r w:rsidR="00A83165">
        <w:t>C</w:t>
      </w:r>
      <w:r w:rsidR="00A83165" w:rsidRPr="00A83165">
        <w:rPr>
          <w:vertAlign w:val="subscript"/>
        </w:rPr>
        <w:t>max</w:t>
      </w:r>
      <w:proofErr w:type="spellEnd"/>
      <w:r w:rsidRPr="0065532C">
        <w:t xml:space="preserve"> from a 10 min IV infusion). No </w:t>
      </w:r>
      <w:r w:rsidRPr="004F0554">
        <w:rPr>
          <w:i/>
        </w:rPr>
        <w:t>in vitro</w:t>
      </w:r>
      <w:r w:rsidRPr="0065532C">
        <w:t xml:space="preserve"> studies have been conducted to assess effects on </w:t>
      </w:r>
      <w:proofErr w:type="spellStart"/>
      <w:r w:rsidRPr="0065532C">
        <w:t>QTc</w:t>
      </w:r>
      <w:proofErr w:type="spellEnd"/>
      <w:r w:rsidRPr="0065532C">
        <w:t xml:space="preserve"> interval. Nonetheless, findings in the </w:t>
      </w:r>
      <w:r w:rsidRPr="006763BA">
        <w:rPr>
          <w:i/>
        </w:rPr>
        <w:t>in vitro</w:t>
      </w:r>
      <w:r w:rsidRPr="0065532C">
        <w:t xml:space="preserve"> studies with </w:t>
      </w:r>
      <w:r w:rsidRPr="0065532C">
        <w:lastRenderedPageBreak/>
        <w:t xml:space="preserve">azacitidine (decreased heart rate and a lack of a </w:t>
      </w:r>
      <w:proofErr w:type="spellStart"/>
      <w:r w:rsidRPr="0065532C">
        <w:t>vasodilatory</w:t>
      </w:r>
      <w:proofErr w:type="spellEnd"/>
      <w:r w:rsidRPr="0065532C">
        <w:t xml:space="preserve"> effect) did not correlate with those seen in the </w:t>
      </w:r>
      <w:r w:rsidRPr="009E636E">
        <w:rPr>
          <w:i/>
        </w:rPr>
        <w:t>in vivo</w:t>
      </w:r>
      <w:r w:rsidRPr="0065532C">
        <w:t xml:space="preserve"> study in dogs. However, the cardiovascular changes in dogs occurred at least 2 h after administration, far later than the </w:t>
      </w:r>
      <w:r w:rsidR="001E3005">
        <w:t xml:space="preserve">time to reach maximum </w:t>
      </w:r>
      <w:r w:rsidR="001E3005" w:rsidRPr="001E3005">
        <w:t xml:space="preserve">plasma concentration </w:t>
      </w:r>
      <w:r w:rsidR="001E3005">
        <w:t>(</w:t>
      </w:r>
      <w:proofErr w:type="spellStart"/>
      <w:r w:rsidRPr="0065532C">
        <w:t>T</w:t>
      </w:r>
      <w:r w:rsidRPr="00A83165">
        <w:rPr>
          <w:vertAlign w:val="subscript"/>
        </w:rPr>
        <w:t>max</w:t>
      </w:r>
      <w:proofErr w:type="spellEnd"/>
      <w:r w:rsidR="001E3005">
        <w:t>)</w:t>
      </w:r>
      <w:r w:rsidRPr="0065532C">
        <w:t xml:space="preserve"> for </w:t>
      </w:r>
      <w:proofErr w:type="spellStart"/>
      <w:r w:rsidRPr="0065532C">
        <w:t>azacitidine</w:t>
      </w:r>
      <w:proofErr w:type="spellEnd"/>
      <w:r w:rsidRPr="0065532C">
        <w:t xml:space="preserve"> (0.17 h)</w:t>
      </w:r>
      <w:r w:rsidR="007E4871">
        <w:t>,</w:t>
      </w:r>
      <w:r w:rsidRPr="0065532C">
        <w:t xml:space="preserve"> suggesting it may not be associated directly with azacitidine. Association with an azacitidine metabolite cannot be ruled out. As the effects in dogs occurred at plasma levels of azacitidine similar to that anticipated clinically from</w:t>
      </w:r>
      <w:r w:rsidR="004F0554">
        <w:t xml:space="preserve"> a 10 min IV infusion of </w:t>
      </w:r>
      <w:proofErr w:type="spellStart"/>
      <w:r w:rsidR="004F0554">
        <w:t>Vidaza</w:t>
      </w:r>
      <w:proofErr w:type="spellEnd"/>
      <w:r w:rsidRPr="0065532C">
        <w:t>, adverse cardiovascular effects may be seen clinically with the propo</w:t>
      </w:r>
      <w:r w:rsidR="00B258A4">
        <w:t>sed new route of administration (</w:t>
      </w:r>
      <w:r w:rsidR="00D00D94">
        <w:t xml:space="preserve">for further details, </w:t>
      </w:r>
      <w:r w:rsidR="00B258A4">
        <w:t>see Section VI of this AusPAR).</w:t>
      </w:r>
    </w:p>
    <w:p w:rsidR="008E7846" w:rsidRDefault="008E7846" w:rsidP="008E7846">
      <w:pPr>
        <w:pStyle w:val="Heading3"/>
      </w:pPr>
      <w:bookmarkStart w:id="40" w:name="_Toc247691513"/>
      <w:bookmarkStart w:id="41" w:name="_Toc314842497"/>
      <w:bookmarkStart w:id="42" w:name="_Toc364416395"/>
      <w:r>
        <w:t>Pharmacokinetics</w:t>
      </w:r>
      <w:bookmarkEnd w:id="40"/>
      <w:bookmarkEnd w:id="41"/>
      <w:bookmarkEnd w:id="42"/>
    </w:p>
    <w:p w:rsidR="0065532C" w:rsidRDefault="00110FF5" w:rsidP="0065532C">
      <w:r>
        <w:t>Table 2</w:t>
      </w:r>
      <w:r w:rsidR="0065532C" w:rsidRPr="0065532C">
        <w:t xml:space="preserve"> has a comparison of exposure (AUC and </w:t>
      </w:r>
      <w:proofErr w:type="spellStart"/>
      <w:r w:rsidR="00A83165">
        <w:t>C</w:t>
      </w:r>
      <w:r w:rsidR="00A83165" w:rsidRPr="00A83165">
        <w:rPr>
          <w:vertAlign w:val="subscript"/>
        </w:rPr>
        <w:t>max</w:t>
      </w:r>
      <w:proofErr w:type="spellEnd"/>
      <w:r w:rsidR="0065532C" w:rsidRPr="0065532C">
        <w:t xml:space="preserve">) following SC administration and IV infusion in human subjects. The data following SC administration and the 10 </w:t>
      </w:r>
      <w:r w:rsidR="007C0CF3">
        <w:t>min</w:t>
      </w:r>
      <w:r w:rsidR="0065532C" w:rsidRPr="0065532C">
        <w:t xml:space="preserve"> IV infusion were presented in the clinical Study AZA-2002-BA-002, while data for the 40 </w:t>
      </w:r>
      <w:r w:rsidR="007C0CF3">
        <w:t>min</w:t>
      </w:r>
      <w:r w:rsidR="0065532C" w:rsidRPr="0065532C">
        <w:t xml:space="preserve"> IV infusion were simulated based on data from this clinical study. The adequacy of the simulated data is not discussed in this report. The data indicate greater exposure, in particular </w:t>
      </w:r>
      <w:proofErr w:type="spellStart"/>
      <w:r w:rsidR="00A83165">
        <w:t>C</w:t>
      </w:r>
      <w:r w:rsidR="00A83165" w:rsidRPr="00A83165">
        <w:rPr>
          <w:vertAlign w:val="subscript"/>
        </w:rPr>
        <w:t>max</w:t>
      </w:r>
      <w:proofErr w:type="spellEnd"/>
      <w:r w:rsidR="0065532C" w:rsidRPr="0065532C">
        <w:t>, following IV infusion compared with SC administration.</w:t>
      </w:r>
    </w:p>
    <w:p w:rsidR="00C53D02" w:rsidRDefault="00C53D02" w:rsidP="00C53D02">
      <w:pPr>
        <w:pStyle w:val="FigureTitle"/>
        <w:rPr>
          <w:lang w:val="en-GB"/>
        </w:rPr>
      </w:pPr>
      <w:r>
        <w:t xml:space="preserve">Table </w:t>
      </w:r>
      <w:r w:rsidR="00110FF5">
        <w:t>2</w:t>
      </w:r>
      <w:r>
        <w:t>:</w:t>
      </w:r>
      <w:r w:rsidRPr="004C5C28">
        <w:t xml:space="preserve"> </w:t>
      </w:r>
      <w:r>
        <w:t>Mean exposure parameters following IV infusion or SC administration of 75 mg/m</w:t>
      </w:r>
      <w:r>
        <w:rPr>
          <w:vertAlign w:val="superscript"/>
        </w:rPr>
        <w:t>2</w:t>
      </w:r>
      <w:r>
        <w:t xml:space="preserve"> azacitidine in patients.</w:t>
      </w:r>
    </w:p>
    <w:p w:rsidR="00B209F0" w:rsidRDefault="00AC7BD2" w:rsidP="0065532C">
      <w:r>
        <w:rPr>
          <w:noProof/>
          <w:lang w:eastAsia="en-AU"/>
        </w:rPr>
        <w:drawing>
          <wp:inline distT="0" distB="0" distL="0" distR="0">
            <wp:extent cx="5401945" cy="1205865"/>
            <wp:effectExtent l="19050" t="0" r="8255" b="0"/>
            <wp:docPr id="3" name="Picture 3" descr="Table 2: Mean exposure parameters following IV infusion or SC administration of 75 mg/m2 azacitidine in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Mean exposure parameters following IV infusion or SC administration of 75 mg/m2 azacitidine in patients."/>
                    <pic:cNvPicPr>
                      <a:picLocks noChangeAspect="1" noChangeArrowheads="1"/>
                    </pic:cNvPicPr>
                  </pic:nvPicPr>
                  <pic:blipFill>
                    <a:blip r:embed="rId18" cstate="print"/>
                    <a:srcRect/>
                    <a:stretch>
                      <a:fillRect/>
                    </a:stretch>
                  </pic:blipFill>
                  <pic:spPr bwMode="auto">
                    <a:xfrm>
                      <a:off x="0" y="0"/>
                      <a:ext cx="5401945" cy="1205865"/>
                    </a:xfrm>
                    <a:prstGeom prst="rect">
                      <a:avLst/>
                    </a:prstGeom>
                    <a:noFill/>
                    <a:ln w="9525">
                      <a:noFill/>
                      <a:miter lim="800000"/>
                      <a:headEnd/>
                      <a:tailEnd/>
                    </a:ln>
                  </pic:spPr>
                </pic:pic>
              </a:graphicData>
            </a:graphic>
          </wp:inline>
        </w:drawing>
      </w:r>
    </w:p>
    <w:p w:rsidR="00C0647C" w:rsidRPr="001258AE" w:rsidRDefault="00C0647C" w:rsidP="00C0647C">
      <w:pPr>
        <w:pStyle w:val="Heading4"/>
        <w:rPr>
          <w:kern w:val="2"/>
        </w:rPr>
      </w:pPr>
      <w:bookmarkStart w:id="43" w:name="_Toc294861725"/>
      <w:r w:rsidRPr="001258AE">
        <w:rPr>
          <w:kern w:val="2"/>
        </w:rPr>
        <w:t>Pharmacokinetic drug interactions</w:t>
      </w:r>
      <w:bookmarkEnd w:id="43"/>
    </w:p>
    <w:p w:rsidR="00C0647C" w:rsidRPr="00C0647C" w:rsidRDefault="00C0647C" w:rsidP="00C0647C">
      <w:r w:rsidRPr="00C0647C">
        <w:t xml:space="preserve">Previously submitted data indicated low to moderate inhibition of CYP1A2 and 2E1 at 100 </w:t>
      </w:r>
      <w:r w:rsidRPr="00C0647C">
        <w:sym w:font="Symbol" w:char="F06D"/>
      </w:r>
      <w:r w:rsidRPr="00C0647C">
        <w:t xml:space="preserve">M (~35 times the clinical </w:t>
      </w:r>
      <w:proofErr w:type="spellStart"/>
      <w:r w:rsidR="00A83165">
        <w:t>C</w:t>
      </w:r>
      <w:r w:rsidR="00A83165" w:rsidRPr="00A83165">
        <w:rPr>
          <w:vertAlign w:val="subscript"/>
        </w:rPr>
        <w:t>max</w:t>
      </w:r>
      <w:proofErr w:type="spellEnd"/>
      <w:r w:rsidRPr="00C0647C">
        <w:t xml:space="preserve"> following SC administration; ~9 times the </w:t>
      </w:r>
      <w:proofErr w:type="spellStart"/>
      <w:r w:rsidR="00A83165">
        <w:t>C</w:t>
      </w:r>
      <w:r w:rsidR="00A83165" w:rsidRPr="00A83165">
        <w:rPr>
          <w:vertAlign w:val="subscript"/>
        </w:rPr>
        <w:t>max</w:t>
      </w:r>
      <w:proofErr w:type="spellEnd"/>
      <w:r w:rsidRPr="00C0647C">
        <w:t xml:space="preserve"> following 10 min IV infusion). No CYP450 induction was seen in human </w:t>
      </w:r>
      <w:proofErr w:type="spellStart"/>
      <w:r w:rsidRPr="00C0647C">
        <w:t>hepatocytes</w:t>
      </w:r>
      <w:proofErr w:type="spellEnd"/>
      <w:r w:rsidRPr="00C0647C">
        <w:t xml:space="preserve"> with 100 </w:t>
      </w:r>
      <w:r w:rsidRPr="00C0647C">
        <w:sym w:font="Symbol" w:char="F06D"/>
      </w:r>
      <w:r w:rsidRPr="00C0647C">
        <w:t>M azac</w:t>
      </w:r>
      <w:r w:rsidR="00FA75A0">
        <w:t>itidine. Decreased activity (29-</w:t>
      </w:r>
      <w:r w:rsidRPr="00C0647C">
        <w:t xml:space="preserve">78%) of CYP1A2, 2C19 and 3A4/5 was seen with a depression of CYP450 seen </w:t>
      </w:r>
      <w:r w:rsidRPr="009E169B">
        <w:rPr>
          <w:i/>
        </w:rPr>
        <w:t>in vivo</w:t>
      </w:r>
      <w:r w:rsidRPr="00C0647C">
        <w:t xml:space="preserve"> in mice. The newly submitted study indicated azacitidin</w:t>
      </w:r>
      <w:r w:rsidR="009E169B">
        <w:t xml:space="preserve">e was neither a direct nor time </w:t>
      </w:r>
      <w:r w:rsidRPr="00C0647C">
        <w:t>dependent inhibitor of CYP2B6 and CYP2C8.</w:t>
      </w:r>
    </w:p>
    <w:p w:rsidR="008E7846" w:rsidRDefault="008E7846" w:rsidP="008E7846">
      <w:pPr>
        <w:pStyle w:val="Heading3"/>
      </w:pPr>
      <w:bookmarkStart w:id="44" w:name="_Toc247691514"/>
      <w:bookmarkStart w:id="45" w:name="_Toc314842498"/>
      <w:bookmarkStart w:id="46" w:name="_Toc364416396"/>
      <w:r>
        <w:t>Toxicology</w:t>
      </w:r>
      <w:bookmarkEnd w:id="44"/>
      <w:bookmarkEnd w:id="45"/>
      <w:bookmarkEnd w:id="46"/>
    </w:p>
    <w:p w:rsidR="006100C3" w:rsidRPr="006100C3" w:rsidRDefault="006100C3" w:rsidP="006100C3">
      <w:r w:rsidRPr="006100C3">
        <w:t>Previously submitted toxicity studies with azacitidine consisted of IV studies in dogs and rhesus monkeys. Adverse effects were seen on the lungs, bone marrow, spleen, lymph nodes and liver. Effects were also seen on the kidneys of monkeys. These effects occurred at doses similar to, or less than, the expected clinical dose based on body surface area. Adverse effects were also seen on male fertility and embryof</w:t>
      </w:r>
      <w:r w:rsidR="00D8216C">
        <w:t>o</w:t>
      </w:r>
      <w:r w:rsidRPr="006100C3">
        <w:t xml:space="preserve">etal development. </w:t>
      </w:r>
      <w:proofErr w:type="spellStart"/>
      <w:r w:rsidRPr="006100C3">
        <w:t>Azacitidine</w:t>
      </w:r>
      <w:proofErr w:type="spellEnd"/>
      <w:r w:rsidRPr="006100C3">
        <w:t xml:space="preserve"> was </w:t>
      </w:r>
      <w:proofErr w:type="spellStart"/>
      <w:r w:rsidRPr="006100C3">
        <w:t>genotoxic</w:t>
      </w:r>
      <w:proofErr w:type="spellEnd"/>
      <w:r w:rsidRPr="006100C3">
        <w:t xml:space="preserve"> and carcinogenic at subclinical doses. It was concluded that there was substantial, potentially lethal, risks in humans at the recommended SC dose. </w:t>
      </w:r>
    </w:p>
    <w:p w:rsidR="006100C3" w:rsidRPr="006100C3" w:rsidRDefault="006100C3" w:rsidP="006100C3">
      <w:r w:rsidRPr="006100C3">
        <w:t xml:space="preserve">Given the greater exposure following IV infusion more severe toxicity is expected with the new route of administration. The expected </w:t>
      </w:r>
      <w:proofErr w:type="spellStart"/>
      <w:r w:rsidR="00A83165">
        <w:t>C</w:t>
      </w:r>
      <w:r w:rsidR="00A83165" w:rsidRPr="00A83165">
        <w:rPr>
          <w:vertAlign w:val="subscript"/>
        </w:rPr>
        <w:t>max</w:t>
      </w:r>
      <w:proofErr w:type="spellEnd"/>
      <w:r w:rsidRPr="006100C3">
        <w:t xml:space="preserve"> following IV infusion for 10 min is ~4 times that seen following SC administration</w:t>
      </w:r>
      <w:r w:rsidR="00D00D94">
        <w:t xml:space="preserve"> (for further details, see Section VI of this AusPAR)</w:t>
      </w:r>
      <w:r w:rsidRPr="006100C3">
        <w:t>. There is, therefore, a greater potential for adverse CNS and cardiovascular e</w:t>
      </w:r>
      <w:r w:rsidR="00D8216C">
        <w:t xml:space="preserve">ffects following IV infusion compared with </w:t>
      </w:r>
      <w:r w:rsidRPr="006100C3">
        <w:t xml:space="preserve">SC administration. No adequate nonclinical </w:t>
      </w:r>
      <w:r w:rsidRPr="006100C3">
        <w:lastRenderedPageBreak/>
        <w:t>data were presented to</w:t>
      </w:r>
      <w:r w:rsidR="00814E33">
        <w:t xml:space="preserve"> assess effects on CNS activity</w:t>
      </w:r>
      <w:r w:rsidR="00814E33" w:rsidRPr="00814E33">
        <w:t xml:space="preserve"> </w:t>
      </w:r>
      <w:r w:rsidR="00814E33">
        <w:t>(for further details, see Section VI of this AusPAR)</w:t>
      </w:r>
      <w:r w:rsidR="00814E33" w:rsidRPr="006100C3">
        <w:t>.</w:t>
      </w:r>
    </w:p>
    <w:p w:rsidR="006100C3" w:rsidRPr="006100C3" w:rsidRDefault="006100C3" w:rsidP="006100C3">
      <w:pPr>
        <w:pStyle w:val="Heading4"/>
      </w:pPr>
      <w:r w:rsidRPr="006100C3">
        <w:t>Local tolerance</w:t>
      </w:r>
    </w:p>
    <w:p w:rsidR="006100C3" w:rsidRPr="006100C3" w:rsidRDefault="006100C3" w:rsidP="006100C3">
      <w:r w:rsidRPr="006100C3">
        <w:t>In a skin irritation study in rabbits, azacitidine produced mild, reversible irritation but only at a concent</w:t>
      </w:r>
      <w:r w:rsidR="004F0554">
        <w:t>ration of 9%. Neither of the re</w:t>
      </w:r>
      <w:r w:rsidRPr="006100C3">
        <w:t>submitted toxicity studies used the cli</w:t>
      </w:r>
      <w:r w:rsidR="004F0554">
        <w:t xml:space="preserve">nical formulation of </w:t>
      </w:r>
      <w:proofErr w:type="spellStart"/>
      <w:r w:rsidR="004F0554">
        <w:t>Vidaza</w:t>
      </w:r>
      <w:proofErr w:type="spellEnd"/>
      <w:r w:rsidR="004F0554">
        <w:t xml:space="preserve"> (that is, </w:t>
      </w:r>
      <w:r w:rsidRPr="006100C3">
        <w:t xml:space="preserve">containing the </w:t>
      </w:r>
      <w:proofErr w:type="spellStart"/>
      <w:r w:rsidRPr="006100C3">
        <w:t>excipient</w:t>
      </w:r>
      <w:proofErr w:type="spellEnd"/>
      <w:r w:rsidRPr="006100C3">
        <w:t xml:space="preserve"> </w:t>
      </w:r>
      <w:proofErr w:type="spellStart"/>
      <w:r w:rsidRPr="006100C3">
        <w:t>mannitol</w:t>
      </w:r>
      <w:proofErr w:type="spellEnd"/>
      <w:r w:rsidRPr="006100C3">
        <w:t xml:space="preserve">). Therefore, no adequate studies have been submitted to assess local reactions following IV administration of Vidaza or effects associated with </w:t>
      </w:r>
      <w:proofErr w:type="spellStart"/>
      <w:r w:rsidRPr="006100C3">
        <w:t>perivascular</w:t>
      </w:r>
      <w:proofErr w:type="spellEnd"/>
      <w:r w:rsidRPr="006100C3">
        <w:t xml:space="preserve"> administration which may occur in the event of misadministration. In response to a </w:t>
      </w:r>
      <w:r w:rsidR="00046341">
        <w:t>Section 31</w:t>
      </w:r>
      <w:r w:rsidRPr="006100C3">
        <w:t xml:space="preserve"> request, the </w:t>
      </w:r>
      <w:r w:rsidR="004F0554">
        <w:t>s</w:t>
      </w:r>
      <w:r w:rsidRPr="006100C3">
        <w:t>ponsor cited clinical data to assess local reactions following IV infusion. These data are not assessed here.</w:t>
      </w:r>
    </w:p>
    <w:p w:rsidR="006100C3" w:rsidRPr="006100C3" w:rsidRDefault="006100C3" w:rsidP="006100C3">
      <w:pPr>
        <w:pStyle w:val="Heading4"/>
      </w:pPr>
      <w:bookmarkStart w:id="47" w:name="_Toc295290868"/>
      <w:bookmarkStart w:id="48" w:name="_Toc327367997"/>
      <w:r w:rsidRPr="006100C3">
        <w:t>Comments on the Safety Specification of the Risk Management Plan</w:t>
      </w:r>
      <w:bookmarkEnd w:id="47"/>
      <w:bookmarkEnd w:id="48"/>
    </w:p>
    <w:p w:rsidR="006100C3" w:rsidRPr="006100C3" w:rsidRDefault="006100C3" w:rsidP="006100C3">
      <w:r w:rsidRPr="006100C3">
        <w:t xml:space="preserve">The following comments refer to the Nonclinical Safety Specification included in the </w:t>
      </w:r>
      <w:r>
        <w:t>s</w:t>
      </w:r>
      <w:r w:rsidRPr="006100C3">
        <w:t>ponsor’s draft Ri</w:t>
      </w:r>
      <w:r w:rsidR="004F0554">
        <w:t>sk Management Plan</w:t>
      </w:r>
      <w:r w:rsidRPr="006100C3">
        <w:t xml:space="preserve"> </w:t>
      </w:r>
      <w:r w:rsidR="00BE773E">
        <w:t xml:space="preserve">(RMP) </w:t>
      </w:r>
      <w:r w:rsidRPr="006100C3">
        <w:t xml:space="preserve">accompanying the </w:t>
      </w:r>
      <w:r w:rsidR="00FF1415">
        <w:t>s</w:t>
      </w:r>
      <w:r w:rsidRPr="006100C3">
        <w:t xml:space="preserve">ponsor’s application letter </w:t>
      </w:r>
      <w:r w:rsidR="00D8216C">
        <w:t>(</w:t>
      </w:r>
      <w:r w:rsidRPr="006100C3">
        <w:t>26 March 2012</w:t>
      </w:r>
      <w:r w:rsidR="00D8216C">
        <w:t>)</w:t>
      </w:r>
      <w:r w:rsidRPr="006100C3">
        <w:t xml:space="preserve">. Results and conclusions drawn from the nonclinical program for azacitidine are generally consistent with previous </w:t>
      </w:r>
      <w:r w:rsidR="004F0554">
        <w:t>n</w:t>
      </w:r>
      <w:r w:rsidRPr="006100C3">
        <w:t xml:space="preserve">onclinical </w:t>
      </w:r>
      <w:r w:rsidR="004F0554">
        <w:t>e</w:t>
      </w:r>
      <w:r w:rsidRPr="006100C3">
        <w:t xml:space="preserve">valuation </w:t>
      </w:r>
      <w:r w:rsidR="004F0554">
        <w:t>r</w:t>
      </w:r>
      <w:r w:rsidRPr="006100C3">
        <w:t>eports cardiovascular safety pharmacology studies submitted in this application. Adequacy of the clinical cardiovascular findings cited in the nonclinical safety specification requires clinical comment.</w:t>
      </w:r>
    </w:p>
    <w:p w:rsidR="008E7846" w:rsidRDefault="008E7846" w:rsidP="008E7846">
      <w:pPr>
        <w:pStyle w:val="Heading3"/>
      </w:pPr>
      <w:bookmarkStart w:id="49" w:name="_Toc247691515"/>
      <w:bookmarkStart w:id="50" w:name="_Toc314842499"/>
      <w:bookmarkStart w:id="51" w:name="_Toc364416397"/>
      <w:r>
        <w:t>Nonclinical summary and conclusions</w:t>
      </w:r>
      <w:bookmarkEnd w:id="49"/>
      <w:bookmarkEnd w:id="50"/>
      <w:bookmarkEnd w:id="51"/>
    </w:p>
    <w:p w:rsidR="00D100D4" w:rsidRPr="00D100D4" w:rsidRDefault="00D100D4" w:rsidP="00D100D4">
      <w:pPr>
        <w:pStyle w:val="ListBullet"/>
      </w:pPr>
      <w:proofErr w:type="spellStart"/>
      <w:r w:rsidRPr="00D100D4">
        <w:t>Celgene</w:t>
      </w:r>
      <w:proofErr w:type="spellEnd"/>
      <w:r w:rsidRPr="00D100D4">
        <w:t xml:space="preserve"> Pty Ltd has applied for the approval of a new route of administration for Vidaza (azacitidine). Vidaza is currently approved for SC administration. The new route of administration is via IV infusion over 10 to 40 min. No changes are proposed to the formulation, dose or dosage regimen.</w:t>
      </w:r>
    </w:p>
    <w:p w:rsidR="00D100D4" w:rsidRPr="00D100D4" w:rsidRDefault="00D100D4" w:rsidP="00D100D4">
      <w:pPr>
        <w:pStyle w:val="ListBullet"/>
      </w:pPr>
      <w:r w:rsidRPr="00D100D4">
        <w:t xml:space="preserve">Four new safety pharmacology studies were submitted. Tachycardia, hypotension and </w:t>
      </w:r>
      <w:proofErr w:type="spellStart"/>
      <w:r w:rsidRPr="00D100D4">
        <w:t>QTc</w:t>
      </w:r>
      <w:proofErr w:type="spellEnd"/>
      <w:r w:rsidRPr="00D100D4">
        <w:t xml:space="preserve"> prolongation was seen in dogs that received ≥2 mg/kg IV azacitidine, resulting in plasma levels of azacitidine similar to that anticipated clinically from a 10 min IV infusion of Vidaza. </w:t>
      </w:r>
      <w:r w:rsidRPr="00D100D4">
        <w:rPr>
          <w:i/>
        </w:rPr>
        <w:t>In vitro</w:t>
      </w:r>
      <w:r w:rsidRPr="00D100D4">
        <w:t xml:space="preserve"> studies suggested that this is unlikely to be associated directly with azacitidine, but based on </w:t>
      </w:r>
      <w:r w:rsidRPr="008E1303">
        <w:rPr>
          <w:i/>
        </w:rPr>
        <w:t>in vivo</w:t>
      </w:r>
      <w:r w:rsidRPr="00D100D4">
        <w:t xml:space="preserve"> incidences occurring ~2 h after peak azacitidine levels, an association with a metabolite cannot be ruled out.</w:t>
      </w:r>
    </w:p>
    <w:p w:rsidR="00D100D4" w:rsidRPr="00D100D4" w:rsidRDefault="00D100D4" w:rsidP="00D100D4">
      <w:pPr>
        <w:pStyle w:val="ListBullet"/>
      </w:pPr>
      <w:r w:rsidRPr="00D100D4">
        <w:t xml:space="preserve">A newly submitted study indicated azacitidine was neither a direct nor time-dependent inhibitor of </w:t>
      </w:r>
      <w:r>
        <w:t xml:space="preserve">CYP2B6 and CYP2C8 at clinically </w:t>
      </w:r>
      <w:r w:rsidRPr="00D100D4">
        <w:t>relevant concentrations.</w:t>
      </w:r>
    </w:p>
    <w:p w:rsidR="00D100D4" w:rsidRPr="00D100D4" w:rsidRDefault="00D100D4" w:rsidP="00D100D4">
      <w:pPr>
        <w:pStyle w:val="ListBullet"/>
      </w:pPr>
      <w:r w:rsidRPr="00D100D4">
        <w:t xml:space="preserve">As there is greater systemic exposure (1.1 times the AUC and ~4 times the </w:t>
      </w:r>
      <w:proofErr w:type="spellStart"/>
      <w:r w:rsidR="00A83165">
        <w:t>C</w:t>
      </w:r>
      <w:r w:rsidR="00A83165" w:rsidRPr="00A83165">
        <w:rPr>
          <w:vertAlign w:val="subscript"/>
        </w:rPr>
        <w:t>max</w:t>
      </w:r>
      <w:proofErr w:type="spellEnd"/>
      <w:r w:rsidRPr="00D100D4">
        <w:t xml:space="preserve">) with an IV infusion of 10 min </w:t>
      </w:r>
      <w:r w:rsidR="007419EB">
        <w:t xml:space="preserve">compared with </w:t>
      </w:r>
      <w:r w:rsidRPr="00D100D4">
        <w:t xml:space="preserve">that achieved with the approved administration route, greater toxicity to the lungs, bone marrow, spleen, lymph nodes, liver and kidneys may be seen during clinical use. The greater </w:t>
      </w:r>
      <w:proofErr w:type="spellStart"/>
      <w:r w:rsidR="00A83165">
        <w:t>C</w:t>
      </w:r>
      <w:r w:rsidR="00A83165" w:rsidRPr="00A83165">
        <w:rPr>
          <w:vertAlign w:val="subscript"/>
        </w:rPr>
        <w:t>max</w:t>
      </w:r>
      <w:proofErr w:type="spellEnd"/>
      <w:r w:rsidRPr="00D100D4">
        <w:t xml:space="preserve"> with IV infusion indicates a potential increase in adverse cardiovascular events. Less risk is likely with a longer infusion </w:t>
      </w:r>
      <w:r w:rsidR="00834B8D">
        <w:t>time</w:t>
      </w:r>
      <w:r w:rsidRPr="00D100D4">
        <w:t>.</w:t>
      </w:r>
    </w:p>
    <w:p w:rsidR="00D100D4" w:rsidRPr="00D100D4" w:rsidRDefault="00D100D4" w:rsidP="00D100D4">
      <w:pPr>
        <w:pStyle w:val="ListBullet"/>
      </w:pPr>
      <w:r w:rsidRPr="00D100D4">
        <w:t>No adequate local tolerance studies have been submitted.</w:t>
      </w:r>
    </w:p>
    <w:p w:rsidR="00D100D4" w:rsidRPr="00D100D4" w:rsidRDefault="00D100D4" w:rsidP="00D100D4">
      <w:pPr>
        <w:pStyle w:val="ListBullet"/>
      </w:pPr>
      <w:r w:rsidRPr="00D100D4">
        <w:t>Nonclinical data indicate a greater risk for toxicity with the new route of administration. These risks, in particular a potential increase in adverse cardiac events, should be carefully considered when assessing the risk/benefit balance for the new route of administration.</w:t>
      </w:r>
    </w:p>
    <w:p w:rsidR="008E7846" w:rsidRPr="00D100D4" w:rsidRDefault="00D100D4" w:rsidP="00D100D4">
      <w:pPr>
        <w:pStyle w:val="ListBullet"/>
      </w:pPr>
      <w:r w:rsidRPr="00D100D4">
        <w:t xml:space="preserve">Should the new route of administration be approved on clinical grounds, the </w:t>
      </w:r>
      <w:r w:rsidR="00ED1FA7">
        <w:t>PI</w:t>
      </w:r>
      <w:r w:rsidRPr="00D100D4">
        <w:t xml:space="preserve"> should be amended as directed.</w:t>
      </w:r>
    </w:p>
    <w:p w:rsidR="008E7846" w:rsidRPr="00254787" w:rsidRDefault="008E7846" w:rsidP="008E7846">
      <w:pPr>
        <w:pStyle w:val="Heading2"/>
      </w:pPr>
      <w:bookmarkStart w:id="52" w:name="_Toc196046462"/>
      <w:bookmarkStart w:id="53" w:name="_Toc247691516"/>
      <w:bookmarkStart w:id="54" w:name="_Toc314842500"/>
      <w:bookmarkStart w:id="55" w:name="_Toc364416398"/>
      <w:bookmarkStart w:id="56" w:name="_Toc163441353"/>
      <w:bookmarkStart w:id="57" w:name="_Toc163441348"/>
      <w:r>
        <w:lastRenderedPageBreak/>
        <w:t xml:space="preserve">IV. </w:t>
      </w:r>
      <w:r w:rsidRPr="00254787">
        <w:t>Clinical</w:t>
      </w:r>
      <w:bookmarkEnd w:id="52"/>
      <w:r>
        <w:t xml:space="preserve"> </w:t>
      </w:r>
      <w:r w:rsidR="003A7F6C">
        <w:t>f</w:t>
      </w:r>
      <w:r>
        <w:t>indings</w:t>
      </w:r>
      <w:bookmarkEnd w:id="53"/>
      <w:bookmarkEnd w:id="54"/>
      <w:bookmarkEnd w:id="55"/>
    </w:p>
    <w:p w:rsidR="00C80137" w:rsidRDefault="00C80137" w:rsidP="008E7846">
      <w:pPr>
        <w:rPr>
          <w:i/>
        </w:rPr>
      </w:pPr>
      <w:bookmarkStart w:id="58" w:name="_Toc196046463"/>
      <w:r>
        <w:rPr>
          <w:i/>
        </w:rPr>
        <w:t xml:space="preserve">A summary of the </w:t>
      </w:r>
      <w:r w:rsidRPr="00FD70B8">
        <w:rPr>
          <w:i/>
        </w:rPr>
        <w:t xml:space="preserve">clinical findings is presented in this section. </w:t>
      </w:r>
      <w:r>
        <w:rPr>
          <w:i/>
        </w:rPr>
        <w:t xml:space="preserve">Further details of these </w:t>
      </w:r>
      <w:r w:rsidRPr="00FD70B8">
        <w:rPr>
          <w:i/>
        </w:rPr>
        <w:t>clinical findings can be found in Attachment 2.</w:t>
      </w:r>
    </w:p>
    <w:p w:rsidR="008E7846" w:rsidRDefault="008E7846" w:rsidP="008E7846">
      <w:pPr>
        <w:pStyle w:val="Heading3"/>
      </w:pPr>
      <w:bookmarkStart w:id="59" w:name="_Toc247691517"/>
      <w:bookmarkStart w:id="60" w:name="_Toc314842501"/>
      <w:bookmarkStart w:id="61" w:name="_Toc364416399"/>
      <w:r w:rsidRPr="00254787">
        <w:t>Introduction</w:t>
      </w:r>
      <w:bookmarkEnd w:id="58"/>
      <w:bookmarkEnd w:id="59"/>
      <w:bookmarkEnd w:id="60"/>
      <w:bookmarkEnd w:id="61"/>
    </w:p>
    <w:p w:rsidR="004F0554" w:rsidRDefault="004F0554" w:rsidP="004F0554">
      <w:r>
        <w:t>The submission contained the following clinical information:</w:t>
      </w:r>
    </w:p>
    <w:p w:rsidR="004F0554" w:rsidRPr="006A08A1" w:rsidRDefault="004F0554" w:rsidP="004F0554">
      <w:pPr>
        <w:pStyle w:val="ListBullet"/>
      </w:pPr>
      <w:r>
        <w:t>0 new clinical studies.</w:t>
      </w:r>
    </w:p>
    <w:p w:rsidR="004F0554" w:rsidRPr="004F0554" w:rsidRDefault="004F0554" w:rsidP="004F0554">
      <w:pPr>
        <w:pStyle w:val="ListBullet"/>
      </w:pPr>
      <w:r w:rsidRPr="004F0554">
        <w:t xml:space="preserve">1 Clinical Safety Report (CSR) relating to clinical </w:t>
      </w:r>
      <w:r w:rsidR="00FA7D69">
        <w:t>S</w:t>
      </w:r>
      <w:r w:rsidRPr="004F0554">
        <w:t>tudy CALGB 8421. That study was submitted with the initial application</w:t>
      </w:r>
      <w:r>
        <w:t xml:space="preserve"> for registration </w:t>
      </w:r>
      <w:r w:rsidRPr="004F0554">
        <w:t xml:space="preserve">and evaluated in </w:t>
      </w:r>
      <w:r>
        <w:t>the first round evaluation</w:t>
      </w:r>
      <w:r w:rsidRPr="004F0554">
        <w:t>.</w:t>
      </w:r>
    </w:p>
    <w:p w:rsidR="004F0554" w:rsidRPr="004F0554" w:rsidRDefault="004F0554" w:rsidP="004F0554">
      <w:pPr>
        <w:pStyle w:val="ListBullet"/>
      </w:pPr>
      <w:r w:rsidRPr="004F0554">
        <w:t xml:space="preserve">1 population pharmacokinetic analysis, based on data from Study AZA-2002-BA-002. That study was submitted with the initial application for registration and evaluated in </w:t>
      </w:r>
      <w:r>
        <w:t>the first round evaluation</w:t>
      </w:r>
      <w:r w:rsidRPr="004F0554">
        <w:t>.</w:t>
      </w:r>
    </w:p>
    <w:p w:rsidR="004F0554" w:rsidRPr="004F0554" w:rsidRDefault="004F0554" w:rsidP="004F0554">
      <w:pPr>
        <w:pStyle w:val="ListBullet"/>
      </w:pPr>
      <w:r w:rsidRPr="004F0554">
        <w:t xml:space="preserve">Literature references. These comprised a subset of the references cited in: (a) the </w:t>
      </w:r>
      <w:r w:rsidR="00587B89">
        <w:t>p</w:t>
      </w:r>
      <w:r w:rsidRPr="004F0554">
        <w:t xml:space="preserve">harmacokinetic modelling report, (b) a report identified as </w:t>
      </w:r>
      <w:r w:rsidRPr="004F0554">
        <w:rPr>
          <w:bCs/>
        </w:rPr>
        <w:t xml:space="preserve">Azacitidine-DMPK-002 (relating to an </w:t>
      </w:r>
      <w:r w:rsidRPr="004F0554">
        <w:rPr>
          <w:bCs/>
          <w:i/>
        </w:rPr>
        <w:t>in vitro</w:t>
      </w:r>
      <w:r w:rsidRPr="004F0554">
        <w:rPr>
          <w:bCs/>
        </w:rPr>
        <w:t xml:space="preserve"> study)</w:t>
      </w:r>
      <w:r w:rsidRPr="004F0554">
        <w:t xml:space="preserve"> and (c) the CSR on Study CALGB 8421. None contributed any new clinical data supporting the application.</w:t>
      </w:r>
    </w:p>
    <w:p w:rsidR="008E7846" w:rsidRPr="00254787" w:rsidRDefault="008E7846" w:rsidP="008E7846">
      <w:pPr>
        <w:pStyle w:val="Heading3"/>
      </w:pPr>
      <w:bookmarkStart w:id="62" w:name="_Toc196046464"/>
      <w:bookmarkStart w:id="63" w:name="_Toc247691518"/>
      <w:bookmarkStart w:id="64" w:name="_Toc314842502"/>
      <w:bookmarkStart w:id="65" w:name="_Toc364416400"/>
      <w:r w:rsidRPr="00254787">
        <w:t>Pharmacokinetics</w:t>
      </w:r>
      <w:bookmarkEnd w:id="56"/>
      <w:bookmarkEnd w:id="62"/>
      <w:bookmarkEnd w:id="63"/>
      <w:bookmarkEnd w:id="64"/>
      <w:bookmarkEnd w:id="65"/>
    </w:p>
    <w:p w:rsidR="00E549C4" w:rsidRDefault="00E549C4" w:rsidP="00E549C4">
      <w:r w:rsidRPr="00E549C4">
        <w:t xml:space="preserve">In </w:t>
      </w:r>
      <w:r>
        <w:t>the evaluator’s opinion, due to</w:t>
      </w:r>
    </w:p>
    <w:p w:rsidR="00E549C4" w:rsidRDefault="00E549C4" w:rsidP="00E549C4">
      <w:pPr>
        <w:pStyle w:val="ListBullet"/>
      </w:pPr>
      <w:r>
        <w:t>the</w:t>
      </w:r>
      <w:r w:rsidRPr="00E549C4">
        <w:t xml:space="preserve"> paucity of data used in developing the popu</w:t>
      </w:r>
      <w:r>
        <w:t>lation pharmacokinetic model;</w:t>
      </w:r>
    </w:p>
    <w:p w:rsidR="00E549C4" w:rsidRDefault="00E549C4" w:rsidP="00E549C4">
      <w:pPr>
        <w:pStyle w:val="ListBullet"/>
      </w:pPr>
      <w:r w:rsidRPr="00E549C4">
        <w:t>the fact that individual patient characteristics w</w:t>
      </w:r>
      <w:r>
        <w:t>ere not taken into account; and</w:t>
      </w:r>
    </w:p>
    <w:p w:rsidR="00E549C4" w:rsidRDefault="00E549C4" w:rsidP="00E549C4">
      <w:pPr>
        <w:pStyle w:val="ListBullet"/>
      </w:pPr>
      <w:r w:rsidRPr="00E549C4">
        <w:t>the la</w:t>
      </w:r>
      <w:r>
        <w:t>ck of validation</w:t>
      </w:r>
    </w:p>
    <w:p w:rsidR="00E549C4" w:rsidRPr="00E549C4" w:rsidRDefault="00E549C4" w:rsidP="00E549C4">
      <w:r w:rsidRPr="00E549C4">
        <w:t xml:space="preserve">the population pharmacokinetic modelling is of little utility. </w:t>
      </w:r>
      <w:r>
        <w:t xml:space="preserve">The evaluator </w:t>
      </w:r>
      <w:r w:rsidRPr="00E549C4">
        <w:t>doubt</w:t>
      </w:r>
      <w:r>
        <w:t>s</w:t>
      </w:r>
      <w:r w:rsidRPr="00E549C4">
        <w:t xml:space="preserve"> that the sponsor has anything to gain, for the purposes of the present application, by correcti</w:t>
      </w:r>
      <w:r w:rsidR="00F7416A">
        <w:t>ng the presentational flaws</w:t>
      </w:r>
      <w:r w:rsidRPr="00E549C4">
        <w:t xml:space="preserve"> in view of these other problems. At best, the results of the modelling suggest IV regimens which might be studied in a further clinical pharmacokinetic comparison.</w:t>
      </w:r>
    </w:p>
    <w:p w:rsidR="008E7846" w:rsidRDefault="008E7846" w:rsidP="008E7846">
      <w:pPr>
        <w:pStyle w:val="Heading3"/>
      </w:pPr>
      <w:bookmarkStart w:id="66" w:name="_Toc196046481"/>
      <w:bookmarkStart w:id="67" w:name="_Toc247691520"/>
      <w:bookmarkStart w:id="68" w:name="_Toc314842503"/>
      <w:bookmarkStart w:id="69" w:name="_Toc364416401"/>
      <w:r w:rsidRPr="00254787">
        <w:t>Pharmacodynamics</w:t>
      </w:r>
      <w:bookmarkEnd w:id="57"/>
      <w:bookmarkEnd w:id="66"/>
      <w:bookmarkEnd w:id="67"/>
      <w:bookmarkEnd w:id="68"/>
      <w:bookmarkEnd w:id="69"/>
    </w:p>
    <w:p w:rsidR="008E7846" w:rsidRPr="00630FB7" w:rsidRDefault="004F0554" w:rsidP="008E7846">
      <w:r>
        <w:rPr>
          <w:color w:val="000000"/>
        </w:rPr>
        <w:t>No data.</w:t>
      </w:r>
    </w:p>
    <w:p w:rsidR="008E7846" w:rsidRPr="00254787" w:rsidRDefault="008E7846" w:rsidP="008E7846">
      <w:pPr>
        <w:pStyle w:val="Heading3"/>
      </w:pPr>
      <w:bookmarkStart w:id="70" w:name="_Toc163441372"/>
      <w:bookmarkStart w:id="71" w:name="_Toc196046485"/>
      <w:bookmarkStart w:id="72" w:name="_Toc247691521"/>
      <w:bookmarkStart w:id="73" w:name="_Toc314842504"/>
      <w:bookmarkStart w:id="74" w:name="_Toc364416402"/>
      <w:r w:rsidRPr="00254787">
        <w:t>Efficacy</w:t>
      </w:r>
      <w:bookmarkEnd w:id="70"/>
      <w:bookmarkEnd w:id="71"/>
      <w:bookmarkEnd w:id="72"/>
      <w:bookmarkEnd w:id="73"/>
      <w:bookmarkEnd w:id="74"/>
    </w:p>
    <w:p w:rsidR="00651CA8" w:rsidRPr="00651CA8" w:rsidRDefault="00651CA8" w:rsidP="00651CA8">
      <w:bookmarkStart w:id="75" w:name="_Toc184439992"/>
      <w:bookmarkStart w:id="76" w:name="_Toc184440279"/>
      <w:bookmarkStart w:id="77" w:name="_Toc184444657"/>
      <w:bookmarkStart w:id="78" w:name="_Toc196046487"/>
      <w:r w:rsidRPr="00651CA8">
        <w:t>In assessing a different mode of administration, consideration must be given to the possibility that the peaks associated with IV administration may be associated with AEs, or that the profile of the concentration v</w:t>
      </w:r>
      <w:r w:rsidR="00B77088">
        <w:t>ersus</w:t>
      </w:r>
      <w:r w:rsidRPr="00651CA8">
        <w:t xml:space="preserve"> time curve may be important to efficacy.</w:t>
      </w:r>
      <w:r w:rsidR="005179E7">
        <w:t xml:space="preserve"> </w:t>
      </w:r>
    </w:p>
    <w:p w:rsidR="00651CA8" w:rsidRPr="00651CA8" w:rsidRDefault="00651CA8" w:rsidP="00651CA8">
      <w:pPr>
        <w:pStyle w:val="Heading4"/>
      </w:pPr>
      <w:r>
        <w:t xml:space="preserve">Study CALGB 8421 re </w:t>
      </w:r>
      <w:r w:rsidRPr="00651CA8">
        <w:t>analysis</w:t>
      </w:r>
    </w:p>
    <w:p w:rsidR="00651CA8" w:rsidRPr="00651CA8" w:rsidRDefault="00651CA8" w:rsidP="00651CA8">
      <w:r w:rsidRPr="00651CA8">
        <w:t>The efficacy results from this small, open, uncontrolled pilot study could only ever have been useful as a pointer to further res</w:t>
      </w:r>
      <w:r w:rsidR="00D84BE7">
        <w:t>earch, and the retrospective re</w:t>
      </w:r>
      <w:r w:rsidRPr="00651CA8">
        <w:t>definition of the primary endpoint further calls the results into question. As the rate of IV administration used in the study was not as now proposed, and there is some doubt about what rate w</w:t>
      </w:r>
      <w:r>
        <w:t xml:space="preserve">as </w:t>
      </w:r>
      <w:r>
        <w:lastRenderedPageBreak/>
        <w:t>actually used in the study, the clinical evaluator</w:t>
      </w:r>
      <w:r w:rsidRPr="00651CA8">
        <w:t xml:space="preserve"> consider</w:t>
      </w:r>
      <w:r>
        <w:t>s</w:t>
      </w:r>
      <w:r w:rsidRPr="00651CA8">
        <w:t xml:space="preserve"> that its efficacy data provide no support to the present application.</w:t>
      </w:r>
    </w:p>
    <w:p w:rsidR="00651CA8" w:rsidRPr="00651CA8" w:rsidRDefault="00651CA8" w:rsidP="00651CA8">
      <w:pPr>
        <w:pStyle w:val="Heading4"/>
      </w:pPr>
      <w:r w:rsidRPr="00651CA8">
        <w:t>Study AZA-2002-BA-002 PK modelling report</w:t>
      </w:r>
    </w:p>
    <w:p w:rsidR="00651CA8" w:rsidRPr="00651CA8" w:rsidRDefault="00651CA8" w:rsidP="00651CA8">
      <w:r w:rsidRPr="00651CA8">
        <w:t xml:space="preserve">In the absence of clinical evidence justifying the precise infusion times proposed, it is necessary to demonstrate that the proposed IV infusion results in a profile similar to that resulting from SC administration </w:t>
      </w:r>
      <w:r w:rsidR="00F7416A">
        <w:t xml:space="preserve">with a </w:t>
      </w:r>
      <w:r w:rsidRPr="00651CA8">
        <w:t xml:space="preserve">similar </w:t>
      </w:r>
      <w:proofErr w:type="spellStart"/>
      <w:r w:rsidR="00A83165">
        <w:t>C</w:t>
      </w:r>
      <w:r w:rsidR="00A83165" w:rsidRPr="00A83165">
        <w:rPr>
          <w:vertAlign w:val="subscript"/>
        </w:rPr>
        <w:t>max</w:t>
      </w:r>
      <w:proofErr w:type="spellEnd"/>
      <w:r w:rsidRPr="00651CA8">
        <w:t xml:space="preserve"> and AUC. This cannot be concluded with confidence from the modelling report submitted.</w:t>
      </w:r>
    </w:p>
    <w:p w:rsidR="008E7846" w:rsidRPr="002E238E" w:rsidRDefault="008E7846" w:rsidP="008E7846">
      <w:pPr>
        <w:pStyle w:val="Heading3"/>
      </w:pPr>
      <w:bookmarkStart w:id="79" w:name="_Toc163441378"/>
      <w:bookmarkStart w:id="80" w:name="_Toc196046495"/>
      <w:bookmarkStart w:id="81" w:name="_Toc247691522"/>
      <w:bookmarkStart w:id="82" w:name="_Toc314842505"/>
      <w:bookmarkStart w:id="83" w:name="_Toc364416403"/>
      <w:bookmarkEnd w:id="75"/>
      <w:bookmarkEnd w:id="76"/>
      <w:bookmarkEnd w:id="77"/>
      <w:bookmarkEnd w:id="78"/>
      <w:r w:rsidRPr="002E238E">
        <w:t>Safety</w:t>
      </w:r>
      <w:bookmarkEnd w:id="79"/>
      <w:bookmarkEnd w:id="80"/>
      <w:bookmarkEnd w:id="81"/>
      <w:bookmarkEnd w:id="82"/>
      <w:bookmarkEnd w:id="83"/>
    </w:p>
    <w:p w:rsidR="00D84BE7" w:rsidRDefault="00D84BE7" w:rsidP="00D84BE7">
      <w:pPr>
        <w:autoSpaceDE w:val="0"/>
        <w:autoSpaceDN w:val="0"/>
        <w:adjustRightInd w:val="0"/>
      </w:pPr>
      <w:bookmarkStart w:id="84" w:name="_Toc163441387"/>
      <w:r>
        <w:t>In the evaluator’s opinion, no valid conclusion can be drawn from the data regarding the relative safety or tolerability of the approved SC mode of administration and the proposed IV mode, for the following reasons:</w:t>
      </w:r>
    </w:p>
    <w:p w:rsidR="00D84BE7" w:rsidRDefault="00D84BE7" w:rsidP="00D84BE7">
      <w:pPr>
        <w:pStyle w:val="ListBullet"/>
      </w:pPr>
      <w:r>
        <w:t>the studies involved different designs and populations, with Study 8421 (for example) including higher risk patients;</w:t>
      </w:r>
    </w:p>
    <w:p w:rsidR="00D84BE7" w:rsidRDefault="00D84BE7" w:rsidP="00D84BE7">
      <w:pPr>
        <w:pStyle w:val="ListBullet"/>
      </w:pPr>
      <w:r>
        <w:t>the duration of IV administration in Study 8421 was not similar to that now proposed; and</w:t>
      </w:r>
    </w:p>
    <w:p w:rsidR="00D84BE7" w:rsidRDefault="00D84BE7" w:rsidP="00D84BE7">
      <w:pPr>
        <w:pStyle w:val="ListBullet"/>
      </w:pPr>
      <w:r>
        <w:t>Study 8421 was small.</w:t>
      </w:r>
    </w:p>
    <w:p w:rsidR="00D84BE7" w:rsidRDefault="00D84BE7" w:rsidP="00D84BE7">
      <w:pPr>
        <w:autoSpaceDE w:val="0"/>
        <w:autoSpaceDN w:val="0"/>
        <w:adjustRightInd w:val="0"/>
      </w:pPr>
      <w:r>
        <w:t xml:space="preserve">The only available clinical data relating to safety and tolerability of the proposed 10-40 min IV infusion are from Study </w:t>
      </w:r>
      <w:r w:rsidRPr="00A97D45">
        <w:t>AZA-2002-BA-002</w:t>
      </w:r>
      <w:r>
        <w:t xml:space="preserve">, in which 6 patients were each treated once IV over 10 </w:t>
      </w:r>
      <w:r w:rsidR="007C0CF3">
        <w:t>min</w:t>
      </w:r>
      <w:r w:rsidR="0021684B">
        <w:t>. This is not, in the evaluator’s</w:t>
      </w:r>
      <w:r>
        <w:t xml:space="preserve"> opinion, an adequate basis for assessment, but the </w:t>
      </w:r>
      <w:proofErr w:type="spellStart"/>
      <w:r w:rsidR="00A83165">
        <w:t>C</w:t>
      </w:r>
      <w:r w:rsidR="00A83165" w:rsidRPr="00A83165">
        <w:rPr>
          <w:vertAlign w:val="subscript"/>
        </w:rPr>
        <w:t>max</w:t>
      </w:r>
      <w:proofErr w:type="spellEnd"/>
      <w:r>
        <w:t xml:space="preserve"> values (which were on average over 3 times higher with the IV than with SC administration) raise concern.</w:t>
      </w:r>
    </w:p>
    <w:p w:rsidR="008E7846" w:rsidRDefault="008E7846" w:rsidP="008E7846">
      <w:pPr>
        <w:pStyle w:val="Heading3"/>
      </w:pPr>
      <w:bookmarkStart w:id="85" w:name="_Toc255919423"/>
      <w:bookmarkStart w:id="86" w:name="_Toc241374329"/>
      <w:bookmarkStart w:id="87" w:name="_Toc270320087"/>
      <w:bookmarkStart w:id="88" w:name="_Toc314842506"/>
      <w:bookmarkStart w:id="89" w:name="_Toc364416404"/>
      <w:r>
        <w:t>List of questions</w:t>
      </w:r>
      <w:bookmarkEnd w:id="85"/>
      <w:bookmarkEnd w:id="86"/>
      <w:bookmarkEnd w:id="87"/>
      <w:bookmarkEnd w:id="88"/>
      <w:bookmarkEnd w:id="89"/>
    </w:p>
    <w:p w:rsidR="000D73F7" w:rsidRDefault="000D73F7" w:rsidP="000D73F7">
      <w:pPr>
        <w:pStyle w:val="Heading4"/>
      </w:pPr>
      <w:r>
        <w:t>Safety</w:t>
      </w:r>
    </w:p>
    <w:p w:rsidR="000D73F7" w:rsidRPr="000D043B" w:rsidRDefault="000D73F7" w:rsidP="000D73F7">
      <w:r>
        <w:t xml:space="preserve">The evaluator does not consider it worthwhile to pursue further the results of </w:t>
      </w:r>
      <w:r w:rsidRPr="000D043B">
        <w:t>Study CALGB 8421</w:t>
      </w:r>
      <w:r>
        <w:t xml:space="preserve">. If this opinion is not accepted, the sponsor might be asked to obtain further information relating to the preparation and administration of azacitidine in </w:t>
      </w:r>
      <w:r w:rsidRPr="000D043B">
        <w:t>Study CALGB 8421</w:t>
      </w:r>
      <w:r>
        <w:t>, specifically relating to whether the solution may have been further diluted and</w:t>
      </w:r>
      <w:r w:rsidR="004A4EB5">
        <w:t xml:space="preserve"> infused over a period &gt; 4 h</w:t>
      </w:r>
      <w:r>
        <w:t>.</w:t>
      </w:r>
    </w:p>
    <w:p w:rsidR="008E7846" w:rsidRPr="006E137C" w:rsidRDefault="008E7846" w:rsidP="008E7846">
      <w:pPr>
        <w:pStyle w:val="Heading3"/>
      </w:pPr>
      <w:bookmarkStart w:id="90" w:name="_Toc247691523"/>
      <w:bookmarkStart w:id="91" w:name="_Toc314842507"/>
      <w:bookmarkStart w:id="92" w:name="_Toc364416405"/>
      <w:bookmarkStart w:id="93" w:name="_Toc184440295"/>
      <w:bookmarkStart w:id="94" w:name="_Toc184444673"/>
      <w:bookmarkStart w:id="95" w:name="_Toc196046503"/>
      <w:bookmarkEnd w:id="84"/>
      <w:r>
        <w:t>Clinical summary and conclusions</w:t>
      </w:r>
      <w:bookmarkEnd w:id="90"/>
      <w:bookmarkEnd w:id="91"/>
      <w:bookmarkEnd w:id="92"/>
    </w:p>
    <w:p w:rsidR="002C4AFA" w:rsidRDefault="002C4AFA" w:rsidP="002C4AFA">
      <w:pPr>
        <w:pStyle w:val="Heading4"/>
      </w:pPr>
      <w:bookmarkStart w:id="96" w:name="_Toc236802592"/>
      <w:bookmarkStart w:id="97" w:name="_Toc241374331"/>
      <w:bookmarkStart w:id="98" w:name="_Ref272160836"/>
      <w:bookmarkStart w:id="99" w:name="_Toc272414693"/>
      <w:bookmarkStart w:id="100" w:name="_Toc290846331"/>
      <w:bookmarkStart w:id="101" w:name="_Toc327360258"/>
      <w:bookmarkStart w:id="102" w:name="_Toc196046504"/>
      <w:bookmarkStart w:id="103" w:name="_Toc163441390"/>
      <w:bookmarkEnd w:id="93"/>
      <w:bookmarkEnd w:id="94"/>
      <w:bookmarkEnd w:id="95"/>
      <w:r>
        <w:t>First round assessment of benefits</w:t>
      </w:r>
      <w:bookmarkEnd w:id="96"/>
      <w:bookmarkEnd w:id="97"/>
      <w:bookmarkEnd w:id="98"/>
      <w:bookmarkEnd w:id="99"/>
      <w:bookmarkEnd w:id="100"/>
      <w:bookmarkEnd w:id="101"/>
    </w:p>
    <w:p w:rsidR="002C4AFA" w:rsidRDefault="002C4AFA" w:rsidP="002C4AFA">
      <w:r>
        <w:t>The benefits of the proposed method of administration cannot be assessed from the available information.</w:t>
      </w:r>
    </w:p>
    <w:p w:rsidR="002C4AFA" w:rsidRDefault="002C4AFA" w:rsidP="002C4AFA">
      <w:pPr>
        <w:pStyle w:val="Heading4"/>
      </w:pPr>
      <w:bookmarkStart w:id="104" w:name="_Toc236802596"/>
      <w:bookmarkStart w:id="105" w:name="_Toc241374334"/>
      <w:bookmarkStart w:id="106" w:name="_Ref272160964"/>
      <w:bookmarkStart w:id="107" w:name="_Toc272414694"/>
      <w:bookmarkStart w:id="108" w:name="_Toc290846332"/>
      <w:bookmarkStart w:id="109" w:name="_Toc327360259"/>
      <w:r>
        <w:t>First round assessment of risks</w:t>
      </w:r>
      <w:bookmarkEnd w:id="104"/>
      <w:bookmarkEnd w:id="105"/>
      <w:bookmarkEnd w:id="106"/>
      <w:bookmarkEnd w:id="107"/>
      <w:bookmarkEnd w:id="108"/>
      <w:bookmarkEnd w:id="109"/>
    </w:p>
    <w:p w:rsidR="002C4AFA" w:rsidRDefault="002C4AFA" w:rsidP="002C4AFA">
      <w:r>
        <w:t>The risks of the proposed method of administration cannot be assessed from the available information.</w:t>
      </w:r>
    </w:p>
    <w:p w:rsidR="002C4AFA" w:rsidRDefault="002C4AFA" w:rsidP="002C4AFA">
      <w:pPr>
        <w:pStyle w:val="Heading4"/>
      </w:pPr>
      <w:bookmarkStart w:id="110" w:name="_Toc236802597"/>
      <w:bookmarkStart w:id="111" w:name="_Toc241374335"/>
      <w:bookmarkStart w:id="112" w:name="_Toc272414695"/>
      <w:bookmarkStart w:id="113" w:name="_Toc290846333"/>
      <w:bookmarkStart w:id="114" w:name="_Toc327360260"/>
      <w:r>
        <w:t>First round assessment of benefit-risk balance</w:t>
      </w:r>
      <w:bookmarkEnd w:id="110"/>
      <w:bookmarkEnd w:id="111"/>
      <w:bookmarkEnd w:id="112"/>
      <w:bookmarkEnd w:id="113"/>
      <w:bookmarkEnd w:id="114"/>
    </w:p>
    <w:p w:rsidR="002C4AFA" w:rsidRDefault="002C4AFA" w:rsidP="002C4AFA">
      <w:r>
        <w:t>The benefit-risk balance cannot be assessed.</w:t>
      </w:r>
    </w:p>
    <w:p w:rsidR="000D395F" w:rsidRPr="001279D6" w:rsidRDefault="000D395F" w:rsidP="000D395F">
      <w:pPr>
        <w:pStyle w:val="Heading4"/>
      </w:pPr>
      <w:bookmarkStart w:id="115" w:name="_Ref272160564"/>
      <w:bookmarkStart w:id="116" w:name="_Ref272161481"/>
      <w:bookmarkStart w:id="117" w:name="_Toc272414697"/>
      <w:bookmarkStart w:id="118" w:name="_Toc290846334"/>
      <w:bookmarkStart w:id="119" w:name="_Toc327360261"/>
      <w:r>
        <w:lastRenderedPageBreak/>
        <w:t>First round recommendation regarding authorisation</w:t>
      </w:r>
      <w:bookmarkEnd w:id="115"/>
      <w:bookmarkEnd w:id="116"/>
      <w:bookmarkEnd w:id="117"/>
      <w:bookmarkEnd w:id="118"/>
      <w:bookmarkEnd w:id="119"/>
    </w:p>
    <w:p w:rsidR="000D395F" w:rsidRDefault="000D395F" w:rsidP="000D395F">
      <w:r>
        <w:t>The evaluator recommends that the application for approval of the specified IV administration should be refused.</w:t>
      </w:r>
    </w:p>
    <w:p w:rsidR="008E7846" w:rsidRPr="00E41208" w:rsidRDefault="008E7846" w:rsidP="008E7846">
      <w:pPr>
        <w:pStyle w:val="Heading2"/>
      </w:pPr>
      <w:bookmarkStart w:id="120" w:name="_Toc247691524"/>
      <w:bookmarkStart w:id="121" w:name="_Toc314842508"/>
      <w:bookmarkStart w:id="122" w:name="_Toc364416406"/>
      <w:r w:rsidRPr="00E41208">
        <w:t xml:space="preserve">V. Pharmacovigilance </w:t>
      </w:r>
      <w:r>
        <w:t>f</w:t>
      </w:r>
      <w:r w:rsidRPr="00E41208">
        <w:t>indings</w:t>
      </w:r>
      <w:bookmarkEnd w:id="120"/>
      <w:bookmarkEnd w:id="121"/>
      <w:bookmarkEnd w:id="122"/>
    </w:p>
    <w:p w:rsidR="008E7846" w:rsidRDefault="00386150" w:rsidP="008E7846">
      <w:pPr>
        <w:pStyle w:val="Heading3"/>
        <w:rPr>
          <w:lang w:eastAsia="en-AU"/>
        </w:rPr>
      </w:pPr>
      <w:bookmarkStart w:id="123" w:name="_Toc247691526"/>
      <w:bookmarkStart w:id="124" w:name="_Toc314842509"/>
      <w:bookmarkStart w:id="125" w:name="_Toc364416407"/>
      <w:r>
        <w:rPr>
          <w:lang w:eastAsia="en-AU"/>
        </w:rPr>
        <w:t>Risk m</w:t>
      </w:r>
      <w:r w:rsidR="008E7846">
        <w:rPr>
          <w:lang w:eastAsia="en-AU"/>
        </w:rPr>
        <w:t xml:space="preserve">anagement </w:t>
      </w:r>
      <w:r>
        <w:rPr>
          <w:lang w:eastAsia="en-AU"/>
        </w:rPr>
        <w:t>p</w:t>
      </w:r>
      <w:r w:rsidR="008E7846">
        <w:rPr>
          <w:lang w:eastAsia="en-AU"/>
        </w:rPr>
        <w:t>lan</w:t>
      </w:r>
      <w:bookmarkEnd w:id="123"/>
      <w:bookmarkEnd w:id="124"/>
      <w:bookmarkEnd w:id="125"/>
    </w:p>
    <w:p w:rsidR="008E7846" w:rsidRDefault="008E7846" w:rsidP="008E7846">
      <w:pPr>
        <w:rPr>
          <w:lang w:eastAsia="en-AU"/>
        </w:rPr>
      </w:pPr>
      <w:r>
        <w:rPr>
          <w:lang w:eastAsia="en-AU"/>
        </w:rPr>
        <w:t>The sponsor s</w:t>
      </w:r>
      <w:r w:rsidR="00A13D19">
        <w:rPr>
          <w:lang w:eastAsia="en-AU"/>
        </w:rPr>
        <w:t xml:space="preserve">ubmitted a </w:t>
      </w:r>
      <w:r w:rsidR="00BE773E">
        <w:rPr>
          <w:lang w:eastAsia="en-AU"/>
        </w:rPr>
        <w:t>RMP</w:t>
      </w:r>
      <w:r w:rsidR="00A13D19">
        <w:rPr>
          <w:lang w:eastAsia="en-AU"/>
        </w:rPr>
        <w:t xml:space="preserve">, </w:t>
      </w:r>
      <w:r w:rsidR="00225C6D">
        <w:rPr>
          <w:lang w:eastAsia="en-AU"/>
        </w:rPr>
        <w:t>which</w:t>
      </w:r>
      <w:r w:rsidR="00A13D19">
        <w:rPr>
          <w:lang w:eastAsia="en-AU"/>
        </w:rPr>
        <w:t xml:space="preserve"> </w:t>
      </w:r>
      <w:r>
        <w:rPr>
          <w:lang w:eastAsia="en-AU"/>
        </w:rPr>
        <w:t>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w:t>
      </w:r>
      <w:r w:rsidR="009B54D6">
        <w:rPr>
          <w:lang w:eastAsia="en-AU"/>
        </w:rPr>
        <w:t>o</w:t>
      </w:r>
      <w:r>
        <w:rPr>
          <w:lang w:eastAsia="en-AU"/>
        </w:rPr>
        <w:t xml:space="preserve">ngoing </w:t>
      </w:r>
      <w:r w:rsidR="009B54D6">
        <w:rPr>
          <w:lang w:eastAsia="en-AU"/>
        </w:rPr>
        <w:t>s</w:t>
      </w:r>
      <w:r>
        <w:rPr>
          <w:lang w:eastAsia="en-AU"/>
        </w:rPr>
        <w:t xml:space="preserve">afety </w:t>
      </w:r>
      <w:r w:rsidR="009B54D6">
        <w:rPr>
          <w:lang w:eastAsia="en-AU"/>
        </w:rPr>
        <w:t>c</w:t>
      </w:r>
      <w:r>
        <w:rPr>
          <w:lang w:eastAsia="en-AU"/>
        </w:rPr>
        <w:t xml:space="preserve">oncerns which are shown at Table </w:t>
      </w:r>
      <w:r w:rsidR="007D431C">
        <w:rPr>
          <w:lang w:eastAsia="en-AU"/>
        </w:rPr>
        <w:t>3</w:t>
      </w:r>
      <w:r>
        <w:rPr>
          <w:lang w:eastAsia="en-AU"/>
        </w:rPr>
        <w:t>.</w:t>
      </w:r>
    </w:p>
    <w:p w:rsidR="004A0AE2" w:rsidRPr="00851913" w:rsidRDefault="004A0AE2" w:rsidP="004A0AE2">
      <w:pPr>
        <w:pStyle w:val="FigureTitle"/>
        <w:rPr>
          <w:lang w:val="en-GB"/>
        </w:rPr>
      </w:pPr>
      <w:r w:rsidRPr="00851913">
        <w:t xml:space="preserve">Table </w:t>
      </w:r>
      <w:r w:rsidR="007D431C">
        <w:t>3</w:t>
      </w:r>
      <w:r w:rsidRPr="00851913">
        <w:t xml:space="preserve">: </w:t>
      </w:r>
      <w:r>
        <w:t xml:space="preserve">Summary of </w:t>
      </w:r>
      <w:r w:rsidR="009B54D6">
        <w:t>o</w:t>
      </w:r>
      <w:r>
        <w:t xml:space="preserve">ngoing </w:t>
      </w:r>
      <w:r w:rsidR="009B54D6">
        <w:t>s</w:t>
      </w:r>
      <w:r>
        <w:t xml:space="preserve">afety </w:t>
      </w:r>
      <w:r w:rsidR="009B54D6">
        <w:t>c</w:t>
      </w:r>
      <w:r>
        <w:t xml:space="preserve">oncerns for </w:t>
      </w:r>
      <w:proofErr w:type="spellStart"/>
      <w:r>
        <w:t>Vidaza</w:t>
      </w:r>
      <w:proofErr w:type="spellEnd"/>
      <w:r>
        <w:t>.</w:t>
      </w:r>
    </w:p>
    <w:p w:rsidR="004A0AE2" w:rsidRDefault="00AC7BD2" w:rsidP="00443585">
      <w:pPr>
        <w:jc w:val="center"/>
        <w:rPr>
          <w:lang w:eastAsia="en-AU"/>
        </w:rPr>
      </w:pPr>
      <w:r>
        <w:rPr>
          <w:noProof/>
          <w:lang w:eastAsia="en-AU"/>
        </w:rPr>
        <w:drawing>
          <wp:inline distT="0" distB="0" distL="0" distR="0">
            <wp:extent cx="5396865" cy="3293110"/>
            <wp:effectExtent l="19050" t="0" r="0" b="0"/>
            <wp:docPr id="4" name="Picture 4" descr="Table 3: Summary of ongoing safety concerns for Vid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Summary of ongoing safety concerns for Vidaza."/>
                    <pic:cNvPicPr>
                      <a:picLocks noChangeAspect="1" noChangeArrowheads="1"/>
                    </pic:cNvPicPr>
                  </pic:nvPicPr>
                  <pic:blipFill>
                    <a:blip r:embed="rId19" cstate="print"/>
                    <a:srcRect/>
                    <a:stretch>
                      <a:fillRect/>
                    </a:stretch>
                  </pic:blipFill>
                  <pic:spPr bwMode="auto">
                    <a:xfrm>
                      <a:off x="0" y="0"/>
                      <a:ext cx="5396865" cy="3293110"/>
                    </a:xfrm>
                    <a:prstGeom prst="rect">
                      <a:avLst/>
                    </a:prstGeom>
                    <a:noFill/>
                    <a:ln w="9525">
                      <a:noFill/>
                      <a:miter lim="800000"/>
                      <a:headEnd/>
                      <a:tailEnd/>
                    </a:ln>
                  </pic:spPr>
                </pic:pic>
              </a:graphicData>
            </a:graphic>
          </wp:inline>
        </w:drawing>
      </w:r>
    </w:p>
    <w:p w:rsidR="0023373D" w:rsidRPr="0023373D" w:rsidRDefault="00C406E5" w:rsidP="0023373D">
      <w:r>
        <w:t xml:space="preserve">The </w:t>
      </w:r>
      <w:r w:rsidR="0023373D" w:rsidRPr="0023373D">
        <w:t>RMP included the following additional safety concerns, which have not been formally included as ongoing safety concerns in the current RMP:</w:t>
      </w:r>
    </w:p>
    <w:p w:rsidR="0023373D" w:rsidRPr="0023373D" w:rsidRDefault="0023373D" w:rsidP="0023373D">
      <w:pPr>
        <w:pStyle w:val="ListBullet"/>
      </w:pPr>
      <w:r w:rsidRPr="0023373D">
        <w:t xml:space="preserve">Tumour </w:t>
      </w:r>
      <w:proofErr w:type="spellStart"/>
      <w:r w:rsidRPr="0023373D">
        <w:t>lysis</w:t>
      </w:r>
      <w:proofErr w:type="spellEnd"/>
      <w:r w:rsidRPr="0023373D">
        <w:t xml:space="preserve"> syndrome (TLS) has been reported in post</w:t>
      </w:r>
      <w:r w:rsidR="00EE0E08">
        <w:t xml:space="preserve"> </w:t>
      </w:r>
      <w:r w:rsidRPr="0023373D">
        <w:t>marketing setting and will be included as an adverse event/adverse drug reaction (Section 1.5 of the EU RMP) in the next RMP update (version 8). TLS is listed as a post</w:t>
      </w:r>
      <w:r w:rsidR="0084031D">
        <w:t xml:space="preserve"> </w:t>
      </w:r>
      <w:r w:rsidRPr="0023373D">
        <w:t>marketing adverse event in the currently approved Australian PI (25 October 2011 version).</w:t>
      </w:r>
    </w:p>
    <w:p w:rsidR="0023373D" w:rsidRPr="0023373D" w:rsidRDefault="0023373D" w:rsidP="0023373D">
      <w:pPr>
        <w:pStyle w:val="ListBullet"/>
      </w:pPr>
      <w:proofErr w:type="spellStart"/>
      <w:r w:rsidRPr="0023373D">
        <w:t>Cellulitis</w:t>
      </w:r>
      <w:proofErr w:type="spellEnd"/>
      <w:r w:rsidRPr="0023373D">
        <w:t xml:space="preserve"> has been iden</w:t>
      </w:r>
      <w:r w:rsidR="006734FC">
        <w:t xml:space="preserve">tified for addition in the EU </w:t>
      </w:r>
      <w:proofErr w:type="spellStart"/>
      <w:r w:rsidR="006734FC">
        <w:t>SmPC</w:t>
      </w:r>
      <w:proofErr w:type="spellEnd"/>
      <w:r w:rsidRPr="0023373D">
        <w:t xml:space="preserve"> by the EU Committee for Medicinal Products for Human Use</w:t>
      </w:r>
      <w:r w:rsidR="00797D2B">
        <w:t xml:space="preserve"> (CHMP)</w:t>
      </w:r>
      <w:r w:rsidRPr="0023373D">
        <w:t xml:space="preserve">, upon its review of </w:t>
      </w:r>
      <w:r w:rsidR="007F202D">
        <w:t>Periodic Safety Update Report (</w:t>
      </w:r>
      <w:r w:rsidRPr="0023373D">
        <w:t>PSUR</w:t>
      </w:r>
      <w:r w:rsidR="007F202D">
        <w:t>)</w:t>
      </w:r>
      <w:r w:rsidRPr="0023373D">
        <w:t xml:space="preserve">-10. This has been included in the revised </w:t>
      </w:r>
      <w:proofErr w:type="spellStart"/>
      <w:r w:rsidRPr="0023373D">
        <w:t>SmPC</w:t>
      </w:r>
      <w:proofErr w:type="spellEnd"/>
      <w:r w:rsidRPr="0023373D">
        <w:t xml:space="preserve"> (24 July 2012), under Section 4.8 Undesirable effects, but has not yet been included in the draft Australian </w:t>
      </w:r>
      <w:r w:rsidR="009402D4">
        <w:t>PI</w:t>
      </w:r>
      <w:r w:rsidRPr="0023373D">
        <w:t>.</w:t>
      </w:r>
    </w:p>
    <w:p w:rsidR="0023373D" w:rsidRPr="0023373D" w:rsidRDefault="0023373D" w:rsidP="0023373D">
      <w:pPr>
        <w:pStyle w:val="Heading5"/>
      </w:pPr>
      <w:r w:rsidRPr="0023373D">
        <w:t>OPR reviewer comment:</w:t>
      </w:r>
    </w:p>
    <w:p w:rsidR="005774C0" w:rsidRDefault="0023373D" w:rsidP="0023373D">
      <w:r w:rsidRPr="0023373D">
        <w:t>There is no discussion provided in the EU RMP on whether there are any significant changes (if any) in the profile of t</w:t>
      </w:r>
      <w:r w:rsidR="004D4A8E">
        <w:t>he observed adverse events (that is,</w:t>
      </w:r>
      <w:r w:rsidR="00F7416A">
        <w:t xml:space="preserve"> frequency or </w:t>
      </w:r>
      <w:r w:rsidR="00F7416A">
        <w:lastRenderedPageBreak/>
        <w:t>severity</w:t>
      </w:r>
      <w:r w:rsidRPr="0023373D">
        <w:t>) when comparing SC and IV administrations. However, a statement is included in the draft Australia</w:t>
      </w:r>
      <w:r w:rsidR="005774C0">
        <w:t>n PI – Adverse effects section:</w:t>
      </w:r>
    </w:p>
    <w:p w:rsidR="005774C0" w:rsidRPr="005774C0" w:rsidRDefault="0023373D" w:rsidP="005774C0">
      <w:pPr>
        <w:ind w:left="720"/>
        <w:rPr>
          <w:i/>
        </w:rPr>
      </w:pPr>
      <w:r w:rsidRPr="005774C0">
        <w:rPr>
          <w:i/>
        </w:rPr>
        <w:t xml:space="preserve">“Adverse reactions associated with intravenously administered azacitidine were similar in frequency and severity compared with subcutaneously administered </w:t>
      </w:r>
      <w:proofErr w:type="spellStart"/>
      <w:r w:rsidRPr="005774C0">
        <w:rPr>
          <w:i/>
        </w:rPr>
        <w:t>azaci</w:t>
      </w:r>
      <w:r w:rsidR="005774C0" w:rsidRPr="005774C0">
        <w:rPr>
          <w:i/>
        </w:rPr>
        <w:t>tidine</w:t>
      </w:r>
      <w:proofErr w:type="spellEnd"/>
      <w:r w:rsidR="005774C0" w:rsidRPr="005774C0">
        <w:rPr>
          <w:i/>
        </w:rPr>
        <w:t>”.</w:t>
      </w:r>
    </w:p>
    <w:p w:rsidR="0023373D" w:rsidRPr="0023373D" w:rsidRDefault="00F84643" w:rsidP="0023373D">
      <w:r>
        <w:t xml:space="preserve">It is recommended </w:t>
      </w:r>
      <w:r w:rsidR="0023373D" w:rsidRPr="0023373D">
        <w:t xml:space="preserve">the sponsor provide a brief summary to demonstrate a similar profile in adverse reactions between SC and IV administrations and to discuss any limitations of the data (if any). </w:t>
      </w:r>
    </w:p>
    <w:p w:rsidR="0023373D" w:rsidRPr="0023373D" w:rsidRDefault="0023373D" w:rsidP="0023373D">
      <w:r w:rsidRPr="0023373D">
        <w:t xml:space="preserve">It is expected that TLS will be formally included as an ongoing safety concern in the future update of the EU RMP. Considering that </w:t>
      </w:r>
      <w:proofErr w:type="spellStart"/>
      <w:r w:rsidRPr="0023373D">
        <w:t>cellulitis</w:t>
      </w:r>
      <w:proofErr w:type="spellEnd"/>
      <w:r w:rsidRPr="0023373D">
        <w:t xml:space="preserve"> has also been identified as an event for specific monitoring and analyses in future PSURs, the sponsor should confirm if </w:t>
      </w:r>
      <w:proofErr w:type="spellStart"/>
      <w:r w:rsidRPr="0023373D">
        <w:t>cellulitis</w:t>
      </w:r>
      <w:proofErr w:type="spellEnd"/>
      <w:r w:rsidRPr="0023373D">
        <w:t xml:space="preserve"> is also intended for inclusion as an ongoing safety concern in the future update of the EU RMP, and if not, to provide an acceptable justification. It is also noted that acute febrile </w:t>
      </w:r>
      <w:proofErr w:type="spellStart"/>
      <w:r w:rsidRPr="0023373D">
        <w:t>neutrophilic</w:t>
      </w:r>
      <w:proofErr w:type="spellEnd"/>
      <w:r w:rsidRPr="0023373D">
        <w:t xml:space="preserve"> </w:t>
      </w:r>
      <w:proofErr w:type="spellStart"/>
      <w:r w:rsidRPr="0023373D">
        <w:t>dermatosis</w:t>
      </w:r>
      <w:proofErr w:type="spellEnd"/>
      <w:r w:rsidRPr="0023373D">
        <w:t xml:space="preserve"> (Sweet’s syndrome) has been identified as an event of special interest for specific analysis in the PSUR, and has been recently included in the approved US product label</w:t>
      </w:r>
      <w:r w:rsidR="00580CA2">
        <w:rPr>
          <w:rStyle w:val="FootnoteReference"/>
        </w:rPr>
        <w:footnoteReference w:id="3"/>
      </w:r>
      <w:r w:rsidRPr="0023373D">
        <w:t xml:space="preserve"> as an adverse events reported in post</w:t>
      </w:r>
      <w:r w:rsidR="00307859">
        <w:t xml:space="preserve"> </w:t>
      </w:r>
      <w:r w:rsidRPr="0023373D">
        <w:t xml:space="preserve">marketing setting. It is recommended that the sponsor comments on whether acute febrile </w:t>
      </w:r>
      <w:proofErr w:type="spellStart"/>
      <w:r w:rsidRPr="0023373D">
        <w:t>neutrophilic</w:t>
      </w:r>
      <w:proofErr w:type="spellEnd"/>
      <w:r w:rsidRPr="0023373D">
        <w:t xml:space="preserve"> </w:t>
      </w:r>
      <w:proofErr w:type="spellStart"/>
      <w:r w:rsidRPr="0023373D">
        <w:t>dermatosis</w:t>
      </w:r>
      <w:proofErr w:type="spellEnd"/>
      <w:r w:rsidRPr="0023373D">
        <w:t xml:space="preserve"> will also be listed as a post</w:t>
      </w:r>
      <w:r w:rsidR="000E06F8">
        <w:t xml:space="preserve"> </w:t>
      </w:r>
      <w:r w:rsidRPr="0023373D">
        <w:t xml:space="preserve">marketing adverse event in the Australian PI. The above summary of </w:t>
      </w:r>
      <w:r w:rsidR="00EC7ADC">
        <w:t>o</w:t>
      </w:r>
      <w:r w:rsidRPr="0023373D">
        <w:t xml:space="preserve">ngoing </w:t>
      </w:r>
      <w:r w:rsidR="00EC7ADC">
        <w:t>s</w:t>
      </w:r>
      <w:r w:rsidRPr="0023373D">
        <w:t xml:space="preserve">afety </w:t>
      </w:r>
      <w:r w:rsidR="00EC7ADC">
        <w:t>c</w:t>
      </w:r>
      <w:r w:rsidRPr="0023373D">
        <w:t>oncerns is otherwise considered acceptable, unless additional concerns are raised</w:t>
      </w:r>
      <w:r w:rsidR="00BB396E">
        <w:t xml:space="preserve"> from the evaluation of the non</w:t>
      </w:r>
      <w:r w:rsidRPr="0023373D">
        <w:t>clinical and clinical aspects of</w:t>
      </w:r>
      <w:r w:rsidR="00E462DA">
        <w:t xml:space="preserve"> the </w:t>
      </w:r>
      <w:r w:rsidR="00E462DA" w:rsidRPr="00E462DA">
        <w:t>Safety Specification</w:t>
      </w:r>
      <w:r w:rsidRPr="0023373D">
        <w:t>.</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DC09E4" w:rsidRDefault="00DC09E4" w:rsidP="00DC09E4">
      <w:r>
        <w:t>It is proposed that routine pharmacovigilance activities will be implemented for all ongoing safety concerns, with reporting in the PSURs. The following are proposed for specific analysis in the PSURs:</w:t>
      </w:r>
    </w:p>
    <w:p w:rsidR="00DC09E4" w:rsidRDefault="00DC09E4" w:rsidP="00DC09E4">
      <w:pPr>
        <w:pStyle w:val="ListBullet"/>
      </w:pPr>
      <w:r>
        <w:t>Death</w:t>
      </w:r>
    </w:p>
    <w:p w:rsidR="00DC09E4" w:rsidRDefault="00DC09E4" w:rsidP="00DC09E4">
      <w:pPr>
        <w:pStyle w:val="ListBullet"/>
      </w:pPr>
      <w:r>
        <w:t xml:space="preserve">Blood and lymphatic disorders: </w:t>
      </w:r>
      <w:proofErr w:type="spellStart"/>
      <w:r>
        <w:t>myelosuppression</w:t>
      </w:r>
      <w:proofErr w:type="spellEnd"/>
    </w:p>
    <w:p w:rsidR="00DC09E4" w:rsidRDefault="00DC09E4" w:rsidP="00DC09E4">
      <w:pPr>
        <w:pStyle w:val="ListBullet"/>
      </w:pPr>
      <w:r>
        <w:t xml:space="preserve">Cardiac disorders: cardiac failure, ventricular </w:t>
      </w:r>
      <w:proofErr w:type="spellStart"/>
      <w:r>
        <w:t>arrythyhmias</w:t>
      </w:r>
      <w:proofErr w:type="spellEnd"/>
      <w:r>
        <w:t xml:space="preserve">, QT prolongation, </w:t>
      </w:r>
      <w:proofErr w:type="spellStart"/>
      <w:r>
        <w:t>Torsade</w:t>
      </w:r>
      <w:proofErr w:type="spellEnd"/>
      <w:r>
        <w:t xml:space="preserve"> de Pointes</w:t>
      </w:r>
    </w:p>
    <w:p w:rsidR="00DC09E4" w:rsidRDefault="00DC09E4" w:rsidP="00DC09E4">
      <w:pPr>
        <w:pStyle w:val="ListBullet"/>
      </w:pPr>
      <w:r>
        <w:t>Gastrointestinal disorders: ischemic colitis</w:t>
      </w:r>
    </w:p>
    <w:p w:rsidR="00DC09E4" w:rsidRDefault="00DC09E4" w:rsidP="00DC09E4">
      <w:pPr>
        <w:pStyle w:val="ListBullet"/>
      </w:pPr>
      <w:r>
        <w:t>Haemorrhagic disorders</w:t>
      </w:r>
    </w:p>
    <w:p w:rsidR="00DC09E4" w:rsidRDefault="00DC09E4" w:rsidP="00DC09E4">
      <w:pPr>
        <w:pStyle w:val="ListBullet"/>
      </w:pPr>
      <w:proofErr w:type="spellStart"/>
      <w:r>
        <w:t>Hepatobiliary</w:t>
      </w:r>
      <w:proofErr w:type="spellEnd"/>
      <w:r>
        <w:t xml:space="preserve"> disorders: severe hepatic disorders</w:t>
      </w:r>
    </w:p>
    <w:p w:rsidR="00DC09E4" w:rsidRDefault="00DC09E4" w:rsidP="00DC09E4">
      <w:pPr>
        <w:pStyle w:val="ListBullet"/>
      </w:pPr>
      <w:r>
        <w:t xml:space="preserve">Infections and infestations: infection and </w:t>
      </w:r>
      <w:proofErr w:type="spellStart"/>
      <w:r>
        <w:t>cellulitis</w:t>
      </w:r>
      <w:proofErr w:type="spellEnd"/>
    </w:p>
    <w:p w:rsidR="00DC09E4" w:rsidRDefault="00DC09E4" w:rsidP="00DC09E4">
      <w:pPr>
        <w:pStyle w:val="ListBullet"/>
      </w:pPr>
      <w:r>
        <w:t>Injection site reactions</w:t>
      </w:r>
    </w:p>
    <w:p w:rsidR="00DC09E4" w:rsidRDefault="00DC09E4" w:rsidP="00DC09E4">
      <w:pPr>
        <w:pStyle w:val="ListBullet"/>
      </w:pPr>
      <w:proofErr w:type="spellStart"/>
      <w:r>
        <w:t>Neoplasms</w:t>
      </w:r>
      <w:proofErr w:type="spellEnd"/>
      <w:r>
        <w:t xml:space="preserve"> benign, malignant and unspecified (including cysts and polyps): </w:t>
      </w:r>
      <w:proofErr w:type="spellStart"/>
      <w:r>
        <w:t>neoplasms</w:t>
      </w:r>
      <w:proofErr w:type="spellEnd"/>
      <w:r>
        <w:t>, primary second malignancy and TLS</w:t>
      </w:r>
    </w:p>
    <w:p w:rsidR="00DC09E4" w:rsidRDefault="00DC09E4" w:rsidP="00DC09E4">
      <w:pPr>
        <w:pStyle w:val="ListBullet"/>
      </w:pPr>
      <w:r>
        <w:t>Neuromuscular events</w:t>
      </w:r>
    </w:p>
    <w:p w:rsidR="00DC09E4" w:rsidRDefault="00DC09E4" w:rsidP="00DC09E4">
      <w:pPr>
        <w:pStyle w:val="ListBullet"/>
      </w:pPr>
      <w:r>
        <w:t>Psychiatric disorders</w:t>
      </w:r>
    </w:p>
    <w:p w:rsidR="00DC09E4" w:rsidRDefault="00DC09E4" w:rsidP="00DC09E4">
      <w:pPr>
        <w:pStyle w:val="ListBullet"/>
      </w:pPr>
      <w:r>
        <w:t>Renal and urinary disorders: renal disorders</w:t>
      </w:r>
    </w:p>
    <w:p w:rsidR="00DC09E4" w:rsidRDefault="00DC09E4" w:rsidP="00DC09E4">
      <w:pPr>
        <w:pStyle w:val="ListBullet"/>
      </w:pPr>
      <w:r>
        <w:t xml:space="preserve">Respiratory, thoracic and </w:t>
      </w:r>
      <w:proofErr w:type="spellStart"/>
      <w:r>
        <w:t>mediastinal</w:t>
      </w:r>
      <w:proofErr w:type="spellEnd"/>
      <w:r>
        <w:t xml:space="preserve"> disorders: ILD</w:t>
      </w:r>
    </w:p>
    <w:p w:rsidR="00DC09E4" w:rsidRDefault="00DC09E4" w:rsidP="00DC09E4">
      <w:pPr>
        <w:pStyle w:val="ListBullet"/>
      </w:pPr>
      <w:r>
        <w:lastRenderedPageBreak/>
        <w:t xml:space="preserve">Skin disorders: acute febrile </w:t>
      </w:r>
      <w:proofErr w:type="spellStart"/>
      <w:r>
        <w:t>neutrophilic</w:t>
      </w:r>
      <w:proofErr w:type="spellEnd"/>
      <w:r>
        <w:t xml:space="preserve"> </w:t>
      </w:r>
      <w:proofErr w:type="spellStart"/>
      <w:r>
        <w:t>dermatosis</w:t>
      </w:r>
      <w:proofErr w:type="spellEnd"/>
      <w:r>
        <w:t xml:space="preserve">, </w:t>
      </w:r>
      <w:proofErr w:type="spellStart"/>
      <w:r>
        <w:t>pyoderma</w:t>
      </w:r>
      <w:proofErr w:type="spellEnd"/>
      <w:r>
        <w:t xml:space="preserve"> </w:t>
      </w:r>
      <w:proofErr w:type="spellStart"/>
      <w:r>
        <w:t>gangrenosum</w:t>
      </w:r>
      <w:proofErr w:type="spellEnd"/>
    </w:p>
    <w:p w:rsidR="00DC09E4" w:rsidRDefault="00DC09E4" w:rsidP="00DC09E4">
      <w:pPr>
        <w:pStyle w:val="ListBullet"/>
      </w:pPr>
      <w:r>
        <w:t xml:space="preserve">Infertility </w:t>
      </w:r>
    </w:p>
    <w:p w:rsidR="00DC09E4" w:rsidRDefault="00DC09E4" w:rsidP="00DC09E4">
      <w:pPr>
        <w:pStyle w:val="ListBullet"/>
      </w:pPr>
      <w:r>
        <w:t>Off</w:t>
      </w:r>
      <w:r w:rsidR="00476702">
        <w:t xml:space="preserve"> </w:t>
      </w:r>
      <w:r>
        <w:t>label use</w:t>
      </w:r>
    </w:p>
    <w:p w:rsidR="00DC09E4" w:rsidRDefault="00DC09E4" w:rsidP="00DC09E4">
      <w:r>
        <w:t>In addition, the following additional pharmacovigilance activities are proposed (protocols have not been reviewed for this report as these are ongoing studies):</w:t>
      </w:r>
    </w:p>
    <w:p w:rsidR="00DC09E4" w:rsidRDefault="00DC09E4" w:rsidP="00DC09E4">
      <w:pPr>
        <w:pStyle w:val="ListBullet"/>
      </w:pPr>
      <w:r>
        <w:t>Study AZA PH US 2007 PK006 titled “A Phase I, Open</w:t>
      </w:r>
      <w:r w:rsidR="00A00AD7">
        <w:t xml:space="preserve"> </w:t>
      </w:r>
      <w:r>
        <w:t>Label, Multi</w:t>
      </w:r>
      <w:r w:rsidR="00A00AD7">
        <w:t xml:space="preserve"> Centre</w:t>
      </w:r>
      <w:r>
        <w:t xml:space="preserve">, Parallel Group Study to Assess the Pharmacokinetics and Safety of Subcutaneous Azacitidine in Adult Cancer </w:t>
      </w:r>
      <w:r w:rsidRPr="00817EEE">
        <w:t>Patients With and Without Impaired Renal Function”</w:t>
      </w:r>
      <w:r>
        <w:t>:</w:t>
      </w:r>
    </w:p>
    <w:p w:rsidR="00DC09E4" w:rsidRDefault="00DC09E4" w:rsidP="00DC09E4">
      <w:pPr>
        <w:pStyle w:val="ListBullet2"/>
      </w:pPr>
      <w:r>
        <w:t>To further characterise</w:t>
      </w:r>
      <w:r w:rsidRPr="00817EEE">
        <w:t xml:space="preserve"> the important identified risk ‘renal and urinary events’ and, areas of important missing information</w:t>
      </w:r>
      <w:r>
        <w:t xml:space="preserve"> ‘use in renal impairment’ and ‘use in elderly patients affected by renal impairment’. </w:t>
      </w:r>
    </w:p>
    <w:p w:rsidR="00DC09E4" w:rsidRPr="00817EEE" w:rsidRDefault="00DC09E4" w:rsidP="00DC09E4">
      <w:pPr>
        <w:pStyle w:val="ListBullet2"/>
      </w:pPr>
      <w:r>
        <w:t xml:space="preserve">Table 56 </w:t>
      </w:r>
      <w:r w:rsidRPr="00817EEE">
        <w:rPr>
          <w:i/>
        </w:rPr>
        <w:t>Outstanding Pharmacovigilance Actions</w:t>
      </w:r>
      <w:r>
        <w:t xml:space="preserve"> and Annex 3 of the EU RMP indicated that the anticipated dates for the clinical study reports for Part 1 (dose proportionality from 25 to 100 mg/m</w:t>
      </w:r>
      <w:r w:rsidRPr="00817EEE">
        <w:rPr>
          <w:vertAlign w:val="superscript"/>
        </w:rPr>
        <w:t>2</w:t>
      </w:r>
      <w:r>
        <w:t xml:space="preserve"> azacitidine in randomised cancer patients with normal renal function) and Part 2 of the study (comparison between cancer patients with normal versus impaired renal function) are 31 January 2012 and 31 July 2012</w:t>
      </w:r>
      <w:r w:rsidR="00C17012">
        <w:t>,</w:t>
      </w:r>
      <w:r>
        <w:t xml:space="preserve"> respectively, with</w:t>
      </w:r>
      <w:r w:rsidRPr="0069102D">
        <w:t xml:space="preserve"> the targeted number of pa</w:t>
      </w:r>
      <w:r>
        <w:t xml:space="preserve">rticipants of </w:t>
      </w:r>
      <w:r w:rsidRPr="0069102D">
        <w:t>up to 24</w:t>
      </w:r>
      <w:r>
        <w:t xml:space="preserve"> (Part 1 of the study) and</w:t>
      </w:r>
      <w:r w:rsidRPr="0069102D">
        <w:t xml:space="preserve"> 18 (Part 2 of the study).</w:t>
      </w:r>
      <w:r w:rsidRPr="00817EEE">
        <w:rPr>
          <w:color w:val="FF0000"/>
        </w:rPr>
        <w:t xml:space="preserve"> </w:t>
      </w:r>
    </w:p>
    <w:p w:rsidR="00DC09E4" w:rsidRDefault="00DC09E4" w:rsidP="00DC09E4">
      <w:pPr>
        <w:pStyle w:val="ListBullet2"/>
      </w:pPr>
      <w:r>
        <w:t xml:space="preserve">Section 2.2 </w:t>
      </w:r>
      <w:r w:rsidRPr="00817EEE">
        <w:rPr>
          <w:i/>
        </w:rPr>
        <w:t>Additional Pharmacovigilance Activities and Action Plans</w:t>
      </w:r>
      <w:r>
        <w:t xml:space="preserve"> and Annex 3 of the EU RMP indicated that a total of 18 subjects have participated in the study as of 18 May 2011.</w:t>
      </w:r>
    </w:p>
    <w:p w:rsidR="00DC09E4" w:rsidRDefault="00DC09E4" w:rsidP="00DC09E4">
      <w:pPr>
        <w:pStyle w:val="ListBullet"/>
      </w:pPr>
      <w:r>
        <w:t>Study AZA PH US 2008 CL 008 titled “A Phase I, Open</w:t>
      </w:r>
      <w:r w:rsidR="004B4E3F">
        <w:t xml:space="preserve"> </w:t>
      </w:r>
      <w:r>
        <w:t>Label, Dose</w:t>
      </w:r>
      <w:r w:rsidR="004B4E3F">
        <w:t xml:space="preserve"> </w:t>
      </w:r>
      <w:r>
        <w:t xml:space="preserve">Ranging Study to Evaluate the Pharmacokinetics and Safety of Azacitidine Administered Subcutaneously and as Different Oral Formulations in Subjects with </w:t>
      </w:r>
      <w:proofErr w:type="spellStart"/>
      <w:r>
        <w:t>Myelodysplastic</w:t>
      </w:r>
      <w:proofErr w:type="spellEnd"/>
      <w:r>
        <w:t xml:space="preserve"> Syndromes (MDS), Chronic </w:t>
      </w:r>
      <w:proofErr w:type="spellStart"/>
      <w:r>
        <w:t>Myelomonocytic</w:t>
      </w:r>
      <w:proofErr w:type="spellEnd"/>
      <w:r>
        <w:t xml:space="preserve"> </w:t>
      </w:r>
      <w:proofErr w:type="spellStart"/>
      <w:r>
        <w:t>Leukemia</w:t>
      </w:r>
      <w:proofErr w:type="spellEnd"/>
      <w:r>
        <w:t xml:space="preserve"> (CMML), Acute </w:t>
      </w:r>
      <w:proofErr w:type="spellStart"/>
      <w:r>
        <w:t>Myelogenous</w:t>
      </w:r>
      <w:proofErr w:type="spellEnd"/>
      <w:r>
        <w:t xml:space="preserve"> </w:t>
      </w:r>
      <w:proofErr w:type="spellStart"/>
      <w:r>
        <w:t>Leukemia</w:t>
      </w:r>
      <w:proofErr w:type="spellEnd"/>
      <w:r>
        <w:t xml:space="preserve"> (AML), Lymphoma, and Multiple Myeloma”:</w:t>
      </w:r>
    </w:p>
    <w:p w:rsidR="00DC09E4" w:rsidRDefault="00DC09E4" w:rsidP="00DC09E4">
      <w:pPr>
        <w:pStyle w:val="ListBullet2"/>
      </w:pPr>
      <w:r>
        <w:t xml:space="preserve">Targeted number of 78 participants. </w:t>
      </w:r>
    </w:p>
    <w:p w:rsidR="00DC09E4" w:rsidRDefault="00DC09E4" w:rsidP="00DC09E4">
      <w:pPr>
        <w:pStyle w:val="ListBullet2"/>
      </w:pPr>
      <w:r>
        <w:t xml:space="preserve">Section 2.2 </w:t>
      </w:r>
      <w:r w:rsidRPr="0069102D">
        <w:rPr>
          <w:i/>
        </w:rPr>
        <w:t>Additional Pharmacovigilance Activities and Action Plans</w:t>
      </w:r>
      <w:r>
        <w:t xml:space="preserve"> and Annex 3 of the EU RMP indicated that a total of 16 subjects (with 4 withdrawals due to treatment-emergent adverse events) have participated in Part 1 of the study as of 18 May 2011. </w:t>
      </w:r>
    </w:p>
    <w:p w:rsidR="00DC09E4" w:rsidRPr="00817EEE" w:rsidRDefault="00DC09E4" w:rsidP="00DC09E4">
      <w:pPr>
        <w:pStyle w:val="ListBullet2"/>
      </w:pPr>
      <w:r>
        <w:t xml:space="preserve">Table 56 </w:t>
      </w:r>
      <w:r w:rsidRPr="00817EEE">
        <w:rPr>
          <w:i/>
        </w:rPr>
        <w:t>Outstanding Pharmacovigilance Actions</w:t>
      </w:r>
      <w:r>
        <w:t xml:space="preserve"> and Annex 3 of the EU RMP indicated that the anticipated date for this clinical study report is Q2 2013 (30 June 2013).</w:t>
      </w:r>
      <w:r w:rsidRPr="00817EEE">
        <w:rPr>
          <w:color w:val="FF0000"/>
        </w:rPr>
        <w:t xml:space="preserve"> </w:t>
      </w:r>
    </w:p>
    <w:p w:rsidR="00FB5177" w:rsidRDefault="00FB5177" w:rsidP="00FB5177">
      <w:pPr>
        <w:pStyle w:val="Heading5"/>
      </w:pPr>
      <w:r>
        <w:t>OPR</w:t>
      </w:r>
      <w:r w:rsidRPr="007B529C">
        <w:t xml:space="preserve"> reviewer</w:t>
      </w:r>
      <w:r>
        <w:t>’s</w:t>
      </w:r>
      <w:r w:rsidRPr="007B529C">
        <w:t xml:space="preserve"> comment</w:t>
      </w:r>
      <w:r>
        <w:t>s</w:t>
      </w:r>
      <w:r w:rsidRPr="007B529C">
        <w:t>:</w:t>
      </w:r>
      <w:r w:rsidR="005179E7">
        <w:t xml:space="preserve"> </w:t>
      </w:r>
    </w:p>
    <w:p w:rsidR="00DC09E4" w:rsidRDefault="00DC09E4" w:rsidP="00DC09E4">
      <w:r>
        <w:t>The EU RMP reported the numbers of participants</w:t>
      </w:r>
      <w:r w:rsidRPr="00D55041">
        <w:t xml:space="preserve"> </w:t>
      </w:r>
      <w:r>
        <w:t xml:space="preserve">as of 18 May 2011 in both ongoing </w:t>
      </w:r>
      <w:r w:rsidR="00F82767">
        <w:t>S</w:t>
      </w:r>
      <w:r>
        <w:t xml:space="preserve">tudies AZA PH US 2007 PK006 and AZA PH US 2008 CL 008, which appeared to be lower than the targeted recruitment numbers. It is recommended that the sponsor provides a brief update on this progress. It is noted that the ongoing Study AZA PH US 2008 CL 008 is being conducted to primarily compare the pharmacokinetics between the </w:t>
      </w:r>
      <w:r w:rsidR="00D27628">
        <w:t xml:space="preserve">SC </w:t>
      </w:r>
      <w:r>
        <w:t xml:space="preserve">versus oral </w:t>
      </w:r>
      <w:proofErr w:type="spellStart"/>
      <w:r>
        <w:t>azacitidine</w:t>
      </w:r>
      <w:proofErr w:type="spellEnd"/>
      <w:r>
        <w:t xml:space="preserve"> administrations (Part 1 of the study) and effects of food on oral azacitidine (Part 2 of the study). Although this study is expected to provide additional safety information, it is not specifically designed to further characterise any of the specific ongoing safety concerns identified</w:t>
      </w:r>
      <w:r w:rsidR="006132F5">
        <w:t xml:space="preserve"> in the EU RMP</w:t>
      </w:r>
      <w:r>
        <w:t>.</w:t>
      </w:r>
    </w:p>
    <w:p w:rsidR="00DC09E4" w:rsidRDefault="009565B3" w:rsidP="00DC09E4">
      <w:r>
        <w:t xml:space="preserve">It is also recommended </w:t>
      </w:r>
      <w:r w:rsidR="00DC09E4">
        <w:t xml:space="preserve">the sponsor confirms if any additional pharmacovigilance activities beyond that of routine activities will be proposed to further evaluate the risks of tumour </w:t>
      </w:r>
      <w:proofErr w:type="spellStart"/>
      <w:r w:rsidR="00DC09E4">
        <w:t>lysis</w:t>
      </w:r>
      <w:proofErr w:type="spellEnd"/>
      <w:r w:rsidR="00DC09E4">
        <w:t xml:space="preserve"> syndrome a</w:t>
      </w:r>
      <w:r>
        <w:t xml:space="preserve">nd </w:t>
      </w:r>
      <w:proofErr w:type="spellStart"/>
      <w:r>
        <w:t>cellulitis</w:t>
      </w:r>
      <w:proofErr w:type="spellEnd"/>
      <w:r w:rsidR="00DC09E4">
        <w:t xml:space="preserve">. The proposed routine and additional </w:t>
      </w:r>
      <w:r w:rsidR="00DC09E4">
        <w:lastRenderedPageBreak/>
        <w:t>pharmacovigilance activities are otherwise considered appropriate, unless additional concerns are ra</w:t>
      </w:r>
      <w:r>
        <w:t>ised by the clinical and/or non</w:t>
      </w:r>
      <w:r w:rsidR="00DC09E4">
        <w:t>clinical evaluator(s).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FB5177" w:rsidRDefault="00FB5177" w:rsidP="00FB5177">
      <w:pPr>
        <w:pStyle w:val="Heading5"/>
      </w:pPr>
      <w:bookmarkStart w:id="126" w:name="_Toc336511308"/>
      <w:bookmarkStart w:id="127" w:name="_Toc247691527"/>
      <w:r>
        <w:t>Sponsor’s conclusion in regard to the need for risk minimisation activities</w:t>
      </w:r>
      <w:bookmarkEnd w:id="126"/>
    </w:p>
    <w:p w:rsidR="00FB5177" w:rsidRDefault="00FB5177" w:rsidP="00FB5177">
      <w:r>
        <w:t xml:space="preserve">It is indicated in Section 4 </w:t>
      </w:r>
      <w:r w:rsidRPr="009C351D">
        <w:rPr>
          <w:i/>
        </w:rPr>
        <w:t>Risk Minimization Plan</w:t>
      </w:r>
      <w:r>
        <w:t xml:space="preserve"> section of the EU RMP and Section 3 </w:t>
      </w:r>
      <w:r>
        <w:rPr>
          <w:i/>
        </w:rPr>
        <w:t>Risk M</w:t>
      </w:r>
      <w:r w:rsidRPr="00C97FCD">
        <w:rPr>
          <w:i/>
        </w:rPr>
        <w:t>inimization Plan</w:t>
      </w:r>
      <w:r>
        <w:t xml:space="preserve"> of the Australian</w:t>
      </w:r>
      <w:r w:rsidR="009565B3">
        <w:t xml:space="preserve"> </w:t>
      </w:r>
      <w:r>
        <w:t>specific Annex that only routine risk minimisation activities will be required.</w:t>
      </w:r>
    </w:p>
    <w:p w:rsidR="00FB5177" w:rsidRDefault="00FB5177" w:rsidP="00FB5177">
      <w:pPr>
        <w:pStyle w:val="Heading5"/>
      </w:pPr>
      <w:r>
        <w:t>OPR</w:t>
      </w:r>
      <w:r w:rsidRPr="007B529C">
        <w:t xml:space="preserve"> reviewer</w:t>
      </w:r>
      <w:r>
        <w:t>’s</w:t>
      </w:r>
      <w:r w:rsidRPr="007B529C">
        <w:t xml:space="preserve"> comment</w:t>
      </w:r>
      <w:r>
        <w:t>s</w:t>
      </w:r>
      <w:r w:rsidRPr="007B529C">
        <w:t>:</w:t>
      </w:r>
      <w:r w:rsidR="005179E7">
        <w:t xml:space="preserve"> </w:t>
      </w:r>
    </w:p>
    <w:p w:rsidR="00FB5177" w:rsidRPr="005C350C" w:rsidRDefault="00FB5177" w:rsidP="00FB5177">
      <w:r>
        <w:t xml:space="preserve">The EU RMP has identified two new safety concerns: tumour </w:t>
      </w:r>
      <w:proofErr w:type="spellStart"/>
      <w:r>
        <w:t>lysis</w:t>
      </w:r>
      <w:proofErr w:type="spellEnd"/>
      <w:r>
        <w:t xml:space="preserve"> sy</w:t>
      </w:r>
      <w:r w:rsidR="003D6F7A">
        <w:t xml:space="preserve">ndrome and </w:t>
      </w:r>
      <w:proofErr w:type="spellStart"/>
      <w:r w:rsidR="003D6F7A">
        <w:t>cellulitis</w:t>
      </w:r>
      <w:proofErr w:type="spellEnd"/>
      <w:r>
        <w:t xml:space="preserve">. It is noted that tumour </w:t>
      </w:r>
      <w:proofErr w:type="spellStart"/>
      <w:r>
        <w:t>lysis</w:t>
      </w:r>
      <w:proofErr w:type="spellEnd"/>
      <w:r>
        <w:t xml:space="preserve"> syndrome is listed in the Australian PI as an adverse event reported in post</w:t>
      </w:r>
      <w:r w:rsidR="003D6F7A">
        <w:t xml:space="preserve"> </w:t>
      </w:r>
      <w:r>
        <w:t xml:space="preserve">marketing setting but </w:t>
      </w:r>
      <w:proofErr w:type="spellStart"/>
      <w:r>
        <w:t>cellulitis</w:t>
      </w:r>
      <w:proofErr w:type="spellEnd"/>
      <w:r>
        <w:t xml:space="preserve"> has not been similarl</w:t>
      </w:r>
      <w:r w:rsidR="003D6F7A">
        <w:t>y included in the PI</w:t>
      </w:r>
      <w:r>
        <w:t xml:space="preserve">. It is recommended that the sponsor confirms if any additional risk minimisation activities beyond that of routine activities will be proposed for tumour </w:t>
      </w:r>
      <w:proofErr w:type="spellStart"/>
      <w:r>
        <w:t>lysis</w:t>
      </w:r>
      <w:proofErr w:type="spellEnd"/>
      <w:r>
        <w:t xml:space="preserve"> syndrome and </w:t>
      </w:r>
      <w:proofErr w:type="spellStart"/>
      <w:r>
        <w:t>cellulitis</w:t>
      </w:r>
      <w:proofErr w:type="spellEnd"/>
      <w:r>
        <w:t xml:space="preserve">. The proposed use of routine risk minimisation activity is otherwise considered acceptable as </w:t>
      </w:r>
      <w:proofErr w:type="spellStart"/>
      <w:r>
        <w:t>Vidaza</w:t>
      </w:r>
      <w:proofErr w:type="spellEnd"/>
      <w:r>
        <w:t xml:space="preserve"> should only be used under the supervision of a physician experienced in the use of cancer chemotherapeutic agents, unless additional concerns are ra</w:t>
      </w:r>
      <w:r w:rsidR="00A1084E">
        <w:t>ised by the clinical and/or non</w:t>
      </w:r>
      <w:r>
        <w:t>clinical evaluator(s).</w:t>
      </w:r>
    </w:p>
    <w:p w:rsidR="00FB5177" w:rsidRDefault="00FB5177" w:rsidP="00FB5177">
      <w:pPr>
        <w:pStyle w:val="Heading5"/>
      </w:pPr>
      <w:bookmarkStart w:id="128" w:name="_Toc268857338"/>
      <w:bookmarkStart w:id="129" w:name="_Toc336511309"/>
      <w:r>
        <w:t>Potential for medication errors</w:t>
      </w:r>
      <w:bookmarkEnd w:id="128"/>
      <w:bookmarkEnd w:id="129"/>
    </w:p>
    <w:p w:rsidR="00B71896" w:rsidRDefault="00FB5177" w:rsidP="00FB5177">
      <w:r>
        <w:t xml:space="preserve">Section 3.1 </w:t>
      </w:r>
      <w:r w:rsidRPr="00507D36">
        <w:rPr>
          <w:i/>
        </w:rPr>
        <w:t>Potential for Medication Errors</w:t>
      </w:r>
      <w:r>
        <w:t xml:space="preserve"> of the EU RMP has indicated this risk is considered to be low. A description is provided on past experiences with queries and reports on incorrect administrations by using adaptors or spikes containing filters. In </w:t>
      </w:r>
      <w:r w:rsidR="00B71896">
        <w:t>response to this, the statement</w:t>
      </w:r>
    </w:p>
    <w:p w:rsidR="00B71896" w:rsidRDefault="00FB5177" w:rsidP="00B71896">
      <w:pPr>
        <w:ind w:left="720"/>
      </w:pPr>
      <w:r>
        <w:t>“</w:t>
      </w:r>
      <w:r w:rsidRPr="003302B1">
        <w:rPr>
          <w:i/>
        </w:rPr>
        <w:t>no filters, and no adaptors, spikes or closed systems that contain filters, should be used after reconstitution since these could remove the active substance</w:t>
      </w:r>
      <w:r w:rsidR="00B71896">
        <w:t>”</w:t>
      </w:r>
    </w:p>
    <w:p w:rsidR="00FB5177" w:rsidRPr="00C667D7" w:rsidRDefault="00FB5177" w:rsidP="00FB5177">
      <w:r>
        <w:t xml:space="preserve">has been included in the </w:t>
      </w:r>
      <w:r w:rsidRPr="003302B1">
        <w:rPr>
          <w:i/>
        </w:rPr>
        <w:t>Instructions for Subcutaneous Administrations</w:t>
      </w:r>
      <w:r>
        <w:t xml:space="preserve"> section of the product labels including the Australian PI. The EU RMP also indicated that during the period of 19 November 2010 to 18 May 2011, there </w:t>
      </w:r>
      <w:r w:rsidRPr="00AD20FF">
        <w:t>were 12 cases (including</w:t>
      </w:r>
      <w:r w:rsidR="00DB153A">
        <w:t xml:space="preserve"> one follow </w:t>
      </w:r>
      <w:r>
        <w:t>up case) of prescription errors/medication errors reported, whic</w:t>
      </w:r>
      <w:r w:rsidR="00DB153A">
        <w:t xml:space="preserve">h were all determined to be non </w:t>
      </w:r>
      <w:r>
        <w:t xml:space="preserve">serious by nature. Section 1.9.3 </w:t>
      </w:r>
      <w:r w:rsidRPr="00EA1ACA">
        <w:rPr>
          <w:i/>
        </w:rPr>
        <w:t>Potential for Misuse for Illegal Purposes</w:t>
      </w:r>
      <w:r>
        <w:t xml:space="preserve"> of the EU RMP indicated that there </w:t>
      </w:r>
      <w:r w:rsidRPr="00C667D7">
        <w:t>was a reported case of misuse which turned out to be incorrectly coded, as upon review it was found to be a case of administration error.</w:t>
      </w:r>
    </w:p>
    <w:p w:rsidR="00FB5177" w:rsidRDefault="00FB5177" w:rsidP="00FB5177">
      <w:r>
        <w:t xml:space="preserve">Section 1.3.3.2.10 </w:t>
      </w:r>
      <w:r w:rsidRPr="00CA15FF">
        <w:rPr>
          <w:i/>
        </w:rPr>
        <w:t>Knowledge About Off-Label Use</w:t>
      </w:r>
      <w:r>
        <w:t xml:space="preserve"> o</w:t>
      </w:r>
      <w:r w:rsidR="00CE2F54">
        <w:t>f the EU RMP indicated that use</w:t>
      </w:r>
      <w:r>
        <w:t xml:space="preserve"> for the treatment of AML is considered off</w:t>
      </w:r>
      <w:r w:rsidR="00DB153A">
        <w:t xml:space="preserve"> </w:t>
      </w:r>
      <w:r>
        <w:t>label use only when the patient is known to have &gt;30% blast count at therapy initiation.</w:t>
      </w:r>
      <w:r w:rsidR="00CE2F54">
        <w:rPr>
          <w:rStyle w:val="FootnoteReference"/>
        </w:rPr>
        <w:footnoteReference w:id="4"/>
      </w:r>
      <w:r>
        <w:t xml:space="preserve"> Based on this new definition, the EU RMP described a total of 34 reports of off</w:t>
      </w:r>
      <w:r w:rsidR="00DB153A">
        <w:t xml:space="preserve"> </w:t>
      </w:r>
      <w:r>
        <w:t>label use received during the period of 19 November 2010 to 18 May 2011, of which only 11 (excluding one duplicated report) of these were considered to be off</w:t>
      </w:r>
      <w:r w:rsidR="00DB153A">
        <w:t xml:space="preserve"> </w:t>
      </w:r>
      <w:r>
        <w:t xml:space="preserve">label use for AML. </w:t>
      </w:r>
    </w:p>
    <w:p w:rsidR="00FB5177" w:rsidRDefault="00FB5177" w:rsidP="00FB5177">
      <w:r>
        <w:t xml:space="preserve">Section 1.9.5 </w:t>
      </w:r>
      <w:r>
        <w:rPr>
          <w:i/>
        </w:rPr>
        <w:t xml:space="preserve">Potential for Off-Label </w:t>
      </w:r>
      <w:proofErr w:type="spellStart"/>
      <w:r>
        <w:rPr>
          <w:i/>
        </w:rPr>
        <w:t>Pediatric</w:t>
      </w:r>
      <w:proofErr w:type="spellEnd"/>
      <w:r>
        <w:rPr>
          <w:i/>
        </w:rPr>
        <w:t xml:space="preserve"> Use </w:t>
      </w:r>
      <w:r>
        <w:t>of the EU RMP indicated that off</w:t>
      </w:r>
      <w:r w:rsidR="00DB153A">
        <w:t xml:space="preserve"> </w:t>
      </w:r>
      <w:r>
        <w:t xml:space="preserve">label paediatric use may be expected in children and adolescents with refractory or relapsed acute </w:t>
      </w:r>
      <w:proofErr w:type="spellStart"/>
      <w:r>
        <w:t>nonlymphoblastic</w:t>
      </w:r>
      <w:proofErr w:type="spellEnd"/>
      <w:r>
        <w:t xml:space="preserve"> </w:t>
      </w:r>
      <w:proofErr w:type="spellStart"/>
      <w:r>
        <w:t>leukemia</w:t>
      </w:r>
      <w:proofErr w:type="spellEnd"/>
      <w:r>
        <w:t xml:space="preserve"> (in combination with </w:t>
      </w:r>
      <w:proofErr w:type="spellStart"/>
      <w:r>
        <w:t>etoposide</w:t>
      </w:r>
      <w:proofErr w:type="spellEnd"/>
      <w:r>
        <w:t>). Three cases of off</w:t>
      </w:r>
      <w:r w:rsidR="00DB153A">
        <w:t xml:space="preserve"> </w:t>
      </w:r>
      <w:r>
        <w:t>label paediatric use were reported during the period of 19 November 2010 t</w:t>
      </w:r>
      <w:r w:rsidR="00DB153A">
        <w:t xml:space="preserve">o 18 May 2011. Off </w:t>
      </w:r>
      <w:r>
        <w:t xml:space="preserve">label use will be specifically analysed as one of the events of special interest in the PSUR (Section 2.1.1 </w:t>
      </w:r>
      <w:r w:rsidRPr="00AF0C63">
        <w:rPr>
          <w:i/>
        </w:rPr>
        <w:t>An Analysis of ADRs of Special Interest within the Required PSURs</w:t>
      </w:r>
      <w:r>
        <w:t xml:space="preserve"> of the EU RMP). </w:t>
      </w:r>
    </w:p>
    <w:p w:rsidR="00FB5177" w:rsidRDefault="00FB5177" w:rsidP="00FB5177">
      <w:pPr>
        <w:pStyle w:val="Heading5"/>
      </w:pPr>
      <w:r>
        <w:lastRenderedPageBreak/>
        <w:t>OPR</w:t>
      </w:r>
      <w:r w:rsidRPr="007B529C">
        <w:t xml:space="preserve"> reviewer</w:t>
      </w:r>
      <w:r>
        <w:t>’s</w:t>
      </w:r>
      <w:r w:rsidRPr="007B529C">
        <w:t xml:space="preserve"> comment</w:t>
      </w:r>
      <w:r>
        <w:t>s</w:t>
      </w:r>
      <w:r w:rsidRPr="007B529C">
        <w:t>:</w:t>
      </w:r>
      <w:r w:rsidR="005179E7">
        <w:t xml:space="preserve"> </w:t>
      </w:r>
    </w:p>
    <w:p w:rsidR="00FB5177" w:rsidRPr="005C350C" w:rsidRDefault="00DB153A" w:rsidP="00FB5177">
      <w:r>
        <w:t xml:space="preserve">It is recommended </w:t>
      </w:r>
      <w:r w:rsidR="00FB5177">
        <w:t xml:space="preserve">the sponsor comments on whether there will be a potential risk for filter use after product reconstitution during preparation for IV administration and prior to introduction into infusion bag that may warrant the inclusion of a statement against this practice in the Australian PI, similarly to that already included in the instruction for SC administration. Otherwise, the proposed use of routine risk minimisation activity is considered acceptable as </w:t>
      </w:r>
      <w:proofErr w:type="spellStart"/>
      <w:r w:rsidR="00FB5177">
        <w:t>Vidaza</w:t>
      </w:r>
      <w:proofErr w:type="spellEnd"/>
      <w:r w:rsidR="00FB5177">
        <w:t xml:space="preserve"> should only be used under the supervision of a physician experienced in the use of cancer chemotherapeutic agents, unless additional concerns are raised by the clinical and/or nonclinical evaluator(s).</w:t>
      </w:r>
    </w:p>
    <w:p w:rsidR="00FB5177" w:rsidRDefault="00FB5177" w:rsidP="00FB5177">
      <w:pPr>
        <w:pStyle w:val="Heading5"/>
      </w:pPr>
      <w:bookmarkStart w:id="130" w:name="_Toc336511310"/>
      <w:r>
        <w:t>Toxicity with overdose</w:t>
      </w:r>
      <w:bookmarkEnd w:id="130"/>
    </w:p>
    <w:p w:rsidR="00FB5177" w:rsidRDefault="00FB5177" w:rsidP="00FB5177">
      <w:r>
        <w:t xml:space="preserve">Section 1.9.1 </w:t>
      </w:r>
      <w:r w:rsidRPr="005C350C">
        <w:rPr>
          <w:i/>
        </w:rPr>
        <w:t>Potential for Overdose</w:t>
      </w:r>
      <w:r>
        <w:t xml:space="preserve"> of the EU RMP stated the following:</w:t>
      </w:r>
    </w:p>
    <w:p w:rsidR="00FB5177" w:rsidRPr="00FB5177" w:rsidRDefault="00FB5177" w:rsidP="00FB5177">
      <w:pPr>
        <w:ind w:left="720"/>
        <w:rPr>
          <w:i/>
        </w:rPr>
      </w:pPr>
      <w:r w:rsidRPr="00FB5177">
        <w:rPr>
          <w:i/>
        </w:rPr>
        <w:t xml:space="preserve">“One case of overdose with azacitidine was reported during the clinical trials. A patients experienced </w:t>
      </w:r>
      <w:proofErr w:type="spellStart"/>
      <w:r w:rsidRPr="00FB5177">
        <w:rPr>
          <w:i/>
        </w:rPr>
        <w:t>diarrhea</w:t>
      </w:r>
      <w:proofErr w:type="spellEnd"/>
      <w:r w:rsidRPr="00FB5177">
        <w:rPr>
          <w:i/>
        </w:rPr>
        <w:t>, nausea, and vomiting after receiving a single IV dose of approximately 290 mg/m</w:t>
      </w:r>
      <w:r w:rsidRPr="00DB153A">
        <w:rPr>
          <w:i/>
          <w:vertAlign w:val="superscript"/>
        </w:rPr>
        <w:t>2</w:t>
      </w:r>
      <w:r w:rsidRPr="00FB5177">
        <w:rPr>
          <w:i/>
        </w:rPr>
        <w:t>, almost 4 times the recommended starting dose.”</w:t>
      </w:r>
    </w:p>
    <w:p w:rsidR="00FB5177" w:rsidRDefault="00FB5177" w:rsidP="00FB5177">
      <w:r>
        <w:t xml:space="preserve">The </w:t>
      </w:r>
      <w:proofErr w:type="spellStart"/>
      <w:r w:rsidRPr="005C350C">
        <w:rPr>
          <w:i/>
        </w:rPr>
        <w:t>Overdosage</w:t>
      </w:r>
      <w:proofErr w:type="spellEnd"/>
      <w:r>
        <w:t xml:space="preserve"> section of the draft Australian PI stated:</w:t>
      </w:r>
    </w:p>
    <w:p w:rsidR="00FB5177" w:rsidRPr="00FB5177" w:rsidRDefault="00FB5177" w:rsidP="00FB5177">
      <w:pPr>
        <w:ind w:left="720"/>
        <w:rPr>
          <w:i/>
        </w:rPr>
      </w:pPr>
      <w:r w:rsidRPr="00FB5177">
        <w:rPr>
          <w:i/>
        </w:rPr>
        <w:t xml:space="preserve">“In the event of </w:t>
      </w:r>
      <w:proofErr w:type="spellStart"/>
      <w:r w:rsidRPr="00FB5177">
        <w:rPr>
          <w:i/>
        </w:rPr>
        <w:t>overdosage</w:t>
      </w:r>
      <w:proofErr w:type="spellEnd"/>
      <w:r w:rsidRPr="00FB5177">
        <w:rPr>
          <w:i/>
        </w:rPr>
        <w:t xml:space="preserve">, the patient should be monitored with appropriate blood counts and should receive supportive treatment, as necessary. There is no known specific antidote for </w:t>
      </w:r>
      <w:proofErr w:type="spellStart"/>
      <w:r w:rsidRPr="00FB5177">
        <w:rPr>
          <w:i/>
        </w:rPr>
        <w:t>azacitidine</w:t>
      </w:r>
      <w:proofErr w:type="spellEnd"/>
      <w:r w:rsidRPr="00FB5177">
        <w:rPr>
          <w:i/>
        </w:rPr>
        <w:t xml:space="preserve"> </w:t>
      </w:r>
      <w:proofErr w:type="spellStart"/>
      <w:r w:rsidRPr="00FB5177">
        <w:rPr>
          <w:i/>
        </w:rPr>
        <w:t>overdosage</w:t>
      </w:r>
      <w:proofErr w:type="spellEnd"/>
      <w:r w:rsidRPr="00FB5177">
        <w:rPr>
          <w:i/>
        </w:rPr>
        <w:t>. In Australia, contact the Poisons Advisory Centre on 131</w:t>
      </w:r>
      <w:r w:rsidR="00DB153A">
        <w:rPr>
          <w:i/>
        </w:rPr>
        <w:t xml:space="preserve"> </w:t>
      </w:r>
      <w:r w:rsidRPr="00FB5177">
        <w:rPr>
          <w:i/>
        </w:rPr>
        <w:t>126 for advice on management.”</w:t>
      </w:r>
    </w:p>
    <w:p w:rsidR="00FB5177" w:rsidRDefault="00FB5177" w:rsidP="00FB5177">
      <w:pPr>
        <w:pStyle w:val="Heading5"/>
      </w:pPr>
      <w:r>
        <w:t>OPR</w:t>
      </w:r>
      <w:r w:rsidRPr="007B529C">
        <w:t xml:space="preserve"> reviewer</w:t>
      </w:r>
      <w:r>
        <w:t>’s</w:t>
      </w:r>
      <w:r w:rsidRPr="007B529C">
        <w:t xml:space="preserve"> comment</w:t>
      </w:r>
      <w:r>
        <w:t>s</w:t>
      </w:r>
      <w:r w:rsidRPr="007B529C">
        <w:t>:</w:t>
      </w:r>
      <w:r w:rsidR="005179E7">
        <w:t xml:space="preserve"> </w:t>
      </w:r>
    </w:p>
    <w:p w:rsidR="00FB5177" w:rsidRPr="005C350C" w:rsidRDefault="00FB5177" w:rsidP="00FB5177">
      <w:r>
        <w:t xml:space="preserve">As </w:t>
      </w:r>
      <w:proofErr w:type="spellStart"/>
      <w:r>
        <w:t>Vidaza</w:t>
      </w:r>
      <w:proofErr w:type="spellEnd"/>
      <w:r>
        <w:t xml:space="preserve"> should only be used under the supervision of a physician experienced in the use of cancer chemotherapeutic agents, the proposed use of routine risk minimisation activity is considered acceptable, unless additional concerns are ra</w:t>
      </w:r>
      <w:r w:rsidR="00DB153A">
        <w:t>ised by the clinical and/or non</w:t>
      </w:r>
      <w:r>
        <w:t>clinical evaluator(s).</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EF7118" w:rsidRPr="00EF7118" w:rsidRDefault="00EF7118" w:rsidP="00EF7118">
      <w:bookmarkStart w:id="131" w:name="_Toc314842510"/>
      <w:r w:rsidRPr="00EF7118">
        <w:t xml:space="preserve">The OPR provides the recommendations in the context that the submitted RMP is supportive to the application with minor amendments as appropriate, under the provision that no additional safety concerns are raised by the clinical and/or nonclinical evaluator(s): </w:t>
      </w:r>
    </w:p>
    <w:p w:rsidR="00EF7118" w:rsidRPr="00EF7118" w:rsidRDefault="00EF7118" w:rsidP="00EF7118">
      <w:pPr>
        <w:pStyle w:val="ListBullet"/>
      </w:pPr>
      <w:r w:rsidRPr="00EF7118">
        <w:t>the implementation of the EU RMP Version 7.1 (dated 25 January 2012) and the Australian</w:t>
      </w:r>
      <w:r w:rsidR="00DB153A">
        <w:t xml:space="preserve"> </w:t>
      </w:r>
      <w:r w:rsidRPr="00EF7118">
        <w:t>specific Annex (dated March 2012), and any subsequent versions, is imposed as a condition of registration.</w:t>
      </w:r>
    </w:p>
    <w:p w:rsidR="00EF7118" w:rsidRPr="00EF7118" w:rsidRDefault="00EF7118" w:rsidP="00EF7118">
      <w:bookmarkStart w:id="132" w:name="_Toc333823659"/>
      <w:bookmarkStart w:id="133" w:name="_Toc333934105"/>
      <w:bookmarkStart w:id="134" w:name="_Toc333934353"/>
      <w:bookmarkStart w:id="135" w:name="_Toc336509267"/>
      <w:bookmarkStart w:id="136" w:name="_Toc318696586"/>
      <w:bookmarkStart w:id="137" w:name="_Toc318790765"/>
      <w:bookmarkStart w:id="138" w:name="_Toc336511314"/>
      <w:r w:rsidRPr="00EF7118">
        <w:t xml:space="preserve">If this submission is </w:t>
      </w:r>
      <w:r w:rsidR="00DB153A">
        <w:t>approved, it is recommended</w:t>
      </w:r>
      <w:r w:rsidRPr="00EF7118">
        <w:t xml:space="preserve"> the Delegate considers requesting the </w:t>
      </w:r>
      <w:r w:rsidR="00765EF9">
        <w:t>s</w:t>
      </w:r>
      <w:r w:rsidRPr="00EF7118">
        <w:t xml:space="preserve">ponsor to incorporate the following amendments to the RMP, unless an acceptable justification has been provided by the sponsor in the response to </w:t>
      </w:r>
      <w:r w:rsidR="00046341">
        <w:t>Section 31</w:t>
      </w:r>
      <w:r w:rsidRPr="00EF7118">
        <w:t xml:space="preserve"> request for information to address these concerns</w:t>
      </w:r>
      <w:bookmarkEnd w:id="132"/>
      <w:bookmarkEnd w:id="133"/>
      <w:bookmarkEnd w:id="134"/>
      <w:bookmarkEnd w:id="135"/>
      <w:bookmarkEnd w:id="136"/>
      <w:bookmarkEnd w:id="137"/>
      <w:r w:rsidRPr="00EF7118">
        <w:t>:</w:t>
      </w:r>
      <w:bookmarkEnd w:id="138"/>
    </w:p>
    <w:p w:rsidR="00EF7118" w:rsidRDefault="00EF7118" w:rsidP="00EF7118">
      <w:pPr>
        <w:pStyle w:val="ListBullet"/>
      </w:pPr>
      <w:r>
        <w:t>To include a brief summary on whether there are any significant changes (if any) in the profile of th</w:t>
      </w:r>
      <w:r w:rsidR="00DB153A">
        <w:t>e observed adverse events (that is, frequency, severity, etcetera</w:t>
      </w:r>
      <w:r>
        <w:t>) when comparing SC and IV administra</w:t>
      </w:r>
      <w:r w:rsidR="00DB153A">
        <w:t>tions</w:t>
      </w:r>
      <w:r>
        <w:t xml:space="preserve">. </w:t>
      </w:r>
    </w:p>
    <w:p w:rsidR="00EF7118" w:rsidRDefault="00EF7118" w:rsidP="00EF7118">
      <w:pPr>
        <w:pStyle w:val="ListBullet"/>
      </w:pPr>
      <w:r>
        <w:t xml:space="preserve">To include </w:t>
      </w:r>
      <w:proofErr w:type="spellStart"/>
      <w:r>
        <w:t>cellulitis</w:t>
      </w:r>
      <w:proofErr w:type="spellEnd"/>
      <w:r>
        <w:t xml:space="preserve"> as an ongoing safety concern in the future update of the RMP and to propose acceptable and appropriate pharmacovigilance and ri</w:t>
      </w:r>
      <w:r w:rsidR="00F10F03">
        <w:t>sk minimisation activities</w:t>
      </w:r>
      <w:r>
        <w:t>.</w:t>
      </w:r>
    </w:p>
    <w:p w:rsidR="00EF7118" w:rsidRDefault="00EF7118" w:rsidP="00EF7118">
      <w:pPr>
        <w:pStyle w:val="ListBullet"/>
      </w:pPr>
      <w:r>
        <w:t xml:space="preserve">To confirm the inclusion of tumour </w:t>
      </w:r>
      <w:proofErr w:type="spellStart"/>
      <w:r>
        <w:t>lysis</w:t>
      </w:r>
      <w:proofErr w:type="spellEnd"/>
      <w:r>
        <w:t xml:space="preserve"> syndrome as an ongoing safety concern in the future update of the RMP and to propose acceptable and appropriate pharmacovigilance and ri</w:t>
      </w:r>
      <w:r w:rsidR="00F10F03">
        <w:t>sk minimisation activities</w:t>
      </w:r>
      <w:r>
        <w:t>.</w:t>
      </w:r>
    </w:p>
    <w:p w:rsidR="00EF7118" w:rsidRDefault="00EF7118" w:rsidP="00EF7118">
      <w:pPr>
        <w:pStyle w:val="ListBullet"/>
      </w:pPr>
      <w:r>
        <w:lastRenderedPageBreak/>
        <w:t xml:space="preserve">To provide a brief update on the progress of targeted recruitment for </w:t>
      </w:r>
      <w:r w:rsidR="008028CD">
        <w:t>S</w:t>
      </w:r>
      <w:r>
        <w:t xml:space="preserve">tudies AZA PH US 2007 PK006 and AZA PH US 2008 CL </w:t>
      </w:r>
      <w:r w:rsidR="00F10F03">
        <w:t>008</w:t>
      </w:r>
      <w:r>
        <w:t>.</w:t>
      </w:r>
    </w:p>
    <w:p w:rsidR="008E7846" w:rsidRPr="00792A32" w:rsidRDefault="008E7846" w:rsidP="008E7846">
      <w:pPr>
        <w:pStyle w:val="Heading2"/>
      </w:pPr>
      <w:bookmarkStart w:id="139" w:name="_Toc36441640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2"/>
      <w:bookmarkEnd w:id="127"/>
      <w:bookmarkEnd w:id="131"/>
      <w:bookmarkEnd w:id="139"/>
    </w:p>
    <w:p w:rsidR="008E7846" w:rsidRDefault="008E7846" w:rsidP="008E7846">
      <w:bookmarkStart w:id="140"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41" w:name="_Toc314842511"/>
      <w:bookmarkStart w:id="142" w:name="_Toc364416409"/>
      <w:r>
        <w:t>Quality</w:t>
      </w:r>
      <w:bookmarkEnd w:id="140"/>
      <w:bookmarkEnd w:id="141"/>
      <w:bookmarkEnd w:id="142"/>
    </w:p>
    <w:p w:rsidR="00032625" w:rsidRDefault="00032625" w:rsidP="00032625">
      <w:pPr>
        <w:rPr>
          <w:szCs w:val="24"/>
        </w:rPr>
      </w:pPr>
      <w:r w:rsidRPr="00CC685F">
        <w:rPr>
          <w:szCs w:val="24"/>
        </w:rPr>
        <w:t xml:space="preserve">There were no objections to registration although it was recommended that IV administration of the product must be complete within 45 </w:t>
      </w:r>
      <w:r w:rsidR="007C0CF3">
        <w:rPr>
          <w:szCs w:val="24"/>
        </w:rPr>
        <w:t>min</w:t>
      </w:r>
      <w:r w:rsidRPr="00CC685F">
        <w:rPr>
          <w:szCs w:val="24"/>
        </w:rPr>
        <w:t xml:space="preserve"> of reconstitution.</w:t>
      </w:r>
    </w:p>
    <w:p w:rsidR="008E7846" w:rsidRDefault="008E7846" w:rsidP="008E7846">
      <w:pPr>
        <w:pStyle w:val="Heading3"/>
      </w:pPr>
      <w:bookmarkStart w:id="143" w:name="_Toc314842512"/>
      <w:bookmarkStart w:id="144" w:name="_Toc364416410"/>
      <w:r>
        <w:t>Nonclinical</w:t>
      </w:r>
      <w:bookmarkEnd w:id="143"/>
      <w:bookmarkEnd w:id="144"/>
    </w:p>
    <w:p w:rsidR="00032625" w:rsidRPr="00032625" w:rsidRDefault="00032625" w:rsidP="00032625">
      <w:r w:rsidRPr="00032625">
        <w:t xml:space="preserve">IV azacitidine produced marked </w:t>
      </w:r>
      <w:r w:rsidRPr="00032625">
        <w:rPr>
          <w:b/>
        </w:rPr>
        <w:t>tachycardia</w:t>
      </w:r>
      <w:r w:rsidRPr="00032625">
        <w:t xml:space="preserve"> in dogs; </w:t>
      </w:r>
      <w:r w:rsidRPr="00541739">
        <w:rPr>
          <w:i/>
        </w:rPr>
        <w:t>in vitro</w:t>
      </w:r>
      <w:r w:rsidRPr="00032625">
        <w:t>, there were opposing findings.</w:t>
      </w:r>
      <w:r w:rsidR="005179E7">
        <w:t xml:space="preserve"> </w:t>
      </w:r>
      <w:r w:rsidRPr="00032625">
        <w:t>Cardiovascular changes in dogs occurred ≥</w:t>
      </w:r>
      <w:r>
        <w:t>2 h</w:t>
      </w:r>
      <w:r w:rsidRPr="00032625">
        <w:t xml:space="preserve"> after administration, far later than </w:t>
      </w:r>
      <w:proofErr w:type="spellStart"/>
      <w:r w:rsidRPr="00032625">
        <w:t>T</w:t>
      </w:r>
      <w:r w:rsidRPr="00A83165">
        <w:rPr>
          <w:vertAlign w:val="subscript"/>
        </w:rPr>
        <w:t>max</w:t>
      </w:r>
      <w:proofErr w:type="spellEnd"/>
      <w:r w:rsidRPr="00032625">
        <w:softHyphen/>
        <w:t xml:space="preserve"> for </w:t>
      </w:r>
      <w:proofErr w:type="spellStart"/>
      <w:r w:rsidRPr="00032625">
        <w:t>azacitidine</w:t>
      </w:r>
      <w:proofErr w:type="spellEnd"/>
      <w:r w:rsidRPr="00032625">
        <w:t>, raising the possibility of an association with a metabolite.</w:t>
      </w:r>
      <w:r w:rsidR="005179E7">
        <w:t xml:space="preserve"> </w:t>
      </w:r>
      <w:r w:rsidRPr="00032625">
        <w:t xml:space="preserve">“As the effects in dogs occurred at plasma levels of azacitidine similar to that anticipated clinically from a 10 min IV infusion of </w:t>
      </w:r>
      <w:proofErr w:type="spellStart"/>
      <w:r w:rsidR="00A0520D">
        <w:t>Vidaza</w:t>
      </w:r>
      <w:proofErr w:type="spellEnd"/>
      <w:r w:rsidRPr="00032625">
        <w:t>, adverse cardiovascular effects may be seen clinically with the proposed new route of administration”.</w:t>
      </w:r>
    </w:p>
    <w:p w:rsidR="00032625" w:rsidRPr="00032625" w:rsidRDefault="00032625" w:rsidP="00032625">
      <w:r w:rsidRPr="00032625">
        <w:t xml:space="preserve">The sponsor claims that azacitidine is expected to undergo spontaneous hydrolysis (the major metabolic pathway for azacitidine) </w:t>
      </w:r>
      <w:r w:rsidRPr="00B93BB9">
        <w:rPr>
          <w:i/>
        </w:rPr>
        <w:t>in vitro</w:t>
      </w:r>
      <w:r w:rsidRPr="00032625">
        <w:t xml:space="preserve"> as well as </w:t>
      </w:r>
      <w:r w:rsidRPr="00B93BB9">
        <w:rPr>
          <w:i/>
        </w:rPr>
        <w:t>in vivo</w:t>
      </w:r>
      <w:r w:rsidRPr="00032625">
        <w:t xml:space="preserve">, but this leaves the conflict between dog and </w:t>
      </w:r>
      <w:r w:rsidRPr="00FC1BF3">
        <w:rPr>
          <w:i/>
        </w:rPr>
        <w:t>in vitro</w:t>
      </w:r>
      <w:r w:rsidRPr="00032625">
        <w:t xml:space="preserve"> studies unresolved.</w:t>
      </w:r>
      <w:r w:rsidR="005179E7">
        <w:t xml:space="preserve"> </w:t>
      </w:r>
      <w:r w:rsidRPr="00032625">
        <w:t>A role for minor metabolites in the dog study has not been ruled out.</w:t>
      </w:r>
    </w:p>
    <w:p w:rsidR="00032625" w:rsidRPr="00032625" w:rsidRDefault="00032625" w:rsidP="00032625">
      <w:r w:rsidRPr="00032625">
        <w:t>After the normal evaluation phase, the spo</w:t>
      </w:r>
      <w:r w:rsidR="00DF62EE">
        <w:t>nsor has supplied several CNS/</w:t>
      </w:r>
      <w:r w:rsidRPr="00032625">
        <w:t>respiratory safety studies in rats.</w:t>
      </w:r>
      <w:r w:rsidR="00CA3F8A">
        <w:t xml:space="preserve"> </w:t>
      </w:r>
      <w:r w:rsidRPr="00032625">
        <w:t xml:space="preserve">In these studies, onset of effects on CNS and respiratory function was 4 </w:t>
      </w:r>
      <w:r w:rsidR="007C0CF3">
        <w:t>h</w:t>
      </w:r>
      <w:r w:rsidRPr="00032625">
        <w:t xml:space="preserve"> post</w:t>
      </w:r>
      <w:r w:rsidR="00DB2CD5">
        <w:t xml:space="preserve"> </w:t>
      </w:r>
      <w:r w:rsidRPr="00032625">
        <w:t>dose.</w:t>
      </w:r>
      <w:r w:rsidR="005179E7">
        <w:t xml:space="preserve"> </w:t>
      </w:r>
      <w:r w:rsidRPr="00032625">
        <w:t>The</w:t>
      </w:r>
      <w:r w:rsidR="00DB2CD5">
        <w:t xml:space="preserve"> studies did not change the non</w:t>
      </w:r>
      <w:r w:rsidRPr="00032625">
        <w:t>clinical evaluator’s basic conclusion, that the higher systemic exposure with IV use relative to SC use confers a greater risk of toxicity.</w:t>
      </w:r>
    </w:p>
    <w:p w:rsidR="00032625" w:rsidRPr="00032625" w:rsidRDefault="00DB2CD5" w:rsidP="00032625">
      <w:r>
        <w:t>The non</w:t>
      </w:r>
      <w:r w:rsidR="00032625" w:rsidRPr="00032625">
        <w:t>clinical evalua</w:t>
      </w:r>
      <w:r>
        <w:t>tor stated that no adequate non</w:t>
      </w:r>
      <w:r w:rsidR="00032625" w:rsidRPr="00032625">
        <w:t>clinical studies of local t</w:t>
      </w:r>
      <w:r w:rsidR="00CA3F8A">
        <w:t>olerance after IV</w:t>
      </w:r>
      <w:r w:rsidR="00032625" w:rsidRPr="00032625">
        <w:t>/</w:t>
      </w:r>
      <w:proofErr w:type="spellStart"/>
      <w:r w:rsidR="00032625" w:rsidRPr="00032625">
        <w:t>perivascular</w:t>
      </w:r>
      <w:proofErr w:type="spellEnd"/>
      <w:r w:rsidR="00032625" w:rsidRPr="00032625">
        <w:t xml:space="preserve"> administration were submitted.</w:t>
      </w:r>
      <w:r w:rsidR="005179E7">
        <w:t xml:space="preserve"> </w:t>
      </w:r>
      <w:r w:rsidR="00032625" w:rsidRPr="00032625">
        <w:t>The sponsor pointed to clinical data.</w:t>
      </w:r>
    </w:p>
    <w:p w:rsidR="00032625" w:rsidRPr="00032625" w:rsidRDefault="00032625" w:rsidP="00032625">
      <w:r w:rsidRPr="00032625">
        <w:t>The clinical evaluator has referred evaluation of DMPK-002 (effect of azacitid</w:t>
      </w:r>
      <w:r w:rsidR="00CA3F8A">
        <w:t>ine on P450 enzymes) to the non</w:t>
      </w:r>
      <w:r w:rsidRPr="00032625">
        <w:t>clinical evaluator.</w:t>
      </w:r>
      <w:r w:rsidR="005179E7">
        <w:t xml:space="preserve"> </w:t>
      </w:r>
      <w:r w:rsidRPr="00032625">
        <w:t>The nonclinical evaluator concluded from this study that azacitidin</w:t>
      </w:r>
      <w:r w:rsidR="00DB2CD5">
        <w:t xml:space="preserve">e was neither a direct nor time </w:t>
      </w:r>
      <w:r w:rsidRPr="00032625">
        <w:t>dependent inhibitor of CYP2B6 or CYP2C8.</w:t>
      </w:r>
    </w:p>
    <w:p w:rsidR="008E7846" w:rsidRDefault="008E7846" w:rsidP="008E7846">
      <w:pPr>
        <w:pStyle w:val="Heading3"/>
      </w:pPr>
      <w:bookmarkStart w:id="145" w:name="_Toc247691530"/>
      <w:bookmarkStart w:id="146" w:name="_Toc314842513"/>
      <w:bookmarkStart w:id="147" w:name="_Toc364416411"/>
      <w:r>
        <w:t>Clinical</w:t>
      </w:r>
      <w:bookmarkEnd w:id="145"/>
      <w:bookmarkEnd w:id="146"/>
      <w:bookmarkEnd w:id="147"/>
    </w:p>
    <w:p w:rsidR="00CA3F8A" w:rsidRPr="00CC685F" w:rsidRDefault="00CA3F8A" w:rsidP="00CA3F8A">
      <w:pPr>
        <w:tabs>
          <w:tab w:val="left" w:pos="567"/>
          <w:tab w:val="right" w:pos="7088"/>
        </w:tabs>
        <w:rPr>
          <w:szCs w:val="24"/>
        </w:rPr>
      </w:pPr>
      <w:r w:rsidRPr="00CC685F">
        <w:rPr>
          <w:szCs w:val="24"/>
        </w:rPr>
        <w:t xml:space="preserve">The </w:t>
      </w:r>
      <w:r>
        <w:rPr>
          <w:szCs w:val="24"/>
        </w:rPr>
        <w:t>c</w:t>
      </w:r>
      <w:r w:rsidRPr="00CC685F">
        <w:rPr>
          <w:szCs w:val="24"/>
        </w:rPr>
        <w:t xml:space="preserve">linical </w:t>
      </w:r>
      <w:r>
        <w:rPr>
          <w:szCs w:val="24"/>
        </w:rPr>
        <w:t>e</w:t>
      </w:r>
      <w:r w:rsidRPr="00CC685F">
        <w:rPr>
          <w:szCs w:val="24"/>
        </w:rPr>
        <w:t xml:space="preserve">valuator recommends </w:t>
      </w:r>
      <w:r w:rsidRPr="00CA3F8A">
        <w:rPr>
          <w:b/>
          <w:szCs w:val="24"/>
        </w:rPr>
        <w:t>rejecting</w:t>
      </w:r>
      <w:r w:rsidRPr="00CC685F">
        <w:rPr>
          <w:szCs w:val="24"/>
        </w:rPr>
        <w:t xml:space="preserve"> the application for IV infusion.</w:t>
      </w:r>
    </w:p>
    <w:p w:rsidR="00CA3F8A" w:rsidRDefault="00CF230F" w:rsidP="008E7846">
      <w:r>
        <w:t xml:space="preserve">An overview of the data is presented in Table </w:t>
      </w:r>
      <w:r w:rsidR="007D431C">
        <w:t>4</w:t>
      </w:r>
      <w:r>
        <w:t>.</w:t>
      </w:r>
    </w:p>
    <w:p w:rsidR="006F7083" w:rsidRPr="00851913" w:rsidRDefault="007B4D26" w:rsidP="006F7083">
      <w:pPr>
        <w:pStyle w:val="FigureTitle"/>
        <w:rPr>
          <w:lang w:val="en-GB"/>
        </w:rPr>
      </w:pPr>
      <w:r>
        <w:br w:type="page"/>
      </w:r>
      <w:r w:rsidR="006F7083" w:rsidRPr="00851913">
        <w:lastRenderedPageBreak/>
        <w:t xml:space="preserve">Table </w:t>
      </w:r>
      <w:r w:rsidR="007D431C">
        <w:t>4</w:t>
      </w:r>
      <w:r w:rsidR="006F7083" w:rsidRPr="00851913">
        <w:t xml:space="preserve">: </w:t>
      </w:r>
      <w:r w:rsidR="007D431C">
        <w:t>Overview of data</w:t>
      </w:r>
      <w:r w:rsidR="006F7083">
        <w:t>.</w:t>
      </w:r>
    </w:p>
    <w:p w:rsidR="00ED409A" w:rsidRDefault="00AC7BD2" w:rsidP="00ED409A">
      <w:pPr>
        <w:jc w:val="center"/>
      </w:pPr>
      <w:r>
        <w:rPr>
          <w:noProof/>
          <w:lang w:eastAsia="en-AU"/>
        </w:rPr>
        <w:drawing>
          <wp:inline distT="0" distB="0" distL="0" distR="0">
            <wp:extent cx="3881755" cy="2973070"/>
            <wp:effectExtent l="19050" t="0" r="4445" b="0"/>
            <wp:docPr id="5" name="Picture 5" descr="Table 4: Overview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Overview of data."/>
                    <pic:cNvPicPr>
                      <a:picLocks noChangeAspect="1" noChangeArrowheads="1"/>
                    </pic:cNvPicPr>
                  </pic:nvPicPr>
                  <pic:blipFill>
                    <a:blip r:embed="rId20" cstate="print"/>
                    <a:srcRect/>
                    <a:stretch>
                      <a:fillRect/>
                    </a:stretch>
                  </pic:blipFill>
                  <pic:spPr bwMode="auto">
                    <a:xfrm>
                      <a:off x="0" y="0"/>
                      <a:ext cx="3881755" cy="2973070"/>
                    </a:xfrm>
                    <a:prstGeom prst="rect">
                      <a:avLst/>
                    </a:prstGeom>
                    <a:noFill/>
                    <a:ln w="9525">
                      <a:noFill/>
                      <a:miter lim="800000"/>
                      <a:headEnd/>
                      <a:tailEnd/>
                    </a:ln>
                  </pic:spPr>
                </pic:pic>
              </a:graphicData>
            </a:graphic>
          </wp:inline>
        </w:drawing>
      </w:r>
    </w:p>
    <w:p w:rsidR="00970BC3" w:rsidRPr="00970BC3" w:rsidRDefault="00970BC3" w:rsidP="00970BC3">
      <w:pPr>
        <w:pStyle w:val="Heading4"/>
      </w:pPr>
      <w:r w:rsidRPr="00970BC3">
        <w:t>Pharmacokinetics (PK)</w:t>
      </w:r>
    </w:p>
    <w:p w:rsidR="00970BC3" w:rsidRPr="00970BC3" w:rsidRDefault="00970BC3" w:rsidP="00970BC3">
      <w:pPr>
        <w:pStyle w:val="Heading5"/>
      </w:pPr>
      <w:r w:rsidRPr="00970BC3">
        <w:t>Study AZA-2002-BA-002</w:t>
      </w:r>
    </w:p>
    <w:p w:rsidR="00970BC3" w:rsidRPr="00970BC3" w:rsidRDefault="00970BC3" w:rsidP="00970BC3">
      <w:r w:rsidRPr="00970BC3">
        <w:t>This study’s objective was to characterise the single dose PK of azacitidine after SC and</w:t>
      </w:r>
      <w:r w:rsidR="00F72A8A">
        <w:t xml:space="preserve"> IV administration</w:t>
      </w:r>
      <w:r w:rsidRPr="00970BC3">
        <w:t>.</w:t>
      </w:r>
      <w:r w:rsidR="005179E7">
        <w:t xml:space="preserve"> </w:t>
      </w:r>
      <w:r w:rsidRPr="00970BC3">
        <w:t xml:space="preserve">It </w:t>
      </w:r>
      <w:r w:rsidR="00F72A8A">
        <w:t>was a randomised, open label, two period cross</w:t>
      </w:r>
      <w:r w:rsidRPr="00970BC3">
        <w:t>over study in adults with MDS.</w:t>
      </w:r>
      <w:r w:rsidR="005179E7">
        <w:t xml:space="preserve"> </w:t>
      </w:r>
      <w:r w:rsidRPr="00970BC3">
        <w:t xml:space="preserve">The IV dose was given over 10 </w:t>
      </w:r>
      <w:r w:rsidR="007C0CF3">
        <w:t>min</w:t>
      </w:r>
      <w:r w:rsidRPr="00970BC3">
        <w:t>.</w:t>
      </w:r>
    </w:p>
    <w:p w:rsidR="00970BC3" w:rsidRPr="00970BC3" w:rsidRDefault="00970BC3" w:rsidP="00970BC3">
      <w:r w:rsidRPr="00970BC3">
        <w:t>Only 6 patients were studied (mean age 71 years).</w:t>
      </w:r>
    </w:p>
    <w:p w:rsidR="00970BC3" w:rsidRPr="00970BC3" w:rsidRDefault="00970BC3" w:rsidP="00970BC3">
      <w:r w:rsidRPr="00970BC3">
        <w:t xml:space="preserve">Since the current application is to allow IV use, it is notable that individual patient ratios for </w:t>
      </w:r>
      <w:r w:rsidRPr="00970BC3">
        <w:rPr>
          <w:b/>
        </w:rPr>
        <w:t>AUC</w:t>
      </w:r>
      <w:r w:rsidRPr="00970BC3">
        <w:t xml:space="preserve"> after IV administration v</w:t>
      </w:r>
      <w:r w:rsidR="0002699E">
        <w:t>ersus</w:t>
      </w:r>
      <w:r w:rsidRPr="00970BC3">
        <w:t xml:space="preserve"> AU</w:t>
      </w:r>
      <w:r w:rsidR="00DE182D">
        <w:t>C after SC administration were 1.45,</w:t>
      </w:r>
      <w:r w:rsidRPr="00970BC3">
        <w:t xml:space="preserve"> 0.78</w:t>
      </w:r>
      <w:r w:rsidR="00DE182D">
        <w:t>,</w:t>
      </w:r>
      <w:r w:rsidRPr="00970BC3">
        <w:t xml:space="preserve"> 0.92</w:t>
      </w:r>
      <w:r w:rsidR="00DE182D">
        <w:t>,</w:t>
      </w:r>
      <w:r w:rsidRPr="00970BC3">
        <w:t xml:space="preserve"> 1.22</w:t>
      </w:r>
      <w:r w:rsidR="00DE182D">
        <w:t>,</w:t>
      </w:r>
      <w:r w:rsidRPr="00970BC3">
        <w:t xml:space="preserve"> </w:t>
      </w:r>
      <w:r w:rsidR="00483E0E">
        <w:t>1.66</w:t>
      </w:r>
      <w:r w:rsidR="00DE182D">
        <w:t>,</w:t>
      </w:r>
      <w:r w:rsidR="00483E0E">
        <w:t xml:space="preserve"> and 0.97</w:t>
      </w:r>
      <w:r w:rsidRPr="00970BC3">
        <w:t>.</w:t>
      </w:r>
      <w:r w:rsidR="005179E7">
        <w:t xml:space="preserve"> </w:t>
      </w:r>
      <w:r w:rsidRPr="00970BC3">
        <w:t xml:space="preserve">Likewise, individual patient ratios for </w:t>
      </w:r>
      <w:proofErr w:type="spellStart"/>
      <w:r w:rsidRPr="00970BC3">
        <w:rPr>
          <w:b/>
        </w:rPr>
        <w:t>C</w:t>
      </w:r>
      <w:r w:rsidRPr="00A83165">
        <w:rPr>
          <w:b/>
          <w:vertAlign w:val="subscript"/>
        </w:rPr>
        <w:t>max</w:t>
      </w:r>
      <w:proofErr w:type="spellEnd"/>
      <w:r>
        <w:t xml:space="preserve"> (IV</w:t>
      </w:r>
      <w:r w:rsidRPr="00970BC3">
        <w:t>/SC) w</w:t>
      </w:r>
      <w:r w:rsidR="00DE182D">
        <w:t xml:space="preserve">ere </w:t>
      </w:r>
      <w:r w:rsidRPr="00970BC3">
        <w:t>5.26</w:t>
      </w:r>
      <w:r w:rsidR="00DE182D">
        <w:t>,</w:t>
      </w:r>
      <w:r w:rsidRPr="00970BC3">
        <w:t xml:space="preserve"> 2</w:t>
      </w:r>
      <w:r w:rsidR="00DE182D">
        <w:t>.84, 2.44, 4.30, 5.86, and 3.05, respectively.</w:t>
      </w:r>
    </w:p>
    <w:p w:rsidR="00970BC3" w:rsidRPr="00970BC3" w:rsidRDefault="00970BC3" w:rsidP="00970BC3">
      <w:r w:rsidRPr="00970BC3">
        <w:t>The study did not address multiple dosing.</w:t>
      </w:r>
      <w:r w:rsidR="005179E7">
        <w:t xml:space="preserve"> </w:t>
      </w:r>
      <w:r w:rsidRPr="00970BC3">
        <w:t>The sponsor notes that no accumulation is expected following multiple daily doses.</w:t>
      </w:r>
    </w:p>
    <w:p w:rsidR="0013563E" w:rsidRDefault="00970BC3" w:rsidP="00970BC3">
      <w:r w:rsidRPr="00970BC3">
        <w:t>The evaluator noted that data in Study AZA-2002-BA-002 were criticised.</w:t>
      </w:r>
      <w:r w:rsidR="005179E7">
        <w:t xml:space="preserve"> </w:t>
      </w:r>
      <w:r w:rsidRPr="00970BC3">
        <w:t>The principle cr</w:t>
      </w:r>
      <w:r w:rsidR="0013563E">
        <w:t>iticisms there were that:</w:t>
      </w:r>
    </w:p>
    <w:p w:rsidR="0013563E" w:rsidRDefault="0013563E" w:rsidP="0013563E">
      <w:pPr>
        <w:pStyle w:val="ListBullet"/>
      </w:pPr>
      <w:r>
        <w:t>only three</w:t>
      </w:r>
      <w:r w:rsidR="00970BC3" w:rsidRPr="00970BC3">
        <w:t xml:space="preserve"> time points were available to calculate the e</w:t>
      </w:r>
      <w:r>
        <w:t>limination rate constant (only two</w:t>
      </w:r>
      <w:r w:rsidR="00970BC3" w:rsidRPr="00970BC3">
        <w:t xml:space="preserve"> time points for two subjects after IV</w:t>
      </w:r>
      <w:r>
        <w:t xml:space="preserve"> administration);</w:t>
      </w:r>
    </w:p>
    <w:p w:rsidR="0013563E" w:rsidRDefault="0013563E" w:rsidP="0013563E">
      <w:pPr>
        <w:pStyle w:val="ListBullet"/>
      </w:pPr>
      <w:r>
        <w:t xml:space="preserve">one of the subjects </w:t>
      </w:r>
      <w:r w:rsidR="00970BC3" w:rsidRPr="00970BC3">
        <w:t>was an outlier with much higher exposure than other subjects, suggesti</w:t>
      </w:r>
      <w:r>
        <w:t>ng anomalous drug handling; and</w:t>
      </w:r>
    </w:p>
    <w:p w:rsidR="00970BC3" w:rsidRPr="00970BC3" w:rsidRDefault="00970BC3" w:rsidP="0013563E">
      <w:pPr>
        <w:pStyle w:val="ListBullet"/>
      </w:pPr>
      <w:r w:rsidRPr="00970BC3">
        <w:t xml:space="preserve">there was a wide range of </w:t>
      </w:r>
      <w:proofErr w:type="spellStart"/>
      <w:r w:rsidRPr="00970BC3">
        <w:t>bioavailabilities</w:t>
      </w:r>
      <w:proofErr w:type="spellEnd"/>
      <w:r w:rsidRPr="00970BC3">
        <w:t xml:space="preserve"> for SC administration (relative to IV; 52-128%) despite the high mean value of 92%.</w:t>
      </w:r>
    </w:p>
    <w:p w:rsidR="00970BC3" w:rsidRPr="00970BC3" w:rsidRDefault="00970BC3" w:rsidP="00970BC3">
      <w:pPr>
        <w:pStyle w:val="Heading5"/>
      </w:pPr>
      <w:r w:rsidRPr="00970BC3">
        <w:t>PK modelling report</w:t>
      </w:r>
    </w:p>
    <w:p w:rsidR="00970BC3" w:rsidRPr="00970BC3" w:rsidRDefault="00F812D4" w:rsidP="00970BC3">
      <w:r>
        <w:t xml:space="preserve">This was a population pharmacokinetic </w:t>
      </w:r>
      <w:r w:rsidR="00970BC3" w:rsidRPr="00970BC3">
        <w:t>analysis, based on data from the 6 patients in Stu</w:t>
      </w:r>
      <w:r>
        <w:t>dy AZA-2002-BA-002</w:t>
      </w:r>
      <w:r w:rsidR="00970BC3" w:rsidRPr="00970BC3">
        <w:t>.</w:t>
      </w:r>
      <w:r w:rsidR="005179E7">
        <w:t xml:space="preserve"> </w:t>
      </w:r>
      <w:r w:rsidR="00970BC3" w:rsidRPr="00970BC3">
        <w:t>The analysis aimed to support IV infusion as proposed.</w:t>
      </w:r>
      <w:r w:rsidR="005179E7">
        <w:t xml:space="preserve"> </w:t>
      </w:r>
      <w:r w:rsidR="00970BC3" w:rsidRPr="00970BC3">
        <w:t xml:space="preserve">Essentially, a model of </w:t>
      </w:r>
      <w:r>
        <w:t>pharmacokinetic</w:t>
      </w:r>
      <w:r w:rsidR="00970BC3" w:rsidRPr="00970BC3">
        <w:t xml:space="preserve"> behaviour was constructed based on results seen in Study AZA-2002-BA-002, then the model was used to </w:t>
      </w:r>
      <w:r w:rsidR="00970BC3" w:rsidRPr="00557889">
        <w:rPr>
          <w:b/>
        </w:rPr>
        <w:t>predict PK profiles following IV infusions of varying duration</w:t>
      </w:r>
      <w:r w:rsidR="00970BC3" w:rsidRPr="00970BC3">
        <w:t>.</w:t>
      </w:r>
      <w:r w:rsidR="005179E7">
        <w:t xml:space="preserve"> </w:t>
      </w:r>
      <w:r w:rsidR="00970BC3" w:rsidRPr="00970BC3">
        <w:t>The model’s prediction was</w:t>
      </w:r>
      <w:r>
        <w:t xml:space="preserve"> that across 10, 20, 30 and 40 </w:t>
      </w:r>
      <w:r w:rsidR="007C0CF3">
        <w:t>min</w:t>
      </w:r>
      <w:r w:rsidR="00970BC3" w:rsidRPr="00970BC3">
        <w:t xml:space="preserve"> infusions, </w:t>
      </w:r>
      <w:proofErr w:type="spellStart"/>
      <w:r w:rsidR="00A83165">
        <w:t>C</w:t>
      </w:r>
      <w:r w:rsidR="00A83165" w:rsidRPr="00A83165">
        <w:rPr>
          <w:vertAlign w:val="subscript"/>
        </w:rPr>
        <w:t>max</w:t>
      </w:r>
      <w:proofErr w:type="spellEnd"/>
      <w:r w:rsidR="00970BC3" w:rsidRPr="00970BC3">
        <w:t xml:space="preserve"> resembled more and more closely the </w:t>
      </w:r>
      <w:proofErr w:type="spellStart"/>
      <w:r w:rsidR="00A83165">
        <w:t>C</w:t>
      </w:r>
      <w:r w:rsidR="00A83165" w:rsidRPr="00A83165">
        <w:rPr>
          <w:vertAlign w:val="subscript"/>
        </w:rPr>
        <w:t>max</w:t>
      </w:r>
      <w:proofErr w:type="spellEnd"/>
      <w:r w:rsidR="00970BC3" w:rsidRPr="00970BC3">
        <w:t xml:space="preserve"> seen with SC admin</w:t>
      </w:r>
      <w:r>
        <w:t>istration</w:t>
      </w:r>
      <w:r w:rsidR="00970BC3" w:rsidRPr="00970BC3">
        <w:t>.</w:t>
      </w:r>
    </w:p>
    <w:p w:rsidR="00970BC3" w:rsidRPr="00970BC3" w:rsidRDefault="00970BC3" w:rsidP="00970BC3">
      <w:r w:rsidRPr="00970BC3">
        <w:lastRenderedPageBreak/>
        <w:t>The evaluator noted pres</w:t>
      </w:r>
      <w:r w:rsidR="00F812D4">
        <w:t xml:space="preserve">entation errors in the report </w:t>
      </w:r>
      <w:r w:rsidRPr="00970BC3">
        <w:t>but concluded that their correction would make no diff</w:t>
      </w:r>
      <w:r w:rsidR="00F812D4">
        <w:t>erence</w:t>
      </w:r>
      <w:r w:rsidRPr="00970BC3">
        <w:t>.</w:t>
      </w:r>
    </w:p>
    <w:p w:rsidR="00970BC3" w:rsidRPr="00970BC3" w:rsidRDefault="00970BC3" w:rsidP="00970BC3">
      <w:r w:rsidRPr="00970BC3">
        <w:t xml:space="preserve">The evaluator considered that: the model was </w:t>
      </w:r>
      <w:r w:rsidRPr="00557889">
        <w:rPr>
          <w:b/>
        </w:rPr>
        <w:t>not</w:t>
      </w:r>
      <w:r w:rsidRPr="00970BC3">
        <w:t xml:space="preserve"> adequately validated; individual patient factors such as renal function were </w:t>
      </w:r>
      <w:r w:rsidRPr="00557889">
        <w:rPr>
          <w:b/>
        </w:rPr>
        <w:t>not</w:t>
      </w:r>
      <w:r w:rsidRPr="00970BC3">
        <w:t xml:space="preserve"> taken into account; and the number of samples used in the analysis was </w:t>
      </w:r>
      <w:r w:rsidRPr="00557889">
        <w:rPr>
          <w:b/>
        </w:rPr>
        <w:t>inadequat</w:t>
      </w:r>
      <w:r w:rsidR="00301406">
        <w:rPr>
          <w:b/>
        </w:rPr>
        <w:t>e</w:t>
      </w:r>
      <w:r w:rsidRPr="00970BC3">
        <w:t>.</w:t>
      </w:r>
    </w:p>
    <w:p w:rsidR="00970BC3" w:rsidRPr="00970BC3" w:rsidRDefault="00970BC3" w:rsidP="00970BC3">
      <w:r w:rsidRPr="00970BC3">
        <w:t xml:space="preserve">The evaluator concluded that it cannot be stated with confidence that the proposed IV infusion regimen results in a similar PK profile – in terms of </w:t>
      </w:r>
      <w:proofErr w:type="spellStart"/>
      <w:r w:rsidR="00A83165">
        <w:t>C</w:t>
      </w:r>
      <w:r w:rsidR="00A83165" w:rsidRPr="00A83165">
        <w:rPr>
          <w:vertAlign w:val="subscript"/>
        </w:rPr>
        <w:t>max</w:t>
      </w:r>
      <w:proofErr w:type="spellEnd"/>
      <w:r w:rsidRPr="00970BC3">
        <w:t xml:space="preserve"> and AUC – to that resulting from </w:t>
      </w:r>
      <w:r w:rsidR="00301406">
        <w:t xml:space="preserve">SC </w:t>
      </w:r>
      <w:r w:rsidRPr="00970BC3">
        <w:t>administration.</w:t>
      </w:r>
      <w:r w:rsidR="005179E7">
        <w:t xml:space="preserve"> </w:t>
      </w:r>
      <w:r w:rsidRPr="00970BC3">
        <w:t xml:space="preserve">This would seem to be the case particularly for shorter infusion periods (anything from 10-40 </w:t>
      </w:r>
      <w:r w:rsidR="007C0CF3">
        <w:t>min</w:t>
      </w:r>
      <w:r w:rsidRPr="00970BC3">
        <w:t xml:space="preserve"> is sanctioned in the proposed PI).</w:t>
      </w:r>
    </w:p>
    <w:p w:rsidR="00970BC3" w:rsidRPr="00970BC3" w:rsidRDefault="00970BC3" w:rsidP="00970BC3">
      <w:pPr>
        <w:pStyle w:val="Heading5"/>
      </w:pPr>
      <w:r w:rsidRPr="00970BC3">
        <w:t>Uchida et al</w:t>
      </w:r>
      <w:r>
        <w:t>.</w:t>
      </w:r>
      <w:r w:rsidRPr="00970BC3">
        <w:t xml:space="preserve"> (2011)</w:t>
      </w:r>
      <w:r w:rsidR="009E0DDA">
        <w:rPr>
          <w:rStyle w:val="FootnoteReference"/>
        </w:rPr>
        <w:footnoteReference w:id="5"/>
      </w:r>
    </w:p>
    <w:p w:rsidR="00970BC3" w:rsidRPr="00970BC3" w:rsidRDefault="00970BC3" w:rsidP="00970BC3">
      <w:r w:rsidRPr="00970BC3">
        <w:t>A summary (only) of this paper was presented by the sponsor after the normal evaluation phase.</w:t>
      </w:r>
      <w:r w:rsidR="005179E7">
        <w:t xml:space="preserve"> </w:t>
      </w:r>
      <w:r w:rsidRPr="00970BC3">
        <w:t>The paper provides independent confirmation that with</w:t>
      </w:r>
      <w:r w:rsidR="00FA670D">
        <w:t xml:space="preserve"> IV dosing, </w:t>
      </w:r>
      <w:proofErr w:type="spellStart"/>
      <w:r w:rsidR="00A83165">
        <w:t>C</w:t>
      </w:r>
      <w:r w:rsidR="00A83165" w:rsidRPr="00A83165">
        <w:rPr>
          <w:vertAlign w:val="subscript"/>
        </w:rPr>
        <w:t>max</w:t>
      </w:r>
      <w:proofErr w:type="spellEnd"/>
      <w:r w:rsidR="00FA670D">
        <w:t xml:space="preserve"> may be about 4 </w:t>
      </w:r>
      <w:r w:rsidRPr="00970BC3">
        <w:t>fold higher than with SC dosing, but that AUC is only about 10% higher after IV dosing than after SC dosing.</w:t>
      </w:r>
      <w:r w:rsidR="005179E7">
        <w:t xml:space="preserve"> </w:t>
      </w:r>
      <w:r w:rsidRPr="00970BC3">
        <w:t xml:space="preserve">In the Uchida study, IV infusion was over 10 </w:t>
      </w:r>
      <w:r w:rsidR="007C0CF3">
        <w:t>min</w:t>
      </w:r>
      <w:r w:rsidRPr="00970BC3">
        <w:t>, which is the ‘worst case scenario’ regarding an altered safety profile with IV administration.</w:t>
      </w:r>
    </w:p>
    <w:p w:rsidR="00970BC3" w:rsidRPr="00970BC3" w:rsidRDefault="00970BC3" w:rsidP="00EB66C2">
      <w:pPr>
        <w:pStyle w:val="Heading4"/>
      </w:pPr>
      <w:r w:rsidRPr="00970BC3">
        <w:t>Pharmacodynamics (PD)</w:t>
      </w:r>
    </w:p>
    <w:p w:rsidR="00970BC3" w:rsidRPr="00970BC3" w:rsidRDefault="00970BC3" w:rsidP="00970BC3">
      <w:r w:rsidRPr="00970BC3">
        <w:t>No PD data were submitted.</w:t>
      </w:r>
    </w:p>
    <w:p w:rsidR="00970BC3" w:rsidRPr="00970BC3" w:rsidRDefault="00970BC3" w:rsidP="00EB66C2">
      <w:pPr>
        <w:pStyle w:val="Heading4"/>
      </w:pPr>
      <w:r w:rsidRPr="00970BC3">
        <w:t>Efficacy</w:t>
      </w:r>
    </w:p>
    <w:p w:rsidR="00970BC3" w:rsidRPr="00970BC3" w:rsidRDefault="00970BC3" w:rsidP="00EB66C2">
      <w:pPr>
        <w:pStyle w:val="Heading5"/>
      </w:pPr>
      <w:r w:rsidRPr="00970BC3">
        <w:t>Study</w:t>
      </w:r>
      <w:r w:rsidR="00E13119">
        <w:t xml:space="preserve"> CALGB 8421 (re</w:t>
      </w:r>
      <w:r w:rsidRPr="00970BC3">
        <w:t>analysis)</w:t>
      </w:r>
    </w:p>
    <w:p w:rsidR="00970BC3" w:rsidRPr="00970BC3" w:rsidRDefault="00E13119" w:rsidP="00970BC3">
      <w:r>
        <w:t>This was a 2003 re</w:t>
      </w:r>
      <w:r w:rsidR="00970BC3" w:rsidRPr="00970BC3">
        <w:t xml:space="preserve">analysis of a Phase </w:t>
      </w:r>
      <w:r>
        <w:t>II</w:t>
      </w:r>
      <w:r w:rsidR="00970BC3" w:rsidRPr="00970BC3">
        <w:t xml:space="preserve">, open, uncontrolled study of IV </w:t>
      </w:r>
      <w:proofErr w:type="spellStart"/>
      <w:r w:rsidR="00970BC3" w:rsidRPr="00970BC3">
        <w:t>azacitidine</w:t>
      </w:r>
      <w:proofErr w:type="spellEnd"/>
      <w:r w:rsidR="00970BC3" w:rsidRPr="00970BC3">
        <w:t xml:space="preserve"> in </w:t>
      </w:r>
      <w:r w:rsidR="00CB48C3">
        <w:t>MDS</w:t>
      </w:r>
      <w:r w:rsidR="00970BC3" w:rsidRPr="00970BC3">
        <w:t xml:space="preserve"> conducted between 1985 and 1994.</w:t>
      </w:r>
      <w:r w:rsidR="005179E7">
        <w:t xml:space="preserve"> </w:t>
      </w:r>
      <w:r w:rsidR="00CB48C3">
        <w:t>Data for the re</w:t>
      </w:r>
      <w:r w:rsidR="00970BC3" w:rsidRPr="00970BC3">
        <w:t>a</w:t>
      </w:r>
      <w:r w:rsidR="00CB48C3">
        <w:t>nalysis were retrospectively re</w:t>
      </w:r>
      <w:r w:rsidR="00970BC3" w:rsidRPr="00970BC3">
        <w:t>collected.</w:t>
      </w:r>
    </w:p>
    <w:p w:rsidR="00970BC3" w:rsidRPr="00970BC3" w:rsidRDefault="00970BC3" w:rsidP="00970BC3">
      <w:r w:rsidRPr="00970BC3">
        <w:t>In the st</w:t>
      </w:r>
      <w:r w:rsidR="00CB48C3">
        <w:t>udy</w:t>
      </w:r>
      <w:r w:rsidRPr="00970BC3">
        <w:t>, 48 patients (mean age 63.1 years) received 5-azacytidine 75 mg/m</w:t>
      </w:r>
      <w:r w:rsidRPr="008D551D">
        <w:rPr>
          <w:vertAlign w:val="superscript"/>
        </w:rPr>
        <w:t>2</w:t>
      </w:r>
      <w:r w:rsidRPr="00970BC3">
        <w:t xml:space="preserve"> daily for 7 days as a continuous IV infusion.</w:t>
      </w:r>
      <w:r w:rsidR="005179E7">
        <w:t xml:space="preserve"> </w:t>
      </w:r>
      <w:r w:rsidRPr="00970BC3">
        <w:t xml:space="preserve">The drug was mixed fresh every 4 </w:t>
      </w:r>
      <w:r w:rsidR="007C0CF3">
        <w:t>h</w:t>
      </w:r>
      <w:r w:rsidRPr="00970BC3">
        <w:t xml:space="preserve"> and placed in a solution of Ringer’s Lactate.</w:t>
      </w:r>
      <w:r w:rsidR="005179E7">
        <w:t xml:space="preserve"> </w:t>
      </w:r>
      <w:r w:rsidRPr="00970BC3">
        <w:t>The 7 day dosing was repeated every 28 days.</w:t>
      </w:r>
      <w:r w:rsidR="005179E7">
        <w:t xml:space="preserve"> </w:t>
      </w:r>
      <w:r w:rsidRPr="00970BC3">
        <w:t>The evaluator raised doubts about what infusion timing was actually us</w:t>
      </w:r>
      <w:r w:rsidR="008D551D">
        <w:t>ed</w:t>
      </w:r>
      <w:r w:rsidRPr="00970BC3">
        <w:t>, but considered that the rate of IV infusion was not as proposed in the current submission.</w:t>
      </w:r>
      <w:r w:rsidR="005179E7">
        <w:t xml:space="preserve"> </w:t>
      </w:r>
      <w:r w:rsidRPr="00970BC3">
        <w:t xml:space="preserve">It seems likely that total infusion time was over a much longer period than 10-40 </w:t>
      </w:r>
      <w:r w:rsidR="007C0CF3">
        <w:t>min</w:t>
      </w:r>
      <w:r w:rsidRPr="00970BC3">
        <w:t xml:space="preserve">: possibly 4 </w:t>
      </w:r>
      <w:r w:rsidR="007C0CF3">
        <w:t>h</w:t>
      </w:r>
      <w:r w:rsidRPr="00970BC3">
        <w:t>, possibly longer again.</w:t>
      </w:r>
      <w:r w:rsidR="005179E7">
        <w:t xml:space="preserve"> </w:t>
      </w:r>
      <w:r w:rsidRPr="00970BC3">
        <w:t xml:space="preserve">It is also possible that in this study, the product’s potency diminishes over a 4 </w:t>
      </w:r>
      <w:r w:rsidR="007C0CF3">
        <w:t>h</w:t>
      </w:r>
      <w:r w:rsidRPr="00970BC3">
        <w:t xml:space="preserve"> infusion period, given the apparent instability of the reconstituted product.</w:t>
      </w:r>
      <w:r w:rsidR="005179E7">
        <w:t xml:space="preserve"> </w:t>
      </w:r>
      <w:r w:rsidRPr="00970BC3">
        <w:t xml:space="preserve">The evaluator noted that since the </w:t>
      </w:r>
      <w:r w:rsidR="008D551D">
        <w:t>AUC</w:t>
      </w:r>
      <w:r w:rsidRPr="00970BC3">
        <w:t xml:space="preserve"> can influence safety and efficacy, this study’s efficacy data provide no support for the present submis</w:t>
      </w:r>
      <w:r w:rsidR="008D551D">
        <w:t>sion</w:t>
      </w:r>
      <w:r w:rsidRPr="00970BC3">
        <w:t>.</w:t>
      </w:r>
    </w:p>
    <w:p w:rsidR="00970BC3" w:rsidRPr="00970BC3" w:rsidRDefault="00970BC3" w:rsidP="00970BC3">
      <w:r w:rsidRPr="00970BC3">
        <w:t>The evaluator concluded that there is no adequate efficacy evidence to justify the proposed IV infusion regimen.</w:t>
      </w:r>
    </w:p>
    <w:p w:rsidR="00970BC3" w:rsidRPr="00970BC3" w:rsidRDefault="00970BC3" w:rsidP="00EB66C2">
      <w:pPr>
        <w:pStyle w:val="Heading5"/>
      </w:pPr>
      <w:r w:rsidRPr="00970BC3">
        <w:t>Uchida et al</w:t>
      </w:r>
      <w:r w:rsidR="00EB66C2">
        <w:t>.</w:t>
      </w:r>
      <w:r w:rsidRPr="00970BC3">
        <w:t xml:space="preserve"> (2011)</w:t>
      </w:r>
      <w:r w:rsidR="009E0DDA">
        <w:rPr>
          <w:rStyle w:val="FootnoteReference"/>
        </w:rPr>
        <w:footnoteReference w:id="6"/>
      </w:r>
    </w:p>
    <w:p w:rsidR="00970BC3" w:rsidRPr="00970BC3" w:rsidRDefault="00970BC3" w:rsidP="00970BC3">
      <w:r w:rsidRPr="00970BC3">
        <w:t>The sponsor subsequently presented information from a paper by Uchida et al (2011).</w:t>
      </w:r>
      <w:r w:rsidR="005179E7">
        <w:t xml:space="preserve"> </w:t>
      </w:r>
      <w:r w:rsidRPr="00970BC3">
        <w:t>This paper</w:t>
      </w:r>
      <w:r w:rsidR="00E42759">
        <w:t xml:space="preserve"> does include efficacy data to four</w:t>
      </w:r>
      <w:r w:rsidRPr="00970BC3">
        <w:t xml:space="preserve"> cycles, comparing IV and SC arms.</w:t>
      </w:r>
      <w:r w:rsidR="005179E7">
        <w:t xml:space="preserve"> </w:t>
      </w:r>
      <w:r w:rsidRPr="00970BC3">
        <w:t>Although the study was not powered to show clinically meaningful differences across arms, and although there was s</w:t>
      </w:r>
      <w:r w:rsidR="00D35466">
        <w:t xml:space="preserve">ome contamination of arms (that is, </w:t>
      </w:r>
      <w:r w:rsidRPr="00970BC3">
        <w:t>IV use in the SC arm and vice versa), study results supported the conclusion that efficacy was similar across arms.</w:t>
      </w:r>
    </w:p>
    <w:p w:rsidR="00970BC3" w:rsidRPr="00970BC3" w:rsidRDefault="00970BC3" w:rsidP="00EB66C2">
      <w:pPr>
        <w:pStyle w:val="Heading4"/>
      </w:pPr>
      <w:r w:rsidRPr="00970BC3">
        <w:lastRenderedPageBreak/>
        <w:t>Safety</w:t>
      </w:r>
    </w:p>
    <w:p w:rsidR="00970BC3" w:rsidRPr="00970BC3" w:rsidRDefault="00970BC3" w:rsidP="00970BC3">
      <w:r w:rsidRPr="00970BC3">
        <w:t>Study CALGB 8421, Study AZA-2002-BA-002 and the Uchida paper provided safety information.</w:t>
      </w:r>
      <w:r w:rsidR="005179E7">
        <w:t xml:space="preserve"> </w:t>
      </w:r>
      <w:r w:rsidRPr="00970BC3">
        <w:t>In Study CALGB 8421, 48 patients were given azacitidine 75 mg/m</w:t>
      </w:r>
      <w:r w:rsidRPr="00ED5685">
        <w:rPr>
          <w:vertAlign w:val="superscript"/>
        </w:rPr>
        <w:t>2</w:t>
      </w:r>
      <w:r w:rsidRPr="00970BC3">
        <w:t xml:space="preserve"> IV </w:t>
      </w:r>
      <w:r w:rsidR="00EB66C2">
        <w:rPr>
          <w:b/>
        </w:rPr>
        <w:t>over 4 h</w:t>
      </w:r>
      <w:r w:rsidRPr="00EB66C2">
        <w:rPr>
          <w:b/>
        </w:rPr>
        <w:t xml:space="preserve"> or longer</w:t>
      </w:r>
      <w:r w:rsidRPr="00970BC3">
        <w:t>, daily for 7 days, over 1-15 cycles (excluding an outlier who received 51 cycles).</w:t>
      </w:r>
      <w:r w:rsidR="005179E7">
        <w:t xml:space="preserve"> </w:t>
      </w:r>
      <w:r w:rsidRPr="00970BC3">
        <w:t>In Study AZA-2002-BA-002, 6 patients received a 75 mg/m</w:t>
      </w:r>
      <w:r w:rsidRPr="00EB66C2">
        <w:rPr>
          <w:vertAlign w:val="superscript"/>
        </w:rPr>
        <w:t>2</w:t>
      </w:r>
      <w:r w:rsidR="00ED5685">
        <w:t xml:space="preserve"> dose of azacitidine on two</w:t>
      </w:r>
      <w:r w:rsidRPr="00970BC3">
        <w:t xml:space="preserve"> occasions: once as a 10 </w:t>
      </w:r>
      <w:r w:rsidR="007C0CF3">
        <w:t>min</w:t>
      </w:r>
      <w:r w:rsidR="00F57D14">
        <w:t xml:space="preserve"> IV infusion, and once SC</w:t>
      </w:r>
      <w:r w:rsidRPr="00970BC3">
        <w:t>.</w:t>
      </w:r>
      <w:r w:rsidR="005179E7">
        <w:t xml:space="preserve"> </w:t>
      </w:r>
      <w:r w:rsidRPr="00970BC3">
        <w:t xml:space="preserve">In the </w:t>
      </w:r>
      <w:r w:rsidR="00EB66C2">
        <w:t xml:space="preserve">study by </w:t>
      </w:r>
      <w:r w:rsidRPr="00970BC3">
        <w:t xml:space="preserve">Uchida </w:t>
      </w:r>
      <w:r w:rsidR="00EB66C2">
        <w:t>and colleagues</w:t>
      </w:r>
      <w:r w:rsidRPr="00970BC3">
        <w:t>,</w:t>
      </w:r>
      <w:r w:rsidR="00F57D14">
        <w:rPr>
          <w:rStyle w:val="FootnoteReference"/>
        </w:rPr>
        <w:footnoteReference w:id="7"/>
      </w:r>
      <w:r w:rsidRPr="00970BC3">
        <w:t xml:space="preserve"> 27 patients received a 75 mg/m</w:t>
      </w:r>
      <w:r w:rsidRPr="00A717C1">
        <w:rPr>
          <w:vertAlign w:val="superscript"/>
        </w:rPr>
        <w:t>2</w:t>
      </w:r>
      <w:r w:rsidRPr="00970BC3">
        <w:t xml:space="preserve"> dose of azacitidine SC, and 26 received a 75 mg/m</w:t>
      </w:r>
      <w:r w:rsidRPr="00A717C1">
        <w:rPr>
          <w:vertAlign w:val="superscript"/>
        </w:rPr>
        <w:t>2</w:t>
      </w:r>
      <w:r w:rsidRPr="00970BC3">
        <w:t xml:space="preserve"> dose IV over 10 </w:t>
      </w:r>
      <w:r w:rsidR="007C0CF3">
        <w:t>min</w:t>
      </w:r>
      <w:r w:rsidRPr="00970BC3">
        <w:t>, with patients receiving a median of 7 cycles (range 1-18), each cycle consisting of 7 treatment days and a 21 day rest period.</w:t>
      </w:r>
    </w:p>
    <w:p w:rsidR="00970BC3" w:rsidRPr="00970BC3" w:rsidRDefault="00970BC3" w:rsidP="00970BC3">
      <w:r w:rsidRPr="00970BC3">
        <w:t>The evaluator’s assessment of safety rested on the sponsor’s Clinical Overview; the s</w:t>
      </w:r>
      <w:r w:rsidR="0015674A">
        <w:t>ponsor had concluded that the adverse events</w:t>
      </w:r>
      <w:r w:rsidRPr="00970BC3">
        <w:t xml:space="preserve"> profile was similar between IV and SC studies, except for local injection sit</w:t>
      </w:r>
      <w:r w:rsidR="0015674A">
        <w:t>e reactions (SC) and infusion/</w:t>
      </w:r>
      <w:r w:rsidRPr="00970BC3">
        <w:t>catheter site reactions (IV).</w:t>
      </w:r>
      <w:r w:rsidR="005179E7">
        <w:t xml:space="preserve"> </w:t>
      </w:r>
      <w:r w:rsidRPr="00970BC3">
        <w:t>This was apparently based on cross</w:t>
      </w:r>
      <w:r w:rsidR="0015674A">
        <w:t xml:space="preserve"> </w:t>
      </w:r>
      <w:r w:rsidRPr="00970BC3">
        <w:t>study comparison, and the one source of safety about IV infusion was a relatively small study where infusion was over many hours.</w:t>
      </w:r>
      <w:r w:rsidR="005179E7">
        <w:t xml:space="preserve"> </w:t>
      </w:r>
      <w:r w:rsidRPr="00970BC3">
        <w:t xml:space="preserve">The </w:t>
      </w:r>
      <w:r w:rsidR="00CB48C3">
        <w:t xml:space="preserve">evaluator discounted this cross </w:t>
      </w:r>
      <w:r w:rsidRPr="00970BC3">
        <w:t>study comparison as a reliable source of safety infor</w:t>
      </w:r>
      <w:r w:rsidR="00CB48C3">
        <w:t>mation</w:t>
      </w:r>
      <w:r w:rsidRPr="00970BC3">
        <w:t>.</w:t>
      </w:r>
    </w:p>
    <w:p w:rsidR="00970BC3" w:rsidRPr="00970BC3" w:rsidRDefault="00970BC3" w:rsidP="00970BC3">
      <w:r w:rsidRPr="00970BC3">
        <w:t>Regardless of this basic concern, it is worth considering details of cross</w:t>
      </w:r>
      <w:r w:rsidR="0015674A">
        <w:t xml:space="preserve"> </w:t>
      </w:r>
      <w:r w:rsidRPr="00970BC3">
        <w:t>study comparison.</w:t>
      </w:r>
      <w:r w:rsidR="005179E7">
        <w:t xml:space="preserve"> </w:t>
      </w:r>
      <w:r w:rsidR="0015674A">
        <w:t>In the comparison</w:t>
      </w:r>
      <w:r w:rsidRPr="00970BC3">
        <w:t>, rigors and pyrexia were more common after IV infusion than after SC injection.</w:t>
      </w:r>
      <w:r w:rsidR="005179E7">
        <w:t xml:space="preserve"> </w:t>
      </w:r>
      <w:r w:rsidRPr="00970BC3">
        <w:t>(This was no</w:t>
      </w:r>
      <w:r w:rsidR="0015674A">
        <w:t>t borne out in the Uchida paper.)</w:t>
      </w:r>
      <w:r w:rsidR="005179E7">
        <w:t xml:space="preserve"> </w:t>
      </w:r>
      <w:r w:rsidRPr="00970BC3">
        <w:t xml:space="preserve">So were both </w:t>
      </w:r>
      <w:proofErr w:type="spellStart"/>
      <w:r w:rsidRPr="00970BC3">
        <w:t>petechiae</w:t>
      </w:r>
      <w:proofErr w:type="spellEnd"/>
      <w:r w:rsidRPr="00970BC3">
        <w:t xml:space="preserve"> and </w:t>
      </w:r>
      <w:proofErr w:type="spellStart"/>
      <w:r w:rsidRPr="00970BC3">
        <w:t>hypokalaemia</w:t>
      </w:r>
      <w:proofErr w:type="spellEnd"/>
      <w:r w:rsidRPr="00970BC3">
        <w:t>, but it is not im</w:t>
      </w:r>
      <w:r w:rsidR="0015674A">
        <w:t>mediately obvious that these adverse events</w:t>
      </w:r>
      <w:r w:rsidRPr="00970BC3">
        <w:t xml:space="preserve"> could be related to the higher </w:t>
      </w:r>
      <w:proofErr w:type="spellStart"/>
      <w:r w:rsidR="00A83165">
        <w:t>C</w:t>
      </w:r>
      <w:r w:rsidR="00A83165" w:rsidRPr="00A83165">
        <w:rPr>
          <w:vertAlign w:val="subscript"/>
        </w:rPr>
        <w:t>max</w:t>
      </w:r>
      <w:proofErr w:type="spellEnd"/>
      <w:r w:rsidRPr="00970BC3">
        <w:t xml:space="preserve"> observed with IV use.</w:t>
      </w:r>
      <w:r w:rsidR="005179E7">
        <w:t xml:space="preserve"> </w:t>
      </w:r>
      <w:r w:rsidRPr="00970BC3">
        <w:t xml:space="preserve">Many other </w:t>
      </w:r>
      <w:r w:rsidR="0015674A">
        <w:t>adverse events</w:t>
      </w:r>
      <w:r w:rsidR="0015674A" w:rsidRPr="00970BC3">
        <w:t xml:space="preserve"> </w:t>
      </w:r>
      <w:r w:rsidRPr="00970BC3">
        <w:t>were dis</w:t>
      </w:r>
      <w:r w:rsidR="0015674A">
        <w:t xml:space="preserve">tinctly more common per subject </w:t>
      </w:r>
      <w:r w:rsidRPr="00970BC3">
        <w:t>year of exp</w:t>
      </w:r>
      <w:r w:rsidR="0015674A">
        <w:t>osure with IV infusion</w:t>
      </w:r>
      <w:r w:rsidRPr="00970BC3">
        <w:t>.</w:t>
      </w:r>
      <w:r w:rsidR="005179E7">
        <w:t xml:space="preserve"> </w:t>
      </w:r>
      <w:r w:rsidRPr="00970BC3">
        <w:t xml:space="preserve">These effects were not reported in the Uchida paper (although safety monitoring </w:t>
      </w:r>
      <w:r w:rsidR="0015674A">
        <w:t xml:space="preserve">in that study may have been sub </w:t>
      </w:r>
      <w:r w:rsidRPr="00970BC3">
        <w:t>optimal).</w:t>
      </w:r>
    </w:p>
    <w:p w:rsidR="00970BC3" w:rsidRPr="00970BC3" w:rsidRDefault="00970BC3" w:rsidP="00970BC3">
      <w:r w:rsidRPr="00970BC3">
        <w:t xml:space="preserve">In </w:t>
      </w:r>
      <w:r w:rsidR="0015674A">
        <w:t>the clinical evaluation report</w:t>
      </w:r>
      <w:r w:rsidRPr="00970BC3">
        <w:t>, it is stated that the frequency of nervous system disorders in Study 8421 (IV azacitidine) was 1</w:t>
      </w:r>
      <w:r w:rsidR="001F19BA">
        <w:t>2.5%, versus</w:t>
      </w:r>
      <w:r w:rsidRPr="00970BC3">
        <w:t xml:space="preserve"> 4.3% in Study 8921 (SC) and 4.0% in Study 9221 (SC), and that the frequency of respiratory, thoracic and </w:t>
      </w:r>
      <w:proofErr w:type="spellStart"/>
      <w:r w:rsidRPr="00970BC3">
        <w:t>mediastinal</w:t>
      </w:r>
      <w:proofErr w:type="spellEnd"/>
      <w:r w:rsidRPr="00970BC3">
        <w:t xml:space="preserve"> disorde</w:t>
      </w:r>
      <w:r w:rsidR="00596954">
        <w:t>rs was 18.8% (Study 8421, IV) versus</w:t>
      </w:r>
      <w:r w:rsidRPr="00970BC3">
        <w:t xml:space="preserve"> 8.6% (Study 8921, SC) and 10.0% (Study 9221, SC).</w:t>
      </w:r>
      <w:r w:rsidR="005179E7">
        <w:t xml:space="preserve"> </w:t>
      </w:r>
      <w:r w:rsidRPr="00970BC3">
        <w:t>There were two episodes of convulsion wi</w:t>
      </w:r>
      <w:r w:rsidR="00596954">
        <w:t xml:space="preserve">th IV </w:t>
      </w:r>
      <w:proofErr w:type="spellStart"/>
      <w:r w:rsidR="00596954">
        <w:t>azacitidine</w:t>
      </w:r>
      <w:proofErr w:type="spellEnd"/>
      <w:r w:rsidR="00596954">
        <w:t xml:space="preserve"> (2/48) versus</w:t>
      </w:r>
      <w:r w:rsidRPr="00970BC3">
        <w:t xml:space="preserve"> 0/220 for SC azacitidine.</w:t>
      </w:r>
      <w:r w:rsidR="005179E7">
        <w:t xml:space="preserve"> </w:t>
      </w:r>
      <w:r w:rsidRPr="00970BC3">
        <w:t>It was also reported that with 150-200 mg/m</w:t>
      </w:r>
      <w:r w:rsidRPr="00876904">
        <w:rPr>
          <w:vertAlign w:val="superscript"/>
        </w:rPr>
        <w:t>2</w:t>
      </w:r>
      <w:r w:rsidR="00876904">
        <w:t xml:space="preserve"> constant infusion over 24 h</w:t>
      </w:r>
      <w:r w:rsidRPr="00970BC3">
        <w:t xml:space="preserve"> for 5 days, 2/8 subjects developed </w:t>
      </w:r>
      <w:r w:rsidR="00876904">
        <w:t>central nervous system (</w:t>
      </w:r>
      <w:r w:rsidRPr="00970BC3">
        <w:t>CNS</w:t>
      </w:r>
      <w:r w:rsidR="00876904">
        <w:t>)</w:t>
      </w:r>
      <w:r w:rsidRPr="00970BC3">
        <w:t xml:space="preserve"> toxicity characterised by somnolence, apathy, disorientation and agitation.</w:t>
      </w:r>
      <w:r w:rsidR="005179E7">
        <w:t xml:space="preserve"> </w:t>
      </w:r>
      <w:r w:rsidRPr="00970BC3">
        <w:t xml:space="preserve">The subjects recovered a normal </w:t>
      </w:r>
      <w:proofErr w:type="spellStart"/>
      <w:r w:rsidRPr="00970BC3">
        <w:t>sensorium</w:t>
      </w:r>
      <w:proofErr w:type="spellEnd"/>
      <w:r w:rsidRPr="00970BC3">
        <w:t xml:space="preserve"> after treatment discontinuation.</w:t>
      </w:r>
      <w:r w:rsidR="005179E7">
        <w:t xml:space="preserve"> </w:t>
      </w:r>
      <w:r w:rsidRPr="00970BC3">
        <w:t xml:space="preserve">The evaluator considered that CNS effects were more frequent with IV administration and that high doses produced high peak concentrations in plasma and probably </w:t>
      </w:r>
      <w:r w:rsidR="00747D1E">
        <w:t>c</w:t>
      </w:r>
      <w:r w:rsidR="00747D1E" w:rsidRPr="00747D1E">
        <w:t>erebrospinal fluid</w:t>
      </w:r>
      <w:r w:rsidR="00747D1E">
        <w:t xml:space="preserve"> (CSF)</w:t>
      </w:r>
      <w:r w:rsidRPr="00970BC3">
        <w:t>.</w:t>
      </w:r>
      <w:r w:rsidR="005179E7">
        <w:t xml:space="preserve"> </w:t>
      </w:r>
      <w:r w:rsidRPr="00970BC3">
        <w:t xml:space="preserve">An early PK study with </w:t>
      </w:r>
      <w:proofErr w:type="spellStart"/>
      <w:r w:rsidRPr="00970BC3">
        <w:t>radiolabelled</w:t>
      </w:r>
      <w:proofErr w:type="spellEnd"/>
      <w:r w:rsidRPr="00970BC3">
        <w:t xml:space="preserve"> drug showed that radioactivity accumulated in C</w:t>
      </w:r>
      <w:r w:rsidR="008469AE">
        <w:t>SF over time, such that at 24 h</w:t>
      </w:r>
      <w:r w:rsidRPr="00970BC3">
        <w:t xml:space="preserve"> the concentration was similar to that in plasma at 1-5 </w:t>
      </w:r>
      <w:r w:rsidR="007C0CF3">
        <w:t>h</w:t>
      </w:r>
      <w:r w:rsidRPr="00970BC3">
        <w:t>.</w:t>
      </w:r>
      <w:r w:rsidR="005179E7">
        <w:t xml:space="preserve"> </w:t>
      </w:r>
      <w:r w:rsidRPr="00970BC3">
        <w:t>The radioactivity could be parent drug or metabolite/s.</w:t>
      </w:r>
    </w:p>
    <w:p w:rsidR="00970BC3" w:rsidRPr="00970BC3" w:rsidRDefault="008469AE" w:rsidP="00970BC3">
      <w:r w:rsidRPr="00970BC3">
        <w:t xml:space="preserve">In </w:t>
      </w:r>
      <w:r>
        <w:t>the clinical evaluation report</w:t>
      </w:r>
      <w:r w:rsidR="00970BC3" w:rsidRPr="00970BC3">
        <w:t xml:space="preserve">, it was noted that shifts to Grade 4 total </w:t>
      </w:r>
      <w:proofErr w:type="spellStart"/>
      <w:r w:rsidR="00970BC3" w:rsidRPr="00970BC3">
        <w:t>bilirubin</w:t>
      </w:r>
      <w:proofErr w:type="spellEnd"/>
      <w:r w:rsidR="00970BC3" w:rsidRPr="00970BC3">
        <w:t xml:space="preserve"> occurred in 11.5% (3/26) with IV azacitidine (Study 8421) v</w:t>
      </w:r>
      <w:r w:rsidR="002A73A5">
        <w:t>ersus</w:t>
      </w:r>
      <w:r w:rsidR="00970BC3" w:rsidRPr="00970BC3">
        <w:t xml:space="preserve"> 3.9% in Studies 8921 and 9221 (SC).</w:t>
      </w:r>
    </w:p>
    <w:p w:rsidR="00970BC3" w:rsidRPr="00970BC3" w:rsidRDefault="00970BC3" w:rsidP="00970BC3">
      <w:r w:rsidRPr="00970BC3">
        <w:t xml:space="preserve">Finally, it was stated in </w:t>
      </w:r>
      <w:r w:rsidR="002A73A5">
        <w:t>the clinical evaluation report</w:t>
      </w:r>
      <w:r w:rsidRPr="00970BC3">
        <w:t xml:space="preserve"> that renal tubular acidosis was reported with IV administration, reversible on stopping the drug.</w:t>
      </w:r>
      <w:r w:rsidR="005179E7">
        <w:t xml:space="preserve"> </w:t>
      </w:r>
      <w:r w:rsidRPr="00970BC3">
        <w:t xml:space="preserve">The Australian PI notes that renal abnormalities ranging from elevated serum </w:t>
      </w:r>
      <w:proofErr w:type="spellStart"/>
      <w:r w:rsidRPr="00970BC3">
        <w:t>creatinine</w:t>
      </w:r>
      <w:proofErr w:type="spellEnd"/>
      <w:r w:rsidRPr="00970BC3">
        <w:t xml:space="preserve"> to renal failure and death were reported in patients treated with intravenous azacitidine in combination with other chemotherapeutic agents.</w:t>
      </w:r>
      <w:r w:rsidR="005179E7">
        <w:t xml:space="preserve"> </w:t>
      </w:r>
      <w:r w:rsidRPr="00970BC3">
        <w:t xml:space="preserve">Again, there was no corroboration of worse renal outcomes with IV use than with SC use, in the Uchida paper, although </w:t>
      </w:r>
      <w:proofErr w:type="spellStart"/>
      <w:r w:rsidRPr="00970BC3">
        <w:t>azacitidine</w:t>
      </w:r>
      <w:proofErr w:type="spellEnd"/>
      <w:r w:rsidRPr="00970BC3">
        <w:t xml:space="preserve"> was a </w:t>
      </w:r>
      <w:proofErr w:type="spellStart"/>
      <w:r w:rsidRPr="00970BC3">
        <w:t>monotherapy</w:t>
      </w:r>
      <w:proofErr w:type="spellEnd"/>
      <w:r w:rsidRPr="00970BC3">
        <w:t>.</w:t>
      </w:r>
    </w:p>
    <w:p w:rsidR="008E7846" w:rsidRDefault="00386150" w:rsidP="008E7846">
      <w:pPr>
        <w:pStyle w:val="Heading3"/>
        <w:rPr>
          <w:lang w:eastAsia="en-AU"/>
        </w:rPr>
      </w:pPr>
      <w:bookmarkStart w:id="148" w:name="_Toc314842514"/>
      <w:bookmarkStart w:id="149" w:name="_Toc364416412"/>
      <w:r>
        <w:rPr>
          <w:lang w:eastAsia="en-AU"/>
        </w:rPr>
        <w:lastRenderedPageBreak/>
        <w:t>Risk m</w:t>
      </w:r>
      <w:r w:rsidR="008E7846">
        <w:rPr>
          <w:lang w:eastAsia="en-AU"/>
        </w:rPr>
        <w:t xml:space="preserve">anagement </w:t>
      </w:r>
      <w:r>
        <w:rPr>
          <w:lang w:eastAsia="en-AU"/>
        </w:rPr>
        <w:t>p</w:t>
      </w:r>
      <w:r w:rsidR="008E7846">
        <w:rPr>
          <w:lang w:eastAsia="en-AU"/>
        </w:rPr>
        <w:t>lan</w:t>
      </w:r>
      <w:bookmarkEnd w:id="148"/>
      <w:bookmarkEnd w:id="149"/>
    </w:p>
    <w:p w:rsidR="00EB66C2" w:rsidRPr="00CC685F" w:rsidRDefault="00EB66C2" w:rsidP="00EB66C2">
      <w:pPr>
        <w:tabs>
          <w:tab w:val="left" w:pos="567"/>
          <w:tab w:val="right" w:pos="7088"/>
        </w:tabs>
        <w:rPr>
          <w:szCs w:val="24"/>
        </w:rPr>
      </w:pPr>
      <w:r w:rsidRPr="00CC685F">
        <w:rPr>
          <w:szCs w:val="24"/>
        </w:rPr>
        <w:t xml:space="preserve">The RMP proposed by the sponsor was considered generally acceptable by the TGA’s </w:t>
      </w:r>
      <w:r>
        <w:rPr>
          <w:szCs w:val="24"/>
        </w:rPr>
        <w:t>OPR</w:t>
      </w:r>
      <w:r w:rsidRPr="00CC685F">
        <w:rPr>
          <w:szCs w:val="24"/>
        </w:rPr>
        <w:t>.</w:t>
      </w:r>
    </w:p>
    <w:p w:rsidR="00EB66C2" w:rsidRPr="00CC685F" w:rsidRDefault="00EB66C2" w:rsidP="00EB66C2">
      <w:pPr>
        <w:tabs>
          <w:tab w:val="left" w:pos="-2268"/>
          <w:tab w:val="right" w:pos="7088"/>
        </w:tabs>
        <w:rPr>
          <w:szCs w:val="24"/>
        </w:rPr>
      </w:pPr>
      <w:r w:rsidRPr="00CC685F">
        <w:rPr>
          <w:szCs w:val="24"/>
        </w:rPr>
        <w:t>The following is a proposed condition of registration:</w:t>
      </w:r>
    </w:p>
    <w:p w:rsidR="00EB66C2" w:rsidRPr="003F7E15" w:rsidRDefault="00EB66C2" w:rsidP="00EB66C2">
      <w:pPr>
        <w:pStyle w:val="ListBullet"/>
      </w:pPr>
      <w:r w:rsidRPr="00CC685F">
        <w:t>the implementation of the EU RMP Version 7.1 (dated 25 January 2012) and the Australian</w:t>
      </w:r>
      <w:r>
        <w:t xml:space="preserve"> </w:t>
      </w:r>
      <w:r w:rsidRPr="00CC685F">
        <w:t xml:space="preserve">specific Annex (dated March 2012), and any subsequent versions, as agreed with the TGA’s </w:t>
      </w:r>
      <w:r w:rsidR="002A73A5">
        <w:t>OPR.</w:t>
      </w:r>
    </w:p>
    <w:p w:rsidR="00EB66C2" w:rsidRDefault="00EB66C2" w:rsidP="00EB66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szCs w:val="24"/>
        </w:rPr>
      </w:pPr>
      <w:r>
        <w:rPr>
          <w:szCs w:val="24"/>
        </w:rPr>
        <w:t>There will also be a condition relating to provision of PSURs.</w:t>
      </w:r>
    </w:p>
    <w:p w:rsidR="008E7846" w:rsidRDefault="00AA0ED0" w:rsidP="008E7846">
      <w:pPr>
        <w:pStyle w:val="Heading3"/>
      </w:pPr>
      <w:bookmarkStart w:id="150" w:name="_Toc247691531"/>
      <w:bookmarkStart w:id="151" w:name="_Toc314842515"/>
      <w:bookmarkStart w:id="152" w:name="_Toc364416413"/>
      <w:bookmarkStart w:id="153" w:name="_Toc196046505"/>
      <w:bookmarkStart w:id="154" w:name="_Toc196046949"/>
      <w:r>
        <w:t>Risk-benefit a</w:t>
      </w:r>
      <w:r w:rsidR="008E7846">
        <w:t>nalysis</w:t>
      </w:r>
      <w:bookmarkEnd w:id="150"/>
      <w:bookmarkEnd w:id="151"/>
      <w:bookmarkEnd w:id="152"/>
    </w:p>
    <w:p w:rsidR="008E7846" w:rsidRDefault="008E7846" w:rsidP="008E7846">
      <w:pPr>
        <w:pStyle w:val="Heading4"/>
      </w:pPr>
      <w:r>
        <w:t xml:space="preserve">Delegate </w:t>
      </w:r>
      <w:r w:rsidR="00ED3CAD">
        <w:t>c</w:t>
      </w:r>
      <w:r>
        <w:t>onsiderations</w:t>
      </w:r>
    </w:p>
    <w:p w:rsidR="0056129F" w:rsidRPr="00CC685F" w:rsidRDefault="00376425" w:rsidP="0056129F">
      <w:pPr>
        <w:rPr>
          <w:szCs w:val="24"/>
        </w:rPr>
      </w:pPr>
      <w:r>
        <w:rPr>
          <w:szCs w:val="24"/>
        </w:rPr>
        <w:t>Although pharmacokinetic</w:t>
      </w:r>
      <w:r w:rsidR="0056129F" w:rsidRPr="00CC685F">
        <w:rPr>
          <w:szCs w:val="24"/>
        </w:rPr>
        <w:t xml:space="preserve"> data in had various deficienc</w:t>
      </w:r>
      <w:r>
        <w:rPr>
          <w:szCs w:val="24"/>
        </w:rPr>
        <w:t xml:space="preserve">ies, the basic conclusion that </w:t>
      </w:r>
      <w:proofErr w:type="spellStart"/>
      <w:r w:rsidR="00A83165">
        <w:t>C</w:t>
      </w:r>
      <w:r w:rsidR="00A83165" w:rsidRPr="00A83165">
        <w:rPr>
          <w:vertAlign w:val="subscript"/>
        </w:rPr>
        <w:t>max</w:t>
      </w:r>
      <w:proofErr w:type="spellEnd"/>
      <w:r w:rsidR="0056129F" w:rsidRPr="00CC685F">
        <w:rPr>
          <w:szCs w:val="24"/>
        </w:rPr>
        <w:t xml:space="preserve"> is about 4</w:t>
      </w:r>
      <w:r w:rsidR="00EA5DD2">
        <w:rPr>
          <w:szCs w:val="24"/>
        </w:rPr>
        <w:t xml:space="preserve"> </w:t>
      </w:r>
      <w:r w:rsidR="0056129F" w:rsidRPr="00CC685F">
        <w:rPr>
          <w:szCs w:val="24"/>
        </w:rPr>
        <w:t xml:space="preserve">fold higher after 10 </w:t>
      </w:r>
      <w:r w:rsidR="007C0CF3">
        <w:rPr>
          <w:szCs w:val="24"/>
        </w:rPr>
        <w:t>min</w:t>
      </w:r>
      <w:r w:rsidR="0056129F" w:rsidRPr="00CC685F">
        <w:rPr>
          <w:szCs w:val="24"/>
        </w:rPr>
        <w:t xml:space="preserve"> IV infusion than after SC administration appears robust, as this was also seen in the paper</w:t>
      </w:r>
      <w:r w:rsidR="007B4D26">
        <w:rPr>
          <w:szCs w:val="24"/>
        </w:rPr>
        <w:t xml:space="preserve"> by Uchida and colleagues</w:t>
      </w:r>
      <w:r w:rsidR="0056129F" w:rsidRPr="00CC685F">
        <w:rPr>
          <w:szCs w:val="24"/>
        </w:rPr>
        <w:t>.</w:t>
      </w:r>
      <w:r w:rsidR="005179E7">
        <w:rPr>
          <w:szCs w:val="24"/>
        </w:rPr>
        <w:t xml:space="preserve"> </w:t>
      </w:r>
      <w:r w:rsidR="0056129F" w:rsidRPr="00CC685F">
        <w:rPr>
          <w:szCs w:val="24"/>
        </w:rPr>
        <w:t>Likewise, AUC appears to rise by ~10% with IV administration, relative to SC administration.</w:t>
      </w:r>
      <w:r w:rsidR="005179E7">
        <w:rPr>
          <w:szCs w:val="24"/>
        </w:rPr>
        <w:t xml:space="preserve"> </w:t>
      </w:r>
      <w:r>
        <w:rPr>
          <w:szCs w:val="24"/>
        </w:rPr>
        <w:t xml:space="preserve">Inter </w:t>
      </w:r>
      <w:r w:rsidR="0056129F" w:rsidRPr="00CC685F">
        <w:rPr>
          <w:szCs w:val="24"/>
        </w:rPr>
        <w:t>subject variability appears relatively high.</w:t>
      </w:r>
      <w:r w:rsidR="005179E7">
        <w:rPr>
          <w:szCs w:val="24"/>
        </w:rPr>
        <w:t xml:space="preserve"> </w:t>
      </w:r>
      <w:r w:rsidR="0056129F" w:rsidRPr="00CC685F">
        <w:rPr>
          <w:szCs w:val="24"/>
        </w:rPr>
        <w:t xml:space="preserve">The main concern from this would be an increase in adverse events related to </w:t>
      </w:r>
      <w:proofErr w:type="spellStart"/>
      <w:r w:rsidR="00A83165">
        <w:t>C</w:t>
      </w:r>
      <w:r w:rsidR="00A83165" w:rsidRPr="00A83165">
        <w:rPr>
          <w:vertAlign w:val="subscript"/>
        </w:rPr>
        <w:t>max</w:t>
      </w:r>
      <w:proofErr w:type="spellEnd"/>
      <w:r w:rsidR="0056129F" w:rsidRPr="00CC685F">
        <w:rPr>
          <w:szCs w:val="24"/>
        </w:rPr>
        <w:t>.</w:t>
      </w:r>
      <w:r w:rsidR="005179E7">
        <w:rPr>
          <w:szCs w:val="24"/>
        </w:rPr>
        <w:t xml:space="preserve"> </w:t>
      </w:r>
      <w:r>
        <w:rPr>
          <w:szCs w:val="24"/>
        </w:rPr>
        <w:t>Non</w:t>
      </w:r>
      <w:r w:rsidR="0056129F" w:rsidRPr="00CC685F">
        <w:rPr>
          <w:szCs w:val="24"/>
        </w:rPr>
        <w:t>clinical studies raised concerns about cardiovascular, respiratory and CNS events, but thes</w:t>
      </w:r>
      <w:r>
        <w:rPr>
          <w:szCs w:val="24"/>
        </w:rPr>
        <w:t xml:space="preserve">e were not directly related to </w:t>
      </w:r>
      <w:proofErr w:type="spellStart"/>
      <w:r>
        <w:rPr>
          <w:szCs w:val="24"/>
        </w:rPr>
        <w:t>T</w:t>
      </w:r>
      <w:r w:rsidRPr="00A83165">
        <w:rPr>
          <w:szCs w:val="24"/>
          <w:vertAlign w:val="subscript"/>
        </w:rPr>
        <w:t>max</w:t>
      </w:r>
      <w:proofErr w:type="spellEnd"/>
      <w:r w:rsidR="0056129F" w:rsidRPr="00CC685F">
        <w:rPr>
          <w:szCs w:val="24"/>
        </w:rPr>
        <w:t>.</w:t>
      </w:r>
    </w:p>
    <w:p w:rsidR="0056129F" w:rsidRPr="00CC685F" w:rsidRDefault="0056129F" w:rsidP="0056129F">
      <w:pPr>
        <w:rPr>
          <w:szCs w:val="24"/>
        </w:rPr>
      </w:pPr>
      <w:r w:rsidRPr="00CC685F">
        <w:rPr>
          <w:szCs w:val="24"/>
        </w:rPr>
        <w:t xml:space="preserve">The clinical evaluator dismissed the sponsor’s assessment of </w:t>
      </w:r>
      <w:proofErr w:type="spellStart"/>
      <w:r w:rsidRPr="00CC685F">
        <w:rPr>
          <w:szCs w:val="24"/>
        </w:rPr>
        <w:t>azacitidine</w:t>
      </w:r>
      <w:proofErr w:type="spellEnd"/>
      <w:r w:rsidRPr="00CC685F">
        <w:rPr>
          <w:szCs w:val="24"/>
        </w:rPr>
        <w:t xml:space="preserve"> </w:t>
      </w:r>
      <w:r w:rsidR="0022248C">
        <w:rPr>
          <w:szCs w:val="24"/>
        </w:rPr>
        <w:t>IV versus</w:t>
      </w:r>
      <w:r w:rsidR="00F7416A">
        <w:rPr>
          <w:szCs w:val="24"/>
        </w:rPr>
        <w:t xml:space="preserve"> SC safety</w:t>
      </w:r>
      <w:r w:rsidRPr="00CC685F">
        <w:rPr>
          <w:szCs w:val="24"/>
        </w:rPr>
        <w:t xml:space="preserve"> but</w:t>
      </w:r>
      <w:r w:rsidR="00F7416A">
        <w:rPr>
          <w:szCs w:val="24"/>
        </w:rPr>
        <w:t>,</w:t>
      </w:r>
      <w:r w:rsidRPr="00CC685F">
        <w:rPr>
          <w:szCs w:val="24"/>
        </w:rPr>
        <w:t xml:space="preserve"> subsequently</w:t>
      </w:r>
      <w:r w:rsidR="00F7416A">
        <w:rPr>
          <w:szCs w:val="24"/>
        </w:rPr>
        <w:t>,</w:t>
      </w:r>
      <w:r w:rsidRPr="00CC685F">
        <w:rPr>
          <w:szCs w:val="24"/>
        </w:rPr>
        <w:t xml:space="preserve"> the sponsor has drawn attention to the Uchida study.</w:t>
      </w:r>
      <w:r w:rsidR="005179E7">
        <w:rPr>
          <w:szCs w:val="24"/>
        </w:rPr>
        <w:t xml:space="preserve"> </w:t>
      </w:r>
      <w:r w:rsidRPr="00CC685F">
        <w:rPr>
          <w:szCs w:val="24"/>
        </w:rPr>
        <w:t>This provides</w:t>
      </w:r>
      <w:r>
        <w:rPr>
          <w:szCs w:val="24"/>
        </w:rPr>
        <w:t xml:space="preserve"> a direct comparison of safety and efficacy</w:t>
      </w:r>
      <w:r w:rsidRPr="00CC685F">
        <w:rPr>
          <w:szCs w:val="24"/>
        </w:rPr>
        <w:t xml:space="preserve"> in a reasonable </w:t>
      </w:r>
      <w:r>
        <w:rPr>
          <w:szCs w:val="24"/>
        </w:rPr>
        <w:t xml:space="preserve">(but not large) </w:t>
      </w:r>
      <w:r w:rsidRPr="00CC685F">
        <w:rPr>
          <w:szCs w:val="24"/>
        </w:rPr>
        <w:t xml:space="preserve">number of </w:t>
      </w:r>
      <w:r w:rsidR="00CB48C3">
        <w:rPr>
          <w:szCs w:val="24"/>
        </w:rPr>
        <w:t>MDS</w:t>
      </w:r>
      <w:r w:rsidRPr="00CC685F">
        <w:rPr>
          <w:szCs w:val="24"/>
        </w:rPr>
        <w:t xml:space="preserve"> patients given IV and SC azacitidine.</w:t>
      </w:r>
      <w:r w:rsidR="005179E7">
        <w:rPr>
          <w:szCs w:val="24"/>
        </w:rPr>
        <w:t xml:space="preserve"> </w:t>
      </w:r>
      <w:r w:rsidRPr="00CC685F">
        <w:rPr>
          <w:szCs w:val="24"/>
        </w:rPr>
        <w:t xml:space="preserve">In this study’s IV arm azacitidine was infused over 10 </w:t>
      </w:r>
      <w:r w:rsidR="007C0CF3">
        <w:rPr>
          <w:szCs w:val="24"/>
        </w:rPr>
        <w:t>min</w:t>
      </w:r>
      <w:r w:rsidRPr="00CC685F">
        <w:rPr>
          <w:szCs w:val="24"/>
        </w:rPr>
        <w:t>, t</w:t>
      </w:r>
      <w:r w:rsidR="00CD26E8">
        <w:rPr>
          <w:szCs w:val="24"/>
        </w:rPr>
        <w:t xml:space="preserve">he ‘worst case scenario’ since </w:t>
      </w:r>
      <w:proofErr w:type="spellStart"/>
      <w:r w:rsidR="00A83165">
        <w:t>C</w:t>
      </w:r>
      <w:r w:rsidR="00A83165" w:rsidRPr="00A83165">
        <w:rPr>
          <w:vertAlign w:val="subscript"/>
        </w:rPr>
        <w:t>max</w:t>
      </w:r>
      <w:proofErr w:type="spellEnd"/>
      <w:r w:rsidRPr="00CC685F">
        <w:rPr>
          <w:szCs w:val="24"/>
        </w:rPr>
        <w:t xml:space="preserve"> will fall with longer infusion durations.</w:t>
      </w:r>
      <w:r w:rsidR="005179E7">
        <w:rPr>
          <w:szCs w:val="24"/>
        </w:rPr>
        <w:t xml:space="preserve"> </w:t>
      </w:r>
      <w:r w:rsidRPr="00CC685F">
        <w:rPr>
          <w:szCs w:val="24"/>
        </w:rPr>
        <w:t xml:space="preserve">With regard to this, the clinical evaluator does not place much weight on the population PK modelling report based on </w:t>
      </w:r>
      <w:r w:rsidR="00554831">
        <w:rPr>
          <w:szCs w:val="24"/>
        </w:rPr>
        <w:t xml:space="preserve">Study </w:t>
      </w:r>
      <w:r w:rsidRPr="00CC685F">
        <w:rPr>
          <w:szCs w:val="24"/>
        </w:rPr>
        <w:t xml:space="preserve">AZA-2002-BA-002, but it is likely that longer infusion durations (to 40 </w:t>
      </w:r>
      <w:r w:rsidR="007C0CF3">
        <w:rPr>
          <w:szCs w:val="24"/>
        </w:rPr>
        <w:t>min</w:t>
      </w:r>
      <w:r w:rsidR="00554831">
        <w:rPr>
          <w:szCs w:val="24"/>
        </w:rPr>
        <w:t xml:space="preserve">) will produce a lower </w:t>
      </w:r>
      <w:proofErr w:type="spellStart"/>
      <w:r w:rsidR="00A83165">
        <w:t>C</w:t>
      </w:r>
      <w:r w:rsidR="00A83165" w:rsidRPr="00A83165">
        <w:rPr>
          <w:vertAlign w:val="subscript"/>
        </w:rPr>
        <w:t>max</w:t>
      </w:r>
      <w:proofErr w:type="spellEnd"/>
      <w:r w:rsidRPr="00CC685F">
        <w:rPr>
          <w:szCs w:val="24"/>
        </w:rPr>
        <w:t xml:space="preserve"> than was seen with 10 </w:t>
      </w:r>
      <w:r w:rsidR="007C0CF3">
        <w:rPr>
          <w:szCs w:val="24"/>
        </w:rPr>
        <w:t>min</w:t>
      </w:r>
      <w:r w:rsidRPr="00CC685F">
        <w:rPr>
          <w:szCs w:val="24"/>
        </w:rPr>
        <w:t xml:space="preserve"> infusions.</w:t>
      </w:r>
      <w:r w:rsidR="005179E7">
        <w:rPr>
          <w:szCs w:val="24"/>
        </w:rPr>
        <w:t xml:space="preserve"> </w:t>
      </w:r>
      <w:r>
        <w:rPr>
          <w:szCs w:val="24"/>
        </w:rPr>
        <w:t>M</w:t>
      </w:r>
      <w:r w:rsidRPr="00CC685F">
        <w:rPr>
          <w:szCs w:val="24"/>
        </w:rPr>
        <w:t xml:space="preserve">odelling predicted a slightly lower systemic exposure based on AUC with 20-40 </w:t>
      </w:r>
      <w:r w:rsidR="007C0CF3">
        <w:rPr>
          <w:szCs w:val="24"/>
        </w:rPr>
        <w:t>min</w:t>
      </w:r>
      <w:r w:rsidRPr="00CC685F">
        <w:rPr>
          <w:szCs w:val="24"/>
        </w:rPr>
        <w:t xml:space="preserve"> infusions compared to 10 </w:t>
      </w:r>
      <w:r w:rsidR="007C0CF3">
        <w:rPr>
          <w:szCs w:val="24"/>
        </w:rPr>
        <w:t>min</w:t>
      </w:r>
      <w:r w:rsidRPr="00CC685F">
        <w:rPr>
          <w:szCs w:val="24"/>
        </w:rPr>
        <w:t xml:space="preserve"> infusions and SC dosing, but the difference was modest.</w:t>
      </w:r>
    </w:p>
    <w:p w:rsidR="0056129F" w:rsidRDefault="0056129F" w:rsidP="0056129F">
      <w:pPr>
        <w:rPr>
          <w:szCs w:val="24"/>
        </w:rPr>
      </w:pPr>
      <w:proofErr w:type="spellStart"/>
      <w:r w:rsidRPr="00CC685F">
        <w:rPr>
          <w:szCs w:val="24"/>
        </w:rPr>
        <w:t>Vidaza</w:t>
      </w:r>
      <w:proofErr w:type="spellEnd"/>
      <w:r w:rsidRPr="00CC685F">
        <w:rPr>
          <w:szCs w:val="24"/>
        </w:rPr>
        <w:t xml:space="preserve"> when administered SC may produce injection site reactions (listed in the PI), but IV administration requires </w:t>
      </w:r>
      <w:proofErr w:type="spellStart"/>
      <w:r w:rsidRPr="00CC685F">
        <w:rPr>
          <w:szCs w:val="24"/>
        </w:rPr>
        <w:t>cannulation</w:t>
      </w:r>
      <w:proofErr w:type="spellEnd"/>
      <w:r w:rsidRPr="00CC685F">
        <w:rPr>
          <w:szCs w:val="24"/>
        </w:rPr>
        <w:t xml:space="preserve"> and introduces risk of </w:t>
      </w:r>
      <w:proofErr w:type="spellStart"/>
      <w:r w:rsidRPr="00CC685F">
        <w:rPr>
          <w:szCs w:val="24"/>
        </w:rPr>
        <w:t>perivascular</w:t>
      </w:r>
      <w:proofErr w:type="spellEnd"/>
      <w:r w:rsidRPr="00CC685F">
        <w:rPr>
          <w:szCs w:val="24"/>
        </w:rPr>
        <w:t xml:space="preserve"> damage.</w:t>
      </w:r>
      <w:r w:rsidR="005179E7">
        <w:rPr>
          <w:szCs w:val="24"/>
        </w:rPr>
        <w:t xml:space="preserve"> </w:t>
      </w:r>
      <w:r w:rsidRPr="00CC685F">
        <w:rPr>
          <w:szCs w:val="24"/>
        </w:rPr>
        <w:t>The Uchida study bore this out, with some patients swapping from IV to SC and some from SC to IV.</w:t>
      </w:r>
      <w:r w:rsidR="005179E7">
        <w:rPr>
          <w:szCs w:val="24"/>
        </w:rPr>
        <w:t xml:space="preserve"> </w:t>
      </w:r>
      <w:r w:rsidRPr="00CC685F">
        <w:rPr>
          <w:szCs w:val="24"/>
        </w:rPr>
        <w:t>It seems desirable to have both IV and SC options, and the evidence supporting IV use is (just) sufficient.</w:t>
      </w:r>
    </w:p>
    <w:p w:rsidR="0056129F" w:rsidRDefault="0056129F" w:rsidP="0056129F">
      <w:pPr>
        <w:pStyle w:val="Heading4"/>
      </w:pPr>
      <w:r>
        <w:t>Proposed action</w:t>
      </w:r>
    </w:p>
    <w:p w:rsidR="0056129F" w:rsidRPr="00CC685F" w:rsidRDefault="0056129F" w:rsidP="0056129F">
      <w:pPr>
        <w:tabs>
          <w:tab w:val="left" w:pos="567"/>
          <w:tab w:val="right" w:pos="7088"/>
        </w:tabs>
        <w:rPr>
          <w:szCs w:val="24"/>
        </w:rPr>
      </w:pPr>
      <w:r>
        <w:rPr>
          <w:szCs w:val="24"/>
        </w:rPr>
        <w:t xml:space="preserve">The Delegate </w:t>
      </w:r>
      <w:r w:rsidRPr="00CC685F">
        <w:rPr>
          <w:szCs w:val="24"/>
        </w:rPr>
        <w:t>propose</w:t>
      </w:r>
      <w:r>
        <w:rPr>
          <w:szCs w:val="24"/>
        </w:rPr>
        <w:t>s</w:t>
      </w:r>
      <w:r w:rsidRPr="00CC685F">
        <w:rPr>
          <w:szCs w:val="24"/>
        </w:rPr>
        <w:t xml:space="preserve"> to approve the application for IV use.</w:t>
      </w:r>
    </w:p>
    <w:p w:rsidR="0056129F" w:rsidRPr="00CC685F" w:rsidRDefault="0056129F" w:rsidP="0056129F">
      <w:pPr>
        <w:tabs>
          <w:tab w:val="left" w:pos="-2268"/>
          <w:tab w:val="right" w:pos="7088"/>
        </w:tabs>
        <w:rPr>
          <w:szCs w:val="24"/>
        </w:rPr>
      </w:pPr>
      <w:r w:rsidRPr="00CC685F">
        <w:rPr>
          <w:szCs w:val="24"/>
        </w:rPr>
        <w:t xml:space="preserve">The advice of the </w:t>
      </w:r>
      <w:r>
        <w:rPr>
          <w:bCs/>
        </w:rPr>
        <w:t>Advisory Committee on Prescription Medicines (ACPM)</w:t>
      </w:r>
      <w:r w:rsidRPr="00CC685F">
        <w:rPr>
          <w:szCs w:val="24"/>
        </w:rPr>
        <w:t xml:space="preserve"> is requested.</w:t>
      </w:r>
      <w:r w:rsidR="005179E7">
        <w:rPr>
          <w:szCs w:val="24"/>
        </w:rPr>
        <w:t xml:space="preserve"> </w:t>
      </w:r>
      <w:r w:rsidRPr="00CC685F">
        <w:rPr>
          <w:szCs w:val="24"/>
        </w:rPr>
        <w:t xml:space="preserve">Specifically, does the </w:t>
      </w:r>
      <w:r w:rsidR="000668B2">
        <w:rPr>
          <w:szCs w:val="24"/>
        </w:rPr>
        <w:t>ACPM</w:t>
      </w:r>
      <w:r w:rsidRPr="00CC685F">
        <w:rPr>
          <w:szCs w:val="24"/>
        </w:rPr>
        <w:t xml:space="preserve"> support </w:t>
      </w:r>
      <w:r w:rsidR="00A4062B">
        <w:rPr>
          <w:szCs w:val="24"/>
        </w:rPr>
        <w:t xml:space="preserve">IV </w:t>
      </w:r>
      <w:r w:rsidRPr="00CC685F">
        <w:rPr>
          <w:szCs w:val="24"/>
        </w:rPr>
        <w:t>infusion as a route of administration?</w:t>
      </w:r>
    </w:p>
    <w:p w:rsidR="008E7846" w:rsidRDefault="008E7846" w:rsidP="008E7846">
      <w:pPr>
        <w:pStyle w:val="Heading4"/>
      </w:pPr>
      <w:r>
        <w:t>Response from Sponsor</w:t>
      </w:r>
    </w:p>
    <w:p w:rsidR="00127CEB" w:rsidRDefault="00127CEB" w:rsidP="00127CEB">
      <w:r>
        <w:t>The sponsor</w:t>
      </w:r>
      <w:r w:rsidRPr="00127CEB">
        <w:t xml:space="preserve"> confirms that no changes have been made to the indication that was included in the original applicatio</w:t>
      </w:r>
      <w:r>
        <w:t>n</w:t>
      </w:r>
      <w:r w:rsidRPr="00127CEB">
        <w:t>.</w:t>
      </w:r>
    </w:p>
    <w:p w:rsidR="003E718A" w:rsidRPr="003E718A" w:rsidRDefault="00440332" w:rsidP="003E718A">
      <w:r>
        <w:t>The sponsor</w:t>
      </w:r>
      <w:r w:rsidR="003E718A" w:rsidRPr="003E718A">
        <w:t xml:space="preserve"> confirms that the following change has been made to the </w:t>
      </w:r>
      <w:r w:rsidR="002802EB">
        <w:t>‘</w:t>
      </w:r>
      <w:r w:rsidR="003E718A" w:rsidRPr="003E718A">
        <w:t>Dosage and</w:t>
      </w:r>
      <w:r w:rsidR="003E718A">
        <w:t xml:space="preserve"> </w:t>
      </w:r>
      <w:r w:rsidR="003E718A" w:rsidRPr="003E718A">
        <w:t>Administration</w:t>
      </w:r>
      <w:r w:rsidR="002802EB">
        <w:t>’</w:t>
      </w:r>
      <w:r w:rsidR="003E718A" w:rsidRPr="003E718A">
        <w:t xml:space="preserve"> information included in the original a</w:t>
      </w:r>
      <w:r w:rsidR="003E718A">
        <w:t>pplication</w:t>
      </w:r>
      <w:r w:rsidR="003E718A" w:rsidRPr="003E718A">
        <w:t xml:space="preserve"> as requested by the Evaluator of Quality and </w:t>
      </w:r>
      <w:proofErr w:type="spellStart"/>
      <w:r w:rsidR="003E718A" w:rsidRPr="003E718A">
        <w:t>Pharmaceutic</w:t>
      </w:r>
      <w:proofErr w:type="spellEnd"/>
      <w:r w:rsidR="003E718A" w:rsidRPr="003E718A">
        <w:t xml:space="preserve"> Data:</w:t>
      </w:r>
    </w:p>
    <w:p w:rsidR="003E718A" w:rsidRPr="003E718A" w:rsidRDefault="003E718A" w:rsidP="003E718A">
      <w:pPr>
        <w:ind w:left="720"/>
      </w:pPr>
      <w:r w:rsidRPr="003E718A">
        <w:t xml:space="preserve">From: The </w:t>
      </w:r>
      <w:r>
        <w:t>IV</w:t>
      </w:r>
      <w:r w:rsidRPr="003E718A">
        <w:t xml:space="preserve"> administration </w:t>
      </w:r>
      <w:r>
        <w:t xml:space="preserve">must be completed within </w:t>
      </w:r>
      <w:r w:rsidRPr="00D13675">
        <w:rPr>
          <w:b/>
        </w:rPr>
        <w:t>1 h</w:t>
      </w:r>
      <w:r w:rsidRPr="003E718A">
        <w:t xml:space="preserve"> of reconstitution of</w:t>
      </w:r>
      <w:r>
        <w:t xml:space="preserve"> </w:t>
      </w:r>
      <w:r w:rsidRPr="003E718A">
        <w:t xml:space="preserve">the </w:t>
      </w:r>
      <w:proofErr w:type="spellStart"/>
      <w:r w:rsidRPr="003E718A">
        <w:t>Vidaza</w:t>
      </w:r>
      <w:proofErr w:type="spellEnd"/>
      <w:r w:rsidRPr="003E718A">
        <w:t xml:space="preserve"> vial</w:t>
      </w:r>
    </w:p>
    <w:p w:rsidR="003E718A" w:rsidRDefault="003E718A" w:rsidP="003E718A">
      <w:pPr>
        <w:ind w:left="720"/>
      </w:pPr>
      <w:r w:rsidRPr="003E718A">
        <w:lastRenderedPageBreak/>
        <w:t xml:space="preserve">To: The </w:t>
      </w:r>
      <w:r>
        <w:t>IV</w:t>
      </w:r>
      <w:r w:rsidRPr="003E718A">
        <w:t xml:space="preserve"> administration must be completed with</w:t>
      </w:r>
      <w:r>
        <w:t xml:space="preserve">in </w:t>
      </w:r>
      <w:r w:rsidRPr="00D13675">
        <w:rPr>
          <w:b/>
        </w:rPr>
        <w:t xml:space="preserve">45 </w:t>
      </w:r>
      <w:r w:rsidR="007C0CF3">
        <w:rPr>
          <w:b/>
        </w:rPr>
        <w:t>min</w:t>
      </w:r>
      <w:r>
        <w:t xml:space="preserve"> of reconstitution </w:t>
      </w:r>
      <w:r w:rsidRPr="003E718A">
        <w:t xml:space="preserve">of the </w:t>
      </w:r>
      <w:proofErr w:type="spellStart"/>
      <w:r w:rsidRPr="003E718A">
        <w:t>Vidaza</w:t>
      </w:r>
      <w:proofErr w:type="spellEnd"/>
      <w:r w:rsidRPr="003E718A">
        <w:t xml:space="preserve"> vial.</w:t>
      </w:r>
    </w:p>
    <w:p w:rsidR="00DC4070" w:rsidRPr="00DC4070" w:rsidRDefault="00DC4070" w:rsidP="00DC4070">
      <w:pPr>
        <w:pStyle w:val="Heading5"/>
      </w:pPr>
      <w:r>
        <w:t>Background to the submission</w:t>
      </w:r>
    </w:p>
    <w:p w:rsidR="00DC4070" w:rsidRPr="00DC4070" w:rsidRDefault="00DC4070" w:rsidP="00DC4070">
      <w:r w:rsidRPr="00DC4070">
        <w:t xml:space="preserve">Since approval of </w:t>
      </w:r>
      <w:proofErr w:type="spellStart"/>
      <w:r w:rsidRPr="00DC4070">
        <w:t>Vidaza</w:t>
      </w:r>
      <w:proofErr w:type="spellEnd"/>
      <w:r w:rsidRPr="00DC4070">
        <w:t xml:space="preserve"> in Australia in November</w:t>
      </w:r>
      <w:r>
        <w:t xml:space="preserve"> 2009, the sponsor’s </w:t>
      </w:r>
      <w:r w:rsidRPr="00DC4070">
        <w:t xml:space="preserve">Medical Information Department has received a </w:t>
      </w:r>
      <w:r>
        <w:t>number of unsolicited inquiries on IV</w:t>
      </w:r>
      <w:r w:rsidRPr="00DC4070">
        <w:t xml:space="preserve"> administration of </w:t>
      </w:r>
      <w:proofErr w:type="spellStart"/>
      <w:r w:rsidRPr="00DC4070">
        <w:t>Vidaza</w:t>
      </w:r>
      <w:proofErr w:type="spellEnd"/>
      <w:r w:rsidRPr="00DC4070">
        <w:t>. The queries wer</w:t>
      </w:r>
      <w:r>
        <w:t xml:space="preserve">e relating to the compatibility </w:t>
      </w:r>
      <w:r w:rsidRPr="00DC4070">
        <w:t xml:space="preserve">of </w:t>
      </w:r>
      <w:proofErr w:type="spellStart"/>
      <w:r w:rsidRPr="00DC4070">
        <w:t>Vidaza</w:t>
      </w:r>
      <w:proofErr w:type="spellEnd"/>
      <w:r w:rsidRPr="00DC4070">
        <w:t xml:space="preserve"> with diluents, stability of the IV solution, and in</w:t>
      </w:r>
      <w:r>
        <w:t xml:space="preserve">fusion period. </w:t>
      </w:r>
      <w:r w:rsidR="00565530">
        <w:t>The sponsor</w:t>
      </w:r>
      <w:r>
        <w:t xml:space="preserve"> believes </w:t>
      </w:r>
      <w:r w:rsidRPr="00DC4070">
        <w:t>that it would be beneficial for healthcare professi</w:t>
      </w:r>
      <w:r w:rsidR="00565530">
        <w:t xml:space="preserve">onals to have easy access (for example, </w:t>
      </w:r>
      <w:r w:rsidRPr="00DC4070">
        <w:t>via TGA</w:t>
      </w:r>
      <w:r>
        <w:t xml:space="preserve"> </w:t>
      </w:r>
      <w:r w:rsidRPr="00DC4070">
        <w:t>approved product information leaflet), to the most recent and accurate IV administration</w:t>
      </w:r>
      <w:r>
        <w:t xml:space="preserve"> </w:t>
      </w:r>
      <w:r w:rsidRPr="00DC4070">
        <w:t xml:space="preserve">details for </w:t>
      </w:r>
      <w:proofErr w:type="spellStart"/>
      <w:r w:rsidRPr="00DC4070">
        <w:t>Vidaza</w:t>
      </w:r>
      <w:proofErr w:type="spellEnd"/>
      <w:r w:rsidRPr="00DC4070">
        <w:t>, including the stability profile of the reconstituted infusion solutions and</w:t>
      </w:r>
      <w:r>
        <w:t xml:space="preserve"> </w:t>
      </w:r>
      <w:r w:rsidRPr="00DC4070">
        <w:t>the IV administration technique.</w:t>
      </w:r>
    </w:p>
    <w:p w:rsidR="00DC4070" w:rsidRPr="00DC4070" w:rsidRDefault="00DC4070" w:rsidP="00DC4070">
      <w:r>
        <w:t>In addition, the sponsor</w:t>
      </w:r>
      <w:r w:rsidRPr="00DC4070">
        <w:t xml:space="preserve"> believes that there is medical value in offering prescribers and patients</w:t>
      </w:r>
      <w:r>
        <w:t xml:space="preserve"> </w:t>
      </w:r>
      <w:r w:rsidRPr="00DC4070">
        <w:t xml:space="preserve">options on how </w:t>
      </w:r>
      <w:proofErr w:type="spellStart"/>
      <w:r w:rsidRPr="00DC4070">
        <w:t>Vidaza</w:t>
      </w:r>
      <w:proofErr w:type="spellEnd"/>
      <w:r w:rsidRPr="00DC4070">
        <w:t xml:space="preserve"> can be administered. Site reactions associated with the currently</w:t>
      </w:r>
      <w:r>
        <w:t xml:space="preserve"> </w:t>
      </w:r>
      <w:r w:rsidRPr="00DC4070">
        <w:t>approved SC route have been reported, and may lead to premature</w:t>
      </w:r>
      <w:r>
        <w:t xml:space="preserve"> </w:t>
      </w:r>
      <w:r w:rsidRPr="00DC4070">
        <w:t xml:space="preserve">termination of treatment with this life prolonging medicine. </w:t>
      </w:r>
      <w:r w:rsidR="00565530">
        <w:t>IV</w:t>
      </w:r>
      <w:r w:rsidRPr="00DC4070">
        <w:t xml:space="preserve"> infusion as an</w:t>
      </w:r>
      <w:r>
        <w:t xml:space="preserve"> </w:t>
      </w:r>
      <w:r w:rsidRPr="00DC4070">
        <w:t>alternative route of administration may allow continued treatment to maximise the benefit to</w:t>
      </w:r>
      <w:r>
        <w:t xml:space="preserve"> </w:t>
      </w:r>
      <w:r w:rsidRPr="00DC4070">
        <w:t>the patient, as assessed by the clinician on an individual patient basis.</w:t>
      </w:r>
    </w:p>
    <w:p w:rsidR="00DC4070" w:rsidRPr="00DC4070" w:rsidRDefault="00DC4070" w:rsidP="00DC4070">
      <w:r w:rsidRPr="00DC4070">
        <w:t xml:space="preserve">Since approval of </w:t>
      </w:r>
      <w:proofErr w:type="spellStart"/>
      <w:r w:rsidRPr="00DC4070">
        <w:t>Vidaza</w:t>
      </w:r>
      <w:proofErr w:type="spellEnd"/>
      <w:r w:rsidRPr="00DC4070">
        <w:t xml:space="preserve"> in the US for IV use in 2007 to prese</w:t>
      </w:r>
      <w:r>
        <w:t xml:space="preserve">nt time it is estimated that in </w:t>
      </w:r>
      <w:r w:rsidRPr="00DC4070">
        <w:t xml:space="preserve">excess of 50,000 patients have been treated with </w:t>
      </w:r>
      <w:proofErr w:type="spellStart"/>
      <w:r w:rsidRPr="00DC4070">
        <w:t>Vidaza</w:t>
      </w:r>
      <w:proofErr w:type="spellEnd"/>
      <w:r w:rsidRPr="00DC4070">
        <w:t xml:space="preserve"> </w:t>
      </w:r>
      <w:r>
        <w:t xml:space="preserve">either via the SC or IV routes. The sponsor </w:t>
      </w:r>
      <w:r w:rsidRPr="00DC4070">
        <w:t>acknowledges that there is limited formal clinical data on the IV route of</w:t>
      </w:r>
      <w:r>
        <w:t xml:space="preserve"> </w:t>
      </w:r>
      <w:r w:rsidRPr="00DC4070">
        <w:t>administration, however the extensive clinical experi</w:t>
      </w:r>
      <w:r>
        <w:t>ence in the post</w:t>
      </w:r>
      <w:r w:rsidR="00235358">
        <w:t xml:space="preserve"> </w:t>
      </w:r>
      <w:r>
        <w:t xml:space="preserve">approval phase </w:t>
      </w:r>
      <w:r w:rsidRPr="00DC4070">
        <w:t>provides further assurance that IV administration is an acceptable alternative for patients.</w:t>
      </w:r>
    </w:p>
    <w:p w:rsidR="003E718A" w:rsidRDefault="00DC4070" w:rsidP="00DC4070">
      <w:r>
        <w:t>The sponsor</w:t>
      </w:r>
      <w:r w:rsidRPr="00DC4070">
        <w:t xml:space="preserve"> acknowledges and appreciates the Delegate’s proposal to approve the application</w:t>
      </w:r>
      <w:r>
        <w:t xml:space="preserve"> </w:t>
      </w:r>
      <w:r w:rsidRPr="00DC4070">
        <w:t>for IV use.</w:t>
      </w:r>
    </w:p>
    <w:p w:rsidR="00D156A1" w:rsidRPr="00D156A1" w:rsidRDefault="00507F55" w:rsidP="00D156A1">
      <w:r>
        <w:t>The sponsor’s</w:t>
      </w:r>
      <w:r w:rsidR="00D156A1" w:rsidRPr="00D156A1">
        <w:t xml:space="preserve"> responses to the Delegate’s comments are provided in this document.</w:t>
      </w:r>
    </w:p>
    <w:p w:rsidR="00507F55" w:rsidRDefault="00D156A1" w:rsidP="00507F55">
      <w:pPr>
        <w:pStyle w:val="Heading5"/>
      </w:pPr>
      <w:r w:rsidRPr="00D156A1">
        <w:t>Delegate’</w:t>
      </w:r>
      <w:r w:rsidR="001702E6">
        <w:t>s c</w:t>
      </w:r>
      <w:r w:rsidR="00507F55">
        <w:t>omment</w:t>
      </w:r>
    </w:p>
    <w:p w:rsidR="00D156A1" w:rsidRPr="00507F55" w:rsidRDefault="00D156A1" w:rsidP="00507F55">
      <w:r w:rsidRPr="00507F55">
        <w:t xml:space="preserve">Page 1 of Delegate’s Overview (DO), paragraph 4 from bottom </w:t>
      </w:r>
      <w:r w:rsidR="00507F55" w:rsidRPr="00507F55">
        <w:t>of page</w:t>
      </w:r>
      <w:r w:rsidR="00507F55">
        <w:t>:</w:t>
      </w:r>
    </w:p>
    <w:p w:rsidR="00D156A1" w:rsidRPr="001A7944" w:rsidRDefault="00D156A1" w:rsidP="001A7944">
      <w:pPr>
        <w:ind w:left="720"/>
        <w:rPr>
          <w:i/>
        </w:rPr>
      </w:pPr>
      <w:r w:rsidRPr="001A7944">
        <w:rPr>
          <w:i/>
        </w:rPr>
        <w:t>The rationale for proposing this new route of administration is that the sponsor believes</w:t>
      </w:r>
      <w:r w:rsidR="00507F55" w:rsidRPr="001A7944">
        <w:rPr>
          <w:i/>
        </w:rPr>
        <w:t xml:space="preserve"> </w:t>
      </w:r>
      <w:r w:rsidRPr="001A7944">
        <w:rPr>
          <w:i/>
        </w:rPr>
        <w:t xml:space="preserve">physicians may be administering </w:t>
      </w:r>
      <w:proofErr w:type="spellStart"/>
      <w:r w:rsidRPr="001A7944">
        <w:rPr>
          <w:i/>
        </w:rPr>
        <w:t>Vidaza</w:t>
      </w:r>
      <w:proofErr w:type="spellEnd"/>
      <w:r w:rsidRPr="001A7944">
        <w:rPr>
          <w:i/>
        </w:rPr>
        <w:t xml:space="preserve"> by IV infus</w:t>
      </w:r>
      <w:r w:rsidR="00507F55" w:rsidRPr="001A7944">
        <w:rPr>
          <w:i/>
        </w:rPr>
        <w:t>ion off</w:t>
      </w:r>
      <w:r w:rsidR="00003A9F">
        <w:rPr>
          <w:i/>
        </w:rPr>
        <w:t xml:space="preserve"> </w:t>
      </w:r>
      <w:r w:rsidR="00507F55" w:rsidRPr="001A7944">
        <w:rPr>
          <w:i/>
        </w:rPr>
        <w:t xml:space="preserve">label, without adequate </w:t>
      </w:r>
      <w:r w:rsidRPr="001A7944">
        <w:rPr>
          <w:i/>
        </w:rPr>
        <w:t>knowledge of the stability profile or administration te</w:t>
      </w:r>
      <w:r w:rsidR="0074528B" w:rsidRPr="001A7944">
        <w:rPr>
          <w:i/>
        </w:rPr>
        <w:t>chnique.</w:t>
      </w:r>
    </w:p>
    <w:p w:rsidR="00D156A1" w:rsidRPr="00D156A1" w:rsidRDefault="00507F55" w:rsidP="001702E6">
      <w:pPr>
        <w:pStyle w:val="Heading5"/>
      </w:pPr>
      <w:r>
        <w:t>Sponsor’s r</w:t>
      </w:r>
      <w:r w:rsidR="001B23F9">
        <w:t>esponse</w:t>
      </w:r>
    </w:p>
    <w:p w:rsidR="00D156A1" w:rsidRPr="00D156A1" w:rsidRDefault="00D156A1" w:rsidP="00D156A1">
      <w:r w:rsidRPr="00D156A1">
        <w:t>The main objective for the proposal to register the IV route of administration in addition to</w:t>
      </w:r>
      <w:r w:rsidR="00E701BE">
        <w:t xml:space="preserve"> </w:t>
      </w:r>
      <w:r w:rsidRPr="00D156A1">
        <w:t>the c</w:t>
      </w:r>
      <w:r w:rsidR="00E701BE">
        <w:t xml:space="preserve">urrently approved </w:t>
      </w:r>
      <w:r w:rsidRPr="00D156A1">
        <w:t>SC route is to address the clinical need for this route</w:t>
      </w:r>
      <w:r w:rsidR="00E701BE">
        <w:t xml:space="preserve"> </w:t>
      </w:r>
      <w:r w:rsidRPr="00D156A1">
        <w:t xml:space="preserve">of administration. </w:t>
      </w:r>
      <w:r w:rsidR="00003A9F">
        <w:t>The sponsor</w:t>
      </w:r>
      <w:r w:rsidRPr="00D156A1">
        <w:t xml:space="preserve"> has received a number of</w:t>
      </w:r>
      <w:r w:rsidR="00E701BE">
        <w:t xml:space="preserve"> medical questions regarding IV </w:t>
      </w:r>
      <w:r w:rsidRPr="00D156A1">
        <w:t xml:space="preserve">administration of </w:t>
      </w:r>
      <w:proofErr w:type="spellStart"/>
      <w:r w:rsidRPr="00D156A1">
        <w:t>Vidaza</w:t>
      </w:r>
      <w:proofErr w:type="spellEnd"/>
      <w:r w:rsidRPr="00D156A1">
        <w:t>. Due to individual patient medical conditions that may</w:t>
      </w:r>
      <w:r w:rsidR="00E701BE">
        <w:t xml:space="preserve"> favour one </w:t>
      </w:r>
      <w:r w:rsidRPr="00D156A1">
        <w:t xml:space="preserve">or the other (IV or SC) route of administration, </w:t>
      </w:r>
      <w:r w:rsidR="00003A9F">
        <w:t>the sponsor</w:t>
      </w:r>
      <w:r w:rsidRPr="00D156A1">
        <w:t xml:space="preserve"> beli</w:t>
      </w:r>
      <w:r w:rsidR="00E701BE">
        <w:t xml:space="preserve">eves that having access to both </w:t>
      </w:r>
      <w:r w:rsidRPr="00D156A1">
        <w:t>the IV and SC routes of administration is ultimately beneficia</w:t>
      </w:r>
      <w:r w:rsidR="00E701BE">
        <w:t xml:space="preserve">l for patients with higher risk </w:t>
      </w:r>
      <w:r w:rsidR="00CB48C3">
        <w:t>MDS</w:t>
      </w:r>
      <w:r w:rsidRPr="00D156A1">
        <w:t>.</w:t>
      </w:r>
    </w:p>
    <w:p w:rsidR="00D156A1" w:rsidRDefault="00D156A1" w:rsidP="00D156A1">
      <w:r w:rsidRPr="00D156A1">
        <w:t>It is of</w:t>
      </w:r>
      <w:r w:rsidR="00A720D6">
        <w:t xml:space="preserve"> importance to note that the sponsor</w:t>
      </w:r>
      <w:r w:rsidRPr="00D156A1">
        <w:t xml:space="preserve"> does not propose IV route of administration as the</w:t>
      </w:r>
      <w:r w:rsidR="00E701BE">
        <w:t xml:space="preserve"> </w:t>
      </w:r>
      <w:r w:rsidRPr="00D156A1">
        <w:t xml:space="preserve">only route of administration. Rather, </w:t>
      </w:r>
      <w:r w:rsidR="00A720D6">
        <w:t>the sponsor</w:t>
      </w:r>
      <w:r w:rsidRPr="00D156A1">
        <w:t xml:space="preserve"> proposes </w:t>
      </w:r>
      <w:r w:rsidR="00E701BE">
        <w:t xml:space="preserve">that IV route can be used as an </w:t>
      </w:r>
      <w:r w:rsidRPr="00D156A1">
        <w:t>alternative route of administration giving the physicians t</w:t>
      </w:r>
      <w:r w:rsidR="00E701BE">
        <w:t xml:space="preserve">he option of using either route </w:t>
      </w:r>
      <w:r w:rsidRPr="00D156A1">
        <w:t>depending on the individual circumstances of the patients. Specifically, for those patients</w:t>
      </w:r>
      <w:r w:rsidR="00E701BE">
        <w:t xml:space="preserve"> </w:t>
      </w:r>
      <w:r w:rsidRPr="00D156A1">
        <w:t>who are unable to tolerate the currently approved SC ro</w:t>
      </w:r>
      <w:r w:rsidR="00E701BE">
        <w:t xml:space="preserve">ute of administration, offering </w:t>
      </w:r>
      <w:r w:rsidRPr="00D156A1">
        <w:t>another option of IV administration may make the d</w:t>
      </w:r>
      <w:r w:rsidR="00E701BE">
        <w:t xml:space="preserve">ifference between continuing or </w:t>
      </w:r>
      <w:r w:rsidRPr="00D156A1">
        <w:t>stopping treatment of a medicine that has demonstrated an</w:t>
      </w:r>
      <w:r w:rsidR="00E701BE">
        <w:t xml:space="preserve"> overall survival benefit. </w:t>
      </w:r>
      <w:r w:rsidR="00C76E18">
        <w:t xml:space="preserve">Study </w:t>
      </w:r>
      <w:r w:rsidR="00E701BE">
        <w:t>AZA-</w:t>
      </w:r>
      <w:r w:rsidRPr="00D156A1">
        <w:t>001 data has demonstrated that such a survival benefit i</w:t>
      </w:r>
      <w:r w:rsidR="00E701BE">
        <w:t xml:space="preserve">s often achieved and maintained </w:t>
      </w:r>
      <w:r w:rsidRPr="00D156A1">
        <w:t xml:space="preserve">through sustained treatment in the approved patient </w:t>
      </w:r>
      <w:r w:rsidR="00E701BE">
        <w:t xml:space="preserve">populations. This is a clinical </w:t>
      </w:r>
      <w:r w:rsidRPr="00D156A1">
        <w:t>decision</w:t>
      </w:r>
      <w:r w:rsidR="00E701BE">
        <w:t xml:space="preserve"> </w:t>
      </w:r>
      <w:r w:rsidRPr="00D156A1">
        <w:t xml:space="preserve">made by the treatment specialist on an individual patient basis, and </w:t>
      </w:r>
      <w:r w:rsidRPr="00D156A1">
        <w:lastRenderedPageBreak/>
        <w:t>ensures that patients</w:t>
      </w:r>
      <w:r w:rsidR="00E701BE">
        <w:t xml:space="preserve"> </w:t>
      </w:r>
      <w:r w:rsidRPr="00D156A1">
        <w:t>have the optimum access to continue treatment with the most effective agents.</w:t>
      </w:r>
    </w:p>
    <w:p w:rsidR="001B23F9" w:rsidRDefault="001B23F9" w:rsidP="001B23F9">
      <w:pPr>
        <w:pStyle w:val="Heading5"/>
      </w:pPr>
      <w:r w:rsidRPr="00D156A1">
        <w:t>Delegate’</w:t>
      </w:r>
      <w:r>
        <w:t>s comment</w:t>
      </w:r>
    </w:p>
    <w:p w:rsidR="001B23F9" w:rsidRPr="001B23F9" w:rsidRDefault="001B23F9" w:rsidP="001B23F9">
      <w:r>
        <w:t>P</w:t>
      </w:r>
      <w:r w:rsidRPr="001B23F9">
        <w:t xml:space="preserve">age 2, DO, paragraph 3 under </w:t>
      </w:r>
      <w:r>
        <w:t>nonclinical</w:t>
      </w:r>
      <w:r w:rsidRPr="001B23F9">
        <w:t xml:space="preserve"> data evaluation</w:t>
      </w:r>
      <w:r>
        <w:t xml:space="preserve"> </w:t>
      </w:r>
      <w:r w:rsidR="0020008E">
        <w:t>section:</w:t>
      </w:r>
    </w:p>
    <w:p w:rsidR="001B23F9" w:rsidRPr="00AF7751" w:rsidRDefault="001B23F9" w:rsidP="00AF7751">
      <w:pPr>
        <w:ind w:left="720"/>
        <w:rPr>
          <w:i/>
        </w:rPr>
      </w:pPr>
      <w:r w:rsidRPr="00AF7751">
        <w:rPr>
          <w:i/>
        </w:rPr>
        <w:t>After the normal evaluation phase, the sponsor has s</w:t>
      </w:r>
      <w:r w:rsidR="00AF7751" w:rsidRPr="00AF7751">
        <w:rPr>
          <w:i/>
        </w:rPr>
        <w:t xml:space="preserve">upplied several CNS/respiratory </w:t>
      </w:r>
      <w:r w:rsidRPr="00AF7751">
        <w:rPr>
          <w:i/>
        </w:rPr>
        <w:t>safety</w:t>
      </w:r>
      <w:r w:rsidR="00AF7751" w:rsidRPr="00AF7751">
        <w:rPr>
          <w:i/>
        </w:rPr>
        <w:t xml:space="preserve"> </w:t>
      </w:r>
      <w:r w:rsidRPr="00AF7751">
        <w:rPr>
          <w:i/>
        </w:rPr>
        <w:t>studies in rats. In these studies, onset of effects on CNS and respiratory function was 4</w:t>
      </w:r>
      <w:r w:rsidR="00AF7751" w:rsidRPr="00AF7751">
        <w:rPr>
          <w:i/>
        </w:rPr>
        <w:t xml:space="preserve"> </w:t>
      </w:r>
      <w:r w:rsidR="007C0CF3">
        <w:rPr>
          <w:i/>
        </w:rPr>
        <w:t>h</w:t>
      </w:r>
      <w:r w:rsidRPr="00AF7751">
        <w:rPr>
          <w:i/>
        </w:rPr>
        <w:t xml:space="preserve"> post</w:t>
      </w:r>
      <w:r w:rsidR="00003A9F">
        <w:rPr>
          <w:i/>
        </w:rPr>
        <w:t xml:space="preserve"> </w:t>
      </w:r>
      <w:r w:rsidRPr="00AF7751">
        <w:rPr>
          <w:i/>
        </w:rPr>
        <w:t>dose. These</w:t>
      </w:r>
      <w:r w:rsidR="00003A9F">
        <w:rPr>
          <w:i/>
        </w:rPr>
        <w:t xml:space="preserve"> studies did not change the non</w:t>
      </w:r>
      <w:r w:rsidRPr="00AF7751">
        <w:rPr>
          <w:i/>
        </w:rPr>
        <w:t>clinical evaluator’s basic</w:t>
      </w:r>
      <w:r w:rsidR="00AF7751" w:rsidRPr="00AF7751">
        <w:rPr>
          <w:i/>
        </w:rPr>
        <w:t xml:space="preserve"> </w:t>
      </w:r>
      <w:r w:rsidRPr="00AF7751">
        <w:rPr>
          <w:i/>
        </w:rPr>
        <w:t>conclusion, that the higher systemic exposure with IV u</w:t>
      </w:r>
      <w:r w:rsidR="00AF7751" w:rsidRPr="00AF7751">
        <w:rPr>
          <w:i/>
        </w:rPr>
        <w:t xml:space="preserve">se relative to SC use confers a </w:t>
      </w:r>
      <w:r w:rsidRPr="00AF7751">
        <w:rPr>
          <w:i/>
        </w:rPr>
        <w:t>greater risk of toxicity.</w:t>
      </w:r>
    </w:p>
    <w:p w:rsidR="002B220E" w:rsidRPr="00D156A1" w:rsidRDefault="002B220E" w:rsidP="002B220E">
      <w:pPr>
        <w:pStyle w:val="Heading5"/>
      </w:pPr>
      <w:r>
        <w:t>Sponsor’s response</w:t>
      </w:r>
    </w:p>
    <w:p w:rsidR="001B23F9" w:rsidRDefault="00110D4C" w:rsidP="001B23F9">
      <w:r>
        <w:t xml:space="preserve">The sponsor </w:t>
      </w:r>
      <w:r w:rsidR="001B23F9" w:rsidRPr="001B23F9">
        <w:t xml:space="preserve">would like to emphasise that the data from the </w:t>
      </w:r>
      <w:r w:rsidR="00883C23">
        <w:t>published paper by Uchida and colleagues</w:t>
      </w:r>
      <w:r w:rsidR="00883C23">
        <w:rPr>
          <w:rStyle w:val="FootnoteReference"/>
        </w:rPr>
        <w:footnoteReference w:id="8"/>
      </w:r>
      <w:r w:rsidR="00883C23">
        <w:t xml:space="preserve"> </w:t>
      </w:r>
      <w:r w:rsidR="001B23F9" w:rsidRPr="001B23F9">
        <w:t xml:space="preserve">support the safety of IV administration of </w:t>
      </w:r>
      <w:proofErr w:type="spellStart"/>
      <w:r w:rsidR="001B23F9" w:rsidRPr="001B23F9">
        <w:t>Vidaza</w:t>
      </w:r>
      <w:proofErr w:type="spellEnd"/>
      <w:r w:rsidR="002B220E">
        <w:t xml:space="preserve"> over a 10 </w:t>
      </w:r>
      <w:r w:rsidR="007C0CF3">
        <w:t>min</w:t>
      </w:r>
      <w:r w:rsidR="002B220E">
        <w:t xml:space="preserve"> infusion (the </w:t>
      </w:r>
      <w:r w:rsidR="001B23F9" w:rsidRPr="001B23F9">
        <w:t>worst case scenario for the recommended infusion ti</w:t>
      </w:r>
      <w:r w:rsidR="002B220E">
        <w:t xml:space="preserve">me of 10-40 mins). The reported </w:t>
      </w:r>
      <w:r w:rsidR="001B23F9" w:rsidRPr="001B23F9">
        <w:t>incidence of adverse events was comparable betwe</w:t>
      </w:r>
      <w:r w:rsidR="002B220E">
        <w:t xml:space="preserve">en the SC and IV administration </w:t>
      </w:r>
      <w:r w:rsidR="001B23F9" w:rsidRPr="001B23F9">
        <w:t>groups, with the exception of injection site reactions,</w:t>
      </w:r>
      <w:r w:rsidR="002B220E">
        <w:t xml:space="preserve"> which occurred more frequently </w:t>
      </w:r>
      <w:r w:rsidR="001B23F9" w:rsidRPr="001B23F9">
        <w:t>following SC administration (33% v</w:t>
      </w:r>
      <w:r w:rsidR="007E7BBD">
        <w:t>ersus</w:t>
      </w:r>
      <w:r w:rsidR="001B23F9" w:rsidRPr="001B23F9">
        <w:t xml:space="preserve"> 4%). This data de</w:t>
      </w:r>
      <w:r w:rsidR="002B220E">
        <w:t xml:space="preserve">monstrates that higher systemic </w:t>
      </w:r>
      <w:r w:rsidR="001B23F9" w:rsidRPr="001B23F9">
        <w:t>exposure with IV use relative to SC use does not confer an appreciable increase in t</w:t>
      </w:r>
      <w:r w:rsidR="002B220E">
        <w:t xml:space="preserve">he risk </w:t>
      </w:r>
      <w:r w:rsidR="001B23F9" w:rsidRPr="001B23F9">
        <w:t>of toxicity. This conclusion is further supported by additio</w:t>
      </w:r>
      <w:r w:rsidR="00EB19A2">
        <w:t xml:space="preserve">nal post </w:t>
      </w:r>
      <w:r w:rsidR="002B220E">
        <w:t xml:space="preserve">marketing surveillance </w:t>
      </w:r>
      <w:r w:rsidR="001B23F9" w:rsidRPr="001B23F9">
        <w:t>data and data collected from a Patients Registry (AVIDA) as described below.</w:t>
      </w:r>
    </w:p>
    <w:p w:rsidR="002202BA" w:rsidRDefault="002202BA" w:rsidP="002202BA">
      <w:pPr>
        <w:pStyle w:val="Heading5"/>
      </w:pPr>
      <w:r w:rsidRPr="00D156A1">
        <w:t>Delegate’</w:t>
      </w:r>
      <w:r>
        <w:t>s comment</w:t>
      </w:r>
    </w:p>
    <w:p w:rsidR="002202BA" w:rsidRPr="002202BA" w:rsidRDefault="002202BA" w:rsidP="002202BA">
      <w:r>
        <w:t>P</w:t>
      </w:r>
      <w:r w:rsidRPr="002202BA">
        <w:t>age 4, DO, paragraph on Uchida et al (2011)</w:t>
      </w:r>
      <w:r>
        <w:t>:</w:t>
      </w:r>
      <w:r w:rsidR="00FE5ED1">
        <w:rPr>
          <w:rStyle w:val="FootnoteReference"/>
        </w:rPr>
        <w:footnoteReference w:id="9"/>
      </w:r>
    </w:p>
    <w:p w:rsidR="002202BA" w:rsidRPr="002202BA" w:rsidRDefault="002202BA" w:rsidP="00F321CE">
      <w:pPr>
        <w:ind w:left="720"/>
      </w:pPr>
      <w:r w:rsidRPr="00F321CE">
        <w:rPr>
          <w:i/>
        </w:rPr>
        <w:t>…</w:t>
      </w:r>
      <w:r w:rsidR="00F321CE">
        <w:rPr>
          <w:i/>
        </w:rPr>
        <w:t xml:space="preserve"> </w:t>
      </w:r>
      <w:r w:rsidRPr="00F321CE">
        <w:rPr>
          <w:i/>
        </w:rPr>
        <w:t>this paper does include efficacy data for 4 cycles, comparing IV and SC arms. Although</w:t>
      </w:r>
      <w:r w:rsidR="00F321CE">
        <w:rPr>
          <w:i/>
        </w:rPr>
        <w:t xml:space="preserve"> </w:t>
      </w:r>
      <w:r w:rsidRPr="00F321CE">
        <w:rPr>
          <w:i/>
        </w:rPr>
        <w:t>the study was not powered to show clinically meaningful differences across arms, and</w:t>
      </w:r>
      <w:r w:rsidR="00F321CE">
        <w:rPr>
          <w:i/>
        </w:rPr>
        <w:t xml:space="preserve"> </w:t>
      </w:r>
      <w:r w:rsidRPr="00F321CE">
        <w:rPr>
          <w:i/>
        </w:rPr>
        <w:t xml:space="preserve">although there was some contamination </w:t>
      </w:r>
      <w:r w:rsidR="00F76FAC">
        <w:rPr>
          <w:i/>
        </w:rPr>
        <w:t xml:space="preserve">of arms (that is, </w:t>
      </w:r>
      <w:r w:rsidRPr="00F321CE">
        <w:rPr>
          <w:i/>
        </w:rPr>
        <w:t>IV use in the SC arm and vice versa),</w:t>
      </w:r>
      <w:r w:rsidR="00F321CE">
        <w:rPr>
          <w:i/>
        </w:rPr>
        <w:t xml:space="preserve"> </w:t>
      </w:r>
      <w:r w:rsidRPr="00F321CE">
        <w:rPr>
          <w:i/>
        </w:rPr>
        <w:t>study results supported the conclusion that efficacy was similar across arms.</w:t>
      </w:r>
    </w:p>
    <w:p w:rsidR="00F321CE" w:rsidRPr="00D156A1" w:rsidRDefault="00F321CE" w:rsidP="00F321CE">
      <w:pPr>
        <w:pStyle w:val="Heading5"/>
      </w:pPr>
      <w:r>
        <w:t>Sponsor’s response</w:t>
      </w:r>
    </w:p>
    <w:p w:rsidR="002202BA" w:rsidRDefault="002202BA" w:rsidP="002202BA">
      <w:r w:rsidRPr="002202BA">
        <w:t xml:space="preserve">Part II of </w:t>
      </w:r>
      <w:r w:rsidR="00F76FAC">
        <w:t>Uchida et al.</w:t>
      </w:r>
      <w:r w:rsidRPr="002202BA">
        <w:t xml:space="preserve"> was desi</w:t>
      </w:r>
      <w:r w:rsidR="00F321CE">
        <w:t xml:space="preserve">gned to evaluate efficacy after </w:t>
      </w:r>
      <w:r w:rsidRPr="002202BA">
        <w:t xml:space="preserve">completion of Cycle 4 and after completion of the last cycle, with results </w:t>
      </w:r>
      <w:r w:rsidR="00F321CE">
        <w:t xml:space="preserve">demonstrating no </w:t>
      </w:r>
      <w:r w:rsidRPr="002202BA">
        <w:t>difference in efficacy between SC and IV administration o</w:t>
      </w:r>
      <w:r w:rsidR="00F321CE">
        <w:t xml:space="preserve">f </w:t>
      </w:r>
      <w:proofErr w:type="spellStart"/>
      <w:r w:rsidR="00F321CE">
        <w:t>azactidine</w:t>
      </w:r>
      <w:proofErr w:type="spellEnd"/>
      <w:r w:rsidR="00F321CE">
        <w:t xml:space="preserve">. In the discussion </w:t>
      </w:r>
      <w:r w:rsidRPr="002202BA">
        <w:t xml:space="preserve">section, the author also noted that patients in the </w:t>
      </w:r>
      <w:r w:rsidR="00F321CE">
        <w:t xml:space="preserve">study who achieved </w:t>
      </w:r>
      <w:proofErr w:type="spellStart"/>
      <w:r w:rsidR="00F321CE">
        <w:t>haematologic</w:t>
      </w:r>
      <w:proofErr w:type="spellEnd"/>
      <w:r w:rsidR="00F321CE">
        <w:t xml:space="preserve"> </w:t>
      </w:r>
      <w:r w:rsidRPr="002202BA">
        <w:t xml:space="preserve">improvement (HI) required additional treatment cycles to achieve </w:t>
      </w:r>
      <w:proofErr w:type="spellStart"/>
      <w:r w:rsidRPr="002202BA">
        <w:t>h</w:t>
      </w:r>
      <w:r w:rsidR="00F321CE">
        <w:t>aematologic</w:t>
      </w:r>
      <w:proofErr w:type="spellEnd"/>
      <w:r w:rsidR="00F321CE">
        <w:t xml:space="preserve"> response </w:t>
      </w:r>
      <w:r w:rsidRPr="002202BA">
        <w:t>(HR). The HI and HR rates were higher at completion of the la</w:t>
      </w:r>
      <w:r w:rsidR="00F321CE">
        <w:t xml:space="preserve">st cycle of azacitidine than at </w:t>
      </w:r>
      <w:r w:rsidRPr="002202BA">
        <w:t>completion of Cycle 4. Therefore, the data demonstrates</w:t>
      </w:r>
      <w:r w:rsidR="00F321CE">
        <w:t xml:space="preserve"> that continuous treatment with </w:t>
      </w:r>
      <w:r w:rsidRPr="002202BA">
        <w:t>azacitidine (greater than 4 cycles) appears to be appro</w:t>
      </w:r>
      <w:r w:rsidR="00F321CE">
        <w:t xml:space="preserve">priate for both Western and </w:t>
      </w:r>
      <w:r w:rsidRPr="002202BA">
        <w:t>Japanese</w:t>
      </w:r>
      <w:r w:rsidR="00F321CE">
        <w:t xml:space="preserve"> </w:t>
      </w:r>
      <w:r w:rsidRPr="002202BA">
        <w:t xml:space="preserve">patients with </w:t>
      </w:r>
      <w:r w:rsidR="00CB48C3">
        <w:t>MDS</w:t>
      </w:r>
      <w:r w:rsidRPr="002202BA">
        <w:t>, as long as the patients continue to benefit from treatment.</w:t>
      </w:r>
    </w:p>
    <w:p w:rsidR="00F321CE" w:rsidRDefault="00F321CE" w:rsidP="00F321CE">
      <w:pPr>
        <w:pStyle w:val="Heading5"/>
      </w:pPr>
      <w:r w:rsidRPr="00D156A1">
        <w:t>Delegate’</w:t>
      </w:r>
      <w:r>
        <w:t>s comment</w:t>
      </w:r>
    </w:p>
    <w:p w:rsidR="00F321CE" w:rsidRPr="00F321CE" w:rsidRDefault="00F321CE" w:rsidP="00F321CE">
      <w:r>
        <w:t>P</w:t>
      </w:r>
      <w:r w:rsidRPr="00F321CE">
        <w:t>age 6 last paragraph under ‘Issues’</w:t>
      </w:r>
      <w:r>
        <w:t>:</w:t>
      </w:r>
    </w:p>
    <w:p w:rsidR="00F321CE" w:rsidRPr="00F321CE" w:rsidRDefault="00F321CE" w:rsidP="00F321CE">
      <w:pPr>
        <w:ind w:left="720"/>
        <w:rPr>
          <w:i/>
        </w:rPr>
      </w:pPr>
      <w:proofErr w:type="spellStart"/>
      <w:r w:rsidRPr="00F321CE">
        <w:rPr>
          <w:i/>
        </w:rPr>
        <w:t>Vidaza</w:t>
      </w:r>
      <w:proofErr w:type="spellEnd"/>
      <w:r w:rsidRPr="00F321CE">
        <w:rPr>
          <w:i/>
        </w:rPr>
        <w:t xml:space="preserve"> when administered SC may produce injection site reactions (listed in the PI), but IV administration requires </w:t>
      </w:r>
      <w:proofErr w:type="spellStart"/>
      <w:r w:rsidRPr="00F321CE">
        <w:rPr>
          <w:i/>
        </w:rPr>
        <w:t>cannulation</w:t>
      </w:r>
      <w:proofErr w:type="spellEnd"/>
      <w:r w:rsidRPr="00F321CE">
        <w:rPr>
          <w:i/>
        </w:rPr>
        <w:t xml:space="preserve"> and introduce risk of </w:t>
      </w:r>
      <w:proofErr w:type="spellStart"/>
      <w:r w:rsidRPr="00F321CE">
        <w:rPr>
          <w:i/>
        </w:rPr>
        <w:t>perivascular</w:t>
      </w:r>
      <w:proofErr w:type="spellEnd"/>
      <w:r w:rsidRPr="00F321CE">
        <w:rPr>
          <w:i/>
        </w:rPr>
        <w:t xml:space="preserve"> damage. The Uchida study bore this out, with some patients swapping from IV to SC </w:t>
      </w:r>
      <w:r w:rsidRPr="00F321CE">
        <w:rPr>
          <w:i/>
        </w:rPr>
        <w:lastRenderedPageBreak/>
        <w:t>and some from SC to IV. It seems desirable to have both IV and SC options, and the evidence supporting IV use is (just) sufficient.</w:t>
      </w:r>
    </w:p>
    <w:p w:rsidR="00F321CE" w:rsidRPr="00D156A1" w:rsidRDefault="00F321CE" w:rsidP="00F321CE">
      <w:pPr>
        <w:pStyle w:val="Heading5"/>
      </w:pPr>
      <w:r>
        <w:t>Sponsor’s response</w:t>
      </w:r>
    </w:p>
    <w:p w:rsidR="00F321CE" w:rsidRPr="00F321CE" w:rsidRDefault="00F7416A" w:rsidP="00F321CE">
      <w:r>
        <w:t>The sponsor</w:t>
      </w:r>
      <w:r w:rsidRPr="00F321CE">
        <w:t xml:space="preserve"> acknowledges the limitations in the formal data coll</w:t>
      </w:r>
      <w:r>
        <w:t xml:space="preserve">ected from clinical studies for </w:t>
      </w:r>
      <w:r w:rsidRPr="00F321CE">
        <w:t xml:space="preserve">comparison of the safety profile of the IV administration of </w:t>
      </w:r>
      <w:proofErr w:type="spellStart"/>
      <w:r w:rsidRPr="00F321CE">
        <w:t>V</w:t>
      </w:r>
      <w:r>
        <w:t>idaza</w:t>
      </w:r>
      <w:proofErr w:type="spellEnd"/>
      <w:r>
        <w:t xml:space="preserve"> against the SC route but </w:t>
      </w:r>
      <w:r w:rsidRPr="00F321CE">
        <w:t>believes the extensive post</w:t>
      </w:r>
      <w:r>
        <w:t xml:space="preserve"> </w:t>
      </w:r>
      <w:r w:rsidRPr="00F321CE">
        <w:t>approval use in the US s</w:t>
      </w:r>
      <w:r>
        <w:t xml:space="preserve">upports IV administration as an </w:t>
      </w:r>
      <w:r w:rsidRPr="00F321CE">
        <w:t>acceptable alternative for patients. In addition to the d</w:t>
      </w:r>
      <w:r>
        <w:t xml:space="preserve">ata referred to by the Delegate </w:t>
      </w:r>
      <w:r w:rsidRPr="00F321CE">
        <w:t>above</w:t>
      </w:r>
      <w:r>
        <w:t xml:space="preserve"> (Uchida et al.</w:t>
      </w:r>
      <w:r w:rsidRPr="00F321CE">
        <w:t xml:space="preserve">), </w:t>
      </w:r>
      <w:r>
        <w:t>the sponsor</w:t>
      </w:r>
      <w:r w:rsidRPr="00F321CE">
        <w:t xml:space="preserve"> provide</w:t>
      </w:r>
      <w:r>
        <w:t>d</w:t>
      </w:r>
      <w:r w:rsidRPr="00F321CE">
        <w:t xml:space="preserve"> the following data to further support the</w:t>
      </w:r>
      <w:r>
        <w:t xml:space="preserve"> </w:t>
      </w:r>
      <w:r w:rsidRPr="00F321CE">
        <w:t>proposal that the IV and SC routes of administration are comparable, both from a safety and</w:t>
      </w:r>
      <w:r>
        <w:t xml:space="preserve"> </w:t>
      </w:r>
      <w:r w:rsidRPr="00F321CE">
        <w:t>efficacy point of view</w:t>
      </w:r>
      <w:r w:rsidR="00F321CE" w:rsidRPr="00F321CE">
        <w:t>.</w:t>
      </w:r>
    </w:p>
    <w:p w:rsidR="00F321CE" w:rsidRPr="00F321CE" w:rsidRDefault="00F321CE" w:rsidP="00F321CE">
      <w:pPr>
        <w:pStyle w:val="ListBullet"/>
      </w:pPr>
      <w:r w:rsidRPr="00F321CE">
        <w:t>Data collected from a Patients registry in the United States (US), AVIDA.</w:t>
      </w:r>
    </w:p>
    <w:p w:rsidR="00F321CE" w:rsidRDefault="00F321CE" w:rsidP="00F321CE">
      <w:pPr>
        <w:pStyle w:val="ListBullet"/>
      </w:pPr>
      <w:proofErr w:type="spellStart"/>
      <w:r w:rsidRPr="00F321CE">
        <w:t>Vidaza</w:t>
      </w:r>
      <w:proofErr w:type="spellEnd"/>
      <w:r w:rsidRPr="00F321CE">
        <w:t xml:space="preserve"> MDS Patient History Q3 2007 – Q4 2012 for </w:t>
      </w:r>
      <w:proofErr w:type="spellStart"/>
      <w:r w:rsidRPr="00F321CE">
        <w:t>Ce</w:t>
      </w:r>
      <w:r>
        <w:t>lgene</w:t>
      </w:r>
      <w:proofErr w:type="spellEnd"/>
      <w:r>
        <w:t xml:space="preserve">; market surveillance </w:t>
      </w:r>
      <w:r w:rsidRPr="00F321CE">
        <w:t>data for each route of administration as a percentage of Patient Visits resulting in</w:t>
      </w:r>
      <w:r>
        <w:t xml:space="preserve"> </w:t>
      </w:r>
      <w:r w:rsidRPr="00F321CE">
        <w:t xml:space="preserve">treatment for MDS with </w:t>
      </w:r>
      <w:proofErr w:type="spellStart"/>
      <w:r w:rsidRPr="00F321CE">
        <w:t>Vidaza</w:t>
      </w:r>
      <w:proofErr w:type="spellEnd"/>
      <w:r w:rsidRPr="00F321CE">
        <w:t xml:space="preserve"> in the US.</w:t>
      </w:r>
    </w:p>
    <w:p w:rsidR="00FC7F2F" w:rsidRPr="00FC7F2F" w:rsidRDefault="00FC7F2F" w:rsidP="00FC7F2F">
      <w:pPr>
        <w:pStyle w:val="Heading5"/>
      </w:pPr>
      <w:r w:rsidRPr="00FC7F2F">
        <w:t>AVIDA registry</w:t>
      </w:r>
    </w:p>
    <w:p w:rsidR="00FC7F2F" w:rsidRDefault="00FC7F2F" w:rsidP="00FC7F2F">
      <w:r w:rsidRPr="00FC7F2F">
        <w:t xml:space="preserve">AVIDA is a </w:t>
      </w:r>
      <w:r w:rsidR="00F76FAC">
        <w:t>unique, longitudinal, multicentre</w:t>
      </w:r>
      <w:r w:rsidRPr="00FC7F2F">
        <w:t xml:space="preserve"> patient reg</w:t>
      </w:r>
      <w:r>
        <w:t xml:space="preserve">istry designed to prospectively </w:t>
      </w:r>
      <w:r w:rsidRPr="00FC7F2F">
        <w:t>collect data from community</w:t>
      </w:r>
      <w:r w:rsidR="00F76FAC">
        <w:t xml:space="preserve"> </w:t>
      </w:r>
      <w:r w:rsidRPr="00FC7F2F">
        <w:t>based haematology cli</w:t>
      </w:r>
      <w:r>
        <w:t xml:space="preserve">nics on the natural history and </w:t>
      </w:r>
      <w:r w:rsidRPr="00FC7F2F">
        <w:t xml:space="preserve">management of patients with MDS and other </w:t>
      </w:r>
      <w:proofErr w:type="spellStart"/>
      <w:r w:rsidRPr="00FC7F2F">
        <w:t>haematol</w:t>
      </w:r>
      <w:r>
        <w:t>ogic</w:t>
      </w:r>
      <w:proofErr w:type="spellEnd"/>
      <w:r>
        <w:t xml:space="preserve"> disorders, including acute </w:t>
      </w:r>
      <w:r w:rsidRPr="00FC7F2F">
        <w:t>myeloid leukaemia, who are treated with azacitidine. The ai</w:t>
      </w:r>
      <w:r>
        <w:t xml:space="preserve">m of the registry is to further </w:t>
      </w:r>
      <w:r w:rsidRPr="00FC7F2F">
        <w:t>the</w:t>
      </w:r>
      <w:r>
        <w:t xml:space="preserve"> </w:t>
      </w:r>
      <w:r w:rsidRPr="00FC7F2F">
        <w:t>understanding of current azacitidine treatment patterns in the community and to identify</w:t>
      </w:r>
      <w:r>
        <w:t xml:space="preserve"> </w:t>
      </w:r>
      <w:r w:rsidRPr="00FC7F2F">
        <w:t>common concomitant care procedures and concomitant treatments. The data was collected</w:t>
      </w:r>
      <w:r>
        <w:t xml:space="preserve"> </w:t>
      </w:r>
      <w:r w:rsidRPr="00FC7F2F">
        <w:t>between Oct 2006 and July 2010 at registry entry (baseline) and then quarterly using</w:t>
      </w:r>
      <w:r>
        <w:t xml:space="preserve"> </w:t>
      </w:r>
      <w:r w:rsidRPr="00FC7F2F">
        <w:t>electronic data capture. The IV route of administrati</w:t>
      </w:r>
      <w:r>
        <w:t xml:space="preserve">on was approved in the US on 26 </w:t>
      </w:r>
      <w:r w:rsidRPr="00FC7F2F">
        <w:t>January 2007; therefore, the data from AVIDA includes bo</w:t>
      </w:r>
      <w:r>
        <w:t xml:space="preserve">th IV and SC use of azacitidine </w:t>
      </w:r>
      <w:r w:rsidRPr="00FC7F2F">
        <w:t>in the US within the data collection period.</w:t>
      </w:r>
    </w:p>
    <w:p w:rsidR="00C76E68" w:rsidRPr="00C76E68" w:rsidRDefault="00C76E68" w:rsidP="00C76E68">
      <w:r w:rsidRPr="00C76E68">
        <w:t>The AVIDA data indicate that both SC and IV routes of administration are used almost</w:t>
      </w:r>
      <w:r>
        <w:t xml:space="preserve"> </w:t>
      </w:r>
      <w:r w:rsidRPr="00C76E68">
        <w:t>equally (1:1 ratio mostly and may even be slightly favoura</w:t>
      </w:r>
      <w:r>
        <w:t xml:space="preserve">ble towards IV infusion) in the </w:t>
      </w:r>
      <w:r w:rsidRPr="00C76E68">
        <w:t xml:space="preserve">community based treatment of MDS patients with </w:t>
      </w:r>
      <w:proofErr w:type="spellStart"/>
      <w:r w:rsidRPr="00C76E68">
        <w:t>Vidaza</w:t>
      </w:r>
      <w:proofErr w:type="spellEnd"/>
      <w:r w:rsidRPr="00C76E68">
        <w:t>.</w:t>
      </w:r>
    </w:p>
    <w:p w:rsidR="00C76E68" w:rsidRDefault="00C76E68" w:rsidP="00C76E68">
      <w:r w:rsidRPr="00C76E68">
        <w:t>Summaries of some of the published AVIDA data as ab</w:t>
      </w:r>
      <w:r>
        <w:t xml:space="preserve">stracts at various meetings are </w:t>
      </w:r>
      <w:r w:rsidRPr="00C76E68">
        <w:t>listed</w:t>
      </w:r>
      <w:r>
        <w:t xml:space="preserve"> </w:t>
      </w:r>
      <w:r w:rsidRPr="00C76E68">
        <w:t>below</w:t>
      </w:r>
      <w:r w:rsidR="0000502C">
        <w:t xml:space="preserve"> in Tables 5-7</w:t>
      </w:r>
      <w:r w:rsidRPr="00C76E68">
        <w:t>. A number of posters presented at such meetings are also listed</w:t>
      </w:r>
      <w:r w:rsidR="0000502C">
        <w:rPr>
          <w:rStyle w:val="FootnoteReference"/>
        </w:rPr>
        <w:footnoteReference w:id="10"/>
      </w:r>
      <w:r w:rsidRPr="00C76E68">
        <w:t xml:space="preserve"> and electronic copies</w:t>
      </w:r>
      <w:r>
        <w:t xml:space="preserve"> </w:t>
      </w:r>
      <w:r w:rsidR="00124EC7">
        <w:t>provided for reference.</w:t>
      </w:r>
    </w:p>
    <w:p w:rsidR="009461B2" w:rsidRPr="00851913" w:rsidRDefault="007B4D26" w:rsidP="009461B2">
      <w:pPr>
        <w:pStyle w:val="FigureTitle"/>
        <w:rPr>
          <w:lang w:val="en-GB"/>
        </w:rPr>
      </w:pPr>
      <w:r>
        <w:br w:type="page"/>
      </w:r>
      <w:r w:rsidR="009461B2" w:rsidRPr="00851913">
        <w:lastRenderedPageBreak/>
        <w:t xml:space="preserve">Table </w:t>
      </w:r>
      <w:r w:rsidR="00100CBC">
        <w:t>5</w:t>
      </w:r>
      <w:r w:rsidR="009461B2" w:rsidRPr="00851913">
        <w:t xml:space="preserve">: </w:t>
      </w:r>
      <w:r w:rsidR="00F83CBA" w:rsidRPr="00F83CBA">
        <w:t>Published AVIDA data</w:t>
      </w:r>
      <w:r w:rsidR="00F83CBA">
        <w:t>:</w:t>
      </w:r>
      <w:r w:rsidR="00F83CBA" w:rsidRPr="00F83CBA">
        <w:t xml:space="preserve"> </w:t>
      </w:r>
      <w:proofErr w:type="spellStart"/>
      <w:r w:rsidR="00F83CBA" w:rsidRPr="00F83CBA">
        <w:t>Sekeres</w:t>
      </w:r>
      <w:proofErr w:type="spellEnd"/>
      <w:r w:rsidR="00F83CBA" w:rsidRPr="00F83CBA">
        <w:t xml:space="preserve"> M</w:t>
      </w:r>
      <w:r w:rsidR="00A859D8">
        <w:t>A,</w:t>
      </w:r>
      <w:r w:rsidR="00F83CBA" w:rsidRPr="00F83CBA">
        <w:t xml:space="preserve"> et al, American Society of Haematology 51st Annual Meeting, December 2009</w:t>
      </w:r>
      <w:r w:rsidR="009461B2">
        <w:t>.</w:t>
      </w:r>
      <w:r w:rsidR="00F83CBA">
        <w:rPr>
          <w:rStyle w:val="FootnoteReference"/>
        </w:rPr>
        <w:footnoteReference w:id="11"/>
      </w:r>
    </w:p>
    <w:p w:rsidR="004E7C40" w:rsidRDefault="00AC7BD2" w:rsidP="009D0C68">
      <w:pPr>
        <w:jc w:val="center"/>
      </w:pPr>
      <w:r>
        <w:rPr>
          <w:noProof/>
          <w:lang w:eastAsia="en-AU"/>
        </w:rPr>
        <w:drawing>
          <wp:inline distT="0" distB="0" distL="0" distR="0">
            <wp:extent cx="4280535" cy="1957705"/>
            <wp:effectExtent l="19050" t="0" r="5715" b="0"/>
            <wp:docPr id="6" name="Picture 6" descr="Table 5: Published AVIDA data: Sekeres MA, et al, American Society of Haematology 51st Annual Meeting, Decembe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Published AVIDA data: Sekeres MA, et al, American Society of Haematology 51st Annual Meeting, December 2009."/>
                    <pic:cNvPicPr>
                      <a:picLocks noChangeAspect="1" noChangeArrowheads="1"/>
                    </pic:cNvPicPr>
                  </pic:nvPicPr>
                  <pic:blipFill>
                    <a:blip r:embed="rId21" cstate="print"/>
                    <a:srcRect/>
                    <a:stretch>
                      <a:fillRect/>
                    </a:stretch>
                  </pic:blipFill>
                  <pic:spPr bwMode="auto">
                    <a:xfrm>
                      <a:off x="0" y="0"/>
                      <a:ext cx="4280535" cy="1957705"/>
                    </a:xfrm>
                    <a:prstGeom prst="rect">
                      <a:avLst/>
                    </a:prstGeom>
                    <a:noFill/>
                    <a:ln w="9525">
                      <a:noFill/>
                      <a:miter lim="800000"/>
                      <a:headEnd/>
                      <a:tailEnd/>
                    </a:ln>
                  </pic:spPr>
                </pic:pic>
              </a:graphicData>
            </a:graphic>
          </wp:inline>
        </w:drawing>
      </w:r>
    </w:p>
    <w:p w:rsidR="009461B2" w:rsidRPr="00851913" w:rsidRDefault="009461B2" w:rsidP="009461B2">
      <w:pPr>
        <w:pStyle w:val="FigureTitle"/>
        <w:rPr>
          <w:lang w:val="en-GB"/>
        </w:rPr>
      </w:pPr>
      <w:r w:rsidRPr="00851913">
        <w:t xml:space="preserve">Table </w:t>
      </w:r>
      <w:r w:rsidR="00100CBC">
        <w:t>6</w:t>
      </w:r>
      <w:r w:rsidRPr="00851913">
        <w:t xml:space="preserve">: </w:t>
      </w:r>
      <w:r w:rsidR="00F83CBA" w:rsidRPr="00F83CBA">
        <w:t>Published AVIDA data</w:t>
      </w:r>
      <w:r w:rsidR="00F83CBA">
        <w:t>:</w:t>
      </w:r>
      <w:r w:rsidR="00F83CBA" w:rsidRPr="00F83CBA">
        <w:t xml:space="preserve"> </w:t>
      </w:r>
      <w:proofErr w:type="spellStart"/>
      <w:r w:rsidR="00A859D8">
        <w:t>Grinblatt</w:t>
      </w:r>
      <w:proofErr w:type="spellEnd"/>
      <w:r w:rsidR="00A859D8">
        <w:t xml:space="preserve"> D,</w:t>
      </w:r>
      <w:r w:rsidR="00F83CBA" w:rsidRPr="00100CBC">
        <w:t xml:space="preserve"> et al, European Haematology Association 14th Congress, June 2009</w:t>
      </w:r>
      <w:r>
        <w:t>.</w:t>
      </w:r>
      <w:r w:rsidR="00F83CBA">
        <w:rPr>
          <w:rStyle w:val="FootnoteReference"/>
        </w:rPr>
        <w:footnoteReference w:id="12"/>
      </w:r>
    </w:p>
    <w:p w:rsidR="009461B2" w:rsidRDefault="00AC7BD2" w:rsidP="009D0C68">
      <w:pPr>
        <w:jc w:val="center"/>
      </w:pPr>
      <w:r>
        <w:rPr>
          <w:noProof/>
          <w:lang w:eastAsia="en-AU"/>
        </w:rPr>
        <w:drawing>
          <wp:inline distT="0" distB="0" distL="0" distR="0">
            <wp:extent cx="4324985" cy="2513330"/>
            <wp:effectExtent l="19050" t="0" r="0" b="0"/>
            <wp:docPr id="7" name="Picture 7" descr="Table 6: Published AVIDA data: Grinblatt D, et al, European Haematology Association 14th Congress, Jun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6: Published AVIDA data: Grinblatt D, et al, European Haematology Association 14th Congress, June 2009."/>
                    <pic:cNvPicPr>
                      <a:picLocks noChangeAspect="1" noChangeArrowheads="1"/>
                    </pic:cNvPicPr>
                  </pic:nvPicPr>
                  <pic:blipFill>
                    <a:blip r:embed="rId22" cstate="print"/>
                    <a:srcRect/>
                    <a:stretch>
                      <a:fillRect/>
                    </a:stretch>
                  </pic:blipFill>
                  <pic:spPr bwMode="auto">
                    <a:xfrm>
                      <a:off x="0" y="0"/>
                      <a:ext cx="4324985" cy="2513330"/>
                    </a:xfrm>
                    <a:prstGeom prst="rect">
                      <a:avLst/>
                    </a:prstGeom>
                    <a:noFill/>
                    <a:ln w="9525">
                      <a:noFill/>
                      <a:miter lim="800000"/>
                      <a:headEnd/>
                      <a:tailEnd/>
                    </a:ln>
                  </pic:spPr>
                </pic:pic>
              </a:graphicData>
            </a:graphic>
          </wp:inline>
        </w:drawing>
      </w:r>
    </w:p>
    <w:p w:rsidR="009461B2" w:rsidRPr="00851913" w:rsidRDefault="007B4D26" w:rsidP="00E72D48">
      <w:pPr>
        <w:pStyle w:val="FigureTitle"/>
        <w:rPr>
          <w:lang w:val="en-GB"/>
        </w:rPr>
      </w:pPr>
      <w:r>
        <w:br w:type="page"/>
      </w:r>
      <w:r w:rsidR="009461B2" w:rsidRPr="00851913">
        <w:lastRenderedPageBreak/>
        <w:t xml:space="preserve">Table </w:t>
      </w:r>
      <w:r w:rsidR="00100CBC">
        <w:t>7</w:t>
      </w:r>
      <w:r w:rsidR="009461B2" w:rsidRPr="00851913">
        <w:t xml:space="preserve">: </w:t>
      </w:r>
      <w:r w:rsidR="00F83CBA" w:rsidRPr="00F83CBA">
        <w:t>Published AVIDA data</w:t>
      </w:r>
      <w:r w:rsidR="00F83CBA">
        <w:t>:</w:t>
      </w:r>
      <w:r w:rsidR="00F83CBA" w:rsidRPr="00F83CBA">
        <w:t xml:space="preserve"> </w:t>
      </w:r>
      <w:proofErr w:type="spellStart"/>
      <w:r w:rsidR="00A859D8">
        <w:t>Grinblatt</w:t>
      </w:r>
      <w:proofErr w:type="spellEnd"/>
      <w:r w:rsidR="00A859D8">
        <w:t xml:space="preserve"> D,</w:t>
      </w:r>
      <w:r w:rsidR="00F83CBA" w:rsidRPr="00E72D48">
        <w:t xml:space="preserve"> et al, 13th Annual International Congress of Hematologic Malignancies</w:t>
      </w:r>
      <w:r w:rsidR="009461B2">
        <w:t>.</w:t>
      </w:r>
      <w:r w:rsidR="00F83CBA">
        <w:rPr>
          <w:rStyle w:val="FootnoteReference"/>
        </w:rPr>
        <w:footnoteReference w:id="13"/>
      </w:r>
    </w:p>
    <w:p w:rsidR="009D0C68" w:rsidRDefault="00AC7BD2" w:rsidP="009D0C68">
      <w:pPr>
        <w:pStyle w:val="Heading5"/>
        <w:jc w:val="center"/>
      </w:pPr>
      <w:r>
        <w:rPr>
          <w:noProof/>
          <w:lang w:eastAsia="en-AU"/>
        </w:rPr>
        <w:drawing>
          <wp:inline distT="0" distB="0" distL="0" distR="0">
            <wp:extent cx="4302760" cy="1929765"/>
            <wp:effectExtent l="19050" t="0" r="2540" b="0"/>
            <wp:docPr id="8" name="Picture 8" descr="Table 7: Published AVIDA data: Grinblatt D, et al, 13th Annual International Congress of Hematologic Malign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7: Published AVIDA data: Grinblatt D, et al, 13th Annual International Congress of Hematologic Malignancies."/>
                    <pic:cNvPicPr>
                      <a:picLocks noChangeAspect="1" noChangeArrowheads="1"/>
                    </pic:cNvPicPr>
                  </pic:nvPicPr>
                  <pic:blipFill>
                    <a:blip r:embed="rId23" cstate="print"/>
                    <a:srcRect/>
                    <a:stretch>
                      <a:fillRect/>
                    </a:stretch>
                  </pic:blipFill>
                  <pic:spPr bwMode="auto">
                    <a:xfrm>
                      <a:off x="0" y="0"/>
                      <a:ext cx="4302760" cy="1929765"/>
                    </a:xfrm>
                    <a:prstGeom prst="rect">
                      <a:avLst/>
                    </a:prstGeom>
                    <a:noFill/>
                    <a:ln w="9525">
                      <a:noFill/>
                      <a:miter lim="800000"/>
                      <a:headEnd/>
                      <a:tailEnd/>
                    </a:ln>
                  </pic:spPr>
                </pic:pic>
              </a:graphicData>
            </a:graphic>
          </wp:inline>
        </w:drawing>
      </w:r>
    </w:p>
    <w:p w:rsidR="005D6828" w:rsidRPr="005D6828" w:rsidRDefault="005D6828" w:rsidP="005D6828">
      <w:pPr>
        <w:pStyle w:val="Heading5"/>
      </w:pPr>
      <w:proofErr w:type="spellStart"/>
      <w:r w:rsidRPr="005D6828">
        <w:t>Vidaza</w:t>
      </w:r>
      <w:proofErr w:type="spellEnd"/>
      <w:r w:rsidRPr="005D6828">
        <w:t xml:space="preserve"> MDS Patient History Q3 2007 – Q4 2012 for </w:t>
      </w:r>
      <w:proofErr w:type="spellStart"/>
      <w:r w:rsidRPr="005D6828">
        <w:t>Celgene</w:t>
      </w:r>
      <w:proofErr w:type="spellEnd"/>
    </w:p>
    <w:p w:rsidR="005D6828" w:rsidRPr="005D6828" w:rsidRDefault="005D6828" w:rsidP="005D6828">
      <w:r w:rsidRPr="005D6828">
        <w:t>Post marketing surveillance data collected from the US ma</w:t>
      </w:r>
      <w:r>
        <w:t xml:space="preserve">rket, indicates that on average </w:t>
      </w:r>
      <w:r w:rsidRPr="005D6828">
        <w:t xml:space="preserve">60-70% of the patients were treated with </w:t>
      </w:r>
      <w:proofErr w:type="spellStart"/>
      <w:r w:rsidRPr="005D6828">
        <w:t>Vidaza</w:t>
      </w:r>
      <w:proofErr w:type="spellEnd"/>
      <w:r w:rsidRPr="005D6828">
        <w:t xml:space="preserve"> via IV infusion, based o</w:t>
      </w:r>
      <w:r>
        <w:t xml:space="preserve">n the number of </w:t>
      </w:r>
      <w:r w:rsidRPr="005D6828">
        <w:t xml:space="preserve">patient visits resulting in treatment with </w:t>
      </w:r>
      <w:proofErr w:type="spellStart"/>
      <w:r w:rsidRPr="005D6828">
        <w:t>Vidaza</w:t>
      </w:r>
      <w:proofErr w:type="spellEnd"/>
      <w:r w:rsidRPr="005D6828">
        <w:t>, from</w:t>
      </w:r>
      <w:r>
        <w:t xml:space="preserve"> quarter Q3 2007 to Q4 2012. As </w:t>
      </w:r>
      <w:r w:rsidRPr="005D6828">
        <w:t xml:space="preserve">adverse events from the two routes of administration </w:t>
      </w:r>
      <w:r>
        <w:t xml:space="preserve">are reported voluntarily from a </w:t>
      </w:r>
      <w:r w:rsidRPr="005D6828">
        <w:t>population of uncertain size, it is not possible to reliably estimat</w:t>
      </w:r>
      <w:r>
        <w:t xml:space="preserve">e and assign the frequency </w:t>
      </w:r>
      <w:r w:rsidRPr="005D6828">
        <w:t>of these to a specific route of administration. However, ba</w:t>
      </w:r>
      <w:r w:rsidR="00F76FAC">
        <w:t xml:space="preserve">sed on extensive post </w:t>
      </w:r>
      <w:r>
        <w:t xml:space="preserve">marketing </w:t>
      </w:r>
      <w:r w:rsidRPr="005D6828">
        <w:t>surveillance, no trends have been noted to suggest</w:t>
      </w:r>
      <w:r>
        <w:t xml:space="preserve"> an emerging safety signal or a </w:t>
      </w:r>
      <w:r w:rsidRPr="005D6828">
        <w:t>significant</w:t>
      </w:r>
      <w:r>
        <w:t xml:space="preserve"> </w:t>
      </w:r>
      <w:r w:rsidRPr="005D6828">
        <w:t>difference in the safety profile associated with IV route of administration of azacitidine</w:t>
      </w:r>
      <w:r>
        <w:t xml:space="preserve"> </w:t>
      </w:r>
      <w:r w:rsidRPr="005D6828">
        <w:t>compared to SC use. The occurrence of infusion/catheter site reactions with the IV</w:t>
      </w:r>
      <w:r>
        <w:t xml:space="preserve"> </w:t>
      </w:r>
      <w:r w:rsidRPr="005D6828">
        <w:t>administration does not represent a significant change in the safety profile between both</w:t>
      </w:r>
      <w:r>
        <w:t xml:space="preserve"> </w:t>
      </w:r>
      <w:r w:rsidRPr="005D6828">
        <w:t>routes of administrations, SC and IV.</w:t>
      </w:r>
    </w:p>
    <w:p w:rsidR="005D6828" w:rsidRPr="005D6828" w:rsidRDefault="005D6828" w:rsidP="005D6828">
      <w:pPr>
        <w:pStyle w:val="Heading5"/>
      </w:pPr>
      <w:r w:rsidRPr="005D6828">
        <w:t>Summary</w:t>
      </w:r>
    </w:p>
    <w:p w:rsidR="005D6828" w:rsidRPr="005D6828" w:rsidRDefault="005D6828" w:rsidP="005D6828">
      <w:r>
        <w:t xml:space="preserve">The sponsor </w:t>
      </w:r>
      <w:r w:rsidRPr="005D6828">
        <w:t>believes that there is an unmet clinical need for the IV route, as an alternative route</w:t>
      </w:r>
      <w:r>
        <w:t xml:space="preserve"> </w:t>
      </w:r>
      <w:r w:rsidRPr="005D6828">
        <w:t xml:space="preserve">of administration to the currently approved SC route, for </w:t>
      </w:r>
      <w:proofErr w:type="spellStart"/>
      <w:r w:rsidRPr="005D6828">
        <w:t>Vidaza</w:t>
      </w:r>
      <w:proofErr w:type="spellEnd"/>
      <w:r w:rsidRPr="005D6828">
        <w:t xml:space="preserve"> in Australia. </w:t>
      </w:r>
      <w:r w:rsidR="00F76FAC">
        <w:t>The sponsor</w:t>
      </w:r>
      <w:r w:rsidRPr="005D6828">
        <w:t xml:space="preserve"> also</w:t>
      </w:r>
      <w:r>
        <w:t xml:space="preserve"> </w:t>
      </w:r>
      <w:r w:rsidR="00F76FAC">
        <w:t>believes</w:t>
      </w:r>
      <w:r w:rsidRPr="005D6828">
        <w:t xml:space="preserve"> the data from the sources below provides suffici</w:t>
      </w:r>
      <w:r>
        <w:t xml:space="preserve">ent support for registration of </w:t>
      </w:r>
      <w:r w:rsidRPr="005D6828">
        <w:t>the IV route in Australia.</w:t>
      </w:r>
    </w:p>
    <w:p w:rsidR="005D6828" w:rsidRPr="005D6828" w:rsidRDefault="005D6828" w:rsidP="005D6828">
      <w:r w:rsidRPr="005D6828">
        <w:t>The comparable efficacy and safety profile of azacitidine via SC and IV routes of</w:t>
      </w:r>
      <w:r>
        <w:t xml:space="preserve"> </w:t>
      </w:r>
      <w:r w:rsidRPr="005D6828">
        <w:t>administration are demonstrated in:</w:t>
      </w:r>
    </w:p>
    <w:p w:rsidR="005D6828" w:rsidRPr="005D6828" w:rsidRDefault="005D6828" w:rsidP="00F76FAC">
      <w:pPr>
        <w:pStyle w:val="Heading6"/>
      </w:pPr>
      <w:r w:rsidRPr="005D6828">
        <w:t xml:space="preserve">1. </w:t>
      </w:r>
      <w:proofErr w:type="spellStart"/>
      <w:r w:rsidRPr="005D6828">
        <w:t>Celgene</w:t>
      </w:r>
      <w:proofErr w:type="spellEnd"/>
      <w:r w:rsidRPr="005D6828">
        <w:t xml:space="preserve"> studies</w:t>
      </w:r>
    </w:p>
    <w:p w:rsidR="005D6828" w:rsidRPr="005D6828" w:rsidRDefault="005D6828" w:rsidP="005D6828">
      <w:pPr>
        <w:pStyle w:val="ListBullet"/>
      </w:pPr>
      <w:r w:rsidRPr="005D6828">
        <w:t xml:space="preserve">The data from the original AZA-2002-BA-002 and the </w:t>
      </w:r>
      <w:proofErr w:type="spellStart"/>
      <w:r w:rsidRPr="005D6828">
        <w:t>modeling</w:t>
      </w:r>
      <w:proofErr w:type="spellEnd"/>
      <w:r w:rsidRPr="005D6828">
        <w:t xml:space="preserve"> data provide</w:t>
      </w:r>
      <w:r>
        <w:t xml:space="preserve"> </w:t>
      </w:r>
      <w:r w:rsidRPr="005D6828">
        <w:t>evidence of similar overall drug exposur</w:t>
      </w:r>
      <w:r>
        <w:t xml:space="preserve">e to azacitidine between the SC </w:t>
      </w:r>
      <w:r w:rsidRPr="005D6828">
        <w:t xml:space="preserve">administration at 75mg/m2 and IV infusion administered over 10-40 </w:t>
      </w:r>
      <w:r w:rsidR="007C0CF3">
        <w:t>min</w:t>
      </w:r>
      <w:r w:rsidRPr="005D6828">
        <w:t>.</w:t>
      </w:r>
    </w:p>
    <w:p w:rsidR="005D6828" w:rsidRPr="005D6828" w:rsidRDefault="005D6828" w:rsidP="005D6828">
      <w:pPr>
        <w:pStyle w:val="ListBullet"/>
      </w:pPr>
      <w:r w:rsidRPr="005D6828">
        <w:t>CALGB 8421 study demonstrates that adverse reactions were qualitatively similar</w:t>
      </w:r>
      <w:r>
        <w:t xml:space="preserve"> </w:t>
      </w:r>
      <w:r w:rsidRPr="005D6828">
        <w:t>between the IV and SC studies.</w:t>
      </w:r>
    </w:p>
    <w:p w:rsidR="005D6828" w:rsidRPr="005D6828" w:rsidRDefault="005D6828" w:rsidP="00F76FAC">
      <w:pPr>
        <w:pStyle w:val="Heading6"/>
      </w:pPr>
      <w:r w:rsidRPr="005D6828">
        <w:t>2. Published prospective controlled stud</w:t>
      </w:r>
      <w:r w:rsidR="00F76FAC">
        <w:t>y by Uchida and colleagues</w:t>
      </w:r>
    </w:p>
    <w:p w:rsidR="009461B2" w:rsidRDefault="005D6828" w:rsidP="005D6828">
      <w:r w:rsidRPr="005D6828">
        <w:t xml:space="preserve">The IV route of administration with comparable PK, </w:t>
      </w:r>
      <w:r>
        <w:t xml:space="preserve">efficacy and safety profile has </w:t>
      </w:r>
      <w:r w:rsidRPr="005D6828">
        <w:t>provided an alternative route of administration for physic</w:t>
      </w:r>
      <w:r>
        <w:t xml:space="preserve">ians to better manage treatment </w:t>
      </w:r>
      <w:r w:rsidRPr="005D6828">
        <w:t>depending on patient condition with options that would e</w:t>
      </w:r>
      <w:r>
        <w:t xml:space="preserve">nable continuing treatment with </w:t>
      </w:r>
      <w:r w:rsidRPr="005D6828">
        <w:t>azacitidine.</w:t>
      </w:r>
    </w:p>
    <w:p w:rsidR="005D6828" w:rsidRPr="005D6828" w:rsidRDefault="005D6828" w:rsidP="00F76FAC">
      <w:pPr>
        <w:pStyle w:val="Heading6"/>
      </w:pPr>
      <w:r w:rsidRPr="005D6828">
        <w:lastRenderedPageBreak/>
        <w:t>3. Data from the AVIDA Patients Registry</w:t>
      </w:r>
    </w:p>
    <w:p w:rsidR="005D6828" w:rsidRPr="005D6828" w:rsidRDefault="005D6828" w:rsidP="005D6828">
      <w:r w:rsidRPr="005D6828">
        <w:t>The AVIDA data indicate that both SC and IV routes of</w:t>
      </w:r>
      <w:r>
        <w:t xml:space="preserve"> administration are used almost </w:t>
      </w:r>
      <w:r w:rsidRPr="005D6828">
        <w:t>equally (1:1 ratio mostly and may even be slightly fav</w:t>
      </w:r>
      <w:r>
        <w:t xml:space="preserve">ourable towards IV infusion) in </w:t>
      </w:r>
      <w:r w:rsidRPr="005D6828">
        <w:t xml:space="preserve">the community based treatment of MDS patients with </w:t>
      </w:r>
      <w:proofErr w:type="spellStart"/>
      <w:r w:rsidRPr="005D6828">
        <w:t>Vidaza</w:t>
      </w:r>
      <w:proofErr w:type="spellEnd"/>
      <w:r w:rsidRPr="005D6828">
        <w:t xml:space="preserve">. </w:t>
      </w:r>
      <w:proofErr w:type="spellStart"/>
      <w:r w:rsidRPr="005D6828">
        <w:t>Vidaza</w:t>
      </w:r>
      <w:proofErr w:type="spellEnd"/>
      <w:r w:rsidRPr="005D6828">
        <w:t xml:space="preserve"> was generally</w:t>
      </w:r>
      <w:r>
        <w:t xml:space="preserve"> </w:t>
      </w:r>
      <w:r w:rsidRPr="005D6828">
        <w:t>well tolerated with no unexpected toxicities.</w:t>
      </w:r>
    </w:p>
    <w:p w:rsidR="005D6828" w:rsidRPr="005D6828" w:rsidRDefault="005D6828" w:rsidP="00F76FAC">
      <w:pPr>
        <w:pStyle w:val="Heading6"/>
      </w:pPr>
      <w:r w:rsidRPr="005D6828">
        <w:t xml:space="preserve">4. </w:t>
      </w:r>
      <w:proofErr w:type="spellStart"/>
      <w:r w:rsidRPr="005D6828">
        <w:t>Celgene’s</w:t>
      </w:r>
      <w:proofErr w:type="spellEnd"/>
      <w:r w:rsidRPr="005D6828">
        <w:t xml:space="preserve"> </w:t>
      </w:r>
      <w:proofErr w:type="spellStart"/>
      <w:r w:rsidRPr="005D6828">
        <w:t>Vidaza</w:t>
      </w:r>
      <w:proofErr w:type="spellEnd"/>
      <w:r w:rsidRPr="005D6828">
        <w:t xml:space="preserve"> MDS Patient History</w:t>
      </w:r>
    </w:p>
    <w:p w:rsidR="005D6828" w:rsidRPr="005D6828" w:rsidRDefault="005D6828" w:rsidP="005D6828">
      <w:r w:rsidRPr="005D6828">
        <w:t>This data indicates that on average 60-70% of the patien</w:t>
      </w:r>
      <w:r>
        <w:t xml:space="preserve">ts were treated with </w:t>
      </w:r>
      <w:proofErr w:type="spellStart"/>
      <w:r>
        <w:t>Vidaza</w:t>
      </w:r>
      <w:proofErr w:type="spellEnd"/>
      <w:r>
        <w:t xml:space="preserve"> via </w:t>
      </w:r>
      <w:r w:rsidRPr="005D6828">
        <w:t>IV infusion in the US during the period Q3 2007 to</w:t>
      </w:r>
      <w:r>
        <w:t xml:space="preserve"> Q4 2012. In addition, based on </w:t>
      </w:r>
      <w:r w:rsidRPr="005D6828">
        <w:t>post</w:t>
      </w:r>
      <w:r>
        <w:t xml:space="preserve"> </w:t>
      </w:r>
      <w:r w:rsidRPr="005D6828">
        <w:t>marketing</w:t>
      </w:r>
      <w:r>
        <w:t xml:space="preserve"> </w:t>
      </w:r>
      <w:r w:rsidRPr="005D6828">
        <w:t>surveillance, no trends have been noted to suggest an emerging safety signal</w:t>
      </w:r>
      <w:r>
        <w:t xml:space="preserve"> </w:t>
      </w:r>
      <w:r w:rsidRPr="005D6828">
        <w:t>or a significant difference in the safety profile associated with IV route of administration</w:t>
      </w:r>
      <w:r>
        <w:t xml:space="preserve"> </w:t>
      </w:r>
      <w:r w:rsidRPr="005D6828">
        <w:t>of azacitidine compared to SC use.</w:t>
      </w:r>
    </w:p>
    <w:p w:rsidR="008E7846" w:rsidRDefault="008E7846" w:rsidP="008E7846">
      <w:pPr>
        <w:pStyle w:val="Heading4"/>
      </w:pPr>
      <w:r>
        <w:t>Advisory Committee Considerations</w:t>
      </w:r>
    </w:p>
    <w:p w:rsidR="00CC560F" w:rsidRDefault="0056129F" w:rsidP="008E7846">
      <w:pPr>
        <w:rPr>
          <w:bCs/>
        </w:rPr>
      </w:pPr>
      <w:r>
        <w:rPr>
          <w:bCs/>
        </w:rPr>
        <w:t xml:space="preserve">The </w:t>
      </w:r>
      <w:r w:rsidR="008E7846" w:rsidRPr="001C5DFC">
        <w:rPr>
          <w:bCs/>
        </w:rPr>
        <w:t>AC</w:t>
      </w:r>
      <w:r>
        <w:rPr>
          <w:bCs/>
        </w:rPr>
        <w:t>PM</w:t>
      </w:r>
      <w:r w:rsidR="008E7846">
        <w:rPr>
          <w:bCs/>
        </w:rPr>
        <w:t xml:space="preserve">, </w:t>
      </w:r>
      <w:r w:rsidR="00CC560F">
        <w:rPr>
          <w:bCs/>
        </w:rPr>
        <w:t>taking into account the submitted evidence of efficacy and safety, agreed with the Delegate and considered this product to have an overall positive benefit-risk profile for IV use of the registered product for the current indication.</w:t>
      </w:r>
    </w:p>
    <w:p w:rsidR="00CC560F" w:rsidRDefault="00CC560F" w:rsidP="008E7846">
      <w:pPr>
        <w:rPr>
          <w:bCs/>
        </w:rPr>
      </w:pPr>
      <w:r>
        <w:rPr>
          <w:bCs/>
        </w:rPr>
        <w:t>The ACPM advised that although a reasonable case has been made for an IV option, the data package is deficient. However, there is considerable post marketing experience with the IV route of administration in other jurisdictions and no concerns appear to have emerged regarding efficacy or safety with this route of administration.</w:t>
      </w:r>
    </w:p>
    <w:p w:rsidR="00CC560F" w:rsidRDefault="00CC560F" w:rsidP="00F200A8">
      <w:pPr>
        <w:pStyle w:val="Heading5"/>
      </w:pPr>
      <w:r>
        <w:t>Proposed PI/CMI amendments:</w:t>
      </w:r>
    </w:p>
    <w:p w:rsidR="00CC560F" w:rsidRDefault="00CC560F" w:rsidP="008E7846">
      <w:pPr>
        <w:rPr>
          <w:bCs/>
        </w:rPr>
      </w:pPr>
      <w:r>
        <w:rPr>
          <w:bCs/>
        </w:rPr>
        <w:t>The ACPM agreed with the Delegate to the proposed amendments to the Product Information (PI) and Consumer Medicine Information (CMI). The ACPM specifically advised on inclusion of the following:</w:t>
      </w:r>
    </w:p>
    <w:p w:rsidR="00CC560F" w:rsidRDefault="00CC560F" w:rsidP="00F200A8">
      <w:pPr>
        <w:pStyle w:val="ListBullet"/>
      </w:pPr>
      <w:r>
        <w:t>Reference should be made in the ‘Clinical Trials and Precautions’ sections on the lack of data on use in patients with renal insufficiency.</w:t>
      </w:r>
    </w:p>
    <w:p w:rsidR="00CC560F" w:rsidRDefault="00CC560F" w:rsidP="00F200A8">
      <w:pPr>
        <w:pStyle w:val="ListBullet"/>
      </w:pPr>
      <w:r>
        <w:t>CMI: The list of adverse effects in the CMI should be reformatted to conform to the Medicines Australia categorisation, that is, in terms of seriousness of the effects.</w:t>
      </w:r>
    </w:p>
    <w:p w:rsidR="00CC560F" w:rsidRDefault="00CC560F" w:rsidP="008E7846">
      <w:pPr>
        <w:rPr>
          <w:bCs/>
        </w:rPr>
      </w:pPr>
      <w:r>
        <w:rPr>
          <w:bCs/>
        </w:rPr>
        <w:t>The ACPM advised that the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155" w:name="_Toc247691532"/>
      <w:bookmarkStart w:id="156" w:name="_Toc314842516"/>
      <w:bookmarkStart w:id="157" w:name="_Toc364416414"/>
      <w:bookmarkEnd w:id="103"/>
      <w:bookmarkEnd w:id="153"/>
      <w:bookmarkEnd w:id="154"/>
      <w:r>
        <w:t>Outcome</w:t>
      </w:r>
      <w:bookmarkEnd w:id="155"/>
      <w:bookmarkEnd w:id="156"/>
      <w:bookmarkEnd w:id="157"/>
    </w:p>
    <w:p w:rsidR="00EF3D08" w:rsidRPr="009705A8" w:rsidRDefault="00EF3D08" w:rsidP="009705A8">
      <w:r w:rsidRPr="009705A8">
        <w:t xml:space="preserve">Based on a review of quality, safety and efficacy, TGA approved the registration of </w:t>
      </w:r>
      <w:proofErr w:type="spellStart"/>
      <w:r w:rsidRPr="009705A8">
        <w:t>Vidaza</w:t>
      </w:r>
      <w:proofErr w:type="spellEnd"/>
      <w:r w:rsidRPr="009705A8">
        <w:t xml:space="preserve"> powder for suspension for injection containing 100mg azacitidine for the </w:t>
      </w:r>
      <w:r w:rsidRPr="009705A8">
        <w:rPr>
          <w:b/>
        </w:rPr>
        <w:t>new route of administration of intravenous (IV) infusion</w:t>
      </w:r>
      <w:r w:rsidRPr="009705A8">
        <w:t>.</w:t>
      </w:r>
    </w:p>
    <w:p w:rsidR="00EF3D08" w:rsidRDefault="00EF3D08" w:rsidP="00EF3D08">
      <w:r w:rsidRPr="00AE55FC">
        <w:t xml:space="preserve">The full indications </w:t>
      </w:r>
      <w:r w:rsidR="00230B48">
        <w:t>remain as follows</w:t>
      </w:r>
      <w:r w:rsidRPr="00AE55FC">
        <w:t>:</w:t>
      </w:r>
    </w:p>
    <w:p w:rsidR="00E15BCA" w:rsidRPr="00E15BCA" w:rsidRDefault="00E15BCA" w:rsidP="00E15BCA">
      <w:pPr>
        <w:ind w:left="720"/>
        <w:rPr>
          <w:i/>
        </w:rPr>
      </w:pPr>
      <w:proofErr w:type="spellStart"/>
      <w:r w:rsidRPr="00E15BCA">
        <w:rPr>
          <w:i/>
        </w:rPr>
        <w:t>Vidaza</w:t>
      </w:r>
      <w:proofErr w:type="spellEnd"/>
      <w:r w:rsidRPr="00E15BCA">
        <w:rPr>
          <w:i/>
        </w:rPr>
        <w:t xml:space="preserve"> is indicated for the treatment of patients with:</w:t>
      </w:r>
    </w:p>
    <w:p w:rsidR="00E15BCA" w:rsidRPr="00E15BCA" w:rsidRDefault="00E15BCA" w:rsidP="00E15BCA">
      <w:pPr>
        <w:pStyle w:val="ListBullet3"/>
        <w:rPr>
          <w:i/>
        </w:rPr>
      </w:pPr>
      <w:r w:rsidRPr="00E15BCA">
        <w:rPr>
          <w:i/>
        </w:rPr>
        <w:t xml:space="preserve">Intermediate-2 and High-risk </w:t>
      </w:r>
      <w:proofErr w:type="spellStart"/>
      <w:r w:rsidRPr="00E15BCA">
        <w:rPr>
          <w:i/>
        </w:rPr>
        <w:t>Myelodysplastic</w:t>
      </w:r>
      <w:proofErr w:type="spellEnd"/>
      <w:r w:rsidRPr="00E15BCA">
        <w:rPr>
          <w:i/>
        </w:rPr>
        <w:t xml:space="preserve"> Syndromes (MDS) according to the International Prognostic Scoring System (IPSS),</w:t>
      </w:r>
    </w:p>
    <w:p w:rsidR="00E15BCA" w:rsidRPr="00E15BCA" w:rsidRDefault="00E15BCA" w:rsidP="00E15BCA">
      <w:pPr>
        <w:pStyle w:val="ListBullet3"/>
        <w:rPr>
          <w:i/>
        </w:rPr>
      </w:pPr>
      <w:r w:rsidRPr="00E15BCA">
        <w:rPr>
          <w:i/>
        </w:rPr>
        <w:t xml:space="preserve">Chronic </w:t>
      </w:r>
      <w:proofErr w:type="spellStart"/>
      <w:r w:rsidRPr="00E15BCA">
        <w:rPr>
          <w:i/>
        </w:rPr>
        <w:t>Myelomonocytic</w:t>
      </w:r>
      <w:proofErr w:type="spellEnd"/>
      <w:r w:rsidRPr="00E15BCA">
        <w:rPr>
          <w:i/>
        </w:rPr>
        <w:t xml:space="preserve"> </w:t>
      </w:r>
      <w:proofErr w:type="spellStart"/>
      <w:r w:rsidRPr="00E15BCA">
        <w:rPr>
          <w:i/>
        </w:rPr>
        <w:t>Leukemia</w:t>
      </w:r>
      <w:proofErr w:type="spellEnd"/>
      <w:r w:rsidRPr="00E15BCA">
        <w:rPr>
          <w:i/>
        </w:rPr>
        <w:t xml:space="preserve"> (</w:t>
      </w:r>
      <w:proofErr w:type="spellStart"/>
      <w:r w:rsidRPr="00E15BCA">
        <w:rPr>
          <w:i/>
        </w:rPr>
        <w:t>CMMoL</w:t>
      </w:r>
      <w:proofErr w:type="spellEnd"/>
      <w:r w:rsidRPr="00E15BCA">
        <w:rPr>
          <w:i/>
        </w:rPr>
        <w:t xml:space="preserve"> (10%-29% marrow blasts without </w:t>
      </w:r>
      <w:proofErr w:type="spellStart"/>
      <w:r w:rsidRPr="00E15BCA">
        <w:rPr>
          <w:i/>
        </w:rPr>
        <w:t>Myeloproliferative</w:t>
      </w:r>
      <w:proofErr w:type="spellEnd"/>
      <w:r w:rsidRPr="00E15BCA">
        <w:rPr>
          <w:i/>
        </w:rPr>
        <w:t xml:space="preserve"> Disorder)), </w:t>
      </w:r>
    </w:p>
    <w:p w:rsidR="00E15BCA" w:rsidRPr="00E15BCA" w:rsidRDefault="00E15BCA" w:rsidP="00E15BCA">
      <w:pPr>
        <w:pStyle w:val="ListBullet3"/>
        <w:rPr>
          <w:i/>
        </w:rPr>
      </w:pPr>
      <w:r w:rsidRPr="00E15BCA">
        <w:rPr>
          <w:i/>
        </w:rPr>
        <w:t xml:space="preserve">Acute Myeloid </w:t>
      </w:r>
      <w:proofErr w:type="spellStart"/>
      <w:r w:rsidRPr="00E15BCA">
        <w:rPr>
          <w:i/>
        </w:rPr>
        <w:t>Leukemia</w:t>
      </w:r>
      <w:proofErr w:type="spellEnd"/>
      <w:r w:rsidRPr="00E15BCA">
        <w:rPr>
          <w:i/>
        </w:rPr>
        <w:t xml:space="preserve"> (AML) with 20-30% blasts and multi-lineage dysplasia, according to World Health Organisation Classification (WHO), </w:t>
      </w:r>
    </w:p>
    <w:p w:rsidR="00E15BCA" w:rsidRPr="00E15BCA" w:rsidRDefault="00E15BCA" w:rsidP="00E15BCA">
      <w:pPr>
        <w:ind w:left="720"/>
        <w:rPr>
          <w:i/>
        </w:rPr>
      </w:pPr>
      <w:r w:rsidRPr="00E15BCA">
        <w:rPr>
          <w:i/>
        </w:rPr>
        <w:t xml:space="preserve"> in whom </w:t>
      </w:r>
      <w:proofErr w:type="spellStart"/>
      <w:r w:rsidRPr="00E15BCA">
        <w:rPr>
          <w:i/>
        </w:rPr>
        <w:t>allogenic</w:t>
      </w:r>
      <w:proofErr w:type="spellEnd"/>
      <w:r w:rsidRPr="00E15BCA">
        <w:rPr>
          <w:i/>
        </w:rPr>
        <w:t xml:space="preserve"> stem cell transplantation is not indicated.</w:t>
      </w:r>
    </w:p>
    <w:p w:rsidR="00184635" w:rsidRDefault="00184635" w:rsidP="00EF3D08"/>
    <w:p w:rsidR="00EF3D08" w:rsidRPr="0090249C" w:rsidRDefault="00EF3D08" w:rsidP="00184635">
      <w:pPr>
        <w:pStyle w:val="Heading5"/>
      </w:pPr>
      <w:r w:rsidRPr="0090249C">
        <w:t>Specific conditions of registration applying to these therapeutic goods:</w:t>
      </w:r>
    </w:p>
    <w:p w:rsidR="00E15BCA" w:rsidRPr="00A02116" w:rsidRDefault="00E15BCA" w:rsidP="00A02116">
      <w:pPr>
        <w:pStyle w:val="Numberbullet0"/>
      </w:pPr>
      <w:r w:rsidRPr="00A02116">
        <w:t xml:space="preserve">The </w:t>
      </w:r>
      <w:proofErr w:type="spellStart"/>
      <w:r w:rsidRPr="00A02116">
        <w:t>Vidaza</w:t>
      </w:r>
      <w:proofErr w:type="spellEnd"/>
      <w:r w:rsidRPr="00A02116">
        <w:t xml:space="preserve"> </w:t>
      </w:r>
      <w:r w:rsidR="00BE773E">
        <w:t>RMP</w:t>
      </w:r>
      <w:r w:rsidR="00A02116">
        <w:t xml:space="preserve">, version </w:t>
      </w:r>
      <w:r w:rsidRPr="00A02116">
        <w:t>7.1, dated 25 January 2012, included with submission PM-2012-00341-3-4, and any subsequent revisions, as agreed with the TGA and its Office of Product Review will be implemented in Australia.</w:t>
      </w:r>
      <w:r w:rsidR="005179E7">
        <w:t xml:space="preserve"> </w:t>
      </w:r>
      <w:r w:rsidRPr="00A02116">
        <w:t xml:space="preserve">An obligatory component of </w:t>
      </w:r>
      <w:r w:rsidR="00BE773E">
        <w:t>RMPs</w:t>
      </w:r>
      <w:r w:rsidRPr="00A02116">
        <w:t xml:space="preserve"> is Routine Pharmacovigilance.</w:t>
      </w:r>
      <w:r w:rsidR="005179E7">
        <w:t xml:space="preserve"> </w:t>
      </w:r>
      <w:r w:rsidRPr="00A02116">
        <w:t xml:space="preserve">Routine Pharmacovigilance includes the submission of </w:t>
      </w:r>
      <w:r w:rsidR="007F202D" w:rsidRPr="00A02116">
        <w:t>PSURs</w:t>
      </w:r>
      <w:r w:rsidRPr="00A02116">
        <w:t>.</w:t>
      </w:r>
    </w:p>
    <w:p w:rsidR="00E15BCA" w:rsidRPr="00A02116" w:rsidRDefault="00E15BCA" w:rsidP="00A02116">
      <w:pPr>
        <w:pStyle w:val="Numberbullet0"/>
        <w:numPr>
          <w:ilvl w:val="0"/>
          <w:numId w:val="0"/>
        </w:numPr>
        <w:ind w:left="425"/>
      </w:pPr>
      <w:r w:rsidRPr="00A02116">
        <w:t>Such reports are to be provided annually until the period covered by such reports is not less than three years from the date of this approval letter. No fewer than three annual reports are required.</w:t>
      </w:r>
      <w:r w:rsidR="005179E7">
        <w:t xml:space="preserve"> </w:t>
      </w:r>
      <w:r w:rsidRPr="00A02116">
        <w:t xml:space="preserve">The reports are to meet the requirements for </w:t>
      </w:r>
      <w:r w:rsidR="007F202D">
        <w:t>PSURs</w:t>
      </w:r>
      <w:r w:rsidRPr="00A02116">
        <w:t xml:space="preserve"> as described in the European Medicines Agency’s Guideline on Good Pharmacovigilance practices (GVP) Module VII - Periodic Safety Update Report.</w:t>
      </w:r>
    </w:p>
    <w:p w:rsidR="00E15BCA" w:rsidRPr="00A02116" w:rsidRDefault="00E15BCA" w:rsidP="00A02116">
      <w:pPr>
        <w:pStyle w:val="Numberbullet0"/>
        <w:numPr>
          <w:ilvl w:val="0"/>
          <w:numId w:val="0"/>
        </w:numPr>
        <w:ind w:left="425"/>
      </w:pPr>
      <w:r w:rsidRPr="00A02116">
        <w:t xml:space="preserve">Unless agreed separately between the supplier who is the recipient of the approval and the TGA's </w:t>
      </w:r>
      <w:r w:rsidR="00393B97">
        <w:t>OPR</w:t>
      </w:r>
      <w:r w:rsidRPr="00A02116">
        <w:t>, the first report must be submitted to TGA no later than 15 calendar months after the date of this approval letter.</w:t>
      </w:r>
      <w:r w:rsidR="005179E7">
        <w:t xml:space="preserve"> </w:t>
      </w:r>
      <w:r w:rsidRPr="00A02116">
        <w:t>The subsequent reports must be submitted no less frequently than annually from the date of the first submitted report.</w:t>
      </w:r>
      <w:r w:rsidR="005179E7">
        <w:t xml:space="preserve"> </w:t>
      </w:r>
      <w:r w:rsidRPr="00A02116">
        <w:t xml:space="preserve">The annual submission may be made up of two </w:t>
      </w:r>
      <w:r w:rsidR="00393B97">
        <w:t>PSURs</w:t>
      </w:r>
      <w:r w:rsidRPr="00A02116">
        <w:t xml:space="preserve"> each covering six months.</w:t>
      </w:r>
      <w:r w:rsidR="005179E7">
        <w:t xml:space="preserve"> </w:t>
      </w:r>
      <w:r w:rsidRPr="00A02116">
        <w:t>If the sponsor wishes, the six monthly reports may be submitted separat</w:t>
      </w:r>
      <w:r w:rsidR="00A02116">
        <w:t>ely as they become available.</w:t>
      </w:r>
      <w:r w:rsidR="005179E7">
        <w:t xml:space="preserve"> </w:t>
      </w:r>
    </w:p>
    <w:p w:rsidR="00E15BCA" w:rsidRPr="00A02116" w:rsidRDefault="00E15BCA" w:rsidP="00A02116">
      <w:pPr>
        <w:pStyle w:val="Numberbullet0"/>
        <w:numPr>
          <w:ilvl w:val="0"/>
          <w:numId w:val="0"/>
        </w:numPr>
        <w:ind w:left="425"/>
      </w:pPr>
      <w:r w:rsidRPr="00A02116">
        <w:t>Submission of the report must be within the seventy calendar</w:t>
      </w:r>
      <w:r w:rsidR="005179E7">
        <w:t xml:space="preserve"> </w:t>
      </w:r>
      <w:r w:rsidRPr="00A02116">
        <w:t>days of the data lock point for the report (or, where applicable, the second of the two six monthly reports), as required by the Guideline for PSURs covering intervals up to 12 months (including intervals of exactly 12 months).</w:t>
      </w:r>
    </w:p>
    <w:p w:rsidR="00E15BCA" w:rsidRPr="00A02116" w:rsidRDefault="00E15BCA" w:rsidP="00A02116">
      <w:pPr>
        <w:pStyle w:val="Numberbullet0"/>
        <w:numPr>
          <w:ilvl w:val="0"/>
          <w:numId w:val="0"/>
        </w:numPr>
        <w:ind w:left="425"/>
      </w:pPr>
      <w:r w:rsidRPr="00A02116">
        <w:t xml:space="preserve">You are reminded that sections 29A and 29AA of the </w:t>
      </w:r>
      <w:r w:rsidRPr="00393B97">
        <w:rPr>
          <w:i/>
        </w:rPr>
        <w:t>Therapeutic Goods Act 1989</w:t>
      </w:r>
      <w:r w:rsidRPr="00A02116">
        <w:t xml:space="preserve"> provide for penalties where there has been failure to inform the Secretary in writing, as soon as a person has become aware, of:</w:t>
      </w:r>
    </w:p>
    <w:p w:rsidR="00E15BCA" w:rsidRPr="00A02116" w:rsidRDefault="00A02116" w:rsidP="00A02116">
      <w:pPr>
        <w:pStyle w:val="Numberbullet0"/>
        <w:numPr>
          <w:ilvl w:val="0"/>
          <w:numId w:val="0"/>
        </w:numPr>
        <w:ind w:left="720"/>
      </w:pPr>
      <w:r>
        <w:t xml:space="preserve">(a) </w:t>
      </w:r>
      <w:r w:rsidR="00E15BCA" w:rsidRPr="00A02116">
        <w:t>information that contradicts information already given by the person under this Act;</w:t>
      </w:r>
    </w:p>
    <w:p w:rsidR="00E15BCA" w:rsidRPr="00A02116" w:rsidRDefault="00A02116" w:rsidP="00A02116">
      <w:pPr>
        <w:pStyle w:val="Numberbullet0"/>
        <w:numPr>
          <w:ilvl w:val="0"/>
          <w:numId w:val="0"/>
        </w:numPr>
        <w:ind w:left="720"/>
      </w:pPr>
      <w:r>
        <w:t xml:space="preserve">(b) </w:t>
      </w:r>
      <w:r w:rsidR="00E15BCA" w:rsidRPr="00A02116">
        <w:t>information that indicates that the use of the goods in accordance with the recommendations for their use may have an unintended harmful effect;</w:t>
      </w:r>
    </w:p>
    <w:p w:rsidR="00E15BCA" w:rsidRPr="00A02116" w:rsidRDefault="00A02116" w:rsidP="00A02116">
      <w:pPr>
        <w:pStyle w:val="Numberbullet0"/>
        <w:numPr>
          <w:ilvl w:val="0"/>
          <w:numId w:val="0"/>
        </w:numPr>
        <w:ind w:left="720"/>
      </w:pPr>
      <w:r>
        <w:t xml:space="preserve">(c) </w:t>
      </w:r>
      <w:r w:rsidR="00E15BCA" w:rsidRPr="00A02116">
        <w:t>information that indicates that the goods, when used in accordance with the recommendations for their use, may not be as effective as the application for registration or listing of the goods or information already given by the person under this Act suggests;</w:t>
      </w:r>
    </w:p>
    <w:p w:rsidR="00EF3D08" w:rsidRPr="00A02116" w:rsidRDefault="00A02116" w:rsidP="00A02116">
      <w:pPr>
        <w:pStyle w:val="Numberbullet0"/>
        <w:numPr>
          <w:ilvl w:val="0"/>
          <w:numId w:val="0"/>
        </w:numPr>
        <w:ind w:left="720"/>
      </w:pPr>
      <w:r>
        <w:t xml:space="preserve">(d) </w:t>
      </w:r>
      <w:r w:rsidR="00E15BCA" w:rsidRPr="00A02116">
        <w:t>information that indicates that the quality, safety or efficacy of the goods is unacceptable.</w:t>
      </w:r>
    </w:p>
    <w:p w:rsidR="008E7846" w:rsidRDefault="004022FC" w:rsidP="008E7846">
      <w:pPr>
        <w:pStyle w:val="Heading2"/>
      </w:pPr>
      <w:bookmarkStart w:id="158" w:name="_Toc247691533"/>
      <w:bookmarkStart w:id="159" w:name="_Toc314842517"/>
      <w:bookmarkStart w:id="160" w:name="_Toc364416415"/>
      <w:r>
        <w:t xml:space="preserve">Attachment 1. </w:t>
      </w:r>
      <w:r w:rsidR="008E7846">
        <w:t xml:space="preserve">Product </w:t>
      </w:r>
      <w:r w:rsidR="00AA0ED0">
        <w:t>I</w:t>
      </w:r>
      <w:r w:rsidR="008E7846">
        <w:t>nformation</w:t>
      </w:r>
      <w:bookmarkEnd w:id="158"/>
      <w:bookmarkEnd w:id="159"/>
      <w:bookmarkEnd w:id="160"/>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4" w:history="1">
        <w:r w:rsidR="00722B57" w:rsidRPr="00625A6E">
          <w:rPr>
            <w:rStyle w:val="Hyperlink"/>
          </w:rPr>
          <w:t>http://www.tga.gov.au/hp/information-medicines-pi.htm</w:t>
        </w:r>
      </w:hyperlink>
      <w:hyperlink w:history="1"/>
      <w:r w:rsidR="008F6943">
        <w:rPr>
          <w:color w:val="000000"/>
          <w:lang w:eastAsia="en-AU"/>
        </w:rPr>
        <w:t>&gt;.</w:t>
      </w:r>
    </w:p>
    <w:p w:rsidR="00C80137" w:rsidRDefault="004022FC" w:rsidP="00C80137">
      <w:pPr>
        <w:pStyle w:val="Heading2"/>
        <w:rPr>
          <w:lang w:eastAsia="en-AU"/>
        </w:rPr>
      </w:pPr>
      <w:bookmarkStart w:id="161" w:name="_Toc364416416"/>
      <w:r>
        <w:rPr>
          <w:lang w:eastAsia="en-AU"/>
        </w:rPr>
        <w:t xml:space="preserve">Attachment 2. </w:t>
      </w:r>
      <w:r w:rsidR="00C80137">
        <w:rPr>
          <w:lang w:eastAsia="en-AU"/>
        </w:rPr>
        <w:t>Extract from the Clinical Evaluation Report</w:t>
      </w:r>
      <w:bookmarkEnd w:id="161"/>
    </w:p>
    <w:p w:rsidR="00C80137" w:rsidRPr="001D043B" w:rsidRDefault="00AD0083" w:rsidP="000871C1">
      <w:pPr>
        <w:autoSpaceDE w:val="0"/>
        <w:autoSpaceDN w:val="0"/>
        <w:adjustRightInd w:val="0"/>
        <w:spacing w:after="0"/>
        <w:sectPr w:rsidR="00C80137" w:rsidRPr="001D043B" w:rsidSect="00B452CE">
          <w:headerReference w:type="even" r:id="rId25"/>
          <w:headerReference w:type="default" r:id="rId26"/>
          <w:footerReference w:type="default" r:id="rId27"/>
          <w:headerReference w:type="first" r:id="rId28"/>
          <w:footerReference w:type="first" r:id="rId29"/>
          <w:pgSz w:w="11906" w:h="16838" w:code="9"/>
          <w:pgMar w:top="834" w:right="1701" w:bottom="1191" w:left="1701" w:header="907" w:footer="216" w:gutter="0"/>
          <w:cols w:space="708"/>
          <w:docGrid w:linePitch="360"/>
        </w:sectPr>
      </w:pPr>
      <w:r>
        <w:rPr>
          <w:lang w:eastAsia="ja-JP"/>
        </w:rPr>
        <w:t xml:space="preserve"> </w:t>
      </w:r>
    </w:p>
    <w:p w:rsidR="00774E1D" w:rsidRPr="008A5E0B" w:rsidRDefault="00774E1D" w:rsidP="005A6F7F"/>
    <w:sectPr w:rsidR="00774E1D" w:rsidRPr="008A5E0B" w:rsidSect="004C239D">
      <w:headerReference w:type="even" r:id="rId30"/>
      <w:headerReference w:type="default" r:id="rId31"/>
      <w:footerReference w:type="default" r:id="rId32"/>
      <w:headerReference w:type="first" r:id="rId33"/>
      <w:footerReference w:type="first" r:id="rId3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A67" w:rsidRDefault="00643A67" w:rsidP="00C40A36">
      <w:pPr>
        <w:spacing w:after="0"/>
      </w:pPr>
      <w:r>
        <w:separator/>
      </w:r>
    </w:p>
  </w:endnote>
  <w:endnote w:type="continuationSeparator" w:id="0">
    <w:p w:rsidR="00643A67" w:rsidRDefault="00643A6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AD5" w:rsidRDefault="00803A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DC09E4" w:rsidRPr="00487162" w:rsidTr="0053625B">
      <w:trPr>
        <w:trHeight w:val="269"/>
      </w:trPr>
      <w:tc>
        <w:tcPr>
          <w:tcW w:w="7938" w:type="dxa"/>
          <w:tcMar>
            <w:top w:w="142" w:type="dxa"/>
            <w:bottom w:w="0" w:type="dxa"/>
          </w:tcMar>
        </w:tcPr>
        <w:p w:rsidR="00DC09E4" w:rsidRPr="00487162" w:rsidRDefault="00DC09E4" w:rsidP="00803AD5">
          <w:pPr>
            <w:pStyle w:val="Footer"/>
          </w:pPr>
          <w:proofErr w:type="spellStart"/>
          <w:r w:rsidRPr="00487162">
            <w:t>AusPAR</w:t>
          </w:r>
          <w:proofErr w:type="spellEnd"/>
          <w:r w:rsidRPr="00487162">
            <w:t xml:space="preserve"> </w:t>
          </w:r>
          <w:proofErr w:type="spellStart"/>
          <w:r>
            <w:t>Vidaza</w:t>
          </w:r>
          <w:proofErr w:type="spellEnd"/>
          <w:r>
            <w:t xml:space="preserve"> </w:t>
          </w:r>
          <w:proofErr w:type="spellStart"/>
          <w:r>
            <w:t>Celgene</w:t>
          </w:r>
          <w:proofErr w:type="spellEnd"/>
          <w:r>
            <w:t xml:space="preserve"> Pty Ltd</w:t>
          </w:r>
          <w:r w:rsidRPr="00487162">
            <w:t xml:space="preserve"> </w:t>
          </w:r>
          <w:r w:rsidRPr="00462D6E">
            <w:t>PM-2012-00341-3-4</w:t>
          </w:r>
          <w:r>
            <w:br/>
          </w:r>
          <w:r w:rsidR="00803AD5">
            <w:t>Final 20</w:t>
          </w:r>
          <w:r w:rsidR="00B70938">
            <w:t xml:space="preserve"> August</w:t>
          </w:r>
          <w:r>
            <w:t xml:space="preserve"> 2013</w:t>
          </w:r>
        </w:p>
      </w:tc>
      <w:tc>
        <w:tcPr>
          <w:tcW w:w="923" w:type="dxa"/>
          <w:tcMar>
            <w:top w:w="142" w:type="dxa"/>
            <w:bottom w:w="0" w:type="dxa"/>
          </w:tcMar>
        </w:tcPr>
        <w:p w:rsidR="00DC09E4" w:rsidRPr="00487162" w:rsidRDefault="00DC09E4" w:rsidP="00D855D4">
          <w:pPr>
            <w:pStyle w:val="Footer"/>
            <w:jc w:val="right"/>
          </w:pPr>
          <w:r w:rsidRPr="00487162">
            <w:t xml:space="preserve">Page </w:t>
          </w:r>
          <w:r>
            <w:t>2</w:t>
          </w:r>
          <w:r w:rsidRPr="00487162">
            <w:t xml:space="preserve"> of </w:t>
          </w:r>
          <w:fldSimple w:instr=" NUMPAGES  \* Arabic ">
            <w:r w:rsidR="00A94FFA">
              <w:rPr>
                <w:noProof/>
              </w:rPr>
              <w:t>31</w:t>
            </w:r>
          </w:fldSimple>
        </w:p>
      </w:tc>
    </w:tr>
  </w:tbl>
  <w:p w:rsidR="00DC09E4" w:rsidRDefault="00DC09E4"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AD5" w:rsidRDefault="00803AD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4519"/>
      <w:gridCol w:w="4342"/>
    </w:tblGrid>
    <w:tr w:rsidR="00DC09E4" w:rsidRPr="00487162" w:rsidTr="00E26130">
      <w:trPr>
        <w:trHeight w:val="269"/>
      </w:trPr>
      <w:tc>
        <w:tcPr>
          <w:tcW w:w="4519" w:type="dxa"/>
          <w:tcMar>
            <w:top w:w="142" w:type="dxa"/>
            <w:bottom w:w="0" w:type="dxa"/>
          </w:tcMar>
        </w:tcPr>
        <w:p w:rsidR="00DC09E4" w:rsidRPr="00487162" w:rsidRDefault="00DC09E4" w:rsidP="00803AD5">
          <w:pPr>
            <w:pStyle w:val="Footer"/>
          </w:pPr>
          <w:proofErr w:type="spellStart"/>
          <w:r w:rsidRPr="00487162">
            <w:t>AusPAR</w:t>
          </w:r>
          <w:proofErr w:type="spellEnd"/>
          <w:r w:rsidRPr="00487162">
            <w:t xml:space="preserve"> </w:t>
          </w:r>
          <w:proofErr w:type="spellStart"/>
          <w:r>
            <w:t>Vidaza</w:t>
          </w:r>
          <w:proofErr w:type="spellEnd"/>
          <w:r>
            <w:t xml:space="preserve"> </w:t>
          </w:r>
          <w:proofErr w:type="spellStart"/>
          <w:r>
            <w:t>Celgene</w:t>
          </w:r>
          <w:proofErr w:type="spellEnd"/>
          <w:r>
            <w:t xml:space="preserve"> Pty Ltd</w:t>
          </w:r>
          <w:r w:rsidRPr="00487162">
            <w:t xml:space="preserve"> </w:t>
          </w:r>
          <w:r w:rsidRPr="00462D6E">
            <w:t>PM-2012-00341-3-4</w:t>
          </w:r>
          <w:r>
            <w:br/>
          </w:r>
          <w:r w:rsidR="00803AD5">
            <w:t>Final 20</w:t>
          </w:r>
          <w:r w:rsidR="00B70938">
            <w:t xml:space="preserve"> August</w:t>
          </w:r>
          <w:r>
            <w:t xml:space="preserve"> 2013</w:t>
          </w:r>
        </w:p>
      </w:tc>
      <w:tc>
        <w:tcPr>
          <w:tcW w:w="4342" w:type="dxa"/>
          <w:tcMar>
            <w:top w:w="142" w:type="dxa"/>
            <w:bottom w:w="0" w:type="dxa"/>
          </w:tcMar>
        </w:tcPr>
        <w:p w:rsidR="00DC09E4" w:rsidRPr="00487162" w:rsidRDefault="00DC09E4" w:rsidP="00E45619">
          <w:pPr>
            <w:pStyle w:val="Footer"/>
            <w:jc w:val="right"/>
          </w:pPr>
          <w:r w:rsidRPr="00487162">
            <w:t xml:space="preserve">Page </w:t>
          </w:r>
          <w:fldSimple w:instr="PAGE">
            <w:r w:rsidR="00A94FFA">
              <w:rPr>
                <w:noProof/>
              </w:rPr>
              <w:t>30</w:t>
            </w:r>
          </w:fldSimple>
          <w:r w:rsidRPr="00487162">
            <w:t xml:space="preserve"> of </w:t>
          </w:r>
          <w:fldSimple w:instr=" NUMPAGES  \* Arabic ">
            <w:r w:rsidR="00A94FFA">
              <w:rPr>
                <w:noProof/>
              </w:rPr>
              <w:t>31</w:t>
            </w:r>
          </w:fldSimple>
        </w:p>
      </w:tc>
    </w:tr>
  </w:tbl>
  <w:p w:rsidR="00DC09E4" w:rsidRDefault="00DC09E4"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C09E4" w:rsidRPr="00487162" w:rsidTr="00E45619">
      <w:trPr>
        <w:trHeight w:val="269"/>
      </w:trPr>
      <w:tc>
        <w:tcPr>
          <w:tcW w:w="4519" w:type="dxa"/>
          <w:tcBorders>
            <w:top w:val="single" w:sz="4" w:space="0" w:color="auto"/>
          </w:tcBorders>
          <w:tcMar>
            <w:top w:w="142" w:type="dxa"/>
            <w:bottom w:w="0" w:type="dxa"/>
          </w:tcMar>
        </w:tcPr>
        <w:p w:rsidR="00DC09E4" w:rsidRPr="00487162" w:rsidRDefault="00DC09E4" w:rsidP="00FE1DEE">
          <w:pPr>
            <w:pStyle w:val="Footer"/>
          </w:pPr>
          <w:r w:rsidRPr="00487162">
            <w:t>Document title, Part #, Section # - Section title</w:t>
          </w:r>
        </w:p>
        <w:p w:rsidR="00DC09E4" w:rsidRPr="00487162" w:rsidRDefault="00DC09E4" w:rsidP="00FE1DEE">
          <w:pPr>
            <w:pStyle w:val="Footer"/>
          </w:pPr>
          <w:r w:rsidRPr="00487162">
            <w:t>V1.0 October 2010</w:t>
          </w:r>
        </w:p>
      </w:tc>
      <w:tc>
        <w:tcPr>
          <w:tcW w:w="4342" w:type="dxa"/>
          <w:tcBorders>
            <w:top w:val="single" w:sz="4" w:space="0" w:color="auto"/>
          </w:tcBorders>
          <w:tcMar>
            <w:top w:w="142" w:type="dxa"/>
            <w:bottom w:w="0" w:type="dxa"/>
          </w:tcMar>
        </w:tcPr>
        <w:p w:rsidR="00DC09E4" w:rsidRPr="00487162" w:rsidRDefault="00DC09E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DC09E4" w:rsidRDefault="00DC09E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DC09E4" w:rsidRPr="00487162" w:rsidTr="00E45619">
      <w:trPr>
        <w:trHeight w:hRule="exact" w:val="704"/>
      </w:trPr>
      <w:tc>
        <w:tcPr>
          <w:tcW w:w="9175" w:type="dxa"/>
        </w:tcPr>
        <w:p w:rsidR="00DC09E4" w:rsidRPr="00487162" w:rsidRDefault="00DC09E4" w:rsidP="008E7846">
          <w:pPr>
            <w:pStyle w:val="TGASignoff"/>
          </w:pPr>
          <w:r w:rsidRPr="00487162">
            <w:t>Therapeutic Goods Administration</w:t>
          </w:r>
        </w:p>
      </w:tc>
    </w:tr>
    <w:tr w:rsidR="00DC09E4" w:rsidRPr="00487162" w:rsidTr="00E45619">
      <w:trPr>
        <w:trHeight w:val="1221"/>
      </w:trPr>
      <w:tc>
        <w:tcPr>
          <w:tcW w:w="9175" w:type="dxa"/>
          <w:tcMar>
            <w:top w:w="28" w:type="dxa"/>
          </w:tcMar>
        </w:tcPr>
        <w:p w:rsidR="00DC09E4" w:rsidRPr="00487162" w:rsidRDefault="00DC09E4" w:rsidP="00E45619">
          <w:pPr>
            <w:pStyle w:val="Address"/>
          </w:pPr>
          <w:r w:rsidRPr="00487162">
            <w:t>PO Box 100 Woden ACT 2606 Australia</w:t>
          </w:r>
        </w:p>
        <w:p w:rsidR="00DC09E4" w:rsidRPr="00487162" w:rsidRDefault="00DC09E4" w:rsidP="00E45619">
          <w:pPr>
            <w:pStyle w:val="Address"/>
          </w:pPr>
          <w:r w:rsidRPr="00487162">
            <w:t xml:space="preserve">Email: </w:t>
          </w:r>
          <w:hyperlink r:id="rId1" w:history="1">
            <w:r w:rsidRPr="004C239D">
              <w:rPr>
                <w:rStyle w:val="Hyperlink"/>
              </w:rPr>
              <w:t>info@tga.gov.au</w:t>
            </w:r>
          </w:hyperlink>
          <w:r w:rsidR="005179E7">
            <w:t xml:space="preserve"> </w:t>
          </w:r>
          <w:r w:rsidRPr="00487162">
            <w:t>Phone: 1800 020 653</w:t>
          </w:r>
          <w:r w:rsidR="005179E7">
            <w:t xml:space="preserve"> </w:t>
          </w:r>
          <w:r w:rsidRPr="00487162">
            <w:t>Fax: 02 6232 8605</w:t>
          </w:r>
        </w:p>
        <w:p w:rsidR="00DC09E4" w:rsidRPr="004C239D" w:rsidRDefault="0019085A" w:rsidP="004C239D">
          <w:pPr>
            <w:pStyle w:val="Address"/>
            <w:spacing w:line="260" w:lineRule="atLeast"/>
            <w:rPr>
              <w:b/>
              <w:color w:val="0000FF"/>
              <w:u w:val="single"/>
            </w:rPr>
          </w:pPr>
          <w:hyperlink r:id="rId2" w:history="1">
            <w:r w:rsidR="00DC09E4" w:rsidRPr="00607888">
              <w:rPr>
                <w:rStyle w:val="Hyperlink"/>
                <w:b/>
              </w:rPr>
              <w:t>http://www.tga.gov.au</w:t>
            </w:r>
          </w:hyperlink>
        </w:p>
      </w:tc>
    </w:tr>
  </w:tbl>
  <w:p w:rsidR="00DC09E4" w:rsidRDefault="00DC09E4" w:rsidP="008E7846">
    <w:pPr>
      <w:pStyle w:val="Note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C09E4" w:rsidTr="0010601F">
      <w:trPr>
        <w:trHeight w:val="108"/>
      </w:trPr>
      <w:tc>
        <w:tcPr>
          <w:tcW w:w="8875" w:type="dxa"/>
          <w:gridSpan w:val="2"/>
          <w:tcBorders>
            <w:bottom w:val="single" w:sz="4" w:space="0" w:color="auto"/>
          </w:tcBorders>
          <w:tcMar>
            <w:right w:w="284" w:type="dxa"/>
          </w:tcMar>
        </w:tcPr>
        <w:p w:rsidR="00DC09E4" w:rsidRDefault="00DC09E4" w:rsidP="006E08B3">
          <w:pPr>
            <w:pStyle w:val="Heading3"/>
          </w:pPr>
          <w:r>
            <w:t>Copyright</w:t>
          </w:r>
        </w:p>
        <w:p w:rsidR="00DC09E4" w:rsidRDefault="00DC09E4" w:rsidP="006E08B3">
          <w:r>
            <w:rPr>
              <w:rFonts w:cs="Arial"/>
            </w:rPr>
            <w:t>©</w:t>
          </w:r>
          <w:r>
            <w:t xml:space="preserve"> Commonwealth of Australia [add year]</w:t>
          </w:r>
        </w:p>
        <w:p w:rsidR="00DC09E4" w:rsidRDefault="00DC09E4" w:rsidP="006E08B3"/>
        <w:p w:rsidR="00DC09E4" w:rsidRDefault="00DC09E4" w:rsidP="006E08B3">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w:t>
          </w:r>
          <w:r w:rsidR="005179E7">
            <w:t xml:space="preserve"> </w:t>
          </w:r>
          <w:r w:rsidRPr="006E08B3">
            <w:t>http://www.ag.gov.au/cca</w:t>
          </w:r>
        </w:p>
        <w:p w:rsidR="00DC09E4" w:rsidRDefault="00DC09E4" w:rsidP="006E08B3"/>
        <w:p w:rsidR="00DC09E4" w:rsidRDefault="00DC09E4" w:rsidP="006E08B3">
          <w:pPr>
            <w:pStyle w:val="Heading3"/>
          </w:pPr>
          <w:r>
            <w:t>Confidentiality</w:t>
          </w:r>
        </w:p>
        <w:p w:rsidR="00DC09E4" w:rsidRDefault="00DC09E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C09E4" w:rsidRDefault="00DC09E4" w:rsidP="006E08B3"/>
        <w:p w:rsidR="00DC09E4" w:rsidRDefault="00DC09E4" w:rsidP="006E08B3">
          <w:r>
            <w:t>For submission made by individuals, all personal details, other than your name, will be removed from your submission before it is published on the TGA’s Internet site.</w:t>
          </w:r>
        </w:p>
        <w:p w:rsidR="00DC09E4" w:rsidRDefault="00DC09E4" w:rsidP="006E08B3"/>
        <w:p w:rsidR="00DC09E4" w:rsidRDefault="00DC09E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C09E4" w:rsidTr="0010601F">
      <w:trPr>
        <w:trHeight w:val="417"/>
      </w:trPr>
      <w:tc>
        <w:tcPr>
          <w:tcW w:w="4519" w:type="dxa"/>
          <w:tcBorders>
            <w:top w:val="single" w:sz="4" w:space="0" w:color="auto"/>
          </w:tcBorders>
          <w:tcMar>
            <w:top w:w="142" w:type="dxa"/>
            <w:bottom w:w="0" w:type="dxa"/>
          </w:tcMar>
        </w:tcPr>
        <w:p w:rsidR="00DC09E4" w:rsidRDefault="00DC09E4" w:rsidP="006E08B3">
          <w:r>
            <w:t>Document title, Part #, Section # - Section title</w:t>
          </w:r>
        </w:p>
        <w:p w:rsidR="00DC09E4" w:rsidRDefault="00DC09E4" w:rsidP="006E08B3">
          <w:r>
            <w:t>V1.0 October 2010</w:t>
          </w:r>
        </w:p>
      </w:tc>
      <w:tc>
        <w:tcPr>
          <w:tcW w:w="4356" w:type="dxa"/>
          <w:tcBorders>
            <w:top w:val="single" w:sz="4" w:space="0" w:color="auto"/>
          </w:tcBorders>
          <w:tcMar>
            <w:top w:w="142" w:type="dxa"/>
            <w:bottom w:w="0" w:type="dxa"/>
          </w:tcMar>
        </w:tcPr>
        <w:p w:rsidR="00DC09E4" w:rsidRDefault="00DC09E4" w:rsidP="006E08B3">
          <w:pPr>
            <w:jc w:val="right"/>
          </w:pPr>
          <w:r>
            <w:t xml:space="preserve">Page </w:t>
          </w:r>
          <w:fldSimple w:instr=" PAGE   \* MERGEFORMAT ">
            <w:r>
              <w:rPr>
                <w:noProof/>
              </w:rPr>
              <w:t>1</w:t>
            </w:r>
          </w:fldSimple>
          <w:r>
            <w:t xml:space="preserve"> of </w:t>
          </w:r>
          <w:fldSimple w:instr=" NUMPAGES  \* Arabic ">
            <w:r>
              <w:rPr>
                <w:noProof/>
              </w:rPr>
              <w:t>4</w:t>
            </w:r>
          </w:fldSimple>
          <w:r w:rsidR="005179E7">
            <w:t xml:space="preserve"> </w:t>
          </w:r>
        </w:p>
      </w:tc>
    </w:tr>
  </w:tbl>
  <w:p w:rsidR="00DC09E4" w:rsidRDefault="00DC09E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A67" w:rsidRDefault="00643A67" w:rsidP="00C40A36">
      <w:pPr>
        <w:spacing w:after="0"/>
      </w:pPr>
      <w:r>
        <w:separator/>
      </w:r>
    </w:p>
  </w:footnote>
  <w:footnote w:type="continuationSeparator" w:id="0">
    <w:p w:rsidR="00643A67" w:rsidRDefault="00643A67" w:rsidP="00C40A36">
      <w:pPr>
        <w:spacing w:after="0"/>
      </w:pPr>
      <w:r>
        <w:continuationSeparator/>
      </w:r>
    </w:p>
  </w:footnote>
  <w:footnote w:id="1">
    <w:p w:rsidR="00DC09E4" w:rsidRDefault="00DC09E4">
      <w:pPr>
        <w:pStyle w:val="FootnoteText"/>
      </w:pPr>
      <w:r>
        <w:rPr>
          <w:rStyle w:val="FootnoteReference"/>
        </w:rPr>
        <w:footnoteRef/>
      </w:r>
      <w:r>
        <w:t xml:space="preserve"> </w:t>
      </w:r>
      <w:r w:rsidRPr="00133EC9">
        <w:t xml:space="preserve">Cheung YW, </w:t>
      </w:r>
      <w:r>
        <w:t xml:space="preserve">et al. (1984) </w:t>
      </w:r>
      <w:r w:rsidRPr="00133EC9">
        <w:t>Stability of azacitidine in infusion fluids.</w:t>
      </w:r>
      <w:r>
        <w:t xml:space="preserve"> </w:t>
      </w:r>
      <w:r w:rsidRPr="006D06ED">
        <w:rPr>
          <w:i/>
        </w:rPr>
        <w:t>Am J Hosp Pharm.</w:t>
      </w:r>
      <w:r>
        <w:t xml:space="preserve"> 41</w:t>
      </w:r>
      <w:r w:rsidRPr="00133EC9">
        <w:t>:</w:t>
      </w:r>
      <w:r>
        <w:t xml:space="preserve"> </w:t>
      </w:r>
      <w:r w:rsidRPr="00133EC9">
        <w:t>1156-</w:t>
      </w:r>
      <w:r>
        <w:t>115</w:t>
      </w:r>
      <w:r w:rsidRPr="00133EC9">
        <w:t>9</w:t>
      </w:r>
      <w:r>
        <w:t>.</w:t>
      </w:r>
    </w:p>
  </w:footnote>
  <w:footnote w:id="2">
    <w:p w:rsidR="00B258A4" w:rsidRDefault="00B258A4">
      <w:pPr>
        <w:pStyle w:val="FootnoteText"/>
      </w:pPr>
      <w:r>
        <w:rPr>
          <w:rStyle w:val="FootnoteReference"/>
        </w:rPr>
        <w:footnoteRef/>
      </w:r>
      <w:r>
        <w:t xml:space="preserve"> Sponsor comment: “</w:t>
      </w:r>
      <w:r w:rsidRPr="00AA6FA6">
        <w:t xml:space="preserve">The interpretations of </w:t>
      </w:r>
      <w:r>
        <w:t>these findings</w:t>
      </w:r>
      <w:r w:rsidRPr="00AA6FA6">
        <w:t xml:space="preserve"> are limited by con</w:t>
      </w:r>
      <w:r w:rsidR="00085160">
        <w:t xml:space="preserve">current severe clinical signs in dogs, </w:t>
      </w:r>
      <w:r>
        <w:t xml:space="preserve">for example, </w:t>
      </w:r>
      <w:r w:rsidRPr="00AA6FA6">
        <w:t xml:space="preserve">vomiting, flushed skin, decreased food consumption, and decreased spontaneous </w:t>
      </w:r>
      <w:proofErr w:type="spellStart"/>
      <w:r w:rsidRPr="00AA6FA6">
        <w:t>locomotor</w:t>
      </w:r>
      <w:proofErr w:type="spellEnd"/>
      <w:r w:rsidRPr="00AA6FA6">
        <w:t xml:space="preserve"> activity, as well as f</w:t>
      </w:r>
      <w:r>
        <w:t>a</w:t>
      </w:r>
      <w:r w:rsidRPr="00AA6FA6">
        <w:t>ecal changes such as watery,</w:t>
      </w:r>
      <w:r w:rsidR="00085160">
        <w:t xml:space="preserve"> mucous, or loose stool</w:t>
      </w:r>
      <w:r w:rsidRPr="00AA6FA6">
        <w:t>.</w:t>
      </w:r>
      <w:r>
        <w:t xml:space="preserve">” </w:t>
      </w:r>
    </w:p>
  </w:footnote>
  <w:footnote w:id="3">
    <w:p w:rsidR="00580CA2" w:rsidRDefault="00580CA2">
      <w:pPr>
        <w:pStyle w:val="FootnoteText"/>
      </w:pPr>
      <w:r>
        <w:rPr>
          <w:rStyle w:val="FootnoteReference"/>
        </w:rPr>
        <w:footnoteRef/>
      </w:r>
      <w:r>
        <w:t xml:space="preserve"> Approved US product label for </w:t>
      </w:r>
      <w:proofErr w:type="spellStart"/>
      <w:r>
        <w:t>Vidaza</w:t>
      </w:r>
      <w:proofErr w:type="spellEnd"/>
      <w:r>
        <w:t xml:space="preserve"> (revised January 2012); available at </w:t>
      </w:r>
      <w:r w:rsidRPr="00021852">
        <w:t>www.accessdata.fda.gov/drugsatfda_docs/label/2012/050794s023LBL.pdf</w:t>
      </w:r>
    </w:p>
  </w:footnote>
  <w:footnote w:id="4">
    <w:p w:rsidR="00CE2F54" w:rsidRDefault="00CE2F54">
      <w:pPr>
        <w:pStyle w:val="FootnoteText"/>
      </w:pPr>
      <w:r>
        <w:rPr>
          <w:rStyle w:val="FootnoteReference"/>
        </w:rPr>
        <w:footnoteRef/>
      </w:r>
      <w:r>
        <w:t xml:space="preserve"> Sponsor comment: “This statement was added to the EU RMP upon request by the EMA.”</w:t>
      </w:r>
    </w:p>
  </w:footnote>
  <w:footnote w:id="5">
    <w:p w:rsidR="009E0DDA" w:rsidRDefault="009E0DDA">
      <w:pPr>
        <w:pStyle w:val="FootnoteText"/>
      </w:pPr>
      <w:r>
        <w:rPr>
          <w:rStyle w:val="FootnoteReference"/>
        </w:rPr>
        <w:footnoteRef/>
      </w:r>
      <w:r>
        <w:t xml:space="preserve"> </w:t>
      </w:r>
      <w:r w:rsidRPr="00D20366">
        <w:t xml:space="preserve">Uchida T, </w:t>
      </w:r>
      <w:r>
        <w:t xml:space="preserve">et al. (2011) </w:t>
      </w:r>
      <w:r w:rsidRPr="00D20366">
        <w:t xml:space="preserve">Phase I and II study of azacitidine in Japanese patients with </w:t>
      </w:r>
      <w:proofErr w:type="spellStart"/>
      <w:r w:rsidRPr="00D20366">
        <w:t>myelodysplastic</w:t>
      </w:r>
      <w:proofErr w:type="spellEnd"/>
      <w:r w:rsidRPr="00D20366">
        <w:t xml:space="preserve"> syndromes.</w:t>
      </w:r>
      <w:r>
        <w:t xml:space="preserve"> </w:t>
      </w:r>
      <w:r w:rsidRPr="00CC4379">
        <w:rPr>
          <w:i/>
        </w:rPr>
        <w:t>Cancer Sci.</w:t>
      </w:r>
      <w:r>
        <w:t xml:space="preserve"> 102</w:t>
      </w:r>
      <w:r w:rsidRPr="00D20366">
        <w:t>:</w:t>
      </w:r>
      <w:r>
        <w:t xml:space="preserve"> </w:t>
      </w:r>
      <w:r w:rsidRPr="00D20366">
        <w:t>1680-</w:t>
      </w:r>
      <w:r>
        <w:t>168</w:t>
      </w:r>
      <w:r w:rsidRPr="00D20366">
        <w:t>6</w:t>
      </w:r>
      <w:r>
        <w:t>.</w:t>
      </w:r>
    </w:p>
  </w:footnote>
  <w:footnote w:id="6">
    <w:p w:rsidR="009E0DDA" w:rsidRDefault="009E0DDA">
      <w:pPr>
        <w:pStyle w:val="FootnoteText"/>
      </w:pPr>
      <w:r>
        <w:rPr>
          <w:rStyle w:val="FootnoteReference"/>
        </w:rPr>
        <w:footnoteRef/>
      </w:r>
      <w:r>
        <w:t xml:space="preserve"> </w:t>
      </w:r>
      <w:r w:rsidRPr="00D20366">
        <w:t xml:space="preserve">Uchida T, </w:t>
      </w:r>
      <w:r>
        <w:t xml:space="preserve">et al. (2011) </w:t>
      </w:r>
      <w:r w:rsidRPr="00D20366">
        <w:t xml:space="preserve">Phase I and II study of azacitidine in Japanese patients with </w:t>
      </w:r>
      <w:proofErr w:type="spellStart"/>
      <w:r w:rsidRPr="00D20366">
        <w:t>myelodysplastic</w:t>
      </w:r>
      <w:proofErr w:type="spellEnd"/>
      <w:r w:rsidRPr="00D20366">
        <w:t xml:space="preserve"> syndromes.</w:t>
      </w:r>
      <w:r>
        <w:t xml:space="preserve"> </w:t>
      </w:r>
      <w:r w:rsidRPr="00CC4379">
        <w:rPr>
          <w:i/>
        </w:rPr>
        <w:t>Cancer Sci.</w:t>
      </w:r>
      <w:r>
        <w:t xml:space="preserve"> 102</w:t>
      </w:r>
      <w:r w:rsidRPr="00D20366">
        <w:t>:</w:t>
      </w:r>
      <w:r>
        <w:t xml:space="preserve"> </w:t>
      </w:r>
      <w:r w:rsidRPr="00D20366">
        <w:t>1680-</w:t>
      </w:r>
      <w:r>
        <w:t>168</w:t>
      </w:r>
      <w:r w:rsidRPr="00D20366">
        <w:t>6</w:t>
      </w:r>
      <w:r>
        <w:t>.</w:t>
      </w:r>
    </w:p>
  </w:footnote>
  <w:footnote w:id="7">
    <w:p w:rsidR="00F57D14" w:rsidRDefault="00F57D14">
      <w:pPr>
        <w:pStyle w:val="FootnoteText"/>
      </w:pPr>
      <w:r>
        <w:rPr>
          <w:rStyle w:val="FootnoteReference"/>
        </w:rPr>
        <w:footnoteRef/>
      </w:r>
      <w:r>
        <w:t xml:space="preserve"> </w:t>
      </w:r>
      <w:r w:rsidRPr="00D20366">
        <w:t xml:space="preserve">Uchida T, </w:t>
      </w:r>
      <w:r>
        <w:t xml:space="preserve">et al. (2011) </w:t>
      </w:r>
      <w:r w:rsidRPr="00D20366">
        <w:t xml:space="preserve">Phase I and II study of </w:t>
      </w:r>
      <w:proofErr w:type="spellStart"/>
      <w:r w:rsidRPr="00D20366">
        <w:t>azacitidine</w:t>
      </w:r>
      <w:proofErr w:type="spellEnd"/>
      <w:r w:rsidRPr="00D20366">
        <w:t xml:space="preserve"> in Japanese patients with </w:t>
      </w:r>
      <w:proofErr w:type="spellStart"/>
      <w:r w:rsidRPr="00D20366">
        <w:t>myelodysplastic</w:t>
      </w:r>
      <w:proofErr w:type="spellEnd"/>
      <w:r w:rsidRPr="00D20366">
        <w:t xml:space="preserve"> syndromes.</w:t>
      </w:r>
      <w:r>
        <w:t xml:space="preserve"> </w:t>
      </w:r>
      <w:r w:rsidRPr="00CC4379">
        <w:rPr>
          <w:i/>
        </w:rPr>
        <w:t>Cancer Sci.</w:t>
      </w:r>
      <w:r>
        <w:t xml:space="preserve"> 102</w:t>
      </w:r>
      <w:r w:rsidRPr="00D20366">
        <w:t>:</w:t>
      </w:r>
      <w:r>
        <w:t xml:space="preserve"> </w:t>
      </w:r>
      <w:r w:rsidRPr="00D20366">
        <w:t>1680-</w:t>
      </w:r>
      <w:r>
        <w:t>168</w:t>
      </w:r>
      <w:r w:rsidRPr="00D20366">
        <w:t>6</w:t>
      </w:r>
      <w:r>
        <w:t>..</w:t>
      </w:r>
    </w:p>
  </w:footnote>
  <w:footnote w:id="8">
    <w:p w:rsidR="00883C23" w:rsidRDefault="00883C23">
      <w:pPr>
        <w:pStyle w:val="FootnoteText"/>
      </w:pPr>
      <w:r>
        <w:rPr>
          <w:rStyle w:val="FootnoteReference"/>
        </w:rPr>
        <w:footnoteRef/>
      </w:r>
      <w:r>
        <w:t xml:space="preserve"> </w:t>
      </w:r>
      <w:r w:rsidRPr="00D20366">
        <w:t xml:space="preserve">Uchida T, </w:t>
      </w:r>
      <w:r>
        <w:t xml:space="preserve">et al. (2011) </w:t>
      </w:r>
      <w:r w:rsidRPr="00D20366">
        <w:t xml:space="preserve">Phase I and II study of </w:t>
      </w:r>
      <w:proofErr w:type="spellStart"/>
      <w:r w:rsidRPr="00D20366">
        <w:t>azacitidine</w:t>
      </w:r>
      <w:proofErr w:type="spellEnd"/>
      <w:r w:rsidRPr="00D20366">
        <w:t xml:space="preserve"> in Japanese patients with </w:t>
      </w:r>
      <w:proofErr w:type="spellStart"/>
      <w:r w:rsidRPr="00D20366">
        <w:t>myelodysplastic</w:t>
      </w:r>
      <w:proofErr w:type="spellEnd"/>
      <w:r w:rsidRPr="00D20366">
        <w:t xml:space="preserve"> syndromes.</w:t>
      </w:r>
      <w:r>
        <w:t xml:space="preserve"> </w:t>
      </w:r>
      <w:r w:rsidRPr="00CC4379">
        <w:rPr>
          <w:i/>
        </w:rPr>
        <w:t>Cancer Sci.</w:t>
      </w:r>
      <w:r>
        <w:t xml:space="preserve"> 102</w:t>
      </w:r>
      <w:r w:rsidRPr="00D20366">
        <w:t>:</w:t>
      </w:r>
      <w:r>
        <w:t xml:space="preserve"> </w:t>
      </w:r>
      <w:r w:rsidRPr="00D20366">
        <w:t>1680-</w:t>
      </w:r>
      <w:r>
        <w:t>168</w:t>
      </w:r>
      <w:r w:rsidRPr="00D20366">
        <w:t>6</w:t>
      </w:r>
      <w:r>
        <w:t>.</w:t>
      </w:r>
    </w:p>
  </w:footnote>
  <w:footnote w:id="9">
    <w:p w:rsidR="00FE5ED1" w:rsidRDefault="00FE5ED1">
      <w:pPr>
        <w:pStyle w:val="FootnoteText"/>
      </w:pPr>
      <w:r>
        <w:rPr>
          <w:rStyle w:val="FootnoteReference"/>
        </w:rPr>
        <w:footnoteRef/>
      </w:r>
      <w:r>
        <w:t xml:space="preserve"> </w:t>
      </w:r>
      <w:r w:rsidRPr="00D20366">
        <w:t xml:space="preserve">Uchida T, </w:t>
      </w:r>
      <w:r>
        <w:t xml:space="preserve">et al. (2011) </w:t>
      </w:r>
      <w:r w:rsidRPr="00D20366">
        <w:t xml:space="preserve">Phase I and II study of </w:t>
      </w:r>
      <w:proofErr w:type="spellStart"/>
      <w:r w:rsidRPr="00D20366">
        <w:t>azacitidine</w:t>
      </w:r>
      <w:proofErr w:type="spellEnd"/>
      <w:r w:rsidRPr="00D20366">
        <w:t xml:space="preserve"> in Japanese patients with </w:t>
      </w:r>
      <w:proofErr w:type="spellStart"/>
      <w:r w:rsidRPr="00D20366">
        <w:t>myelodysplastic</w:t>
      </w:r>
      <w:proofErr w:type="spellEnd"/>
      <w:r w:rsidRPr="00D20366">
        <w:t xml:space="preserve"> syndromes.</w:t>
      </w:r>
      <w:r>
        <w:t xml:space="preserve"> </w:t>
      </w:r>
      <w:r w:rsidRPr="00CC4379">
        <w:rPr>
          <w:i/>
        </w:rPr>
        <w:t>Cancer Sci.</w:t>
      </w:r>
      <w:r>
        <w:t xml:space="preserve"> 102</w:t>
      </w:r>
      <w:r w:rsidRPr="00D20366">
        <w:t>:</w:t>
      </w:r>
      <w:r>
        <w:t xml:space="preserve"> </w:t>
      </w:r>
      <w:r w:rsidRPr="00D20366">
        <w:t>1680-</w:t>
      </w:r>
      <w:r>
        <w:t>168</w:t>
      </w:r>
      <w:r w:rsidRPr="00D20366">
        <w:t>6</w:t>
      </w:r>
      <w:r>
        <w:t>.</w:t>
      </w:r>
    </w:p>
  </w:footnote>
  <w:footnote w:id="10">
    <w:p w:rsidR="0000502C" w:rsidRDefault="0000502C">
      <w:pPr>
        <w:pStyle w:val="FootnoteText"/>
      </w:pPr>
      <w:r>
        <w:rPr>
          <w:rStyle w:val="FootnoteReference"/>
        </w:rPr>
        <w:footnoteRef/>
      </w:r>
      <w:r>
        <w:t xml:space="preserve"> </w:t>
      </w:r>
      <w:proofErr w:type="spellStart"/>
      <w:r w:rsidR="00854F42" w:rsidRPr="00395693">
        <w:t>Grinblatt</w:t>
      </w:r>
      <w:proofErr w:type="spellEnd"/>
      <w:r w:rsidR="00854F42" w:rsidRPr="00395693">
        <w:t xml:space="preserve"> </w:t>
      </w:r>
      <w:r w:rsidR="00854F42">
        <w:t xml:space="preserve">DL, </w:t>
      </w:r>
      <w:r w:rsidR="00313E9A" w:rsidRPr="00395693">
        <w:t xml:space="preserve">et al. </w:t>
      </w:r>
      <w:r w:rsidR="00854F42">
        <w:t>“</w:t>
      </w:r>
      <w:r w:rsidR="00313E9A" w:rsidRPr="00395693">
        <w:t xml:space="preserve">Patients with </w:t>
      </w:r>
      <w:proofErr w:type="spellStart"/>
      <w:r w:rsidR="00313E9A" w:rsidRPr="00395693">
        <w:t>Haematologic</w:t>
      </w:r>
      <w:proofErr w:type="spellEnd"/>
      <w:r w:rsidR="00313E9A" w:rsidRPr="00395693">
        <w:t xml:space="preserve"> disorders receiving </w:t>
      </w:r>
      <w:proofErr w:type="spellStart"/>
      <w:r w:rsidR="00313E9A" w:rsidRPr="00395693">
        <w:t>azacitidine</w:t>
      </w:r>
      <w:proofErr w:type="spellEnd"/>
      <w:r w:rsidR="00313E9A" w:rsidRPr="00395693">
        <w:t xml:space="preserve"> who are enrolled in AVIDA, a longitudinal patient registry, achieve transfusion independence</w:t>
      </w:r>
      <w:r w:rsidR="00E76E15">
        <w:t>”,</w:t>
      </w:r>
      <w:r w:rsidR="00313E9A" w:rsidRPr="00395693">
        <w:t xml:space="preserve"> Presented at the 10th </w:t>
      </w:r>
      <w:r w:rsidR="00854F42">
        <w:t>international symposium on MDS,</w:t>
      </w:r>
      <w:r w:rsidR="00313E9A" w:rsidRPr="00395693">
        <w:t xml:space="preserve"> </w:t>
      </w:r>
      <w:proofErr w:type="spellStart"/>
      <w:r w:rsidR="00313E9A" w:rsidRPr="00395693">
        <w:t>Patras</w:t>
      </w:r>
      <w:proofErr w:type="spellEnd"/>
      <w:r w:rsidR="00313E9A" w:rsidRPr="00395693">
        <w:t xml:space="preserve">, Greece, 7 May 2009; </w:t>
      </w:r>
      <w:proofErr w:type="spellStart"/>
      <w:r w:rsidR="00313E9A" w:rsidRPr="00395693">
        <w:t>Grinblatt</w:t>
      </w:r>
      <w:proofErr w:type="spellEnd"/>
      <w:r w:rsidR="00313E9A" w:rsidRPr="00395693">
        <w:t xml:space="preserve"> </w:t>
      </w:r>
      <w:r w:rsidR="00854F42">
        <w:t xml:space="preserve">DL, </w:t>
      </w:r>
      <w:r w:rsidR="00313E9A" w:rsidRPr="00395693">
        <w:t>et al</w:t>
      </w:r>
      <w:r w:rsidR="00313E9A">
        <w:t xml:space="preserve">. </w:t>
      </w:r>
      <w:r w:rsidR="00854F42">
        <w:t>“</w:t>
      </w:r>
      <w:r w:rsidR="00313E9A" w:rsidRPr="00395693">
        <w:t>Patients with secondary MDS who are enrolled in AVI</w:t>
      </w:r>
      <w:r w:rsidR="00313E9A">
        <w:t xml:space="preserve">DA, a longitudinal registry for </w:t>
      </w:r>
      <w:r w:rsidR="00313E9A" w:rsidRPr="00395693">
        <w:t>patient</w:t>
      </w:r>
      <w:r w:rsidR="00313E9A">
        <w:t xml:space="preserve"> </w:t>
      </w:r>
      <w:r w:rsidR="00313E9A" w:rsidRPr="00395693">
        <w:t>receiving azacitidine</w:t>
      </w:r>
      <w:r w:rsidR="00854F42">
        <w:t>”,</w:t>
      </w:r>
      <w:r w:rsidR="00313E9A">
        <w:t xml:space="preserve"> P</w:t>
      </w:r>
      <w:r w:rsidR="00313E9A" w:rsidRPr="00395693">
        <w:t>resented at the 45th Annual meeting of the American Society of</w:t>
      </w:r>
      <w:r w:rsidR="00313E9A">
        <w:t xml:space="preserve"> </w:t>
      </w:r>
      <w:r w:rsidR="00313E9A" w:rsidRPr="00395693">
        <w:t>Clinical Onco</w:t>
      </w:r>
      <w:r w:rsidR="00313E9A">
        <w:t xml:space="preserve">logy, </w:t>
      </w:r>
      <w:proofErr w:type="spellStart"/>
      <w:r w:rsidR="00313E9A">
        <w:t>Orlando</w:t>
      </w:r>
      <w:proofErr w:type="spellEnd"/>
      <w:r w:rsidR="00313E9A">
        <w:t xml:space="preserve">, Florida, 30 May </w:t>
      </w:r>
      <w:r w:rsidR="00313E9A" w:rsidRPr="00395693">
        <w:t>2009</w:t>
      </w:r>
      <w:r w:rsidR="00313E9A">
        <w:t>.</w:t>
      </w:r>
    </w:p>
  </w:footnote>
  <w:footnote w:id="11">
    <w:p w:rsidR="00F83CBA" w:rsidRDefault="00F83CBA">
      <w:pPr>
        <w:pStyle w:val="FootnoteText"/>
      </w:pPr>
      <w:r>
        <w:rPr>
          <w:rStyle w:val="FootnoteReference"/>
        </w:rPr>
        <w:footnoteRef/>
      </w:r>
      <w:r>
        <w:t xml:space="preserve"> </w:t>
      </w:r>
      <w:proofErr w:type="spellStart"/>
      <w:r w:rsidR="004D1ED6" w:rsidRPr="00395693">
        <w:t>Sekeres</w:t>
      </w:r>
      <w:proofErr w:type="spellEnd"/>
      <w:r w:rsidR="004D1ED6" w:rsidRPr="00395693">
        <w:t xml:space="preserve"> MA, et al. </w:t>
      </w:r>
      <w:r w:rsidR="00854F42">
        <w:t>“</w:t>
      </w:r>
      <w:r w:rsidR="004D1ED6" w:rsidRPr="00395693">
        <w:t xml:space="preserve">A study comparing dosing regimens and efficacy of subcutaneous to intravenous azacitidine (AZA) for the treatment of </w:t>
      </w:r>
      <w:proofErr w:type="spellStart"/>
      <w:r w:rsidR="004D1ED6" w:rsidRPr="00395693">
        <w:t>myelodysplastic</w:t>
      </w:r>
      <w:proofErr w:type="spellEnd"/>
      <w:r w:rsidR="004D1ED6" w:rsidRPr="00395693">
        <w:t xml:space="preserve"> syndromes (MDS)</w:t>
      </w:r>
      <w:r w:rsidR="00854F42">
        <w:t xml:space="preserve">”, </w:t>
      </w:r>
      <w:r w:rsidR="004D1ED6" w:rsidRPr="00395693">
        <w:t xml:space="preserve">Abstract # 3797, American Society of </w:t>
      </w:r>
      <w:proofErr w:type="spellStart"/>
      <w:r w:rsidR="004D1ED6" w:rsidRPr="00395693">
        <w:t>Hematology</w:t>
      </w:r>
      <w:proofErr w:type="spellEnd"/>
      <w:r w:rsidR="004D1ED6" w:rsidRPr="00395693">
        <w:t>, 51st Annual Meeting and Exposition, 5-8 December 2009, New Orleans, LA</w:t>
      </w:r>
      <w:r w:rsidR="00854F42">
        <w:t>, USA.</w:t>
      </w:r>
    </w:p>
  </w:footnote>
  <w:footnote w:id="12">
    <w:p w:rsidR="00F83CBA" w:rsidRDefault="00F83CBA">
      <w:pPr>
        <w:pStyle w:val="FootnoteText"/>
      </w:pPr>
      <w:r>
        <w:rPr>
          <w:rStyle w:val="FootnoteReference"/>
        </w:rPr>
        <w:footnoteRef/>
      </w:r>
      <w:r>
        <w:t xml:space="preserve"> </w:t>
      </w:r>
      <w:proofErr w:type="spellStart"/>
      <w:r w:rsidR="00854F42">
        <w:t>Grinblatt</w:t>
      </w:r>
      <w:proofErr w:type="spellEnd"/>
      <w:r w:rsidR="00854F42">
        <w:t xml:space="preserve"> DL, et al. “</w:t>
      </w:r>
      <w:r w:rsidR="00854F42" w:rsidRPr="00395693">
        <w:t xml:space="preserve">Treatment of patients with high-risk </w:t>
      </w:r>
      <w:proofErr w:type="spellStart"/>
      <w:r w:rsidR="00854F42" w:rsidRPr="00395693">
        <w:t>myelodysplastic</w:t>
      </w:r>
      <w:proofErr w:type="spellEnd"/>
      <w:r w:rsidR="00854F42" w:rsidRPr="00395693">
        <w:t xml:space="preserve"> syndromes receiving </w:t>
      </w:r>
      <w:proofErr w:type="spellStart"/>
      <w:r w:rsidR="00854F42" w:rsidRPr="00395693">
        <w:t>azacitidine</w:t>
      </w:r>
      <w:proofErr w:type="spellEnd"/>
      <w:r w:rsidR="00854F42">
        <w:t xml:space="preserve"> </w:t>
      </w:r>
      <w:r w:rsidR="00854F42" w:rsidRPr="00395693">
        <w:t>who are enrolled in AVIDA, a longitudinal patient registr</w:t>
      </w:r>
      <w:r w:rsidR="00854F42">
        <w:t xml:space="preserve">y”, </w:t>
      </w:r>
      <w:r w:rsidR="00854F42" w:rsidRPr="00395693">
        <w:t xml:space="preserve">Abstract # 1345, European </w:t>
      </w:r>
      <w:proofErr w:type="spellStart"/>
      <w:r w:rsidR="00854F42" w:rsidRPr="00395693">
        <w:t>Hematology</w:t>
      </w:r>
      <w:proofErr w:type="spellEnd"/>
      <w:r w:rsidR="00854F42" w:rsidRPr="00395693">
        <w:t xml:space="preserve"> Assoc</w:t>
      </w:r>
      <w:r w:rsidR="00854F42">
        <w:t>iation, 14th Congress, 4-7 June</w:t>
      </w:r>
      <w:r w:rsidR="00854F42" w:rsidRPr="00395693">
        <w:t xml:space="preserve"> 2009,</w:t>
      </w:r>
      <w:r w:rsidR="00854F42">
        <w:t xml:space="preserve"> </w:t>
      </w:r>
      <w:r w:rsidR="00854F42" w:rsidRPr="00395693">
        <w:t>Berlin, Germany</w:t>
      </w:r>
      <w:r w:rsidR="00854F42">
        <w:t>.</w:t>
      </w:r>
    </w:p>
  </w:footnote>
  <w:footnote w:id="13">
    <w:p w:rsidR="00F83CBA" w:rsidRDefault="00F83CBA">
      <w:pPr>
        <w:pStyle w:val="FootnoteText"/>
      </w:pPr>
      <w:r>
        <w:rPr>
          <w:rStyle w:val="FootnoteReference"/>
        </w:rPr>
        <w:footnoteRef/>
      </w:r>
      <w:r>
        <w:t xml:space="preserve"> </w:t>
      </w:r>
      <w:proofErr w:type="spellStart"/>
      <w:r w:rsidR="00854F42">
        <w:t>Grinblatt</w:t>
      </w:r>
      <w:proofErr w:type="spellEnd"/>
      <w:r w:rsidR="00854F42">
        <w:t xml:space="preserve"> DL, et al. “</w:t>
      </w:r>
      <w:r w:rsidR="00854F42" w:rsidRPr="00395693">
        <w:t>AVIDA, a Longitudinal Patient Registry: Treatment of Patients with Low-Risk</w:t>
      </w:r>
      <w:r w:rsidR="00854F42">
        <w:t xml:space="preserve"> </w:t>
      </w:r>
      <w:proofErr w:type="spellStart"/>
      <w:r w:rsidR="00854F42" w:rsidRPr="00395693">
        <w:t>Myelodysplastic</w:t>
      </w:r>
      <w:proofErr w:type="spellEnd"/>
      <w:r w:rsidR="00854F42" w:rsidRPr="00395693">
        <w:t xml:space="preserve"> </w:t>
      </w:r>
      <w:r w:rsidR="00854F42">
        <w:t xml:space="preserve">Syndromes Receiving </w:t>
      </w:r>
      <w:proofErr w:type="spellStart"/>
      <w:r w:rsidR="00854F42">
        <w:t>Azacitidine</w:t>
      </w:r>
      <w:proofErr w:type="spellEnd"/>
      <w:r w:rsidR="00854F42">
        <w:t xml:space="preserve">. </w:t>
      </w:r>
      <w:r w:rsidR="00854F42" w:rsidRPr="00395693">
        <w:t>Physicians’ Education Resource, 13th Annual International Congress on Hematologic</w:t>
      </w:r>
      <w:r w:rsidR="00854F42">
        <w:t xml:space="preserve"> </w:t>
      </w:r>
      <w:r w:rsidR="00854F42" w:rsidRPr="00395693">
        <w:t xml:space="preserve">Malignancies: Focus on </w:t>
      </w:r>
      <w:proofErr w:type="spellStart"/>
      <w:r w:rsidR="00854F42" w:rsidRPr="00395693">
        <w:t>Leukemias</w:t>
      </w:r>
      <w:proofErr w:type="spellEnd"/>
      <w:r w:rsidR="00854F42" w:rsidRPr="00395693">
        <w:t>, Lymphoma</w:t>
      </w:r>
      <w:r w:rsidR="00854F42">
        <w:t>s, and Myelomas”, 11-15 February</w:t>
      </w:r>
      <w:r w:rsidR="00854F42" w:rsidRPr="00395693">
        <w:t xml:space="preserve"> 2009,</w:t>
      </w:r>
      <w:r w:rsidR="00854F42">
        <w:t xml:space="preserve"> </w:t>
      </w:r>
      <w:r w:rsidR="00854F42" w:rsidRPr="00395693">
        <w:t>Whistler, British Columbia, Canada</w:t>
      </w:r>
      <w:r w:rsidR="00D7487F">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AD5" w:rsidRDefault="00803AD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9E4" w:rsidRDefault="00DC09E4"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9E4" w:rsidRDefault="00AC7BD2">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DC09E4" w:rsidRDefault="00AC7BD2" w:rsidP="00593AD1">
    <w:pPr>
      <w:pStyle w:val="HeaderNoLine"/>
    </w:pPr>
    <w:r>
      <w:rPr>
        <w:noProof/>
        <w:lang w:eastAsia="en-AU"/>
      </w:rPr>
      <w:drawing>
        <wp:inline distT="0" distB="0" distL="0" distR="0">
          <wp:extent cx="5396865" cy="7635240"/>
          <wp:effectExtent l="19050" t="0" r="0" b="0"/>
          <wp:docPr id="9" name="Picture 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9E4" w:rsidRDefault="00DC09E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9E4" w:rsidRDefault="00DC09E4">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9E4" w:rsidRDefault="00DC09E4">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9E4" w:rsidRDefault="00DC09E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9E4" w:rsidRDefault="00DC09E4" w:rsidP="004C239D">
    <w:pPr>
      <w:pStyle w:val="HeaderNoLin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9E4" w:rsidRDefault="00DC09E4" w:rsidP="006E08B3">
    <w:r>
      <w:t>Therapeutic Goods Administration</w:t>
    </w:r>
  </w:p>
  <w:p w:rsidR="00DC09E4" w:rsidRDefault="00DC09E4"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7CA78F0"/>
    <w:multiLevelType w:val="hybridMultilevel"/>
    <w:tmpl w:val="ADBEC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7E08EA"/>
    <w:multiLevelType w:val="hybridMultilevel"/>
    <w:tmpl w:val="B0EE3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A381E44"/>
    <w:multiLevelType w:val="hybridMultilevel"/>
    <w:tmpl w:val="B4D4A42E"/>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nsid w:val="25D92D5E"/>
    <w:multiLevelType w:val="hybridMultilevel"/>
    <w:tmpl w:val="60B44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523FED"/>
    <w:multiLevelType w:val="hybridMultilevel"/>
    <w:tmpl w:val="70A83D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6995520"/>
    <w:multiLevelType w:val="hybridMultilevel"/>
    <w:tmpl w:val="569E5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7D23FDD"/>
    <w:multiLevelType w:val="hybridMultilevel"/>
    <w:tmpl w:val="8F0C2580"/>
    <w:lvl w:ilvl="0" w:tplc="0C090003">
      <w:start w:val="1"/>
      <w:numFmt w:val="bullet"/>
      <w:lvlText w:val="o"/>
      <w:lvlJc w:val="left"/>
      <w:pPr>
        <w:ind w:left="1004" w:hanging="360"/>
      </w:pPr>
      <w:rPr>
        <w:rFonts w:ascii="Courier New" w:hAnsi="Courier New" w:cs="Courier New" w:hint="default"/>
        <w:sz w:val="24"/>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ED66455"/>
    <w:multiLevelType w:val="hybridMultilevel"/>
    <w:tmpl w:val="29D08350"/>
    <w:lvl w:ilvl="0" w:tplc="F6D2763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41662FCB"/>
    <w:multiLevelType w:val="hybridMultilevel"/>
    <w:tmpl w:val="9246F7F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F8D11CF"/>
    <w:multiLevelType w:val="hybridMultilevel"/>
    <w:tmpl w:val="AB102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82F5EDE"/>
    <w:multiLevelType w:val="hybridMultilevel"/>
    <w:tmpl w:val="8C0AB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5E24944"/>
    <w:multiLevelType w:val="hybridMultilevel"/>
    <w:tmpl w:val="DB42F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1B15101"/>
    <w:multiLevelType w:val="hybridMultilevel"/>
    <w:tmpl w:val="D6E4A06E"/>
    <w:lvl w:ilvl="0" w:tplc="A9A0E488">
      <w:numFmt w:val="bullet"/>
      <w:lvlText w:val="-"/>
      <w:lvlJc w:val="left"/>
      <w:pPr>
        <w:ind w:left="108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BD31B2A"/>
    <w:multiLevelType w:val="hybridMultilevel"/>
    <w:tmpl w:val="C47E89F2"/>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nsid w:val="7CF62B5D"/>
    <w:multiLevelType w:val="hybridMultilevel"/>
    <w:tmpl w:val="95DA381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7"/>
  </w:num>
  <w:num w:numId="29">
    <w:abstractNumId w:val="21"/>
  </w:num>
  <w:num w:numId="30">
    <w:abstractNumId w:val="4"/>
  </w:num>
  <w:num w:numId="31">
    <w:abstractNumId w:val="16"/>
  </w:num>
  <w:num w:numId="32">
    <w:abstractNumId w:val="15"/>
  </w:num>
  <w:num w:numId="33">
    <w:abstractNumId w:val="11"/>
  </w:num>
  <w:num w:numId="34">
    <w:abstractNumId w:val="14"/>
  </w:num>
  <w:num w:numId="35">
    <w:abstractNumId w:val="20"/>
  </w:num>
  <w:num w:numId="36">
    <w:abstractNumId w:val="19"/>
  </w:num>
  <w:num w:numId="37">
    <w:abstractNumId w:val="18"/>
  </w:num>
  <w:num w:numId="38">
    <w:abstractNumId w:val="12"/>
  </w:num>
  <w:num w:numId="39">
    <w:abstractNumId w:val="8"/>
  </w:num>
  <w:num w:numId="40">
    <w:abstractNumId w:val="23"/>
  </w:num>
  <w:num w:numId="41">
    <w:abstractNumId w:val="6"/>
  </w:num>
  <w:num w:numId="42">
    <w:abstractNumId w:val="22"/>
  </w:num>
  <w:num w:numId="43">
    <w:abstractNumId w:val="9"/>
  </w:num>
  <w:num w:numId="4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51201">
      <o:colormenu v:ext="edit" fillcolor="none [3206]"/>
    </o:shapedefaults>
  </w:hdrShapeDefaults>
  <w:footnotePr>
    <w:footnote w:id="-1"/>
    <w:footnote w:id="0"/>
  </w:footnotePr>
  <w:endnotePr>
    <w:endnote w:id="-1"/>
    <w:endnote w:id="0"/>
  </w:endnotePr>
  <w:compat/>
  <w:rsids>
    <w:rsidRoot w:val="000871C1"/>
    <w:rsid w:val="00002031"/>
    <w:rsid w:val="00003A9F"/>
    <w:rsid w:val="00004734"/>
    <w:rsid w:val="0000502C"/>
    <w:rsid w:val="00006B22"/>
    <w:rsid w:val="000105DC"/>
    <w:rsid w:val="0001276A"/>
    <w:rsid w:val="000246AE"/>
    <w:rsid w:val="00025C67"/>
    <w:rsid w:val="0002699E"/>
    <w:rsid w:val="00032625"/>
    <w:rsid w:val="00046341"/>
    <w:rsid w:val="0005559E"/>
    <w:rsid w:val="000668B2"/>
    <w:rsid w:val="00077775"/>
    <w:rsid w:val="00082487"/>
    <w:rsid w:val="00085160"/>
    <w:rsid w:val="000871C1"/>
    <w:rsid w:val="00090471"/>
    <w:rsid w:val="00096AA7"/>
    <w:rsid w:val="000A3AED"/>
    <w:rsid w:val="000B3532"/>
    <w:rsid w:val="000B3A75"/>
    <w:rsid w:val="000C690F"/>
    <w:rsid w:val="000D07DF"/>
    <w:rsid w:val="000D1295"/>
    <w:rsid w:val="000D391B"/>
    <w:rsid w:val="000D395F"/>
    <w:rsid w:val="000D3D6D"/>
    <w:rsid w:val="000D4FC7"/>
    <w:rsid w:val="000D5AB3"/>
    <w:rsid w:val="000D73F7"/>
    <w:rsid w:val="000E06F8"/>
    <w:rsid w:val="000F4869"/>
    <w:rsid w:val="000F5B42"/>
    <w:rsid w:val="000F6E6F"/>
    <w:rsid w:val="00100CBC"/>
    <w:rsid w:val="0010601F"/>
    <w:rsid w:val="0010788A"/>
    <w:rsid w:val="00107A31"/>
    <w:rsid w:val="00110D4C"/>
    <w:rsid w:val="00110EA5"/>
    <w:rsid w:val="00110FF5"/>
    <w:rsid w:val="00112F56"/>
    <w:rsid w:val="00116447"/>
    <w:rsid w:val="00124EC7"/>
    <w:rsid w:val="00125318"/>
    <w:rsid w:val="00127CEB"/>
    <w:rsid w:val="001305A2"/>
    <w:rsid w:val="00132D8D"/>
    <w:rsid w:val="00133238"/>
    <w:rsid w:val="0013563E"/>
    <w:rsid w:val="00141700"/>
    <w:rsid w:val="0014197B"/>
    <w:rsid w:val="00142DDD"/>
    <w:rsid w:val="001447CD"/>
    <w:rsid w:val="0014643D"/>
    <w:rsid w:val="001516B1"/>
    <w:rsid w:val="00154EBB"/>
    <w:rsid w:val="00156316"/>
    <w:rsid w:val="0015674A"/>
    <w:rsid w:val="00157407"/>
    <w:rsid w:val="00161521"/>
    <w:rsid w:val="00162D14"/>
    <w:rsid w:val="00164D1B"/>
    <w:rsid w:val="00165389"/>
    <w:rsid w:val="001702E6"/>
    <w:rsid w:val="00175776"/>
    <w:rsid w:val="0017580E"/>
    <w:rsid w:val="0017693F"/>
    <w:rsid w:val="0018110E"/>
    <w:rsid w:val="00181684"/>
    <w:rsid w:val="001843C6"/>
    <w:rsid w:val="00184635"/>
    <w:rsid w:val="001850E0"/>
    <w:rsid w:val="001870E0"/>
    <w:rsid w:val="0019085A"/>
    <w:rsid w:val="001A2158"/>
    <w:rsid w:val="001A525F"/>
    <w:rsid w:val="001A6F9F"/>
    <w:rsid w:val="001A7944"/>
    <w:rsid w:val="001B09F9"/>
    <w:rsid w:val="001B2065"/>
    <w:rsid w:val="001B23F9"/>
    <w:rsid w:val="001B6448"/>
    <w:rsid w:val="001E07CF"/>
    <w:rsid w:val="001E3005"/>
    <w:rsid w:val="001E4538"/>
    <w:rsid w:val="001E59F1"/>
    <w:rsid w:val="001F19BA"/>
    <w:rsid w:val="001F49EB"/>
    <w:rsid w:val="001F6CBA"/>
    <w:rsid w:val="0020008E"/>
    <w:rsid w:val="00200E20"/>
    <w:rsid w:val="00201D4E"/>
    <w:rsid w:val="00203923"/>
    <w:rsid w:val="002076C9"/>
    <w:rsid w:val="0021684B"/>
    <w:rsid w:val="002202BA"/>
    <w:rsid w:val="00220B8A"/>
    <w:rsid w:val="0022248C"/>
    <w:rsid w:val="002257F3"/>
    <w:rsid w:val="00225C6D"/>
    <w:rsid w:val="00230B48"/>
    <w:rsid w:val="00233456"/>
    <w:rsid w:val="0023373D"/>
    <w:rsid w:val="002339A5"/>
    <w:rsid w:val="00235358"/>
    <w:rsid w:val="00257848"/>
    <w:rsid w:val="00261904"/>
    <w:rsid w:val="0027084A"/>
    <w:rsid w:val="002802EB"/>
    <w:rsid w:val="00281AAC"/>
    <w:rsid w:val="00282EAD"/>
    <w:rsid w:val="00286434"/>
    <w:rsid w:val="00286C59"/>
    <w:rsid w:val="00291957"/>
    <w:rsid w:val="002942D1"/>
    <w:rsid w:val="0029501A"/>
    <w:rsid w:val="002A73A5"/>
    <w:rsid w:val="002A7F4A"/>
    <w:rsid w:val="002B1638"/>
    <w:rsid w:val="002B220E"/>
    <w:rsid w:val="002C4AFA"/>
    <w:rsid w:val="002D7F31"/>
    <w:rsid w:val="002E4C9A"/>
    <w:rsid w:val="002F11F8"/>
    <w:rsid w:val="002F3F56"/>
    <w:rsid w:val="002F44B5"/>
    <w:rsid w:val="00301406"/>
    <w:rsid w:val="00307859"/>
    <w:rsid w:val="00311AC0"/>
    <w:rsid w:val="00311F68"/>
    <w:rsid w:val="00313E9A"/>
    <w:rsid w:val="00314DE4"/>
    <w:rsid w:val="0032583B"/>
    <w:rsid w:val="00327883"/>
    <w:rsid w:val="00330628"/>
    <w:rsid w:val="00335504"/>
    <w:rsid w:val="003521E8"/>
    <w:rsid w:val="0035223E"/>
    <w:rsid w:val="0035775F"/>
    <w:rsid w:val="003728F3"/>
    <w:rsid w:val="00373D9E"/>
    <w:rsid w:val="0037496E"/>
    <w:rsid w:val="00376425"/>
    <w:rsid w:val="00386150"/>
    <w:rsid w:val="003874CE"/>
    <w:rsid w:val="00390900"/>
    <w:rsid w:val="00393B97"/>
    <w:rsid w:val="00396918"/>
    <w:rsid w:val="003A7F6C"/>
    <w:rsid w:val="003B4D60"/>
    <w:rsid w:val="003B7E39"/>
    <w:rsid w:val="003C58DC"/>
    <w:rsid w:val="003C7ED9"/>
    <w:rsid w:val="003D1E62"/>
    <w:rsid w:val="003D6F7A"/>
    <w:rsid w:val="003E2486"/>
    <w:rsid w:val="003E3208"/>
    <w:rsid w:val="003E718A"/>
    <w:rsid w:val="003F0B04"/>
    <w:rsid w:val="0040134E"/>
    <w:rsid w:val="004022FC"/>
    <w:rsid w:val="00403F09"/>
    <w:rsid w:val="004076D7"/>
    <w:rsid w:val="00420A26"/>
    <w:rsid w:val="0043621D"/>
    <w:rsid w:val="00440332"/>
    <w:rsid w:val="00440A2D"/>
    <w:rsid w:val="0044200A"/>
    <w:rsid w:val="00443585"/>
    <w:rsid w:val="00453B96"/>
    <w:rsid w:val="004564A7"/>
    <w:rsid w:val="004617BF"/>
    <w:rsid w:val="00462D6E"/>
    <w:rsid w:val="00463658"/>
    <w:rsid w:val="004722CC"/>
    <w:rsid w:val="00476702"/>
    <w:rsid w:val="00483E0E"/>
    <w:rsid w:val="004936E4"/>
    <w:rsid w:val="00494E60"/>
    <w:rsid w:val="00497487"/>
    <w:rsid w:val="004A0AE2"/>
    <w:rsid w:val="004A4EB5"/>
    <w:rsid w:val="004B0743"/>
    <w:rsid w:val="004B4E3F"/>
    <w:rsid w:val="004B7B76"/>
    <w:rsid w:val="004C239D"/>
    <w:rsid w:val="004C2DCA"/>
    <w:rsid w:val="004D1ED6"/>
    <w:rsid w:val="004D4A8E"/>
    <w:rsid w:val="004D7ACD"/>
    <w:rsid w:val="004E2B1D"/>
    <w:rsid w:val="004E7C40"/>
    <w:rsid w:val="004F0554"/>
    <w:rsid w:val="004F0F38"/>
    <w:rsid w:val="00501921"/>
    <w:rsid w:val="00507111"/>
    <w:rsid w:val="00507F55"/>
    <w:rsid w:val="00516F99"/>
    <w:rsid w:val="00517077"/>
    <w:rsid w:val="005179E7"/>
    <w:rsid w:val="00530354"/>
    <w:rsid w:val="0053625B"/>
    <w:rsid w:val="00541739"/>
    <w:rsid w:val="005434C6"/>
    <w:rsid w:val="00543B39"/>
    <w:rsid w:val="00550096"/>
    <w:rsid w:val="00554831"/>
    <w:rsid w:val="00556A22"/>
    <w:rsid w:val="00557889"/>
    <w:rsid w:val="00557FF9"/>
    <w:rsid w:val="0056129F"/>
    <w:rsid w:val="00565530"/>
    <w:rsid w:val="00567374"/>
    <w:rsid w:val="00573AD7"/>
    <w:rsid w:val="00576378"/>
    <w:rsid w:val="00577130"/>
    <w:rsid w:val="005774C0"/>
    <w:rsid w:val="00577945"/>
    <w:rsid w:val="00577E38"/>
    <w:rsid w:val="00580CA2"/>
    <w:rsid w:val="00581F6C"/>
    <w:rsid w:val="00585322"/>
    <w:rsid w:val="005857C6"/>
    <w:rsid w:val="00587B89"/>
    <w:rsid w:val="00592F6E"/>
    <w:rsid w:val="00593AD1"/>
    <w:rsid w:val="00594995"/>
    <w:rsid w:val="00596954"/>
    <w:rsid w:val="0059775B"/>
    <w:rsid w:val="005A3129"/>
    <w:rsid w:val="005A68B6"/>
    <w:rsid w:val="005A6F7F"/>
    <w:rsid w:val="005C51AF"/>
    <w:rsid w:val="005C5570"/>
    <w:rsid w:val="005C68E5"/>
    <w:rsid w:val="005C79A4"/>
    <w:rsid w:val="005D4649"/>
    <w:rsid w:val="005D5442"/>
    <w:rsid w:val="005D6828"/>
    <w:rsid w:val="00601DFB"/>
    <w:rsid w:val="00603BA3"/>
    <w:rsid w:val="00603F32"/>
    <w:rsid w:val="006100C3"/>
    <w:rsid w:val="006132F5"/>
    <w:rsid w:val="00625A6E"/>
    <w:rsid w:val="00627F86"/>
    <w:rsid w:val="00632398"/>
    <w:rsid w:val="00640FC3"/>
    <w:rsid w:val="00642020"/>
    <w:rsid w:val="00643A67"/>
    <w:rsid w:val="00651CA8"/>
    <w:rsid w:val="0065337B"/>
    <w:rsid w:val="0065419D"/>
    <w:rsid w:val="00654BC0"/>
    <w:rsid w:val="0065532C"/>
    <w:rsid w:val="00656FED"/>
    <w:rsid w:val="00657540"/>
    <w:rsid w:val="006604D8"/>
    <w:rsid w:val="006611FA"/>
    <w:rsid w:val="00661EEF"/>
    <w:rsid w:val="00664A5B"/>
    <w:rsid w:val="006734FC"/>
    <w:rsid w:val="006763BA"/>
    <w:rsid w:val="006763D2"/>
    <w:rsid w:val="00680C08"/>
    <w:rsid w:val="00680D78"/>
    <w:rsid w:val="006931B1"/>
    <w:rsid w:val="006A15C0"/>
    <w:rsid w:val="006B1F84"/>
    <w:rsid w:val="006C23E8"/>
    <w:rsid w:val="006C3E2A"/>
    <w:rsid w:val="006C642F"/>
    <w:rsid w:val="006D03E5"/>
    <w:rsid w:val="006D06ED"/>
    <w:rsid w:val="006D42B3"/>
    <w:rsid w:val="006D5D3E"/>
    <w:rsid w:val="006E08B3"/>
    <w:rsid w:val="006F071F"/>
    <w:rsid w:val="006F17AC"/>
    <w:rsid w:val="006F1998"/>
    <w:rsid w:val="006F572E"/>
    <w:rsid w:val="006F69C6"/>
    <w:rsid w:val="006F7083"/>
    <w:rsid w:val="007046D6"/>
    <w:rsid w:val="00705DB0"/>
    <w:rsid w:val="00717AB0"/>
    <w:rsid w:val="00722B57"/>
    <w:rsid w:val="007419EB"/>
    <w:rsid w:val="0074253D"/>
    <w:rsid w:val="0074429B"/>
    <w:rsid w:val="0074528B"/>
    <w:rsid w:val="00747D1E"/>
    <w:rsid w:val="00755810"/>
    <w:rsid w:val="007615BC"/>
    <w:rsid w:val="00762F05"/>
    <w:rsid w:val="007652FF"/>
    <w:rsid w:val="00765EF9"/>
    <w:rsid w:val="00770EF1"/>
    <w:rsid w:val="00773EF7"/>
    <w:rsid w:val="00774E1D"/>
    <w:rsid w:val="0077675A"/>
    <w:rsid w:val="00780355"/>
    <w:rsid w:val="00781826"/>
    <w:rsid w:val="00785721"/>
    <w:rsid w:val="00793A59"/>
    <w:rsid w:val="0079502D"/>
    <w:rsid w:val="00797D2B"/>
    <w:rsid w:val="007B2815"/>
    <w:rsid w:val="007B4D26"/>
    <w:rsid w:val="007B6E9F"/>
    <w:rsid w:val="007C0CF3"/>
    <w:rsid w:val="007C1216"/>
    <w:rsid w:val="007C1AF7"/>
    <w:rsid w:val="007D1B41"/>
    <w:rsid w:val="007D431C"/>
    <w:rsid w:val="007E4871"/>
    <w:rsid w:val="007E7BBD"/>
    <w:rsid w:val="007F202D"/>
    <w:rsid w:val="007F7DF6"/>
    <w:rsid w:val="008028CD"/>
    <w:rsid w:val="00803AD5"/>
    <w:rsid w:val="00805D27"/>
    <w:rsid w:val="00810632"/>
    <w:rsid w:val="00814E33"/>
    <w:rsid w:val="00821776"/>
    <w:rsid w:val="008321F5"/>
    <w:rsid w:val="00832369"/>
    <w:rsid w:val="00834660"/>
    <w:rsid w:val="00834B8D"/>
    <w:rsid w:val="00836BC2"/>
    <w:rsid w:val="0084031D"/>
    <w:rsid w:val="008469AE"/>
    <w:rsid w:val="00854F42"/>
    <w:rsid w:val="0085641B"/>
    <w:rsid w:val="00857136"/>
    <w:rsid w:val="00857BB7"/>
    <w:rsid w:val="00867F17"/>
    <w:rsid w:val="00876904"/>
    <w:rsid w:val="0088212D"/>
    <w:rsid w:val="00883C23"/>
    <w:rsid w:val="00885B11"/>
    <w:rsid w:val="00885C4F"/>
    <w:rsid w:val="00886D15"/>
    <w:rsid w:val="00887DD8"/>
    <w:rsid w:val="00896018"/>
    <w:rsid w:val="008960DD"/>
    <w:rsid w:val="0089635C"/>
    <w:rsid w:val="008A2B01"/>
    <w:rsid w:val="008A2B9D"/>
    <w:rsid w:val="008A5E0B"/>
    <w:rsid w:val="008A6D59"/>
    <w:rsid w:val="008B2743"/>
    <w:rsid w:val="008B4B03"/>
    <w:rsid w:val="008B596F"/>
    <w:rsid w:val="008C159F"/>
    <w:rsid w:val="008C1623"/>
    <w:rsid w:val="008C1850"/>
    <w:rsid w:val="008C51A9"/>
    <w:rsid w:val="008D551D"/>
    <w:rsid w:val="008E1303"/>
    <w:rsid w:val="008E7846"/>
    <w:rsid w:val="008F1CCC"/>
    <w:rsid w:val="008F2967"/>
    <w:rsid w:val="008F6943"/>
    <w:rsid w:val="008F7B70"/>
    <w:rsid w:val="0090209C"/>
    <w:rsid w:val="00902A21"/>
    <w:rsid w:val="00920330"/>
    <w:rsid w:val="009219D7"/>
    <w:rsid w:val="00922D53"/>
    <w:rsid w:val="00923B70"/>
    <w:rsid w:val="00924482"/>
    <w:rsid w:val="00930237"/>
    <w:rsid w:val="009402D4"/>
    <w:rsid w:val="009461B2"/>
    <w:rsid w:val="00946EA5"/>
    <w:rsid w:val="009565B3"/>
    <w:rsid w:val="00963C08"/>
    <w:rsid w:val="009705A8"/>
    <w:rsid w:val="00970BC3"/>
    <w:rsid w:val="0098585A"/>
    <w:rsid w:val="009A16C8"/>
    <w:rsid w:val="009A4CED"/>
    <w:rsid w:val="009A690D"/>
    <w:rsid w:val="009B1D12"/>
    <w:rsid w:val="009B416B"/>
    <w:rsid w:val="009B54D6"/>
    <w:rsid w:val="009C2FB0"/>
    <w:rsid w:val="009C4BD5"/>
    <w:rsid w:val="009D0C68"/>
    <w:rsid w:val="009D7199"/>
    <w:rsid w:val="009D7B77"/>
    <w:rsid w:val="009E0BB0"/>
    <w:rsid w:val="009E0DDA"/>
    <w:rsid w:val="009E169B"/>
    <w:rsid w:val="009E3FBB"/>
    <w:rsid w:val="009E636E"/>
    <w:rsid w:val="009F7D75"/>
    <w:rsid w:val="00A00AD7"/>
    <w:rsid w:val="00A02116"/>
    <w:rsid w:val="00A0520D"/>
    <w:rsid w:val="00A05F14"/>
    <w:rsid w:val="00A07BCD"/>
    <w:rsid w:val="00A102E4"/>
    <w:rsid w:val="00A1084E"/>
    <w:rsid w:val="00A12C42"/>
    <w:rsid w:val="00A13D19"/>
    <w:rsid w:val="00A14DF7"/>
    <w:rsid w:val="00A3246D"/>
    <w:rsid w:val="00A33207"/>
    <w:rsid w:val="00A36FA7"/>
    <w:rsid w:val="00A4062B"/>
    <w:rsid w:val="00A475B7"/>
    <w:rsid w:val="00A47AF7"/>
    <w:rsid w:val="00A47C3E"/>
    <w:rsid w:val="00A50226"/>
    <w:rsid w:val="00A567FE"/>
    <w:rsid w:val="00A60BAD"/>
    <w:rsid w:val="00A6675A"/>
    <w:rsid w:val="00A717C1"/>
    <w:rsid w:val="00A720D6"/>
    <w:rsid w:val="00A777EC"/>
    <w:rsid w:val="00A83165"/>
    <w:rsid w:val="00A84E36"/>
    <w:rsid w:val="00A859D8"/>
    <w:rsid w:val="00A94FFA"/>
    <w:rsid w:val="00A95396"/>
    <w:rsid w:val="00A964D1"/>
    <w:rsid w:val="00AA0ED0"/>
    <w:rsid w:val="00AC2B40"/>
    <w:rsid w:val="00AC2BB2"/>
    <w:rsid w:val="00AC2C3C"/>
    <w:rsid w:val="00AC512D"/>
    <w:rsid w:val="00AC7BD2"/>
    <w:rsid w:val="00AD0083"/>
    <w:rsid w:val="00AD7D1A"/>
    <w:rsid w:val="00AE65EB"/>
    <w:rsid w:val="00AE67A7"/>
    <w:rsid w:val="00AF1D94"/>
    <w:rsid w:val="00AF60C5"/>
    <w:rsid w:val="00AF7751"/>
    <w:rsid w:val="00B009C6"/>
    <w:rsid w:val="00B01548"/>
    <w:rsid w:val="00B209F0"/>
    <w:rsid w:val="00B21D29"/>
    <w:rsid w:val="00B25034"/>
    <w:rsid w:val="00B258A4"/>
    <w:rsid w:val="00B27A5F"/>
    <w:rsid w:val="00B33588"/>
    <w:rsid w:val="00B33863"/>
    <w:rsid w:val="00B36AA2"/>
    <w:rsid w:val="00B37D17"/>
    <w:rsid w:val="00B4175E"/>
    <w:rsid w:val="00B452CE"/>
    <w:rsid w:val="00B54C25"/>
    <w:rsid w:val="00B575B1"/>
    <w:rsid w:val="00B6732F"/>
    <w:rsid w:val="00B70938"/>
    <w:rsid w:val="00B71896"/>
    <w:rsid w:val="00B76B91"/>
    <w:rsid w:val="00B77088"/>
    <w:rsid w:val="00B77EB1"/>
    <w:rsid w:val="00B811C6"/>
    <w:rsid w:val="00B855B0"/>
    <w:rsid w:val="00B92E08"/>
    <w:rsid w:val="00B93BB9"/>
    <w:rsid w:val="00B94DD5"/>
    <w:rsid w:val="00BB396E"/>
    <w:rsid w:val="00BC622A"/>
    <w:rsid w:val="00BE0A78"/>
    <w:rsid w:val="00BE6F51"/>
    <w:rsid w:val="00BE773E"/>
    <w:rsid w:val="00BE79F0"/>
    <w:rsid w:val="00BF046D"/>
    <w:rsid w:val="00BF1190"/>
    <w:rsid w:val="00BF5D04"/>
    <w:rsid w:val="00C0647C"/>
    <w:rsid w:val="00C1164D"/>
    <w:rsid w:val="00C13BE4"/>
    <w:rsid w:val="00C16861"/>
    <w:rsid w:val="00C17012"/>
    <w:rsid w:val="00C35EB1"/>
    <w:rsid w:val="00C404A6"/>
    <w:rsid w:val="00C406E5"/>
    <w:rsid w:val="00C40A36"/>
    <w:rsid w:val="00C44419"/>
    <w:rsid w:val="00C45E7B"/>
    <w:rsid w:val="00C471B1"/>
    <w:rsid w:val="00C50DA5"/>
    <w:rsid w:val="00C53D02"/>
    <w:rsid w:val="00C53DBF"/>
    <w:rsid w:val="00C553CB"/>
    <w:rsid w:val="00C557F4"/>
    <w:rsid w:val="00C62CA5"/>
    <w:rsid w:val="00C6316B"/>
    <w:rsid w:val="00C634A9"/>
    <w:rsid w:val="00C64586"/>
    <w:rsid w:val="00C70D53"/>
    <w:rsid w:val="00C73D0B"/>
    <w:rsid w:val="00C74940"/>
    <w:rsid w:val="00C76E18"/>
    <w:rsid w:val="00C76E68"/>
    <w:rsid w:val="00C772FF"/>
    <w:rsid w:val="00C80137"/>
    <w:rsid w:val="00C801AF"/>
    <w:rsid w:val="00C80256"/>
    <w:rsid w:val="00C874CC"/>
    <w:rsid w:val="00CA3F8A"/>
    <w:rsid w:val="00CB48C3"/>
    <w:rsid w:val="00CB6BC0"/>
    <w:rsid w:val="00CC1B7C"/>
    <w:rsid w:val="00CC4379"/>
    <w:rsid w:val="00CC560F"/>
    <w:rsid w:val="00CC727F"/>
    <w:rsid w:val="00CD26E8"/>
    <w:rsid w:val="00CE2F54"/>
    <w:rsid w:val="00CE4660"/>
    <w:rsid w:val="00CE491F"/>
    <w:rsid w:val="00CE6902"/>
    <w:rsid w:val="00CF15C3"/>
    <w:rsid w:val="00CF230F"/>
    <w:rsid w:val="00CF2B6F"/>
    <w:rsid w:val="00CF42C5"/>
    <w:rsid w:val="00CF58B6"/>
    <w:rsid w:val="00D00293"/>
    <w:rsid w:val="00D00D94"/>
    <w:rsid w:val="00D017ED"/>
    <w:rsid w:val="00D02EE3"/>
    <w:rsid w:val="00D040D3"/>
    <w:rsid w:val="00D04C65"/>
    <w:rsid w:val="00D06345"/>
    <w:rsid w:val="00D100D4"/>
    <w:rsid w:val="00D13675"/>
    <w:rsid w:val="00D156A1"/>
    <w:rsid w:val="00D224FE"/>
    <w:rsid w:val="00D2300C"/>
    <w:rsid w:val="00D256C3"/>
    <w:rsid w:val="00D27628"/>
    <w:rsid w:val="00D301BC"/>
    <w:rsid w:val="00D35466"/>
    <w:rsid w:val="00D61D7D"/>
    <w:rsid w:val="00D6493E"/>
    <w:rsid w:val="00D7301E"/>
    <w:rsid w:val="00D7487F"/>
    <w:rsid w:val="00D8216C"/>
    <w:rsid w:val="00D83AE1"/>
    <w:rsid w:val="00D84BE7"/>
    <w:rsid w:val="00D855D4"/>
    <w:rsid w:val="00D93466"/>
    <w:rsid w:val="00DA1124"/>
    <w:rsid w:val="00DA1F5C"/>
    <w:rsid w:val="00DB153A"/>
    <w:rsid w:val="00DB2CD5"/>
    <w:rsid w:val="00DB4994"/>
    <w:rsid w:val="00DB75B7"/>
    <w:rsid w:val="00DC09E4"/>
    <w:rsid w:val="00DC4070"/>
    <w:rsid w:val="00DC6923"/>
    <w:rsid w:val="00DC6E02"/>
    <w:rsid w:val="00DD4E1A"/>
    <w:rsid w:val="00DE02AE"/>
    <w:rsid w:val="00DE182D"/>
    <w:rsid w:val="00DF1D7F"/>
    <w:rsid w:val="00DF4BE4"/>
    <w:rsid w:val="00DF62EE"/>
    <w:rsid w:val="00E02FB4"/>
    <w:rsid w:val="00E04C38"/>
    <w:rsid w:val="00E13119"/>
    <w:rsid w:val="00E15BCA"/>
    <w:rsid w:val="00E20571"/>
    <w:rsid w:val="00E235F7"/>
    <w:rsid w:val="00E23659"/>
    <w:rsid w:val="00E239D4"/>
    <w:rsid w:val="00E26130"/>
    <w:rsid w:val="00E33C0D"/>
    <w:rsid w:val="00E40B22"/>
    <w:rsid w:val="00E42759"/>
    <w:rsid w:val="00E45619"/>
    <w:rsid w:val="00E4588F"/>
    <w:rsid w:val="00E462DA"/>
    <w:rsid w:val="00E46DA3"/>
    <w:rsid w:val="00E51BB1"/>
    <w:rsid w:val="00E549C4"/>
    <w:rsid w:val="00E56761"/>
    <w:rsid w:val="00E624A5"/>
    <w:rsid w:val="00E6767B"/>
    <w:rsid w:val="00E701BE"/>
    <w:rsid w:val="00E72D48"/>
    <w:rsid w:val="00E7344E"/>
    <w:rsid w:val="00E74882"/>
    <w:rsid w:val="00E76E15"/>
    <w:rsid w:val="00E8031B"/>
    <w:rsid w:val="00EA0692"/>
    <w:rsid w:val="00EA3923"/>
    <w:rsid w:val="00EA5DD2"/>
    <w:rsid w:val="00EB0798"/>
    <w:rsid w:val="00EB19A2"/>
    <w:rsid w:val="00EB2BD8"/>
    <w:rsid w:val="00EB40AD"/>
    <w:rsid w:val="00EB586E"/>
    <w:rsid w:val="00EB5FC8"/>
    <w:rsid w:val="00EB66C2"/>
    <w:rsid w:val="00EC6A62"/>
    <w:rsid w:val="00EC7ADC"/>
    <w:rsid w:val="00ED1FA7"/>
    <w:rsid w:val="00ED3CAD"/>
    <w:rsid w:val="00ED409A"/>
    <w:rsid w:val="00ED5685"/>
    <w:rsid w:val="00ED5A41"/>
    <w:rsid w:val="00EE0E08"/>
    <w:rsid w:val="00EE1DE8"/>
    <w:rsid w:val="00EE2FCE"/>
    <w:rsid w:val="00EF008E"/>
    <w:rsid w:val="00EF29ED"/>
    <w:rsid w:val="00EF3D08"/>
    <w:rsid w:val="00EF7118"/>
    <w:rsid w:val="00F01787"/>
    <w:rsid w:val="00F033EC"/>
    <w:rsid w:val="00F04F68"/>
    <w:rsid w:val="00F10F03"/>
    <w:rsid w:val="00F12670"/>
    <w:rsid w:val="00F14B27"/>
    <w:rsid w:val="00F200A8"/>
    <w:rsid w:val="00F25945"/>
    <w:rsid w:val="00F3148D"/>
    <w:rsid w:val="00F321CE"/>
    <w:rsid w:val="00F325C5"/>
    <w:rsid w:val="00F32FE0"/>
    <w:rsid w:val="00F35298"/>
    <w:rsid w:val="00F47333"/>
    <w:rsid w:val="00F47E37"/>
    <w:rsid w:val="00F537B8"/>
    <w:rsid w:val="00F53C07"/>
    <w:rsid w:val="00F54B65"/>
    <w:rsid w:val="00F57D14"/>
    <w:rsid w:val="00F640B6"/>
    <w:rsid w:val="00F72A8A"/>
    <w:rsid w:val="00F7416A"/>
    <w:rsid w:val="00F767C5"/>
    <w:rsid w:val="00F76FAC"/>
    <w:rsid w:val="00F80E40"/>
    <w:rsid w:val="00F812D4"/>
    <w:rsid w:val="00F82767"/>
    <w:rsid w:val="00F83CBA"/>
    <w:rsid w:val="00F8454F"/>
    <w:rsid w:val="00F84643"/>
    <w:rsid w:val="00F848D9"/>
    <w:rsid w:val="00FA01A3"/>
    <w:rsid w:val="00FA5B82"/>
    <w:rsid w:val="00FA639E"/>
    <w:rsid w:val="00FA670D"/>
    <w:rsid w:val="00FA75A0"/>
    <w:rsid w:val="00FA7D69"/>
    <w:rsid w:val="00FB5177"/>
    <w:rsid w:val="00FC1BF3"/>
    <w:rsid w:val="00FC25E4"/>
    <w:rsid w:val="00FC46EF"/>
    <w:rsid w:val="00FC4EF7"/>
    <w:rsid w:val="00FC7F2F"/>
    <w:rsid w:val="00FD17B0"/>
    <w:rsid w:val="00FE1DEE"/>
    <w:rsid w:val="00FE5ED1"/>
    <w:rsid w:val="00FF1415"/>
    <w:rsid w:val="00FF2126"/>
    <w:rsid w:val="00FF3892"/>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651CA8"/>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ListParagraph">
    <w:name w:val="List Paragraph"/>
    <w:basedOn w:val="Normal"/>
    <w:uiPriority w:val="34"/>
    <w:qFormat/>
    <w:rsid w:val="00C74940"/>
    <w:pPr>
      <w:spacing w:before="0" w:after="0" w:line="240" w:lineRule="auto"/>
      <w:ind w:left="720"/>
    </w:pPr>
    <w:rPr>
      <w:rFonts w:ascii="Times New Roman" w:eastAsia="Times New Roman" w:hAnsi="Times New Roman"/>
      <w:sz w:val="24"/>
      <w:szCs w:val="20"/>
    </w:rPr>
  </w:style>
  <w:style w:type="paragraph" w:customStyle="1" w:styleId="Bulletpoint">
    <w:name w:val="Bullet point"/>
    <w:basedOn w:val="Normal"/>
    <w:rsid w:val="00D100D4"/>
    <w:pPr>
      <w:numPr>
        <w:numId w:val="28"/>
      </w:numPr>
      <w:tabs>
        <w:tab w:val="clear" w:pos="369"/>
        <w:tab w:val="left" w:pos="397"/>
        <w:tab w:val="num" w:pos="511"/>
      </w:tabs>
      <w:spacing w:before="0" w:after="180" w:line="252" w:lineRule="auto"/>
      <w:ind w:left="397" w:firstLine="0"/>
    </w:pPr>
    <w:rPr>
      <w:rFonts w:eastAsia="Times New Roman"/>
      <w:snapToGrid w:val="0"/>
      <w:kern w:val="16"/>
      <w:sz w:val="23"/>
      <w:szCs w:val="24"/>
    </w:rPr>
  </w:style>
  <w:style w:type="paragraph" w:customStyle="1" w:styleId="Standard">
    <w:name w:val="Standard"/>
    <w:basedOn w:val="Normal"/>
    <w:link w:val="StandardChar"/>
    <w:rsid w:val="00D02EE3"/>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D02EE3"/>
    <w:rPr>
      <w:rFonts w:eastAsia="Times New Roman"/>
      <w:snapToGrid w:val="0"/>
      <w:kern w:val="16"/>
      <w:sz w:val="23"/>
      <w:szCs w:val="24"/>
      <w:lang w:eastAsia="en-US"/>
    </w:rPr>
  </w:style>
  <w:style w:type="paragraph" w:customStyle="1" w:styleId="AssessmentSubsection">
    <w:name w:val="Assessment Subsection"/>
    <w:basedOn w:val="Standard"/>
    <w:next w:val="Standard"/>
    <w:rsid w:val="00C0647C"/>
    <w:pPr>
      <w:keepNext/>
      <w:spacing w:after="110"/>
      <w:outlineLvl w:val="2"/>
    </w:pPr>
    <w:rPr>
      <w:b/>
      <w:i/>
    </w:rPr>
  </w:style>
  <w:style w:type="paragraph" w:customStyle="1" w:styleId="WhiteSpace">
    <w:name w:val="White Space"/>
    <w:basedOn w:val="Standard"/>
    <w:link w:val="WhiteSpaceChar"/>
    <w:rsid w:val="006100C3"/>
    <w:pPr>
      <w:spacing w:after="0"/>
    </w:pPr>
    <w:rPr>
      <w:sz w:val="16"/>
      <w:szCs w:val="16"/>
    </w:rPr>
  </w:style>
  <w:style w:type="character" w:customStyle="1" w:styleId="WhiteSpaceChar">
    <w:name w:val="White Space Char"/>
    <w:basedOn w:val="DefaultParagraphFont"/>
    <w:link w:val="WhiteSpace"/>
    <w:rsid w:val="006100C3"/>
    <w:rPr>
      <w:rFonts w:eastAsia="Times New Roman"/>
      <w:snapToGrid w:val="0"/>
      <w:kern w:val="16"/>
      <w:sz w:val="16"/>
      <w:szCs w:val="16"/>
      <w:lang w:eastAsia="en-US"/>
    </w:rPr>
  </w:style>
  <w:style w:type="paragraph" w:customStyle="1" w:styleId="AssessmentSection">
    <w:name w:val="Assessment Section"/>
    <w:basedOn w:val="AssessmentSubsection"/>
    <w:next w:val="Standard"/>
    <w:rsid w:val="006100C3"/>
    <w:pPr>
      <w:outlineLvl w:val="1"/>
    </w:pPr>
    <w:rPr>
      <w:i w:val="0"/>
    </w:rPr>
  </w:style>
  <w:style w:type="paragraph" w:customStyle="1" w:styleId="A-Head2">
    <w:name w:val="A-Head 2"/>
    <w:basedOn w:val="Normal"/>
    <w:rsid w:val="00573AD7"/>
    <w:pPr>
      <w:tabs>
        <w:tab w:val="left" w:pos="1134"/>
      </w:tabs>
      <w:spacing w:before="240" w:after="60" w:line="240" w:lineRule="auto"/>
      <w:ind w:right="-108"/>
    </w:pPr>
    <w:rPr>
      <w:rFonts w:ascii="Arial" w:eastAsia="Times New Roman" w:hAnsi="Arial"/>
      <w:b/>
      <w:sz w:val="32"/>
      <w:szCs w:val="20"/>
    </w:rPr>
  </w:style>
  <w:style w:type="paragraph" w:styleId="FootnoteText">
    <w:name w:val="footnote text"/>
    <w:basedOn w:val="Normal"/>
    <w:link w:val="FootnoteTextChar"/>
    <w:semiHidden/>
    <w:unhideWhenUsed/>
    <w:rsid w:val="006D06ED"/>
    <w:rPr>
      <w:sz w:val="20"/>
      <w:szCs w:val="20"/>
    </w:rPr>
  </w:style>
  <w:style w:type="character" w:customStyle="1" w:styleId="FootnoteTextChar">
    <w:name w:val="Footnote Text Char"/>
    <w:basedOn w:val="DefaultParagraphFont"/>
    <w:link w:val="FootnoteText"/>
    <w:uiPriority w:val="99"/>
    <w:semiHidden/>
    <w:rsid w:val="006D06ED"/>
    <w:rPr>
      <w:lang w:eastAsia="en-US"/>
    </w:rPr>
  </w:style>
  <w:style w:type="character" w:styleId="FootnoteReference">
    <w:name w:val="footnote reference"/>
    <w:basedOn w:val="DefaultParagraphFont"/>
    <w:unhideWhenUsed/>
    <w:rsid w:val="006D06ED"/>
    <w:rPr>
      <w:vertAlign w:val="superscript"/>
    </w:rPr>
  </w:style>
  <w:style w:type="paragraph" w:customStyle="1" w:styleId="Bullet1">
    <w:name w:val="Bullet 1"/>
    <w:basedOn w:val="Normal"/>
    <w:rsid w:val="004F0554"/>
    <w:pPr>
      <w:numPr>
        <w:numId w:val="33"/>
      </w:numPr>
      <w:spacing w:after="0" w:line="240" w:lineRule="auto"/>
    </w:pPr>
    <w:rPr>
      <w:rFonts w:eastAsia="Times New Roman"/>
      <w:kern w:val="24"/>
      <w:szCs w:val="24"/>
      <w:lang w:eastAsia="en-AU"/>
    </w:rPr>
  </w:style>
  <w:style w:type="paragraph" w:customStyle="1" w:styleId="Bullet2">
    <w:name w:val="Bullet 2"/>
    <w:basedOn w:val="Bullet1"/>
    <w:rsid w:val="004F0554"/>
    <w:pPr>
      <w:numPr>
        <w:numId w:val="34"/>
      </w:numPr>
    </w:pPr>
  </w:style>
  <w:style w:type="character" w:customStyle="1" w:styleId="Heading8Char">
    <w:name w:val="Heading 8 Char"/>
    <w:basedOn w:val="DefaultParagraphFont"/>
    <w:link w:val="Heading8"/>
    <w:uiPriority w:val="9"/>
    <w:semiHidden/>
    <w:rsid w:val="00651CA8"/>
    <w:rPr>
      <w:rFonts w:ascii="Calibri" w:eastAsia="Times New Roman" w:hAnsi="Calibri" w:cs="Times New Roman"/>
      <w:i/>
      <w:iCs/>
      <w:sz w:val="24"/>
      <w:szCs w:val="24"/>
      <w:lang w:eastAsia="en-US"/>
    </w:rPr>
  </w:style>
  <w:style w:type="character" w:styleId="CommentReference">
    <w:name w:val="annotation reference"/>
    <w:basedOn w:val="DefaultParagraphFont"/>
    <w:uiPriority w:val="99"/>
    <w:semiHidden/>
    <w:unhideWhenUsed/>
    <w:rsid w:val="00373D9E"/>
    <w:rPr>
      <w:sz w:val="16"/>
      <w:szCs w:val="16"/>
    </w:rPr>
  </w:style>
  <w:style w:type="paragraph" w:styleId="CommentText">
    <w:name w:val="annotation text"/>
    <w:basedOn w:val="Normal"/>
    <w:link w:val="CommentTextChar"/>
    <w:uiPriority w:val="99"/>
    <w:semiHidden/>
    <w:unhideWhenUsed/>
    <w:rsid w:val="00373D9E"/>
    <w:rPr>
      <w:sz w:val="20"/>
      <w:szCs w:val="20"/>
    </w:rPr>
  </w:style>
  <w:style w:type="character" w:customStyle="1" w:styleId="CommentTextChar">
    <w:name w:val="Comment Text Char"/>
    <w:basedOn w:val="DefaultParagraphFont"/>
    <w:link w:val="CommentText"/>
    <w:uiPriority w:val="99"/>
    <w:semiHidden/>
    <w:rsid w:val="00373D9E"/>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tga.gov.au/hp/information-medicines-pi.htm" TargetMode="Externa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fontTable" Target="fontTable.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Temp\notes333BDF\AusPA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37176-D1FF-4BE9-B58B-04A8909F2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3</TotalTime>
  <Pages>31</Pages>
  <Words>12002</Words>
  <Characters>63016</Characters>
  <Application>Microsoft Office Word</Application>
  <DocSecurity>0</DocSecurity>
  <Lines>7877</Lines>
  <Paragraphs>5358</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69660</CharactersWithSpaces>
  <SharedDoc>false</SharedDoc>
  <HLinks>
    <vt:vector size="240" baseType="variant">
      <vt:variant>
        <vt:i4>5701660</vt:i4>
      </vt:variant>
      <vt:variant>
        <vt:i4>219</vt:i4>
      </vt:variant>
      <vt:variant>
        <vt:i4>0</vt:i4>
      </vt:variant>
      <vt:variant>
        <vt:i4>5</vt:i4>
      </vt:variant>
      <vt:variant>
        <vt:lpwstr>http://www.tga.gov.au/hp/information-medicines-pi.htm</vt:lpwstr>
      </vt:variant>
      <vt:variant>
        <vt:lpwstr/>
      </vt:variant>
      <vt:variant>
        <vt:i4>1179698</vt:i4>
      </vt:variant>
      <vt:variant>
        <vt:i4>212</vt:i4>
      </vt:variant>
      <vt:variant>
        <vt:i4>0</vt:i4>
      </vt:variant>
      <vt:variant>
        <vt:i4>5</vt:i4>
      </vt:variant>
      <vt:variant>
        <vt:lpwstr/>
      </vt:variant>
      <vt:variant>
        <vt:lpwstr>_Toc364416416</vt:lpwstr>
      </vt:variant>
      <vt:variant>
        <vt:i4>1179698</vt:i4>
      </vt:variant>
      <vt:variant>
        <vt:i4>206</vt:i4>
      </vt:variant>
      <vt:variant>
        <vt:i4>0</vt:i4>
      </vt:variant>
      <vt:variant>
        <vt:i4>5</vt:i4>
      </vt:variant>
      <vt:variant>
        <vt:lpwstr/>
      </vt:variant>
      <vt:variant>
        <vt:lpwstr>_Toc364416415</vt:lpwstr>
      </vt:variant>
      <vt:variant>
        <vt:i4>1179698</vt:i4>
      </vt:variant>
      <vt:variant>
        <vt:i4>200</vt:i4>
      </vt:variant>
      <vt:variant>
        <vt:i4>0</vt:i4>
      </vt:variant>
      <vt:variant>
        <vt:i4>5</vt:i4>
      </vt:variant>
      <vt:variant>
        <vt:lpwstr/>
      </vt:variant>
      <vt:variant>
        <vt:lpwstr>_Toc364416414</vt:lpwstr>
      </vt:variant>
      <vt:variant>
        <vt:i4>1179698</vt:i4>
      </vt:variant>
      <vt:variant>
        <vt:i4>194</vt:i4>
      </vt:variant>
      <vt:variant>
        <vt:i4>0</vt:i4>
      </vt:variant>
      <vt:variant>
        <vt:i4>5</vt:i4>
      </vt:variant>
      <vt:variant>
        <vt:lpwstr/>
      </vt:variant>
      <vt:variant>
        <vt:lpwstr>_Toc364416413</vt:lpwstr>
      </vt:variant>
      <vt:variant>
        <vt:i4>1179698</vt:i4>
      </vt:variant>
      <vt:variant>
        <vt:i4>188</vt:i4>
      </vt:variant>
      <vt:variant>
        <vt:i4>0</vt:i4>
      </vt:variant>
      <vt:variant>
        <vt:i4>5</vt:i4>
      </vt:variant>
      <vt:variant>
        <vt:lpwstr/>
      </vt:variant>
      <vt:variant>
        <vt:lpwstr>_Toc364416412</vt:lpwstr>
      </vt:variant>
      <vt:variant>
        <vt:i4>1179698</vt:i4>
      </vt:variant>
      <vt:variant>
        <vt:i4>182</vt:i4>
      </vt:variant>
      <vt:variant>
        <vt:i4>0</vt:i4>
      </vt:variant>
      <vt:variant>
        <vt:i4>5</vt:i4>
      </vt:variant>
      <vt:variant>
        <vt:lpwstr/>
      </vt:variant>
      <vt:variant>
        <vt:lpwstr>_Toc364416411</vt:lpwstr>
      </vt:variant>
      <vt:variant>
        <vt:i4>1179698</vt:i4>
      </vt:variant>
      <vt:variant>
        <vt:i4>176</vt:i4>
      </vt:variant>
      <vt:variant>
        <vt:i4>0</vt:i4>
      </vt:variant>
      <vt:variant>
        <vt:i4>5</vt:i4>
      </vt:variant>
      <vt:variant>
        <vt:lpwstr/>
      </vt:variant>
      <vt:variant>
        <vt:lpwstr>_Toc364416410</vt:lpwstr>
      </vt:variant>
      <vt:variant>
        <vt:i4>1245234</vt:i4>
      </vt:variant>
      <vt:variant>
        <vt:i4>170</vt:i4>
      </vt:variant>
      <vt:variant>
        <vt:i4>0</vt:i4>
      </vt:variant>
      <vt:variant>
        <vt:i4>5</vt:i4>
      </vt:variant>
      <vt:variant>
        <vt:lpwstr/>
      </vt:variant>
      <vt:variant>
        <vt:lpwstr>_Toc364416409</vt:lpwstr>
      </vt:variant>
      <vt:variant>
        <vt:i4>1245234</vt:i4>
      </vt:variant>
      <vt:variant>
        <vt:i4>164</vt:i4>
      </vt:variant>
      <vt:variant>
        <vt:i4>0</vt:i4>
      </vt:variant>
      <vt:variant>
        <vt:i4>5</vt:i4>
      </vt:variant>
      <vt:variant>
        <vt:lpwstr/>
      </vt:variant>
      <vt:variant>
        <vt:lpwstr>_Toc364416408</vt:lpwstr>
      </vt:variant>
      <vt:variant>
        <vt:i4>1245234</vt:i4>
      </vt:variant>
      <vt:variant>
        <vt:i4>158</vt:i4>
      </vt:variant>
      <vt:variant>
        <vt:i4>0</vt:i4>
      </vt:variant>
      <vt:variant>
        <vt:i4>5</vt:i4>
      </vt:variant>
      <vt:variant>
        <vt:lpwstr/>
      </vt:variant>
      <vt:variant>
        <vt:lpwstr>_Toc364416407</vt:lpwstr>
      </vt:variant>
      <vt:variant>
        <vt:i4>1245234</vt:i4>
      </vt:variant>
      <vt:variant>
        <vt:i4>152</vt:i4>
      </vt:variant>
      <vt:variant>
        <vt:i4>0</vt:i4>
      </vt:variant>
      <vt:variant>
        <vt:i4>5</vt:i4>
      </vt:variant>
      <vt:variant>
        <vt:lpwstr/>
      </vt:variant>
      <vt:variant>
        <vt:lpwstr>_Toc364416406</vt:lpwstr>
      </vt:variant>
      <vt:variant>
        <vt:i4>1245234</vt:i4>
      </vt:variant>
      <vt:variant>
        <vt:i4>146</vt:i4>
      </vt:variant>
      <vt:variant>
        <vt:i4>0</vt:i4>
      </vt:variant>
      <vt:variant>
        <vt:i4>5</vt:i4>
      </vt:variant>
      <vt:variant>
        <vt:lpwstr/>
      </vt:variant>
      <vt:variant>
        <vt:lpwstr>_Toc364416405</vt:lpwstr>
      </vt:variant>
      <vt:variant>
        <vt:i4>1245234</vt:i4>
      </vt:variant>
      <vt:variant>
        <vt:i4>140</vt:i4>
      </vt:variant>
      <vt:variant>
        <vt:i4>0</vt:i4>
      </vt:variant>
      <vt:variant>
        <vt:i4>5</vt:i4>
      </vt:variant>
      <vt:variant>
        <vt:lpwstr/>
      </vt:variant>
      <vt:variant>
        <vt:lpwstr>_Toc364416404</vt:lpwstr>
      </vt:variant>
      <vt:variant>
        <vt:i4>1245234</vt:i4>
      </vt:variant>
      <vt:variant>
        <vt:i4>134</vt:i4>
      </vt:variant>
      <vt:variant>
        <vt:i4>0</vt:i4>
      </vt:variant>
      <vt:variant>
        <vt:i4>5</vt:i4>
      </vt:variant>
      <vt:variant>
        <vt:lpwstr/>
      </vt:variant>
      <vt:variant>
        <vt:lpwstr>_Toc364416403</vt:lpwstr>
      </vt:variant>
      <vt:variant>
        <vt:i4>1245234</vt:i4>
      </vt:variant>
      <vt:variant>
        <vt:i4>128</vt:i4>
      </vt:variant>
      <vt:variant>
        <vt:i4>0</vt:i4>
      </vt:variant>
      <vt:variant>
        <vt:i4>5</vt:i4>
      </vt:variant>
      <vt:variant>
        <vt:lpwstr/>
      </vt:variant>
      <vt:variant>
        <vt:lpwstr>_Toc364416402</vt:lpwstr>
      </vt:variant>
      <vt:variant>
        <vt:i4>1245234</vt:i4>
      </vt:variant>
      <vt:variant>
        <vt:i4>122</vt:i4>
      </vt:variant>
      <vt:variant>
        <vt:i4>0</vt:i4>
      </vt:variant>
      <vt:variant>
        <vt:i4>5</vt:i4>
      </vt:variant>
      <vt:variant>
        <vt:lpwstr/>
      </vt:variant>
      <vt:variant>
        <vt:lpwstr>_Toc364416401</vt:lpwstr>
      </vt:variant>
      <vt:variant>
        <vt:i4>1245234</vt:i4>
      </vt:variant>
      <vt:variant>
        <vt:i4>116</vt:i4>
      </vt:variant>
      <vt:variant>
        <vt:i4>0</vt:i4>
      </vt:variant>
      <vt:variant>
        <vt:i4>5</vt:i4>
      </vt:variant>
      <vt:variant>
        <vt:lpwstr/>
      </vt:variant>
      <vt:variant>
        <vt:lpwstr>_Toc364416400</vt:lpwstr>
      </vt:variant>
      <vt:variant>
        <vt:i4>1703989</vt:i4>
      </vt:variant>
      <vt:variant>
        <vt:i4>110</vt:i4>
      </vt:variant>
      <vt:variant>
        <vt:i4>0</vt:i4>
      </vt:variant>
      <vt:variant>
        <vt:i4>5</vt:i4>
      </vt:variant>
      <vt:variant>
        <vt:lpwstr/>
      </vt:variant>
      <vt:variant>
        <vt:lpwstr>_Toc364416399</vt:lpwstr>
      </vt:variant>
      <vt:variant>
        <vt:i4>1703989</vt:i4>
      </vt:variant>
      <vt:variant>
        <vt:i4>104</vt:i4>
      </vt:variant>
      <vt:variant>
        <vt:i4>0</vt:i4>
      </vt:variant>
      <vt:variant>
        <vt:i4>5</vt:i4>
      </vt:variant>
      <vt:variant>
        <vt:lpwstr/>
      </vt:variant>
      <vt:variant>
        <vt:lpwstr>_Toc364416398</vt:lpwstr>
      </vt:variant>
      <vt:variant>
        <vt:i4>1703989</vt:i4>
      </vt:variant>
      <vt:variant>
        <vt:i4>98</vt:i4>
      </vt:variant>
      <vt:variant>
        <vt:i4>0</vt:i4>
      </vt:variant>
      <vt:variant>
        <vt:i4>5</vt:i4>
      </vt:variant>
      <vt:variant>
        <vt:lpwstr/>
      </vt:variant>
      <vt:variant>
        <vt:lpwstr>_Toc364416397</vt:lpwstr>
      </vt:variant>
      <vt:variant>
        <vt:i4>1703989</vt:i4>
      </vt:variant>
      <vt:variant>
        <vt:i4>92</vt:i4>
      </vt:variant>
      <vt:variant>
        <vt:i4>0</vt:i4>
      </vt:variant>
      <vt:variant>
        <vt:i4>5</vt:i4>
      </vt:variant>
      <vt:variant>
        <vt:lpwstr/>
      </vt:variant>
      <vt:variant>
        <vt:lpwstr>_Toc364416396</vt:lpwstr>
      </vt:variant>
      <vt:variant>
        <vt:i4>1703989</vt:i4>
      </vt:variant>
      <vt:variant>
        <vt:i4>86</vt:i4>
      </vt:variant>
      <vt:variant>
        <vt:i4>0</vt:i4>
      </vt:variant>
      <vt:variant>
        <vt:i4>5</vt:i4>
      </vt:variant>
      <vt:variant>
        <vt:lpwstr/>
      </vt:variant>
      <vt:variant>
        <vt:lpwstr>_Toc364416395</vt:lpwstr>
      </vt:variant>
      <vt:variant>
        <vt:i4>1703989</vt:i4>
      </vt:variant>
      <vt:variant>
        <vt:i4>80</vt:i4>
      </vt:variant>
      <vt:variant>
        <vt:i4>0</vt:i4>
      </vt:variant>
      <vt:variant>
        <vt:i4>5</vt:i4>
      </vt:variant>
      <vt:variant>
        <vt:lpwstr/>
      </vt:variant>
      <vt:variant>
        <vt:lpwstr>_Toc364416394</vt:lpwstr>
      </vt:variant>
      <vt:variant>
        <vt:i4>1703989</vt:i4>
      </vt:variant>
      <vt:variant>
        <vt:i4>74</vt:i4>
      </vt:variant>
      <vt:variant>
        <vt:i4>0</vt:i4>
      </vt:variant>
      <vt:variant>
        <vt:i4>5</vt:i4>
      </vt:variant>
      <vt:variant>
        <vt:lpwstr/>
      </vt:variant>
      <vt:variant>
        <vt:lpwstr>_Toc364416393</vt:lpwstr>
      </vt:variant>
      <vt:variant>
        <vt:i4>1703989</vt:i4>
      </vt:variant>
      <vt:variant>
        <vt:i4>68</vt:i4>
      </vt:variant>
      <vt:variant>
        <vt:i4>0</vt:i4>
      </vt:variant>
      <vt:variant>
        <vt:i4>5</vt:i4>
      </vt:variant>
      <vt:variant>
        <vt:lpwstr/>
      </vt:variant>
      <vt:variant>
        <vt:lpwstr>_Toc364416392</vt:lpwstr>
      </vt:variant>
      <vt:variant>
        <vt:i4>1703989</vt:i4>
      </vt:variant>
      <vt:variant>
        <vt:i4>62</vt:i4>
      </vt:variant>
      <vt:variant>
        <vt:i4>0</vt:i4>
      </vt:variant>
      <vt:variant>
        <vt:i4>5</vt:i4>
      </vt:variant>
      <vt:variant>
        <vt:lpwstr/>
      </vt:variant>
      <vt:variant>
        <vt:lpwstr>_Toc364416391</vt:lpwstr>
      </vt:variant>
      <vt:variant>
        <vt:i4>1703989</vt:i4>
      </vt:variant>
      <vt:variant>
        <vt:i4>56</vt:i4>
      </vt:variant>
      <vt:variant>
        <vt:i4>0</vt:i4>
      </vt:variant>
      <vt:variant>
        <vt:i4>5</vt:i4>
      </vt:variant>
      <vt:variant>
        <vt:lpwstr/>
      </vt:variant>
      <vt:variant>
        <vt:lpwstr>_Toc364416390</vt:lpwstr>
      </vt:variant>
      <vt:variant>
        <vt:i4>1769525</vt:i4>
      </vt:variant>
      <vt:variant>
        <vt:i4>50</vt:i4>
      </vt:variant>
      <vt:variant>
        <vt:i4>0</vt:i4>
      </vt:variant>
      <vt:variant>
        <vt:i4>5</vt:i4>
      </vt:variant>
      <vt:variant>
        <vt:lpwstr/>
      </vt:variant>
      <vt:variant>
        <vt:lpwstr>_Toc364416389</vt:lpwstr>
      </vt:variant>
      <vt:variant>
        <vt:i4>1769525</vt:i4>
      </vt:variant>
      <vt:variant>
        <vt:i4>44</vt:i4>
      </vt:variant>
      <vt:variant>
        <vt:i4>0</vt:i4>
      </vt:variant>
      <vt:variant>
        <vt:i4>5</vt:i4>
      </vt:variant>
      <vt:variant>
        <vt:lpwstr/>
      </vt:variant>
      <vt:variant>
        <vt:lpwstr>_Toc364416388</vt:lpwstr>
      </vt:variant>
      <vt:variant>
        <vt:i4>1769525</vt:i4>
      </vt:variant>
      <vt:variant>
        <vt:i4>38</vt:i4>
      </vt:variant>
      <vt:variant>
        <vt:i4>0</vt:i4>
      </vt:variant>
      <vt:variant>
        <vt:i4>5</vt:i4>
      </vt:variant>
      <vt:variant>
        <vt:lpwstr/>
      </vt:variant>
      <vt:variant>
        <vt:lpwstr>_Toc364416387</vt:lpwstr>
      </vt:variant>
      <vt:variant>
        <vt:i4>1769525</vt:i4>
      </vt:variant>
      <vt:variant>
        <vt:i4>32</vt:i4>
      </vt:variant>
      <vt:variant>
        <vt:i4>0</vt:i4>
      </vt:variant>
      <vt:variant>
        <vt:i4>5</vt:i4>
      </vt:variant>
      <vt:variant>
        <vt:lpwstr/>
      </vt:variant>
      <vt:variant>
        <vt:lpwstr>_Toc364416386</vt:lpwstr>
      </vt:variant>
      <vt:variant>
        <vt:i4>1769525</vt:i4>
      </vt:variant>
      <vt:variant>
        <vt:i4>26</vt:i4>
      </vt:variant>
      <vt:variant>
        <vt:i4>0</vt:i4>
      </vt:variant>
      <vt:variant>
        <vt:i4>5</vt:i4>
      </vt:variant>
      <vt:variant>
        <vt:lpwstr/>
      </vt:variant>
      <vt:variant>
        <vt:lpwstr>_Toc364416385</vt:lpwstr>
      </vt:variant>
      <vt:variant>
        <vt:i4>1769525</vt:i4>
      </vt:variant>
      <vt:variant>
        <vt:i4>20</vt:i4>
      </vt:variant>
      <vt:variant>
        <vt:i4>0</vt:i4>
      </vt:variant>
      <vt:variant>
        <vt:i4>5</vt:i4>
      </vt:variant>
      <vt:variant>
        <vt:lpwstr/>
      </vt:variant>
      <vt:variant>
        <vt:lpwstr>_Toc364416384</vt:lpwstr>
      </vt:variant>
      <vt:variant>
        <vt:i4>1769525</vt:i4>
      </vt:variant>
      <vt:variant>
        <vt:i4>14</vt:i4>
      </vt:variant>
      <vt:variant>
        <vt:i4>0</vt:i4>
      </vt:variant>
      <vt:variant>
        <vt:i4>5</vt:i4>
      </vt:variant>
      <vt:variant>
        <vt:lpwstr/>
      </vt:variant>
      <vt:variant>
        <vt:lpwstr>_Toc364416383</vt:lpwstr>
      </vt:variant>
      <vt:variant>
        <vt:i4>1769525</vt:i4>
      </vt:variant>
      <vt:variant>
        <vt:i4>8</vt:i4>
      </vt:variant>
      <vt:variant>
        <vt:i4>0</vt:i4>
      </vt:variant>
      <vt:variant>
        <vt:i4>5</vt:i4>
      </vt:variant>
      <vt:variant>
        <vt:lpwstr/>
      </vt:variant>
      <vt:variant>
        <vt:lpwstr>_Toc364416382</vt:lpwstr>
      </vt:variant>
      <vt:variant>
        <vt:i4>6291548</vt:i4>
      </vt:variant>
      <vt:variant>
        <vt:i4>3</vt:i4>
      </vt:variant>
      <vt:variant>
        <vt:i4>0</vt:i4>
      </vt:variant>
      <vt:variant>
        <vt:i4>5</vt:i4>
      </vt:variant>
      <vt:variant>
        <vt:lpwstr>mailto:tga.copyright@tga.gov.au</vt:lpwstr>
      </vt:variant>
      <vt:variant>
        <vt:lpwstr/>
      </vt:variant>
      <vt:variant>
        <vt:i4>983067</vt:i4>
      </vt:variant>
      <vt:variant>
        <vt:i4>0</vt:i4>
      </vt:variant>
      <vt:variant>
        <vt:i4>0</vt:i4>
      </vt:variant>
      <vt:variant>
        <vt:i4>5</vt:i4>
      </vt:variant>
      <vt:variant>
        <vt:lpwstr>http://ww.tga.gov.au/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azacitidine</dc:title>
  <dc:subject>prescription medicine regulation</dc:subject>
  <dc:creator>Therapeutic Goods Administration</dc:creator>
  <cp:keywords>auspar, prescription, medicine, assessment, regulation, australia, azacitidine, vidaza</cp:keywords>
  <cp:lastModifiedBy>Bird, Gail</cp:lastModifiedBy>
  <cp:revision>6</cp:revision>
  <cp:lastPrinted>2010-12-20T21:59:00Z</cp:lastPrinted>
  <dcterms:created xsi:type="dcterms:W3CDTF">2013-10-14T03:05:00Z</dcterms:created>
  <dcterms:modified xsi:type="dcterms:W3CDTF">2013-10-16T06:05:00Z</dcterms:modified>
</cp:coreProperties>
</file>