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D2799" w14:textId="61E39859" w:rsidR="0075336D" w:rsidRPr="00ED31CB" w:rsidRDefault="0075336D" w:rsidP="00CD6A4B">
      <w:pPr>
        <w:pStyle w:val="NoSpacing"/>
        <w:rPr>
          <w:b/>
          <w:sz w:val="28"/>
          <w:szCs w:val="28"/>
          <w:lang w:val="en-AU"/>
        </w:rPr>
      </w:pPr>
      <w:bookmarkStart w:id="0" w:name="_GoBack"/>
      <w:bookmarkEnd w:id="0"/>
      <w:r w:rsidRPr="00F0251C">
        <w:rPr>
          <w:b/>
          <w:sz w:val="28"/>
          <w:szCs w:val="28"/>
          <w:lang w:val="en-AU"/>
        </w:rPr>
        <w:t xml:space="preserve">AUSTRALIAN PRODUCT INFORMATION - </w:t>
      </w:r>
      <w:r w:rsidR="00CC4EA0" w:rsidRPr="00F0251C">
        <w:rPr>
          <w:b/>
          <w:sz w:val="28"/>
          <w:szCs w:val="28"/>
          <w:lang w:val="en-AU"/>
        </w:rPr>
        <w:t>TRIMBOW</w:t>
      </w:r>
      <w:r w:rsidRPr="00F0251C">
        <w:rPr>
          <w:b/>
          <w:sz w:val="28"/>
          <w:szCs w:val="28"/>
          <w:vertAlign w:val="superscript"/>
          <w:lang w:val="en-AU"/>
        </w:rPr>
        <w:t>®</w:t>
      </w:r>
    </w:p>
    <w:p w14:paraId="0B34F3D9" w14:textId="73F3D655" w:rsidR="0075336D" w:rsidRPr="00F0251C" w:rsidRDefault="0075336D" w:rsidP="00CD6A4B">
      <w:pPr>
        <w:pStyle w:val="NoSpacing"/>
        <w:rPr>
          <w:b/>
          <w:sz w:val="28"/>
          <w:szCs w:val="28"/>
          <w:lang w:val="en-AU"/>
        </w:rPr>
      </w:pPr>
      <w:r w:rsidRPr="00F0251C">
        <w:rPr>
          <w:b/>
          <w:sz w:val="28"/>
          <w:szCs w:val="28"/>
          <w:lang w:val="en-AU"/>
        </w:rPr>
        <w:t>(</w:t>
      </w:r>
      <w:r w:rsidR="00F0251C" w:rsidRPr="00F0251C">
        <w:rPr>
          <w:b/>
          <w:sz w:val="28"/>
          <w:szCs w:val="28"/>
          <w:lang w:val="en-AU"/>
        </w:rPr>
        <w:t>beclometasone dipropionate, formoterol</w:t>
      </w:r>
      <w:r w:rsidR="00D631DD">
        <w:rPr>
          <w:b/>
          <w:sz w:val="28"/>
          <w:szCs w:val="28"/>
          <w:lang w:val="en-AU"/>
        </w:rPr>
        <w:t xml:space="preserve"> (eformoterol)</w:t>
      </w:r>
      <w:r w:rsidR="00F0251C" w:rsidRPr="00F0251C">
        <w:rPr>
          <w:b/>
          <w:sz w:val="28"/>
          <w:szCs w:val="28"/>
          <w:lang w:val="en-AU"/>
        </w:rPr>
        <w:t xml:space="preserve"> fumarate dihydrate and glycopyrronium</w:t>
      </w:r>
      <w:r w:rsidR="00D631DD">
        <w:rPr>
          <w:b/>
          <w:sz w:val="28"/>
          <w:szCs w:val="28"/>
          <w:lang w:val="en-AU"/>
        </w:rPr>
        <w:t xml:space="preserve"> bromide</w:t>
      </w:r>
      <w:r w:rsidR="0077355B">
        <w:rPr>
          <w:b/>
          <w:sz w:val="28"/>
          <w:szCs w:val="28"/>
          <w:lang w:val="en-AU"/>
        </w:rPr>
        <w:t xml:space="preserve"> (glycopyrrolate</w:t>
      </w:r>
      <w:r w:rsidRPr="00F0251C">
        <w:rPr>
          <w:b/>
          <w:sz w:val="28"/>
          <w:szCs w:val="28"/>
          <w:lang w:val="en-AU"/>
        </w:rPr>
        <w:t>)</w:t>
      </w:r>
      <w:r w:rsidR="00E2631F">
        <w:rPr>
          <w:b/>
          <w:sz w:val="28"/>
          <w:szCs w:val="28"/>
          <w:lang w:val="en-AU"/>
        </w:rPr>
        <w:t xml:space="preserve"> </w:t>
      </w:r>
      <w:r w:rsidR="00873266">
        <w:rPr>
          <w:b/>
          <w:sz w:val="28"/>
          <w:szCs w:val="28"/>
          <w:lang w:val="en-AU"/>
        </w:rPr>
        <w:t>pressurised</w:t>
      </w:r>
      <w:r w:rsidR="00E2631F">
        <w:rPr>
          <w:b/>
          <w:sz w:val="28"/>
          <w:szCs w:val="28"/>
          <w:lang w:val="en-AU"/>
        </w:rPr>
        <w:t xml:space="preserve"> inhalation solution</w:t>
      </w:r>
    </w:p>
    <w:p w14:paraId="097B8874" w14:textId="77777777" w:rsidR="000C49CD" w:rsidRPr="00F0251C" w:rsidRDefault="000C49CD" w:rsidP="00CD6A4B">
      <w:pPr>
        <w:pStyle w:val="NoSpacing"/>
        <w:rPr>
          <w:sz w:val="24"/>
          <w:szCs w:val="24"/>
          <w:lang w:val="en-AU"/>
        </w:rPr>
      </w:pPr>
    </w:p>
    <w:p w14:paraId="632E7B97" w14:textId="77777777" w:rsidR="000C49CD" w:rsidRPr="00F0251C" w:rsidRDefault="000C49CD" w:rsidP="001F1848">
      <w:pPr>
        <w:pStyle w:val="Heading1"/>
        <w:numPr>
          <w:ilvl w:val="0"/>
          <w:numId w:val="4"/>
        </w:numPr>
        <w:tabs>
          <w:tab w:val="num" w:pos="360"/>
        </w:tabs>
        <w:rPr>
          <w:rFonts w:ascii="Times New Roman" w:hAnsi="Times New Roman"/>
          <w:noProof/>
          <w:sz w:val="24"/>
          <w:szCs w:val="24"/>
          <w:lang w:val="en-AU"/>
        </w:rPr>
      </w:pPr>
      <w:r w:rsidRPr="00F0251C">
        <w:rPr>
          <w:rFonts w:ascii="Times New Roman" w:hAnsi="Times New Roman"/>
          <w:noProof/>
          <w:sz w:val="24"/>
          <w:szCs w:val="24"/>
          <w:lang w:val="en-AU"/>
        </w:rPr>
        <w:t>NAME OF THE MEDICIN</w:t>
      </w:r>
      <w:r w:rsidR="001E27D5" w:rsidRPr="00F0251C">
        <w:rPr>
          <w:rFonts w:ascii="Times New Roman" w:hAnsi="Times New Roman"/>
          <w:noProof/>
          <w:sz w:val="24"/>
          <w:szCs w:val="24"/>
          <w:lang w:val="en-AU"/>
        </w:rPr>
        <w:t>E</w:t>
      </w:r>
    </w:p>
    <w:p w14:paraId="09484B91" w14:textId="43C0229E" w:rsidR="00461677" w:rsidRPr="00F0251C" w:rsidRDefault="00F057AC" w:rsidP="00CD6A4B">
      <w:pPr>
        <w:pStyle w:val="NoSpacing"/>
        <w:ind w:left="360"/>
        <w:rPr>
          <w:noProof/>
          <w:sz w:val="24"/>
          <w:szCs w:val="24"/>
          <w:lang w:val="en-AU"/>
        </w:rPr>
      </w:pPr>
      <w:r w:rsidRPr="00F0251C">
        <w:rPr>
          <w:noProof/>
          <w:sz w:val="24"/>
          <w:szCs w:val="24"/>
          <w:lang w:val="en-AU"/>
        </w:rPr>
        <w:t>B</w:t>
      </w:r>
      <w:r w:rsidR="002C286A" w:rsidRPr="00F0251C">
        <w:rPr>
          <w:noProof/>
          <w:sz w:val="24"/>
          <w:szCs w:val="24"/>
          <w:lang w:val="en-AU"/>
        </w:rPr>
        <w:t>eclomet</w:t>
      </w:r>
      <w:r w:rsidRPr="00F0251C">
        <w:rPr>
          <w:noProof/>
          <w:sz w:val="24"/>
          <w:szCs w:val="24"/>
          <w:lang w:val="en-AU"/>
        </w:rPr>
        <w:t>asone</w:t>
      </w:r>
      <w:r w:rsidR="00461677" w:rsidRPr="00F0251C">
        <w:rPr>
          <w:noProof/>
          <w:sz w:val="24"/>
          <w:szCs w:val="24"/>
          <w:lang w:val="en-AU"/>
        </w:rPr>
        <w:t xml:space="preserve"> dipropionate</w:t>
      </w:r>
      <w:r w:rsidR="00CC4EA0" w:rsidRPr="00F0251C">
        <w:rPr>
          <w:noProof/>
          <w:sz w:val="24"/>
          <w:szCs w:val="24"/>
          <w:lang w:val="en-AU"/>
        </w:rPr>
        <w:t>,</w:t>
      </w:r>
      <w:r w:rsidR="00461677" w:rsidRPr="00F0251C">
        <w:rPr>
          <w:noProof/>
          <w:sz w:val="24"/>
          <w:szCs w:val="24"/>
          <w:lang w:val="en-AU"/>
        </w:rPr>
        <w:t xml:space="preserve"> formoterol </w:t>
      </w:r>
      <w:r w:rsidR="00D631DD">
        <w:rPr>
          <w:noProof/>
          <w:sz w:val="24"/>
          <w:szCs w:val="24"/>
          <w:lang w:val="en-AU"/>
        </w:rPr>
        <w:t xml:space="preserve">(eformoterol) </w:t>
      </w:r>
      <w:r w:rsidR="00461677" w:rsidRPr="00F0251C">
        <w:rPr>
          <w:noProof/>
          <w:sz w:val="24"/>
          <w:szCs w:val="24"/>
          <w:lang w:val="en-AU"/>
        </w:rPr>
        <w:t>fumarate dihydrate</w:t>
      </w:r>
      <w:r w:rsidR="00CC4EA0" w:rsidRPr="00F0251C">
        <w:rPr>
          <w:noProof/>
          <w:sz w:val="24"/>
          <w:szCs w:val="24"/>
          <w:lang w:val="en-AU"/>
        </w:rPr>
        <w:t xml:space="preserve"> and glycopyrronium</w:t>
      </w:r>
      <w:r w:rsidR="00D631DD">
        <w:rPr>
          <w:noProof/>
          <w:sz w:val="24"/>
          <w:szCs w:val="24"/>
          <w:lang w:val="en-AU"/>
        </w:rPr>
        <w:t xml:space="preserve"> bromide</w:t>
      </w:r>
      <w:r w:rsidR="0077355B">
        <w:rPr>
          <w:noProof/>
          <w:sz w:val="24"/>
          <w:szCs w:val="24"/>
          <w:lang w:val="en-AU"/>
        </w:rPr>
        <w:t xml:space="preserve"> (glycopyrrolate</w:t>
      </w:r>
      <w:r w:rsidR="00BF6317">
        <w:rPr>
          <w:noProof/>
          <w:sz w:val="24"/>
          <w:szCs w:val="24"/>
          <w:lang w:val="en-AU"/>
        </w:rPr>
        <w:t>)</w:t>
      </w:r>
      <w:r w:rsidR="00461677" w:rsidRPr="00F0251C">
        <w:rPr>
          <w:noProof/>
          <w:sz w:val="24"/>
          <w:szCs w:val="24"/>
          <w:lang w:val="en-AU"/>
        </w:rPr>
        <w:t>.</w:t>
      </w:r>
    </w:p>
    <w:p w14:paraId="3587A8E2" w14:textId="77777777" w:rsidR="000C49CD" w:rsidRPr="00F0251C" w:rsidRDefault="000C49CD" w:rsidP="00CD6A4B">
      <w:pPr>
        <w:pStyle w:val="NoSpacing"/>
        <w:ind w:left="360"/>
        <w:rPr>
          <w:noProof/>
          <w:sz w:val="24"/>
          <w:szCs w:val="24"/>
          <w:lang w:val="en-AU"/>
        </w:rPr>
      </w:pPr>
    </w:p>
    <w:p w14:paraId="3066AA36" w14:textId="77777777" w:rsidR="000C49CD" w:rsidRPr="00F0251C" w:rsidRDefault="000C49CD" w:rsidP="001F1848">
      <w:pPr>
        <w:pStyle w:val="Heading1"/>
        <w:numPr>
          <w:ilvl w:val="0"/>
          <w:numId w:val="4"/>
        </w:numPr>
        <w:tabs>
          <w:tab w:val="num" w:pos="360"/>
        </w:tabs>
        <w:rPr>
          <w:rFonts w:ascii="Times New Roman" w:hAnsi="Times New Roman"/>
          <w:noProof/>
          <w:sz w:val="24"/>
          <w:szCs w:val="24"/>
          <w:lang w:val="en-AU"/>
        </w:rPr>
      </w:pPr>
      <w:r w:rsidRPr="00F0251C">
        <w:rPr>
          <w:rFonts w:ascii="Times New Roman" w:hAnsi="Times New Roman"/>
          <w:noProof/>
          <w:sz w:val="24"/>
          <w:szCs w:val="24"/>
          <w:lang w:val="en-AU"/>
        </w:rPr>
        <w:t>QUALITATIVE AND QUANTITATIVE COMPOSITION</w:t>
      </w:r>
    </w:p>
    <w:p w14:paraId="0025EB4A" w14:textId="60C48260" w:rsidR="00FF25D0" w:rsidRPr="00F0251C" w:rsidRDefault="00CC4EA0" w:rsidP="00FF25D0">
      <w:pPr>
        <w:pStyle w:val="NoSpacing"/>
        <w:ind w:left="360"/>
        <w:rPr>
          <w:noProof/>
          <w:sz w:val="24"/>
          <w:szCs w:val="24"/>
          <w:lang w:val="en-AU"/>
        </w:rPr>
      </w:pPr>
      <w:r w:rsidRPr="00F0251C">
        <w:rPr>
          <w:noProof/>
          <w:sz w:val="24"/>
          <w:szCs w:val="24"/>
          <w:lang w:val="en-AU"/>
        </w:rPr>
        <w:t>Each metered dose (the dose leaving the valve) contains 100 micrograms of beclometasone dipropionate</w:t>
      </w:r>
      <w:r w:rsidR="002D1DB2">
        <w:rPr>
          <w:noProof/>
          <w:sz w:val="24"/>
          <w:szCs w:val="24"/>
          <w:lang w:val="en-AU"/>
        </w:rPr>
        <w:t xml:space="preserve"> (BDP)</w:t>
      </w:r>
      <w:r w:rsidRPr="00F0251C">
        <w:rPr>
          <w:noProof/>
          <w:sz w:val="24"/>
          <w:szCs w:val="24"/>
          <w:lang w:val="en-AU"/>
        </w:rPr>
        <w:t>, 6 micrograms of formoterol fumarate dihydrate</w:t>
      </w:r>
      <w:r w:rsidR="002D1DB2">
        <w:rPr>
          <w:noProof/>
          <w:sz w:val="24"/>
          <w:szCs w:val="24"/>
          <w:lang w:val="en-AU"/>
        </w:rPr>
        <w:t xml:space="preserve"> (FF)</w:t>
      </w:r>
      <w:r w:rsidRPr="00F0251C">
        <w:rPr>
          <w:noProof/>
          <w:sz w:val="24"/>
          <w:szCs w:val="24"/>
          <w:lang w:val="en-AU"/>
        </w:rPr>
        <w:t xml:space="preserve"> and 1</w:t>
      </w:r>
      <w:r w:rsidR="00BF6317">
        <w:rPr>
          <w:noProof/>
          <w:sz w:val="24"/>
          <w:szCs w:val="24"/>
          <w:lang w:val="en-AU"/>
        </w:rPr>
        <w:t>0</w:t>
      </w:r>
      <w:r w:rsidRPr="00F0251C">
        <w:rPr>
          <w:noProof/>
          <w:sz w:val="24"/>
          <w:szCs w:val="24"/>
          <w:lang w:val="en-AU"/>
        </w:rPr>
        <w:t xml:space="preserve"> micrograms of glycopyrronium (</w:t>
      </w:r>
      <w:r w:rsidR="00D631DD">
        <w:rPr>
          <w:noProof/>
          <w:sz w:val="24"/>
          <w:szCs w:val="24"/>
          <w:lang w:val="en-AU"/>
        </w:rPr>
        <w:t>equivalent to</w:t>
      </w:r>
      <w:r w:rsidRPr="00F0251C">
        <w:rPr>
          <w:noProof/>
          <w:sz w:val="24"/>
          <w:szCs w:val="24"/>
          <w:lang w:val="en-AU"/>
        </w:rPr>
        <w:t xml:space="preserve"> 1</w:t>
      </w:r>
      <w:r w:rsidR="00BF6317">
        <w:rPr>
          <w:noProof/>
          <w:sz w:val="24"/>
          <w:szCs w:val="24"/>
          <w:lang w:val="en-AU"/>
        </w:rPr>
        <w:t>2.5</w:t>
      </w:r>
      <w:r w:rsidRPr="00F0251C">
        <w:rPr>
          <w:noProof/>
          <w:sz w:val="24"/>
          <w:szCs w:val="24"/>
          <w:lang w:val="en-AU"/>
        </w:rPr>
        <w:t xml:space="preserve"> micrograms </w:t>
      </w:r>
      <w:r w:rsidR="00D631DD">
        <w:rPr>
          <w:noProof/>
          <w:sz w:val="24"/>
          <w:szCs w:val="24"/>
          <w:lang w:val="en-AU"/>
        </w:rPr>
        <w:t xml:space="preserve">of </w:t>
      </w:r>
      <w:r w:rsidRPr="00F0251C">
        <w:rPr>
          <w:noProof/>
          <w:sz w:val="24"/>
          <w:szCs w:val="24"/>
          <w:lang w:val="en-AU"/>
        </w:rPr>
        <w:t>glycopyrronium</w:t>
      </w:r>
      <w:r w:rsidR="00BF6317">
        <w:rPr>
          <w:noProof/>
          <w:sz w:val="24"/>
          <w:szCs w:val="24"/>
          <w:lang w:val="en-AU"/>
        </w:rPr>
        <w:t xml:space="preserve"> bromide</w:t>
      </w:r>
      <w:r w:rsidRPr="00F0251C">
        <w:rPr>
          <w:noProof/>
          <w:sz w:val="24"/>
          <w:szCs w:val="24"/>
          <w:lang w:val="en-AU"/>
        </w:rPr>
        <w:t>)</w:t>
      </w:r>
      <w:r w:rsidR="00BF6317">
        <w:rPr>
          <w:noProof/>
          <w:sz w:val="24"/>
          <w:szCs w:val="24"/>
          <w:lang w:val="en-AU"/>
        </w:rPr>
        <w:t xml:space="preserve"> (GB)</w:t>
      </w:r>
      <w:r w:rsidR="0062574C" w:rsidRPr="00F0251C">
        <w:rPr>
          <w:noProof/>
          <w:sz w:val="24"/>
          <w:szCs w:val="24"/>
          <w:lang w:val="en-AU"/>
        </w:rPr>
        <w:t>.</w:t>
      </w:r>
    </w:p>
    <w:p w14:paraId="39B3C535" w14:textId="40A14624" w:rsidR="00CC4EA0" w:rsidRPr="00F0251C" w:rsidRDefault="00CC4EA0" w:rsidP="00CD6A4B">
      <w:pPr>
        <w:pStyle w:val="NoSpacing"/>
        <w:ind w:left="360"/>
        <w:rPr>
          <w:noProof/>
          <w:sz w:val="24"/>
          <w:szCs w:val="24"/>
          <w:lang w:val="en-AU"/>
        </w:rPr>
      </w:pPr>
    </w:p>
    <w:p w14:paraId="060CAAAC" w14:textId="49F7D445" w:rsidR="00CC4EA0" w:rsidRPr="00F0251C" w:rsidRDefault="00CC4EA0" w:rsidP="00CD6A4B">
      <w:pPr>
        <w:pStyle w:val="NoSpacing"/>
        <w:ind w:left="360"/>
        <w:rPr>
          <w:noProof/>
          <w:sz w:val="24"/>
          <w:szCs w:val="24"/>
          <w:lang w:val="en-AU"/>
        </w:rPr>
      </w:pPr>
      <w:r w:rsidRPr="00F0251C">
        <w:rPr>
          <w:noProof/>
          <w:sz w:val="24"/>
          <w:szCs w:val="24"/>
          <w:lang w:val="en-AU"/>
        </w:rPr>
        <w:t xml:space="preserve">Each delivered dose (the dose leaving the mouthpiece) contains 87 micrograms of beclometasone dipropionate, 5 micrograms of formoterol fumarate dihydrate and </w:t>
      </w:r>
      <w:r w:rsidR="00BF6317">
        <w:rPr>
          <w:noProof/>
          <w:sz w:val="24"/>
          <w:szCs w:val="24"/>
          <w:lang w:val="en-AU"/>
        </w:rPr>
        <w:t>9</w:t>
      </w:r>
      <w:r w:rsidRPr="00F0251C">
        <w:rPr>
          <w:noProof/>
          <w:sz w:val="24"/>
          <w:szCs w:val="24"/>
          <w:lang w:val="en-AU"/>
        </w:rPr>
        <w:t xml:space="preserve"> micrograms of glycopyrronium (</w:t>
      </w:r>
      <w:r w:rsidR="00D631DD">
        <w:rPr>
          <w:noProof/>
          <w:sz w:val="24"/>
          <w:szCs w:val="24"/>
          <w:lang w:val="en-AU"/>
        </w:rPr>
        <w:t>equivalent to</w:t>
      </w:r>
      <w:r w:rsidR="00D631DD" w:rsidRPr="00F0251C">
        <w:rPr>
          <w:noProof/>
          <w:sz w:val="24"/>
          <w:szCs w:val="24"/>
          <w:lang w:val="en-AU"/>
        </w:rPr>
        <w:t xml:space="preserve"> </w:t>
      </w:r>
      <w:r w:rsidR="00BF6317">
        <w:rPr>
          <w:noProof/>
          <w:sz w:val="24"/>
          <w:szCs w:val="24"/>
          <w:lang w:val="en-AU"/>
        </w:rPr>
        <w:t>11</w:t>
      </w:r>
      <w:r w:rsidRPr="00F0251C">
        <w:rPr>
          <w:noProof/>
          <w:sz w:val="24"/>
          <w:szCs w:val="24"/>
          <w:lang w:val="en-AU"/>
        </w:rPr>
        <w:t xml:space="preserve"> micrograms </w:t>
      </w:r>
      <w:r w:rsidR="00D631DD">
        <w:rPr>
          <w:noProof/>
          <w:sz w:val="24"/>
          <w:szCs w:val="24"/>
          <w:lang w:val="en-AU"/>
        </w:rPr>
        <w:t xml:space="preserve">of </w:t>
      </w:r>
      <w:r w:rsidRPr="00F0251C">
        <w:rPr>
          <w:noProof/>
          <w:sz w:val="24"/>
          <w:szCs w:val="24"/>
          <w:lang w:val="en-AU"/>
        </w:rPr>
        <w:t>glycopyrronium</w:t>
      </w:r>
      <w:r w:rsidR="00BF6317">
        <w:rPr>
          <w:noProof/>
          <w:sz w:val="24"/>
          <w:szCs w:val="24"/>
          <w:lang w:val="en-AU"/>
        </w:rPr>
        <w:t xml:space="preserve"> bromide</w:t>
      </w:r>
      <w:r w:rsidRPr="00F0251C">
        <w:rPr>
          <w:noProof/>
          <w:sz w:val="24"/>
          <w:szCs w:val="24"/>
          <w:lang w:val="en-AU"/>
        </w:rPr>
        <w:t>)</w:t>
      </w:r>
      <w:r w:rsidR="00BF6317">
        <w:rPr>
          <w:noProof/>
          <w:sz w:val="24"/>
          <w:szCs w:val="24"/>
          <w:lang w:val="en-AU"/>
        </w:rPr>
        <w:t xml:space="preserve"> (GB)</w:t>
      </w:r>
      <w:r w:rsidRPr="00F0251C">
        <w:rPr>
          <w:noProof/>
          <w:sz w:val="24"/>
          <w:szCs w:val="24"/>
          <w:lang w:val="en-AU"/>
        </w:rPr>
        <w:t>.</w:t>
      </w:r>
    </w:p>
    <w:p w14:paraId="12C8065A" w14:textId="77777777" w:rsidR="00CC4EA0" w:rsidRPr="00F0251C" w:rsidRDefault="00CC4EA0" w:rsidP="00CD6A4B">
      <w:pPr>
        <w:pStyle w:val="NoSpacing"/>
        <w:ind w:left="360"/>
        <w:rPr>
          <w:noProof/>
          <w:sz w:val="24"/>
          <w:szCs w:val="24"/>
          <w:lang w:val="en-AU"/>
        </w:rPr>
      </w:pPr>
    </w:p>
    <w:p w14:paraId="074446DB" w14:textId="3CFCE31C" w:rsidR="002C3C96" w:rsidRPr="00F0251C" w:rsidRDefault="0077355B" w:rsidP="00CD6A4B">
      <w:pPr>
        <w:pStyle w:val="NoSpacing"/>
        <w:ind w:left="360"/>
        <w:rPr>
          <w:noProof/>
          <w:sz w:val="24"/>
          <w:szCs w:val="24"/>
          <w:lang w:val="en-AU"/>
        </w:rPr>
      </w:pPr>
      <w:r>
        <w:rPr>
          <w:noProof/>
          <w:sz w:val="24"/>
          <w:szCs w:val="24"/>
          <w:lang w:val="en-AU"/>
        </w:rPr>
        <w:t>List of excipient(s) with known effect:</w:t>
      </w:r>
      <w:r w:rsidRPr="00F0251C">
        <w:rPr>
          <w:noProof/>
          <w:sz w:val="24"/>
          <w:szCs w:val="24"/>
          <w:lang w:val="en-AU"/>
        </w:rPr>
        <w:t xml:space="preserve"> </w:t>
      </w:r>
      <w:r w:rsidR="00D631DD">
        <w:rPr>
          <w:noProof/>
          <w:sz w:val="24"/>
          <w:szCs w:val="24"/>
          <w:lang w:val="en-AU"/>
        </w:rPr>
        <w:t>alcohol</w:t>
      </w:r>
      <w:r w:rsidR="00461677" w:rsidRPr="00F0251C">
        <w:rPr>
          <w:noProof/>
          <w:sz w:val="24"/>
          <w:szCs w:val="24"/>
          <w:lang w:val="en-AU"/>
        </w:rPr>
        <w:t>.</w:t>
      </w:r>
    </w:p>
    <w:p w14:paraId="4C5DFD61" w14:textId="77777777" w:rsidR="0062574C" w:rsidRPr="00F0251C" w:rsidRDefault="0062574C" w:rsidP="00CD6A4B">
      <w:pPr>
        <w:pStyle w:val="NoSpacing"/>
        <w:ind w:left="360"/>
        <w:rPr>
          <w:noProof/>
          <w:sz w:val="24"/>
          <w:szCs w:val="24"/>
          <w:lang w:val="en-AU"/>
        </w:rPr>
      </w:pPr>
    </w:p>
    <w:p w14:paraId="07DFE051" w14:textId="502363C7" w:rsidR="000C49CD" w:rsidRPr="00F0251C" w:rsidRDefault="000C49CD" w:rsidP="00CD6A4B">
      <w:pPr>
        <w:pStyle w:val="NoSpacing"/>
        <w:ind w:left="360"/>
        <w:rPr>
          <w:noProof/>
          <w:sz w:val="24"/>
          <w:szCs w:val="24"/>
          <w:lang w:val="en-AU"/>
        </w:rPr>
      </w:pPr>
      <w:r w:rsidRPr="00F0251C">
        <w:rPr>
          <w:noProof/>
          <w:sz w:val="24"/>
          <w:szCs w:val="24"/>
          <w:lang w:val="en-AU"/>
        </w:rPr>
        <w:t xml:space="preserve">For </w:t>
      </w:r>
      <w:r w:rsidR="00BC43D5" w:rsidRPr="00F0251C">
        <w:rPr>
          <w:noProof/>
          <w:sz w:val="24"/>
          <w:szCs w:val="24"/>
          <w:lang w:val="en-AU"/>
        </w:rPr>
        <w:t>the</w:t>
      </w:r>
      <w:r w:rsidRPr="00F0251C">
        <w:rPr>
          <w:noProof/>
          <w:sz w:val="24"/>
          <w:szCs w:val="24"/>
          <w:lang w:val="en-AU"/>
        </w:rPr>
        <w:t xml:space="preserve"> full list of excipients see </w:t>
      </w:r>
      <w:r w:rsidR="002D1DB2">
        <w:rPr>
          <w:noProof/>
          <w:sz w:val="24"/>
          <w:szCs w:val="24"/>
          <w:lang w:val="en-AU"/>
        </w:rPr>
        <w:t>section</w:t>
      </w:r>
      <w:r w:rsidR="002C3C96" w:rsidRPr="00F0251C">
        <w:rPr>
          <w:noProof/>
          <w:sz w:val="24"/>
          <w:szCs w:val="24"/>
          <w:lang w:val="en-AU"/>
        </w:rPr>
        <w:t xml:space="preserve"> </w:t>
      </w:r>
      <w:hyperlink w:anchor="_6.1_LIST_OF" w:history="1">
        <w:r w:rsidRPr="00F0251C">
          <w:rPr>
            <w:rStyle w:val="Hyperlink"/>
            <w:noProof/>
            <w:sz w:val="24"/>
            <w:szCs w:val="24"/>
            <w:lang w:val="en-AU"/>
          </w:rPr>
          <w:t>6.1</w:t>
        </w:r>
        <w:r w:rsidR="002C3C96" w:rsidRPr="00F0251C">
          <w:rPr>
            <w:rStyle w:val="Hyperlink"/>
            <w:noProof/>
            <w:sz w:val="24"/>
            <w:szCs w:val="24"/>
            <w:lang w:val="en-AU"/>
          </w:rPr>
          <w:t xml:space="preserve"> LIST OF EXCIPIENTS</w:t>
        </w:r>
      </w:hyperlink>
      <w:r w:rsidRPr="00F0251C">
        <w:rPr>
          <w:noProof/>
          <w:sz w:val="24"/>
          <w:szCs w:val="24"/>
          <w:lang w:val="en-AU"/>
        </w:rPr>
        <w:t>.</w:t>
      </w:r>
    </w:p>
    <w:p w14:paraId="32AD4224" w14:textId="77777777" w:rsidR="000C49CD" w:rsidRPr="00F0251C" w:rsidRDefault="000C49CD" w:rsidP="00CD6A4B">
      <w:pPr>
        <w:pStyle w:val="NoSpacing"/>
        <w:ind w:left="360"/>
        <w:rPr>
          <w:noProof/>
          <w:sz w:val="24"/>
          <w:szCs w:val="24"/>
          <w:lang w:val="en-AU"/>
        </w:rPr>
      </w:pPr>
    </w:p>
    <w:p w14:paraId="3BCF3A31" w14:textId="77777777" w:rsidR="000C49CD" w:rsidRPr="00F0251C" w:rsidRDefault="000C49CD" w:rsidP="001F1848">
      <w:pPr>
        <w:pStyle w:val="Heading1"/>
        <w:numPr>
          <w:ilvl w:val="0"/>
          <w:numId w:val="4"/>
        </w:numPr>
        <w:tabs>
          <w:tab w:val="num" w:pos="360"/>
        </w:tabs>
        <w:rPr>
          <w:rFonts w:ascii="Times New Roman" w:hAnsi="Times New Roman"/>
          <w:noProof/>
          <w:sz w:val="24"/>
          <w:szCs w:val="24"/>
          <w:lang w:val="en-AU"/>
        </w:rPr>
      </w:pPr>
      <w:r w:rsidRPr="00F0251C">
        <w:rPr>
          <w:rFonts w:ascii="Times New Roman" w:hAnsi="Times New Roman"/>
          <w:noProof/>
          <w:sz w:val="24"/>
          <w:szCs w:val="24"/>
          <w:lang w:val="en-AU"/>
        </w:rPr>
        <w:t>PHARMACEUTICAL FORM</w:t>
      </w:r>
    </w:p>
    <w:p w14:paraId="17F83ED9" w14:textId="6B94EC6B" w:rsidR="009D1DE6" w:rsidRPr="00F0251C" w:rsidRDefault="000C49CD" w:rsidP="00CD6A4B">
      <w:pPr>
        <w:pStyle w:val="NoSpacing"/>
        <w:ind w:left="360"/>
        <w:rPr>
          <w:noProof/>
          <w:sz w:val="24"/>
          <w:szCs w:val="24"/>
          <w:lang w:val="en-AU"/>
        </w:rPr>
      </w:pPr>
      <w:r w:rsidRPr="00F0251C">
        <w:rPr>
          <w:noProof/>
          <w:sz w:val="24"/>
          <w:szCs w:val="24"/>
          <w:lang w:val="en-AU"/>
        </w:rPr>
        <w:t>Pressurised inhalation solution</w:t>
      </w:r>
      <w:r w:rsidR="00CC4EA0" w:rsidRPr="00F0251C">
        <w:rPr>
          <w:noProof/>
          <w:sz w:val="24"/>
          <w:szCs w:val="24"/>
          <w:lang w:val="en-AU"/>
        </w:rPr>
        <w:t xml:space="preserve"> (pressurised inhalation)</w:t>
      </w:r>
      <w:r w:rsidRPr="00F0251C">
        <w:rPr>
          <w:noProof/>
          <w:sz w:val="24"/>
          <w:szCs w:val="24"/>
          <w:lang w:val="en-AU"/>
        </w:rPr>
        <w:t>.</w:t>
      </w:r>
    </w:p>
    <w:p w14:paraId="2AAE21E5" w14:textId="77777777" w:rsidR="00D631DD" w:rsidRDefault="009D1DE6" w:rsidP="00CD6A4B">
      <w:pPr>
        <w:pStyle w:val="NoSpacing"/>
        <w:ind w:left="360"/>
        <w:rPr>
          <w:noProof/>
          <w:sz w:val="24"/>
          <w:szCs w:val="24"/>
          <w:lang w:val="en-AU"/>
        </w:rPr>
      </w:pPr>
      <w:r w:rsidRPr="00F0251C">
        <w:rPr>
          <w:noProof/>
          <w:sz w:val="24"/>
          <w:szCs w:val="24"/>
          <w:lang w:val="en-AU"/>
        </w:rPr>
        <w:t xml:space="preserve">Colourless to yellowish </w:t>
      </w:r>
      <w:r w:rsidR="00CC4EA0" w:rsidRPr="00F0251C">
        <w:rPr>
          <w:noProof/>
          <w:sz w:val="24"/>
          <w:szCs w:val="24"/>
          <w:lang w:val="en-AU"/>
        </w:rPr>
        <w:t xml:space="preserve">liquid </w:t>
      </w:r>
      <w:r w:rsidRPr="00F0251C">
        <w:rPr>
          <w:noProof/>
          <w:sz w:val="24"/>
          <w:szCs w:val="24"/>
          <w:lang w:val="en-AU"/>
        </w:rPr>
        <w:t>solution.</w:t>
      </w:r>
    </w:p>
    <w:p w14:paraId="2AEF94DB" w14:textId="77777777" w:rsidR="00D631DD" w:rsidRDefault="00D631DD" w:rsidP="00CD6A4B">
      <w:pPr>
        <w:pStyle w:val="NoSpacing"/>
        <w:ind w:left="360"/>
        <w:rPr>
          <w:noProof/>
          <w:sz w:val="24"/>
          <w:szCs w:val="24"/>
          <w:lang w:val="en-AU"/>
        </w:rPr>
      </w:pPr>
    </w:p>
    <w:p w14:paraId="298FC487" w14:textId="4D5A4E5D" w:rsidR="000C49CD" w:rsidRPr="00F0251C" w:rsidRDefault="00D631DD" w:rsidP="00D631DD">
      <w:pPr>
        <w:pStyle w:val="NoSpacing"/>
        <w:ind w:left="360"/>
        <w:rPr>
          <w:noProof/>
          <w:sz w:val="24"/>
          <w:szCs w:val="24"/>
          <w:lang w:val="en-AU"/>
        </w:rPr>
      </w:pPr>
      <w:r w:rsidRPr="00D631DD">
        <w:rPr>
          <w:noProof/>
          <w:sz w:val="24"/>
          <w:szCs w:val="24"/>
          <w:lang w:val="en-AU"/>
        </w:rPr>
        <w:t>The inhalation solution is contained in a pressurised aluminium container sealed with a metering valve.</w:t>
      </w:r>
      <w:r>
        <w:rPr>
          <w:noProof/>
          <w:sz w:val="24"/>
          <w:szCs w:val="24"/>
          <w:lang w:val="en-AU"/>
        </w:rPr>
        <w:t xml:space="preserve"> </w:t>
      </w:r>
      <w:r w:rsidRPr="00D631DD">
        <w:rPr>
          <w:noProof/>
          <w:sz w:val="24"/>
          <w:szCs w:val="24"/>
          <w:lang w:val="en-AU"/>
        </w:rPr>
        <w:t>The canister is inserted into a polypropylene plastic actuator which incorporates a mouthpiece and is</w:t>
      </w:r>
      <w:r>
        <w:rPr>
          <w:noProof/>
          <w:sz w:val="24"/>
          <w:szCs w:val="24"/>
          <w:lang w:val="en-AU"/>
        </w:rPr>
        <w:t xml:space="preserve"> </w:t>
      </w:r>
      <w:r w:rsidRPr="00D631DD">
        <w:rPr>
          <w:noProof/>
          <w:sz w:val="24"/>
          <w:szCs w:val="24"/>
          <w:lang w:val="en-AU"/>
        </w:rPr>
        <w:t>fitted with a plastic protective cap. The actuator is grey with a red cap. The actuator has a dose counter.</w:t>
      </w:r>
      <w:r w:rsidR="00AB675C" w:rsidRPr="00F0251C">
        <w:rPr>
          <w:noProof/>
          <w:sz w:val="24"/>
          <w:szCs w:val="24"/>
          <w:lang w:val="en-AU"/>
        </w:rPr>
        <w:br/>
      </w:r>
    </w:p>
    <w:p w14:paraId="0B7343A4" w14:textId="77777777" w:rsidR="000C49CD" w:rsidRPr="00F0251C" w:rsidRDefault="000C49CD" w:rsidP="001F1848">
      <w:pPr>
        <w:pStyle w:val="Heading1"/>
        <w:numPr>
          <w:ilvl w:val="0"/>
          <w:numId w:val="4"/>
        </w:numPr>
        <w:tabs>
          <w:tab w:val="num" w:pos="360"/>
        </w:tabs>
        <w:rPr>
          <w:rFonts w:ascii="Times New Roman" w:hAnsi="Times New Roman"/>
          <w:noProof/>
          <w:sz w:val="24"/>
          <w:szCs w:val="24"/>
          <w:lang w:val="en-AU"/>
        </w:rPr>
      </w:pPr>
      <w:r w:rsidRPr="00F0251C">
        <w:rPr>
          <w:rFonts w:ascii="Times New Roman" w:hAnsi="Times New Roman"/>
          <w:noProof/>
          <w:sz w:val="24"/>
          <w:szCs w:val="24"/>
          <w:lang w:val="en-AU"/>
        </w:rPr>
        <w:t>CLINICAL PARTICULARS</w:t>
      </w:r>
    </w:p>
    <w:p w14:paraId="5FF6A0D3" w14:textId="77777777" w:rsidR="001E27D5" w:rsidRPr="00F0251C" w:rsidRDefault="001E27D5" w:rsidP="001E27D5">
      <w:pPr>
        <w:rPr>
          <w:sz w:val="24"/>
          <w:szCs w:val="24"/>
          <w:lang w:val="en-AU"/>
        </w:rPr>
      </w:pPr>
    </w:p>
    <w:p w14:paraId="1384ABFA" w14:textId="77777777" w:rsidR="001E27D5" w:rsidRPr="00F0251C" w:rsidRDefault="001E27D5" w:rsidP="001E27D5">
      <w:pPr>
        <w:pStyle w:val="Heading2"/>
        <w:jc w:val="left"/>
        <w:rPr>
          <w:sz w:val="24"/>
          <w:szCs w:val="24"/>
          <w:lang w:val="en-AU"/>
        </w:rPr>
      </w:pPr>
      <w:r w:rsidRPr="00F0251C">
        <w:rPr>
          <w:sz w:val="24"/>
          <w:szCs w:val="24"/>
          <w:lang w:val="en-AU"/>
        </w:rPr>
        <w:t>4.1</w:t>
      </w:r>
      <w:r w:rsidR="00CF0CFE" w:rsidRPr="00F0251C">
        <w:rPr>
          <w:sz w:val="24"/>
          <w:szCs w:val="24"/>
          <w:lang w:val="en-AU"/>
        </w:rPr>
        <w:t xml:space="preserve"> </w:t>
      </w:r>
      <w:bookmarkStart w:id="1" w:name="_Hlk41656444"/>
      <w:r w:rsidRPr="00F0251C">
        <w:rPr>
          <w:noProof/>
          <w:sz w:val="24"/>
          <w:szCs w:val="24"/>
          <w:lang w:val="en-AU"/>
        </w:rPr>
        <w:t>THERAPEUTIC INDICATIONS</w:t>
      </w:r>
    </w:p>
    <w:p w14:paraId="07CB31D4" w14:textId="6AD01EDC" w:rsidR="000C49CD" w:rsidRPr="00F0251C" w:rsidRDefault="007C6289" w:rsidP="0093244F">
      <w:pPr>
        <w:pStyle w:val="NoSpacing"/>
        <w:ind w:left="360"/>
        <w:rPr>
          <w:sz w:val="24"/>
          <w:szCs w:val="24"/>
          <w:lang w:val="en-AU"/>
        </w:rPr>
      </w:pPr>
      <w:r w:rsidRPr="007C6289">
        <w:rPr>
          <w:sz w:val="24"/>
          <w:szCs w:val="24"/>
          <w:lang w:val="en-AU"/>
        </w:rPr>
        <w:t xml:space="preserve">TRIMBOW is indicated for </w:t>
      </w:r>
      <w:r>
        <w:rPr>
          <w:sz w:val="24"/>
          <w:szCs w:val="24"/>
          <w:lang w:val="en-AU"/>
        </w:rPr>
        <w:t xml:space="preserve">maintenance </w:t>
      </w:r>
      <w:r w:rsidR="00CC4EA0" w:rsidRPr="00F0251C">
        <w:rPr>
          <w:sz w:val="24"/>
          <w:szCs w:val="24"/>
          <w:lang w:val="en-AU"/>
        </w:rPr>
        <w:t>treatment in adult patients with moderate to severe chronic obstructive pulmonary disease (COPD) who are not adequately treated by a combination of an inhaled corticosteroid</w:t>
      </w:r>
      <w:r>
        <w:rPr>
          <w:sz w:val="24"/>
          <w:szCs w:val="24"/>
          <w:lang w:val="en-AU"/>
        </w:rPr>
        <w:t xml:space="preserve"> (ICS)</w:t>
      </w:r>
      <w:r w:rsidR="00CC4EA0" w:rsidRPr="00F0251C">
        <w:rPr>
          <w:sz w:val="24"/>
          <w:szCs w:val="24"/>
          <w:lang w:val="en-AU"/>
        </w:rPr>
        <w:t xml:space="preserve"> and a long-acting beta2-agonist</w:t>
      </w:r>
      <w:r>
        <w:rPr>
          <w:sz w:val="24"/>
          <w:szCs w:val="24"/>
          <w:lang w:val="en-AU"/>
        </w:rPr>
        <w:t xml:space="preserve"> (LABA)</w:t>
      </w:r>
      <w:r w:rsidR="00CC4EA0" w:rsidRPr="00F0251C">
        <w:rPr>
          <w:sz w:val="24"/>
          <w:szCs w:val="24"/>
          <w:lang w:val="en-AU"/>
        </w:rPr>
        <w:t xml:space="preserve"> or a combination of a </w:t>
      </w:r>
      <w:r>
        <w:rPr>
          <w:sz w:val="24"/>
          <w:szCs w:val="24"/>
          <w:lang w:val="en-AU"/>
        </w:rPr>
        <w:t xml:space="preserve">LABA </w:t>
      </w:r>
      <w:r w:rsidR="00CC4EA0" w:rsidRPr="00F0251C">
        <w:rPr>
          <w:sz w:val="24"/>
          <w:szCs w:val="24"/>
          <w:lang w:val="en-AU"/>
        </w:rPr>
        <w:t>and a long-acting muscarinic antagonist</w:t>
      </w:r>
      <w:r w:rsidR="006A4DB8" w:rsidRPr="00F0251C">
        <w:rPr>
          <w:sz w:val="24"/>
          <w:szCs w:val="24"/>
          <w:lang w:val="en-AU"/>
        </w:rPr>
        <w:t xml:space="preserve"> </w:t>
      </w:r>
      <w:r>
        <w:rPr>
          <w:sz w:val="24"/>
          <w:szCs w:val="24"/>
          <w:lang w:val="en-AU"/>
        </w:rPr>
        <w:t>(LAMA)</w:t>
      </w:r>
      <w:r w:rsidR="00CC4EA0" w:rsidRPr="00F0251C">
        <w:rPr>
          <w:sz w:val="24"/>
          <w:szCs w:val="24"/>
          <w:lang w:val="en-AU"/>
        </w:rPr>
        <w:t xml:space="preserve"> </w:t>
      </w:r>
    </w:p>
    <w:bookmarkEnd w:id="1"/>
    <w:p w14:paraId="19433F0D" w14:textId="77777777" w:rsidR="000C49CD" w:rsidRPr="00F0251C" w:rsidRDefault="000C49CD" w:rsidP="0093244F">
      <w:pPr>
        <w:pStyle w:val="NoSpacing"/>
        <w:ind w:left="360"/>
        <w:rPr>
          <w:sz w:val="24"/>
          <w:szCs w:val="24"/>
          <w:lang w:val="en-AU"/>
        </w:rPr>
      </w:pPr>
    </w:p>
    <w:p w14:paraId="43D68F91" w14:textId="3CEF8AC9" w:rsidR="000C49CD" w:rsidRPr="00F0251C" w:rsidRDefault="000C49CD" w:rsidP="001E27D5">
      <w:pPr>
        <w:pStyle w:val="Heading2"/>
        <w:jc w:val="left"/>
        <w:rPr>
          <w:noProof/>
          <w:sz w:val="24"/>
          <w:szCs w:val="24"/>
          <w:lang w:val="en-AU"/>
        </w:rPr>
      </w:pPr>
      <w:bookmarkStart w:id="2" w:name="_4.2_DOSE_AND"/>
      <w:bookmarkEnd w:id="2"/>
      <w:r w:rsidRPr="00F0251C">
        <w:rPr>
          <w:smallCaps/>
          <w:noProof/>
          <w:sz w:val="24"/>
          <w:szCs w:val="24"/>
          <w:lang w:val="en-AU"/>
        </w:rPr>
        <w:t>4.</w:t>
      </w:r>
      <w:r w:rsidR="00FB2DD3" w:rsidRPr="00F0251C">
        <w:rPr>
          <w:smallCaps/>
          <w:noProof/>
          <w:sz w:val="24"/>
          <w:szCs w:val="24"/>
          <w:lang w:val="en-AU"/>
        </w:rPr>
        <w:t>2</w:t>
      </w:r>
      <w:r w:rsidR="00CF0CFE" w:rsidRPr="00F0251C">
        <w:rPr>
          <w:smallCaps/>
          <w:noProof/>
          <w:sz w:val="24"/>
          <w:szCs w:val="24"/>
          <w:lang w:val="en-AU"/>
        </w:rPr>
        <w:t xml:space="preserve"> </w:t>
      </w:r>
      <w:r w:rsidR="00237738" w:rsidRPr="00F0251C">
        <w:rPr>
          <w:noProof/>
          <w:sz w:val="24"/>
          <w:szCs w:val="24"/>
          <w:lang w:val="en-AU"/>
        </w:rPr>
        <w:t xml:space="preserve">DOSE </w:t>
      </w:r>
      <w:r w:rsidR="00FB2DD3" w:rsidRPr="00F0251C">
        <w:rPr>
          <w:noProof/>
          <w:sz w:val="24"/>
          <w:szCs w:val="24"/>
          <w:lang w:val="en-AU"/>
        </w:rPr>
        <w:t>AND METHOD OF ADMINISTRATION</w:t>
      </w:r>
    </w:p>
    <w:p w14:paraId="194E9036" w14:textId="01C5D924" w:rsidR="00A76E74" w:rsidRPr="00F0251C" w:rsidRDefault="007C6289" w:rsidP="00506F3D">
      <w:pPr>
        <w:pStyle w:val="NoSpacing"/>
        <w:ind w:left="360"/>
        <w:rPr>
          <w:noProof/>
          <w:color w:val="000000"/>
          <w:kern w:val="28"/>
          <w:sz w:val="24"/>
          <w:szCs w:val="24"/>
          <w:lang w:val="en-AU"/>
        </w:rPr>
      </w:pPr>
      <w:r>
        <w:rPr>
          <w:noProof/>
          <w:color w:val="000000"/>
          <w:kern w:val="28"/>
          <w:sz w:val="24"/>
          <w:szCs w:val="24"/>
          <w:lang w:val="en-AU"/>
        </w:rPr>
        <w:t>TRIMBOW</w:t>
      </w:r>
      <w:r w:rsidRPr="00F0251C">
        <w:rPr>
          <w:noProof/>
          <w:color w:val="000000"/>
          <w:kern w:val="28"/>
          <w:sz w:val="24"/>
          <w:szCs w:val="24"/>
          <w:lang w:val="en-AU"/>
        </w:rPr>
        <w:t xml:space="preserve"> </w:t>
      </w:r>
      <w:r w:rsidR="00506F3D" w:rsidRPr="00F0251C">
        <w:rPr>
          <w:noProof/>
          <w:color w:val="000000"/>
          <w:kern w:val="28"/>
          <w:sz w:val="24"/>
          <w:szCs w:val="24"/>
          <w:lang w:val="en-AU"/>
        </w:rPr>
        <w:t>i</w:t>
      </w:r>
      <w:r w:rsidR="00A76E74" w:rsidRPr="00F0251C">
        <w:rPr>
          <w:noProof/>
          <w:color w:val="000000"/>
          <w:kern w:val="28"/>
          <w:sz w:val="24"/>
          <w:szCs w:val="24"/>
          <w:lang w:val="en-AU"/>
        </w:rPr>
        <w:t>s for inhal</w:t>
      </w:r>
      <w:r w:rsidR="00654E0C" w:rsidRPr="00F0251C">
        <w:rPr>
          <w:noProof/>
          <w:color w:val="000000"/>
          <w:kern w:val="28"/>
          <w:sz w:val="24"/>
          <w:szCs w:val="24"/>
          <w:lang w:val="en-AU"/>
        </w:rPr>
        <w:t>a</w:t>
      </w:r>
      <w:r w:rsidR="00A76E74" w:rsidRPr="00F0251C">
        <w:rPr>
          <w:noProof/>
          <w:color w:val="000000"/>
          <w:kern w:val="28"/>
          <w:sz w:val="24"/>
          <w:szCs w:val="24"/>
          <w:lang w:val="en-AU"/>
        </w:rPr>
        <w:t>tion use.</w:t>
      </w:r>
    </w:p>
    <w:p w14:paraId="75FF159F" w14:textId="77777777" w:rsidR="0093244F" w:rsidRPr="00F0251C" w:rsidRDefault="0093244F" w:rsidP="00506F3D">
      <w:pPr>
        <w:pStyle w:val="NoSpacing"/>
        <w:ind w:left="360"/>
        <w:rPr>
          <w:noProof/>
          <w:color w:val="000000"/>
          <w:kern w:val="28"/>
          <w:sz w:val="24"/>
          <w:szCs w:val="24"/>
          <w:lang w:val="en-AU"/>
        </w:rPr>
      </w:pPr>
    </w:p>
    <w:p w14:paraId="5C5B5708" w14:textId="77777777" w:rsidR="0023788B" w:rsidRDefault="0023788B" w:rsidP="006F5482">
      <w:pPr>
        <w:pStyle w:val="NoSpacing"/>
        <w:ind w:left="360"/>
        <w:rPr>
          <w:b/>
          <w:noProof/>
          <w:color w:val="000000"/>
          <w:kern w:val="28"/>
          <w:sz w:val="24"/>
          <w:szCs w:val="24"/>
          <w:lang w:val="en-AU"/>
        </w:rPr>
      </w:pPr>
    </w:p>
    <w:p w14:paraId="36FE4939" w14:textId="7099EE64" w:rsidR="000C49CD" w:rsidRPr="00F0251C" w:rsidRDefault="00F66091" w:rsidP="006F5482">
      <w:pPr>
        <w:pStyle w:val="NoSpacing"/>
        <w:ind w:left="360"/>
        <w:rPr>
          <w:b/>
          <w:noProof/>
          <w:color w:val="000000"/>
          <w:kern w:val="28"/>
          <w:sz w:val="24"/>
          <w:szCs w:val="24"/>
          <w:lang w:val="en-AU"/>
        </w:rPr>
      </w:pPr>
      <w:r w:rsidRPr="00F0251C">
        <w:rPr>
          <w:b/>
          <w:noProof/>
          <w:color w:val="000000"/>
          <w:kern w:val="28"/>
          <w:sz w:val="24"/>
          <w:szCs w:val="24"/>
          <w:lang w:val="en-AU"/>
        </w:rPr>
        <w:lastRenderedPageBreak/>
        <w:t>DOS</w:t>
      </w:r>
      <w:r w:rsidR="007C6289">
        <w:rPr>
          <w:b/>
          <w:noProof/>
          <w:color w:val="000000"/>
          <w:kern w:val="28"/>
          <w:sz w:val="24"/>
          <w:szCs w:val="24"/>
          <w:lang w:val="en-AU"/>
        </w:rPr>
        <w:t>AG</w:t>
      </w:r>
      <w:r w:rsidRPr="00F0251C">
        <w:rPr>
          <w:b/>
          <w:noProof/>
          <w:color w:val="000000"/>
          <w:kern w:val="28"/>
          <w:sz w:val="24"/>
          <w:szCs w:val="24"/>
          <w:lang w:val="en-AU"/>
        </w:rPr>
        <w:t>E</w:t>
      </w:r>
    </w:p>
    <w:p w14:paraId="63769DB6" w14:textId="77777777" w:rsidR="007C6289" w:rsidRPr="007C6289" w:rsidRDefault="007C6289" w:rsidP="007C6289">
      <w:pPr>
        <w:pStyle w:val="NoSpacing"/>
        <w:ind w:left="360"/>
        <w:rPr>
          <w:noProof/>
          <w:sz w:val="24"/>
          <w:szCs w:val="24"/>
          <w:lang w:val="en-AU"/>
        </w:rPr>
      </w:pPr>
      <w:bookmarkStart w:id="3" w:name="_Hlk29477880"/>
      <w:bookmarkStart w:id="4" w:name="_Hlk29477320"/>
      <w:r w:rsidRPr="007C6289">
        <w:rPr>
          <w:noProof/>
          <w:sz w:val="24"/>
          <w:szCs w:val="24"/>
          <w:lang w:val="en-AU"/>
        </w:rPr>
        <w:t>TRIMBOW is not to be used as initial therapy but may be considered as step-up from LABA/LAMA or ICS/LABA or for patients already taking ICS+LABA+LAMA. Patients can be changed from their existing inhalers to TRIMBOW at the next dose. It is important, however, that patients do not take other LABA, LAMA or ICS while taking TRIMBOW.</w:t>
      </w:r>
    </w:p>
    <w:p w14:paraId="588D3924" w14:textId="77777777" w:rsidR="007C6289" w:rsidRPr="007C6289" w:rsidRDefault="007C6289" w:rsidP="007C6289">
      <w:pPr>
        <w:pStyle w:val="NoSpacing"/>
        <w:ind w:left="360"/>
        <w:rPr>
          <w:noProof/>
          <w:sz w:val="24"/>
          <w:szCs w:val="24"/>
          <w:lang w:val="en-AU"/>
        </w:rPr>
      </w:pPr>
    </w:p>
    <w:p w14:paraId="61634665" w14:textId="6819DC96" w:rsidR="007C6289" w:rsidRDefault="007C6289" w:rsidP="007C6289">
      <w:pPr>
        <w:pStyle w:val="NoSpacing"/>
        <w:ind w:left="360"/>
        <w:rPr>
          <w:noProof/>
          <w:sz w:val="24"/>
          <w:szCs w:val="24"/>
          <w:lang w:val="en-AU"/>
        </w:rPr>
      </w:pPr>
      <w:r w:rsidRPr="007C6289">
        <w:rPr>
          <w:noProof/>
          <w:sz w:val="24"/>
          <w:szCs w:val="24"/>
          <w:lang w:val="en-AU"/>
        </w:rPr>
        <w:t>A stepwise approach to the management of COPD is recommended, including the cessation of smoking and a pulmonary rehabilitation program.</w:t>
      </w:r>
    </w:p>
    <w:p w14:paraId="433059CF" w14:textId="77777777" w:rsidR="007C6289" w:rsidRDefault="007C6289" w:rsidP="007C6289">
      <w:pPr>
        <w:pStyle w:val="NoSpacing"/>
        <w:ind w:left="360"/>
        <w:rPr>
          <w:noProof/>
          <w:sz w:val="24"/>
          <w:szCs w:val="24"/>
          <w:lang w:val="en-AU"/>
        </w:rPr>
      </w:pPr>
    </w:p>
    <w:bookmarkEnd w:id="3"/>
    <w:bookmarkEnd w:id="4"/>
    <w:p w14:paraId="3473DB97" w14:textId="7C4116EF" w:rsidR="006F5482" w:rsidRPr="00F0251C" w:rsidRDefault="006F5482" w:rsidP="006F5482">
      <w:pPr>
        <w:pStyle w:val="NoSpacing"/>
        <w:ind w:left="360"/>
        <w:rPr>
          <w:b/>
          <w:noProof/>
          <w:sz w:val="24"/>
          <w:szCs w:val="24"/>
          <w:u w:val="single"/>
          <w:lang w:val="en-AU"/>
        </w:rPr>
      </w:pPr>
      <w:r w:rsidRPr="00F0251C">
        <w:rPr>
          <w:b/>
          <w:noProof/>
          <w:sz w:val="24"/>
          <w:szCs w:val="24"/>
          <w:u w:val="single"/>
          <w:lang w:val="en-AU"/>
        </w:rPr>
        <w:t>Adults</w:t>
      </w:r>
    </w:p>
    <w:p w14:paraId="77070C14" w14:textId="23BE86F9" w:rsidR="00C4744C" w:rsidRDefault="006F5482" w:rsidP="00C4744C">
      <w:pPr>
        <w:pStyle w:val="NoSpacing"/>
        <w:ind w:left="360"/>
        <w:rPr>
          <w:noProof/>
          <w:sz w:val="24"/>
          <w:szCs w:val="24"/>
          <w:lang w:val="en-AU"/>
        </w:rPr>
      </w:pPr>
      <w:bookmarkStart w:id="5" w:name="_Hlk29476122"/>
      <w:r w:rsidRPr="00F0251C">
        <w:rPr>
          <w:noProof/>
          <w:sz w:val="24"/>
          <w:szCs w:val="24"/>
          <w:lang w:val="en-AU"/>
        </w:rPr>
        <w:t xml:space="preserve">The recommended dose is two inhalations of </w:t>
      </w:r>
      <w:r w:rsidR="000D1FB0" w:rsidRPr="00F0251C">
        <w:rPr>
          <w:noProof/>
          <w:sz w:val="24"/>
          <w:szCs w:val="24"/>
          <w:lang w:val="en-AU"/>
        </w:rPr>
        <w:t>TRIMBOW</w:t>
      </w:r>
      <w:r w:rsidR="007C6289">
        <w:rPr>
          <w:noProof/>
          <w:sz w:val="24"/>
          <w:szCs w:val="24"/>
          <w:lang w:val="en-AU"/>
        </w:rPr>
        <w:t xml:space="preserve"> 100/6/12.5</w:t>
      </w:r>
      <w:r w:rsidRPr="00F0251C">
        <w:rPr>
          <w:noProof/>
          <w:sz w:val="24"/>
          <w:szCs w:val="24"/>
          <w:lang w:val="en-AU"/>
        </w:rPr>
        <w:t xml:space="preserve"> twice daily</w:t>
      </w:r>
      <w:r w:rsidR="007C6289">
        <w:rPr>
          <w:noProof/>
          <w:sz w:val="24"/>
          <w:szCs w:val="24"/>
          <w:lang w:val="en-AU"/>
        </w:rPr>
        <w:t xml:space="preserve">. </w:t>
      </w:r>
      <w:r w:rsidR="007C6289" w:rsidRPr="007C6289">
        <w:rPr>
          <w:noProof/>
          <w:sz w:val="24"/>
          <w:szCs w:val="24"/>
          <w:lang w:val="en-AU"/>
        </w:rPr>
        <w:t>The patient should take two inhalations in the morning and two inhalations in the evening at the same time every day.</w:t>
      </w:r>
    </w:p>
    <w:p w14:paraId="6A2A536A" w14:textId="77777777" w:rsidR="00C4744C" w:rsidRDefault="00C4744C" w:rsidP="00C4744C">
      <w:pPr>
        <w:pStyle w:val="NoSpacing"/>
        <w:ind w:left="360"/>
        <w:rPr>
          <w:noProof/>
          <w:sz w:val="24"/>
          <w:szCs w:val="24"/>
          <w:lang w:val="en-AU"/>
        </w:rPr>
      </w:pPr>
    </w:p>
    <w:p w14:paraId="6E023BFA" w14:textId="50EC963F" w:rsidR="00C4744C" w:rsidRDefault="006F5482" w:rsidP="006F5482">
      <w:pPr>
        <w:pStyle w:val="NoSpacing"/>
        <w:ind w:left="360"/>
        <w:rPr>
          <w:b/>
          <w:noProof/>
          <w:sz w:val="24"/>
          <w:szCs w:val="24"/>
          <w:u w:val="single"/>
          <w:lang w:val="en-AU"/>
        </w:rPr>
      </w:pPr>
      <w:r w:rsidRPr="00F0251C">
        <w:rPr>
          <w:noProof/>
          <w:sz w:val="24"/>
          <w:szCs w:val="24"/>
          <w:lang w:val="en-AU"/>
        </w:rPr>
        <w:t xml:space="preserve">The maximum dose is two inhalations of </w:t>
      </w:r>
      <w:r w:rsidR="000D1FB0" w:rsidRPr="00F0251C">
        <w:rPr>
          <w:noProof/>
          <w:sz w:val="24"/>
          <w:szCs w:val="24"/>
          <w:lang w:val="en-AU"/>
        </w:rPr>
        <w:t>TRIMBOW</w:t>
      </w:r>
      <w:r w:rsidRPr="00F0251C">
        <w:rPr>
          <w:noProof/>
          <w:sz w:val="24"/>
          <w:szCs w:val="24"/>
          <w:lang w:val="en-AU"/>
        </w:rPr>
        <w:t xml:space="preserve"> twice daily</w:t>
      </w:r>
      <w:r w:rsidR="0062574C" w:rsidRPr="00F0251C">
        <w:rPr>
          <w:noProof/>
          <w:sz w:val="24"/>
          <w:szCs w:val="24"/>
          <w:lang w:val="en-AU"/>
        </w:rPr>
        <w:t>.</w:t>
      </w:r>
      <w:bookmarkEnd w:id="5"/>
    </w:p>
    <w:p w14:paraId="4133B0A6" w14:textId="77777777" w:rsidR="00C4744C" w:rsidRDefault="00C4744C" w:rsidP="006F5482">
      <w:pPr>
        <w:pStyle w:val="NoSpacing"/>
        <w:ind w:left="360"/>
        <w:rPr>
          <w:b/>
          <w:noProof/>
          <w:sz w:val="24"/>
          <w:szCs w:val="24"/>
          <w:u w:val="single"/>
          <w:lang w:val="en-AU"/>
        </w:rPr>
      </w:pPr>
    </w:p>
    <w:p w14:paraId="7EA89EDB" w14:textId="7CD0B6D0" w:rsidR="006F5482" w:rsidRPr="00F0251C" w:rsidRDefault="006F5482" w:rsidP="006F5482">
      <w:pPr>
        <w:pStyle w:val="NoSpacing"/>
        <w:ind w:left="360"/>
        <w:rPr>
          <w:b/>
          <w:noProof/>
          <w:sz w:val="24"/>
          <w:szCs w:val="24"/>
          <w:u w:val="single"/>
          <w:lang w:val="en-AU"/>
        </w:rPr>
      </w:pPr>
      <w:r w:rsidRPr="00F0251C">
        <w:rPr>
          <w:b/>
          <w:noProof/>
          <w:sz w:val="24"/>
          <w:szCs w:val="24"/>
          <w:u w:val="single"/>
          <w:lang w:val="en-AU"/>
        </w:rPr>
        <w:t>Special populations</w:t>
      </w:r>
    </w:p>
    <w:p w14:paraId="3DCEFB0C" w14:textId="67CBB7DB" w:rsidR="001B6214" w:rsidRPr="00F0251C" w:rsidRDefault="001B6214" w:rsidP="006F5482">
      <w:pPr>
        <w:pStyle w:val="NoSpacing"/>
        <w:ind w:left="360"/>
        <w:rPr>
          <w:noProof/>
          <w:sz w:val="24"/>
          <w:szCs w:val="24"/>
          <w:u w:val="single"/>
          <w:lang w:val="en-AU"/>
        </w:rPr>
      </w:pPr>
    </w:p>
    <w:p w14:paraId="03CD75D4" w14:textId="77777777" w:rsidR="00C4744C" w:rsidRPr="00C4744C" w:rsidRDefault="00C4744C" w:rsidP="00C4744C">
      <w:pPr>
        <w:pStyle w:val="NoSpacing"/>
        <w:ind w:left="360"/>
        <w:rPr>
          <w:noProof/>
          <w:sz w:val="24"/>
          <w:szCs w:val="24"/>
          <w:u w:val="single"/>
          <w:lang w:val="en-AU"/>
        </w:rPr>
      </w:pPr>
      <w:r w:rsidRPr="00C4744C">
        <w:rPr>
          <w:noProof/>
          <w:sz w:val="24"/>
          <w:szCs w:val="24"/>
          <w:u w:val="single"/>
          <w:lang w:val="en-AU"/>
        </w:rPr>
        <w:t>Paediatric population</w:t>
      </w:r>
    </w:p>
    <w:p w14:paraId="38779464" w14:textId="77777777" w:rsidR="00C4744C" w:rsidRDefault="00C4744C" w:rsidP="006F5482">
      <w:pPr>
        <w:pStyle w:val="NoSpacing"/>
        <w:ind w:left="360"/>
        <w:rPr>
          <w:noProof/>
          <w:sz w:val="24"/>
          <w:szCs w:val="24"/>
          <w:u w:val="single"/>
          <w:lang w:val="en-AU"/>
        </w:rPr>
      </w:pPr>
      <w:r w:rsidRPr="00C4744C">
        <w:rPr>
          <w:noProof/>
          <w:sz w:val="24"/>
          <w:szCs w:val="24"/>
          <w:lang w:val="en-AU"/>
        </w:rPr>
        <w:t>There is no relevant use of TRIMBOW in the paediatric population (under 18 years of age) for the indication of COPD.</w:t>
      </w:r>
    </w:p>
    <w:p w14:paraId="1ED943C8" w14:textId="77777777" w:rsidR="00C4744C" w:rsidRDefault="00C4744C" w:rsidP="006F5482">
      <w:pPr>
        <w:pStyle w:val="NoSpacing"/>
        <w:ind w:left="360"/>
        <w:rPr>
          <w:noProof/>
          <w:sz w:val="24"/>
          <w:szCs w:val="24"/>
          <w:u w:val="single"/>
          <w:lang w:val="en-AU"/>
        </w:rPr>
      </w:pPr>
    </w:p>
    <w:p w14:paraId="19775EA9" w14:textId="5E8491C6" w:rsidR="006F5482" w:rsidRPr="00F0251C" w:rsidRDefault="006F5482" w:rsidP="006F5482">
      <w:pPr>
        <w:pStyle w:val="NoSpacing"/>
        <w:ind w:left="360"/>
        <w:rPr>
          <w:noProof/>
          <w:sz w:val="24"/>
          <w:szCs w:val="24"/>
          <w:u w:val="single"/>
          <w:lang w:val="en-AU"/>
        </w:rPr>
      </w:pPr>
      <w:r w:rsidRPr="00F0251C">
        <w:rPr>
          <w:noProof/>
          <w:sz w:val="24"/>
          <w:szCs w:val="24"/>
          <w:u w:val="single"/>
          <w:lang w:val="en-AU"/>
        </w:rPr>
        <w:t xml:space="preserve">Elderly </w:t>
      </w:r>
    </w:p>
    <w:p w14:paraId="13773830" w14:textId="5D098AA5" w:rsidR="006F5482" w:rsidRPr="00F0251C" w:rsidRDefault="006F5482" w:rsidP="006F5482">
      <w:pPr>
        <w:pStyle w:val="NoSpacing"/>
        <w:ind w:left="360"/>
        <w:rPr>
          <w:noProof/>
          <w:sz w:val="24"/>
          <w:szCs w:val="24"/>
          <w:lang w:val="en-AU"/>
        </w:rPr>
      </w:pPr>
      <w:r w:rsidRPr="00F0251C">
        <w:rPr>
          <w:noProof/>
          <w:sz w:val="24"/>
          <w:szCs w:val="24"/>
          <w:lang w:val="en-AU"/>
        </w:rPr>
        <w:t>No dosage adjustment is required in elderly patients (65 years of age and older)</w:t>
      </w:r>
      <w:r w:rsidR="00CD30B9">
        <w:rPr>
          <w:noProof/>
          <w:sz w:val="24"/>
          <w:szCs w:val="24"/>
          <w:lang w:val="en-AU"/>
        </w:rPr>
        <w:t xml:space="preserve"> (</w:t>
      </w:r>
      <w:r w:rsidR="00CD30B9" w:rsidRPr="00F0251C">
        <w:rPr>
          <w:noProof/>
          <w:sz w:val="24"/>
          <w:szCs w:val="24"/>
          <w:lang w:val="en-AU"/>
        </w:rPr>
        <w:t xml:space="preserve">see section </w:t>
      </w:r>
      <w:hyperlink w:anchor="_5.2_PHARMACOKINETIC_PROPERTIES" w:history="1">
        <w:r w:rsidR="00CD30B9" w:rsidRPr="00F0251C">
          <w:rPr>
            <w:rStyle w:val="Hyperlink"/>
            <w:noProof/>
            <w:sz w:val="24"/>
            <w:szCs w:val="24"/>
            <w:lang w:val="en-AU"/>
          </w:rPr>
          <w:t>5.2 PHARMACOKINETIC PROPERTIES</w:t>
        </w:r>
      </w:hyperlink>
      <w:r w:rsidR="00CD30B9" w:rsidRPr="00F0251C">
        <w:rPr>
          <w:noProof/>
          <w:sz w:val="24"/>
          <w:szCs w:val="24"/>
          <w:lang w:val="en-AU"/>
        </w:rPr>
        <w:t>, Special patient populations</w:t>
      </w:r>
      <w:r w:rsidR="00CD30B9">
        <w:rPr>
          <w:noProof/>
          <w:sz w:val="24"/>
          <w:szCs w:val="24"/>
          <w:lang w:val="en-AU"/>
        </w:rPr>
        <w:t>)</w:t>
      </w:r>
      <w:r w:rsidRPr="00F0251C">
        <w:rPr>
          <w:noProof/>
          <w:sz w:val="24"/>
          <w:szCs w:val="24"/>
          <w:lang w:val="en-AU"/>
        </w:rPr>
        <w:t>.</w:t>
      </w:r>
    </w:p>
    <w:p w14:paraId="5FB34527" w14:textId="77777777" w:rsidR="006F5482" w:rsidRPr="00F0251C" w:rsidRDefault="006F5482" w:rsidP="006F5482">
      <w:pPr>
        <w:pStyle w:val="NoSpacing"/>
        <w:ind w:left="360"/>
        <w:rPr>
          <w:noProof/>
          <w:sz w:val="24"/>
          <w:szCs w:val="24"/>
          <w:lang w:val="en-AU"/>
        </w:rPr>
      </w:pPr>
    </w:p>
    <w:p w14:paraId="7B70E073" w14:textId="77777777" w:rsidR="006F5482" w:rsidRPr="00F0251C" w:rsidRDefault="006F5482" w:rsidP="006F5482">
      <w:pPr>
        <w:pStyle w:val="NoSpacing"/>
        <w:ind w:left="360"/>
        <w:rPr>
          <w:noProof/>
          <w:sz w:val="24"/>
          <w:szCs w:val="24"/>
          <w:u w:val="single"/>
          <w:lang w:val="en-AU"/>
        </w:rPr>
      </w:pPr>
      <w:r w:rsidRPr="00F0251C">
        <w:rPr>
          <w:noProof/>
          <w:sz w:val="24"/>
          <w:szCs w:val="24"/>
          <w:u w:val="single"/>
          <w:lang w:val="en-AU"/>
        </w:rPr>
        <w:t>Renal impairment</w:t>
      </w:r>
    </w:p>
    <w:p w14:paraId="345FA293" w14:textId="5E6D085F" w:rsidR="006F5482" w:rsidRPr="00F0251C" w:rsidRDefault="000D1FB0" w:rsidP="006F5482">
      <w:pPr>
        <w:pStyle w:val="NoSpacing"/>
        <w:ind w:left="360"/>
        <w:rPr>
          <w:noProof/>
          <w:sz w:val="24"/>
          <w:szCs w:val="24"/>
          <w:lang w:val="en-AU"/>
        </w:rPr>
      </w:pPr>
      <w:r w:rsidRPr="00F0251C">
        <w:rPr>
          <w:noProof/>
          <w:sz w:val="24"/>
          <w:szCs w:val="24"/>
          <w:lang w:val="en-AU"/>
        </w:rPr>
        <w:t>TRIMBOW</w:t>
      </w:r>
      <w:r w:rsidR="006F5482" w:rsidRPr="00F0251C">
        <w:rPr>
          <w:noProof/>
          <w:sz w:val="24"/>
          <w:szCs w:val="24"/>
          <w:lang w:val="en-AU"/>
        </w:rPr>
        <w:t xml:space="preserve"> can be used at the recommended dose in patients with mild to moderate renal impairment. Use of </w:t>
      </w:r>
      <w:r w:rsidRPr="00F0251C">
        <w:rPr>
          <w:noProof/>
          <w:sz w:val="24"/>
          <w:szCs w:val="24"/>
          <w:lang w:val="en-AU"/>
        </w:rPr>
        <w:t>TRIMBOW</w:t>
      </w:r>
      <w:r w:rsidR="006F5482" w:rsidRPr="00F0251C">
        <w:rPr>
          <w:noProof/>
          <w:sz w:val="24"/>
          <w:szCs w:val="24"/>
          <w:lang w:val="en-AU"/>
        </w:rPr>
        <w:t xml:space="preserve"> in patients with severe renal impairment or end-stage renal disease requiring dialysis, especially if associated with significant body weight reduction, should be considered only if the expected benefit outweighs the potential risk (see section </w:t>
      </w:r>
      <w:hyperlink w:anchor="_4.4_SPECIAL_WARNINGS" w:history="1">
        <w:r w:rsidR="006F5482" w:rsidRPr="00F0251C">
          <w:rPr>
            <w:rStyle w:val="Hyperlink"/>
            <w:noProof/>
            <w:sz w:val="24"/>
            <w:szCs w:val="24"/>
            <w:lang w:val="en-AU"/>
          </w:rPr>
          <w:t>4.4</w:t>
        </w:r>
        <w:r w:rsidR="001B6214" w:rsidRPr="00F0251C">
          <w:rPr>
            <w:rStyle w:val="Hyperlink"/>
            <w:noProof/>
            <w:sz w:val="24"/>
            <w:szCs w:val="24"/>
            <w:lang w:val="en-AU"/>
          </w:rPr>
          <w:t xml:space="preserve"> SPECIAL WARNINGS AND PRECAUTIONS FOR USE</w:t>
        </w:r>
      </w:hyperlink>
      <w:r w:rsidR="006F5482" w:rsidRPr="00F0251C">
        <w:rPr>
          <w:noProof/>
          <w:sz w:val="24"/>
          <w:szCs w:val="24"/>
          <w:lang w:val="en-AU"/>
        </w:rPr>
        <w:t xml:space="preserve"> and section </w:t>
      </w:r>
      <w:hyperlink w:anchor="_5.2_PHARMACOKINETIC_PROPERTIES" w:history="1">
        <w:r w:rsidR="006F5482" w:rsidRPr="00F0251C">
          <w:rPr>
            <w:rStyle w:val="Hyperlink"/>
            <w:noProof/>
            <w:sz w:val="24"/>
            <w:szCs w:val="24"/>
            <w:lang w:val="en-AU"/>
          </w:rPr>
          <w:t>5.2</w:t>
        </w:r>
        <w:r w:rsidR="001B6214" w:rsidRPr="00F0251C">
          <w:rPr>
            <w:rStyle w:val="Hyperlink"/>
            <w:noProof/>
            <w:sz w:val="24"/>
            <w:szCs w:val="24"/>
            <w:lang w:val="en-AU"/>
          </w:rPr>
          <w:t xml:space="preserve"> PHARMACOKINETIC PROPERTIES</w:t>
        </w:r>
      </w:hyperlink>
      <w:r w:rsidR="00CD30B9">
        <w:rPr>
          <w:noProof/>
          <w:sz w:val="24"/>
          <w:szCs w:val="24"/>
          <w:lang w:val="en-AU"/>
        </w:rPr>
        <w:t>, Special patient populations</w:t>
      </w:r>
      <w:r w:rsidR="006F5482" w:rsidRPr="00F0251C">
        <w:rPr>
          <w:noProof/>
          <w:sz w:val="24"/>
          <w:szCs w:val="24"/>
          <w:lang w:val="en-AU"/>
        </w:rPr>
        <w:t>).</w:t>
      </w:r>
    </w:p>
    <w:p w14:paraId="53ECB28C" w14:textId="77777777" w:rsidR="006F5482" w:rsidRPr="00F0251C" w:rsidRDefault="006F5482" w:rsidP="006F5482">
      <w:pPr>
        <w:pStyle w:val="NoSpacing"/>
        <w:ind w:left="360"/>
        <w:rPr>
          <w:noProof/>
          <w:sz w:val="24"/>
          <w:szCs w:val="24"/>
          <w:lang w:val="en-AU"/>
        </w:rPr>
      </w:pPr>
    </w:p>
    <w:p w14:paraId="3A8A9A33" w14:textId="77777777" w:rsidR="006F5482" w:rsidRPr="00F0251C" w:rsidRDefault="006F5482" w:rsidP="006F5482">
      <w:pPr>
        <w:pStyle w:val="NoSpacing"/>
        <w:ind w:left="360"/>
        <w:rPr>
          <w:noProof/>
          <w:sz w:val="24"/>
          <w:szCs w:val="24"/>
          <w:u w:val="single"/>
          <w:lang w:val="en-AU"/>
        </w:rPr>
      </w:pPr>
      <w:r w:rsidRPr="00F0251C">
        <w:rPr>
          <w:noProof/>
          <w:sz w:val="24"/>
          <w:szCs w:val="24"/>
          <w:u w:val="single"/>
          <w:lang w:val="en-AU"/>
        </w:rPr>
        <w:t>Hepatic impairment</w:t>
      </w:r>
    </w:p>
    <w:p w14:paraId="724A5B3C" w14:textId="17E713B5" w:rsidR="006F5482" w:rsidRPr="00F0251C" w:rsidRDefault="006F5482" w:rsidP="006F5482">
      <w:pPr>
        <w:pStyle w:val="NoSpacing"/>
        <w:ind w:left="360"/>
        <w:rPr>
          <w:noProof/>
          <w:sz w:val="24"/>
          <w:szCs w:val="24"/>
          <w:lang w:val="en-AU"/>
        </w:rPr>
      </w:pPr>
      <w:r w:rsidRPr="00F0251C">
        <w:rPr>
          <w:noProof/>
          <w:sz w:val="24"/>
          <w:szCs w:val="24"/>
          <w:lang w:val="en-AU"/>
        </w:rPr>
        <w:t xml:space="preserve">There are no relevant data on the use of </w:t>
      </w:r>
      <w:r w:rsidR="000D1FB0" w:rsidRPr="00F0251C">
        <w:rPr>
          <w:noProof/>
          <w:sz w:val="24"/>
          <w:szCs w:val="24"/>
          <w:lang w:val="en-AU"/>
        </w:rPr>
        <w:t>TRIMBOW</w:t>
      </w:r>
      <w:r w:rsidRPr="00F0251C">
        <w:rPr>
          <w:noProof/>
          <w:sz w:val="24"/>
          <w:szCs w:val="24"/>
          <w:lang w:val="en-AU"/>
        </w:rPr>
        <w:t xml:space="preserve"> in patients with severe hepatic impairment and the medicinal product should be used with caution in these patients (see section </w:t>
      </w:r>
      <w:hyperlink w:anchor="_4.4_SPECIAL_WARNINGS" w:history="1">
        <w:r w:rsidRPr="00F0251C">
          <w:rPr>
            <w:rStyle w:val="Hyperlink"/>
            <w:noProof/>
            <w:sz w:val="24"/>
            <w:szCs w:val="24"/>
            <w:lang w:val="en-AU"/>
          </w:rPr>
          <w:t>4.4</w:t>
        </w:r>
        <w:r w:rsidR="001B6214" w:rsidRPr="00F0251C">
          <w:rPr>
            <w:rStyle w:val="Hyperlink"/>
            <w:noProof/>
            <w:sz w:val="24"/>
            <w:szCs w:val="24"/>
            <w:lang w:val="en-AU"/>
          </w:rPr>
          <w:t xml:space="preserve"> SPECIAL WARNINGS AND PRECAUTIONS FOR USE</w:t>
        </w:r>
      </w:hyperlink>
      <w:r w:rsidRPr="00F0251C">
        <w:rPr>
          <w:noProof/>
          <w:sz w:val="24"/>
          <w:szCs w:val="24"/>
          <w:lang w:val="en-AU"/>
        </w:rPr>
        <w:t xml:space="preserve"> and section </w:t>
      </w:r>
      <w:hyperlink w:anchor="_5.2_PHARMACOKINETIC_PROPERTIES" w:history="1">
        <w:r w:rsidRPr="00F0251C">
          <w:rPr>
            <w:rStyle w:val="Hyperlink"/>
            <w:noProof/>
            <w:sz w:val="24"/>
            <w:szCs w:val="24"/>
            <w:lang w:val="en-AU"/>
          </w:rPr>
          <w:t>5.2</w:t>
        </w:r>
        <w:r w:rsidR="001B6214" w:rsidRPr="00F0251C">
          <w:rPr>
            <w:rStyle w:val="Hyperlink"/>
            <w:noProof/>
            <w:sz w:val="24"/>
            <w:szCs w:val="24"/>
            <w:lang w:val="en-AU"/>
          </w:rPr>
          <w:t xml:space="preserve"> PHARMACOKINETIC PROPERTIES</w:t>
        </w:r>
      </w:hyperlink>
      <w:r w:rsidR="00CD30B9">
        <w:rPr>
          <w:noProof/>
          <w:sz w:val="24"/>
          <w:szCs w:val="24"/>
          <w:lang w:val="en-AU"/>
        </w:rPr>
        <w:t>, Special patient populations</w:t>
      </w:r>
      <w:r w:rsidRPr="00F0251C">
        <w:rPr>
          <w:noProof/>
          <w:sz w:val="24"/>
          <w:szCs w:val="24"/>
          <w:lang w:val="en-AU"/>
        </w:rPr>
        <w:t>).</w:t>
      </w:r>
    </w:p>
    <w:p w14:paraId="299AFC4B" w14:textId="77777777" w:rsidR="006F5482" w:rsidRPr="00F0251C" w:rsidRDefault="006F5482" w:rsidP="006F5482">
      <w:pPr>
        <w:pStyle w:val="NoSpacing"/>
        <w:ind w:left="360"/>
        <w:rPr>
          <w:noProof/>
          <w:sz w:val="24"/>
          <w:szCs w:val="24"/>
          <w:lang w:val="en-AU"/>
        </w:rPr>
      </w:pPr>
    </w:p>
    <w:p w14:paraId="45C646AE" w14:textId="06C21BBE" w:rsidR="000C49CD" w:rsidRPr="00F0251C" w:rsidRDefault="00CF0CFE" w:rsidP="00506F3D">
      <w:pPr>
        <w:pStyle w:val="NoSpacing"/>
        <w:ind w:left="360"/>
        <w:rPr>
          <w:b/>
          <w:noProof/>
          <w:sz w:val="24"/>
          <w:szCs w:val="24"/>
          <w:lang w:val="en-AU"/>
        </w:rPr>
      </w:pPr>
      <w:r w:rsidRPr="00F0251C">
        <w:rPr>
          <w:b/>
          <w:noProof/>
          <w:sz w:val="24"/>
          <w:szCs w:val="24"/>
          <w:lang w:val="en-AU"/>
        </w:rPr>
        <w:t>METHOD OF ADM</w:t>
      </w:r>
      <w:r w:rsidR="00CD30B9">
        <w:rPr>
          <w:b/>
          <w:noProof/>
          <w:sz w:val="24"/>
          <w:szCs w:val="24"/>
          <w:lang w:val="en-AU"/>
        </w:rPr>
        <w:t>I</w:t>
      </w:r>
      <w:r w:rsidRPr="00F0251C">
        <w:rPr>
          <w:b/>
          <w:noProof/>
          <w:sz w:val="24"/>
          <w:szCs w:val="24"/>
          <w:lang w:val="en-AU"/>
        </w:rPr>
        <w:t>NISTRATION</w:t>
      </w:r>
    </w:p>
    <w:p w14:paraId="77146D39" w14:textId="012D54F3" w:rsidR="006F5482" w:rsidRPr="00F0251C" w:rsidRDefault="00CD30B9" w:rsidP="009E77DD">
      <w:pPr>
        <w:pStyle w:val="NoSpacing"/>
        <w:ind w:left="360"/>
        <w:rPr>
          <w:sz w:val="24"/>
          <w:szCs w:val="24"/>
          <w:lang w:val="en-AU"/>
        </w:rPr>
      </w:pPr>
      <w:r>
        <w:rPr>
          <w:sz w:val="24"/>
          <w:szCs w:val="24"/>
          <w:lang w:val="en-AU"/>
        </w:rPr>
        <w:t xml:space="preserve">TRIMBOW is for oral inhalation only. </w:t>
      </w:r>
      <w:r w:rsidRPr="00F0251C">
        <w:rPr>
          <w:sz w:val="24"/>
          <w:szCs w:val="24"/>
          <w:lang w:val="en-AU"/>
        </w:rPr>
        <w:t xml:space="preserve">After inhaling, patients should rinse their mouth or gargle with water without swallowing it or brush their teeth (see section </w:t>
      </w:r>
      <w:hyperlink w:anchor="_4.4_SPECIAL_WARNINGS" w:history="1">
        <w:r w:rsidRPr="00F0251C">
          <w:rPr>
            <w:rStyle w:val="Hyperlink"/>
            <w:sz w:val="24"/>
            <w:szCs w:val="24"/>
            <w:lang w:val="en-AU"/>
          </w:rPr>
          <w:t xml:space="preserve">4.4 </w:t>
        </w:r>
        <w:r w:rsidRPr="00F0251C">
          <w:rPr>
            <w:rStyle w:val="Hyperlink"/>
            <w:noProof/>
            <w:sz w:val="24"/>
            <w:szCs w:val="24"/>
            <w:lang w:val="en-AU"/>
          </w:rPr>
          <w:t>SPECIAL WARNINGS AND PRECAUTIONS FOR USE</w:t>
        </w:r>
      </w:hyperlink>
      <w:r w:rsidR="007E1963">
        <w:rPr>
          <w:sz w:val="24"/>
          <w:szCs w:val="24"/>
          <w:lang w:val="en-AU"/>
        </w:rPr>
        <w:t>).</w:t>
      </w:r>
    </w:p>
    <w:p w14:paraId="65AF2A20" w14:textId="77777777" w:rsidR="006F5482" w:rsidRPr="00F0251C" w:rsidRDefault="006F5482" w:rsidP="006F5482">
      <w:pPr>
        <w:pStyle w:val="NoSpacing"/>
        <w:ind w:left="360"/>
        <w:rPr>
          <w:sz w:val="24"/>
          <w:szCs w:val="24"/>
          <w:lang w:val="en-AU"/>
        </w:rPr>
      </w:pPr>
    </w:p>
    <w:p w14:paraId="0BF008BC" w14:textId="77777777" w:rsidR="006F5482" w:rsidRPr="00F0251C" w:rsidRDefault="006F5482" w:rsidP="006F5482">
      <w:pPr>
        <w:pStyle w:val="NoSpacing"/>
        <w:ind w:left="360"/>
        <w:rPr>
          <w:sz w:val="24"/>
          <w:szCs w:val="24"/>
          <w:lang w:val="en-AU"/>
        </w:rPr>
      </w:pPr>
      <w:r w:rsidRPr="00F0251C">
        <w:rPr>
          <w:sz w:val="24"/>
          <w:szCs w:val="24"/>
          <w:lang w:val="en-AU"/>
        </w:rPr>
        <w:t xml:space="preserve">To ensure proper administration of the medicinal product, the patient should be shown how to use the inhaler correctly by a physician or other healthcare professional, who should also </w:t>
      </w:r>
      <w:r w:rsidRPr="00F0251C">
        <w:rPr>
          <w:sz w:val="24"/>
          <w:szCs w:val="24"/>
          <w:lang w:val="en-AU"/>
        </w:rPr>
        <w:lastRenderedPageBreak/>
        <w:t>regularly check the adequacy of the patient’s inhalation technique. The patient should be advised to read the Package Leaflet carefully and follow the instructions for use as given in the leaflet.</w:t>
      </w:r>
    </w:p>
    <w:p w14:paraId="128BD87C" w14:textId="77777777" w:rsidR="006F5482" w:rsidRPr="00F0251C" w:rsidRDefault="006F5482" w:rsidP="006F5482">
      <w:pPr>
        <w:pStyle w:val="NoSpacing"/>
        <w:ind w:left="360"/>
        <w:rPr>
          <w:sz w:val="24"/>
          <w:szCs w:val="24"/>
          <w:lang w:val="en-AU"/>
        </w:rPr>
      </w:pPr>
    </w:p>
    <w:p w14:paraId="36A6AFAF" w14:textId="5EAB525F" w:rsidR="006F5482" w:rsidRPr="00F0251C" w:rsidRDefault="000D1FB0" w:rsidP="006F5482">
      <w:pPr>
        <w:pStyle w:val="NoSpacing"/>
        <w:ind w:left="360"/>
        <w:rPr>
          <w:sz w:val="24"/>
          <w:szCs w:val="24"/>
          <w:lang w:val="en-AU"/>
        </w:rPr>
      </w:pPr>
      <w:r w:rsidRPr="00F0251C">
        <w:rPr>
          <w:sz w:val="24"/>
          <w:szCs w:val="24"/>
          <w:lang w:val="en-AU"/>
        </w:rPr>
        <w:t>TRIMBOW</w:t>
      </w:r>
      <w:r w:rsidR="006F5482" w:rsidRPr="00F0251C">
        <w:rPr>
          <w:sz w:val="24"/>
          <w:szCs w:val="24"/>
          <w:lang w:val="en-AU"/>
        </w:rPr>
        <w:t xml:space="preserve"> is provided with a dose counter or dose indicator on the back of the inhaler, which shows how many actuations are left. For</w:t>
      </w:r>
      <w:r w:rsidR="00800BE0" w:rsidRPr="00F0251C">
        <w:rPr>
          <w:sz w:val="24"/>
          <w:szCs w:val="24"/>
          <w:lang w:val="en-AU"/>
        </w:rPr>
        <w:t xml:space="preserve"> the</w:t>
      </w:r>
      <w:r w:rsidR="006F5482" w:rsidRPr="00F0251C">
        <w:rPr>
          <w:sz w:val="24"/>
          <w:szCs w:val="24"/>
          <w:lang w:val="en-AU"/>
        </w:rPr>
        <w:t xml:space="preserve"> 120 actuation pressurised container each time the patient presses the container a puff of the solution is released and the counter counts down by one. </w:t>
      </w:r>
    </w:p>
    <w:p w14:paraId="3AEDCA92" w14:textId="77777777" w:rsidR="00170AE2" w:rsidRPr="00F0251C" w:rsidRDefault="00170AE2" w:rsidP="00170AE2">
      <w:pPr>
        <w:pStyle w:val="NoSpacing"/>
        <w:ind w:left="360"/>
        <w:rPr>
          <w:sz w:val="24"/>
          <w:szCs w:val="24"/>
          <w:lang w:val="en-AU"/>
        </w:rPr>
      </w:pPr>
    </w:p>
    <w:p w14:paraId="2CD7D9D3" w14:textId="4F810D38" w:rsidR="005C099A" w:rsidRPr="00F0251C" w:rsidRDefault="006F5482" w:rsidP="006F5482">
      <w:pPr>
        <w:pStyle w:val="NoSpacing"/>
        <w:ind w:left="360"/>
        <w:rPr>
          <w:sz w:val="24"/>
          <w:szCs w:val="24"/>
          <w:lang w:val="en-AU"/>
        </w:rPr>
      </w:pPr>
      <w:r w:rsidRPr="00F0251C">
        <w:rPr>
          <w:sz w:val="24"/>
          <w:szCs w:val="24"/>
          <w:lang w:val="en-AU"/>
        </w:rPr>
        <w:t>Patients should be advised not to drop the inhaler as this may cause the counter to count down.</w:t>
      </w:r>
    </w:p>
    <w:p w14:paraId="24E4F071" w14:textId="77777777" w:rsidR="00170AE2" w:rsidRPr="00F0251C" w:rsidRDefault="00170AE2" w:rsidP="006F5482">
      <w:pPr>
        <w:pStyle w:val="NoSpacing"/>
        <w:ind w:left="360"/>
        <w:rPr>
          <w:noProof/>
          <w:sz w:val="24"/>
          <w:szCs w:val="24"/>
          <w:lang w:val="en-AU"/>
        </w:rPr>
      </w:pPr>
    </w:p>
    <w:p w14:paraId="6FCC3450" w14:textId="5132B329" w:rsidR="000C49CD" w:rsidRPr="00F0251C" w:rsidRDefault="00170AE2" w:rsidP="00506F3D">
      <w:pPr>
        <w:pStyle w:val="NoSpacing"/>
        <w:ind w:left="360"/>
        <w:rPr>
          <w:noProof/>
          <w:sz w:val="24"/>
          <w:szCs w:val="24"/>
          <w:u w:val="single"/>
          <w:lang w:val="en-AU"/>
        </w:rPr>
      </w:pPr>
      <w:r w:rsidRPr="00F0251C">
        <w:rPr>
          <w:noProof/>
          <w:sz w:val="24"/>
          <w:szCs w:val="24"/>
          <w:u w:val="single"/>
          <w:lang w:val="en-AU"/>
        </w:rPr>
        <w:t>Priming</w:t>
      </w:r>
      <w:r w:rsidR="005C099A" w:rsidRPr="00F0251C">
        <w:rPr>
          <w:noProof/>
          <w:sz w:val="24"/>
          <w:szCs w:val="24"/>
          <w:u w:val="single"/>
          <w:lang w:val="en-AU"/>
        </w:rPr>
        <w:t xml:space="preserve"> the inhaler</w:t>
      </w:r>
    </w:p>
    <w:p w14:paraId="7D0A6FB0" w14:textId="3C43B99E" w:rsidR="00416B31" w:rsidRPr="00F0251C" w:rsidRDefault="00170AE2" w:rsidP="00506F3D">
      <w:pPr>
        <w:pStyle w:val="NoSpacing"/>
        <w:ind w:left="360"/>
        <w:rPr>
          <w:noProof/>
          <w:sz w:val="24"/>
          <w:szCs w:val="24"/>
          <w:lang w:val="en-AU"/>
        </w:rPr>
      </w:pPr>
      <w:r w:rsidRPr="00F0251C">
        <w:rPr>
          <w:noProof/>
          <w:sz w:val="24"/>
          <w:szCs w:val="24"/>
          <w:lang w:val="en-AU"/>
        </w:rPr>
        <w:t>Before using the inhaler for the first time, the patient should release one actuation into the air in order to ensure that the inhaler is working properly (priming). Before priming the 120 actuation pressurised containers, the counter/indicator should read 121. After priming, the counter/indicator should read 120.</w:t>
      </w:r>
    </w:p>
    <w:p w14:paraId="663A8E46" w14:textId="77777777" w:rsidR="006F5482" w:rsidRPr="00F0251C" w:rsidRDefault="006F5482" w:rsidP="00170AE2">
      <w:pPr>
        <w:pStyle w:val="NoSpacing"/>
        <w:ind w:left="360"/>
        <w:rPr>
          <w:noProof/>
          <w:sz w:val="24"/>
          <w:szCs w:val="24"/>
          <w:u w:val="single"/>
          <w:lang w:val="en-AU"/>
        </w:rPr>
      </w:pPr>
    </w:p>
    <w:p w14:paraId="1072CA3D" w14:textId="3BB983DB" w:rsidR="000C49CD" w:rsidRPr="00F0251C" w:rsidRDefault="0092332E" w:rsidP="00506F3D">
      <w:pPr>
        <w:pStyle w:val="NoSpacing"/>
        <w:ind w:left="360"/>
        <w:rPr>
          <w:noProof/>
          <w:sz w:val="24"/>
          <w:szCs w:val="24"/>
          <w:u w:val="single"/>
          <w:lang w:val="en-AU"/>
        </w:rPr>
      </w:pPr>
      <w:r w:rsidRPr="00F0251C">
        <w:rPr>
          <w:noProof/>
          <w:sz w:val="24"/>
          <w:szCs w:val="24"/>
          <w:u w:val="single"/>
          <w:lang w:val="en-AU"/>
        </w:rPr>
        <w:t>Use of the inhaler</w:t>
      </w:r>
    </w:p>
    <w:p w14:paraId="3A24C90E" w14:textId="396E759F" w:rsidR="00170AE2" w:rsidRPr="00F0251C" w:rsidRDefault="00170AE2" w:rsidP="00170AE2">
      <w:pPr>
        <w:pStyle w:val="NoSpacing"/>
        <w:ind w:left="360"/>
        <w:rPr>
          <w:noProof/>
          <w:sz w:val="24"/>
          <w:szCs w:val="24"/>
          <w:lang w:val="en-AU"/>
        </w:rPr>
      </w:pPr>
      <w:r w:rsidRPr="00F0251C">
        <w:rPr>
          <w:noProof/>
          <w:sz w:val="24"/>
          <w:szCs w:val="24"/>
          <w:lang w:val="en-AU"/>
        </w:rPr>
        <w:t>Patients should stand or sit in an upright position when inhaling from their inhaler. The steps below should be followed. IMPORTANT: steps 2 to 5 should not be performed too quickly:</w:t>
      </w:r>
    </w:p>
    <w:p w14:paraId="30420078" w14:textId="14D31860" w:rsidR="00170AE2" w:rsidRPr="00F0251C" w:rsidRDefault="00170AE2" w:rsidP="001F1848">
      <w:pPr>
        <w:pStyle w:val="NoSpacing"/>
        <w:numPr>
          <w:ilvl w:val="0"/>
          <w:numId w:val="2"/>
        </w:numPr>
        <w:rPr>
          <w:noProof/>
          <w:sz w:val="24"/>
          <w:szCs w:val="24"/>
          <w:lang w:val="en-AU"/>
        </w:rPr>
      </w:pPr>
      <w:r w:rsidRPr="00F0251C">
        <w:rPr>
          <w:noProof/>
          <w:sz w:val="24"/>
          <w:szCs w:val="24"/>
          <w:lang w:val="en-AU"/>
        </w:rPr>
        <w:t>Patients should remove the protective cap from the mouthpiece and check that the mouthpiece is clean and free from dust and dirt or any other foreign objects.</w:t>
      </w:r>
    </w:p>
    <w:p w14:paraId="6F18C206" w14:textId="7B122579" w:rsidR="00170AE2" w:rsidRPr="00F0251C" w:rsidRDefault="00170AE2" w:rsidP="001F1848">
      <w:pPr>
        <w:pStyle w:val="NoSpacing"/>
        <w:numPr>
          <w:ilvl w:val="0"/>
          <w:numId w:val="2"/>
        </w:numPr>
        <w:rPr>
          <w:noProof/>
          <w:sz w:val="24"/>
          <w:szCs w:val="24"/>
          <w:lang w:val="en-AU"/>
        </w:rPr>
      </w:pPr>
      <w:r w:rsidRPr="00F0251C">
        <w:rPr>
          <w:noProof/>
          <w:sz w:val="24"/>
          <w:szCs w:val="24"/>
          <w:lang w:val="en-AU"/>
        </w:rPr>
        <w:t>Patients should breathe out slowly and as deeply as comfortable, in order to empty their lungs.</w:t>
      </w:r>
    </w:p>
    <w:p w14:paraId="23D8567E" w14:textId="023485AD" w:rsidR="00170AE2" w:rsidRPr="00F0251C" w:rsidRDefault="00170AE2" w:rsidP="001F1848">
      <w:pPr>
        <w:pStyle w:val="NoSpacing"/>
        <w:numPr>
          <w:ilvl w:val="0"/>
          <w:numId w:val="2"/>
        </w:numPr>
        <w:rPr>
          <w:noProof/>
          <w:sz w:val="24"/>
          <w:szCs w:val="24"/>
          <w:lang w:val="en-AU"/>
        </w:rPr>
      </w:pPr>
      <w:r w:rsidRPr="00F0251C">
        <w:rPr>
          <w:noProof/>
          <w:sz w:val="24"/>
          <w:szCs w:val="24"/>
          <w:lang w:val="en-AU"/>
        </w:rPr>
        <w:t xml:space="preserve">Patients should hold the inhaler vertically with its body upwards and place the mouthpiece between their teeth without biting. Their lips should then be placed around the mouthpiece, with the tongue flat under it. </w:t>
      </w:r>
    </w:p>
    <w:p w14:paraId="3D7AF26B" w14:textId="33F8F4EC" w:rsidR="00170AE2" w:rsidRPr="00F0251C" w:rsidRDefault="00170AE2" w:rsidP="001F1848">
      <w:pPr>
        <w:pStyle w:val="NoSpacing"/>
        <w:numPr>
          <w:ilvl w:val="0"/>
          <w:numId w:val="2"/>
        </w:numPr>
        <w:rPr>
          <w:noProof/>
          <w:sz w:val="24"/>
          <w:szCs w:val="24"/>
          <w:lang w:val="en-AU"/>
        </w:rPr>
      </w:pPr>
      <w:r w:rsidRPr="00F0251C">
        <w:rPr>
          <w:noProof/>
          <w:sz w:val="24"/>
          <w:szCs w:val="24"/>
          <w:lang w:val="en-AU"/>
        </w:rPr>
        <w:t>At the same time, patients should breathe in slowly and deeply through the mouth until the lungs are full of air (this should take approximately 4 – 5 seconds). Immediately after starting to breathe in, patients should firmly press down on the top of the pressurised container to release one puff.</w:t>
      </w:r>
    </w:p>
    <w:p w14:paraId="30B2DA20" w14:textId="70D8C89E" w:rsidR="00170AE2" w:rsidRPr="00F0251C" w:rsidRDefault="00170AE2" w:rsidP="001F1848">
      <w:pPr>
        <w:pStyle w:val="NoSpacing"/>
        <w:numPr>
          <w:ilvl w:val="0"/>
          <w:numId w:val="2"/>
        </w:numPr>
        <w:rPr>
          <w:noProof/>
          <w:sz w:val="24"/>
          <w:szCs w:val="24"/>
          <w:lang w:val="en-AU"/>
        </w:rPr>
      </w:pPr>
      <w:r w:rsidRPr="00F0251C">
        <w:rPr>
          <w:noProof/>
          <w:sz w:val="24"/>
          <w:szCs w:val="24"/>
          <w:lang w:val="en-AU"/>
        </w:rPr>
        <w:t>Patients should then hold their breath for as long as comfortably possible, then remove the inhaler from the mouth and breathe out slowly. Patients should not breathe out into the inhaler.</w:t>
      </w:r>
    </w:p>
    <w:p w14:paraId="5866BCA3" w14:textId="47953FCC" w:rsidR="00170AE2" w:rsidRPr="00F0251C" w:rsidRDefault="00170AE2" w:rsidP="001F1848">
      <w:pPr>
        <w:pStyle w:val="NoSpacing"/>
        <w:numPr>
          <w:ilvl w:val="0"/>
          <w:numId w:val="2"/>
        </w:numPr>
        <w:rPr>
          <w:noProof/>
          <w:sz w:val="24"/>
          <w:szCs w:val="24"/>
          <w:lang w:val="en-AU"/>
        </w:rPr>
      </w:pPr>
      <w:r w:rsidRPr="00F0251C">
        <w:rPr>
          <w:noProof/>
          <w:sz w:val="24"/>
          <w:szCs w:val="24"/>
          <w:lang w:val="en-AU"/>
        </w:rPr>
        <w:t>Patients should then check the dose counter or dose indicator to ensure it has moved accordingly.</w:t>
      </w:r>
    </w:p>
    <w:p w14:paraId="785FB033" w14:textId="77777777" w:rsidR="00170AE2" w:rsidRPr="00F0251C" w:rsidRDefault="00170AE2" w:rsidP="00170AE2">
      <w:pPr>
        <w:pStyle w:val="NoSpacing"/>
        <w:ind w:left="360"/>
        <w:rPr>
          <w:noProof/>
          <w:sz w:val="24"/>
          <w:szCs w:val="24"/>
          <w:lang w:val="en-AU"/>
        </w:rPr>
      </w:pPr>
    </w:p>
    <w:p w14:paraId="09F77F74" w14:textId="77777777" w:rsidR="00170AE2" w:rsidRPr="00F0251C" w:rsidRDefault="00170AE2" w:rsidP="00170AE2">
      <w:pPr>
        <w:pStyle w:val="NoSpacing"/>
        <w:ind w:left="360"/>
        <w:rPr>
          <w:noProof/>
          <w:sz w:val="24"/>
          <w:szCs w:val="24"/>
          <w:lang w:val="en-AU"/>
        </w:rPr>
      </w:pPr>
      <w:r w:rsidRPr="00F0251C">
        <w:rPr>
          <w:noProof/>
          <w:sz w:val="24"/>
          <w:szCs w:val="24"/>
          <w:lang w:val="en-AU"/>
        </w:rPr>
        <w:t>To inhale the second puff, patients should keep the inhaler in a vertical position for approximately 30 seconds and repeat steps 2 to 6.</w:t>
      </w:r>
    </w:p>
    <w:p w14:paraId="76E14068" w14:textId="77777777" w:rsidR="00170AE2" w:rsidRPr="00F0251C" w:rsidRDefault="00170AE2" w:rsidP="00170AE2">
      <w:pPr>
        <w:pStyle w:val="NoSpacing"/>
        <w:ind w:left="360"/>
        <w:rPr>
          <w:noProof/>
          <w:sz w:val="24"/>
          <w:szCs w:val="24"/>
          <w:lang w:val="en-AU"/>
        </w:rPr>
      </w:pPr>
    </w:p>
    <w:p w14:paraId="3A70C99F" w14:textId="77777777" w:rsidR="00170AE2" w:rsidRPr="00F0251C" w:rsidRDefault="00170AE2" w:rsidP="00170AE2">
      <w:pPr>
        <w:pStyle w:val="NoSpacing"/>
        <w:ind w:left="360"/>
        <w:rPr>
          <w:noProof/>
          <w:sz w:val="24"/>
          <w:szCs w:val="24"/>
          <w:lang w:val="en-AU"/>
        </w:rPr>
      </w:pPr>
      <w:r w:rsidRPr="00F0251C">
        <w:rPr>
          <w:noProof/>
          <w:sz w:val="24"/>
          <w:szCs w:val="24"/>
          <w:lang w:val="en-AU"/>
        </w:rPr>
        <w:t>If mist appears after the inhalation, either from the inhaler or from the sides of the mouth, the procedure should be repeated from step 2.</w:t>
      </w:r>
    </w:p>
    <w:p w14:paraId="13F3ABB6" w14:textId="77777777" w:rsidR="00170AE2" w:rsidRPr="00F0251C" w:rsidRDefault="00170AE2" w:rsidP="00170AE2">
      <w:pPr>
        <w:pStyle w:val="NoSpacing"/>
        <w:ind w:left="360"/>
        <w:rPr>
          <w:noProof/>
          <w:sz w:val="24"/>
          <w:szCs w:val="24"/>
          <w:lang w:val="en-AU"/>
        </w:rPr>
      </w:pPr>
    </w:p>
    <w:p w14:paraId="060F1B85" w14:textId="77777777" w:rsidR="00170AE2" w:rsidRPr="00F0251C" w:rsidRDefault="00170AE2" w:rsidP="00170AE2">
      <w:pPr>
        <w:pStyle w:val="NoSpacing"/>
        <w:ind w:left="360"/>
        <w:rPr>
          <w:noProof/>
          <w:sz w:val="24"/>
          <w:szCs w:val="24"/>
          <w:lang w:val="en-AU"/>
        </w:rPr>
      </w:pPr>
      <w:r w:rsidRPr="00F0251C">
        <w:rPr>
          <w:noProof/>
          <w:sz w:val="24"/>
          <w:szCs w:val="24"/>
          <w:lang w:val="en-AU"/>
        </w:rPr>
        <w:t>After use, patients should close the inhaler with the protective mouthpiece cover and check the dose counter or dose indicator.</w:t>
      </w:r>
    </w:p>
    <w:p w14:paraId="0C9F6BDA" w14:textId="77777777" w:rsidR="00170AE2" w:rsidRPr="00F0251C" w:rsidRDefault="00170AE2" w:rsidP="00170AE2">
      <w:pPr>
        <w:pStyle w:val="NoSpacing"/>
        <w:ind w:left="360"/>
        <w:rPr>
          <w:noProof/>
          <w:sz w:val="24"/>
          <w:szCs w:val="24"/>
          <w:lang w:val="en-AU"/>
        </w:rPr>
      </w:pPr>
    </w:p>
    <w:p w14:paraId="5AF935F4" w14:textId="6D83FF12" w:rsidR="00170AE2" w:rsidRPr="00F0251C" w:rsidRDefault="00170AE2" w:rsidP="00170AE2">
      <w:pPr>
        <w:pStyle w:val="NoSpacing"/>
        <w:ind w:left="360"/>
        <w:rPr>
          <w:noProof/>
          <w:sz w:val="24"/>
          <w:szCs w:val="24"/>
          <w:lang w:val="en-AU"/>
        </w:rPr>
      </w:pPr>
      <w:r w:rsidRPr="00F0251C">
        <w:rPr>
          <w:noProof/>
          <w:sz w:val="24"/>
          <w:szCs w:val="24"/>
          <w:lang w:val="en-AU"/>
        </w:rPr>
        <w:lastRenderedPageBreak/>
        <w:t xml:space="preserve">After inhaling, patients should rinse their mouth or gargle with water without swallowing it or brush their teeth (see section </w:t>
      </w:r>
      <w:hyperlink w:anchor="_4.2_DOSE_AND" w:history="1">
        <w:r w:rsidRPr="00F0251C">
          <w:rPr>
            <w:rStyle w:val="Hyperlink"/>
            <w:noProof/>
            <w:sz w:val="24"/>
            <w:szCs w:val="24"/>
            <w:lang w:val="en-AU"/>
          </w:rPr>
          <w:t xml:space="preserve">4.2 </w:t>
        </w:r>
        <w:r w:rsidR="00DD5063" w:rsidRPr="00F0251C">
          <w:rPr>
            <w:rStyle w:val="Hyperlink"/>
            <w:noProof/>
            <w:sz w:val="24"/>
            <w:szCs w:val="24"/>
            <w:lang w:val="en-AU"/>
          </w:rPr>
          <w:t>DOSE AND METHOD OF ADMINISTRATION</w:t>
        </w:r>
      </w:hyperlink>
      <w:r w:rsidR="00DD5063" w:rsidRPr="00F0251C">
        <w:rPr>
          <w:noProof/>
          <w:sz w:val="24"/>
          <w:szCs w:val="24"/>
          <w:lang w:val="en-AU"/>
        </w:rPr>
        <w:t xml:space="preserve"> </w:t>
      </w:r>
      <w:r w:rsidRPr="00F0251C">
        <w:rPr>
          <w:noProof/>
          <w:sz w:val="24"/>
          <w:szCs w:val="24"/>
          <w:lang w:val="en-AU"/>
        </w:rPr>
        <w:t>and</w:t>
      </w:r>
      <w:r w:rsidR="00C47E54" w:rsidRPr="00F0251C">
        <w:rPr>
          <w:noProof/>
          <w:sz w:val="24"/>
          <w:szCs w:val="24"/>
          <w:lang w:val="en-AU"/>
        </w:rPr>
        <w:t xml:space="preserve"> section</w:t>
      </w:r>
      <w:r w:rsidRPr="00F0251C">
        <w:rPr>
          <w:noProof/>
          <w:sz w:val="24"/>
          <w:szCs w:val="24"/>
          <w:lang w:val="en-AU"/>
        </w:rPr>
        <w:t xml:space="preserve"> </w:t>
      </w:r>
      <w:hyperlink w:anchor="_4.4_SPECIAL_WARNINGS" w:history="1">
        <w:r w:rsidRPr="00F0251C">
          <w:rPr>
            <w:rStyle w:val="Hyperlink"/>
            <w:noProof/>
            <w:sz w:val="24"/>
            <w:szCs w:val="24"/>
            <w:lang w:val="en-AU"/>
          </w:rPr>
          <w:t>4.4</w:t>
        </w:r>
        <w:r w:rsidR="00DD5063" w:rsidRPr="00F0251C">
          <w:rPr>
            <w:rStyle w:val="Hyperlink"/>
            <w:noProof/>
            <w:sz w:val="24"/>
            <w:szCs w:val="24"/>
            <w:lang w:val="en-AU"/>
          </w:rPr>
          <w:t xml:space="preserve"> SPECIAL WARNINGS AND PRECAUTIONS FOR USE</w:t>
        </w:r>
      </w:hyperlink>
      <w:r w:rsidRPr="00F0251C">
        <w:rPr>
          <w:noProof/>
          <w:sz w:val="24"/>
          <w:szCs w:val="24"/>
          <w:lang w:val="en-AU"/>
        </w:rPr>
        <w:t>).</w:t>
      </w:r>
    </w:p>
    <w:p w14:paraId="2597AE7B" w14:textId="77777777" w:rsidR="00170AE2" w:rsidRPr="00F0251C" w:rsidRDefault="00170AE2" w:rsidP="00170AE2">
      <w:pPr>
        <w:pStyle w:val="NoSpacing"/>
        <w:ind w:left="360"/>
        <w:rPr>
          <w:noProof/>
          <w:sz w:val="24"/>
          <w:szCs w:val="24"/>
          <w:lang w:val="en-AU"/>
        </w:rPr>
      </w:pPr>
    </w:p>
    <w:p w14:paraId="470D5A2F" w14:textId="584DB42E" w:rsidR="00170AE2" w:rsidRPr="00F0251C" w:rsidRDefault="00170AE2" w:rsidP="00170AE2">
      <w:pPr>
        <w:pStyle w:val="NoSpacing"/>
        <w:ind w:left="360"/>
        <w:rPr>
          <w:noProof/>
          <w:sz w:val="24"/>
          <w:szCs w:val="24"/>
          <w:u w:val="single"/>
          <w:lang w:val="en-AU"/>
        </w:rPr>
      </w:pPr>
      <w:r w:rsidRPr="00F0251C">
        <w:rPr>
          <w:noProof/>
          <w:sz w:val="24"/>
          <w:szCs w:val="24"/>
          <w:u w:val="single"/>
          <w:lang w:val="en-AU"/>
        </w:rPr>
        <w:t>When to get a new inhaler</w:t>
      </w:r>
    </w:p>
    <w:p w14:paraId="66498B13" w14:textId="77777777" w:rsidR="00170AE2" w:rsidRPr="00F0251C" w:rsidRDefault="00170AE2" w:rsidP="00170AE2">
      <w:pPr>
        <w:pStyle w:val="NoSpacing"/>
        <w:ind w:left="360"/>
        <w:rPr>
          <w:noProof/>
          <w:sz w:val="24"/>
          <w:szCs w:val="24"/>
          <w:lang w:val="en-AU"/>
        </w:rPr>
      </w:pPr>
      <w:r w:rsidRPr="00F0251C">
        <w:rPr>
          <w:noProof/>
          <w:sz w:val="24"/>
          <w:szCs w:val="24"/>
          <w:lang w:val="en-AU"/>
        </w:rPr>
        <w:t>Patients should be advised to get a new inhaler when the dose counter or indicator shows the number 20. They should stop using the inhaler when the counter or indicator shows 0 as any puffs left in the device may not be enough to release a full actuation.</w:t>
      </w:r>
    </w:p>
    <w:p w14:paraId="271EEEEF" w14:textId="77777777" w:rsidR="00BE6071" w:rsidRDefault="00BE6071" w:rsidP="00170AE2">
      <w:pPr>
        <w:pStyle w:val="NoSpacing"/>
        <w:ind w:left="360"/>
        <w:rPr>
          <w:noProof/>
          <w:sz w:val="24"/>
          <w:szCs w:val="24"/>
          <w:u w:val="single"/>
          <w:lang w:val="en-AU"/>
        </w:rPr>
      </w:pPr>
    </w:p>
    <w:p w14:paraId="152771E1" w14:textId="4E978D92" w:rsidR="00170AE2" w:rsidRPr="00F0251C" w:rsidRDefault="00170AE2" w:rsidP="00170AE2">
      <w:pPr>
        <w:pStyle w:val="NoSpacing"/>
        <w:ind w:left="360"/>
        <w:rPr>
          <w:noProof/>
          <w:sz w:val="24"/>
          <w:szCs w:val="24"/>
          <w:u w:val="single"/>
          <w:lang w:val="en-AU"/>
        </w:rPr>
      </w:pPr>
      <w:r w:rsidRPr="00F0251C">
        <w:rPr>
          <w:noProof/>
          <w:sz w:val="24"/>
          <w:szCs w:val="24"/>
          <w:u w:val="single"/>
          <w:lang w:val="en-AU"/>
        </w:rPr>
        <w:t>Additional instructions for specific groups of patients</w:t>
      </w:r>
    </w:p>
    <w:p w14:paraId="25487E23" w14:textId="77777777" w:rsidR="00170AE2" w:rsidRPr="00F0251C" w:rsidRDefault="00170AE2" w:rsidP="00170AE2">
      <w:pPr>
        <w:pStyle w:val="NoSpacing"/>
        <w:ind w:left="360"/>
        <w:rPr>
          <w:noProof/>
          <w:sz w:val="24"/>
          <w:szCs w:val="24"/>
          <w:lang w:val="en-AU"/>
        </w:rPr>
      </w:pPr>
      <w:r w:rsidRPr="00F0251C">
        <w:rPr>
          <w:noProof/>
          <w:sz w:val="24"/>
          <w:szCs w:val="24"/>
          <w:lang w:val="en-AU"/>
        </w:rPr>
        <w:t xml:space="preserve">For patients with weak hands it may be easier to hold the inhaler with both hands. Therefore, the index fingers should be placed on the top of the pressurised container and both thumbs on the base of the inhaler. </w:t>
      </w:r>
    </w:p>
    <w:p w14:paraId="691BBD6F" w14:textId="77777777" w:rsidR="00170AE2" w:rsidRPr="00F0251C" w:rsidRDefault="00170AE2" w:rsidP="00170AE2">
      <w:pPr>
        <w:pStyle w:val="NoSpacing"/>
        <w:ind w:left="360"/>
        <w:rPr>
          <w:noProof/>
          <w:sz w:val="24"/>
          <w:szCs w:val="24"/>
          <w:lang w:val="en-AU"/>
        </w:rPr>
      </w:pPr>
    </w:p>
    <w:p w14:paraId="683F386B" w14:textId="41EAE25A" w:rsidR="00170AE2" w:rsidRPr="00F0251C" w:rsidRDefault="00170AE2" w:rsidP="00170AE2">
      <w:pPr>
        <w:pStyle w:val="NoSpacing"/>
        <w:ind w:left="360"/>
        <w:rPr>
          <w:noProof/>
          <w:sz w:val="24"/>
          <w:szCs w:val="24"/>
          <w:lang w:val="en-AU"/>
        </w:rPr>
      </w:pPr>
      <w:r w:rsidRPr="00F0251C">
        <w:rPr>
          <w:noProof/>
          <w:sz w:val="24"/>
          <w:szCs w:val="24"/>
          <w:lang w:val="en-AU"/>
        </w:rPr>
        <w:t xml:space="preserve">Patients who find it difficult to synchronise aerosol actuation with inspiration of breath may use the AeroChamber Plus spacer device, properly cleaned as described in the relevant leaflet. They should be advised by their doctor or pharmacist about the proper use and care of their inhaler and spacer and their technique checked to ensure optimum delivery of the inhaled active substance to the lungs. This may be obtained by the patients using the AeroChamber Plus by one continuous slow and deep breath through the spacer, without any delay between actuation and inhalation. Alternatively, patients may simply breathe in and out (through the mouth) after the actuation, as instructed in the spacer leaflet, to obtain the active substance. See section </w:t>
      </w:r>
      <w:hyperlink w:anchor="_4.4_SPECIAL_WARNINGS" w:history="1">
        <w:r w:rsidRPr="00F0251C">
          <w:rPr>
            <w:rStyle w:val="Hyperlink"/>
            <w:noProof/>
            <w:sz w:val="24"/>
            <w:szCs w:val="24"/>
            <w:lang w:val="en-AU"/>
          </w:rPr>
          <w:t>4.4</w:t>
        </w:r>
        <w:r w:rsidR="00DD5063" w:rsidRPr="00F0251C">
          <w:rPr>
            <w:rStyle w:val="Hyperlink"/>
            <w:noProof/>
            <w:sz w:val="24"/>
            <w:szCs w:val="24"/>
            <w:lang w:val="en-AU"/>
          </w:rPr>
          <w:t xml:space="preserve"> SPECIAL WARNINGS AND PRECAUTIONS FOR USE</w:t>
        </w:r>
      </w:hyperlink>
      <w:r w:rsidRPr="00F0251C">
        <w:rPr>
          <w:noProof/>
          <w:sz w:val="24"/>
          <w:szCs w:val="24"/>
          <w:lang w:val="en-AU"/>
        </w:rPr>
        <w:t xml:space="preserve"> and section </w:t>
      </w:r>
      <w:hyperlink w:anchor="_5.2_PHARMACOKINETIC_PROPERTIES" w:history="1">
        <w:r w:rsidRPr="00F0251C">
          <w:rPr>
            <w:rStyle w:val="Hyperlink"/>
            <w:noProof/>
            <w:sz w:val="24"/>
            <w:szCs w:val="24"/>
            <w:lang w:val="en-AU"/>
          </w:rPr>
          <w:t>5.2</w:t>
        </w:r>
        <w:r w:rsidR="00DD5063" w:rsidRPr="00F0251C">
          <w:rPr>
            <w:rStyle w:val="Hyperlink"/>
            <w:noProof/>
            <w:sz w:val="24"/>
            <w:szCs w:val="24"/>
            <w:lang w:val="en-AU"/>
          </w:rPr>
          <w:t xml:space="preserve"> PHARMACOKINETIC PROPERTIES</w:t>
        </w:r>
      </w:hyperlink>
      <w:r w:rsidRPr="00F0251C">
        <w:rPr>
          <w:noProof/>
          <w:sz w:val="24"/>
          <w:szCs w:val="24"/>
          <w:lang w:val="en-AU"/>
        </w:rPr>
        <w:t>.</w:t>
      </w:r>
    </w:p>
    <w:p w14:paraId="5C644CB1" w14:textId="77777777" w:rsidR="00170AE2" w:rsidRPr="00F0251C" w:rsidRDefault="00170AE2" w:rsidP="00170AE2">
      <w:pPr>
        <w:pStyle w:val="NoSpacing"/>
        <w:ind w:left="360"/>
        <w:rPr>
          <w:noProof/>
          <w:sz w:val="24"/>
          <w:szCs w:val="24"/>
          <w:lang w:val="en-AU"/>
        </w:rPr>
      </w:pPr>
    </w:p>
    <w:p w14:paraId="0EDF0AC1" w14:textId="77777777" w:rsidR="00170AE2" w:rsidRPr="00F0251C" w:rsidRDefault="00170AE2" w:rsidP="00170AE2">
      <w:pPr>
        <w:pStyle w:val="NoSpacing"/>
        <w:ind w:left="360"/>
        <w:rPr>
          <w:noProof/>
          <w:sz w:val="24"/>
          <w:szCs w:val="24"/>
          <w:u w:val="single"/>
          <w:lang w:val="en-AU"/>
        </w:rPr>
      </w:pPr>
      <w:r w:rsidRPr="00F0251C">
        <w:rPr>
          <w:noProof/>
          <w:sz w:val="24"/>
          <w:szCs w:val="24"/>
          <w:u w:val="single"/>
          <w:lang w:val="en-AU"/>
        </w:rPr>
        <w:t>Cleaning</w:t>
      </w:r>
    </w:p>
    <w:p w14:paraId="16FE6BF7" w14:textId="1DAC4989" w:rsidR="0092332E" w:rsidRPr="00F0251C" w:rsidRDefault="00170AE2" w:rsidP="00170AE2">
      <w:pPr>
        <w:pStyle w:val="NoSpacing"/>
        <w:ind w:left="360"/>
        <w:rPr>
          <w:noProof/>
          <w:sz w:val="24"/>
          <w:szCs w:val="24"/>
          <w:lang w:val="en-AU"/>
        </w:rPr>
      </w:pPr>
      <w:r w:rsidRPr="00F0251C">
        <w:rPr>
          <w:noProof/>
          <w:sz w:val="24"/>
          <w:szCs w:val="24"/>
          <w:lang w:val="en-AU"/>
        </w:rPr>
        <w:t>For the regular cleaning of the inhaler, patients should remove weekly the cap from the mouthpiece and wipe the outside and inside of the mouthpiece with a dry cloth. They should not remove the pressurised container from the actuator and should not use water or other liquids to clean the mouthpiece.</w:t>
      </w:r>
    </w:p>
    <w:p w14:paraId="3434C6B9" w14:textId="77777777" w:rsidR="00CF0CFE" w:rsidRPr="00F0251C" w:rsidRDefault="00CF0CFE" w:rsidP="00022F63">
      <w:pPr>
        <w:pStyle w:val="NoSpacing"/>
        <w:rPr>
          <w:sz w:val="24"/>
          <w:szCs w:val="24"/>
          <w:lang w:val="en-AU"/>
        </w:rPr>
      </w:pPr>
    </w:p>
    <w:p w14:paraId="67B87D73" w14:textId="77777777" w:rsidR="000C49CD" w:rsidRPr="00F0251C" w:rsidRDefault="00416B31" w:rsidP="001E27D5">
      <w:pPr>
        <w:pStyle w:val="Heading2"/>
        <w:jc w:val="left"/>
        <w:rPr>
          <w:noProof/>
          <w:sz w:val="24"/>
          <w:szCs w:val="24"/>
          <w:lang w:val="en-AU"/>
        </w:rPr>
      </w:pPr>
      <w:r w:rsidRPr="00F0251C">
        <w:rPr>
          <w:smallCaps/>
          <w:noProof/>
          <w:sz w:val="24"/>
          <w:szCs w:val="24"/>
          <w:lang w:val="en-AU"/>
        </w:rPr>
        <w:t xml:space="preserve">4.3 </w:t>
      </w:r>
      <w:r w:rsidRPr="00F0251C">
        <w:rPr>
          <w:noProof/>
          <w:sz w:val="24"/>
          <w:szCs w:val="24"/>
          <w:lang w:val="en-AU"/>
        </w:rPr>
        <w:t>CONTRAINDICATIONS</w:t>
      </w:r>
    </w:p>
    <w:p w14:paraId="2BB1813E" w14:textId="7BDD3957" w:rsidR="000C49CD" w:rsidRPr="00F0251C" w:rsidRDefault="005B357A" w:rsidP="00CF0CFE">
      <w:pPr>
        <w:pStyle w:val="NoSpacing"/>
        <w:ind w:left="360"/>
        <w:rPr>
          <w:noProof/>
          <w:sz w:val="24"/>
          <w:szCs w:val="24"/>
          <w:lang w:val="en-AU"/>
        </w:rPr>
      </w:pPr>
      <w:r w:rsidRPr="00F0251C">
        <w:rPr>
          <w:noProof/>
          <w:sz w:val="24"/>
          <w:szCs w:val="24"/>
          <w:lang w:val="en-AU"/>
        </w:rPr>
        <w:t xml:space="preserve">Hypersensitivity to the active substances or to any of the excipients listed in section </w:t>
      </w:r>
      <w:hyperlink w:anchor="_6.1_LIST_OF" w:history="1">
        <w:r w:rsidRPr="00F0251C">
          <w:rPr>
            <w:rStyle w:val="Hyperlink"/>
            <w:noProof/>
            <w:sz w:val="24"/>
            <w:szCs w:val="24"/>
            <w:lang w:val="en-AU"/>
          </w:rPr>
          <w:t>6.1</w:t>
        </w:r>
        <w:r w:rsidR="00E72DE8">
          <w:rPr>
            <w:rStyle w:val="Hyperlink"/>
            <w:noProof/>
            <w:sz w:val="24"/>
            <w:szCs w:val="24"/>
            <w:lang w:val="en-AU"/>
          </w:rPr>
          <w:t xml:space="preserve"> LIST OF EXCIPIENTS</w:t>
        </w:r>
      </w:hyperlink>
      <w:r w:rsidRPr="00F0251C">
        <w:rPr>
          <w:noProof/>
          <w:sz w:val="24"/>
          <w:szCs w:val="24"/>
          <w:lang w:val="en-AU"/>
        </w:rPr>
        <w:t>.</w:t>
      </w:r>
    </w:p>
    <w:p w14:paraId="53B7E08B" w14:textId="77777777" w:rsidR="00CF0CFE" w:rsidRPr="00F0251C" w:rsidRDefault="00CF0CFE" w:rsidP="00CF0CFE">
      <w:pPr>
        <w:pStyle w:val="NoSpacing"/>
        <w:ind w:left="360"/>
        <w:rPr>
          <w:noProof/>
          <w:sz w:val="24"/>
          <w:szCs w:val="24"/>
          <w:lang w:val="en-AU"/>
        </w:rPr>
      </w:pPr>
    </w:p>
    <w:p w14:paraId="502E171A" w14:textId="54A400EB" w:rsidR="000C49CD" w:rsidRPr="00F0251C" w:rsidRDefault="00416B31" w:rsidP="001E27D5">
      <w:pPr>
        <w:pStyle w:val="Heading2"/>
        <w:jc w:val="left"/>
        <w:rPr>
          <w:noProof/>
          <w:sz w:val="24"/>
          <w:szCs w:val="24"/>
          <w:lang w:val="en-AU"/>
        </w:rPr>
      </w:pPr>
      <w:bookmarkStart w:id="6" w:name="_4.4_SPECIAL_WARNINGS"/>
      <w:bookmarkEnd w:id="6"/>
      <w:r w:rsidRPr="00F0251C">
        <w:rPr>
          <w:smallCaps/>
          <w:noProof/>
          <w:sz w:val="24"/>
          <w:szCs w:val="24"/>
          <w:lang w:val="en-AU"/>
        </w:rPr>
        <w:t xml:space="preserve">4.4 </w:t>
      </w:r>
      <w:r w:rsidRPr="00F0251C">
        <w:rPr>
          <w:noProof/>
          <w:sz w:val="24"/>
          <w:szCs w:val="24"/>
          <w:lang w:val="en-AU"/>
        </w:rPr>
        <w:t>SPECIAL WARNINGS AND PRECAUTIONS FOR USE</w:t>
      </w:r>
    </w:p>
    <w:p w14:paraId="651D9D74" w14:textId="25D2B8A1" w:rsidR="006D5D49" w:rsidRPr="00F0251C" w:rsidRDefault="006D5D49" w:rsidP="005B357A">
      <w:pPr>
        <w:ind w:left="360"/>
        <w:rPr>
          <w:b/>
          <w:bCs/>
          <w:sz w:val="24"/>
          <w:szCs w:val="24"/>
          <w:u w:val="single"/>
          <w:lang w:val="en-AU"/>
        </w:rPr>
      </w:pPr>
      <w:r w:rsidRPr="00F0251C">
        <w:rPr>
          <w:b/>
          <w:bCs/>
          <w:sz w:val="24"/>
          <w:szCs w:val="24"/>
          <w:u w:val="single"/>
          <w:lang w:val="en-AU"/>
        </w:rPr>
        <w:t>Identified precautions</w:t>
      </w:r>
    </w:p>
    <w:p w14:paraId="15829444" w14:textId="77777777" w:rsidR="003B45A4" w:rsidRPr="00F0251C" w:rsidRDefault="003B45A4" w:rsidP="005B357A">
      <w:pPr>
        <w:ind w:left="360"/>
        <w:rPr>
          <w:sz w:val="24"/>
          <w:szCs w:val="24"/>
          <w:u w:val="single"/>
          <w:lang w:val="en-AU"/>
        </w:rPr>
      </w:pPr>
    </w:p>
    <w:p w14:paraId="40654731" w14:textId="002B3AFC" w:rsidR="005B357A" w:rsidRPr="00F0251C" w:rsidRDefault="005B357A" w:rsidP="005B357A">
      <w:pPr>
        <w:ind w:left="360"/>
        <w:rPr>
          <w:sz w:val="24"/>
          <w:szCs w:val="24"/>
          <w:u w:val="single"/>
          <w:lang w:val="en-AU"/>
        </w:rPr>
      </w:pPr>
      <w:r w:rsidRPr="00F0251C">
        <w:rPr>
          <w:sz w:val="24"/>
          <w:szCs w:val="24"/>
          <w:u w:val="single"/>
          <w:lang w:val="en-AU"/>
        </w:rPr>
        <w:t>Not for acute use</w:t>
      </w:r>
    </w:p>
    <w:p w14:paraId="3C97696F" w14:textId="70EDBCB5" w:rsidR="005B357A" w:rsidRPr="00F0251C" w:rsidRDefault="000D1FB0" w:rsidP="005B357A">
      <w:pPr>
        <w:ind w:left="360"/>
        <w:rPr>
          <w:sz w:val="24"/>
          <w:szCs w:val="24"/>
          <w:lang w:val="en-AU"/>
        </w:rPr>
      </w:pPr>
      <w:r w:rsidRPr="00F0251C">
        <w:rPr>
          <w:sz w:val="24"/>
          <w:szCs w:val="24"/>
          <w:lang w:val="en-AU"/>
        </w:rPr>
        <w:t>TRIMBOW</w:t>
      </w:r>
      <w:r w:rsidR="005B357A" w:rsidRPr="00F0251C">
        <w:rPr>
          <w:sz w:val="24"/>
          <w:szCs w:val="24"/>
          <w:lang w:val="en-AU"/>
        </w:rPr>
        <w:t xml:space="preserve"> is not indicated for the treatment of acute episodes of bronchospasm, or to treat an acute COPD exacerbation (i.e. as a rescue therapy).</w:t>
      </w:r>
    </w:p>
    <w:p w14:paraId="17B4A417" w14:textId="77777777" w:rsidR="005B357A" w:rsidRPr="00F0251C" w:rsidRDefault="005B357A" w:rsidP="005B357A">
      <w:pPr>
        <w:ind w:left="360"/>
        <w:rPr>
          <w:sz w:val="24"/>
          <w:szCs w:val="24"/>
          <w:lang w:val="en-AU"/>
        </w:rPr>
      </w:pPr>
    </w:p>
    <w:p w14:paraId="0807B4E4" w14:textId="77777777" w:rsidR="005B357A" w:rsidRPr="00F0251C" w:rsidRDefault="005B357A" w:rsidP="005B357A">
      <w:pPr>
        <w:ind w:left="360"/>
        <w:rPr>
          <w:sz w:val="24"/>
          <w:szCs w:val="24"/>
          <w:u w:val="single"/>
          <w:lang w:val="en-AU"/>
        </w:rPr>
      </w:pPr>
      <w:r w:rsidRPr="00F0251C">
        <w:rPr>
          <w:sz w:val="24"/>
          <w:szCs w:val="24"/>
          <w:u w:val="single"/>
          <w:lang w:val="en-AU"/>
        </w:rPr>
        <w:t>Hypersensitivity</w:t>
      </w:r>
    </w:p>
    <w:p w14:paraId="38DB6954" w14:textId="5E1E7B68" w:rsidR="005B357A" w:rsidRPr="00F0251C" w:rsidRDefault="005B357A" w:rsidP="005B357A">
      <w:pPr>
        <w:ind w:left="360"/>
        <w:rPr>
          <w:sz w:val="24"/>
          <w:szCs w:val="24"/>
          <w:lang w:val="en-AU"/>
        </w:rPr>
      </w:pPr>
      <w:r w:rsidRPr="00F0251C">
        <w:rPr>
          <w:sz w:val="24"/>
          <w:szCs w:val="24"/>
          <w:lang w:val="en-AU"/>
        </w:rPr>
        <w:t xml:space="preserve">Immediate hypersensitivity reactions have been reported after administration of </w:t>
      </w:r>
      <w:r w:rsidR="000D1FB0" w:rsidRPr="00F0251C">
        <w:rPr>
          <w:sz w:val="24"/>
          <w:szCs w:val="24"/>
          <w:lang w:val="en-AU"/>
        </w:rPr>
        <w:t>TRIMBOW</w:t>
      </w:r>
      <w:r w:rsidRPr="00F0251C">
        <w:rPr>
          <w:sz w:val="24"/>
          <w:szCs w:val="24"/>
          <w:lang w:val="en-AU"/>
        </w:rPr>
        <w:t xml:space="preserve">. If signs suggesting allergic reactions occur, in particular, angioedema (including difficulties in breathing or swallowing, swelling of the tongue, lips and face), urticaria or skin rash, </w:t>
      </w:r>
      <w:r w:rsidR="000D1FB0" w:rsidRPr="00F0251C">
        <w:rPr>
          <w:sz w:val="24"/>
          <w:szCs w:val="24"/>
          <w:lang w:val="en-AU"/>
        </w:rPr>
        <w:t>TRIMBOW</w:t>
      </w:r>
      <w:r w:rsidRPr="00F0251C">
        <w:rPr>
          <w:sz w:val="24"/>
          <w:szCs w:val="24"/>
          <w:lang w:val="en-AU"/>
        </w:rPr>
        <w:t xml:space="preserve"> should be discontinued immediately and alternative therapy instituted.</w:t>
      </w:r>
    </w:p>
    <w:p w14:paraId="54649760" w14:textId="77777777" w:rsidR="005B357A" w:rsidRPr="00F0251C" w:rsidRDefault="005B357A" w:rsidP="005B357A">
      <w:pPr>
        <w:ind w:left="360"/>
        <w:rPr>
          <w:sz w:val="24"/>
          <w:szCs w:val="24"/>
          <w:lang w:val="en-AU"/>
        </w:rPr>
      </w:pPr>
    </w:p>
    <w:p w14:paraId="3210323D" w14:textId="77777777" w:rsidR="005B357A" w:rsidRPr="00F0251C" w:rsidRDefault="005B357A" w:rsidP="005B357A">
      <w:pPr>
        <w:ind w:left="360"/>
        <w:rPr>
          <w:sz w:val="24"/>
          <w:szCs w:val="24"/>
          <w:u w:val="single"/>
          <w:lang w:val="en-AU"/>
        </w:rPr>
      </w:pPr>
      <w:r w:rsidRPr="00F0251C">
        <w:rPr>
          <w:sz w:val="24"/>
          <w:szCs w:val="24"/>
          <w:u w:val="single"/>
          <w:lang w:val="en-AU"/>
        </w:rPr>
        <w:t>Paradoxical bronchospasm</w:t>
      </w:r>
    </w:p>
    <w:p w14:paraId="47E0B3DA" w14:textId="527131CD" w:rsidR="005B357A" w:rsidRPr="00F0251C" w:rsidRDefault="005B357A" w:rsidP="005B357A">
      <w:pPr>
        <w:ind w:left="360"/>
        <w:rPr>
          <w:sz w:val="24"/>
          <w:szCs w:val="24"/>
          <w:lang w:val="en-AU"/>
        </w:rPr>
      </w:pPr>
      <w:r w:rsidRPr="00F0251C">
        <w:rPr>
          <w:sz w:val="24"/>
          <w:szCs w:val="24"/>
          <w:lang w:val="en-AU"/>
        </w:rPr>
        <w:t xml:space="preserve">Paradoxical bronchospasm may occur with an immediate increase in wheezing and shortness of breath after dosing. This should be treated immediately with a </w:t>
      </w:r>
      <w:r w:rsidR="00F85C8B" w:rsidRPr="00F0251C">
        <w:rPr>
          <w:sz w:val="24"/>
          <w:szCs w:val="24"/>
          <w:lang w:val="en-AU"/>
        </w:rPr>
        <w:t>fast-acting</w:t>
      </w:r>
      <w:r w:rsidRPr="00F0251C">
        <w:rPr>
          <w:sz w:val="24"/>
          <w:szCs w:val="24"/>
          <w:lang w:val="en-AU"/>
        </w:rPr>
        <w:t xml:space="preserve"> inhaled bronchodilator (reliever). </w:t>
      </w:r>
      <w:r w:rsidR="000D1FB0" w:rsidRPr="00F0251C">
        <w:rPr>
          <w:sz w:val="24"/>
          <w:szCs w:val="24"/>
          <w:lang w:val="en-AU"/>
        </w:rPr>
        <w:t>TRIMBOW</w:t>
      </w:r>
      <w:r w:rsidRPr="00F0251C">
        <w:rPr>
          <w:sz w:val="24"/>
          <w:szCs w:val="24"/>
          <w:lang w:val="en-AU"/>
        </w:rPr>
        <w:t xml:space="preserve"> should be discontinued immediately, the patient </w:t>
      </w:r>
      <w:r w:rsidR="00F85C8B" w:rsidRPr="00F0251C">
        <w:rPr>
          <w:sz w:val="24"/>
          <w:szCs w:val="24"/>
          <w:lang w:val="en-AU"/>
        </w:rPr>
        <w:t>assessed,</w:t>
      </w:r>
      <w:r w:rsidRPr="00F0251C">
        <w:rPr>
          <w:sz w:val="24"/>
          <w:szCs w:val="24"/>
          <w:lang w:val="en-AU"/>
        </w:rPr>
        <w:t xml:space="preserve"> and alternative therapy instituted if necessary.</w:t>
      </w:r>
    </w:p>
    <w:p w14:paraId="0632622E" w14:textId="77777777" w:rsidR="005B357A" w:rsidRPr="00F0251C" w:rsidRDefault="005B357A" w:rsidP="005B357A">
      <w:pPr>
        <w:ind w:left="360"/>
        <w:rPr>
          <w:sz w:val="24"/>
          <w:szCs w:val="24"/>
          <w:lang w:val="en-AU"/>
        </w:rPr>
      </w:pPr>
    </w:p>
    <w:p w14:paraId="1DCC1CBA" w14:textId="77777777" w:rsidR="005B357A" w:rsidRPr="00F0251C" w:rsidRDefault="005B357A" w:rsidP="005B357A">
      <w:pPr>
        <w:ind w:left="360"/>
        <w:rPr>
          <w:sz w:val="24"/>
          <w:szCs w:val="24"/>
          <w:u w:val="single"/>
          <w:lang w:val="en-AU"/>
        </w:rPr>
      </w:pPr>
      <w:r w:rsidRPr="00F0251C">
        <w:rPr>
          <w:sz w:val="24"/>
          <w:szCs w:val="24"/>
          <w:u w:val="single"/>
          <w:lang w:val="en-AU"/>
        </w:rPr>
        <w:t>Deterioration of disease</w:t>
      </w:r>
    </w:p>
    <w:p w14:paraId="7B6EBFCB" w14:textId="5B906A53" w:rsidR="005B357A" w:rsidRPr="00F0251C" w:rsidRDefault="005B357A" w:rsidP="005B357A">
      <w:pPr>
        <w:ind w:left="360"/>
        <w:rPr>
          <w:sz w:val="24"/>
          <w:szCs w:val="24"/>
          <w:lang w:val="en-AU"/>
        </w:rPr>
      </w:pPr>
      <w:r w:rsidRPr="00F0251C">
        <w:rPr>
          <w:sz w:val="24"/>
          <w:szCs w:val="24"/>
          <w:lang w:val="en-AU"/>
        </w:rPr>
        <w:t xml:space="preserve">It is recommended that treatment with </w:t>
      </w:r>
      <w:r w:rsidR="000D1FB0" w:rsidRPr="00F0251C">
        <w:rPr>
          <w:sz w:val="24"/>
          <w:szCs w:val="24"/>
          <w:lang w:val="en-AU"/>
        </w:rPr>
        <w:t>TRIMBOW</w:t>
      </w:r>
      <w:r w:rsidRPr="00F0251C">
        <w:rPr>
          <w:sz w:val="24"/>
          <w:szCs w:val="24"/>
          <w:lang w:val="en-AU"/>
        </w:rPr>
        <w:t xml:space="preserve"> should not be stopped abruptly. If patients find the treatment ineffective, they should continue </w:t>
      </w:r>
      <w:r w:rsidR="00F85C8B" w:rsidRPr="00F0251C">
        <w:rPr>
          <w:sz w:val="24"/>
          <w:szCs w:val="24"/>
          <w:lang w:val="en-AU"/>
        </w:rPr>
        <w:t>treatment,</w:t>
      </w:r>
      <w:r w:rsidRPr="00F0251C">
        <w:rPr>
          <w:sz w:val="24"/>
          <w:szCs w:val="24"/>
          <w:lang w:val="en-AU"/>
        </w:rPr>
        <w:t xml:space="preserve"> but medical attention must be sought. Increasing use of reliever bronchodilators indicates a worsening of the underlying condition and warrants a reassessment of the therapy. Sudden and progressive deterioration in the symptoms of COPD is potentially life-threatening and the patient should undergo urgent medical assessment.</w:t>
      </w:r>
    </w:p>
    <w:p w14:paraId="62C0B732" w14:textId="77777777" w:rsidR="005B357A" w:rsidRPr="00F0251C" w:rsidRDefault="005B357A" w:rsidP="005B357A">
      <w:pPr>
        <w:ind w:left="360"/>
        <w:rPr>
          <w:sz w:val="24"/>
          <w:szCs w:val="24"/>
          <w:lang w:val="en-AU"/>
        </w:rPr>
      </w:pPr>
    </w:p>
    <w:p w14:paraId="1640DB19" w14:textId="77777777" w:rsidR="005B357A" w:rsidRPr="00F0251C" w:rsidRDefault="005B357A" w:rsidP="005B357A">
      <w:pPr>
        <w:ind w:left="360"/>
        <w:rPr>
          <w:sz w:val="24"/>
          <w:szCs w:val="24"/>
          <w:u w:val="single"/>
          <w:lang w:val="en-AU"/>
        </w:rPr>
      </w:pPr>
      <w:r w:rsidRPr="00F0251C">
        <w:rPr>
          <w:sz w:val="24"/>
          <w:szCs w:val="24"/>
          <w:u w:val="single"/>
          <w:lang w:val="en-AU"/>
        </w:rPr>
        <w:t>Cardiovascular effects</w:t>
      </w:r>
    </w:p>
    <w:p w14:paraId="22F5A1DA" w14:textId="4E4BDEB9" w:rsidR="005B357A" w:rsidRDefault="000D1FB0" w:rsidP="005B357A">
      <w:pPr>
        <w:ind w:left="360"/>
        <w:rPr>
          <w:sz w:val="24"/>
          <w:szCs w:val="24"/>
          <w:lang w:val="en-AU"/>
        </w:rPr>
      </w:pPr>
      <w:r w:rsidRPr="00F0251C">
        <w:rPr>
          <w:sz w:val="24"/>
          <w:szCs w:val="24"/>
          <w:lang w:val="en-AU"/>
        </w:rPr>
        <w:t>TRIMBOW</w:t>
      </w:r>
      <w:r w:rsidR="005B357A" w:rsidRPr="00F0251C">
        <w:rPr>
          <w:sz w:val="24"/>
          <w:szCs w:val="24"/>
          <w:lang w:val="en-AU"/>
        </w:rPr>
        <w:t xml:space="preserve"> should be used with caution in patients with cardiac arrhythmias, especially </w:t>
      </w:r>
      <w:r w:rsidR="00F85C8B" w:rsidRPr="00F0251C">
        <w:rPr>
          <w:sz w:val="24"/>
          <w:szCs w:val="24"/>
          <w:lang w:val="en-AU"/>
        </w:rPr>
        <w:t>third-degree</w:t>
      </w:r>
      <w:r w:rsidR="005B357A" w:rsidRPr="00F0251C">
        <w:rPr>
          <w:sz w:val="24"/>
          <w:szCs w:val="24"/>
          <w:lang w:val="en-AU"/>
        </w:rPr>
        <w:t xml:space="preserve"> atrioventricular block and tachyarrhythmias (accelerated and/or irregular heart beat), idiopathic </w:t>
      </w:r>
      <w:proofErr w:type="spellStart"/>
      <w:r w:rsidR="005B357A" w:rsidRPr="00F0251C">
        <w:rPr>
          <w:sz w:val="24"/>
          <w:szCs w:val="24"/>
          <w:lang w:val="en-AU"/>
        </w:rPr>
        <w:t>subvalvular</w:t>
      </w:r>
      <w:proofErr w:type="spellEnd"/>
      <w:r w:rsidR="005B357A" w:rsidRPr="00F0251C">
        <w:rPr>
          <w:sz w:val="24"/>
          <w:szCs w:val="24"/>
          <w:lang w:val="en-AU"/>
        </w:rPr>
        <w:t xml:space="preserve"> aortic stenosis, hypertrophic obstructive cardiomyopathy, severe heart disease (particularly acute myocardial infarction, ischaemic heart disease, congestive heart failure), occlusive vascular diseases (particularly arteriosclerosis), arterial hypertension and aneurysm.</w:t>
      </w:r>
    </w:p>
    <w:p w14:paraId="7658965E" w14:textId="77777777" w:rsidR="00DD40B4" w:rsidRPr="00F0251C" w:rsidRDefault="00DD40B4" w:rsidP="005B357A">
      <w:pPr>
        <w:ind w:left="360"/>
        <w:rPr>
          <w:sz w:val="24"/>
          <w:szCs w:val="24"/>
          <w:lang w:val="en-AU"/>
        </w:rPr>
      </w:pPr>
    </w:p>
    <w:p w14:paraId="444EF885" w14:textId="4FAC409D" w:rsidR="005B357A" w:rsidRPr="00F0251C" w:rsidRDefault="005B357A" w:rsidP="005B357A">
      <w:pPr>
        <w:ind w:left="360"/>
        <w:rPr>
          <w:sz w:val="24"/>
          <w:szCs w:val="24"/>
          <w:lang w:val="en-AU"/>
        </w:rPr>
      </w:pPr>
      <w:r w:rsidRPr="00F0251C">
        <w:rPr>
          <w:sz w:val="24"/>
          <w:szCs w:val="24"/>
          <w:lang w:val="en-AU"/>
        </w:rPr>
        <w:t xml:space="preserve">Caution should also be exercised when treating patients with known or suspected prolongation of the QTc interval (QTc &gt; 450 milliseconds for males, or &gt; 470 milliseconds for females), either congenital or induced by medicinal products as these patients were excluded from clinical trials with </w:t>
      </w:r>
      <w:r w:rsidR="000D1FB0" w:rsidRPr="00F0251C">
        <w:rPr>
          <w:sz w:val="24"/>
          <w:szCs w:val="24"/>
          <w:lang w:val="en-AU"/>
        </w:rPr>
        <w:t>TRIMBOW</w:t>
      </w:r>
      <w:r w:rsidRPr="00F0251C">
        <w:rPr>
          <w:sz w:val="24"/>
          <w:szCs w:val="24"/>
          <w:lang w:val="en-AU"/>
        </w:rPr>
        <w:t>.</w:t>
      </w:r>
    </w:p>
    <w:p w14:paraId="24A0D55E" w14:textId="77777777" w:rsidR="005B357A" w:rsidRPr="00F0251C" w:rsidRDefault="005B357A" w:rsidP="005B357A">
      <w:pPr>
        <w:ind w:left="360"/>
        <w:rPr>
          <w:sz w:val="24"/>
          <w:szCs w:val="24"/>
          <w:lang w:val="en-AU"/>
        </w:rPr>
      </w:pPr>
    </w:p>
    <w:p w14:paraId="492642D3" w14:textId="1E37A5F9" w:rsidR="005B357A" w:rsidRPr="00F0251C" w:rsidRDefault="005B357A" w:rsidP="005B357A">
      <w:pPr>
        <w:ind w:left="360"/>
        <w:rPr>
          <w:sz w:val="24"/>
          <w:szCs w:val="24"/>
          <w:lang w:val="en-AU"/>
        </w:rPr>
      </w:pPr>
      <w:r w:rsidRPr="00F0251C">
        <w:rPr>
          <w:sz w:val="24"/>
          <w:szCs w:val="24"/>
          <w:lang w:val="en-AU"/>
        </w:rPr>
        <w:t xml:space="preserve">If anaesthesia with halogenated anaesthetics is planned, it should be ensured that </w:t>
      </w:r>
      <w:r w:rsidR="000D1FB0" w:rsidRPr="00F0251C">
        <w:rPr>
          <w:sz w:val="24"/>
          <w:szCs w:val="24"/>
          <w:lang w:val="en-AU"/>
        </w:rPr>
        <w:t>TRIMBOW</w:t>
      </w:r>
      <w:r w:rsidRPr="00F0251C">
        <w:rPr>
          <w:sz w:val="24"/>
          <w:szCs w:val="24"/>
          <w:lang w:val="en-AU"/>
        </w:rPr>
        <w:t xml:space="preserve"> is not administered for at least 12 hours before the start of anaesthesia as there is a risk of cardiac arrhythmias.</w:t>
      </w:r>
    </w:p>
    <w:p w14:paraId="5BDE8406" w14:textId="77777777" w:rsidR="005B357A" w:rsidRPr="00F0251C" w:rsidRDefault="005B357A" w:rsidP="005B357A">
      <w:pPr>
        <w:ind w:left="360"/>
        <w:rPr>
          <w:sz w:val="24"/>
          <w:szCs w:val="24"/>
          <w:lang w:val="en-AU"/>
        </w:rPr>
      </w:pPr>
    </w:p>
    <w:p w14:paraId="027BBF30" w14:textId="57E6FA40" w:rsidR="005B357A" w:rsidRPr="00F0251C" w:rsidRDefault="005B357A" w:rsidP="005B357A">
      <w:pPr>
        <w:ind w:left="360"/>
        <w:rPr>
          <w:sz w:val="24"/>
          <w:szCs w:val="24"/>
          <w:lang w:val="en-AU"/>
        </w:rPr>
      </w:pPr>
      <w:r w:rsidRPr="00F0251C">
        <w:rPr>
          <w:sz w:val="24"/>
          <w:szCs w:val="24"/>
          <w:lang w:val="en-AU"/>
        </w:rPr>
        <w:t xml:space="preserve">Caution is also required when </w:t>
      </w:r>
      <w:r w:rsidR="000D1FB0" w:rsidRPr="00F0251C">
        <w:rPr>
          <w:sz w:val="24"/>
          <w:szCs w:val="24"/>
          <w:lang w:val="en-AU"/>
        </w:rPr>
        <w:t>TRIMBOW</w:t>
      </w:r>
      <w:r w:rsidRPr="00F0251C">
        <w:rPr>
          <w:sz w:val="24"/>
          <w:szCs w:val="24"/>
          <w:lang w:val="en-AU"/>
        </w:rPr>
        <w:t xml:space="preserve"> is used by patients with thyrotoxicosis, diabetes mellitus, pheochromocytoma and untreated hypokalaemia.</w:t>
      </w:r>
    </w:p>
    <w:p w14:paraId="60624238" w14:textId="77777777" w:rsidR="005B357A" w:rsidRPr="00F0251C" w:rsidRDefault="005B357A" w:rsidP="005B357A">
      <w:pPr>
        <w:ind w:left="360"/>
        <w:rPr>
          <w:sz w:val="24"/>
          <w:szCs w:val="24"/>
          <w:lang w:val="en-AU"/>
        </w:rPr>
      </w:pPr>
    </w:p>
    <w:p w14:paraId="34933783" w14:textId="77777777" w:rsidR="005B357A" w:rsidRPr="00950761" w:rsidRDefault="005B357A" w:rsidP="005B357A">
      <w:pPr>
        <w:ind w:left="360"/>
        <w:rPr>
          <w:sz w:val="24"/>
          <w:szCs w:val="24"/>
          <w:u w:val="single"/>
          <w:lang w:val="en-AU"/>
        </w:rPr>
      </w:pPr>
      <w:r w:rsidRPr="00950761">
        <w:rPr>
          <w:sz w:val="24"/>
          <w:szCs w:val="24"/>
          <w:u w:val="single"/>
          <w:lang w:val="en-AU"/>
        </w:rPr>
        <w:t>Pneumonia in patients with COPD</w:t>
      </w:r>
    </w:p>
    <w:p w14:paraId="065CB200" w14:textId="22E148C4" w:rsidR="005B357A" w:rsidRPr="00950761" w:rsidRDefault="005B357A" w:rsidP="005B357A">
      <w:pPr>
        <w:ind w:left="360"/>
        <w:rPr>
          <w:sz w:val="24"/>
          <w:szCs w:val="24"/>
          <w:lang w:val="en-AU"/>
        </w:rPr>
      </w:pPr>
      <w:r w:rsidRPr="00950761">
        <w:rPr>
          <w:sz w:val="24"/>
          <w:szCs w:val="24"/>
          <w:lang w:val="en-AU"/>
        </w:rPr>
        <w:t xml:space="preserve">An increase in the incidence of pneumonia, including pneumonia requiring hospitalisation, has been observed in patients with COPD receiving inhaled corticosteroids. There is some evidence of an increased risk of pneumonia with increasing steroid </w:t>
      </w:r>
      <w:r w:rsidR="00F85C8B" w:rsidRPr="00950761">
        <w:rPr>
          <w:sz w:val="24"/>
          <w:szCs w:val="24"/>
          <w:lang w:val="en-AU"/>
        </w:rPr>
        <w:t>dose,</w:t>
      </w:r>
      <w:r w:rsidRPr="00950761">
        <w:rPr>
          <w:sz w:val="24"/>
          <w:szCs w:val="24"/>
          <w:lang w:val="en-AU"/>
        </w:rPr>
        <w:t xml:space="preserve"> but this has not been demonstrated conclusively</w:t>
      </w:r>
      <w:r w:rsidR="00BE6071">
        <w:rPr>
          <w:sz w:val="24"/>
          <w:szCs w:val="24"/>
          <w:lang w:val="en-AU"/>
        </w:rPr>
        <w:t xml:space="preserve">. </w:t>
      </w:r>
      <w:r w:rsidRPr="00950761">
        <w:rPr>
          <w:sz w:val="24"/>
          <w:szCs w:val="24"/>
          <w:lang w:val="en-AU"/>
        </w:rPr>
        <w:t>There is no conclusive clinical evidence for intra-class differences in the magnitude of the pneumonia risk among inhaled corticosteroid products.</w:t>
      </w:r>
    </w:p>
    <w:p w14:paraId="2D2568A4" w14:textId="77777777" w:rsidR="005B357A" w:rsidRPr="00950761" w:rsidRDefault="005B357A" w:rsidP="005B357A">
      <w:pPr>
        <w:ind w:left="360"/>
        <w:rPr>
          <w:sz w:val="24"/>
          <w:szCs w:val="24"/>
          <w:lang w:val="en-AU"/>
        </w:rPr>
      </w:pPr>
    </w:p>
    <w:p w14:paraId="0F2C2FBA" w14:textId="43832404" w:rsidR="005B357A" w:rsidRPr="0098641D" w:rsidRDefault="005B357A" w:rsidP="005B357A">
      <w:pPr>
        <w:ind w:left="360"/>
        <w:rPr>
          <w:sz w:val="24"/>
          <w:szCs w:val="24"/>
          <w:lang w:val="en-AU"/>
        </w:rPr>
      </w:pPr>
      <w:r w:rsidRPr="00950761">
        <w:rPr>
          <w:sz w:val="24"/>
          <w:szCs w:val="24"/>
          <w:lang w:val="en-AU"/>
        </w:rPr>
        <w:t>Physicians should remain vigilant for the possible development of pneumonia in patients with COPD as the clinical features of such infections overlap with the symptoms of COPD exacerbations.</w:t>
      </w:r>
    </w:p>
    <w:p w14:paraId="2D2FA560" w14:textId="77777777" w:rsidR="005B357A" w:rsidRPr="00950761" w:rsidRDefault="005B357A" w:rsidP="005B357A">
      <w:pPr>
        <w:ind w:left="360"/>
        <w:rPr>
          <w:sz w:val="24"/>
          <w:szCs w:val="24"/>
          <w:lang w:val="en-AU"/>
        </w:rPr>
      </w:pPr>
    </w:p>
    <w:p w14:paraId="17E80D33" w14:textId="2762F315" w:rsidR="005B357A" w:rsidRPr="00F0251C" w:rsidRDefault="005B357A" w:rsidP="005B357A">
      <w:pPr>
        <w:ind w:left="360"/>
        <w:rPr>
          <w:sz w:val="24"/>
          <w:szCs w:val="24"/>
          <w:lang w:val="en-AU"/>
        </w:rPr>
      </w:pPr>
      <w:r w:rsidRPr="00950761">
        <w:rPr>
          <w:sz w:val="24"/>
          <w:szCs w:val="24"/>
          <w:lang w:val="en-AU"/>
        </w:rPr>
        <w:lastRenderedPageBreak/>
        <w:t>Risk factors for pneumonia in patients with COPD include current smoking, older age, low body mass index (BMI) and severe COPD.</w:t>
      </w:r>
      <w:r w:rsidR="00480C5C" w:rsidRPr="0098641D">
        <w:rPr>
          <w:sz w:val="24"/>
          <w:szCs w:val="24"/>
          <w:lang w:val="en-AU"/>
        </w:rPr>
        <w:t xml:space="preserve"> These factors should be considered when TRIMBOW is prescribed, a</w:t>
      </w:r>
      <w:r w:rsidR="00950761">
        <w:rPr>
          <w:sz w:val="24"/>
          <w:szCs w:val="24"/>
          <w:lang w:val="en-AU"/>
        </w:rPr>
        <w:t>n</w:t>
      </w:r>
      <w:r w:rsidR="00480C5C" w:rsidRPr="0098641D">
        <w:rPr>
          <w:sz w:val="24"/>
          <w:szCs w:val="24"/>
          <w:lang w:val="en-AU"/>
        </w:rPr>
        <w:t>d treatment re-evaluated i</w:t>
      </w:r>
      <w:r w:rsidR="00950761">
        <w:rPr>
          <w:sz w:val="24"/>
          <w:szCs w:val="24"/>
          <w:lang w:val="en-AU"/>
        </w:rPr>
        <w:t xml:space="preserve">f </w:t>
      </w:r>
      <w:r w:rsidR="00480C5C" w:rsidRPr="0098641D">
        <w:rPr>
          <w:sz w:val="24"/>
          <w:szCs w:val="24"/>
          <w:lang w:val="en-AU"/>
        </w:rPr>
        <w:t>pneumonia occurs.</w:t>
      </w:r>
    </w:p>
    <w:p w14:paraId="3C4F0F48" w14:textId="77777777" w:rsidR="005B357A" w:rsidRPr="00F0251C" w:rsidRDefault="005B357A" w:rsidP="005B357A">
      <w:pPr>
        <w:ind w:left="360"/>
        <w:rPr>
          <w:sz w:val="24"/>
          <w:szCs w:val="24"/>
          <w:lang w:val="en-AU"/>
        </w:rPr>
      </w:pPr>
    </w:p>
    <w:p w14:paraId="400A0803" w14:textId="77777777" w:rsidR="005B357A" w:rsidRPr="00F0251C" w:rsidRDefault="005B357A" w:rsidP="005B357A">
      <w:pPr>
        <w:ind w:left="360"/>
        <w:rPr>
          <w:sz w:val="24"/>
          <w:szCs w:val="24"/>
          <w:u w:val="single"/>
          <w:lang w:val="en-AU"/>
        </w:rPr>
      </w:pPr>
      <w:r w:rsidRPr="00F0251C">
        <w:rPr>
          <w:sz w:val="24"/>
          <w:szCs w:val="24"/>
          <w:u w:val="single"/>
          <w:lang w:val="en-AU"/>
        </w:rPr>
        <w:t>Systemic corticosteroid effects</w:t>
      </w:r>
    </w:p>
    <w:p w14:paraId="0CF923F6" w14:textId="531B5D50" w:rsidR="005B357A" w:rsidRPr="00F0251C" w:rsidRDefault="005B357A" w:rsidP="005B357A">
      <w:pPr>
        <w:ind w:left="360"/>
        <w:rPr>
          <w:sz w:val="24"/>
          <w:szCs w:val="24"/>
          <w:lang w:val="en-AU"/>
        </w:rPr>
      </w:pPr>
      <w:r w:rsidRPr="00F0251C">
        <w:rPr>
          <w:sz w:val="24"/>
          <w:szCs w:val="24"/>
          <w:lang w:val="en-AU"/>
        </w:rPr>
        <w:t xml:space="preserve">Systemic effects may occur with any inhaled corticosteroid, particularly at high doses prescribed for long periods. The daily dose of </w:t>
      </w:r>
      <w:r w:rsidR="000D1FB0" w:rsidRPr="00F0251C">
        <w:rPr>
          <w:sz w:val="24"/>
          <w:szCs w:val="24"/>
          <w:lang w:val="en-AU"/>
        </w:rPr>
        <w:t>TRIMBOW</w:t>
      </w:r>
      <w:r w:rsidRPr="00F0251C">
        <w:rPr>
          <w:sz w:val="24"/>
          <w:szCs w:val="24"/>
          <w:lang w:val="en-AU"/>
        </w:rPr>
        <w:t xml:space="preserve"> corresponds to a medium dose of inhaled corticosteroid; furthermore, these effects are much less likely to occur than with oral corticosteroids. Possible systemic effects include: Cushing's syndrome, Cushingoid features, adrenal suppression, growth retardation, decrease in bone mineral density, cataract, glaucoma and, more rarely, a range of psychological or behavioural effects including psychomotor hyperactivity, sleep disorders, anxiety, depression or aggression (particularly in children). Therefore, it is important that the patient is reviewed regularly.</w:t>
      </w:r>
    </w:p>
    <w:p w14:paraId="4CE53E07" w14:textId="77777777" w:rsidR="005B357A" w:rsidRPr="00F0251C" w:rsidRDefault="005B357A" w:rsidP="005B357A">
      <w:pPr>
        <w:ind w:left="360"/>
        <w:rPr>
          <w:sz w:val="24"/>
          <w:szCs w:val="24"/>
          <w:lang w:val="en-AU"/>
        </w:rPr>
      </w:pPr>
    </w:p>
    <w:p w14:paraId="11896C16" w14:textId="5BD7ADC3" w:rsidR="005B357A" w:rsidRPr="00F0251C" w:rsidRDefault="000D1FB0" w:rsidP="005B357A">
      <w:pPr>
        <w:ind w:left="360"/>
        <w:rPr>
          <w:sz w:val="24"/>
          <w:szCs w:val="24"/>
          <w:lang w:val="en-AU"/>
        </w:rPr>
      </w:pPr>
      <w:r w:rsidRPr="00F0251C">
        <w:rPr>
          <w:sz w:val="24"/>
          <w:szCs w:val="24"/>
          <w:lang w:val="en-AU"/>
        </w:rPr>
        <w:t>TRIMBOW</w:t>
      </w:r>
      <w:r w:rsidR="005B357A" w:rsidRPr="00F0251C">
        <w:rPr>
          <w:sz w:val="24"/>
          <w:szCs w:val="24"/>
          <w:lang w:val="en-AU"/>
        </w:rPr>
        <w:t xml:space="preserve"> should be administered with caution in patients with active or quiescent pulmonary tuberculosis, fungal and viral infections in the airways.</w:t>
      </w:r>
    </w:p>
    <w:p w14:paraId="60043DCA" w14:textId="77777777" w:rsidR="005B357A" w:rsidRPr="00F0251C" w:rsidRDefault="005B357A" w:rsidP="005B357A">
      <w:pPr>
        <w:ind w:left="360"/>
        <w:rPr>
          <w:sz w:val="24"/>
          <w:szCs w:val="24"/>
          <w:lang w:val="en-AU"/>
        </w:rPr>
      </w:pPr>
    </w:p>
    <w:p w14:paraId="1FEB35C4" w14:textId="7A487986" w:rsidR="005B357A" w:rsidRPr="00F0251C" w:rsidRDefault="005B357A" w:rsidP="005B357A">
      <w:pPr>
        <w:ind w:left="360"/>
        <w:rPr>
          <w:sz w:val="24"/>
          <w:szCs w:val="24"/>
          <w:u w:val="single"/>
          <w:lang w:val="en-AU"/>
        </w:rPr>
      </w:pPr>
      <w:r w:rsidRPr="00F0251C">
        <w:rPr>
          <w:sz w:val="24"/>
          <w:szCs w:val="24"/>
          <w:u w:val="single"/>
          <w:lang w:val="en-AU"/>
        </w:rPr>
        <w:t>Anticholinergic effect</w:t>
      </w:r>
    </w:p>
    <w:p w14:paraId="7D07FC6B" w14:textId="7C31FAA9" w:rsidR="005B357A" w:rsidRDefault="005B357A" w:rsidP="005B357A">
      <w:pPr>
        <w:ind w:left="360"/>
        <w:rPr>
          <w:sz w:val="24"/>
          <w:szCs w:val="24"/>
          <w:lang w:val="en-AU"/>
        </w:rPr>
      </w:pPr>
      <w:r w:rsidRPr="00F0251C">
        <w:rPr>
          <w:sz w:val="24"/>
          <w:szCs w:val="24"/>
          <w:lang w:val="en-AU"/>
        </w:rPr>
        <w:t xml:space="preserve">Glycopyrronium should be used with caution in patients with narrow-angle glaucoma, prostatic hyperplasia or urinary retention. Patients should be informed about the signs and symptoms of acute narrow-angle glaucoma and should be informed to stop using </w:t>
      </w:r>
      <w:r w:rsidR="000D1FB0" w:rsidRPr="00F0251C">
        <w:rPr>
          <w:sz w:val="24"/>
          <w:szCs w:val="24"/>
          <w:lang w:val="en-AU"/>
        </w:rPr>
        <w:t>TRIMBOW</w:t>
      </w:r>
      <w:r w:rsidRPr="00F0251C">
        <w:rPr>
          <w:sz w:val="24"/>
          <w:szCs w:val="24"/>
          <w:lang w:val="en-AU"/>
        </w:rPr>
        <w:t xml:space="preserve"> and to contact their doctor immediately should any of these signs or symptoms develop.</w:t>
      </w:r>
    </w:p>
    <w:p w14:paraId="106E2C4E" w14:textId="77777777" w:rsidR="00E55634" w:rsidRPr="00F0251C" w:rsidRDefault="00E55634" w:rsidP="005B357A">
      <w:pPr>
        <w:ind w:left="360"/>
        <w:rPr>
          <w:sz w:val="24"/>
          <w:szCs w:val="24"/>
          <w:lang w:val="en-AU"/>
        </w:rPr>
      </w:pPr>
    </w:p>
    <w:p w14:paraId="32C40FB6" w14:textId="246A2A05" w:rsidR="005B357A" w:rsidRPr="00F0251C" w:rsidRDefault="005B357A" w:rsidP="005B357A">
      <w:pPr>
        <w:ind w:left="360"/>
        <w:rPr>
          <w:sz w:val="24"/>
          <w:szCs w:val="24"/>
          <w:lang w:val="en-AU"/>
        </w:rPr>
      </w:pPr>
      <w:r w:rsidRPr="00F0251C">
        <w:rPr>
          <w:sz w:val="24"/>
          <w:szCs w:val="24"/>
          <w:lang w:val="en-AU"/>
        </w:rPr>
        <w:t xml:space="preserve">Additionally, due to the anticholinergic effect of glycopyrronium, the long-term co-administration of </w:t>
      </w:r>
      <w:r w:rsidR="000D1FB0" w:rsidRPr="00F0251C">
        <w:rPr>
          <w:sz w:val="24"/>
          <w:szCs w:val="24"/>
          <w:lang w:val="en-AU"/>
        </w:rPr>
        <w:t>TRIMBOW</w:t>
      </w:r>
      <w:r w:rsidRPr="00F0251C">
        <w:rPr>
          <w:sz w:val="24"/>
          <w:szCs w:val="24"/>
          <w:lang w:val="en-AU"/>
        </w:rPr>
        <w:t xml:space="preserve"> with other anticholinergic-containing medicinal products is not recommended (see section </w:t>
      </w:r>
      <w:hyperlink w:anchor="_4.5_INTERACTIONS_WITH" w:history="1">
        <w:r w:rsidRPr="00F0251C">
          <w:rPr>
            <w:rStyle w:val="Hyperlink"/>
            <w:sz w:val="24"/>
            <w:szCs w:val="24"/>
            <w:lang w:val="en-AU"/>
          </w:rPr>
          <w:t>4.5</w:t>
        </w:r>
        <w:r w:rsidR="00800BE0" w:rsidRPr="00F0251C">
          <w:rPr>
            <w:rStyle w:val="Hyperlink"/>
            <w:sz w:val="24"/>
            <w:szCs w:val="24"/>
            <w:lang w:val="en-AU"/>
          </w:rPr>
          <w:t xml:space="preserve"> INTERACTIONS WITH OTHER MEDICINES AND OTHER FORMS OF INTERACTIONS</w:t>
        </w:r>
      </w:hyperlink>
      <w:r w:rsidRPr="00F0251C">
        <w:rPr>
          <w:sz w:val="24"/>
          <w:szCs w:val="24"/>
          <w:lang w:val="en-AU"/>
        </w:rPr>
        <w:t>).</w:t>
      </w:r>
    </w:p>
    <w:p w14:paraId="3A44A876" w14:textId="2F5D5B39" w:rsidR="005B357A" w:rsidRPr="00F0251C" w:rsidRDefault="005B357A" w:rsidP="005B357A">
      <w:pPr>
        <w:ind w:left="360"/>
        <w:rPr>
          <w:sz w:val="24"/>
          <w:szCs w:val="24"/>
          <w:lang w:val="en-AU"/>
        </w:rPr>
      </w:pPr>
    </w:p>
    <w:p w14:paraId="404A3519" w14:textId="77777777" w:rsidR="00BC42DF" w:rsidRPr="00F0251C" w:rsidRDefault="00BC42DF" w:rsidP="00BC42DF">
      <w:pPr>
        <w:ind w:left="360"/>
        <w:rPr>
          <w:sz w:val="24"/>
          <w:szCs w:val="24"/>
          <w:u w:val="single"/>
          <w:lang w:val="en-AU"/>
        </w:rPr>
      </w:pPr>
      <w:r w:rsidRPr="00F0251C">
        <w:rPr>
          <w:sz w:val="24"/>
          <w:szCs w:val="24"/>
          <w:u w:val="single"/>
          <w:lang w:val="en-AU"/>
        </w:rPr>
        <w:t>Use with a spacer</w:t>
      </w:r>
    </w:p>
    <w:p w14:paraId="58594914" w14:textId="77777777" w:rsidR="00BC42DF" w:rsidRDefault="00BC42DF" w:rsidP="002A0A35">
      <w:pPr>
        <w:ind w:left="360"/>
        <w:rPr>
          <w:sz w:val="24"/>
          <w:szCs w:val="24"/>
          <w:lang w:val="en-AU"/>
        </w:rPr>
      </w:pPr>
      <w:r w:rsidRPr="00F0251C">
        <w:rPr>
          <w:sz w:val="24"/>
          <w:szCs w:val="24"/>
          <w:lang w:val="en-AU"/>
        </w:rPr>
        <w:t xml:space="preserve">Single dose pharmacokinetic data (see section </w:t>
      </w:r>
      <w:hyperlink w:anchor="_5.2_PHARMACOKINETIC_PROPERTIES" w:history="1">
        <w:r w:rsidRPr="00F0251C">
          <w:rPr>
            <w:rStyle w:val="Hyperlink"/>
            <w:sz w:val="24"/>
            <w:szCs w:val="24"/>
            <w:lang w:val="en-AU"/>
          </w:rPr>
          <w:t>5.2 PHARMACOKINETIC PROPERTIES</w:t>
        </w:r>
      </w:hyperlink>
      <w:r w:rsidRPr="00F0251C">
        <w:rPr>
          <w:sz w:val="24"/>
          <w:szCs w:val="24"/>
          <w:lang w:val="en-AU"/>
        </w:rPr>
        <w:t xml:space="preserve">) have demonstrated that in comparison with routine use without a spacer device, the use of TRIMBOW with the </w:t>
      </w:r>
      <w:proofErr w:type="spellStart"/>
      <w:r w:rsidRPr="00F0251C">
        <w:rPr>
          <w:sz w:val="24"/>
          <w:szCs w:val="24"/>
          <w:lang w:val="en-AU"/>
        </w:rPr>
        <w:t>AeroChamber</w:t>
      </w:r>
      <w:proofErr w:type="spellEnd"/>
      <w:r w:rsidRPr="00F0251C">
        <w:rPr>
          <w:sz w:val="24"/>
          <w:szCs w:val="24"/>
          <w:lang w:val="en-AU"/>
        </w:rPr>
        <w:t xml:space="preserve"> Plus spacer device increased lung availability of beclometasone 17-monopropionate (BDP main active metabolite), by 15% for </w:t>
      </w:r>
      <w:proofErr w:type="spellStart"/>
      <w:r w:rsidRPr="00F0251C">
        <w:rPr>
          <w:sz w:val="24"/>
          <w:szCs w:val="24"/>
          <w:lang w:val="en-AU"/>
        </w:rPr>
        <w:t>C</w:t>
      </w:r>
      <w:r w:rsidRPr="00F0251C">
        <w:rPr>
          <w:sz w:val="24"/>
          <w:szCs w:val="24"/>
          <w:vertAlign w:val="subscript"/>
          <w:lang w:val="en-AU"/>
        </w:rPr>
        <w:t>max</w:t>
      </w:r>
      <w:proofErr w:type="spellEnd"/>
      <w:r w:rsidRPr="00F0251C">
        <w:rPr>
          <w:sz w:val="24"/>
          <w:szCs w:val="24"/>
          <w:lang w:val="en-AU"/>
        </w:rPr>
        <w:t xml:space="preserve"> and 21% for AUC</w:t>
      </w:r>
      <w:r w:rsidRPr="00F0251C">
        <w:rPr>
          <w:sz w:val="24"/>
          <w:szCs w:val="24"/>
          <w:vertAlign w:val="subscript"/>
          <w:lang w:val="en-AU"/>
        </w:rPr>
        <w:t>0-30min</w:t>
      </w:r>
      <w:r w:rsidRPr="00F0251C">
        <w:rPr>
          <w:sz w:val="24"/>
          <w:szCs w:val="24"/>
          <w:lang w:val="en-AU"/>
        </w:rPr>
        <w:t xml:space="preserve">), formoterol by 58% for </w:t>
      </w:r>
      <w:proofErr w:type="spellStart"/>
      <w:r w:rsidRPr="00F0251C">
        <w:rPr>
          <w:sz w:val="24"/>
          <w:szCs w:val="24"/>
          <w:lang w:val="en-AU"/>
        </w:rPr>
        <w:t>C</w:t>
      </w:r>
      <w:r w:rsidRPr="00F0251C">
        <w:rPr>
          <w:sz w:val="24"/>
          <w:szCs w:val="24"/>
          <w:vertAlign w:val="subscript"/>
          <w:lang w:val="en-AU"/>
        </w:rPr>
        <w:t>max</w:t>
      </w:r>
      <w:proofErr w:type="spellEnd"/>
      <w:r w:rsidRPr="00F0251C">
        <w:rPr>
          <w:sz w:val="24"/>
          <w:szCs w:val="24"/>
          <w:lang w:val="en-AU"/>
        </w:rPr>
        <w:t xml:space="preserve"> and 53% for AUC</w:t>
      </w:r>
      <w:r w:rsidRPr="00F0251C">
        <w:rPr>
          <w:sz w:val="24"/>
          <w:szCs w:val="24"/>
          <w:vertAlign w:val="subscript"/>
          <w:lang w:val="en-AU"/>
        </w:rPr>
        <w:t xml:space="preserve">0-30min </w:t>
      </w:r>
      <w:r w:rsidRPr="00F0251C">
        <w:rPr>
          <w:sz w:val="24"/>
          <w:szCs w:val="24"/>
          <w:lang w:val="en-AU"/>
        </w:rPr>
        <w:t xml:space="preserve">and glycopyrronium by 60% for both </w:t>
      </w:r>
      <w:proofErr w:type="spellStart"/>
      <w:r w:rsidRPr="00F0251C">
        <w:rPr>
          <w:sz w:val="24"/>
          <w:szCs w:val="24"/>
          <w:lang w:val="en-AU"/>
        </w:rPr>
        <w:t>C</w:t>
      </w:r>
      <w:r w:rsidRPr="00F0251C">
        <w:rPr>
          <w:sz w:val="24"/>
          <w:szCs w:val="24"/>
          <w:vertAlign w:val="subscript"/>
          <w:lang w:val="en-AU"/>
        </w:rPr>
        <w:t>max</w:t>
      </w:r>
      <w:proofErr w:type="spellEnd"/>
      <w:r w:rsidRPr="00F0251C">
        <w:rPr>
          <w:sz w:val="24"/>
          <w:szCs w:val="24"/>
          <w:lang w:val="en-AU"/>
        </w:rPr>
        <w:t xml:space="preserve"> and AUC</w:t>
      </w:r>
      <w:r w:rsidRPr="00F0251C">
        <w:rPr>
          <w:sz w:val="24"/>
          <w:szCs w:val="24"/>
          <w:vertAlign w:val="subscript"/>
          <w:lang w:val="en-AU"/>
        </w:rPr>
        <w:t>0-30min</w:t>
      </w:r>
      <w:r w:rsidRPr="00F0251C">
        <w:rPr>
          <w:sz w:val="24"/>
          <w:szCs w:val="24"/>
          <w:lang w:val="en-AU"/>
        </w:rPr>
        <w:t>. The total exposure (AUC</w:t>
      </w:r>
      <w:r w:rsidRPr="00F0251C">
        <w:rPr>
          <w:sz w:val="24"/>
          <w:szCs w:val="24"/>
          <w:vertAlign w:val="subscript"/>
          <w:lang w:val="en-AU"/>
        </w:rPr>
        <w:t>0-t</w:t>
      </w:r>
      <w:r w:rsidRPr="00F0251C">
        <w:rPr>
          <w:sz w:val="24"/>
          <w:szCs w:val="24"/>
          <w:lang w:val="en-AU"/>
        </w:rPr>
        <w:t xml:space="preserve">) was increased by 45% for glycopyrronium while it was decreased for beclometasone 17 monopropionate and formoterol by 37% and 24%, respectively. The observed changes are not expected to have a negative impact on efficacy since the </w:t>
      </w:r>
      <w:proofErr w:type="spellStart"/>
      <w:r w:rsidRPr="00F0251C">
        <w:rPr>
          <w:sz w:val="24"/>
          <w:szCs w:val="24"/>
          <w:lang w:val="en-AU"/>
        </w:rPr>
        <w:t>AeroChamber</w:t>
      </w:r>
      <w:proofErr w:type="spellEnd"/>
      <w:r w:rsidRPr="00F0251C">
        <w:rPr>
          <w:sz w:val="24"/>
          <w:szCs w:val="24"/>
          <w:lang w:val="en-AU"/>
        </w:rPr>
        <w:t xml:space="preserve"> Plus spacer increases the lung deposition of TRIMBOW active components. In terms of safety, available data from long-term clinical studies where the use of the </w:t>
      </w:r>
      <w:proofErr w:type="spellStart"/>
      <w:r w:rsidRPr="00F0251C">
        <w:rPr>
          <w:sz w:val="24"/>
          <w:szCs w:val="24"/>
          <w:lang w:val="en-AU"/>
        </w:rPr>
        <w:t>AeroChamber</w:t>
      </w:r>
      <w:proofErr w:type="spellEnd"/>
      <w:r w:rsidRPr="00F0251C">
        <w:rPr>
          <w:sz w:val="24"/>
          <w:szCs w:val="24"/>
          <w:lang w:val="en-AU"/>
        </w:rPr>
        <w:t xml:space="preserve"> Plus spacer was permitted have not raised any significant safety concerns (see section </w:t>
      </w:r>
      <w:hyperlink w:anchor="_5.1_PHARMACODYNAMIC_PROPERTIES" w:history="1">
        <w:r w:rsidRPr="00F0251C">
          <w:rPr>
            <w:rStyle w:val="Hyperlink"/>
            <w:sz w:val="24"/>
            <w:szCs w:val="24"/>
            <w:lang w:val="en-AU"/>
          </w:rPr>
          <w:t>5.1 PHARMACODYNAMIC PROPERTIES</w:t>
        </w:r>
      </w:hyperlink>
      <w:r w:rsidRPr="00F0251C">
        <w:rPr>
          <w:sz w:val="24"/>
          <w:szCs w:val="24"/>
          <w:lang w:val="en-AU"/>
        </w:rPr>
        <w:t>).</w:t>
      </w:r>
    </w:p>
    <w:p w14:paraId="2B817220" w14:textId="5BCED330" w:rsidR="001B7052" w:rsidRPr="00F0251C" w:rsidRDefault="001B7052" w:rsidP="002A0A35">
      <w:pPr>
        <w:ind w:left="360"/>
        <w:rPr>
          <w:sz w:val="24"/>
          <w:szCs w:val="24"/>
          <w:lang w:val="en-AU"/>
        </w:rPr>
      </w:pPr>
    </w:p>
    <w:p w14:paraId="54A1C6E4" w14:textId="77777777" w:rsidR="002A0A35" w:rsidRPr="00F0251C" w:rsidRDefault="002A0A35" w:rsidP="002A0A35">
      <w:pPr>
        <w:ind w:left="360"/>
        <w:rPr>
          <w:sz w:val="24"/>
          <w:szCs w:val="24"/>
          <w:u w:val="single"/>
          <w:lang w:val="en-AU"/>
        </w:rPr>
      </w:pPr>
      <w:r w:rsidRPr="00F0251C">
        <w:rPr>
          <w:sz w:val="24"/>
          <w:szCs w:val="24"/>
          <w:u w:val="single"/>
          <w:lang w:val="en-AU"/>
        </w:rPr>
        <w:t>Prevention of oropharyngeal infections</w:t>
      </w:r>
    </w:p>
    <w:p w14:paraId="143302B5" w14:textId="77777777" w:rsidR="002A0A35" w:rsidRPr="00F0251C" w:rsidRDefault="002A0A35" w:rsidP="002A0A35">
      <w:pPr>
        <w:ind w:left="360"/>
        <w:rPr>
          <w:sz w:val="24"/>
          <w:szCs w:val="24"/>
          <w:lang w:val="en-AU"/>
        </w:rPr>
      </w:pPr>
      <w:r w:rsidRPr="00F0251C">
        <w:rPr>
          <w:sz w:val="24"/>
          <w:szCs w:val="24"/>
          <w:lang w:val="en-AU"/>
        </w:rPr>
        <w:t>In order to reduce the risk of oropharyngeal candida infection, patients should be advised to rinse their mouth or gargle with water without swallowing it or brush their teeth after inhaling the prescribed dose.</w:t>
      </w:r>
    </w:p>
    <w:p w14:paraId="03FB92EE" w14:textId="77777777" w:rsidR="002A0A35" w:rsidRPr="00F0251C" w:rsidRDefault="002A0A35" w:rsidP="002A0A35">
      <w:pPr>
        <w:ind w:left="360"/>
        <w:rPr>
          <w:sz w:val="24"/>
          <w:szCs w:val="24"/>
          <w:lang w:val="en-AU"/>
        </w:rPr>
      </w:pPr>
    </w:p>
    <w:p w14:paraId="65405846" w14:textId="77777777" w:rsidR="002A0A35" w:rsidRPr="00F0251C" w:rsidRDefault="002A0A35" w:rsidP="002A0A35">
      <w:pPr>
        <w:ind w:left="360"/>
        <w:rPr>
          <w:sz w:val="24"/>
          <w:szCs w:val="24"/>
          <w:u w:val="single"/>
          <w:lang w:val="en-AU"/>
        </w:rPr>
      </w:pPr>
      <w:r w:rsidRPr="00F0251C">
        <w:rPr>
          <w:sz w:val="24"/>
          <w:szCs w:val="24"/>
          <w:u w:val="single"/>
          <w:lang w:val="en-AU"/>
        </w:rPr>
        <w:lastRenderedPageBreak/>
        <w:t>Visual disturbance</w:t>
      </w:r>
    </w:p>
    <w:p w14:paraId="6E4D151D" w14:textId="16B5E52A" w:rsidR="002A0A35" w:rsidRPr="00F0251C" w:rsidRDefault="002A0A35" w:rsidP="002A0A35">
      <w:pPr>
        <w:ind w:left="360"/>
        <w:rPr>
          <w:sz w:val="24"/>
          <w:szCs w:val="24"/>
          <w:lang w:val="en-AU"/>
        </w:rPr>
      </w:pPr>
      <w:r w:rsidRPr="00F0251C">
        <w:rPr>
          <w:sz w:val="24"/>
          <w:szCs w:val="24"/>
          <w:lang w:val="en-AU"/>
        </w:rPr>
        <w:t>Visual disturbance may be reported with systemic and topical corticosteroid use. If a patient presents with symptoms such as blurred vision or other visual disturbances, the patient should be considered for referral to an ophthalmologist for evaluation of possible causes which may include cataract, glaucoma or rare diseases such as central serous chorioretinopathy (CSCR) which have been reported after use of systemic and topical corticosteroids.</w:t>
      </w:r>
    </w:p>
    <w:p w14:paraId="375D5D67" w14:textId="77777777" w:rsidR="002A0A35" w:rsidRPr="00F0251C" w:rsidRDefault="002A0A35" w:rsidP="005B357A">
      <w:pPr>
        <w:ind w:left="360"/>
        <w:rPr>
          <w:sz w:val="24"/>
          <w:szCs w:val="24"/>
          <w:lang w:val="en-AU"/>
        </w:rPr>
      </w:pPr>
    </w:p>
    <w:p w14:paraId="1138FB37" w14:textId="7EA6BBDB" w:rsidR="002A0A35" w:rsidRPr="00F0251C" w:rsidRDefault="002A0A35" w:rsidP="00CF0CFE">
      <w:pPr>
        <w:pStyle w:val="NoSpacing"/>
        <w:ind w:left="360"/>
        <w:rPr>
          <w:b/>
          <w:noProof/>
          <w:sz w:val="24"/>
          <w:szCs w:val="24"/>
          <w:u w:val="single"/>
          <w:lang w:val="en-AU"/>
        </w:rPr>
      </w:pPr>
      <w:r w:rsidRPr="00F0251C">
        <w:rPr>
          <w:b/>
          <w:noProof/>
          <w:sz w:val="24"/>
          <w:szCs w:val="24"/>
          <w:u w:val="single"/>
          <w:lang w:val="en-AU"/>
        </w:rPr>
        <w:t>Use in hepatic impairment</w:t>
      </w:r>
    </w:p>
    <w:p w14:paraId="7D163F38" w14:textId="2888B49A" w:rsidR="002A0A35" w:rsidRPr="00F0251C" w:rsidRDefault="002A0A35" w:rsidP="00CF0CFE">
      <w:pPr>
        <w:pStyle w:val="NoSpacing"/>
        <w:ind w:left="360"/>
        <w:rPr>
          <w:noProof/>
          <w:sz w:val="24"/>
          <w:szCs w:val="24"/>
          <w:lang w:val="en-AU"/>
        </w:rPr>
      </w:pPr>
      <w:r w:rsidRPr="00F0251C">
        <w:rPr>
          <w:noProof/>
          <w:sz w:val="24"/>
          <w:szCs w:val="24"/>
          <w:lang w:val="en-AU"/>
        </w:rPr>
        <w:t xml:space="preserve">In patients with severe hepatic impairment, </w:t>
      </w:r>
      <w:r w:rsidR="000D1FB0" w:rsidRPr="00F0251C">
        <w:rPr>
          <w:noProof/>
          <w:sz w:val="24"/>
          <w:szCs w:val="24"/>
          <w:lang w:val="en-AU"/>
        </w:rPr>
        <w:t>TRIMBOW</w:t>
      </w:r>
      <w:r w:rsidRPr="00F0251C">
        <w:rPr>
          <w:noProof/>
          <w:sz w:val="24"/>
          <w:szCs w:val="24"/>
          <w:lang w:val="en-AU"/>
        </w:rPr>
        <w:t xml:space="preserve"> should be used only if the expected benefit outweighs the potential risk (see section </w:t>
      </w:r>
      <w:hyperlink w:anchor="_5.2_PHARMACOKINETIC_PROPERTIES" w:history="1">
        <w:r w:rsidRPr="00F0251C">
          <w:rPr>
            <w:rStyle w:val="Hyperlink"/>
            <w:noProof/>
            <w:sz w:val="24"/>
            <w:szCs w:val="24"/>
            <w:lang w:val="en-AU"/>
          </w:rPr>
          <w:t>5.2</w:t>
        </w:r>
        <w:r w:rsidR="003155FC" w:rsidRPr="00F0251C">
          <w:rPr>
            <w:rStyle w:val="Hyperlink"/>
            <w:noProof/>
            <w:sz w:val="24"/>
            <w:szCs w:val="24"/>
            <w:lang w:val="en-AU"/>
          </w:rPr>
          <w:t xml:space="preserve"> PHARMACOKINETIC PROPERTIES</w:t>
        </w:r>
      </w:hyperlink>
      <w:r w:rsidRPr="00F0251C">
        <w:rPr>
          <w:noProof/>
          <w:sz w:val="24"/>
          <w:szCs w:val="24"/>
          <w:lang w:val="en-AU"/>
        </w:rPr>
        <w:t>). These patients should be monitored for potential adverse reactions.</w:t>
      </w:r>
    </w:p>
    <w:p w14:paraId="157A0D36" w14:textId="77777777" w:rsidR="002A0A35" w:rsidRPr="00F0251C" w:rsidRDefault="002A0A35" w:rsidP="00CF0CFE">
      <w:pPr>
        <w:pStyle w:val="NoSpacing"/>
        <w:ind w:left="360"/>
        <w:rPr>
          <w:noProof/>
          <w:sz w:val="24"/>
          <w:szCs w:val="24"/>
          <w:lang w:val="en-AU"/>
        </w:rPr>
      </w:pPr>
    </w:p>
    <w:p w14:paraId="448862B6" w14:textId="4CB6F18C" w:rsidR="002A0A35" w:rsidRPr="00F0251C" w:rsidRDefault="002A0A35" w:rsidP="00CF0CFE">
      <w:pPr>
        <w:pStyle w:val="NoSpacing"/>
        <w:ind w:left="360"/>
        <w:rPr>
          <w:b/>
          <w:noProof/>
          <w:sz w:val="24"/>
          <w:szCs w:val="24"/>
          <w:u w:val="single"/>
          <w:lang w:val="en-AU"/>
        </w:rPr>
      </w:pPr>
      <w:r w:rsidRPr="00F0251C">
        <w:rPr>
          <w:b/>
          <w:noProof/>
          <w:sz w:val="24"/>
          <w:szCs w:val="24"/>
          <w:u w:val="single"/>
          <w:lang w:val="en-AU"/>
        </w:rPr>
        <w:t>Use in renal impairment</w:t>
      </w:r>
    </w:p>
    <w:p w14:paraId="6A09048C" w14:textId="1F853B75" w:rsidR="002A0A35" w:rsidRPr="00F0251C" w:rsidRDefault="002A0A35" w:rsidP="00CF0CFE">
      <w:pPr>
        <w:pStyle w:val="NoSpacing"/>
        <w:ind w:left="360"/>
        <w:rPr>
          <w:noProof/>
          <w:sz w:val="24"/>
          <w:szCs w:val="24"/>
          <w:lang w:val="en-AU"/>
        </w:rPr>
      </w:pPr>
      <w:r w:rsidRPr="00F0251C">
        <w:rPr>
          <w:noProof/>
          <w:sz w:val="24"/>
          <w:szCs w:val="24"/>
          <w:lang w:val="en-AU"/>
        </w:rPr>
        <w:t xml:space="preserve">In patients with severe renal impairment, including those with end-stage renal disease requiring dialysis, especially if associated with a significant body weight reduction, </w:t>
      </w:r>
      <w:r w:rsidR="000D1FB0" w:rsidRPr="00F0251C">
        <w:rPr>
          <w:noProof/>
          <w:sz w:val="24"/>
          <w:szCs w:val="24"/>
          <w:lang w:val="en-AU"/>
        </w:rPr>
        <w:t>TRIMBOW</w:t>
      </w:r>
      <w:r w:rsidRPr="00F0251C">
        <w:rPr>
          <w:noProof/>
          <w:sz w:val="24"/>
          <w:szCs w:val="24"/>
          <w:lang w:val="en-AU"/>
        </w:rPr>
        <w:t xml:space="preserve"> should be used only if the expected benefit outweighs the potential risk (see section </w:t>
      </w:r>
      <w:hyperlink w:anchor="_5.2_PHARMACOKINETIC_PROPERTIES" w:history="1">
        <w:r w:rsidRPr="00F0251C">
          <w:rPr>
            <w:rStyle w:val="Hyperlink"/>
            <w:noProof/>
            <w:sz w:val="24"/>
            <w:szCs w:val="24"/>
            <w:lang w:val="en-AU"/>
          </w:rPr>
          <w:t>5.2</w:t>
        </w:r>
        <w:r w:rsidR="00800BE0" w:rsidRPr="00F0251C">
          <w:rPr>
            <w:rStyle w:val="Hyperlink"/>
            <w:noProof/>
            <w:sz w:val="24"/>
            <w:szCs w:val="24"/>
            <w:lang w:val="en-AU"/>
          </w:rPr>
          <w:t xml:space="preserve"> PHARMACOKINETIC PROPERTIES</w:t>
        </w:r>
      </w:hyperlink>
      <w:r w:rsidRPr="00F0251C">
        <w:rPr>
          <w:noProof/>
          <w:sz w:val="24"/>
          <w:szCs w:val="24"/>
          <w:lang w:val="en-AU"/>
        </w:rPr>
        <w:t>). These patients should be monitored for potential adverse reactions.</w:t>
      </w:r>
    </w:p>
    <w:p w14:paraId="52E6D8C0" w14:textId="77777777" w:rsidR="00BE6071" w:rsidRPr="00F0251C" w:rsidRDefault="00BE6071" w:rsidP="00CF0CFE">
      <w:pPr>
        <w:pStyle w:val="NoSpacing"/>
        <w:ind w:left="360"/>
        <w:rPr>
          <w:noProof/>
          <w:sz w:val="24"/>
          <w:szCs w:val="24"/>
          <w:lang w:val="en-AU"/>
        </w:rPr>
      </w:pPr>
    </w:p>
    <w:p w14:paraId="1FCA6B25" w14:textId="520A23B7" w:rsidR="007903C1" w:rsidRPr="00F0251C" w:rsidRDefault="007903C1" w:rsidP="00CF0CFE">
      <w:pPr>
        <w:pStyle w:val="NoSpacing"/>
        <w:ind w:left="360"/>
        <w:rPr>
          <w:b/>
          <w:noProof/>
          <w:sz w:val="24"/>
          <w:szCs w:val="24"/>
          <w:u w:val="single"/>
          <w:lang w:val="en-AU"/>
        </w:rPr>
      </w:pPr>
      <w:r w:rsidRPr="00F0251C">
        <w:rPr>
          <w:b/>
          <w:noProof/>
          <w:sz w:val="24"/>
          <w:szCs w:val="24"/>
          <w:u w:val="single"/>
          <w:lang w:val="en-AU"/>
        </w:rPr>
        <w:t>Use in the elderly</w:t>
      </w:r>
    </w:p>
    <w:p w14:paraId="337D2410" w14:textId="77777777" w:rsidR="007903C1" w:rsidRPr="00F0251C" w:rsidRDefault="007903C1" w:rsidP="00CF0CFE">
      <w:pPr>
        <w:pStyle w:val="NoSpacing"/>
        <w:ind w:left="360"/>
        <w:rPr>
          <w:noProof/>
          <w:sz w:val="24"/>
          <w:szCs w:val="24"/>
          <w:lang w:val="en-AU"/>
        </w:rPr>
      </w:pPr>
      <w:r w:rsidRPr="00F0251C">
        <w:rPr>
          <w:noProof/>
          <w:sz w:val="24"/>
          <w:szCs w:val="24"/>
          <w:lang w:val="en-AU"/>
        </w:rPr>
        <w:t>No data available.</w:t>
      </w:r>
    </w:p>
    <w:p w14:paraId="62DD4770" w14:textId="77777777" w:rsidR="007903C1" w:rsidRPr="00F0251C" w:rsidRDefault="007903C1" w:rsidP="00CF0CFE">
      <w:pPr>
        <w:pStyle w:val="NoSpacing"/>
        <w:ind w:left="360"/>
        <w:rPr>
          <w:noProof/>
          <w:sz w:val="24"/>
          <w:szCs w:val="24"/>
          <w:lang w:val="en-AU"/>
        </w:rPr>
      </w:pPr>
    </w:p>
    <w:p w14:paraId="5E0A746B" w14:textId="77777777" w:rsidR="007903C1" w:rsidRPr="00F0251C" w:rsidRDefault="007903C1" w:rsidP="00CF0CFE">
      <w:pPr>
        <w:pStyle w:val="NoSpacing"/>
        <w:ind w:left="360"/>
        <w:rPr>
          <w:b/>
          <w:noProof/>
          <w:sz w:val="24"/>
          <w:szCs w:val="24"/>
          <w:u w:val="single"/>
          <w:lang w:val="en-AU"/>
        </w:rPr>
      </w:pPr>
      <w:r w:rsidRPr="00F0251C">
        <w:rPr>
          <w:b/>
          <w:noProof/>
          <w:sz w:val="24"/>
          <w:szCs w:val="24"/>
          <w:u w:val="single"/>
          <w:lang w:val="en-AU"/>
        </w:rPr>
        <w:t>Paediatric use</w:t>
      </w:r>
    </w:p>
    <w:p w14:paraId="522119D1" w14:textId="4401D570" w:rsidR="009E7DC0" w:rsidRPr="00F0251C" w:rsidRDefault="009E7DC0" w:rsidP="00CF0CFE">
      <w:pPr>
        <w:pStyle w:val="NoSpacing"/>
        <w:ind w:left="360"/>
        <w:rPr>
          <w:noProof/>
          <w:sz w:val="24"/>
          <w:szCs w:val="24"/>
          <w:lang w:val="en-AU"/>
        </w:rPr>
      </w:pPr>
      <w:r w:rsidRPr="00F0251C">
        <w:rPr>
          <w:noProof/>
          <w:sz w:val="24"/>
          <w:szCs w:val="24"/>
          <w:lang w:val="en-AU"/>
        </w:rPr>
        <w:t>No data available</w:t>
      </w:r>
      <w:r w:rsidRPr="00F0251C">
        <w:rPr>
          <w:bCs/>
          <w:iCs/>
          <w:sz w:val="24"/>
          <w:szCs w:val="24"/>
          <w:lang w:val="en-AU"/>
        </w:rPr>
        <w:t>.</w:t>
      </w:r>
    </w:p>
    <w:p w14:paraId="5AE844CF" w14:textId="77777777" w:rsidR="007903C1" w:rsidRPr="00F0251C" w:rsidRDefault="007903C1" w:rsidP="00CF0CFE">
      <w:pPr>
        <w:pStyle w:val="NoSpacing"/>
        <w:ind w:left="360"/>
        <w:rPr>
          <w:noProof/>
          <w:sz w:val="24"/>
          <w:szCs w:val="24"/>
          <w:lang w:val="en-AU"/>
        </w:rPr>
      </w:pPr>
    </w:p>
    <w:p w14:paraId="2E41438A" w14:textId="54FB3816" w:rsidR="002A0A35" w:rsidRPr="00F0251C" w:rsidRDefault="007903C1" w:rsidP="002A0A35">
      <w:pPr>
        <w:pStyle w:val="NoSpacing"/>
        <w:ind w:left="360"/>
        <w:rPr>
          <w:b/>
          <w:noProof/>
          <w:sz w:val="24"/>
          <w:szCs w:val="24"/>
          <w:u w:val="single"/>
          <w:lang w:val="en-AU"/>
        </w:rPr>
      </w:pPr>
      <w:r w:rsidRPr="00F0251C">
        <w:rPr>
          <w:b/>
          <w:noProof/>
          <w:sz w:val="24"/>
          <w:szCs w:val="24"/>
          <w:u w:val="single"/>
          <w:lang w:val="en-AU"/>
        </w:rPr>
        <w:t>Effects on laboratory tests</w:t>
      </w:r>
    </w:p>
    <w:p w14:paraId="54F72E42" w14:textId="01D4AB88" w:rsidR="00BA1E9D" w:rsidRPr="00F0251C" w:rsidRDefault="00BC42DF" w:rsidP="002A0A35">
      <w:pPr>
        <w:pStyle w:val="NoSpacing"/>
        <w:ind w:left="360"/>
        <w:rPr>
          <w:bCs/>
          <w:noProof/>
          <w:sz w:val="24"/>
          <w:szCs w:val="24"/>
          <w:lang w:val="en-AU"/>
        </w:rPr>
      </w:pPr>
      <w:r w:rsidRPr="00F0251C">
        <w:rPr>
          <w:bCs/>
          <w:noProof/>
          <w:sz w:val="24"/>
          <w:szCs w:val="24"/>
          <w:lang w:val="en-AU"/>
        </w:rPr>
        <w:t>Interactions with laboratory tests have not been established</w:t>
      </w:r>
      <w:r>
        <w:rPr>
          <w:bCs/>
          <w:noProof/>
          <w:sz w:val="24"/>
          <w:szCs w:val="24"/>
          <w:lang w:val="en-AU"/>
        </w:rPr>
        <w:t>.</w:t>
      </w:r>
    </w:p>
    <w:p w14:paraId="6950052C" w14:textId="77777777" w:rsidR="00BA1E9D" w:rsidRPr="00F0251C" w:rsidRDefault="00BA1E9D" w:rsidP="002A0A35">
      <w:pPr>
        <w:pStyle w:val="NoSpacing"/>
        <w:ind w:left="360"/>
        <w:rPr>
          <w:b/>
          <w:noProof/>
          <w:sz w:val="24"/>
          <w:szCs w:val="24"/>
          <w:lang w:val="en-AU"/>
        </w:rPr>
      </w:pPr>
    </w:p>
    <w:p w14:paraId="73376A2C" w14:textId="77777777" w:rsidR="002A0A35" w:rsidRPr="00F0251C" w:rsidRDefault="002A0A35" w:rsidP="002A0A35">
      <w:pPr>
        <w:ind w:left="360"/>
        <w:rPr>
          <w:sz w:val="24"/>
          <w:szCs w:val="24"/>
          <w:u w:val="single"/>
          <w:lang w:val="en-AU"/>
        </w:rPr>
      </w:pPr>
      <w:r w:rsidRPr="00F0251C">
        <w:rPr>
          <w:sz w:val="24"/>
          <w:szCs w:val="24"/>
          <w:u w:val="single"/>
          <w:lang w:val="en-AU"/>
        </w:rPr>
        <w:t>Hypokalaemia</w:t>
      </w:r>
    </w:p>
    <w:p w14:paraId="2FF107AE" w14:textId="4B778EF8" w:rsidR="002A0A35" w:rsidRPr="00F0251C" w:rsidRDefault="002A0A35" w:rsidP="002A0A35">
      <w:pPr>
        <w:ind w:left="360"/>
        <w:rPr>
          <w:sz w:val="24"/>
          <w:szCs w:val="24"/>
          <w:lang w:val="en-AU"/>
        </w:rPr>
      </w:pPr>
      <w:r w:rsidRPr="00F0251C">
        <w:rPr>
          <w:sz w:val="24"/>
          <w:szCs w:val="24"/>
          <w:lang w:val="en-AU"/>
        </w:rPr>
        <w:t xml:space="preserve">Potentially serious hypokalaemia may result from beta2-agonist therapy. This has the potential to produce adverse cardiovascular effects. Particular caution is advised in severe COPD as this effect may be potentiated by hypoxia. Hypokalaemia may also be potentiated by concomitant treatment with other medicinal products which can induce hypokalaemia, such as xanthine derivatives, steroids and diuretics (see section </w:t>
      </w:r>
      <w:hyperlink w:anchor="_4.5_INTERACTIONS_WITH" w:history="1">
        <w:r w:rsidRPr="00F0251C">
          <w:rPr>
            <w:rStyle w:val="Hyperlink"/>
            <w:sz w:val="24"/>
            <w:szCs w:val="24"/>
            <w:lang w:val="en-AU"/>
          </w:rPr>
          <w:t>4.5</w:t>
        </w:r>
        <w:r w:rsidR="00800BE0" w:rsidRPr="00F0251C">
          <w:rPr>
            <w:rStyle w:val="Hyperlink"/>
            <w:sz w:val="24"/>
            <w:szCs w:val="24"/>
            <w:lang w:val="en-AU"/>
          </w:rPr>
          <w:t xml:space="preserve"> INTERACTIONS WITH OTHER MEDICINES AND OTHER FORMS OF INTERACTIONS</w:t>
        </w:r>
      </w:hyperlink>
      <w:r w:rsidRPr="00F0251C">
        <w:rPr>
          <w:sz w:val="24"/>
          <w:szCs w:val="24"/>
          <w:lang w:val="en-AU"/>
        </w:rPr>
        <w:t>).</w:t>
      </w:r>
    </w:p>
    <w:p w14:paraId="44B4A8C5" w14:textId="77777777" w:rsidR="008C367E" w:rsidRPr="00F0251C" w:rsidRDefault="008C367E" w:rsidP="002A0A35">
      <w:pPr>
        <w:ind w:left="360"/>
        <w:rPr>
          <w:sz w:val="24"/>
          <w:szCs w:val="24"/>
          <w:lang w:val="en-AU"/>
        </w:rPr>
      </w:pPr>
    </w:p>
    <w:p w14:paraId="4CC0750D" w14:textId="77777777" w:rsidR="002A0A35" w:rsidRPr="00F0251C" w:rsidRDefault="002A0A35" w:rsidP="002A0A35">
      <w:pPr>
        <w:ind w:left="360"/>
        <w:rPr>
          <w:sz w:val="24"/>
          <w:szCs w:val="24"/>
          <w:lang w:val="en-AU"/>
        </w:rPr>
      </w:pPr>
      <w:r w:rsidRPr="00F0251C">
        <w:rPr>
          <w:sz w:val="24"/>
          <w:szCs w:val="24"/>
          <w:lang w:val="en-AU"/>
        </w:rPr>
        <w:t>Caution is also recommended when a number of reliever bronchodilators are used. It is recommended that serum potassium levels are monitored in such situations.</w:t>
      </w:r>
    </w:p>
    <w:p w14:paraId="0E576192" w14:textId="77777777" w:rsidR="002A0A35" w:rsidRPr="00F0251C" w:rsidRDefault="002A0A35" w:rsidP="002A0A35">
      <w:pPr>
        <w:ind w:left="360"/>
        <w:rPr>
          <w:sz w:val="24"/>
          <w:szCs w:val="24"/>
          <w:lang w:val="en-AU"/>
        </w:rPr>
      </w:pPr>
    </w:p>
    <w:p w14:paraId="4946DC74" w14:textId="77777777" w:rsidR="002A0A35" w:rsidRPr="00F0251C" w:rsidRDefault="002A0A35" w:rsidP="002A0A35">
      <w:pPr>
        <w:ind w:left="360"/>
        <w:rPr>
          <w:sz w:val="24"/>
          <w:szCs w:val="24"/>
          <w:u w:val="single"/>
          <w:lang w:val="en-AU"/>
        </w:rPr>
      </w:pPr>
      <w:r w:rsidRPr="00F0251C">
        <w:rPr>
          <w:sz w:val="24"/>
          <w:szCs w:val="24"/>
          <w:u w:val="single"/>
          <w:lang w:val="en-AU"/>
        </w:rPr>
        <w:t>Hyperglycaemia</w:t>
      </w:r>
    </w:p>
    <w:p w14:paraId="68507F7A" w14:textId="599030C8" w:rsidR="002A0A35" w:rsidRPr="00F0251C" w:rsidRDefault="002A0A35" w:rsidP="002A0A35">
      <w:pPr>
        <w:ind w:left="360"/>
        <w:rPr>
          <w:sz w:val="24"/>
          <w:szCs w:val="24"/>
          <w:lang w:val="en-AU"/>
        </w:rPr>
      </w:pPr>
      <w:r w:rsidRPr="00F0251C">
        <w:rPr>
          <w:sz w:val="24"/>
          <w:szCs w:val="24"/>
          <w:lang w:val="en-AU"/>
        </w:rPr>
        <w:t>The inhalation of formoterol may cause a rise in blood glucose levels. Therefore, blood glucose should be monitored during treatment following established guidelines in patients with diabetes.</w:t>
      </w:r>
    </w:p>
    <w:p w14:paraId="16487356" w14:textId="518E27C4" w:rsidR="00CF0CFE" w:rsidRDefault="00CF0CFE" w:rsidP="00CF0CFE">
      <w:pPr>
        <w:pStyle w:val="NoSpacing"/>
        <w:ind w:left="360"/>
        <w:rPr>
          <w:sz w:val="24"/>
          <w:szCs w:val="24"/>
          <w:lang w:val="en-AU"/>
        </w:rPr>
      </w:pPr>
    </w:p>
    <w:p w14:paraId="559875CD" w14:textId="5A52C987" w:rsidR="004E5D2B" w:rsidRDefault="004E5D2B" w:rsidP="00CF0CFE">
      <w:pPr>
        <w:pStyle w:val="NoSpacing"/>
        <w:ind w:left="360"/>
        <w:rPr>
          <w:sz w:val="24"/>
          <w:szCs w:val="24"/>
          <w:lang w:val="en-AU"/>
        </w:rPr>
      </w:pPr>
    </w:p>
    <w:p w14:paraId="350A3229" w14:textId="77777777" w:rsidR="004E5D2B" w:rsidRPr="00F0251C" w:rsidRDefault="004E5D2B" w:rsidP="00CF0CFE">
      <w:pPr>
        <w:pStyle w:val="NoSpacing"/>
        <w:ind w:left="360"/>
        <w:rPr>
          <w:sz w:val="24"/>
          <w:szCs w:val="24"/>
          <w:lang w:val="en-AU"/>
        </w:rPr>
      </w:pPr>
    </w:p>
    <w:p w14:paraId="747D58C5" w14:textId="77777777" w:rsidR="003D370A" w:rsidRPr="00F0251C" w:rsidRDefault="003D370A" w:rsidP="001E27D5">
      <w:pPr>
        <w:pStyle w:val="Heading2"/>
        <w:jc w:val="left"/>
        <w:rPr>
          <w:noProof/>
          <w:sz w:val="24"/>
          <w:szCs w:val="24"/>
          <w:lang w:val="en-AU"/>
        </w:rPr>
      </w:pPr>
      <w:bookmarkStart w:id="7" w:name="_4.5_INTERACTIONS_WITH"/>
      <w:bookmarkEnd w:id="7"/>
      <w:r w:rsidRPr="00F0251C">
        <w:rPr>
          <w:smallCaps/>
          <w:noProof/>
          <w:sz w:val="24"/>
          <w:szCs w:val="24"/>
          <w:lang w:val="en-AU"/>
        </w:rPr>
        <w:lastRenderedPageBreak/>
        <w:t>4.5 I</w:t>
      </w:r>
      <w:r w:rsidRPr="00F0251C">
        <w:rPr>
          <w:noProof/>
          <w:sz w:val="24"/>
          <w:szCs w:val="24"/>
          <w:lang w:val="en-AU"/>
        </w:rPr>
        <w:t>NTERACTIONS WITH OTHER MEDICINES AND OTHER FORMS OF INTERACTIONS</w:t>
      </w:r>
    </w:p>
    <w:p w14:paraId="07C3760E" w14:textId="61E7AD67" w:rsidR="000C49CD" w:rsidRPr="00F0251C" w:rsidRDefault="000C49CD" w:rsidP="00CF0CFE">
      <w:pPr>
        <w:pStyle w:val="NoSpacing"/>
        <w:ind w:left="360"/>
        <w:rPr>
          <w:b/>
          <w:sz w:val="24"/>
          <w:szCs w:val="24"/>
          <w:lang w:val="en-AU"/>
        </w:rPr>
      </w:pPr>
      <w:r w:rsidRPr="00F0251C">
        <w:rPr>
          <w:b/>
          <w:sz w:val="24"/>
          <w:szCs w:val="24"/>
          <w:lang w:val="en-AU"/>
        </w:rPr>
        <w:t xml:space="preserve">Pharmacokinetic interactions </w:t>
      </w:r>
    </w:p>
    <w:p w14:paraId="3A77DB5A" w14:textId="74DE6954" w:rsidR="00EE72EF" w:rsidRPr="00F0251C" w:rsidRDefault="00EE72EF" w:rsidP="003B45A4">
      <w:pPr>
        <w:pStyle w:val="NoSpacing"/>
        <w:ind w:left="360"/>
        <w:rPr>
          <w:sz w:val="24"/>
          <w:szCs w:val="24"/>
          <w:lang w:val="en-AU"/>
        </w:rPr>
      </w:pPr>
      <w:r w:rsidRPr="00F0251C">
        <w:rPr>
          <w:sz w:val="24"/>
          <w:szCs w:val="24"/>
          <w:lang w:val="en-AU"/>
        </w:rPr>
        <w:t xml:space="preserve">Since glycopyrronium is eliminated mainly by the renal route, drug interaction could potentially occur with medicinal products affecting renal excretion mechanisms (see section </w:t>
      </w:r>
      <w:hyperlink w:anchor="_5.2_PHARMACOKINETIC_PROPERTIES" w:history="1">
        <w:r w:rsidRPr="00F0251C">
          <w:rPr>
            <w:rStyle w:val="Hyperlink"/>
            <w:sz w:val="24"/>
            <w:szCs w:val="24"/>
            <w:lang w:val="en-AU"/>
          </w:rPr>
          <w:t>5.2</w:t>
        </w:r>
        <w:r w:rsidR="003155FC" w:rsidRPr="00F0251C">
          <w:rPr>
            <w:rStyle w:val="Hyperlink"/>
            <w:sz w:val="24"/>
            <w:szCs w:val="24"/>
            <w:lang w:val="en-AU"/>
          </w:rPr>
          <w:t xml:space="preserve"> PHARMACOKINETIC PROPERTIES</w:t>
        </w:r>
      </w:hyperlink>
      <w:r w:rsidRPr="00F0251C">
        <w:rPr>
          <w:sz w:val="24"/>
          <w:szCs w:val="24"/>
          <w:lang w:val="en-AU"/>
        </w:rPr>
        <w:t>). The effect of organic cation transport inhibition (using cimetidine as a probe inhibitor of OCT2 and MATE1 transporters) in the kidneys on inhaled glycopyrronium disposition showed a limited increase in its total systemic exposure (AUC</w:t>
      </w:r>
      <w:r w:rsidRPr="00F0251C">
        <w:rPr>
          <w:sz w:val="24"/>
          <w:szCs w:val="24"/>
          <w:vertAlign w:val="subscript"/>
          <w:lang w:val="en-AU"/>
        </w:rPr>
        <w:t>0</w:t>
      </w:r>
      <w:r w:rsidR="006D06A4" w:rsidRPr="00F0251C">
        <w:rPr>
          <w:sz w:val="24"/>
          <w:szCs w:val="24"/>
          <w:vertAlign w:val="subscript"/>
          <w:lang w:val="en-AU"/>
        </w:rPr>
        <w:t>-</w:t>
      </w:r>
      <w:r w:rsidRPr="00F0251C">
        <w:rPr>
          <w:sz w:val="24"/>
          <w:szCs w:val="24"/>
          <w:vertAlign w:val="subscript"/>
          <w:lang w:val="en-AU"/>
        </w:rPr>
        <w:t>t</w:t>
      </w:r>
      <w:r w:rsidRPr="00F0251C">
        <w:rPr>
          <w:sz w:val="24"/>
          <w:szCs w:val="24"/>
          <w:lang w:val="en-AU"/>
        </w:rPr>
        <w:t>) by 16% and a slight decrease in renal clearance by 20% due to co administration of cimetidine.</w:t>
      </w:r>
    </w:p>
    <w:p w14:paraId="137BA4CB" w14:textId="096DBB2B" w:rsidR="008C367E" w:rsidRPr="00F0251C" w:rsidRDefault="008C367E" w:rsidP="003B45A4">
      <w:pPr>
        <w:pStyle w:val="NoSpacing"/>
        <w:ind w:left="360"/>
        <w:rPr>
          <w:sz w:val="24"/>
          <w:szCs w:val="24"/>
          <w:lang w:val="en-AU"/>
        </w:rPr>
      </w:pPr>
    </w:p>
    <w:p w14:paraId="2326E6BC" w14:textId="1C82A662" w:rsidR="00EE72EF" w:rsidRPr="00F0251C" w:rsidRDefault="00BC42DF" w:rsidP="003B45A4">
      <w:pPr>
        <w:pStyle w:val="NoSpacing"/>
        <w:ind w:left="360"/>
        <w:rPr>
          <w:sz w:val="24"/>
          <w:szCs w:val="24"/>
          <w:lang w:val="en-AU"/>
        </w:rPr>
      </w:pPr>
      <w:r w:rsidRPr="00F0251C">
        <w:rPr>
          <w:sz w:val="24"/>
          <w:szCs w:val="24"/>
          <w:lang w:val="en-AU"/>
        </w:rPr>
        <w:t>The total formoterol exposure (AUC</w:t>
      </w:r>
      <w:r w:rsidRPr="00F0251C">
        <w:rPr>
          <w:sz w:val="24"/>
          <w:szCs w:val="24"/>
          <w:vertAlign w:val="subscript"/>
          <w:lang w:val="en-AU"/>
        </w:rPr>
        <w:t>0-t</w:t>
      </w:r>
      <w:r w:rsidRPr="00F0251C">
        <w:rPr>
          <w:sz w:val="24"/>
          <w:szCs w:val="24"/>
          <w:lang w:val="en-AU"/>
        </w:rPr>
        <w:t>) increased by 21% after co administration of TRIMBOW with cimetidine. This increased exposure was possibly related to inhibition of cytochrome P450 isozymes involved in formoterol metabolism, due to cimetidine co-administration</w:t>
      </w:r>
      <w:r>
        <w:rPr>
          <w:sz w:val="24"/>
          <w:szCs w:val="24"/>
          <w:lang w:val="en-AU"/>
        </w:rPr>
        <w:t>.</w:t>
      </w:r>
    </w:p>
    <w:p w14:paraId="111CAA42" w14:textId="77777777" w:rsidR="003B45A4" w:rsidRPr="00F0251C" w:rsidRDefault="003B45A4" w:rsidP="00EE72EF">
      <w:pPr>
        <w:pStyle w:val="NoSpacing"/>
        <w:ind w:left="360"/>
        <w:rPr>
          <w:sz w:val="24"/>
          <w:szCs w:val="24"/>
          <w:lang w:val="en-AU"/>
        </w:rPr>
      </w:pPr>
    </w:p>
    <w:p w14:paraId="1FB83C1A" w14:textId="3B99AA07" w:rsidR="000F587A" w:rsidRPr="00F0251C" w:rsidRDefault="00EE72EF" w:rsidP="00EE72EF">
      <w:pPr>
        <w:pStyle w:val="NoSpacing"/>
        <w:ind w:left="360"/>
        <w:rPr>
          <w:sz w:val="24"/>
          <w:szCs w:val="24"/>
          <w:lang w:val="en-AU"/>
        </w:rPr>
      </w:pPr>
      <w:r w:rsidRPr="00F0251C">
        <w:rPr>
          <w:sz w:val="24"/>
          <w:szCs w:val="24"/>
          <w:lang w:val="en-AU"/>
        </w:rPr>
        <w:t>Beclometasone is less dependent on CYP3A metabolism than some other corticosteroids, and in general interactions are unlikely; however, the possibility of systemic effects with concomitant use of strong CYP3A inhibitors (e.g. ritonavir, cobicistat) cannot be excluded, and therefore caution and appropriate monitoring is advised with the use of such medicinal products.</w:t>
      </w:r>
    </w:p>
    <w:p w14:paraId="39F2C285" w14:textId="77777777" w:rsidR="00EE72EF" w:rsidRPr="00F0251C" w:rsidRDefault="00EE72EF" w:rsidP="00EE72EF">
      <w:pPr>
        <w:pStyle w:val="NoSpacing"/>
        <w:ind w:left="360"/>
        <w:rPr>
          <w:b/>
          <w:sz w:val="24"/>
          <w:szCs w:val="24"/>
          <w:lang w:val="en-AU"/>
        </w:rPr>
      </w:pPr>
    </w:p>
    <w:p w14:paraId="48EB53B6" w14:textId="0D4EB667" w:rsidR="000C49CD" w:rsidRPr="00F0251C" w:rsidRDefault="000C49CD" w:rsidP="00CF0CFE">
      <w:pPr>
        <w:pStyle w:val="NoSpacing"/>
        <w:ind w:left="360"/>
        <w:rPr>
          <w:b/>
          <w:sz w:val="24"/>
          <w:szCs w:val="24"/>
          <w:lang w:val="en-AU"/>
        </w:rPr>
      </w:pPr>
      <w:r w:rsidRPr="00F0251C">
        <w:rPr>
          <w:b/>
          <w:sz w:val="24"/>
          <w:szCs w:val="24"/>
          <w:lang w:val="en-AU"/>
        </w:rPr>
        <w:t xml:space="preserve">Pharmacodynamic interactions </w:t>
      </w:r>
    </w:p>
    <w:p w14:paraId="76C6C9C0" w14:textId="6596C65A" w:rsidR="00474334" w:rsidRPr="00F0251C" w:rsidRDefault="00474334" w:rsidP="00474334">
      <w:pPr>
        <w:pStyle w:val="NoSpacing"/>
        <w:ind w:left="360"/>
        <w:rPr>
          <w:sz w:val="24"/>
          <w:szCs w:val="24"/>
          <w:u w:val="single"/>
          <w:lang w:val="en-AU"/>
        </w:rPr>
      </w:pPr>
      <w:r w:rsidRPr="00F0251C">
        <w:rPr>
          <w:sz w:val="24"/>
          <w:szCs w:val="24"/>
          <w:u w:val="single"/>
          <w:lang w:val="en-AU"/>
        </w:rPr>
        <w:t>Related to formoterol</w:t>
      </w:r>
    </w:p>
    <w:p w14:paraId="4336CA6E" w14:textId="77777777" w:rsidR="00474334" w:rsidRPr="00F0251C" w:rsidRDefault="00474334" w:rsidP="00474334">
      <w:pPr>
        <w:pStyle w:val="NoSpacing"/>
        <w:ind w:left="360"/>
        <w:rPr>
          <w:sz w:val="24"/>
          <w:szCs w:val="24"/>
          <w:lang w:val="en-AU"/>
        </w:rPr>
      </w:pPr>
      <w:r w:rsidRPr="00F0251C">
        <w:rPr>
          <w:sz w:val="24"/>
          <w:szCs w:val="24"/>
          <w:lang w:val="en-AU"/>
        </w:rPr>
        <w:t>Non-</w:t>
      </w:r>
      <w:proofErr w:type="spellStart"/>
      <w:r w:rsidRPr="00F0251C">
        <w:rPr>
          <w:sz w:val="24"/>
          <w:szCs w:val="24"/>
          <w:lang w:val="en-AU"/>
        </w:rPr>
        <w:t>cardioselective</w:t>
      </w:r>
      <w:proofErr w:type="spellEnd"/>
      <w:r w:rsidRPr="00F0251C">
        <w:rPr>
          <w:sz w:val="24"/>
          <w:szCs w:val="24"/>
          <w:lang w:val="en-AU"/>
        </w:rPr>
        <w:t xml:space="preserve"> beta-blockers (including eye drops) should be avoided in patients taking inhaled formoterol. If they are administered for compelling reasons, the effect of formoterol will be reduced or abolished. </w:t>
      </w:r>
    </w:p>
    <w:p w14:paraId="2800A538" w14:textId="77777777" w:rsidR="00474334" w:rsidRPr="00F0251C" w:rsidRDefault="00474334" w:rsidP="00474334">
      <w:pPr>
        <w:pStyle w:val="NoSpacing"/>
        <w:ind w:left="360"/>
        <w:rPr>
          <w:sz w:val="24"/>
          <w:szCs w:val="24"/>
          <w:lang w:val="en-AU"/>
        </w:rPr>
      </w:pPr>
    </w:p>
    <w:p w14:paraId="3BCF2538" w14:textId="77777777" w:rsidR="00474334" w:rsidRPr="00F0251C" w:rsidRDefault="00474334" w:rsidP="00474334">
      <w:pPr>
        <w:pStyle w:val="NoSpacing"/>
        <w:ind w:left="360"/>
        <w:rPr>
          <w:sz w:val="24"/>
          <w:szCs w:val="24"/>
          <w:lang w:val="en-AU"/>
        </w:rPr>
      </w:pPr>
      <w:r w:rsidRPr="00F0251C">
        <w:rPr>
          <w:sz w:val="24"/>
          <w:szCs w:val="24"/>
          <w:lang w:val="en-AU"/>
        </w:rPr>
        <w:t>Concomitant use of other beta-adrenergic medicinal products can have potentially additive effects; therefore, caution is required when other beta-adrenergic medicinal products are prescribed concomitantly with formoterol.</w:t>
      </w:r>
    </w:p>
    <w:p w14:paraId="14D3A0F3" w14:textId="77777777" w:rsidR="00474334" w:rsidRPr="00F0251C" w:rsidRDefault="00474334" w:rsidP="00474334">
      <w:pPr>
        <w:pStyle w:val="NoSpacing"/>
        <w:ind w:left="360"/>
        <w:rPr>
          <w:sz w:val="24"/>
          <w:szCs w:val="24"/>
          <w:lang w:val="en-AU"/>
        </w:rPr>
      </w:pPr>
    </w:p>
    <w:p w14:paraId="15D24852" w14:textId="77777777" w:rsidR="00474334" w:rsidRPr="00F0251C" w:rsidRDefault="00474334" w:rsidP="00474334">
      <w:pPr>
        <w:pStyle w:val="NoSpacing"/>
        <w:ind w:left="360"/>
        <w:rPr>
          <w:sz w:val="24"/>
          <w:szCs w:val="24"/>
          <w:lang w:val="en-AU"/>
        </w:rPr>
      </w:pPr>
      <w:r w:rsidRPr="00F0251C">
        <w:rPr>
          <w:sz w:val="24"/>
          <w:szCs w:val="24"/>
          <w:lang w:val="en-AU"/>
        </w:rPr>
        <w:t>Concomitant treatment with quinidine, disopyramide, procainamide, antihistamines, monoamine oxidase inhibitors, tricyclic antidepressants and phenothiazines can prolong the QT interval and increase the risk of ventricular arrhythmias. In addition, L dopa, L thyroxine, oxytocin and alcohol can impair cardiac tolerance towards beta2-sympathomimetics.</w:t>
      </w:r>
    </w:p>
    <w:p w14:paraId="3F2D348D" w14:textId="77777777" w:rsidR="00474334" w:rsidRPr="00F0251C" w:rsidRDefault="00474334" w:rsidP="00474334">
      <w:pPr>
        <w:pStyle w:val="NoSpacing"/>
        <w:ind w:left="360"/>
        <w:rPr>
          <w:sz w:val="24"/>
          <w:szCs w:val="24"/>
          <w:lang w:val="en-AU"/>
        </w:rPr>
      </w:pPr>
    </w:p>
    <w:p w14:paraId="4445D8FE" w14:textId="77777777" w:rsidR="00474334" w:rsidRPr="00F0251C" w:rsidRDefault="00474334" w:rsidP="00474334">
      <w:pPr>
        <w:pStyle w:val="NoSpacing"/>
        <w:ind w:left="360"/>
        <w:rPr>
          <w:sz w:val="24"/>
          <w:szCs w:val="24"/>
          <w:lang w:val="en-AU"/>
        </w:rPr>
      </w:pPr>
      <w:r w:rsidRPr="00F0251C">
        <w:rPr>
          <w:sz w:val="24"/>
          <w:szCs w:val="24"/>
          <w:lang w:val="en-AU"/>
        </w:rPr>
        <w:t>Concomitant treatment with monoamine oxidase inhibitors, including medicinal products with similar properties such as furazolidone and procarbazine, may precipitate hypertensive reactions.</w:t>
      </w:r>
    </w:p>
    <w:p w14:paraId="46A264F6" w14:textId="77777777" w:rsidR="00474334" w:rsidRPr="00F0251C" w:rsidRDefault="00474334" w:rsidP="00474334">
      <w:pPr>
        <w:pStyle w:val="NoSpacing"/>
        <w:ind w:left="360"/>
        <w:rPr>
          <w:sz w:val="24"/>
          <w:szCs w:val="24"/>
          <w:lang w:val="en-AU"/>
        </w:rPr>
      </w:pPr>
    </w:p>
    <w:p w14:paraId="5F07FF4B" w14:textId="77777777" w:rsidR="00474334" w:rsidRPr="00F0251C" w:rsidRDefault="00474334" w:rsidP="00474334">
      <w:pPr>
        <w:pStyle w:val="NoSpacing"/>
        <w:ind w:left="360"/>
        <w:rPr>
          <w:sz w:val="24"/>
          <w:szCs w:val="24"/>
          <w:lang w:val="en-AU"/>
        </w:rPr>
      </w:pPr>
      <w:r w:rsidRPr="00F0251C">
        <w:rPr>
          <w:sz w:val="24"/>
          <w:szCs w:val="24"/>
          <w:lang w:val="en-AU"/>
        </w:rPr>
        <w:t>There is an elevated risk of arrhythmias in patients receiving concomitant anaesthesia with halogenated hydrocarbons.</w:t>
      </w:r>
    </w:p>
    <w:p w14:paraId="50D9B67D" w14:textId="77777777" w:rsidR="00474334" w:rsidRPr="00F0251C" w:rsidRDefault="00474334" w:rsidP="00474334">
      <w:pPr>
        <w:pStyle w:val="NoSpacing"/>
        <w:ind w:left="360"/>
        <w:rPr>
          <w:sz w:val="24"/>
          <w:szCs w:val="24"/>
          <w:lang w:val="en-AU"/>
        </w:rPr>
      </w:pPr>
    </w:p>
    <w:p w14:paraId="4B3AB5DF" w14:textId="730E34B3" w:rsidR="00474334" w:rsidRPr="00F0251C" w:rsidRDefault="00474334" w:rsidP="00474334">
      <w:pPr>
        <w:pStyle w:val="NoSpacing"/>
        <w:ind w:left="360"/>
        <w:rPr>
          <w:sz w:val="24"/>
          <w:szCs w:val="24"/>
          <w:lang w:val="en-AU"/>
        </w:rPr>
      </w:pPr>
      <w:r w:rsidRPr="00F0251C">
        <w:rPr>
          <w:sz w:val="24"/>
          <w:szCs w:val="24"/>
          <w:lang w:val="en-AU"/>
        </w:rPr>
        <w:t xml:space="preserve">Concomitant treatment with xanthine derivatives, steroids, or diuretics may potentiate a possible </w:t>
      </w:r>
      <w:proofErr w:type="spellStart"/>
      <w:r w:rsidRPr="00F0251C">
        <w:rPr>
          <w:sz w:val="24"/>
          <w:szCs w:val="24"/>
          <w:lang w:val="en-AU"/>
        </w:rPr>
        <w:t>hypokalaemic</w:t>
      </w:r>
      <w:proofErr w:type="spellEnd"/>
      <w:r w:rsidRPr="00F0251C">
        <w:rPr>
          <w:sz w:val="24"/>
          <w:szCs w:val="24"/>
          <w:lang w:val="en-AU"/>
        </w:rPr>
        <w:t xml:space="preserve"> effect of beta2-agonists (see section </w:t>
      </w:r>
      <w:hyperlink w:anchor="_4.4_SPECIAL_WARNINGS" w:history="1">
        <w:r w:rsidRPr="00F0251C">
          <w:rPr>
            <w:rStyle w:val="Hyperlink"/>
            <w:sz w:val="24"/>
            <w:szCs w:val="24"/>
            <w:lang w:val="en-AU"/>
          </w:rPr>
          <w:t>4.4</w:t>
        </w:r>
        <w:r w:rsidR="003155FC" w:rsidRPr="00F0251C">
          <w:rPr>
            <w:rStyle w:val="Hyperlink"/>
            <w:sz w:val="24"/>
            <w:szCs w:val="24"/>
            <w:lang w:val="en-AU"/>
          </w:rPr>
          <w:t xml:space="preserve"> SPECIAL WARNINGS AND PRECAUTIONS FOR USE</w:t>
        </w:r>
      </w:hyperlink>
      <w:r w:rsidRPr="00F0251C">
        <w:rPr>
          <w:sz w:val="24"/>
          <w:szCs w:val="24"/>
          <w:lang w:val="en-AU"/>
        </w:rPr>
        <w:t>). Hypokalaemia may increase the disposition towards arrhythmias in patients who are treated with digitalis glycosides.</w:t>
      </w:r>
    </w:p>
    <w:p w14:paraId="26600B66" w14:textId="0682BBA6" w:rsidR="00474334" w:rsidRDefault="00474334" w:rsidP="00474334">
      <w:pPr>
        <w:pStyle w:val="NoSpacing"/>
        <w:ind w:left="360"/>
        <w:rPr>
          <w:sz w:val="24"/>
          <w:szCs w:val="24"/>
          <w:lang w:val="en-AU"/>
        </w:rPr>
      </w:pPr>
    </w:p>
    <w:p w14:paraId="60658EEB" w14:textId="77777777" w:rsidR="004E5D2B" w:rsidRPr="00F0251C" w:rsidRDefault="004E5D2B" w:rsidP="00474334">
      <w:pPr>
        <w:pStyle w:val="NoSpacing"/>
        <w:ind w:left="360"/>
        <w:rPr>
          <w:sz w:val="24"/>
          <w:szCs w:val="24"/>
          <w:lang w:val="en-AU"/>
        </w:rPr>
      </w:pPr>
    </w:p>
    <w:p w14:paraId="4DA2044C" w14:textId="77777777" w:rsidR="00474334" w:rsidRPr="00F0251C" w:rsidRDefault="00474334" w:rsidP="00474334">
      <w:pPr>
        <w:pStyle w:val="NoSpacing"/>
        <w:ind w:left="360"/>
        <w:rPr>
          <w:sz w:val="24"/>
          <w:szCs w:val="24"/>
          <w:u w:val="single"/>
          <w:lang w:val="en-AU"/>
        </w:rPr>
      </w:pPr>
      <w:r w:rsidRPr="00F0251C">
        <w:rPr>
          <w:sz w:val="24"/>
          <w:szCs w:val="24"/>
          <w:u w:val="single"/>
          <w:lang w:val="en-AU"/>
        </w:rPr>
        <w:lastRenderedPageBreak/>
        <w:t>Related to glycopyrronium</w:t>
      </w:r>
    </w:p>
    <w:p w14:paraId="5B8BB2F2" w14:textId="7590A6D8" w:rsidR="00474334" w:rsidRPr="00F0251C" w:rsidRDefault="00474334" w:rsidP="00474334">
      <w:pPr>
        <w:pStyle w:val="NoSpacing"/>
        <w:ind w:left="360"/>
        <w:rPr>
          <w:sz w:val="24"/>
          <w:szCs w:val="24"/>
          <w:lang w:val="en-AU"/>
        </w:rPr>
      </w:pPr>
      <w:r w:rsidRPr="00F0251C">
        <w:rPr>
          <w:sz w:val="24"/>
          <w:szCs w:val="24"/>
          <w:lang w:val="en-AU"/>
        </w:rPr>
        <w:t xml:space="preserve">The long-term co-administration of </w:t>
      </w:r>
      <w:r w:rsidR="000D1FB0" w:rsidRPr="00F0251C">
        <w:rPr>
          <w:sz w:val="24"/>
          <w:szCs w:val="24"/>
          <w:lang w:val="en-AU"/>
        </w:rPr>
        <w:t>TRIMBOW</w:t>
      </w:r>
      <w:r w:rsidRPr="00F0251C">
        <w:rPr>
          <w:sz w:val="24"/>
          <w:szCs w:val="24"/>
          <w:lang w:val="en-AU"/>
        </w:rPr>
        <w:t xml:space="preserve"> with other anticholinergic-containing medicinal products has not been studied and is therefore not recommended (see section </w:t>
      </w:r>
      <w:hyperlink w:anchor="_4.4_SPECIAL_WARNINGS" w:history="1">
        <w:r w:rsidRPr="00F0251C">
          <w:rPr>
            <w:rStyle w:val="Hyperlink"/>
            <w:sz w:val="24"/>
            <w:szCs w:val="24"/>
            <w:lang w:val="en-AU"/>
          </w:rPr>
          <w:t>4.4</w:t>
        </w:r>
        <w:r w:rsidR="003155FC" w:rsidRPr="00F0251C">
          <w:rPr>
            <w:rStyle w:val="Hyperlink"/>
            <w:sz w:val="24"/>
            <w:szCs w:val="24"/>
            <w:lang w:val="en-AU"/>
          </w:rPr>
          <w:t xml:space="preserve"> SPECIAL WARNINGS AND PRECAUTIONS FOR USE</w:t>
        </w:r>
      </w:hyperlink>
      <w:r w:rsidRPr="00F0251C">
        <w:rPr>
          <w:sz w:val="24"/>
          <w:szCs w:val="24"/>
          <w:lang w:val="en-AU"/>
        </w:rPr>
        <w:t>).</w:t>
      </w:r>
    </w:p>
    <w:p w14:paraId="195CD7DE" w14:textId="77777777" w:rsidR="00474334" w:rsidRPr="00F0251C" w:rsidRDefault="00474334" w:rsidP="00474334">
      <w:pPr>
        <w:pStyle w:val="NoSpacing"/>
        <w:ind w:left="360"/>
        <w:rPr>
          <w:sz w:val="24"/>
          <w:szCs w:val="24"/>
          <w:lang w:val="en-AU"/>
        </w:rPr>
      </w:pPr>
    </w:p>
    <w:p w14:paraId="19D20CFC" w14:textId="77777777" w:rsidR="00474334" w:rsidRPr="00F0251C" w:rsidRDefault="00474334" w:rsidP="00474334">
      <w:pPr>
        <w:pStyle w:val="NoSpacing"/>
        <w:ind w:left="360"/>
        <w:rPr>
          <w:sz w:val="24"/>
          <w:szCs w:val="24"/>
          <w:u w:val="single"/>
          <w:lang w:val="en-AU"/>
        </w:rPr>
      </w:pPr>
      <w:r w:rsidRPr="00F0251C">
        <w:rPr>
          <w:sz w:val="24"/>
          <w:szCs w:val="24"/>
          <w:u w:val="single"/>
          <w:lang w:val="en-AU"/>
        </w:rPr>
        <w:t>Excipients</w:t>
      </w:r>
    </w:p>
    <w:p w14:paraId="5171DED1" w14:textId="495D9ECF" w:rsidR="00474334" w:rsidRPr="00F0251C" w:rsidRDefault="000D1FB0" w:rsidP="00474334">
      <w:pPr>
        <w:pStyle w:val="NoSpacing"/>
        <w:ind w:left="360"/>
        <w:rPr>
          <w:sz w:val="24"/>
          <w:szCs w:val="24"/>
          <w:lang w:val="en-AU"/>
        </w:rPr>
      </w:pPr>
      <w:r w:rsidRPr="00F0251C">
        <w:rPr>
          <w:sz w:val="24"/>
          <w:szCs w:val="24"/>
          <w:lang w:val="en-AU"/>
        </w:rPr>
        <w:t>TRIMBOW</w:t>
      </w:r>
      <w:r w:rsidR="00474334" w:rsidRPr="00F0251C">
        <w:rPr>
          <w:sz w:val="24"/>
          <w:szCs w:val="24"/>
          <w:lang w:val="en-AU"/>
        </w:rPr>
        <w:t xml:space="preserve"> contains a small amount of ethanol</w:t>
      </w:r>
      <w:r w:rsidR="00D84E2F" w:rsidRPr="00F0251C">
        <w:rPr>
          <w:sz w:val="24"/>
          <w:szCs w:val="24"/>
          <w:lang w:val="en-AU"/>
        </w:rPr>
        <w:t xml:space="preserve"> absolute</w:t>
      </w:r>
      <w:r w:rsidR="00474334" w:rsidRPr="00F0251C">
        <w:rPr>
          <w:sz w:val="24"/>
          <w:szCs w:val="24"/>
          <w:lang w:val="en-AU"/>
        </w:rPr>
        <w:t>. There is a theoretical potential for interaction in particularly sensitive patients taking disulfiram or metronidazole.</w:t>
      </w:r>
    </w:p>
    <w:p w14:paraId="0CB68E6D" w14:textId="77777777" w:rsidR="00CF0CFE" w:rsidRPr="00F0251C" w:rsidRDefault="00CF0CFE" w:rsidP="00CF0CFE">
      <w:pPr>
        <w:pStyle w:val="NoSpacing"/>
        <w:ind w:left="360"/>
        <w:rPr>
          <w:sz w:val="24"/>
          <w:szCs w:val="24"/>
          <w:lang w:val="en-AU"/>
        </w:rPr>
      </w:pPr>
    </w:p>
    <w:p w14:paraId="5282AF2F" w14:textId="77777777" w:rsidR="000C49CD" w:rsidRPr="00F0251C" w:rsidRDefault="000C616B" w:rsidP="001E27D5">
      <w:pPr>
        <w:pStyle w:val="Heading2"/>
        <w:jc w:val="left"/>
        <w:rPr>
          <w:noProof/>
          <w:sz w:val="24"/>
          <w:szCs w:val="24"/>
          <w:lang w:val="en-AU"/>
        </w:rPr>
      </w:pPr>
      <w:r w:rsidRPr="00F0251C">
        <w:rPr>
          <w:smallCaps/>
          <w:noProof/>
          <w:sz w:val="24"/>
          <w:szCs w:val="24"/>
          <w:lang w:val="en-AU"/>
        </w:rPr>
        <w:t>4.6</w:t>
      </w:r>
      <w:r w:rsidR="00CF0CFE" w:rsidRPr="00F0251C">
        <w:rPr>
          <w:smallCaps/>
          <w:noProof/>
          <w:sz w:val="24"/>
          <w:szCs w:val="24"/>
          <w:lang w:val="en-AU"/>
        </w:rPr>
        <w:t xml:space="preserve"> </w:t>
      </w:r>
      <w:r w:rsidRPr="00F0251C">
        <w:rPr>
          <w:noProof/>
          <w:sz w:val="24"/>
          <w:szCs w:val="24"/>
          <w:lang w:val="en-AU"/>
        </w:rPr>
        <w:t>FERTILITY, PREGNANCY AND LACTATION</w:t>
      </w:r>
    </w:p>
    <w:p w14:paraId="39246849" w14:textId="77777777" w:rsidR="000C616B" w:rsidRPr="00F0251C" w:rsidRDefault="000C616B" w:rsidP="00CF0CFE">
      <w:pPr>
        <w:pStyle w:val="NoSpacing"/>
        <w:ind w:left="360"/>
        <w:rPr>
          <w:noProof/>
          <w:sz w:val="24"/>
          <w:szCs w:val="24"/>
          <w:lang w:val="en-AU"/>
        </w:rPr>
      </w:pPr>
    </w:p>
    <w:p w14:paraId="44C18A91" w14:textId="77777777" w:rsidR="000C616B" w:rsidRPr="00F0251C" w:rsidRDefault="000C616B" w:rsidP="00CF0CFE">
      <w:pPr>
        <w:pStyle w:val="NoSpacing"/>
        <w:ind w:left="360"/>
        <w:rPr>
          <w:b/>
          <w:noProof/>
          <w:sz w:val="24"/>
          <w:szCs w:val="24"/>
          <w:lang w:val="en-AU"/>
        </w:rPr>
      </w:pPr>
      <w:r w:rsidRPr="00F0251C">
        <w:rPr>
          <w:b/>
          <w:noProof/>
          <w:sz w:val="24"/>
          <w:szCs w:val="24"/>
          <w:lang w:val="en-AU"/>
        </w:rPr>
        <w:t>Effects on fertility</w:t>
      </w:r>
    </w:p>
    <w:p w14:paraId="4FEDB28B" w14:textId="57797FBD" w:rsidR="000C616B" w:rsidRPr="00F0251C" w:rsidRDefault="00474334" w:rsidP="00CF0CFE">
      <w:pPr>
        <w:pStyle w:val="NoSpacing"/>
        <w:ind w:left="360"/>
        <w:rPr>
          <w:noProof/>
          <w:sz w:val="24"/>
          <w:szCs w:val="24"/>
          <w:lang w:val="en-AU"/>
        </w:rPr>
      </w:pPr>
      <w:r w:rsidRPr="00F0251C">
        <w:rPr>
          <w:noProof/>
          <w:sz w:val="24"/>
          <w:szCs w:val="24"/>
          <w:lang w:val="en-AU"/>
        </w:rPr>
        <w:t xml:space="preserve">No specific studies </w:t>
      </w:r>
      <w:r w:rsidR="00144EF4">
        <w:rPr>
          <w:noProof/>
          <w:sz w:val="24"/>
          <w:szCs w:val="24"/>
          <w:lang w:val="en-AU"/>
        </w:rPr>
        <w:t xml:space="preserve">on fertility </w:t>
      </w:r>
      <w:r w:rsidRPr="00F0251C">
        <w:rPr>
          <w:noProof/>
          <w:sz w:val="24"/>
          <w:szCs w:val="24"/>
          <w:lang w:val="en-AU"/>
        </w:rPr>
        <w:t xml:space="preserve">have been performed with </w:t>
      </w:r>
      <w:r w:rsidR="000D1FB0" w:rsidRPr="00F0251C">
        <w:rPr>
          <w:noProof/>
          <w:sz w:val="24"/>
          <w:szCs w:val="24"/>
          <w:lang w:val="en-AU"/>
        </w:rPr>
        <w:t>TRIMBOW</w:t>
      </w:r>
      <w:r w:rsidRPr="00F0251C">
        <w:rPr>
          <w:noProof/>
          <w:sz w:val="24"/>
          <w:szCs w:val="24"/>
          <w:lang w:val="en-AU"/>
        </w:rPr>
        <w:t xml:space="preserve"> </w:t>
      </w:r>
      <w:r w:rsidR="00144EF4">
        <w:rPr>
          <w:noProof/>
          <w:sz w:val="24"/>
          <w:szCs w:val="24"/>
          <w:lang w:val="en-AU"/>
        </w:rPr>
        <w:t xml:space="preserve"> in humans</w:t>
      </w:r>
      <w:r w:rsidRPr="00F0251C">
        <w:rPr>
          <w:noProof/>
          <w:sz w:val="24"/>
          <w:szCs w:val="24"/>
          <w:lang w:val="en-AU"/>
        </w:rPr>
        <w:t xml:space="preserve">. </w:t>
      </w:r>
      <w:r w:rsidR="00144EF4" w:rsidRPr="00144EF4">
        <w:rPr>
          <w:sz w:val="22"/>
          <w:szCs w:val="22"/>
        </w:rPr>
        <w:t xml:space="preserve"> </w:t>
      </w:r>
      <w:r w:rsidR="00144EF4" w:rsidRPr="006C46B3">
        <w:rPr>
          <w:noProof/>
          <w:sz w:val="24"/>
          <w:szCs w:val="24"/>
          <w:lang w:val="en-AU"/>
        </w:rPr>
        <w:t xml:space="preserve">Impairment of fertility and inhibition of ovulation were observed in rats treated with beclometasone dipropionate, formoterol fumarate and glycopyrronium bromide in combination (100/6/25 ratio) at oral doses </w:t>
      </w:r>
      <w:r w:rsidR="004E5D2B">
        <w:rPr>
          <w:noProof/>
          <w:sz w:val="24"/>
          <w:szCs w:val="24"/>
          <w:lang w:val="en-AU"/>
        </w:rPr>
        <w:sym w:font="Symbol" w:char="F0B3"/>
      </w:r>
      <w:r w:rsidR="00144EF4" w:rsidRPr="006C46B3">
        <w:rPr>
          <w:noProof/>
          <w:sz w:val="24"/>
          <w:szCs w:val="24"/>
          <w:lang w:val="en-AU"/>
        </w:rPr>
        <w:t>2 mg/kg/day. This is attributable to the beclometasone dipropionate component, and occurred only at corticosteroid exposure levels (plasma AUC) far in excess of that in patients receiving TRIMBOW. Accordingly, impairment of fertility is not expected in patients.</w:t>
      </w:r>
    </w:p>
    <w:p w14:paraId="6CE75E7A" w14:textId="77777777" w:rsidR="000C616B" w:rsidRPr="00F0251C" w:rsidRDefault="000C616B" w:rsidP="00CF0CFE">
      <w:pPr>
        <w:pStyle w:val="NoSpacing"/>
        <w:ind w:left="360"/>
        <w:rPr>
          <w:noProof/>
          <w:sz w:val="24"/>
          <w:szCs w:val="24"/>
          <w:lang w:val="en-AU"/>
        </w:rPr>
      </w:pPr>
    </w:p>
    <w:p w14:paraId="03206250" w14:textId="339EA409" w:rsidR="000C616B" w:rsidRPr="00F0251C" w:rsidRDefault="000C616B" w:rsidP="00CF0CFE">
      <w:pPr>
        <w:pStyle w:val="NoSpacing"/>
        <w:ind w:left="360"/>
        <w:rPr>
          <w:b/>
          <w:noProof/>
          <w:sz w:val="24"/>
          <w:szCs w:val="24"/>
          <w:lang w:val="en-AU"/>
        </w:rPr>
      </w:pPr>
      <w:r w:rsidRPr="00F0251C">
        <w:rPr>
          <w:b/>
          <w:noProof/>
          <w:sz w:val="24"/>
          <w:szCs w:val="24"/>
          <w:lang w:val="en-AU"/>
        </w:rPr>
        <w:t>Use in pregnancy</w:t>
      </w:r>
      <w:r w:rsidR="0038634C">
        <w:rPr>
          <w:b/>
          <w:noProof/>
          <w:sz w:val="24"/>
          <w:szCs w:val="24"/>
          <w:lang w:val="en-AU"/>
        </w:rPr>
        <w:t xml:space="preserve"> (Category B3)</w:t>
      </w:r>
    </w:p>
    <w:p w14:paraId="5AE135AC" w14:textId="185355E4" w:rsidR="00474334" w:rsidRPr="00F0251C" w:rsidRDefault="00474334" w:rsidP="00474334">
      <w:pPr>
        <w:pStyle w:val="NoSpacing"/>
        <w:ind w:left="360"/>
        <w:rPr>
          <w:noProof/>
          <w:sz w:val="24"/>
          <w:szCs w:val="24"/>
          <w:lang w:val="en-AU"/>
        </w:rPr>
      </w:pPr>
      <w:r w:rsidRPr="00F0251C">
        <w:rPr>
          <w:noProof/>
          <w:sz w:val="24"/>
          <w:szCs w:val="24"/>
          <w:lang w:val="en-AU"/>
        </w:rPr>
        <w:t xml:space="preserve">There are no or limited amount of data from the use of </w:t>
      </w:r>
      <w:r w:rsidR="000D1FB0" w:rsidRPr="00F0251C">
        <w:rPr>
          <w:noProof/>
          <w:sz w:val="24"/>
          <w:szCs w:val="24"/>
          <w:lang w:val="en-AU"/>
        </w:rPr>
        <w:t>TRIMBOW</w:t>
      </w:r>
      <w:r w:rsidRPr="00F0251C">
        <w:rPr>
          <w:noProof/>
          <w:sz w:val="24"/>
          <w:szCs w:val="24"/>
          <w:lang w:val="en-AU"/>
        </w:rPr>
        <w:t xml:space="preserve"> in pregnant women.</w:t>
      </w:r>
    </w:p>
    <w:p w14:paraId="5DFB0AAA" w14:textId="77777777" w:rsidR="00474334" w:rsidRPr="00F0251C" w:rsidRDefault="00474334" w:rsidP="00474334">
      <w:pPr>
        <w:pStyle w:val="NoSpacing"/>
        <w:ind w:left="360"/>
        <w:rPr>
          <w:noProof/>
          <w:sz w:val="24"/>
          <w:szCs w:val="24"/>
          <w:lang w:val="en-AU"/>
        </w:rPr>
      </w:pPr>
    </w:p>
    <w:p w14:paraId="0CD4EE5D" w14:textId="35EBD619" w:rsidR="00474334" w:rsidRPr="00F0251C" w:rsidRDefault="0038634C" w:rsidP="00474334">
      <w:pPr>
        <w:pStyle w:val="NoSpacing"/>
        <w:ind w:left="360"/>
        <w:rPr>
          <w:noProof/>
          <w:sz w:val="24"/>
          <w:szCs w:val="24"/>
          <w:lang w:val="en-AU"/>
        </w:rPr>
      </w:pPr>
      <w:r w:rsidRPr="0038634C">
        <w:rPr>
          <w:noProof/>
          <w:sz w:val="24"/>
          <w:szCs w:val="24"/>
          <w:lang w:val="en-AU"/>
        </w:rPr>
        <w:t>Studies in rats with beclometasone dipropionate, formoterol fumarate and glycopyrronium bromide in combination (100/6/25 ratio; given orally) showed embryofetal and pup loss, dystocia, decreased fetal/pup weight, increased fetal visceral variations and impaired fetal ossification. These findings are principally attributable to beclometasone dipropionate, and mostly occurred at extremely large multiples of the clinical exposure to the corticosteroid component of TRIMBOW. The tocolytic effect is due to formoterol fumarate as a beta2-agonist, with effects observed in animals at formoterol exposure levels lower than in patients.</w:t>
      </w:r>
      <w:r w:rsidR="00474334" w:rsidRPr="00F0251C">
        <w:rPr>
          <w:noProof/>
          <w:sz w:val="24"/>
          <w:szCs w:val="24"/>
          <w:lang w:val="en-AU"/>
        </w:rPr>
        <w:t xml:space="preserve"> Therefore, as a precautionary measure, it is preferable to avoid the use of </w:t>
      </w:r>
      <w:r w:rsidR="000D1FB0" w:rsidRPr="00F0251C">
        <w:rPr>
          <w:noProof/>
          <w:sz w:val="24"/>
          <w:szCs w:val="24"/>
          <w:lang w:val="en-AU"/>
        </w:rPr>
        <w:t>TRIMBOW</w:t>
      </w:r>
      <w:r w:rsidR="00474334" w:rsidRPr="00F0251C">
        <w:rPr>
          <w:noProof/>
          <w:sz w:val="24"/>
          <w:szCs w:val="24"/>
          <w:lang w:val="en-AU"/>
        </w:rPr>
        <w:t xml:space="preserve"> during pregnancy and during labour.</w:t>
      </w:r>
    </w:p>
    <w:p w14:paraId="5FC92852" w14:textId="77777777" w:rsidR="00474334" w:rsidRPr="00F0251C" w:rsidRDefault="00474334" w:rsidP="00474334">
      <w:pPr>
        <w:pStyle w:val="NoSpacing"/>
        <w:ind w:left="360"/>
        <w:rPr>
          <w:noProof/>
          <w:sz w:val="24"/>
          <w:szCs w:val="24"/>
          <w:lang w:val="en-AU"/>
        </w:rPr>
      </w:pPr>
    </w:p>
    <w:p w14:paraId="03031A2A" w14:textId="33815CB1" w:rsidR="000C616B" w:rsidRPr="00F0251C" w:rsidRDefault="000D1FB0" w:rsidP="00474334">
      <w:pPr>
        <w:pStyle w:val="NoSpacing"/>
        <w:ind w:left="360"/>
        <w:rPr>
          <w:noProof/>
          <w:sz w:val="24"/>
          <w:szCs w:val="24"/>
          <w:lang w:val="en-AU"/>
        </w:rPr>
      </w:pPr>
      <w:r w:rsidRPr="00F0251C">
        <w:rPr>
          <w:noProof/>
          <w:sz w:val="24"/>
          <w:szCs w:val="24"/>
          <w:lang w:val="en-AU"/>
        </w:rPr>
        <w:t>TRIMBOW</w:t>
      </w:r>
      <w:r w:rsidR="00474334" w:rsidRPr="00F0251C">
        <w:rPr>
          <w:noProof/>
          <w:sz w:val="24"/>
          <w:szCs w:val="24"/>
          <w:lang w:val="en-AU"/>
        </w:rPr>
        <w:t xml:space="preserve"> should only be used during pregnancy if the expected benefit to the patient outweighs the potential risk to the </w:t>
      </w:r>
      <w:r w:rsidR="0038634C">
        <w:rPr>
          <w:noProof/>
          <w:sz w:val="24"/>
          <w:szCs w:val="24"/>
          <w:lang w:val="en-AU"/>
        </w:rPr>
        <w:t xml:space="preserve"> fetus</w:t>
      </w:r>
      <w:r w:rsidR="00474334" w:rsidRPr="00F0251C">
        <w:rPr>
          <w:noProof/>
          <w:sz w:val="24"/>
          <w:szCs w:val="24"/>
          <w:lang w:val="en-AU"/>
        </w:rPr>
        <w:t xml:space="preserve">. Infants and neonates born to mothers receiving substantial doses of </w:t>
      </w:r>
      <w:r w:rsidRPr="00F0251C">
        <w:rPr>
          <w:noProof/>
          <w:sz w:val="24"/>
          <w:szCs w:val="24"/>
          <w:lang w:val="en-AU"/>
        </w:rPr>
        <w:t>TRIMBOW</w:t>
      </w:r>
      <w:r w:rsidR="00474334" w:rsidRPr="00F0251C">
        <w:rPr>
          <w:noProof/>
          <w:sz w:val="24"/>
          <w:szCs w:val="24"/>
          <w:lang w:val="en-AU"/>
        </w:rPr>
        <w:t xml:space="preserve"> should be observed for adrenal suppression.</w:t>
      </w:r>
    </w:p>
    <w:p w14:paraId="290F6F46" w14:textId="77777777" w:rsidR="000C616B" w:rsidRPr="00F0251C" w:rsidRDefault="000C616B" w:rsidP="00CF0CFE">
      <w:pPr>
        <w:pStyle w:val="NoSpacing"/>
        <w:ind w:left="360"/>
        <w:rPr>
          <w:noProof/>
          <w:sz w:val="24"/>
          <w:szCs w:val="24"/>
          <w:lang w:val="en-AU"/>
        </w:rPr>
      </w:pPr>
    </w:p>
    <w:p w14:paraId="502CA07E" w14:textId="77777777" w:rsidR="000C616B" w:rsidRPr="00F0251C" w:rsidRDefault="000C616B" w:rsidP="00CF0CFE">
      <w:pPr>
        <w:pStyle w:val="NoSpacing"/>
        <w:ind w:left="360"/>
        <w:rPr>
          <w:b/>
          <w:noProof/>
          <w:sz w:val="24"/>
          <w:szCs w:val="24"/>
          <w:lang w:val="en-AU"/>
        </w:rPr>
      </w:pPr>
      <w:r w:rsidRPr="00F0251C">
        <w:rPr>
          <w:b/>
          <w:noProof/>
          <w:sz w:val="24"/>
          <w:szCs w:val="24"/>
          <w:lang w:val="en-AU"/>
        </w:rPr>
        <w:t>Use in lactation</w:t>
      </w:r>
    </w:p>
    <w:p w14:paraId="5867FD7B" w14:textId="566E4E5B" w:rsidR="00474334" w:rsidRPr="00F0251C" w:rsidRDefault="00474334" w:rsidP="00474334">
      <w:pPr>
        <w:pStyle w:val="NoSpacing"/>
        <w:ind w:left="360"/>
        <w:rPr>
          <w:sz w:val="24"/>
          <w:szCs w:val="24"/>
          <w:lang w:val="en-AU"/>
        </w:rPr>
      </w:pPr>
      <w:r w:rsidRPr="00F0251C">
        <w:rPr>
          <w:sz w:val="24"/>
          <w:szCs w:val="24"/>
          <w:lang w:val="en-AU"/>
        </w:rPr>
        <w:t xml:space="preserve">There are no relevant clinical data on the use of </w:t>
      </w:r>
      <w:r w:rsidR="000D1FB0" w:rsidRPr="00F0251C">
        <w:rPr>
          <w:sz w:val="24"/>
          <w:szCs w:val="24"/>
          <w:lang w:val="en-AU"/>
        </w:rPr>
        <w:t>TRIMBOW</w:t>
      </w:r>
      <w:r w:rsidRPr="00F0251C">
        <w:rPr>
          <w:sz w:val="24"/>
          <w:szCs w:val="24"/>
          <w:lang w:val="en-AU"/>
        </w:rPr>
        <w:t xml:space="preserve"> during breast-feeding in humans. </w:t>
      </w:r>
    </w:p>
    <w:p w14:paraId="28742E3A" w14:textId="77777777" w:rsidR="00474334" w:rsidRPr="00F0251C" w:rsidRDefault="00474334" w:rsidP="00474334">
      <w:pPr>
        <w:pStyle w:val="NoSpacing"/>
        <w:ind w:left="360"/>
        <w:rPr>
          <w:sz w:val="24"/>
          <w:szCs w:val="24"/>
          <w:lang w:val="en-AU"/>
        </w:rPr>
      </w:pPr>
    </w:p>
    <w:p w14:paraId="0C1E390C" w14:textId="77777777" w:rsidR="00474334" w:rsidRPr="00F0251C" w:rsidRDefault="00474334" w:rsidP="00474334">
      <w:pPr>
        <w:pStyle w:val="NoSpacing"/>
        <w:ind w:left="360"/>
        <w:rPr>
          <w:sz w:val="24"/>
          <w:szCs w:val="24"/>
          <w:lang w:val="en-AU"/>
        </w:rPr>
      </w:pPr>
      <w:r w:rsidRPr="00F0251C">
        <w:rPr>
          <w:sz w:val="24"/>
          <w:szCs w:val="24"/>
          <w:lang w:val="en-AU"/>
        </w:rPr>
        <w:t>Glucocorticoids are excreted in human milk. It is reasonable to assume that beclometasone dipropionate and its metabolites are also excreted into breast-milk.</w:t>
      </w:r>
    </w:p>
    <w:p w14:paraId="7E7F29E4" w14:textId="4738A2DC" w:rsidR="00474334" w:rsidRPr="00F0251C" w:rsidRDefault="00474334" w:rsidP="00474334">
      <w:pPr>
        <w:pStyle w:val="NoSpacing"/>
        <w:ind w:left="360"/>
        <w:rPr>
          <w:sz w:val="24"/>
          <w:szCs w:val="24"/>
          <w:lang w:val="en-AU"/>
        </w:rPr>
      </w:pPr>
      <w:r w:rsidRPr="00F0251C">
        <w:rPr>
          <w:sz w:val="24"/>
          <w:szCs w:val="24"/>
          <w:lang w:val="en-AU"/>
        </w:rPr>
        <w:t>It is unknown whether formoterol or glycopyrronium (including their metabolites) pass into human breast-milk but they have been detected in the milk of lactating animals. Anticholinergic agents like glycopyrronium could suppress lactation.</w:t>
      </w:r>
    </w:p>
    <w:p w14:paraId="62CCB640" w14:textId="77777777" w:rsidR="00474334" w:rsidRPr="00F0251C" w:rsidRDefault="00474334" w:rsidP="00474334">
      <w:pPr>
        <w:pStyle w:val="NoSpacing"/>
        <w:ind w:left="360"/>
        <w:rPr>
          <w:sz w:val="24"/>
          <w:szCs w:val="24"/>
          <w:lang w:val="en-AU"/>
        </w:rPr>
      </w:pPr>
    </w:p>
    <w:p w14:paraId="4285D6AE" w14:textId="60C0D4EB" w:rsidR="00B04F0E" w:rsidRPr="00F0251C" w:rsidRDefault="00474334" w:rsidP="00474334">
      <w:pPr>
        <w:pStyle w:val="NoSpacing"/>
        <w:ind w:left="360"/>
        <w:rPr>
          <w:sz w:val="24"/>
          <w:szCs w:val="24"/>
          <w:lang w:val="en-AU"/>
        </w:rPr>
      </w:pPr>
      <w:r w:rsidRPr="00F0251C">
        <w:rPr>
          <w:sz w:val="24"/>
          <w:szCs w:val="24"/>
          <w:lang w:val="en-AU"/>
        </w:rPr>
        <w:lastRenderedPageBreak/>
        <w:t xml:space="preserve">A decision must be made whether to discontinue breast-feeding or to discontinue/abstain from </w:t>
      </w:r>
      <w:r w:rsidR="000D1FB0" w:rsidRPr="00F0251C">
        <w:rPr>
          <w:sz w:val="24"/>
          <w:szCs w:val="24"/>
          <w:lang w:val="en-AU"/>
        </w:rPr>
        <w:t>TRIMBOW</w:t>
      </w:r>
      <w:r w:rsidRPr="00F0251C">
        <w:rPr>
          <w:sz w:val="24"/>
          <w:szCs w:val="24"/>
          <w:lang w:val="en-AU"/>
        </w:rPr>
        <w:t xml:space="preserve"> therapy taking into account the benefit of breast-feeding for the child and the benefit of therapy for the mothers.</w:t>
      </w:r>
    </w:p>
    <w:p w14:paraId="475548AC" w14:textId="77777777" w:rsidR="00474334" w:rsidRPr="00F0251C" w:rsidRDefault="00474334" w:rsidP="00474334">
      <w:pPr>
        <w:pStyle w:val="NoSpacing"/>
        <w:ind w:left="360"/>
        <w:rPr>
          <w:smallCaps/>
          <w:noProof/>
          <w:kern w:val="28"/>
          <w:sz w:val="24"/>
          <w:szCs w:val="24"/>
          <w:lang w:val="en-AU"/>
        </w:rPr>
      </w:pPr>
    </w:p>
    <w:p w14:paraId="2389AAC1" w14:textId="77777777" w:rsidR="000C49CD" w:rsidRPr="00F0251C" w:rsidRDefault="000C616B" w:rsidP="001E27D5">
      <w:pPr>
        <w:pStyle w:val="Heading2"/>
        <w:jc w:val="left"/>
        <w:rPr>
          <w:noProof/>
          <w:sz w:val="24"/>
          <w:szCs w:val="24"/>
          <w:lang w:val="en-AU"/>
        </w:rPr>
      </w:pPr>
      <w:r w:rsidRPr="00F0251C">
        <w:rPr>
          <w:smallCaps/>
          <w:noProof/>
          <w:sz w:val="24"/>
          <w:szCs w:val="24"/>
          <w:lang w:val="en-AU"/>
        </w:rPr>
        <w:t>4.7</w:t>
      </w:r>
      <w:r w:rsidR="00CF0CFE" w:rsidRPr="00F0251C">
        <w:rPr>
          <w:smallCaps/>
          <w:noProof/>
          <w:sz w:val="24"/>
          <w:szCs w:val="24"/>
          <w:lang w:val="en-AU"/>
        </w:rPr>
        <w:t xml:space="preserve"> </w:t>
      </w:r>
      <w:r w:rsidRPr="00F0251C">
        <w:rPr>
          <w:noProof/>
          <w:sz w:val="24"/>
          <w:szCs w:val="24"/>
          <w:lang w:val="en-AU"/>
        </w:rPr>
        <w:t>EFFECTS ON ABILITY TO DRIVE AND USE MACHINES</w:t>
      </w:r>
    </w:p>
    <w:p w14:paraId="24FEA8BA" w14:textId="60B52FBC" w:rsidR="00474334" w:rsidRPr="00F0251C" w:rsidRDefault="000D1FB0" w:rsidP="00A03D1B">
      <w:pPr>
        <w:pStyle w:val="NoSpacing"/>
        <w:ind w:left="360"/>
        <w:rPr>
          <w:noProof/>
          <w:sz w:val="24"/>
          <w:szCs w:val="24"/>
          <w:lang w:val="en-AU"/>
        </w:rPr>
      </w:pPr>
      <w:r w:rsidRPr="00F0251C">
        <w:rPr>
          <w:noProof/>
          <w:sz w:val="24"/>
          <w:szCs w:val="24"/>
          <w:lang w:val="en-AU"/>
        </w:rPr>
        <w:t>TRIMBOW</w:t>
      </w:r>
      <w:r w:rsidR="00474334" w:rsidRPr="00F0251C">
        <w:rPr>
          <w:noProof/>
          <w:sz w:val="24"/>
          <w:szCs w:val="24"/>
          <w:lang w:val="en-AU"/>
        </w:rPr>
        <w:t xml:space="preserve"> has no or negligible influence on the ability to drive and use machines.</w:t>
      </w:r>
    </w:p>
    <w:p w14:paraId="6594E1A6" w14:textId="77777777" w:rsidR="00474334" w:rsidRPr="00F0251C" w:rsidRDefault="00474334" w:rsidP="00CF0CFE">
      <w:pPr>
        <w:pStyle w:val="NoSpacing"/>
        <w:ind w:left="360"/>
        <w:rPr>
          <w:noProof/>
          <w:sz w:val="24"/>
          <w:szCs w:val="24"/>
          <w:lang w:val="en-AU"/>
        </w:rPr>
      </w:pPr>
    </w:p>
    <w:p w14:paraId="20057A1F" w14:textId="782D57BF" w:rsidR="000C49CD" w:rsidRPr="00F0251C" w:rsidRDefault="00B04F0E" w:rsidP="001E27D5">
      <w:pPr>
        <w:pStyle w:val="Heading2"/>
        <w:jc w:val="left"/>
        <w:rPr>
          <w:noProof/>
          <w:sz w:val="24"/>
          <w:szCs w:val="24"/>
          <w:lang w:val="en-AU"/>
        </w:rPr>
      </w:pPr>
      <w:r w:rsidRPr="00F0251C">
        <w:rPr>
          <w:smallCaps/>
          <w:noProof/>
          <w:sz w:val="24"/>
          <w:szCs w:val="24"/>
          <w:lang w:val="en-AU"/>
        </w:rPr>
        <w:t>4.8</w:t>
      </w:r>
      <w:r w:rsidR="00CF0CFE" w:rsidRPr="00F0251C">
        <w:rPr>
          <w:smallCaps/>
          <w:noProof/>
          <w:sz w:val="24"/>
          <w:szCs w:val="24"/>
          <w:lang w:val="en-AU"/>
        </w:rPr>
        <w:t xml:space="preserve"> </w:t>
      </w:r>
      <w:r w:rsidRPr="00F0251C">
        <w:rPr>
          <w:noProof/>
          <w:sz w:val="24"/>
          <w:szCs w:val="24"/>
          <w:lang w:val="en-AU"/>
        </w:rPr>
        <w:t>ADVERSE EFFECTS (UNDESIRABLE EFFECTS)</w:t>
      </w:r>
    </w:p>
    <w:p w14:paraId="7F11E74F" w14:textId="0DA4E3E0" w:rsidR="008A4347" w:rsidRPr="00F0251C" w:rsidRDefault="00BC42DF" w:rsidP="008678C8">
      <w:pPr>
        <w:pStyle w:val="NoSpacing"/>
        <w:ind w:left="360"/>
        <w:rPr>
          <w:b/>
          <w:bCs/>
          <w:noProof/>
          <w:sz w:val="24"/>
          <w:szCs w:val="24"/>
          <w:lang w:val="en-AU"/>
        </w:rPr>
      </w:pPr>
      <w:r w:rsidRPr="00F0251C">
        <w:rPr>
          <w:b/>
          <w:bCs/>
          <w:noProof/>
          <w:sz w:val="24"/>
          <w:szCs w:val="24"/>
          <w:lang w:val="en-AU"/>
        </w:rPr>
        <w:t>Clinical trial data</w:t>
      </w:r>
    </w:p>
    <w:p w14:paraId="3F8D3568" w14:textId="77777777" w:rsidR="00444FA8" w:rsidRDefault="00BC42DF" w:rsidP="00BC42DF">
      <w:pPr>
        <w:pStyle w:val="NoSpacing"/>
        <w:ind w:left="360"/>
        <w:rPr>
          <w:noProof/>
          <w:sz w:val="24"/>
          <w:szCs w:val="24"/>
          <w:lang w:val="en-AU"/>
        </w:rPr>
      </w:pPr>
      <w:r w:rsidRPr="00F0251C">
        <w:rPr>
          <w:noProof/>
          <w:sz w:val="24"/>
          <w:szCs w:val="24"/>
          <w:lang w:val="en-AU"/>
        </w:rPr>
        <w:t xml:space="preserve">The most frequently reported adverse events in the two Phase III, 52 week active-controlled studies in COPD (TRILOGY and TRINITY) are presented in Table 1 and Table 2. </w:t>
      </w:r>
    </w:p>
    <w:p w14:paraId="5EE6EA70" w14:textId="77777777" w:rsidR="00444FA8" w:rsidRDefault="00444FA8" w:rsidP="00BC42DF">
      <w:pPr>
        <w:pStyle w:val="NoSpacing"/>
        <w:ind w:left="360"/>
        <w:rPr>
          <w:noProof/>
          <w:sz w:val="24"/>
          <w:szCs w:val="24"/>
          <w:lang w:val="en-AU"/>
        </w:rPr>
      </w:pPr>
    </w:p>
    <w:p w14:paraId="73EE87F0" w14:textId="08DCB62E" w:rsidR="00444FA8" w:rsidRPr="005703D1" w:rsidRDefault="00BC42DF" w:rsidP="00BC42DF">
      <w:pPr>
        <w:pStyle w:val="NoSpacing"/>
        <w:ind w:left="360"/>
        <w:rPr>
          <w:sz w:val="24"/>
          <w:szCs w:val="24"/>
          <w:lang w:val="en-AU"/>
        </w:rPr>
      </w:pPr>
      <w:r w:rsidRPr="005703D1">
        <w:rPr>
          <w:noProof/>
          <w:sz w:val="24"/>
          <w:szCs w:val="24"/>
          <w:lang w:val="en-AU"/>
        </w:rPr>
        <w:t xml:space="preserve">Study TRILOGY </w:t>
      </w:r>
      <w:r w:rsidR="00BE5CD5" w:rsidRPr="005703D1">
        <w:rPr>
          <w:noProof/>
          <w:sz w:val="24"/>
          <w:szCs w:val="24"/>
          <w:lang w:val="en-AU"/>
        </w:rPr>
        <w:t xml:space="preserve">included </w:t>
      </w:r>
      <w:r w:rsidR="005703D1">
        <w:rPr>
          <w:noProof/>
          <w:sz w:val="24"/>
          <w:szCs w:val="24"/>
          <w:lang w:val="en-AU"/>
        </w:rPr>
        <w:t>687</w:t>
      </w:r>
      <w:r w:rsidR="00BE5CD5" w:rsidRPr="005703D1">
        <w:rPr>
          <w:noProof/>
          <w:sz w:val="24"/>
          <w:szCs w:val="24"/>
          <w:lang w:val="en-AU"/>
        </w:rPr>
        <w:t xml:space="preserve"> patients with COPD who received </w:t>
      </w:r>
      <w:r w:rsidRPr="005703D1">
        <w:rPr>
          <w:noProof/>
          <w:sz w:val="24"/>
          <w:szCs w:val="24"/>
          <w:lang w:val="en-AU"/>
        </w:rPr>
        <w:t xml:space="preserve">TRIMBOW </w:t>
      </w:r>
      <w:r w:rsidR="007156D0">
        <w:rPr>
          <w:noProof/>
          <w:sz w:val="24"/>
          <w:szCs w:val="24"/>
          <w:lang w:val="en-AU"/>
        </w:rPr>
        <w:t xml:space="preserve">pMDI </w:t>
      </w:r>
      <w:r w:rsidR="007156D0" w:rsidRPr="005703D1">
        <w:rPr>
          <w:noProof/>
          <w:sz w:val="24"/>
          <w:szCs w:val="24"/>
          <w:lang w:val="en-AU"/>
        </w:rPr>
        <w:t>100/6</w:t>
      </w:r>
      <w:r w:rsidR="007156D0">
        <w:rPr>
          <w:noProof/>
          <w:sz w:val="24"/>
          <w:szCs w:val="24"/>
          <w:lang w:val="en-AU"/>
        </w:rPr>
        <w:t>/12.5</w:t>
      </w:r>
      <w:r w:rsidR="007156D0" w:rsidRPr="005703D1">
        <w:rPr>
          <w:noProof/>
          <w:sz w:val="24"/>
          <w:szCs w:val="24"/>
          <w:lang w:val="en-AU"/>
        </w:rPr>
        <w:t xml:space="preserve"> micrograms two inhalations twice daily</w:t>
      </w:r>
      <w:r w:rsidR="007156D0">
        <w:rPr>
          <w:noProof/>
          <w:sz w:val="24"/>
          <w:szCs w:val="24"/>
          <w:lang w:val="en-AU"/>
        </w:rPr>
        <w:t xml:space="preserve"> </w:t>
      </w:r>
      <w:r w:rsidR="005703D1">
        <w:rPr>
          <w:noProof/>
          <w:sz w:val="24"/>
          <w:szCs w:val="24"/>
          <w:lang w:val="en-AU"/>
        </w:rPr>
        <w:t xml:space="preserve">for up to 52 weeks, which were compared to 680 patients with COPD treated </w:t>
      </w:r>
      <w:r w:rsidR="007156D0">
        <w:rPr>
          <w:noProof/>
          <w:sz w:val="24"/>
          <w:szCs w:val="24"/>
          <w:lang w:val="en-AU"/>
        </w:rPr>
        <w:t xml:space="preserve">with </w:t>
      </w:r>
      <w:r w:rsidR="005703D1">
        <w:rPr>
          <w:noProof/>
          <w:sz w:val="24"/>
          <w:szCs w:val="24"/>
          <w:lang w:val="en-AU"/>
        </w:rPr>
        <w:t xml:space="preserve">an active comparator, </w:t>
      </w:r>
      <w:r w:rsidRPr="005703D1">
        <w:rPr>
          <w:noProof/>
          <w:sz w:val="24"/>
          <w:szCs w:val="24"/>
          <w:lang w:val="en-AU"/>
        </w:rPr>
        <w:t>a fixed combination of beclometasone dipropionate and formoterol 100/6 micrograms pMDI two inhalations twice daily</w:t>
      </w:r>
      <w:r w:rsidRPr="005703D1">
        <w:rPr>
          <w:sz w:val="24"/>
          <w:szCs w:val="24"/>
          <w:lang w:val="en-AU"/>
        </w:rPr>
        <w:t>.</w:t>
      </w:r>
    </w:p>
    <w:p w14:paraId="6BFD91CE" w14:textId="1645BBCF" w:rsidR="00BC42DF" w:rsidRPr="00F0251C" w:rsidRDefault="00BC42DF" w:rsidP="00BC42DF">
      <w:pPr>
        <w:pStyle w:val="NoSpacing"/>
        <w:ind w:left="360"/>
        <w:rPr>
          <w:sz w:val="24"/>
          <w:szCs w:val="24"/>
          <w:lang w:val="en-AU"/>
        </w:rPr>
      </w:pPr>
      <w:r w:rsidRPr="005703D1">
        <w:rPr>
          <w:sz w:val="24"/>
          <w:szCs w:val="24"/>
          <w:lang w:val="en-AU"/>
        </w:rPr>
        <w:t xml:space="preserve"> </w:t>
      </w:r>
      <w:r w:rsidRPr="005703D1">
        <w:rPr>
          <w:noProof/>
          <w:sz w:val="24"/>
          <w:szCs w:val="24"/>
          <w:lang w:val="en-AU"/>
        </w:rPr>
        <w:t xml:space="preserve">Study TRINITY </w:t>
      </w:r>
      <w:r w:rsidR="007156D0" w:rsidRPr="005703D1">
        <w:rPr>
          <w:noProof/>
          <w:sz w:val="24"/>
          <w:szCs w:val="24"/>
          <w:lang w:val="en-AU"/>
        </w:rPr>
        <w:t xml:space="preserve">included </w:t>
      </w:r>
      <w:r w:rsidR="007156D0">
        <w:rPr>
          <w:noProof/>
          <w:sz w:val="24"/>
          <w:szCs w:val="24"/>
          <w:lang w:val="en-AU"/>
        </w:rPr>
        <w:t>1077</w:t>
      </w:r>
      <w:r w:rsidR="007156D0" w:rsidRPr="005703D1">
        <w:rPr>
          <w:noProof/>
          <w:sz w:val="24"/>
          <w:szCs w:val="24"/>
          <w:lang w:val="en-AU"/>
        </w:rPr>
        <w:t xml:space="preserve"> patients with COPD who received </w:t>
      </w:r>
      <w:r w:rsidRPr="005703D1">
        <w:rPr>
          <w:sz w:val="24"/>
          <w:szCs w:val="24"/>
          <w:lang w:val="en-AU"/>
        </w:rPr>
        <w:t xml:space="preserve">TRIMBOW </w:t>
      </w:r>
      <w:r w:rsidR="007156D0">
        <w:rPr>
          <w:noProof/>
          <w:sz w:val="24"/>
          <w:szCs w:val="24"/>
          <w:lang w:val="en-AU"/>
        </w:rPr>
        <w:t xml:space="preserve">pMDI </w:t>
      </w:r>
      <w:r w:rsidR="007156D0" w:rsidRPr="005703D1">
        <w:rPr>
          <w:noProof/>
          <w:sz w:val="24"/>
          <w:szCs w:val="24"/>
          <w:lang w:val="en-AU"/>
        </w:rPr>
        <w:t>100/6</w:t>
      </w:r>
      <w:r w:rsidR="007156D0">
        <w:rPr>
          <w:noProof/>
          <w:sz w:val="24"/>
          <w:szCs w:val="24"/>
          <w:lang w:val="en-AU"/>
        </w:rPr>
        <w:t>/12.5</w:t>
      </w:r>
      <w:r w:rsidR="007156D0" w:rsidRPr="005703D1">
        <w:rPr>
          <w:noProof/>
          <w:sz w:val="24"/>
          <w:szCs w:val="24"/>
          <w:lang w:val="en-AU"/>
        </w:rPr>
        <w:t xml:space="preserve"> micrograms two inhalations twice daily</w:t>
      </w:r>
      <w:r w:rsidR="007156D0">
        <w:rPr>
          <w:noProof/>
          <w:sz w:val="24"/>
          <w:szCs w:val="24"/>
          <w:lang w:val="en-AU"/>
        </w:rPr>
        <w:t xml:space="preserve"> for up to 52 weeks, which were compared to 1076 patients with COPD treated </w:t>
      </w:r>
      <w:r w:rsidRPr="005703D1">
        <w:rPr>
          <w:sz w:val="24"/>
          <w:szCs w:val="24"/>
          <w:lang w:val="en-AU"/>
        </w:rPr>
        <w:t>with tiotropium bromide 18 micrograms inhalation</w:t>
      </w:r>
      <w:r w:rsidRPr="00F0251C">
        <w:rPr>
          <w:sz w:val="24"/>
          <w:szCs w:val="24"/>
          <w:lang w:val="en-AU"/>
        </w:rPr>
        <w:t xml:space="preserve"> powder, hard capsule, once daily and </w:t>
      </w:r>
      <w:r w:rsidR="007156D0">
        <w:rPr>
          <w:noProof/>
          <w:sz w:val="24"/>
          <w:szCs w:val="24"/>
          <w:lang w:val="en-AU"/>
        </w:rPr>
        <w:t xml:space="preserve">537 patients with COPD treated </w:t>
      </w:r>
      <w:r w:rsidRPr="00F0251C">
        <w:rPr>
          <w:sz w:val="24"/>
          <w:szCs w:val="24"/>
          <w:lang w:val="en-AU"/>
        </w:rPr>
        <w:t>with a two-inhaler triple therapy consisting of a fixed combination of beclometasone dipropionate and formoterol 100/6 micrograms pMDI two inhalations twice daily plus tiotropium</w:t>
      </w:r>
      <w:r>
        <w:rPr>
          <w:sz w:val="24"/>
          <w:szCs w:val="24"/>
          <w:lang w:val="en-AU"/>
        </w:rPr>
        <w:t xml:space="preserve"> bromide</w:t>
      </w:r>
      <w:r w:rsidRPr="00F0251C">
        <w:rPr>
          <w:sz w:val="24"/>
          <w:szCs w:val="24"/>
          <w:lang w:val="en-AU"/>
        </w:rPr>
        <w:t xml:space="preserve"> 18 micrograms inhalation powder, hard capsule, once daily.</w:t>
      </w:r>
    </w:p>
    <w:p w14:paraId="79CF8F08" w14:textId="77777777" w:rsidR="00BC42DF" w:rsidRPr="00F0251C" w:rsidRDefault="00BC42DF" w:rsidP="00BC42DF">
      <w:pPr>
        <w:pStyle w:val="NoSpacing"/>
        <w:ind w:left="360"/>
        <w:jc w:val="both"/>
        <w:rPr>
          <w:sz w:val="24"/>
          <w:szCs w:val="24"/>
          <w:lang w:val="en-AU"/>
        </w:rPr>
      </w:pPr>
    </w:p>
    <w:p w14:paraId="55926370" w14:textId="51034EBC" w:rsidR="00BC42DF" w:rsidRDefault="00BC42DF" w:rsidP="00BC42DF">
      <w:pPr>
        <w:pStyle w:val="NoSpacing"/>
        <w:ind w:left="360"/>
        <w:rPr>
          <w:rFonts w:eastAsia="Calibri"/>
          <w:b/>
          <w:sz w:val="24"/>
          <w:szCs w:val="24"/>
          <w:lang w:val="en-AU" w:eastAsia="en-US"/>
        </w:rPr>
      </w:pPr>
      <w:r w:rsidRPr="00F0251C">
        <w:rPr>
          <w:b/>
          <w:sz w:val="24"/>
          <w:szCs w:val="24"/>
          <w:lang w:val="en-AU"/>
        </w:rPr>
        <w:t xml:space="preserve">Table 1: Adverse events with </w:t>
      </w:r>
      <w:r w:rsidR="004E5D2B">
        <w:rPr>
          <w:noProof/>
          <w:sz w:val="24"/>
          <w:szCs w:val="24"/>
          <w:lang w:val="en-AU"/>
        </w:rPr>
        <w:sym w:font="Symbol" w:char="F0B3"/>
      </w:r>
      <w:r w:rsidRPr="00F0251C">
        <w:rPr>
          <w:b/>
          <w:sz w:val="24"/>
          <w:szCs w:val="24"/>
          <w:lang w:val="en-AU"/>
        </w:rPr>
        <w:t xml:space="preserve">1% incidence with TRIMBOW in TRILOGY clinical trial </w:t>
      </w:r>
      <w:r w:rsidRPr="003630EC">
        <w:rPr>
          <w:b/>
          <w:sz w:val="24"/>
          <w:szCs w:val="24"/>
          <w:lang w:val="en-AU"/>
        </w:rPr>
        <w:t>(</w:t>
      </w:r>
      <w:r w:rsidRPr="003630EC">
        <w:rPr>
          <w:rFonts w:eastAsia="Calibri"/>
          <w:b/>
          <w:sz w:val="24"/>
          <w:szCs w:val="24"/>
          <w:lang w:val="en-AU" w:eastAsia="en-US"/>
        </w:rPr>
        <w:t>CCD-1207-PR-0091)</w:t>
      </w:r>
    </w:p>
    <w:p w14:paraId="156E6D86" w14:textId="77777777" w:rsidR="00B46AE8" w:rsidRDefault="00B46AE8" w:rsidP="00BC42DF">
      <w:pPr>
        <w:pStyle w:val="NoSpacing"/>
        <w:ind w:left="360"/>
        <w:rPr>
          <w:rFonts w:eastAsia="Calibri"/>
          <w:b/>
          <w:sz w:val="24"/>
          <w:szCs w:val="24"/>
          <w:lang w:val="en-AU" w:eastAsia="en-US"/>
        </w:rPr>
      </w:pPr>
    </w:p>
    <w:tbl>
      <w:tblPr>
        <w:tblW w:w="9773" w:type="dxa"/>
        <w:jc w:val="center"/>
        <w:tblLayout w:type="fixed"/>
        <w:tblCellMar>
          <w:left w:w="0" w:type="dxa"/>
          <w:right w:w="0" w:type="dxa"/>
        </w:tblCellMar>
        <w:tblLook w:val="0000" w:firstRow="0" w:lastRow="0" w:firstColumn="0" w:lastColumn="0" w:noHBand="0" w:noVBand="0"/>
      </w:tblPr>
      <w:tblGrid>
        <w:gridCol w:w="4103"/>
        <w:gridCol w:w="3119"/>
        <w:gridCol w:w="2551"/>
      </w:tblGrid>
      <w:tr w:rsidR="00B46AE8" w:rsidRPr="00F0251C" w14:paraId="483CB30E" w14:textId="77777777" w:rsidTr="004E5D2B">
        <w:trPr>
          <w:cantSplit/>
          <w:tblHeader/>
          <w:jc w:val="center"/>
        </w:trPr>
        <w:tc>
          <w:tcPr>
            <w:tcW w:w="4103" w:type="dxa"/>
            <w:tcBorders>
              <w:top w:val="nil"/>
              <w:left w:val="single" w:sz="6" w:space="0" w:color="000000"/>
              <w:bottom w:val="single" w:sz="2" w:space="0" w:color="000000"/>
              <w:right w:val="nil"/>
            </w:tcBorders>
            <w:shd w:val="clear" w:color="auto" w:fill="F2F2F2"/>
            <w:tcMar>
              <w:left w:w="20" w:type="dxa"/>
              <w:right w:w="20" w:type="dxa"/>
            </w:tcMar>
            <w:vAlign w:val="center"/>
          </w:tcPr>
          <w:p w14:paraId="4DF586D5" w14:textId="77777777" w:rsidR="00B46AE8" w:rsidRPr="00F0251C" w:rsidRDefault="00B46AE8" w:rsidP="00D24B97">
            <w:pPr>
              <w:keepNext/>
              <w:adjustRightInd w:val="0"/>
              <w:spacing w:before="20" w:after="20"/>
              <w:rPr>
                <w:b/>
                <w:bCs/>
                <w:color w:val="000000"/>
                <w:sz w:val="22"/>
                <w:szCs w:val="22"/>
                <w:lang w:val="en-AU"/>
              </w:rPr>
            </w:pPr>
          </w:p>
        </w:tc>
        <w:tc>
          <w:tcPr>
            <w:tcW w:w="3119" w:type="dxa"/>
            <w:tcBorders>
              <w:top w:val="nil"/>
              <w:left w:val="single" w:sz="2" w:space="0" w:color="000000"/>
              <w:bottom w:val="single" w:sz="2" w:space="0" w:color="000000"/>
              <w:right w:val="nil"/>
            </w:tcBorders>
            <w:shd w:val="clear" w:color="auto" w:fill="F2F2F2"/>
            <w:tcMar>
              <w:left w:w="20" w:type="dxa"/>
              <w:right w:w="20" w:type="dxa"/>
            </w:tcMar>
            <w:vAlign w:val="center"/>
          </w:tcPr>
          <w:p w14:paraId="6CAA2CED" w14:textId="77777777" w:rsidR="00B46AE8" w:rsidRPr="0098641D" w:rsidRDefault="00B46AE8" w:rsidP="00D24B97">
            <w:pPr>
              <w:keepNext/>
              <w:adjustRightInd w:val="0"/>
              <w:spacing w:before="20" w:after="20"/>
              <w:jc w:val="center"/>
              <w:rPr>
                <w:b/>
                <w:bCs/>
                <w:color w:val="000000"/>
                <w:sz w:val="22"/>
                <w:szCs w:val="22"/>
                <w:lang w:val="pt-BR"/>
              </w:rPr>
            </w:pPr>
            <w:r w:rsidRPr="0098641D">
              <w:rPr>
                <w:b/>
                <w:bCs/>
                <w:color w:val="000000"/>
                <w:sz w:val="22"/>
                <w:szCs w:val="22"/>
                <w:lang w:val="pt-BR"/>
              </w:rPr>
              <w:t>BDP/FF</w:t>
            </w:r>
            <w:r w:rsidR="00294B31" w:rsidRPr="0098641D">
              <w:rPr>
                <w:b/>
                <w:bCs/>
                <w:color w:val="000000"/>
                <w:sz w:val="22"/>
                <w:szCs w:val="22"/>
                <w:lang w:val="pt-BR"/>
              </w:rPr>
              <w:t>/GB</w:t>
            </w:r>
          </w:p>
          <w:p w14:paraId="7B51ADE0" w14:textId="0C519A79" w:rsidR="00294B31" w:rsidRDefault="00294B31" w:rsidP="00D24B97">
            <w:pPr>
              <w:keepNext/>
              <w:adjustRightInd w:val="0"/>
              <w:spacing w:before="20" w:after="20"/>
              <w:jc w:val="center"/>
              <w:rPr>
                <w:b/>
                <w:sz w:val="22"/>
                <w:szCs w:val="22"/>
                <w:vertAlign w:val="superscript"/>
                <w:lang w:val="pt-BR"/>
              </w:rPr>
            </w:pPr>
            <w:r w:rsidRPr="0098641D">
              <w:rPr>
                <w:b/>
                <w:bCs/>
                <w:color w:val="000000"/>
                <w:sz w:val="22"/>
                <w:szCs w:val="22"/>
                <w:lang w:val="pt-BR"/>
              </w:rPr>
              <w:t xml:space="preserve">400/24/50 </w:t>
            </w:r>
            <w:r w:rsidR="0098641D">
              <w:rPr>
                <w:b/>
                <w:sz w:val="22"/>
                <w:szCs w:val="22"/>
                <w:lang w:val="pt-BR"/>
              </w:rPr>
              <w:t>mc</w:t>
            </w:r>
            <w:r w:rsidRPr="00EC0A27">
              <w:rPr>
                <w:b/>
                <w:sz w:val="22"/>
                <w:szCs w:val="22"/>
                <w:lang w:val="pt-BR"/>
              </w:rPr>
              <w:t>g</w:t>
            </w:r>
            <w:r w:rsidRPr="00EC0A27">
              <w:rPr>
                <w:b/>
                <w:sz w:val="22"/>
                <w:szCs w:val="22"/>
                <w:vertAlign w:val="superscript"/>
                <w:lang w:val="pt-BR"/>
              </w:rPr>
              <w:t>#</w:t>
            </w:r>
          </w:p>
          <w:p w14:paraId="5F428593" w14:textId="65641874" w:rsidR="00294B31" w:rsidRPr="0098641D" w:rsidRDefault="00294B31" w:rsidP="00D24B97">
            <w:pPr>
              <w:keepNext/>
              <w:adjustRightInd w:val="0"/>
              <w:spacing w:before="20" w:after="20"/>
              <w:jc w:val="center"/>
              <w:rPr>
                <w:b/>
                <w:bCs/>
                <w:color w:val="000000"/>
                <w:sz w:val="22"/>
                <w:szCs w:val="22"/>
                <w:lang w:val="pt-BR"/>
              </w:rPr>
            </w:pPr>
            <w:r w:rsidRPr="0098641D">
              <w:rPr>
                <w:b/>
                <w:bCs/>
                <w:color w:val="000000"/>
                <w:sz w:val="22"/>
                <w:szCs w:val="22"/>
                <w:lang w:val="pt-BR"/>
              </w:rPr>
              <w:t>N=687</w:t>
            </w:r>
          </w:p>
        </w:tc>
        <w:tc>
          <w:tcPr>
            <w:tcW w:w="2551" w:type="dxa"/>
            <w:tcBorders>
              <w:top w:val="nil"/>
              <w:left w:val="single" w:sz="2" w:space="0" w:color="000000"/>
              <w:bottom w:val="single" w:sz="2" w:space="0" w:color="000000"/>
              <w:right w:val="single" w:sz="6" w:space="0" w:color="000000"/>
            </w:tcBorders>
            <w:shd w:val="clear" w:color="auto" w:fill="F2F2F2"/>
            <w:tcMar>
              <w:left w:w="20" w:type="dxa"/>
              <w:right w:w="20" w:type="dxa"/>
            </w:tcMar>
            <w:vAlign w:val="center"/>
          </w:tcPr>
          <w:p w14:paraId="106AC1B2" w14:textId="61957FE1" w:rsidR="00B46AE8" w:rsidRDefault="00294B31" w:rsidP="00D24B97">
            <w:pPr>
              <w:keepNext/>
              <w:adjustRightInd w:val="0"/>
              <w:spacing w:before="20" w:after="20"/>
              <w:jc w:val="center"/>
              <w:rPr>
                <w:b/>
                <w:sz w:val="22"/>
                <w:szCs w:val="22"/>
                <w:vertAlign w:val="superscript"/>
                <w:lang w:val="en-AU"/>
              </w:rPr>
            </w:pPr>
            <w:r>
              <w:rPr>
                <w:b/>
                <w:bCs/>
                <w:color w:val="000000"/>
                <w:sz w:val="22"/>
                <w:szCs w:val="22"/>
                <w:lang w:val="en-AU"/>
              </w:rPr>
              <w:t xml:space="preserve">BDP/FF  400/24 </w:t>
            </w:r>
            <w:r w:rsidR="0098641D">
              <w:rPr>
                <w:b/>
                <w:sz w:val="22"/>
                <w:szCs w:val="22"/>
                <w:lang w:val="en-AU"/>
              </w:rPr>
              <w:t>mc</w:t>
            </w:r>
            <w:r w:rsidRPr="009B3F0E">
              <w:rPr>
                <w:b/>
                <w:sz w:val="22"/>
                <w:szCs w:val="22"/>
                <w:lang w:val="en-AU"/>
              </w:rPr>
              <w:t>g</w:t>
            </w:r>
            <w:r w:rsidRPr="009B3F0E">
              <w:rPr>
                <w:b/>
                <w:sz w:val="22"/>
                <w:szCs w:val="22"/>
                <w:vertAlign w:val="superscript"/>
                <w:lang w:val="en-AU"/>
              </w:rPr>
              <w:t>#</w:t>
            </w:r>
          </w:p>
          <w:p w14:paraId="160B3D55" w14:textId="77A4B409" w:rsidR="00294B31" w:rsidRPr="00F0251C" w:rsidRDefault="00294B31" w:rsidP="00D24B97">
            <w:pPr>
              <w:keepNext/>
              <w:adjustRightInd w:val="0"/>
              <w:spacing w:before="20" w:after="20"/>
              <w:jc w:val="center"/>
              <w:rPr>
                <w:b/>
                <w:bCs/>
                <w:color w:val="000000"/>
                <w:sz w:val="22"/>
                <w:szCs w:val="22"/>
                <w:lang w:val="en-AU"/>
              </w:rPr>
            </w:pPr>
            <w:r>
              <w:rPr>
                <w:b/>
                <w:bCs/>
                <w:color w:val="000000"/>
                <w:sz w:val="22"/>
                <w:szCs w:val="22"/>
                <w:lang w:val="en-AU"/>
              </w:rPr>
              <w:t>N</w:t>
            </w:r>
            <w:r w:rsidR="00B506BA">
              <w:rPr>
                <w:b/>
                <w:bCs/>
                <w:color w:val="000000"/>
                <w:sz w:val="22"/>
                <w:szCs w:val="22"/>
                <w:lang w:val="en-AU"/>
              </w:rPr>
              <w:t>=680</w:t>
            </w:r>
          </w:p>
        </w:tc>
      </w:tr>
      <w:tr w:rsidR="00BC42DF" w:rsidRPr="00F0251C" w14:paraId="2846A802" w14:textId="77777777" w:rsidTr="004E5D2B">
        <w:trPr>
          <w:cantSplit/>
          <w:tblHeader/>
          <w:jc w:val="center"/>
        </w:trPr>
        <w:tc>
          <w:tcPr>
            <w:tcW w:w="4103" w:type="dxa"/>
            <w:tcBorders>
              <w:top w:val="nil"/>
              <w:left w:val="single" w:sz="6" w:space="0" w:color="000000"/>
              <w:bottom w:val="single" w:sz="2" w:space="0" w:color="000000"/>
              <w:right w:val="nil"/>
            </w:tcBorders>
            <w:shd w:val="clear" w:color="auto" w:fill="F2F2F2"/>
            <w:tcMar>
              <w:left w:w="20" w:type="dxa"/>
              <w:right w:w="20" w:type="dxa"/>
            </w:tcMar>
            <w:vAlign w:val="center"/>
          </w:tcPr>
          <w:p w14:paraId="3BCB9D85" w14:textId="77777777" w:rsidR="00BC42DF" w:rsidRPr="00F0251C" w:rsidRDefault="00BC42DF" w:rsidP="00D24B97">
            <w:pPr>
              <w:keepNext/>
              <w:adjustRightInd w:val="0"/>
              <w:spacing w:before="20" w:after="20"/>
              <w:rPr>
                <w:b/>
                <w:bCs/>
                <w:color w:val="000000"/>
                <w:sz w:val="22"/>
                <w:szCs w:val="22"/>
                <w:lang w:val="en-AU"/>
              </w:rPr>
            </w:pPr>
            <w:r w:rsidRPr="00F0251C">
              <w:rPr>
                <w:b/>
                <w:bCs/>
                <w:color w:val="000000"/>
                <w:sz w:val="22"/>
                <w:szCs w:val="22"/>
                <w:lang w:val="en-AU"/>
              </w:rPr>
              <w:t>System Organ Class</w:t>
            </w:r>
            <w:r w:rsidRPr="00F0251C">
              <w:rPr>
                <w:color w:val="000000"/>
                <w:sz w:val="22"/>
                <w:szCs w:val="22"/>
                <w:lang w:val="en-AU"/>
              </w:rPr>
              <w:t>, Preferred Term</w:t>
            </w:r>
          </w:p>
        </w:tc>
        <w:tc>
          <w:tcPr>
            <w:tcW w:w="3119" w:type="dxa"/>
            <w:tcBorders>
              <w:top w:val="nil"/>
              <w:left w:val="single" w:sz="2" w:space="0" w:color="000000"/>
              <w:bottom w:val="single" w:sz="2" w:space="0" w:color="000000"/>
              <w:right w:val="nil"/>
            </w:tcBorders>
            <w:shd w:val="clear" w:color="auto" w:fill="F2F2F2"/>
            <w:tcMar>
              <w:left w:w="20" w:type="dxa"/>
              <w:right w:w="20" w:type="dxa"/>
            </w:tcMar>
            <w:vAlign w:val="center"/>
          </w:tcPr>
          <w:p w14:paraId="0D66DCFF" w14:textId="77777777" w:rsidR="00BC42DF" w:rsidRPr="00F0251C" w:rsidRDefault="00BC42DF" w:rsidP="00D24B97">
            <w:pPr>
              <w:keepNext/>
              <w:adjustRightInd w:val="0"/>
              <w:spacing w:before="20" w:after="20"/>
              <w:jc w:val="center"/>
              <w:rPr>
                <w:b/>
                <w:bCs/>
                <w:color w:val="000000"/>
                <w:sz w:val="22"/>
                <w:szCs w:val="22"/>
                <w:lang w:val="en-AU"/>
              </w:rPr>
            </w:pPr>
            <w:r w:rsidRPr="00F0251C">
              <w:rPr>
                <w:b/>
                <w:bCs/>
                <w:color w:val="000000"/>
                <w:sz w:val="22"/>
                <w:szCs w:val="22"/>
                <w:lang w:val="en-AU"/>
              </w:rPr>
              <w:t>Number of patients (%)</w:t>
            </w:r>
          </w:p>
        </w:tc>
        <w:tc>
          <w:tcPr>
            <w:tcW w:w="2551" w:type="dxa"/>
            <w:tcBorders>
              <w:top w:val="nil"/>
              <w:left w:val="single" w:sz="2" w:space="0" w:color="000000"/>
              <w:bottom w:val="single" w:sz="2" w:space="0" w:color="000000"/>
              <w:right w:val="single" w:sz="6" w:space="0" w:color="000000"/>
            </w:tcBorders>
            <w:shd w:val="clear" w:color="auto" w:fill="F2F2F2"/>
            <w:tcMar>
              <w:left w:w="20" w:type="dxa"/>
              <w:right w:w="20" w:type="dxa"/>
            </w:tcMar>
            <w:vAlign w:val="center"/>
          </w:tcPr>
          <w:p w14:paraId="3E38E8C5" w14:textId="77777777" w:rsidR="00BC42DF" w:rsidRPr="00F0251C" w:rsidRDefault="00BC42DF" w:rsidP="00D24B97">
            <w:pPr>
              <w:keepNext/>
              <w:adjustRightInd w:val="0"/>
              <w:spacing w:before="20" w:after="20"/>
              <w:jc w:val="center"/>
              <w:rPr>
                <w:b/>
                <w:bCs/>
                <w:color w:val="000000"/>
                <w:sz w:val="22"/>
                <w:szCs w:val="22"/>
                <w:lang w:val="en-AU"/>
              </w:rPr>
            </w:pPr>
            <w:r w:rsidRPr="00F0251C">
              <w:rPr>
                <w:b/>
                <w:bCs/>
                <w:color w:val="000000"/>
                <w:sz w:val="22"/>
                <w:szCs w:val="22"/>
                <w:lang w:val="en-AU"/>
              </w:rPr>
              <w:t>Number of patients (%)</w:t>
            </w:r>
          </w:p>
        </w:tc>
      </w:tr>
      <w:tr w:rsidR="00BC42DF" w:rsidRPr="00F0251C" w14:paraId="05648D8F"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39A8116B" w14:textId="77777777" w:rsidR="00BC42DF" w:rsidRPr="00F0251C" w:rsidRDefault="00BC42DF" w:rsidP="00D24B97">
            <w:pPr>
              <w:adjustRightInd w:val="0"/>
              <w:spacing w:before="20" w:after="20"/>
              <w:rPr>
                <w:b/>
                <w:color w:val="000000"/>
                <w:sz w:val="22"/>
                <w:szCs w:val="22"/>
                <w:lang w:val="en-AU"/>
              </w:rPr>
            </w:pPr>
            <w:r w:rsidRPr="00F0251C">
              <w:rPr>
                <w:b/>
                <w:color w:val="000000"/>
                <w:sz w:val="22"/>
                <w:szCs w:val="22"/>
                <w:lang w:val="en-AU"/>
              </w:rPr>
              <w:t>Infections and infestations</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7FB114A7" w14:textId="77777777" w:rsidR="00BC42DF" w:rsidRPr="00F0251C" w:rsidRDefault="00BC42DF" w:rsidP="00D24B97">
            <w:pPr>
              <w:adjustRightInd w:val="0"/>
              <w:spacing w:before="20" w:after="20"/>
              <w:rPr>
                <w:color w:val="000000"/>
                <w:sz w:val="22"/>
                <w:szCs w:val="22"/>
                <w:lang w:val="en-AU"/>
              </w:rPr>
            </w:pP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47724241" w14:textId="77777777" w:rsidR="00BC42DF" w:rsidRPr="00F0251C" w:rsidRDefault="00BC42DF" w:rsidP="00D24B97">
            <w:pPr>
              <w:adjustRightInd w:val="0"/>
              <w:spacing w:before="20" w:after="20"/>
              <w:rPr>
                <w:color w:val="000000"/>
                <w:sz w:val="22"/>
                <w:szCs w:val="22"/>
                <w:lang w:val="en-AU"/>
              </w:rPr>
            </w:pPr>
          </w:p>
        </w:tc>
      </w:tr>
      <w:tr w:rsidR="00BC42DF" w:rsidRPr="00F0251C" w14:paraId="6DCBDB15"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7D976789" w14:textId="77777777" w:rsidR="00BC42DF" w:rsidRPr="00F0251C" w:rsidRDefault="00BC42DF" w:rsidP="00D24B97">
            <w:pPr>
              <w:adjustRightInd w:val="0"/>
              <w:spacing w:before="20" w:after="20"/>
              <w:rPr>
                <w:color w:val="000000"/>
                <w:sz w:val="22"/>
                <w:szCs w:val="22"/>
                <w:lang w:val="en-AU"/>
              </w:rPr>
            </w:pPr>
            <w:r w:rsidRPr="00F0251C">
              <w:rPr>
                <w:color w:val="000000"/>
                <w:sz w:val="22"/>
                <w:szCs w:val="22"/>
                <w:lang w:val="en-AU"/>
              </w:rPr>
              <w:t xml:space="preserve">     Nasopharyngitis</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346BE2A3"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39 (5.7%)</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29E26866"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38 (5.6%)</w:t>
            </w:r>
          </w:p>
        </w:tc>
      </w:tr>
      <w:tr w:rsidR="00BC42DF" w:rsidRPr="00F0251C" w14:paraId="0E261DD7"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40A0A027" w14:textId="77777777" w:rsidR="00BC42DF" w:rsidRPr="00F0251C" w:rsidRDefault="00BC42DF" w:rsidP="00D24B97">
            <w:pPr>
              <w:adjustRightInd w:val="0"/>
              <w:spacing w:before="20" w:after="20"/>
              <w:rPr>
                <w:color w:val="000000"/>
                <w:sz w:val="22"/>
                <w:szCs w:val="22"/>
                <w:lang w:val="en-AU"/>
              </w:rPr>
            </w:pPr>
            <w:r w:rsidRPr="00F0251C">
              <w:rPr>
                <w:color w:val="000000"/>
                <w:sz w:val="22"/>
                <w:szCs w:val="22"/>
                <w:lang w:val="en-AU"/>
              </w:rPr>
              <w:t xml:space="preserve">     Pneumonia*</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6D2CC4D1"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23 (3.3%)</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69877F28"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18 (2.6%)</w:t>
            </w:r>
          </w:p>
        </w:tc>
      </w:tr>
      <w:tr w:rsidR="00BC42DF" w:rsidRPr="00F0251C" w14:paraId="61DCBDFE"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675381B1" w14:textId="77777777" w:rsidR="00BC42DF" w:rsidRPr="00F0251C" w:rsidRDefault="00BC42DF" w:rsidP="00D24B97">
            <w:pPr>
              <w:adjustRightInd w:val="0"/>
              <w:spacing w:before="20" w:after="20"/>
              <w:rPr>
                <w:color w:val="000000"/>
                <w:sz w:val="22"/>
                <w:szCs w:val="22"/>
                <w:lang w:val="en-AU"/>
              </w:rPr>
            </w:pPr>
            <w:r w:rsidRPr="00F0251C">
              <w:rPr>
                <w:color w:val="000000"/>
                <w:sz w:val="22"/>
                <w:szCs w:val="22"/>
                <w:lang w:val="en-AU"/>
              </w:rPr>
              <w:t xml:space="preserve">     Respiratory tract infection viral</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09A3532C"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16 (2.3%)</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59BA79BA"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10 (1.5%)</w:t>
            </w:r>
          </w:p>
        </w:tc>
      </w:tr>
      <w:tr w:rsidR="00BC42DF" w:rsidRPr="00F0251C" w14:paraId="0BFCCE0C"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6C71A8EA" w14:textId="77777777" w:rsidR="00BC42DF" w:rsidRPr="00F0251C" w:rsidRDefault="00BC42DF" w:rsidP="00D24B97">
            <w:pPr>
              <w:adjustRightInd w:val="0"/>
              <w:spacing w:before="20" w:after="20"/>
              <w:rPr>
                <w:color w:val="000000"/>
                <w:sz w:val="22"/>
                <w:szCs w:val="22"/>
                <w:lang w:val="en-AU"/>
              </w:rPr>
            </w:pPr>
            <w:r w:rsidRPr="00F0251C">
              <w:rPr>
                <w:color w:val="000000"/>
                <w:sz w:val="22"/>
                <w:szCs w:val="22"/>
                <w:lang w:val="en-AU"/>
              </w:rPr>
              <w:t xml:space="preserve">     Oral candidiasis</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5F6A0B92"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13 (1.9%)</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024AD5E8"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2 (0.3%)</w:t>
            </w:r>
          </w:p>
        </w:tc>
      </w:tr>
      <w:tr w:rsidR="00BC42DF" w:rsidRPr="00F0251C" w14:paraId="4B09006E"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7C794EA4" w14:textId="77777777" w:rsidR="00BC42DF" w:rsidRPr="00F0251C" w:rsidRDefault="00BC42DF" w:rsidP="00D24B97">
            <w:pPr>
              <w:adjustRightInd w:val="0"/>
              <w:spacing w:before="20" w:after="20"/>
              <w:rPr>
                <w:color w:val="000000"/>
                <w:sz w:val="22"/>
                <w:szCs w:val="22"/>
                <w:lang w:val="en-AU"/>
              </w:rPr>
            </w:pPr>
            <w:r w:rsidRPr="00F0251C">
              <w:rPr>
                <w:color w:val="000000"/>
                <w:sz w:val="22"/>
                <w:szCs w:val="22"/>
                <w:lang w:val="en-AU"/>
              </w:rPr>
              <w:t xml:space="preserve">     Influenza</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54CAE7D2"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9 (1.3%)</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072C56C2"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5 (0.7%)</w:t>
            </w:r>
          </w:p>
        </w:tc>
      </w:tr>
      <w:tr w:rsidR="00BC42DF" w:rsidRPr="00F0251C" w14:paraId="24402A8F"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33625F64" w14:textId="77777777" w:rsidR="00BC42DF" w:rsidRPr="00F0251C" w:rsidRDefault="00BC42DF" w:rsidP="00D24B97">
            <w:pPr>
              <w:adjustRightInd w:val="0"/>
              <w:spacing w:before="20" w:after="20"/>
              <w:rPr>
                <w:color w:val="000000"/>
                <w:sz w:val="22"/>
                <w:szCs w:val="22"/>
                <w:lang w:val="en-AU"/>
              </w:rPr>
            </w:pPr>
            <w:r w:rsidRPr="00F0251C">
              <w:rPr>
                <w:color w:val="000000"/>
                <w:sz w:val="22"/>
                <w:szCs w:val="22"/>
                <w:lang w:val="en-AU"/>
              </w:rPr>
              <w:t xml:space="preserve">     Bronchitis</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5FF25A97"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9 (1.3%)</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6F8A35D5"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4 (0.6%)</w:t>
            </w:r>
          </w:p>
        </w:tc>
      </w:tr>
      <w:tr w:rsidR="00BC42DF" w:rsidRPr="00F0251C" w14:paraId="2CD1F062"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4CAD854B" w14:textId="77777777" w:rsidR="00BC42DF" w:rsidRPr="00F0251C" w:rsidRDefault="00BC42DF" w:rsidP="00D24B97">
            <w:pPr>
              <w:keepNext/>
              <w:adjustRightInd w:val="0"/>
              <w:spacing w:before="20" w:after="20"/>
              <w:rPr>
                <w:b/>
                <w:color w:val="000000"/>
                <w:sz w:val="22"/>
                <w:szCs w:val="22"/>
                <w:lang w:val="en-AU"/>
              </w:rPr>
            </w:pPr>
            <w:r w:rsidRPr="00F0251C">
              <w:rPr>
                <w:b/>
                <w:color w:val="000000"/>
                <w:sz w:val="22"/>
                <w:szCs w:val="22"/>
                <w:lang w:val="en-AU"/>
              </w:rPr>
              <w:lastRenderedPageBreak/>
              <w:t>Metabolism and nutrition disorders</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37DF63D1" w14:textId="77777777" w:rsidR="00BC42DF" w:rsidRPr="00F0251C" w:rsidRDefault="00BC42DF" w:rsidP="00D24B97">
            <w:pPr>
              <w:keepNext/>
              <w:adjustRightInd w:val="0"/>
              <w:spacing w:before="20" w:after="20"/>
              <w:rPr>
                <w:color w:val="000000"/>
                <w:sz w:val="22"/>
                <w:szCs w:val="22"/>
                <w:lang w:val="en-AU"/>
              </w:rPr>
            </w:pP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10050D0A" w14:textId="77777777" w:rsidR="00BC42DF" w:rsidRPr="00F0251C" w:rsidRDefault="00BC42DF" w:rsidP="00D24B97">
            <w:pPr>
              <w:keepNext/>
              <w:adjustRightInd w:val="0"/>
              <w:spacing w:before="20" w:after="20"/>
              <w:rPr>
                <w:color w:val="000000"/>
                <w:sz w:val="22"/>
                <w:szCs w:val="22"/>
                <w:lang w:val="en-AU"/>
              </w:rPr>
            </w:pPr>
          </w:p>
        </w:tc>
      </w:tr>
      <w:tr w:rsidR="00BC42DF" w:rsidRPr="00F0251C" w14:paraId="59054997"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0CFF987A" w14:textId="77777777" w:rsidR="00BC42DF" w:rsidRPr="00F0251C" w:rsidRDefault="00BC42DF" w:rsidP="00D24B97">
            <w:pPr>
              <w:keepNext/>
              <w:adjustRightInd w:val="0"/>
              <w:spacing w:before="20" w:after="20"/>
              <w:rPr>
                <w:color w:val="000000"/>
                <w:sz w:val="22"/>
                <w:szCs w:val="22"/>
                <w:lang w:val="en-AU"/>
              </w:rPr>
            </w:pPr>
            <w:r w:rsidRPr="00F0251C">
              <w:rPr>
                <w:color w:val="000000"/>
                <w:sz w:val="22"/>
                <w:szCs w:val="22"/>
                <w:lang w:val="en-AU"/>
              </w:rPr>
              <w:t xml:space="preserve">     Diabetes mellitus</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44892EA0" w14:textId="77777777" w:rsidR="00BC42DF" w:rsidRPr="00F0251C" w:rsidRDefault="00BC42DF" w:rsidP="00D24B97">
            <w:pPr>
              <w:keepNext/>
              <w:adjustRightInd w:val="0"/>
              <w:spacing w:before="20" w:after="20"/>
              <w:jc w:val="center"/>
              <w:rPr>
                <w:color w:val="000000"/>
                <w:sz w:val="22"/>
                <w:szCs w:val="22"/>
                <w:lang w:val="en-AU"/>
              </w:rPr>
            </w:pPr>
            <w:r w:rsidRPr="00F0251C">
              <w:rPr>
                <w:color w:val="000000"/>
                <w:sz w:val="22"/>
                <w:szCs w:val="22"/>
                <w:lang w:val="en-AU"/>
              </w:rPr>
              <w:t>7 (1.0%)</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5DCE93B4" w14:textId="77777777" w:rsidR="00BC42DF" w:rsidRPr="00F0251C" w:rsidRDefault="00BC42DF" w:rsidP="00D24B97">
            <w:pPr>
              <w:keepNext/>
              <w:adjustRightInd w:val="0"/>
              <w:spacing w:before="20" w:after="20"/>
              <w:jc w:val="center"/>
              <w:rPr>
                <w:color w:val="000000"/>
                <w:sz w:val="22"/>
                <w:szCs w:val="22"/>
                <w:lang w:val="en-AU"/>
              </w:rPr>
            </w:pPr>
            <w:r w:rsidRPr="00F0251C">
              <w:rPr>
                <w:color w:val="000000"/>
                <w:sz w:val="22"/>
                <w:szCs w:val="22"/>
                <w:lang w:val="en-AU"/>
              </w:rPr>
              <w:t>2 (0.3%)</w:t>
            </w:r>
          </w:p>
        </w:tc>
      </w:tr>
      <w:tr w:rsidR="00BC42DF" w:rsidRPr="00F0251C" w14:paraId="23B30C96"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3AE50098" w14:textId="77777777" w:rsidR="00BC42DF" w:rsidRPr="00F0251C" w:rsidRDefault="00BC42DF" w:rsidP="00D24B97">
            <w:pPr>
              <w:keepNext/>
              <w:adjustRightInd w:val="0"/>
              <w:spacing w:before="20" w:after="20"/>
              <w:rPr>
                <w:b/>
                <w:color w:val="000000"/>
                <w:sz w:val="22"/>
                <w:szCs w:val="22"/>
                <w:lang w:val="en-AU"/>
              </w:rPr>
            </w:pPr>
            <w:r w:rsidRPr="00F0251C">
              <w:rPr>
                <w:b/>
                <w:color w:val="000000"/>
                <w:sz w:val="22"/>
                <w:szCs w:val="22"/>
                <w:lang w:val="en-AU"/>
              </w:rPr>
              <w:t>Nervous system disorders</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7E549FC8" w14:textId="77777777" w:rsidR="00BC42DF" w:rsidRPr="00F0251C" w:rsidRDefault="00BC42DF" w:rsidP="00D24B97">
            <w:pPr>
              <w:keepNext/>
              <w:adjustRightInd w:val="0"/>
              <w:spacing w:before="20" w:after="20"/>
              <w:jc w:val="center"/>
              <w:rPr>
                <w:color w:val="000000"/>
                <w:sz w:val="22"/>
                <w:szCs w:val="22"/>
                <w:lang w:val="en-AU"/>
              </w:rPr>
            </w:pP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0F82B053" w14:textId="77777777" w:rsidR="00BC42DF" w:rsidRPr="00F0251C" w:rsidRDefault="00BC42DF" w:rsidP="00D24B97">
            <w:pPr>
              <w:keepNext/>
              <w:adjustRightInd w:val="0"/>
              <w:spacing w:before="20" w:after="20"/>
              <w:jc w:val="center"/>
              <w:rPr>
                <w:color w:val="000000"/>
                <w:sz w:val="22"/>
                <w:szCs w:val="22"/>
                <w:lang w:val="en-AU"/>
              </w:rPr>
            </w:pPr>
          </w:p>
        </w:tc>
      </w:tr>
      <w:tr w:rsidR="00BC42DF" w:rsidRPr="00F0251C" w14:paraId="3FFE0774"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26F6A552" w14:textId="77777777" w:rsidR="00BC42DF" w:rsidRPr="00F0251C" w:rsidRDefault="00BC42DF" w:rsidP="00D24B97">
            <w:pPr>
              <w:keepNext/>
              <w:adjustRightInd w:val="0"/>
              <w:spacing w:before="20" w:after="20"/>
              <w:rPr>
                <w:color w:val="000000"/>
                <w:sz w:val="22"/>
                <w:szCs w:val="22"/>
                <w:lang w:val="en-AU"/>
              </w:rPr>
            </w:pPr>
            <w:r w:rsidRPr="00F0251C">
              <w:rPr>
                <w:color w:val="000000"/>
                <w:sz w:val="22"/>
                <w:szCs w:val="22"/>
                <w:lang w:val="en-AU"/>
              </w:rPr>
              <w:t xml:space="preserve">     Headache</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5F30F18F" w14:textId="77777777" w:rsidR="00BC42DF" w:rsidRPr="00F0251C" w:rsidRDefault="00BC42DF" w:rsidP="00D24B97">
            <w:pPr>
              <w:keepNext/>
              <w:adjustRightInd w:val="0"/>
              <w:spacing w:before="20" w:after="20"/>
              <w:jc w:val="center"/>
              <w:rPr>
                <w:color w:val="000000"/>
                <w:sz w:val="22"/>
                <w:szCs w:val="22"/>
                <w:lang w:val="en-AU"/>
              </w:rPr>
            </w:pPr>
            <w:r w:rsidRPr="00F0251C">
              <w:rPr>
                <w:color w:val="000000"/>
                <w:sz w:val="22"/>
                <w:szCs w:val="22"/>
                <w:lang w:val="en-AU"/>
              </w:rPr>
              <w:t>12 (1.7%)</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73AFF2AF" w14:textId="77777777" w:rsidR="00BC42DF" w:rsidRPr="00F0251C" w:rsidRDefault="00BC42DF" w:rsidP="00D24B97">
            <w:pPr>
              <w:keepNext/>
              <w:adjustRightInd w:val="0"/>
              <w:spacing w:before="20" w:after="20"/>
              <w:jc w:val="center"/>
              <w:rPr>
                <w:color w:val="000000"/>
                <w:sz w:val="22"/>
                <w:szCs w:val="22"/>
                <w:lang w:val="en-AU"/>
              </w:rPr>
            </w:pPr>
            <w:r w:rsidRPr="00F0251C">
              <w:rPr>
                <w:color w:val="000000"/>
                <w:sz w:val="22"/>
                <w:szCs w:val="22"/>
                <w:lang w:val="en-AU"/>
              </w:rPr>
              <w:t>16 (2.4%)</w:t>
            </w:r>
          </w:p>
        </w:tc>
      </w:tr>
      <w:tr w:rsidR="00BC42DF" w:rsidRPr="00F0251C" w14:paraId="5D62E3F5"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0F70CBEE" w14:textId="77777777" w:rsidR="00BC42DF" w:rsidRPr="00F0251C" w:rsidRDefault="00BC42DF" w:rsidP="00D24B97">
            <w:pPr>
              <w:keepNext/>
              <w:adjustRightInd w:val="0"/>
              <w:spacing w:before="20" w:after="20"/>
              <w:rPr>
                <w:b/>
                <w:color w:val="000000"/>
                <w:sz w:val="22"/>
                <w:szCs w:val="22"/>
                <w:lang w:val="en-AU"/>
              </w:rPr>
            </w:pPr>
            <w:r w:rsidRPr="00F0251C">
              <w:rPr>
                <w:b/>
                <w:color w:val="000000"/>
                <w:sz w:val="22"/>
                <w:szCs w:val="22"/>
                <w:lang w:val="en-AU"/>
              </w:rPr>
              <w:t>Cardiac disorders</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754C1451" w14:textId="77777777" w:rsidR="00BC42DF" w:rsidRPr="00F0251C" w:rsidRDefault="00BC42DF" w:rsidP="00D24B97">
            <w:pPr>
              <w:keepNext/>
              <w:adjustRightInd w:val="0"/>
              <w:spacing w:before="20" w:after="20"/>
              <w:jc w:val="center"/>
              <w:rPr>
                <w:color w:val="000000"/>
                <w:sz w:val="22"/>
                <w:szCs w:val="22"/>
                <w:lang w:val="en-AU"/>
              </w:rPr>
            </w:pP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02B463BC" w14:textId="77777777" w:rsidR="00BC42DF" w:rsidRPr="00F0251C" w:rsidRDefault="00BC42DF" w:rsidP="00D24B97">
            <w:pPr>
              <w:keepNext/>
              <w:adjustRightInd w:val="0"/>
              <w:spacing w:before="20" w:after="20"/>
              <w:jc w:val="center"/>
              <w:rPr>
                <w:color w:val="000000"/>
                <w:sz w:val="22"/>
                <w:szCs w:val="22"/>
                <w:lang w:val="en-AU"/>
              </w:rPr>
            </w:pPr>
          </w:p>
        </w:tc>
      </w:tr>
      <w:tr w:rsidR="00BC42DF" w:rsidRPr="00F0251C" w14:paraId="3B345DB9"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35D024D8" w14:textId="77777777" w:rsidR="00BC42DF" w:rsidRPr="00F0251C" w:rsidRDefault="00BC42DF" w:rsidP="00D24B97">
            <w:pPr>
              <w:keepNext/>
              <w:adjustRightInd w:val="0"/>
              <w:spacing w:before="20" w:after="20"/>
              <w:rPr>
                <w:color w:val="000000"/>
                <w:sz w:val="22"/>
                <w:szCs w:val="22"/>
                <w:lang w:val="en-AU"/>
              </w:rPr>
            </w:pPr>
            <w:r w:rsidRPr="00F0251C">
              <w:rPr>
                <w:color w:val="000000"/>
                <w:sz w:val="22"/>
                <w:szCs w:val="22"/>
                <w:lang w:val="en-AU"/>
              </w:rPr>
              <w:t xml:space="preserve">     Atrial fibrillation</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0D224019" w14:textId="77777777" w:rsidR="00BC42DF" w:rsidRPr="00F0251C" w:rsidRDefault="00BC42DF" w:rsidP="00D24B97">
            <w:pPr>
              <w:keepNext/>
              <w:adjustRightInd w:val="0"/>
              <w:spacing w:before="20" w:after="20"/>
              <w:jc w:val="center"/>
              <w:rPr>
                <w:color w:val="000000"/>
                <w:sz w:val="22"/>
                <w:szCs w:val="22"/>
                <w:lang w:val="en-AU"/>
              </w:rPr>
            </w:pPr>
            <w:r w:rsidRPr="00F0251C">
              <w:rPr>
                <w:color w:val="000000"/>
                <w:sz w:val="22"/>
                <w:szCs w:val="22"/>
                <w:lang w:val="en-AU"/>
              </w:rPr>
              <w:t>10 (1.5%)</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7601B973" w14:textId="77777777" w:rsidR="00BC42DF" w:rsidRPr="00F0251C" w:rsidRDefault="00BC42DF" w:rsidP="00D24B97">
            <w:pPr>
              <w:keepNext/>
              <w:adjustRightInd w:val="0"/>
              <w:spacing w:before="20" w:after="20"/>
              <w:jc w:val="center"/>
              <w:rPr>
                <w:color w:val="000000"/>
                <w:sz w:val="22"/>
                <w:szCs w:val="22"/>
                <w:lang w:val="en-AU"/>
              </w:rPr>
            </w:pPr>
            <w:r w:rsidRPr="00F0251C">
              <w:rPr>
                <w:color w:val="000000"/>
                <w:sz w:val="22"/>
                <w:szCs w:val="22"/>
                <w:lang w:val="en-AU"/>
              </w:rPr>
              <w:t>9 (1.3%)</w:t>
            </w:r>
          </w:p>
        </w:tc>
      </w:tr>
      <w:tr w:rsidR="00BC42DF" w:rsidRPr="00F0251C" w14:paraId="1399F331"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62FC603D" w14:textId="77777777" w:rsidR="00BC42DF" w:rsidRPr="00F0251C" w:rsidRDefault="00BC42DF" w:rsidP="00D24B97">
            <w:pPr>
              <w:keepNext/>
              <w:adjustRightInd w:val="0"/>
              <w:spacing w:before="20" w:after="20"/>
              <w:rPr>
                <w:color w:val="000000"/>
                <w:sz w:val="22"/>
                <w:szCs w:val="22"/>
                <w:lang w:val="en-AU"/>
              </w:rPr>
            </w:pPr>
            <w:r w:rsidRPr="00F0251C">
              <w:rPr>
                <w:color w:val="000000"/>
                <w:sz w:val="22"/>
                <w:szCs w:val="22"/>
                <w:lang w:val="en-AU"/>
              </w:rPr>
              <w:t xml:space="preserve">     Cardiac failure</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070502CB" w14:textId="77777777" w:rsidR="00BC42DF" w:rsidRPr="00F0251C" w:rsidRDefault="00BC42DF" w:rsidP="00D24B97">
            <w:pPr>
              <w:keepNext/>
              <w:adjustRightInd w:val="0"/>
              <w:spacing w:before="20" w:after="20"/>
              <w:jc w:val="center"/>
              <w:rPr>
                <w:color w:val="000000"/>
                <w:sz w:val="22"/>
                <w:szCs w:val="22"/>
                <w:lang w:val="en-AU"/>
              </w:rPr>
            </w:pPr>
            <w:r w:rsidRPr="00F0251C">
              <w:rPr>
                <w:color w:val="000000"/>
                <w:sz w:val="22"/>
                <w:szCs w:val="22"/>
                <w:lang w:val="en-AU"/>
              </w:rPr>
              <w:t>7 (1.0%)</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6648D82C" w14:textId="77777777" w:rsidR="00BC42DF" w:rsidRPr="00F0251C" w:rsidRDefault="00BC42DF" w:rsidP="00D24B97">
            <w:pPr>
              <w:keepNext/>
              <w:adjustRightInd w:val="0"/>
              <w:spacing w:before="20" w:after="20"/>
              <w:jc w:val="center"/>
              <w:rPr>
                <w:color w:val="000000"/>
                <w:sz w:val="22"/>
                <w:szCs w:val="22"/>
                <w:lang w:val="en-AU"/>
              </w:rPr>
            </w:pPr>
            <w:r w:rsidRPr="00F0251C">
              <w:rPr>
                <w:color w:val="000000"/>
                <w:sz w:val="22"/>
                <w:szCs w:val="22"/>
                <w:lang w:val="en-AU"/>
              </w:rPr>
              <w:t>5 (0.7%)</w:t>
            </w:r>
          </w:p>
        </w:tc>
      </w:tr>
      <w:tr w:rsidR="00BC42DF" w:rsidRPr="00F0251C" w14:paraId="36794216"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14136529" w14:textId="77777777" w:rsidR="00BC42DF" w:rsidRPr="00F0251C" w:rsidRDefault="00BC42DF" w:rsidP="00D24B97">
            <w:pPr>
              <w:adjustRightInd w:val="0"/>
              <w:spacing w:before="20" w:after="20"/>
              <w:rPr>
                <w:b/>
                <w:bCs/>
                <w:color w:val="000000"/>
                <w:sz w:val="22"/>
                <w:szCs w:val="22"/>
                <w:lang w:val="en-AU"/>
              </w:rPr>
            </w:pPr>
            <w:r w:rsidRPr="00F0251C">
              <w:rPr>
                <w:b/>
                <w:bCs/>
                <w:color w:val="000000"/>
                <w:sz w:val="22"/>
                <w:szCs w:val="22"/>
                <w:lang w:val="en-AU"/>
              </w:rPr>
              <w:t>Vascular disorders</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471C9EE0" w14:textId="77777777" w:rsidR="00BC42DF" w:rsidRPr="00F0251C" w:rsidRDefault="00BC42DF" w:rsidP="00D24B97">
            <w:pPr>
              <w:adjustRightInd w:val="0"/>
              <w:spacing w:before="20" w:after="20"/>
              <w:jc w:val="center"/>
              <w:rPr>
                <w:b/>
                <w:bCs/>
                <w:color w:val="000000"/>
                <w:sz w:val="22"/>
                <w:szCs w:val="22"/>
                <w:lang w:val="en-AU"/>
              </w:rPr>
            </w:pP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3007CE11" w14:textId="77777777" w:rsidR="00BC42DF" w:rsidRPr="00F0251C" w:rsidRDefault="00BC42DF" w:rsidP="00D24B97">
            <w:pPr>
              <w:adjustRightInd w:val="0"/>
              <w:spacing w:before="20" w:after="20"/>
              <w:jc w:val="center"/>
              <w:rPr>
                <w:b/>
                <w:bCs/>
                <w:color w:val="000000"/>
                <w:sz w:val="22"/>
                <w:szCs w:val="22"/>
                <w:lang w:val="en-AU"/>
              </w:rPr>
            </w:pPr>
          </w:p>
        </w:tc>
      </w:tr>
      <w:tr w:rsidR="00BC42DF" w:rsidRPr="00F0251C" w14:paraId="5BD80EDA"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64E90CA6" w14:textId="77777777" w:rsidR="00BC42DF" w:rsidRPr="00F0251C" w:rsidRDefault="00BC42DF" w:rsidP="00D24B97">
            <w:pPr>
              <w:adjustRightInd w:val="0"/>
              <w:spacing w:before="20" w:after="20"/>
              <w:rPr>
                <w:color w:val="000000"/>
                <w:sz w:val="22"/>
                <w:szCs w:val="22"/>
                <w:lang w:val="en-AU"/>
              </w:rPr>
            </w:pPr>
            <w:r w:rsidRPr="00F0251C">
              <w:rPr>
                <w:color w:val="000000"/>
                <w:sz w:val="22"/>
                <w:szCs w:val="22"/>
                <w:lang w:val="en-AU"/>
              </w:rPr>
              <w:t xml:space="preserve">     Hypertension</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5B972128"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20 (2.9%)</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4FDFE81A"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16 (2.4%)</w:t>
            </w:r>
          </w:p>
        </w:tc>
      </w:tr>
      <w:tr w:rsidR="00BC42DF" w:rsidRPr="00F0251C" w14:paraId="09B59891"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0ABEA022" w14:textId="77777777" w:rsidR="00BC42DF" w:rsidRPr="00F0251C" w:rsidRDefault="00BC42DF" w:rsidP="00D24B97">
            <w:pPr>
              <w:adjustRightInd w:val="0"/>
              <w:spacing w:before="20" w:after="20"/>
              <w:rPr>
                <w:b/>
                <w:color w:val="000000"/>
                <w:sz w:val="22"/>
                <w:szCs w:val="22"/>
                <w:lang w:val="en-AU"/>
              </w:rPr>
            </w:pPr>
            <w:r w:rsidRPr="00F0251C">
              <w:rPr>
                <w:b/>
                <w:color w:val="000000"/>
                <w:sz w:val="22"/>
                <w:szCs w:val="22"/>
                <w:lang w:val="en-AU"/>
              </w:rPr>
              <w:t>Respiratory, thoracic and mediastinal disorders</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4E11F126" w14:textId="77777777" w:rsidR="00BC42DF" w:rsidRPr="00F0251C" w:rsidRDefault="00BC42DF" w:rsidP="00D24B97">
            <w:pPr>
              <w:adjustRightInd w:val="0"/>
              <w:spacing w:before="20" w:after="20"/>
              <w:jc w:val="center"/>
              <w:rPr>
                <w:b/>
                <w:color w:val="000000"/>
                <w:sz w:val="22"/>
                <w:szCs w:val="22"/>
                <w:lang w:val="en-AU"/>
              </w:rPr>
            </w:pP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215D0C82" w14:textId="77777777" w:rsidR="00BC42DF" w:rsidRPr="00F0251C" w:rsidRDefault="00BC42DF" w:rsidP="00D24B97">
            <w:pPr>
              <w:adjustRightInd w:val="0"/>
              <w:spacing w:before="20" w:after="20"/>
              <w:jc w:val="center"/>
              <w:rPr>
                <w:b/>
                <w:color w:val="000000"/>
                <w:sz w:val="22"/>
                <w:szCs w:val="22"/>
                <w:lang w:val="en-AU"/>
              </w:rPr>
            </w:pPr>
          </w:p>
        </w:tc>
      </w:tr>
      <w:tr w:rsidR="00BC42DF" w:rsidRPr="00F0251C" w14:paraId="73149AEA"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16AAB524" w14:textId="77777777" w:rsidR="00BC42DF" w:rsidRPr="00F0251C" w:rsidRDefault="00BC42DF" w:rsidP="00D24B97">
            <w:pPr>
              <w:adjustRightInd w:val="0"/>
              <w:spacing w:before="20" w:after="20"/>
              <w:rPr>
                <w:color w:val="000000"/>
                <w:sz w:val="22"/>
                <w:szCs w:val="22"/>
                <w:lang w:val="en-AU"/>
              </w:rPr>
            </w:pPr>
            <w:r w:rsidRPr="00F0251C">
              <w:rPr>
                <w:color w:val="000000"/>
                <w:sz w:val="22"/>
                <w:szCs w:val="22"/>
                <w:lang w:val="en-AU"/>
              </w:rPr>
              <w:t xml:space="preserve">     Chronic obstructive pulmonary disease</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2DF3DDFA"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214 (31.1%)</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7F9786A0"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240 (35.3%)</w:t>
            </w:r>
          </w:p>
        </w:tc>
      </w:tr>
      <w:tr w:rsidR="00BC42DF" w:rsidRPr="00F0251C" w14:paraId="443E39FD"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7887E755" w14:textId="77777777" w:rsidR="00BC42DF" w:rsidRPr="00F0251C" w:rsidRDefault="00BC42DF" w:rsidP="00D24B97">
            <w:pPr>
              <w:adjustRightInd w:val="0"/>
              <w:spacing w:before="20" w:after="20"/>
              <w:rPr>
                <w:color w:val="000000"/>
                <w:sz w:val="22"/>
                <w:szCs w:val="22"/>
                <w:lang w:val="en-AU"/>
              </w:rPr>
            </w:pPr>
            <w:r w:rsidRPr="00F0251C">
              <w:rPr>
                <w:color w:val="000000"/>
                <w:sz w:val="22"/>
                <w:szCs w:val="22"/>
                <w:lang w:val="en-AU"/>
              </w:rPr>
              <w:t xml:space="preserve">     Dyspnoea</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10C2B07A"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12 (1.7%)</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17F8F0E5"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13 (1.9%)</w:t>
            </w:r>
          </w:p>
        </w:tc>
      </w:tr>
      <w:tr w:rsidR="00BC42DF" w:rsidRPr="00F0251C" w14:paraId="27C9D681"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22436C9D" w14:textId="77777777" w:rsidR="00BC42DF" w:rsidRPr="00F0251C" w:rsidRDefault="00BC42DF" w:rsidP="00D24B97">
            <w:pPr>
              <w:adjustRightInd w:val="0"/>
              <w:spacing w:before="20" w:after="20"/>
              <w:rPr>
                <w:b/>
                <w:bCs/>
                <w:color w:val="000000"/>
                <w:sz w:val="22"/>
                <w:szCs w:val="22"/>
                <w:lang w:val="en-AU"/>
              </w:rPr>
            </w:pPr>
            <w:r w:rsidRPr="00F0251C">
              <w:rPr>
                <w:b/>
                <w:bCs/>
                <w:color w:val="000000"/>
                <w:sz w:val="22"/>
                <w:szCs w:val="22"/>
                <w:lang w:val="en-AU"/>
              </w:rPr>
              <w:t>Musculoskeletal and connective tissue disorders</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0FAA8460" w14:textId="77777777" w:rsidR="00BC42DF" w:rsidRPr="00F0251C" w:rsidRDefault="00BC42DF" w:rsidP="00D24B97">
            <w:pPr>
              <w:adjustRightInd w:val="0"/>
              <w:spacing w:before="20" w:after="20"/>
              <w:jc w:val="center"/>
              <w:rPr>
                <w:b/>
                <w:bCs/>
                <w:color w:val="000000"/>
                <w:sz w:val="22"/>
                <w:szCs w:val="22"/>
                <w:lang w:val="en-AU"/>
              </w:rPr>
            </w:pP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1BA51957" w14:textId="77777777" w:rsidR="00BC42DF" w:rsidRPr="00F0251C" w:rsidRDefault="00BC42DF" w:rsidP="00D24B97">
            <w:pPr>
              <w:adjustRightInd w:val="0"/>
              <w:spacing w:before="20" w:after="20"/>
              <w:jc w:val="center"/>
              <w:rPr>
                <w:b/>
                <w:bCs/>
                <w:color w:val="000000"/>
                <w:sz w:val="22"/>
                <w:szCs w:val="22"/>
                <w:lang w:val="en-AU"/>
              </w:rPr>
            </w:pPr>
          </w:p>
        </w:tc>
      </w:tr>
      <w:tr w:rsidR="00BC42DF" w:rsidRPr="00F0251C" w14:paraId="1BD0E79E"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0536D9AD" w14:textId="77777777" w:rsidR="00BC42DF" w:rsidRPr="00F0251C" w:rsidRDefault="00BC42DF" w:rsidP="00D24B97">
            <w:pPr>
              <w:adjustRightInd w:val="0"/>
              <w:spacing w:before="20" w:after="20"/>
              <w:rPr>
                <w:color w:val="000000"/>
                <w:sz w:val="22"/>
                <w:szCs w:val="22"/>
                <w:lang w:val="en-AU"/>
              </w:rPr>
            </w:pPr>
            <w:r w:rsidRPr="00F0251C">
              <w:rPr>
                <w:color w:val="000000"/>
                <w:sz w:val="22"/>
                <w:szCs w:val="22"/>
                <w:lang w:val="en-AU"/>
              </w:rPr>
              <w:t xml:space="preserve">     Muscle spasms</w:t>
            </w:r>
          </w:p>
        </w:tc>
        <w:tc>
          <w:tcPr>
            <w:tcW w:w="3119" w:type="dxa"/>
            <w:tcBorders>
              <w:top w:val="nil"/>
              <w:left w:val="single" w:sz="2" w:space="0" w:color="000000"/>
              <w:bottom w:val="single" w:sz="2" w:space="0" w:color="000000"/>
              <w:right w:val="nil"/>
            </w:tcBorders>
            <w:shd w:val="clear" w:color="auto" w:fill="FFFFFF"/>
            <w:tcMar>
              <w:left w:w="20" w:type="dxa"/>
              <w:right w:w="20" w:type="dxa"/>
            </w:tcMar>
            <w:vAlign w:val="center"/>
          </w:tcPr>
          <w:p w14:paraId="244967EA"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8 (1.2%)</w:t>
            </w:r>
          </w:p>
        </w:tc>
        <w:tc>
          <w:tcPr>
            <w:tcW w:w="255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2F2439FA" w14:textId="77777777" w:rsidR="00BC42DF" w:rsidRPr="00F0251C" w:rsidRDefault="00BC42DF" w:rsidP="00D24B97">
            <w:pPr>
              <w:adjustRightInd w:val="0"/>
              <w:spacing w:before="20" w:after="20"/>
              <w:jc w:val="center"/>
              <w:rPr>
                <w:color w:val="000000"/>
                <w:sz w:val="22"/>
                <w:szCs w:val="22"/>
                <w:lang w:val="en-AU"/>
              </w:rPr>
            </w:pPr>
            <w:r w:rsidRPr="00F0251C">
              <w:rPr>
                <w:color w:val="000000"/>
                <w:sz w:val="22"/>
                <w:szCs w:val="22"/>
                <w:lang w:val="en-AU"/>
              </w:rPr>
              <w:t>4 (0.6%)</w:t>
            </w:r>
          </w:p>
        </w:tc>
      </w:tr>
    </w:tbl>
    <w:p w14:paraId="76B9B01B" w14:textId="463E947C" w:rsidR="000D0C4A" w:rsidRPr="00F0251C" w:rsidRDefault="000D0C4A" w:rsidP="000D0C4A">
      <w:pPr>
        <w:rPr>
          <w:lang w:val="en-AU"/>
        </w:rPr>
      </w:pPr>
      <w:r w:rsidRPr="00F0251C">
        <w:rPr>
          <w:lang w:val="en-AU"/>
        </w:rPr>
        <w:t>BDP/FF/GB = beclometasone dipropionate/formoterol fumarate/glycopyrronium bromide (TRIMBOW)</w:t>
      </w:r>
    </w:p>
    <w:p w14:paraId="4CA5E3E2" w14:textId="77777777" w:rsidR="000D0C4A" w:rsidRPr="00F0251C" w:rsidRDefault="000D0C4A" w:rsidP="000D0C4A">
      <w:pPr>
        <w:ind w:firstLine="426"/>
        <w:rPr>
          <w:lang w:val="en-AU"/>
        </w:rPr>
      </w:pPr>
      <w:r w:rsidRPr="00F0251C">
        <w:rPr>
          <w:lang w:val="en-AU"/>
        </w:rPr>
        <w:t>BDP/FF = beclometasone dipropionate/formoterol fumarate</w:t>
      </w:r>
    </w:p>
    <w:p w14:paraId="13243A7C" w14:textId="77777777" w:rsidR="000D0C4A" w:rsidRPr="00F0251C" w:rsidRDefault="000D0C4A" w:rsidP="000D0C4A">
      <w:pPr>
        <w:ind w:firstLine="426"/>
        <w:rPr>
          <w:lang w:val="en-AU"/>
        </w:rPr>
      </w:pPr>
      <w:r w:rsidRPr="00F0251C">
        <w:rPr>
          <w:vertAlign w:val="superscript"/>
          <w:lang w:val="en-AU"/>
        </w:rPr>
        <w:t>#</w:t>
      </w:r>
      <w:r w:rsidRPr="00F0251C">
        <w:rPr>
          <w:lang w:val="en-AU"/>
        </w:rPr>
        <w:t>Total daily dose</w:t>
      </w:r>
    </w:p>
    <w:p w14:paraId="6FE4514E" w14:textId="77777777" w:rsidR="000D0C4A" w:rsidRPr="00F0251C" w:rsidRDefault="000D0C4A" w:rsidP="000D0C4A">
      <w:pPr>
        <w:ind w:left="-142" w:firstLine="568"/>
        <w:rPr>
          <w:lang w:val="en-AU"/>
        </w:rPr>
      </w:pPr>
      <w:r w:rsidRPr="00F0251C">
        <w:rPr>
          <w:lang w:val="en-AU"/>
        </w:rPr>
        <w:t xml:space="preserve">*Includes preferred terms of </w:t>
      </w:r>
      <w:r w:rsidRPr="00F0251C">
        <w:rPr>
          <w:lang w:val="en-AU" w:eastAsia="en-US"/>
        </w:rPr>
        <w:t>bronchopneumonia, pneumonia and pneumonia aspiration</w:t>
      </w:r>
    </w:p>
    <w:p w14:paraId="4DC6E05F" w14:textId="6D95DD8F" w:rsidR="00BC42DF" w:rsidRDefault="00BC42DF" w:rsidP="00BC42DF">
      <w:pPr>
        <w:pStyle w:val="NoSpacing"/>
        <w:rPr>
          <w:noProof/>
          <w:sz w:val="24"/>
          <w:szCs w:val="24"/>
          <w:lang w:val="en-AU"/>
        </w:rPr>
      </w:pPr>
    </w:p>
    <w:p w14:paraId="73C5BE5D" w14:textId="21E1C003" w:rsidR="000D0C4A" w:rsidRPr="00F0251C" w:rsidRDefault="000D0C4A" w:rsidP="000D0C4A">
      <w:pPr>
        <w:pStyle w:val="NoSpacing"/>
        <w:ind w:left="360"/>
        <w:jc w:val="both"/>
        <w:rPr>
          <w:b/>
          <w:sz w:val="24"/>
          <w:szCs w:val="24"/>
          <w:lang w:val="en-AU"/>
        </w:rPr>
      </w:pPr>
      <w:r w:rsidRPr="00F0251C">
        <w:rPr>
          <w:b/>
          <w:sz w:val="24"/>
          <w:szCs w:val="24"/>
          <w:lang w:val="en-AU"/>
        </w:rPr>
        <w:t xml:space="preserve">Table 2: Adverse events with </w:t>
      </w:r>
      <w:r w:rsidR="004E5D2B">
        <w:rPr>
          <w:noProof/>
          <w:sz w:val="24"/>
          <w:szCs w:val="24"/>
          <w:lang w:val="en-AU"/>
        </w:rPr>
        <w:sym w:font="Symbol" w:char="F0B3"/>
      </w:r>
      <w:r w:rsidRPr="00F0251C">
        <w:rPr>
          <w:b/>
          <w:sz w:val="24"/>
          <w:szCs w:val="24"/>
          <w:lang w:val="en-AU"/>
        </w:rPr>
        <w:t>1% incidence with TRIMBOW in TRINITY clinical trial (</w:t>
      </w:r>
      <w:r w:rsidRPr="00F0251C">
        <w:rPr>
          <w:rFonts w:eastAsia="Calibri"/>
          <w:b/>
          <w:bCs/>
          <w:sz w:val="24"/>
          <w:szCs w:val="24"/>
          <w:lang w:val="en-AU" w:eastAsia="en-US"/>
        </w:rPr>
        <w:t>CCD-1208-PR-0090)</w:t>
      </w:r>
    </w:p>
    <w:tbl>
      <w:tblPr>
        <w:tblW w:w="9773" w:type="dxa"/>
        <w:jc w:val="center"/>
        <w:tblLayout w:type="fixed"/>
        <w:tblCellMar>
          <w:left w:w="0" w:type="dxa"/>
          <w:right w:w="0" w:type="dxa"/>
        </w:tblCellMar>
        <w:tblLook w:val="0000" w:firstRow="0" w:lastRow="0" w:firstColumn="0" w:lastColumn="0" w:noHBand="0" w:noVBand="0"/>
      </w:tblPr>
      <w:tblGrid>
        <w:gridCol w:w="4103"/>
        <w:gridCol w:w="2268"/>
        <w:gridCol w:w="1701"/>
        <w:gridCol w:w="1701"/>
      </w:tblGrid>
      <w:tr w:rsidR="000D0C4A" w:rsidRPr="00F0251C" w14:paraId="190E9F2A" w14:textId="77777777" w:rsidTr="004E5D2B">
        <w:trPr>
          <w:cantSplit/>
          <w:tblHeader/>
          <w:jc w:val="center"/>
        </w:trPr>
        <w:tc>
          <w:tcPr>
            <w:tcW w:w="4103" w:type="dxa"/>
            <w:tcBorders>
              <w:top w:val="single" w:sz="6" w:space="0" w:color="000000"/>
              <w:left w:val="single" w:sz="6" w:space="0" w:color="000000"/>
              <w:bottom w:val="single" w:sz="2" w:space="0" w:color="000000"/>
              <w:right w:val="nil"/>
            </w:tcBorders>
            <w:shd w:val="clear" w:color="auto" w:fill="F2F2F2"/>
            <w:tcMar>
              <w:left w:w="20" w:type="dxa"/>
              <w:right w:w="20" w:type="dxa"/>
            </w:tcMar>
            <w:vAlign w:val="center"/>
          </w:tcPr>
          <w:p w14:paraId="0424F997" w14:textId="77777777" w:rsidR="000D0C4A" w:rsidRPr="00F0251C" w:rsidRDefault="000D0C4A" w:rsidP="00D24B97">
            <w:pPr>
              <w:keepNext/>
              <w:autoSpaceDE w:val="0"/>
              <w:autoSpaceDN w:val="0"/>
              <w:adjustRightInd w:val="0"/>
              <w:spacing w:before="20" w:after="20"/>
              <w:jc w:val="center"/>
              <w:rPr>
                <w:b/>
                <w:bCs/>
                <w:color w:val="000000"/>
                <w:sz w:val="22"/>
                <w:szCs w:val="22"/>
                <w:lang w:val="en-AU"/>
              </w:rPr>
            </w:pPr>
          </w:p>
        </w:tc>
        <w:tc>
          <w:tcPr>
            <w:tcW w:w="2268" w:type="dxa"/>
            <w:tcBorders>
              <w:top w:val="single" w:sz="6" w:space="0" w:color="000000"/>
              <w:left w:val="single" w:sz="2" w:space="0" w:color="000000"/>
              <w:bottom w:val="single" w:sz="2" w:space="0" w:color="000000"/>
              <w:right w:val="nil"/>
            </w:tcBorders>
            <w:shd w:val="clear" w:color="auto" w:fill="F2F2F2"/>
            <w:tcMar>
              <w:left w:w="20" w:type="dxa"/>
              <w:right w:w="20" w:type="dxa"/>
            </w:tcMar>
            <w:vAlign w:val="center"/>
          </w:tcPr>
          <w:p w14:paraId="1987B674" w14:textId="77777777" w:rsidR="000D0C4A" w:rsidRPr="00A30CE5" w:rsidRDefault="000D0C4A" w:rsidP="00D24B97">
            <w:pPr>
              <w:keepNext/>
              <w:autoSpaceDE w:val="0"/>
              <w:autoSpaceDN w:val="0"/>
              <w:adjustRightInd w:val="0"/>
              <w:spacing w:before="20" w:after="20"/>
              <w:jc w:val="center"/>
              <w:rPr>
                <w:b/>
                <w:bCs/>
                <w:color w:val="000000"/>
                <w:sz w:val="22"/>
                <w:szCs w:val="22"/>
                <w:lang w:val="pt-BR"/>
              </w:rPr>
            </w:pPr>
            <w:r w:rsidRPr="00A30CE5">
              <w:rPr>
                <w:b/>
                <w:sz w:val="22"/>
                <w:szCs w:val="22"/>
                <w:lang w:val="pt-BR"/>
              </w:rPr>
              <w:t>BDP/FF/GB 400/24/50 mcg</w:t>
            </w:r>
            <w:r w:rsidRPr="00A30CE5">
              <w:rPr>
                <w:b/>
                <w:sz w:val="22"/>
                <w:szCs w:val="22"/>
                <w:vertAlign w:val="superscript"/>
                <w:lang w:val="pt-BR"/>
              </w:rPr>
              <w:t>#</w:t>
            </w:r>
            <w:r w:rsidRPr="00A30CE5">
              <w:rPr>
                <w:b/>
                <w:bCs/>
                <w:color w:val="000000"/>
                <w:sz w:val="22"/>
                <w:szCs w:val="22"/>
                <w:lang w:val="pt-BR"/>
              </w:rPr>
              <w:br/>
              <w:t>N=1077</w:t>
            </w:r>
          </w:p>
        </w:tc>
        <w:tc>
          <w:tcPr>
            <w:tcW w:w="1701" w:type="dxa"/>
            <w:tcBorders>
              <w:top w:val="single" w:sz="6" w:space="0" w:color="000000"/>
              <w:left w:val="single" w:sz="2" w:space="0" w:color="000000"/>
              <w:bottom w:val="single" w:sz="2" w:space="0" w:color="000000"/>
              <w:right w:val="nil"/>
            </w:tcBorders>
            <w:shd w:val="clear" w:color="auto" w:fill="F2F2F2"/>
            <w:tcMar>
              <w:left w:w="20" w:type="dxa"/>
              <w:right w:w="20" w:type="dxa"/>
            </w:tcMar>
            <w:vAlign w:val="center"/>
          </w:tcPr>
          <w:p w14:paraId="066F3425" w14:textId="77777777" w:rsidR="000D0C4A" w:rsidRPr="00F0251C" w:rsidRDefault="000D0C4A" w:rsidP="00D24B97">
            <w:pPr>
              <w:keepNext/>
              <w:autoSpaceDE w:val="0"/>
              <w:autoSpaceDN w:val="0"/>
              <w:adjustRightInd w:val="0"/>
              <w:spacing w:before="20" w:after="20"/>
              <w:jc w:val="center"/>
              <w:rPr>
                <w:b/>
                <w:bCs/>
                <w:color w:val="000000"/>
                <w:sz w:val="22"/>
                <w:szCs w:val="22"/>
                <w:lang w:val="en-AU"/>
              </w:rPr>
            </w:pPr>
            <w:r w:rsidRPr="00F0251C">
              <w:rPr>
                <w:b/>
                <w:sz w:val="22"/>
                <w:szCs w:val="22"/>
                <w:lang w:val="en-AU"/>
              </w:rPr>
              <w:t>Tiotropium 18 mcg</w:t>
            </w:r>
            <w:r w:rsidRPr="00F0251C">
              <w:rPr>
                <w:b/>
                <w:sz w:val="22"/>
                <w:szCs w:val="22"/>
                <w:vertAlign w:val="superscript"/>
                <w:lang w:val="en-AU"/>
              </w:rPr>
              <w:t>#</w:t>
            </w:r>
            <w:r w:rsidRPr="00F0251C">
              <w:rPr>
                <w:b/>
                <w:sz w:val="22"/>
                <w:szCs w:val="22"/>
                <w:lang w:val="en-AU"/>
              </w:rPr>
              <w:br/>
            </w:r>
            <w:r w:rsidRPr="00F0251C">
              <w:rPr>
                <w:b/>
                <w:bCs/>
                <w:color w:val="000000"/>
                <w:sz w:val="22"/>
                <w:szCs w:val="22"/>
                <w:lang w:val="en-AU"/>
              </w:rPr>
              <w:t>N=1076</w:t>
            </w:r>
          </w:p>
        </w:tc>
        <w:tc>
          <w:tcPr>
            <w:tcW w:w="1701" w:type="dxa"/>
            <w:tcBorders>
              <w:top w:val="single" w:sz="6" w:space="0" w:color="000000"/>
              <w:left w:val="single" w:sz="2" w:space="0" w:color="000000"/>
              <w:bottom w:val="single" w:sz="2" w:space="0" w:color="000000"/>
              <w:right w:val="single" w:sz="6" w:space="0" w:color="000000"/>
            </w:tcBorders>
            <w:shd w:val="clear" w:color="auto" w:fill="F2F2F2"/>
            <w:tcMar>
              <w:left w:w="20" w:type="dxa"/>
              <w:right w:w="20" w:type="dxa"/>
            </w:tcMar>
            <w:vAlign w:val="center"/>
          </w:tcPr>
          <w:p w14:paraId="7330252A" w14:textId="77777777" w:rsidR="000D0C4A" w:rsidRPr="00F0251C" w:rsidRDefault="000D0C4A" w:rsidP="00D24B97">
            <w:pPr>
              <w:keepNext/>
              <w:autoSpaceDE w:val="0"/>
              <w:autoSpaceDN w:val="0"/>
              <w:adjustRightInd w:val="0"/>
              <w:spacing w:before="20" w:after="20"/>
              <w:jc w:val="center"/>
              <w:rPr>
                <w:b/>
                <w:bCs/>
                <w:color w:val="000000"/>
                <w:sz w:val="22"/>
                <w:szCs w:val="22"/>
                <w:lang w:val="en-AU"/>
              </w:rPr>
            </w:pPr>
            <w:r w:rsidRPr="00F0251C">
              <w:rPr>
                <w:b/>
                <w:bCs/>
                <w:color w:val="000000"/>
                <w:sz w:val="22"/>
                <w:szCs w:val="22"/>
                <w:lang w:val="en-AU"/>
              </w:rPr>
              <w:t>BDP/FF 400/24 µg + Tiotropium 18 mcg</w:t>
            </w:r>
            <w:r w:rsidRPr="00F0251C">
              <w:rPr>
                <w:b/>
                <w:bCs/>
                <w:color w:val="000000"/>
                <w:sz w:val="22"/>
                <w:szCs w:val="22"/>
                <w:vertAlign w:val="superscript"/>
                <w:lang w:val="en-AU"/>
              </w:rPr>
              <w:t>#</w:t>
            </w:r>
            <w:r w:rsidRPr="00F0251C">
              <w:rPr>
                <w:b/>
                <w:bCs/>
                <w:color w:val="000000"/>
                <w:sz w:val="22"/>
                <w:szCs w:val="22"/>
                <w:lang w:val="en-AU"/>
              </w:rPr>
              <w:br/>
              <w:t>N=537</w:t>
            </w:r>
          </w:p>
        </w:tc>
      </w:tr>
      <w:tr w:rsidR="000D0C4A" w:rsidRPr="00F0251C" w14:paraId="5C6AE5D4" w14:textId="77777777" w:rsidTr="004E5D2B">
        <w:trPr>
          <w:cantSplit/>
          <w:tblHeader/>
          <w:jc w:val="center"/>
        </w:trPr>
        <w:tc>
          <w:tcPr>
            <w:tcW w:w="4103" w:type="dxa"/>
            <w:tcBorders>
              <w:top w:val="nil"/>
              <w:left w:val="single" w:sz="6" w:space="0" w:color="000000"/>
              <w:bottom w:val="single" w:sz="2" w:space="0" w:color="000000"/>
              <w:right w:val="nil"/>
            </w:tcBorders>
            <w:shd w:val="clear" w:color="auto" w:fill="F2F2F2"/>
            <w:tcMar>
              <w:left w:w="20" w:type="dxa"/>
              <w:right w:w="20" w:type="dxa"/>
            </w:tcMar>
            <w:vAlign w:val="center"/>
          </w:tcPr>
          <w:p w14:paraId="60FCDF1B" w14:textId="77777777" w:rsidR="000D0C4A" w:rsidRPr="00F0251C" w:rsidRDefault="000D0C4A" w:rsidP="00D24B97">
            <w:pPr>
              <w:keepNext/>
              <w:autoSpaceDE w:val="0"/>
              <w:autoSpaceDN w:val="0"/>
              <w:adjustRightInd w:val="0"/>
              <w:spacing w:before="20" w:after="20"/>
              <w:rPr>
                <w:b/>
                <w:bCs/>
                <w:color w:val="000000"/>
                <w:sz w:val="22"/>
                <w:szCs w:val="22"/>
                <w:lang w:val="en-AU"/>
              </w:rPr>
            </w:pPr>
            <w:r w:rsidRPr="00F0251C">
              <w:rPr>
                <w:b/>
                <w:bCs/>
                <w:color w:val="000000"/>
                <w:sz w:val="22"/>
                <w:szCs w:val="22"/>
                <w:lang w:val="en-AU"/>
              </w:rPr>
              <w:t>System Organ Class</w:t>
            </w:r>
            <w:r w:rsidRPr="00F0251C">
              <w:rPr>
                <w:color w:val="000000"/>
                <w:sz w:val="22"/>
                <w:szCs w:val="22"/>
                <w:lang w:val="en-AU"/>
              </w:rPr>
              <w:t>, Preferred Term</w:t>
            </w:r>
          </w:p>
        </w:tc>
        <w:tc>
          <w:tcPr>
            <w:tcW w:w="2268" w:type="dxa"/>
            <w:tcBorders>
              <w:top w:val="nil"/>
              <w:left w:val="single" w:sz="2" w:space="0" w:color="000000"/>
              <w:bottom w:val="single" w:sz="2" w:space="0" w:color="000000"/>
              <w:right w:val="nil"/>
            </w:tcBorders>
            <w:shd w:val="clear" w:color="auto" w:fill="F2F2F2"/>
            <w:tcMar>
              <w:left w:w="20" w:type="dxa"/>
              <w:right w:w="20" w:type="dxa"/>
            </w:tcMar>
            <w:vAlign w:val="center"/>
          </w:tcPr>
          <w:p w14:paraId="6007E845" w14:textId="77777777" w:rsidR="000D0C4A" w:rsidRPr="00F0251C" w:rsidRDefault="000D0C4A" w:rsidP="00D24B97">
            <w:pPr>
              <w:keepNext/>
              <w:autoSpaceDE w:val="0"/>
              <w:autoSpaceDN w:val="0"/>
              <w:adjustRightInd w:val="0"/>
              <w:spacing w:before="20" w:after="20"/>
              <w:jc w:val="center"/>
              <w:rPr>
                <w:b/>
                <w:bCs/>
                <w:color w:val="000000"/>
                <w:sz w:val="22"/>
                <w:szCs w:val="22"/>
                <w:lang w:val="en-AU"/>
              </w:rPr>
            </w:pPr>
            <w:r w:rsidRPr="00F0251C">
              <w:rPr>
                <w:b/>
                <w:bCs/>
                <w:color w:val="000000"/>
                <w:sz w:val="22"/>
                <w:szCs w:val="22"/>
                <w:lang w:val="en-AU"/>
              </w:rPr>
              <w:t>Number of patients (%)</w:t>
            </w:r>
          </w:p>
        </w:tc>
        <w:tc>
          <w:tcPr>
            <w:tcW w:w="1701" w:type="dxa"/>
            <w:tcBorders>
              <w:top w:val="nil"/>
              <w:left w:val="single" w:sz="2" w:space="0" w:color="000000"/>
              <w:bottom w:val="single" w:sz="2" w:space="0" w:color="000000"/>
              <w:right w:val="nil"/>
            </w:tcBorders>
            <w:shd w:val="clear" w:color="auto" w:fill="F2F2F2"/>
            <w:tcMar>
              <w:left w:w="20" w:type="dxa"/>
              <w:right w:w="20" w:type="dxa"/>
            </w:tcMar>
            <w:vAlign w:val="center"/>
          </w:tcPr>
          <w:p w14:paraId="2A669AA0" w14:textId="77777777" w:rsidR="000D0C4A" w:rsidRPr="00F0251C" w:rsidRDefault="000D0C4A" w:rsidP="00D24B97">
            <w:pPr>
              <w:keepNext/>
              <w:autoSpaceDE w:val="0"/>
              <w:autoSpaceDN w:val="0"/>
              <w:adjustRightInd w:val="0"/>
              <w:spacing w:before="20" w:after="20"/>
              <w:jc w:val="center"/>
              <w:rPr>
                <w:b/>
                <w:bCs/>
                <w:color w:val="000000"/>
                <w:sz w:val="22"/>
                <w:szCs w:val="22"/>
                <w:lang w:val="en-AU"/>
              </w:rPr>
            </w:pPr>
            <w:r w:rsidRPr="00F0251C">
              <w:rPr>
                <w:b/>
                <w:bCs/>
                <w:color w:val="000000"/>
                <w:sz w:val="22"/>
                <w:szCs w:val="22"/>
                <w:lang w:val="en-AU"/>
              </w:rPr>
              <w:t>Number of patients (%)</w:t>
            </w:r>
          </w:p>
        </w:tc>
        <w:tc>
          <w:tcPr>
            <w:tcW w:w="1701" w:type="dxa"/>
            <w:tcBorders>
              <w:top w:val="nil"/>
              <w:left w:val="single" w:sz="2" w:space="0" w:color="000000"/>
              <w:bottom w:val="single" w:sz="2" w:space="0" w:color="000000"/>
              <w:right w:val="single" w:sz="6" w:space="0" w:color="000000"/>
            </w:tcBorders>
            <w:shd w:val="clear" w:color="auto" w:fill="F2F2F2"/>
            <w:tcMar>
              <w:left w:w="20" w:type="dxa"/>
              <w:right w:w="20" w:type="dxa"/>
            </w:tcMar>
            <w:vAlign w:val="center"/>
          </w:tcPr>
          <w:p w14:paraId="3D46B3C2" w14:textId="77777777" w:rsidR="000D0C4A" w:rsidRPr="00F0251C" w:rsidRDefault="000D0C4A" w:rsidP="00D24B97">
            <w:pPr>
              <w:keepNext/>
              <w:autoSpaceDE w:val="0"/>
              <w:autoSpaceDN w:val="0"/>
              <w:adjustRightInd w:val="0"/>
              <w:spacing w:before="20" w:after="20"/>
              <w:jc w:val="center"/>
              <w:rPr>
                <w:b/>
                <w:bCs/>
                <w:color w:val="000000"/>
                <w:sz w:val="22"/>
                <w:szCs w:val="22"/>
                <w:lang w:val="en-AU"/>
              </w:rPr>
            </w:pPr>
            <w:r w:rsidRPr="00F0251C">
              <w:rPr>
                <w:b/>
                <w:bCs/>
                <w:color w:val="000000"/>
                <w:sz w:val="22"/>
                <w:szCs w:val="22"/>
                <w:lang w:val="en-AU"/>
              </w:rPr>
              <w:t>Number of patients (%)</w:t>
            </w:r>
          </w:p>
        </w:tc>
      </w:tr>
      <w:tr w:rsidR="000D0C4A" w:rsidRPr="00F0251C" w14:paraId="0135A7D6"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0BFFD361" w14:textId="77777777" w:rsidR="000D0C4A" w:rsidRPr="00F0251C" w:rsidRDefault="000D0C4A" w:rsidP="00D24B97">
            <w:pPr>
              <w:autoSpaceDE w:val="0"/>
              <w:autoSpaceDN w:val="0"/>
              <w:adjustRightInd w:val="0"/>
              <w:spacing w:before="20" w:after="20"/>
              <w:rPr>
                <w:b/>
                <w:bCs/>
                <w:color w:val="000000"/>
                <w:sz w:val="22"/>
                <w:szCs w:val="22"/>
                <w:lang w:val="en-AU"/>
              </w:rPr>
            </w:pPr>
            <w:r w:rsidRPr="00F0251C">
              <w:rPr>
                <w:b/>
                <w:bCs/>
                <w:color w:val="000000"/>
                <w:sz w:val="22"/>
                <w:szCs w:val="22"/>
                <w:lang w:val="en-AU"/>
              </w:rPr>
              <w:t>Infections and infestations</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705CF026" w14:textId="77777777" w:rsidR="000D0C4A" w:rsidRPr="00F0251C" w:rsidRDefault="000D0C4A" w:rsidP="00D24B97">
            <w:pPr>
              <w:autoSpaceDE w:val="0"/>
              <w:autoSpaceDN w:val="0"/>
              <w:adjustRightInd w:val="0"/>
              <w:spacing w:before="20" w:after="20"/>
              <w:jc w:val="center"/>
              <w:rPr>
                <w:b/>
                <w:bCs/>
                <w:color w:val="000000"/>
                <w:sz w:val="22"/>
                <w:szCs w:val="22"/>
                <w:lang w:val="en-AU"/>
              </w:rPr>
            </w:pP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3875DFAF" w14:textId="77777777" w:rsidR="000D0C4A" w:rsidRPr="00F0251C" w:rsidRDefault="000D0C4A" w:rsidP="00D24B97">
            <w:pPr>
              <w:autoSpaceDE w:val="0"/>
              <w:autoSpaceDN w:val="0"/>
              <w:adjustRightInd w:val="0"/>
              <w:spacing w:before="20" w:after="20"/>
              <w:jc w:val="center"/>
              <w:rPr>
                <w:b/>
                <w:bCs/>
                <w:color w:val="000000"/>
                <w:sz w:val="22"/>
                <w:szCs w:val="22"/>
                <w:lang w:val="en-AU"/>
              </w:rPr>
            </w:pP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1D131C69" w14:textId="77777777" w:rsidR="000D0C4A" w:rsidRPr="00F0251C" w:rsidRDefault="000D0C4A" w:rsidP="00D24B97">
            <w:pPr>
              <w:autoSpaceDE w:val="0"/>
              <w:autoSpaceDN w:val="0"/>
              <w:adjustRightInd w:val="0"/>
              <w:spacing w:before="20" w:after="20"/>
              <w:jc w:val="center"/>
              <w:rPr>
                <w:b/>
                <w:bCs/>
                <w:color w:val="000000"/>
                <w:sz w:val="22"/>
                <w:szCs w:val="22"/>
                <w:lang w:val="en-AU"/>
              </w:rPr>
            </w:pPr>
          </w:p>
        </w:tc>
      </w:tr>
      <w:tr w:rsidR="000D0C4A" w:rsidRPr="00F0251C" w14:paraId="343BDACF"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02747F5C" w14:textId="77777777" w:rsidR="000D0C4A" w:rsidRPr="00F0251C" w:rsidRDefault="000D0C4A" w:rsidP="00D24B97">
            <w:pPr>
              <w:autoSpaceDE w:val="0"/>
              <w:autoSpaceDN w:val="0"/>
              <w:adjustRightInd w:val="0"/>
              <w:spacing w:before="20" w:after="20"/>
              <w:rPr>
                <w:color w:val="000000"/>
                <w:sz w:val="22"/>
                <w:szCs w:val="22"/>
                <w:lang w:val="en-AU"/>
              </w:rPr>
            </w:pPr>
            <w:r w:rsidRPr="00F0251C">
              <w:rPr>
                <w:color w:val="000000"/>
                <w:sz w:val="22"/>
                <w:szCs w:val="22"/>
                <w:lang w:val="en-AU"/>
              </w:rPr>
              <w:t xml:space="preserve">     Nasopharyngitis</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4A468BE5"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57 (5.3%)</w:t>
            </w: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0F719A42"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66 (6.1%)</w:t>
            </w: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14379AD7"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20 (3.7%)</w:t>
            </w:r>
          </w:p>
        </w:tc>
      </w:tr>
      <w:tr w:rsidR="000D0C4A" w:rsidRPr="00F0251C" w14:paraId="28FFD869"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77461395" w14:textId="77777777" w:rsidR="000D0C4A" w:rsidRPr="00F0251C" w:rsidRDefault="000D0C4A" w:rsidP="00D24B97">
            <w:pPr>
              <w:autoSpaceDE w:val="0"/>
              <w:autoSpaceDN w:val="0"/>
              <w:adjustRightInd w:val="0"/>
              <w:spacing w:before="20" w:after="20"/>
              <w:rPr>
                <w:color w:val="000000"/>
                <w:sz w:val="22"/>
                <w:szCs w:val="22"/>
                <w:lang w:val="en-AU"/>
              </w:rPr>
            </w:pPr>
            <w:r w:rsidRPr="00F0251C">
              <w:rPr>
                <w:color w:val="000000"/>
                <w:sz w:val="22"/>
                <w:szCs w:val="22"/>
                <w:lang w:val="en-AU"/>
              </w:rPr>
              <w:t xml:space="preserve">     Pneumonia*</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566A39E8"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28 (2.6%)</w:t>
            </w: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443C6002"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19 (1.8%)</w:t>
            </w: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5B3C07B0"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12 (2.2%)</w:t>
            </w:r>
          </w:p>
        </w:tc>
      </w:tr>
      <w:tr w:rsidR="000D0C4A" w:rsidRPr="00F0251C" w14:paraId="73D8289C"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7A1DF614" w14:textId="77777777" w:rsidR="000D0C4A" w:rsidRPr="00F0251C" w:rsidRDefault="000D0C4A" w:rsidP="00D24B97">
            <w:pPr>
              <w:autoSpaceDE w:val="0"/>
              <w:autoSpaceDN w:val="0"/>
              <w:adjustRightInd w:val="0"/>
              <w:spacing w:before="20" w:after="20"/>
              <w:rPr>
                <w:color w:val="000000"/>
                <w:sz w:val="22"/>
                <w:szCs w:val="22"/>
                <w:lang w:val="en-AU"/>
              </w:rPr>
            </w:pPr>
            <w:r w:rsidRPr="00F0251C">
              <w:rPr>
                <w:color w:val="000000"/>
                <w:sz w:val="22"/>
                <w:szCs w:val="22"/>
                <w:lang w:val="en-AU"/>
              </w:rPr>
              <w:t xml:space="preserve">     Respiratory tract infection viral</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6A765779"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15 (1.4%)</w:t>
            </w: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5906A0AF"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15 (1.4%)</w:t>
            </w: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6E4F50B5"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13 (2.4%)</w:t>
            </w:r>
          </w:p>
        </w:tc>
      </w:tr>
      <w:tr w:rsidR="000D0C4A" w:rsidRPr="00F0251C" w14:paraId="0005D191"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469AE86D" w14:textId="77777777" w:rsidR="000D0C4A" w:rsidRPr="00F0251C" w:rsidRDefault="000D0C4A" w:rsidP="00D24B97">
            <w:pPr>
              <w:autoSpaceDE w:val="0"/>
              <w:autoSpaceDN w:val="0"/>
              <w:adjustRightInd w:val="0"/>
              <w:spacing w:before="20" w:after="20"/>
              <w:rPr>
                <w:color w:val="000000"/>
                <w:sz w:val="22"/>
                <w:szCs w:val="22"/>
                <w:lang w:val="en-AU"/>
              </w:rPr>
            </w:pPr>
            <w:r w:rsidRPr="00F0251C">
              <w:rPr>
                <w:color w:val="000000"/>
                <w:sz w:val="22"/>
                <w:szCs w:val="22"/>
                <w:lang w:val="en-AU"/>
              </w:rPr>
              <w:t xml:space="preserve">     Influenza</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3FD36BE6"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15 (1.4%)</w:t>
            </w: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2CDF2947"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10 (0.9%)</w:t>
            </w: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083F50A7"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4 (0.7%)</w:t>
            </w:r>
          </w:p>
        </w:tc>
      </w:tr>
      <w:tr w:rsidR="000D0C4A" w:rsidRPr="00F0251C" w14:paraId="0C0614AA"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7A45524F" w14:textId="77777777" w:rsidR="000D0C4A" w:rsidRPr="00F0251C" w:rsidRDefault="000D0C4A" w:rsidP="00D24B97">
            <w:pPr>
              <w:autoSpaceDE w:val="0"/>
              <w:autoSpaceDN w:val="0"/>
              <w:adjustRightInd w:val="0"/>
              <w:spacing w:before="20" w:after="20"/>
              <w:rPr>
                <w:color w:val="000000"/>
                <w:sz w:val="22"/>
                <w:szCs w:val="22"/>
                <w:lang w:val="en-AU"/>
              </w:rPr>
            </w:pPr>
            <w:r w:rsidRPr="00F0251C">
              <w:rPr>
                <w:color w:val="000000"/>
                <w:sz w:val="22"/>
                <w:szCs w:val="22"/>
                <w:lang w:val="en-AU"/>
              </w:rPr>
              <w:t xml:space="preserve">     Viral upper respiratory tract infection</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5073881A"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11 (1.0%)</w:t>
            </w: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7B392854"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6 (0.6%)</w:t>
            </w: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5ACD2B61"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6 (1.1%)</w:t>
            </w:r>
          </w:p>
        </w:tc>
      </w:tr>
      <w:tr w:rsidR="000D0C4A" w:rsidRPr="00F0251C" w14:paraId="091B6252"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60536ADD" w14:textId="77777777" w:rsidR="000D0C4A" w:rsidRPr="00F0251C" w:rsidRDefault="000D0C4A" w:rsidP="00D24B97">
            <w:pPr>
              <w:autoSpaceDE w:val="0"/>
              <w:autoSpaceDN w:val="0"/>
              <w:adjustRightInd w:val="0"/>
              <w:spacing w:before="20" w:after="20"/>
              <w:rPr>
                <w:b/>
                <w:bCs/>
                <w:color w:val="000000"/>
                <w:sz w:val="22"/>
                <w:szCs w:val="22"/>
                <w:lang w:val="en-AU"/>
              </w:rPr>
            </w:pPr>
            <w:r w:rsidRPr="00F0251C">
              <w:rPr>
                <w:b/>
                <w:bCs/>
                <w:color w:val="000000"/>
                <w:sz w:val="22"/>
                <w:szCs w:val="22"/>
                <w:lang w:val="en-AU"/>
              </w:rPr>
              <w:t>Nervous system disorders</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7B378775" w14:textId="77777777" w:rsidR="000D0C4A" w:rsidRPr="00F0251C" w:rsidRDefault="000D0C4A" w:rsidP="00D24B97">
            <w:pPr>
              <w:autoSpaceDE w:val="0"/>
              <w:autoSpaceDN w:val="0"/>
              <w:adjustRightInd w:val="0"/>
              <w:spacing w:before="20" w:after="20"/>
              <w:jc w:val="center"/>
              <w:rPr>
                <w:b/>
                <w:bCs/>
                <w:color w:val="000000"/>
                <w:sz w:val="22"/>
                <w:szCs w:val="22"/>
                <w:lang w:val="en-AU"/>
              </w:rPr>
            </w:pP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1C549848" w14:textId="77777777" w:rsidR="000D0C4A" w:rsidRPr="00F0251C" w:rsidRDefault="000D0C4A" w:rsidP="00D24B97">
            <w:pPr>
              <w:autoSpaceDE w:val="0"/>
              <w:autoSpaceDN w:val="0"/>
              <w:adjustRightInd w:val="0"/>
              <w:spacing w:before="20" w:after="20"/>
              <w:jc w:val="center"/>
              <w:rPr>
                <w:b/>
                <w:bCs/>
                <w:color w:val="000000"/>
                <w:sz w:val="22"/>
                <w:szCs w:val="22"/>
                <w:lang w:val="en-AU"/>
              </w:rPr>
            </w:pP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7462B089" w14:textId="77777777" w:rsidR="000D0C4A" w:rsidRPr="00F0251C" w:rsidRDefault="000D0C4A" w:rsidP="00D24B97">
            <w:pPr>
              <w:autoSpaceDE w:val="0"/>
              <w:autoSpaceDN w:val="0"/>
              <w:adjustRightInd w:val="0"/>
              <w:spacing w:before="20" w:after="20"/>
              <w:jc w:val="center"/>
              <w:rPr>
                <w:b/>
                <w:bCs/>
                <w:color w:val="000000"/>
                <w:sz w:val="22"/>
                <w:szCs w:val="22"/>
                <w:lang w:val="en-AU"/>
              </w:rPr>
            </w:pPr>
          </w:p>
        </w:tc>
      </w:tr>
      <w:tr w:rsidR="000D0C4A" w:rsidRPr="00F0251C" w14:paraId="6A7FDD14"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7A97A2A7" w14:textId="77777777" w:rsidR="000D0C4A" w:rsidRPr="00F0251C" w:rsidRDefault="000D0C4A" w:rsidP="00D24B97">
            <w:pPr>
              <w:autoSpaceDE w:val="0"/>
              <w:autoSpaceDN w:val="0"/>
              <w:adjustRightInd w:val="0"/>
              <w:spacing w:before="20" w:after="20"/>
              <w:rPr>
                <w:color w:val="000000"/>
                <w:sz w:val="22"/>
                <w:szCs w:val="22"/>
                <w:lang w:val="en-AU"/>
              </w:rPr>
            </w:pPr>
            <w:r w:rsidRPr="00F0251C">
              <w:rPr>
                <w:color w:val="000000"/>
                <w:sz w:val="22"/>
                <w:szCs w:val="22"/>
                <w:lang w:val="en-AU"/>
              </w:rPr>
              <w:t xml:space="preserve">     Headache</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2647C9B8"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43 (4.0%)</w:t>
            </w: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2B1264CC"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41 (3.8%)</w:t>
            </w: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7BB1AE7D"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18 (3.4%)</w:t>
            </w:r>
          </w:p>
        </w:tc>
      </w:tr>
      <w:tr w:rsidR="000D0C4A" w:rsidRPr="00F0251C" w14:paraId="0A212A5C"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46514938" w14:textId="77777777" w:rsidR="000D0C4A" w:rsidRPr="00F0251C" w:rsidRDefault="000D0C4A" w:rsidP="00D24B97">
            <w:pPr>
              <w:autoSpaceDE w:val="0"/>
              <w:autoSpaceDN w:val="0"/>
              <w:adjustRightInd w:val="0"/>
              <w:spacing w:before="20" w:after="20"/>
              <w:rPr>
                <w:b/>
                <w:color w:val="000000"/>
                <w:sz w:val="22"/>
                <w:szCs w:val="22"/>
                <w:lang w:val="en-AU"/>
              </w:rPr>
            </w:pPr>
            <w:r w:rsidRPr="00F0251C">
              <w:rPr>
                <w:b/>
                <w:color w:val="000000"/>
                <w:sz w:val="22"/>
                <w:szCs w:val="22"/>
                <w:lang w:val="en-AU"/>
              </w:rPr>
              <w:t>Cardiac disorders</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3772B3F9" w14:textId="77777777" w:rsidR="000D0C4A" w:rsidRPr="00F0251C" w:rsidRDefault="000D0C4A" w:rsidP="00D24B97">
            <w:pPr>
              <w:autoSpaceDE w:val="0"/>
              <w:autoSpaceDN w:val="0"/>
              <w:adjustRightInd w:val="0"/>
              <w:spacing w:before="20" w:after="20"/>
              <w:jc w:val="center"/>
              <w:rPr>
                <w:color w:val="000000"/>
                <w:sz w:val="22"/>
                <w:szCs w:val="22"/>
                <w:lang w:val="en-AU"/>
              </w:rPr>
            </w:pP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466F2E00" w14:textId="77777777" w:rsidR="000D0C4A" w:rsidRPr="00F0251C" w:rsidRDefault="000D0C4A" w:rsidP="00D24B97">
            <w:pPr>
              <w:autoSpaceDE w:val="0"/>
              <w:autoSpaceDN w:val="0"/>
              <w:adjustRightInd w:val="0"/>
              <w:spacing w:before="20" w:after="20"/>
              <w:jc w:val="center"/>
              <w:rPr>
                <w:color w:val="000000"/>
                <w:sz w:val="22"/>
                <w:szCs w:val="22"/>
                <w:lang w:val="en-AU"/>
              </w:rPr>
            </w:pP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324487F9" w14:textId="77777777" w:rsidR="000D0C4A" w:rsidRPr="00F0251C" w:rsidRDefault="000D0C4A" w:rsidP="00D24B97">
            <w:pPr>
              <w:autoSpaceDE w:val="0"/>
              <w:autoSpaceDN w:val="0"/>
              <w:adjustRightInd w:val="0"/>
              <w:spacing w:before="20" w:after="20"/>
              <w:jc w:val="center"/>
              <w:rPr>
                <w:color w:val="000000"/>
                <w:sz w:val="22"/>
                <w:szCs w:val="22"/>
                <w:lang w:val="en-AU"/>
              </w:rPr>
            </w:pPr>
          </w:p>
        </w:tc>
      </w:tr>
      <w:tr w:rsidR="000D0C4A" w:rsidRPr="00F0251C" w14:paraId="5C93F406"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3562C92A" w14:textId="77777777" w:rsidR="000D0C4A" w:rsidRPr="00F0251C" w:rsidRDefault="000D0C4A" w:rsidP="00D24B97">
            <w:pPr>
              <w:autoSpaceDE w:val="0"/>
              <w:autoSpaceDN w:val="0"/>
              <w:adjustRightInd w:val="0"/>
              <w:spacing w:before="20" w:after="20"/>
              <w:rPr>
                <w:color w:val="000000"/>
                <w:sz w:val="22"/>
                <w:szCs w:val="22"/>
                <w:lang w:val="en-AU"/>
              </w:rPr>
            </w:pPr>
            <w:r w:rsidRPr="00F0251C">
              <w:rPr>
                <w:color w:val="000000"/>
                <w:sz w:val="22"/>
                <w:szCs w:val="22"/>
                <w:lang w:val="en-AU"/>
              </w:rPr>
              <w:t xml:space="preserve">     Atrial fibrillation</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29CC1D83"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15 (1.4%)</w:t>
            </w: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1694E87C"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13 (1.2%)</w:t>
            </w: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69A791DE"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4 (0.7%)</w:t>
            </w:r>
          </w:p>
        </w:tc>
      </w:tr>
      <w:tr w:rsidR="000D0C4A" w:rsidRPr="00F0251C" w14:paraId="27B367FC"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3305661E" w14:textId="77777777" w:rsidR="000D0C4A" w:rsidRPr="00F0251C" w:rsidRDefault="000D0C4A" w:rsidP="00D24B97">
            <w:pPr>
              <w:autoSpaceDE w:val="0"/>
              <w:autoSpaceDN w:val="0"/>
              <w:adjustRightInd w:val="0"/>
              <w:spacing w:before="20" w:after="20"/>
              <w:rPr>
                <w:b/>
                <w:bCs/>
                <w:color w:val="000000"/>
                <w:sz w:val="22"/>
                <w:szCs w:val="22"/>
                <w:lang w:val="en-AU"/>
              </w:rPr>
            </w:pPr>
            <w:r w:rsidRPr="00F0251C">
              <w:rPr>
                <w:b/>
                <w:bCs/>
                <w:color w:val="000000"/>
                <w:sz w:val="22"/>
                <w:szCs w:val="22"/>
                <w:lang w:val="en-AU"/>
              </w:rPr>
              <w:t>Vascular disorders</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712B61DD" w14:textId="77777777" w:rsidR="000D0C4A" w:rsidRPr="00F0251C" w:rsidRDefault="000D0C4A" w:rsidP="00D24B97">
            <w:pPr>
              <w:autoSpaceDE w:val="0"/>
              <w:autoSpaceDN w:val="0"/>
              <w:adjustRightInd w:val="0"/>
              <w:spacing w:before="20" w:after="20"/>
              <w:jc w:val="center"/>
              <w:rPr>
                <w:b/>
                <w:bCs/>
                <w:color w:val="000000"/>
                <w:sz w:val="22"/>
                <w:szCs w:val="22"/>
                <w:lang w:val="en-AU"/>
              </w:rPr>
            </w:pP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28565ABD" w14:textId="77777777" w:rsidR="000D0C4A" w:rsidRPr="00F0251C" w:rsidRDefault="000D0C4A" w:rsidP="00D24B97">
            <w:pPr>
              <w:autoSpaceDE w:val="0"/>
              <w:autoSpaceDN w:val="0"/>
              <w:adjustRightInd w:val="0"/>
              <w:spacing w:before="20" w:after="20"/>
              <w:jc w:val="center"/>
              <w:rPr>
                <w:b/>
                <w:bCs/>
                <w:color w:val="000000"/>
                <w:sz w:val="22"/>
                <w:szCs w:val="22"/>
                <w:lang w:val="en-AU"/>
              </w:rPr>
            </w:pP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13E3DD74" w14:textId="77777777" w:rsidR="000D0C4A" w:rsidRPr="00F0251C" w:rsidRDefault="000D0C4A" w:rsidP="00D24B97">
            <w:pPr>
              <w:autoSpaceDE w:val="0"/>
              <w:autoSpaceDN w:val="0"/>
              <w:adjustRightInd w:val="0"/>
              <w:spacing w:before="20" w:after="20"/>
              <w:jc w:val="center"/>
              <w:rPr>
                <w:b/>
                <w:bCs/>
                <w:color w:val="000000"/>
                <w:sz w:val="22"/>
                <w:szCs w:val="22"/>
                <w:lang w:val="en-AU"/>
              </w:rPr>
            </w:pPr>
          </w:p>
        </w:tc>
      </w:tr>
      <w:tr w:rsidR="000D0C4A" w:rsidRPr="00F0251C" w14:paraId="1F3C2075"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28A8F4E8" w14:textId="77777777" w:rsidR="000D0C4A" w:rsidRPr="00F0251C" w:rsidRDefault="000D0C4A" w:rsidP="00D24B97">
            <w:pPr>
              <w:autoSpaceDE w:val="0"/>
              <w:autoSpaceDN w:val="0"/>
              <w:adjustRightInd w:val="0"/>
              <w:spacing w:before="20" w:after="20"/>
              <w:rPr>
                <w:color w:val="000000"/>
                <w:sz w:val="22"/>
                <w:szCs w:val="22"/>
                <w:lang w:val="en-AU"/>
              </w:rPr>
            </w:pPr>
            <w:r w:rsidRPr="00F0251C">
              <w:rPr>
                <w:color w:val="000000"/>
                <w:sz w:val="22"/>
                <w:szCs w:val="22"/>
                <w:lang w:val="en-AU"/>
              </w:rPr>
              <w:lastRenderedPageBreak/>
              <w:t xml:space="preserve">     Hypertension</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74C83142"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20 (1.9%)</w:t>
            </w: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3F16AE08"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20 (1.9%)</w:t>
            </w: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641F48E3"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10 (1.9%)</w:t>
            </w:r>
          </w:p>
        </w:tc>
      </w:tr>
      <w:tr w:rsidR="000D0C4A" w:rsidRPr="00F0251C" w14:paraId="26FC4991"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60B5E2DF" w14:textId="77777777" w:rsidR="000D0C4A" w:rsidRPr="00F0251C" w:rsidRDefault="000D0C4A" w:rsidP="00D24B97">
            <w:pPr>
              <w:autoSpaceDE w:val="0"/>
              <w:autoSpaceDN w:val="0"/>
              <w:adjustRightInd w:val="0"/>
              <w:spacing w:before="20" w:after="20"/>
              <w:rPr>
                <w:b/>
                <w:color w:val="000000"/>
                <w:sz w:val="22"/>
                <w:szCs w:val="22"/>
                <w:lang w:val="en-AU"/>
              </w:rPr>
            </w:pPr>
            <w:r w:rsidRPr="00F0251C">
              <w:rPr>
                <w:b/>
                <w:color w:val="000000"/>
                <w:sz w:val="22"/>
                <w:szCs w:val="22"/>
                <w:lang w:val="en-AU"/>
              </w:rPr>
              <w:t>Respiratory, thoracic and mediastinal disorders</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3CCD71F5" w14:textId="77777777" w:rsidR="000D0C4A" w:rsidRPr="00F0251C" w:rsidRDefault="000D0C4A" w:rsidP="00D24B97">
            <w:pPr>
              <w:autoSpaceDE w:val="0"/>
              <w:autoSpaceDN w:val="0"/>
              <w:adjustRightInd w:val="0"/>
              <w:spacing w:before="20" w:after="20"/>
              <w:jc w:val="center"/>
              <w:rPr>
                <w:color w:val="000000"/>
                <w:sz w:val="22"/>
                <w:szCs w:val="22"/>
                <w:lang w:val="en-AU"/>
              </w:rPr>
            </w:pP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3099A1E4" w14:textId="77777777" w:rsidR="000D0C4A" w:rsidRPr="00F0251C" w:rsidRDefault="000D0C4A" w:rsidP="00D24B97">
            <w:pPr>
              <w:autoSpaceDE w:val="0"/>
              <w:autoSpaceDN w:val="0"/>
              <w:adjustRightInd w:val="0"/>
              <w:spacing w:before="20" w:after="20"/>
              <w:jc w:val="center"/>
              <w:rPr>
                <w:color w:val="000000"/>
                <w:sz w:val="22"/>
                <w:szCs w:val="22"/>
                <w:lang w:val="en-AU"/>
              </w:rPr>
            </w:pP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10E47229" w14:textId="77777777" w:rsidR="000D0C4A" w:rsidRPr="00F0251C" w:rsidRDefault="000D0C4A" w:rsidP="00D24B97">
            <w:pPr>
              <w:autoSpaceDE w:val="0"/>
              <w:autoSpaceDN w:val="0"/>
              <w:adjustRightInd w:val="0"/>
              <w:spacing w:before="20" w:after="20"/>
              <w:jc w:val="center"/>
              <w:rPr>
                <w:color w:val="000000"/>
                <w:sz w:val="22"/>
                <w:szCs w:val="22"/>
                <w:lang w:val="en-AU"/>
              </w:rPr>
            </w:pPr>
          </w:p>
        </w:tc>
      </w:tr>
      <w:tr w:rsidR="000D0C4A" w:rsidRPr="00F0251C" w14:paraId="178E41FA"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379EFBC5" w14:textId="77777777" w:rsidR="000D0C4A" w:rsidRPr="00F0251C" w:rsidRDefault="000D0C4A" w:rsidP="00D24B97">
            <w:pPr>
              <w:autoSpaceDE w:val="0"/>
              <w:autoSpaceDN w:val="0"/>
              <w:adjustRightInd w:val="0"/>
              <w:spacing w:before="20" w:after="20"/>
              <w:rPr>
                <w:color w:val="000000"/>
                <w:sz w:val="22"/>
                <w:szCs w:val="22"/>
                <w:lang w:val="en-AU"/>
              </w:rPr>
            </w:pPr>
            <w:r w:rsidRPr="00F0251C">
              <w:rPr>
                <w:color w:val="000000"/>
                <w:sz w:val="22"/>
                <w:szCs w:val="22"/>
                <w:lang w:val="en-AU"/>
              </w:rPr>
              <w:t xml:space="preserve">     Chronic obstructive pulmonary disease</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692D81F7"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351 (32.6%)</w:t>
            </w: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11DFD2ED"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383 (35.6%)</w:t>
            </w: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52AB7AAE"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167 (31.1%)</w:t>
            </w:r>
          </w:p>
        </w:tc>
      </w:tr>
      <w:tr w:rsidR="000D0C4A" w:rsidRPr="00F0251C" w14:paraId="51C6F143"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4785C25A" w14:textId="77777777" w:rsidR="000D0C4A" w:rsidRPr="00F0251C" w:rsidRDefault="000D0C4A" w:rsidP="00D24B97">
            <w:pPr>
              <w:autoSpaceDE w:val="0"/>
              <w:autoSpaceDN w:val="0"/>
              <w:adjustRightInd w:val="0"/>
              <w:spacing w:before="20" w:after="20"/>
              <w:rPr>
                <w:color w:val="000000"/>
                <w:sz w:val="22"/>
                <w:szCs w:val="22"/>
                <w:lang w:val="en-AU"/>
              </w:rPr>
            </w:pPr>
            <w:r w:rsidRPr="00F0251C">
              <w:rPr>
                <w:color w:val="000000"/>
                <w:sz w:val="22"/>
                <w:szCs w:val="22"/>
                <w:lang w:val="en-AU"/>
              </w:rPr>
              <w:t xml:space="preserve">     Dyspnoea</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717DC8D0"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23 (2.1%)</w:t>
            </w: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018DD6C4"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37 (3.4%)</w:t>
            </w: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3974D2C7"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8 (1.5%)</w:t>
            </w:r>
          </w:p>
        </w:tc>
      </w:tr>
      <w:tr w:rsidR="000D0C4A" w:rsidRPr="00F0251C" w14:paraId="30948505"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58227BE4" w14:textId="77777777" w:rsidR="000D0C4A" w:rsidRPr="00F0251C" w:rsidRDefault="000D0C4A" w:rsidP="00D24B97">
            <w:pPr>
              <w:autoSpaceDE w:val="0"/>
              <w:autoSpaceDN w:val="0"/>
              <w:adjustRightInd w:val="0"/>
              <w:spacing w:before="20" w:after="20"/>
              <w:rPr>
                <w:color w:val="000000"/>
                <w:sz w:val="22"/>
                <w:szCs w:val="22"/>
                <w:lang w:val="en-AU"/>
              </w:rPr>
            </w:pPr>
            <w:r w:rsidRPr="00F0251C">
              <w:rPr>
                <w:color w:val="000000"/>
                <w:sz w:val="22"/>
                <w:szCs w:val="22"/>
                <w:lang w:val="en-AU"/>
              </w:rPr>
              <w:t xml:space="preserve">     Cough</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3DF7D0E4"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18 (1.7%)</w:t>
            </w: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6715865B"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23 (2.1%)</w:t>
            </w: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3FD02E7F"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9 (1.7%)</w:t>
            </w:r>
          </w:p>
        </w:tc>
      </w:tr>
      <w:tr w:rsidR="000D0C4A" w:rsidRPr="00F0251C" w14:paraId="2F66FFFE"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4CBFE436" w14:textId="77777777" w:rsidR="000D0C4A" w:rsidRPr="00F0251C" w:rsidRDefault="000D0C4A" w:rsidP="00D24B97">
            <w:pPr>
              <w:autoSpaceDE w:val="0"/>
              <w:autoSpaceDN w:val="0"/>
              <w:adjustRightInd w:val="0"/>
              <w:spacing w:before="20" w:after="20"/>
              <w:rPr>
                <w:b/>
                <w:color w:val="000000"/>
                <w:sz w:val="22"/>
                <w:szCs w:val="22"/>
                <w:lang w:val="en-AU"/>
              </w:rPr>
            </w:pPr>
            <w:r w:rsidRPr="00F0251C">
              <w:rPr>
                <w:b/>
                <w:color w:val="000000"/>
                <w:sz w:val="22"/>
                <w:szCs w:val="22"/>
                <w:lang w:val="en-AU"/>
              </w:rPr>
              <w:t>Musculoskeletal and connective tissue disorders</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78A2CBD2" w14:textId="77777777" w:rsidR="000D0C4A" w:rsidRPr="00F0251C" w:rsidRDefault="000D0C4A" w:rsidP="00D24B97">
            <w:pPr>
              <w:autoSpaceDE w:val="0"/>
              <w:autoSpaceDN w:val="0"/>
              <w:adjustRightInd w:val="0"/>
              <w:spacing w:before="20" w:after="20"/>
              <w:jc w:val="center"/>
              <w:rPr>
                <w:color w:val="000000"/>
                <w:sz w:val="22"/>
                <w:szCs w:val="22"/>
                <w:lang w:val="en-AU"/>
              </w:rPr>
            </w:pP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18724030" w14:textId="77777777" w:rsidR="000D0C4A" w:rsidRPr="00F0251C" w:rsidRDefault="000D0C4A" w:rsidP="00D24B97">
            <w:pPr>
              <w:autoSpaceDE w:val="0"/>
              <w:autoSpaceDN w:val="0"/>
              <w:adjustRightInd w:val="0"/>
              <w:spacing w:before="20" w:after="20"/>
              <w:jc w:val="center"/>
              <w:rPr>
                <w:color w:val="000000"/>
                <w:sz w:val="22"/>
                <w:szCs w:val="22"/>
                <w:lang w:val="en-AU"/>
              </w:rPr>
            </w:pP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72151F84" w14:textId="77777777" w:rsidR="000D0C4A" w:rsidRPr="00F0251C" w:rsidRDefault="000D0C4A" w:rsidP="00D24B97">
            <w:pPr>
              <w:autoSpaceDE w:val="0"/>
              <w:autoSpaceDN w:val="0"/>
              <w:adjustRightInd w:val="0"/>
              <w:spacing w:before="20" w:after="20"/>
              <w:jc w:val="center"/>
              <w:rPr>
                <w:color w:val="000000"/>
                <w:sz w:val="22"/>
                <w:szCs w:val="22"/>
                <w:lang w:val="en-AU"/>
              </w:rPr>
            </w:pPr>
          </w:p>
        </w:tc>
      </w:tr>
      <w:tr w:rsidR="000D0C4A" w:rsidRPr="00F0251C" w14:paraId="12DF66B8"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1D7782A0" w14:textId="77777777" w:rsidR="000D0C4A" w:rsidRPr="00F0251C" w:rsidRDefault="000D0C4A" w:rsidP="00D24B97">
            <w:pPr>
              <w:autoSpaceDE w:val="0"/>
              <w:autoSpaceDN w:val="0"/>
              <w:adjustRightInd w:val="0"/>
              <w:spacing w:before="20" w:after="20"/>
              <w:rPr>
                <w:color w:val="000000"/>
                <w:sz w:val="22"/>
                <w:szCs w:val="22"/>
                <w:lang w:val="en-AU"/>
              </w:rPr>
            </w:pPr>
            <w:r w:rsidRPr="00F0251C">
              <w:rPr>
                <w:color w:val="000000"/>
                <w:sz w:val="22"/>
                <w:szCs w:val="22"/>
                <w:lang w:val="en-AU"/>
              </w:rPr>
              <w:t xml:space="preserve">     Back pain</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0CDAF551"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18 (1.7%)</w:t>
            </w: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4701D8F3"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6 (0.6%)</w:t>
            </w: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2CECC8C8"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2 (0.4%)</w:t>
            </w:r>
          </w:p>
        </w:tc>
      </w:tr>
      <w:tr w:rsidR="000D0C4A" w:rsidRPr="00F0251C" w14:paraId="4C12A147"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1F744DF4" w14:textId="77777777" w:rsidR="000D0C4A" w:rsidRPr="00F0251C" w:rsidRDefault="000D0C4A" w:rsidP="00D24B97">
            <w:pPr>
              <w:autoSpaceDE w:val="0"/>
              <w:autoSpaceDN w:val="0"/>
              <w:adjustRightInd w:val="0"/>
              <w:spacing w:before="20" w:after="20"/>
              <w:rPr>
                <w:b/>
                <w:bCs/>
                <w:color w:val="000000"/>
                <w:sz w:val="22"/>
                <w:szCs w:val="22"/>
                <w:lang w:val="en-AU"/>
              </w:rPr>
            </w:pPr>
            <w:r w:rsidRPr="00F0251C">
              <w:rPr>
                <w:b/>
                <w:bCs/>
                <w:color w:val="000000"/>
                <w:sz w:val="22"/>
                <w:szCs w:val="22"/>
                <w:lang w:val="en-AU"/>
              </w:rPr>
              <w:t>General disorders and administration site conditions</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4BDF4A74" w14:textId="77777777" w:rsidR="000D0C4A" w:rsidRPr="00F0251C" w:rsidRDefault="000D0C4A" w:rsidP="00D24B97">
            <w:pPr>
              <w:autoSpaceDE w:val="0"/>
              <w:autoSpaceDN w:val="0"/>
              <w:adjustRightInd w:val="0"/>
              <w:spacing w:before="20" w:after="20"/>
              <w:jc w:val="center"/>
              <w:rPr>
                <w:b/>
                <w:bCs/>
                <w:color w:val="000000"/>
                <w:sz w:val="22"/>
                <w:szCs w:val="22"/>
                <w:lang w:val="en-AU"/>
              </w:rPr>
            </w:pP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5038228D" w14:textId="77777777" w:rsidR="000D0C4A" w:rsidRPr="00F0251C" w:rsidRDefault="000D0C4A" w:rsidP="00D24B97">
            <w:pPr>
              <w:autoSpaceDE w:val="0"/>
              <w:autoSpaceDN w:val="0"/>
              <w:adjustRightInd w:val="0"/>
              <w:spacing w:before="20" w:after="20"/>
              <w:jc w:val="center"/>
              <w:rPr>
                <w:b/>
                <w:bCs/>
                <w:color w:val="000000"/>
                <w:sz w:val="22"/>
                <w:szCs w:val="22"/>
                <w:lang w:val="en-AU"/>
              </w:rPr>
            </w:pP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14924FF8" w14:textId="77777777" w:rsidR="000D0C4A" w:rsidRPr="00F0251C" w:rsidRDefault="000D0C4A" w:rsidP="00D24B97">
            <w:pPr>
              <w:autoSpaceDE w:val="0"/>
              <w:autoSpaceDN w:val="0"/>
              <w:adjustRightInd w:val="0"/>
              <w:spacing w:before="20" w:after="20"/>
              <w:jc w:val="center"/>
              <w:rPr>
                <w:b/>
                <w:bCs/>
                <w:color w:val="000000"/>
                <w:sz w:val="22"/>
                <w:szCs w:val="22"/>
                <w:lang w:val="en-AU"/>
              </w:rPr>
            </w:pPr>
          </w:p>
        </w:tc>
      </w:tr>
      <w:tr w:rsidR="000D0C4A" w:rsidRPr="00F0251C" w14:paraId="567968A0" w14:textId="77777777" w:rsidTr="004E5D2B">
        <w:trPr>
          <w:cantSplit/>
          <w:jc w:val="center"/>
        </w:trPr>
        <w:tc>
          <w:tcPr>
            <w:tcW w:w="4103" w:type="dxa"/>
            <w:tcBorders>
              <w:top w:val="nil"/>
              <w:left w:val="single" w:sz="6" w:space="0" w:color="000000"/>
              <w:bottom w:val="single" w:sz="2" w:space="0" w:color="000000"/>
              <w:right w:val="nil"/>
            </w:tcBorders>
            <w:shd w:val="clear" w:color="auto" w:fill="FFFFFF"/>
            <w:tcMar>
              <w:left w:w="20" w:type="dxa"/>
              <w:right w:w="20" w:type="dxa"/>
            </w:tcMar>
            <w:vAlign w:val="center"/>
          </w:tcPr>
          <w:p w14:paraId="01C205E0" w14:textId="77777777" w:rsidR="000D0C4A" w:rsidRPr="00F0251C" w:rsidRDefault="000D0C4A" w:rsidP="00D24B97">
            <w:pPr>
              <w:autoSpaceDE w:val="0"/>
              <w:autoSpaceDN w:val="0"/>
              <w:adjustRightInd w:val="0"/>
              <w:spacing w:before="20" w:after="20"/>
              <w:rPr>
                <w:color w:val="000000"/>
                <w:sz w:val="22"/>
                <w:szCs w:val="22"/>
                <w:lang w:val="en-AU"/>
              </w:rPr>
            </w:pPr>
            <w:r w:rsidRPr="00F0251C">
              <w:rPr>
                <w:color w:val="000000"/>
                <w:sz w:val="22"/>
                <w:szCs w:val="22"/>
                <w:lang w:val="en-AU"/>
              </w:rPr>
              <w:t xml:space="preserve">     Asthenia</w:t>
            </w:r>
          </w:p>
        </w:tc>
        <w:tc>
          <w:tcPr>
            <w:tcW w:w="2268" w:type="dxa"/>
            <w:tcBorders>
              <w:top w:val="nil"/>
              <w:left w:val="single" w:sz="2" w:space="0" w:color="000000"/>
              <w:bottom w:val="single" w:sz="2" w:space="0" w:color="000000"/>
              <w:right w:val="nil"/>
            </w:tcBorders>
            <w:shd w:val="clear" w:color="auto" w:fill="FFFFFF"/>
            <w:tcMar>
              <w:left w:w="20" w:type="dxa"/>
              <w:right w:w="20" w:type="dxa"/>
            </w:tcMar>
            <w:vAlign w:val="center"/>
          </w:tcPr>
          <w:p w14:paraId="0B681721"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12 (1.1%)</w:t>
            </w:r>
          </w:p>
        </w:tc>
        <w:tc>
          <w:tcPr>
            <w:tcW w:w="1701" w:type="dxa"/>
            <w:tcBorders>
              <w:top w:val="nil"/>
              <w:left w:val="single" w:sz="2" w:space="0" w:color="000000"/>
              <w:bottom w:val="single" w:sz="2" w:space="0" w:color="000000"/>
              <w:right w:val="nil"/>
            </w:tcBorders>
            <w:shd w:val="clear" w:color="auto" w:fill="FFFFFF"/>
            <w:tcMar>
              <w:left w:w="20" w:type="dxa"/>
              <w:right w:w="20" w:type="dxa"/>
            </w:tcMar>
            <w:vAlign w:val="center"/>
          </w:tcPr>
          <w:p w14:paraId="334BFBAC"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7 (0.7%)</w:t>
            </w:r>
          </w:p>
        </w:tc>
        <w:tc>
          <w:tcPr>
            <w:tcW w:w="1701" w:type="dxa"/>
            <w:tcBorders>
              <w:top w:val="nil"/>
              <w:left w:val="single" w:sz="2" w:space="0" w:color="000000"/>
              <w:bottom w:val="single" w:sz="2" w:space="0" w:color="000000"/>
              <w:right w:val="single" w:sz="6" w:space="0" w:color="000000"/>
            </w:tcBorders>
            <w:shd w:val="clear" w:color="auto" w:fill="FFFFFF"/>
            <w:tcMar>
              <w:left w:w="20" w:type="dxa"/>
              <w:right w:w="20" w:type="dxa"/>
            </w:tcMar>
            <w:vAlign w:val="center"/>
          </w:tcPr>
          <w:p w14:paraId="0502C62D" w14:textId="77777777" w:rsidR="000D0C4A" w:rsidRPr="00F0251C" w:rsidRDefault="000D0C4A" w:rsidP="00D24B97">
            <w:pPr>
              <w:autoSpaceDE w:val="0"/>
              <w:autoSpaceDN w:val="0"/>
              <w:adjustRightInd w:val="0"/>
              <w:spacing w:before="20" w:after="20"/>
              <w:jc w:val="center"/>
              <w:rPr>
                <w:color w:val="000000"/>
                <w:sz w:val="22"/>
                <w:szCs w:val="22"/>
                <w:lang w:val="en-AU"/>
              </w:rPr>
            </w:pPr>
            <w:r w:rsidRPr="00F0251C">
              <w:rPr>
                <w:color w:val="000000"/>
                <w:sz w:val="22"/>
                <w:szCs w:val="22"/>
                <w:lang w:val="en-AU"/>
              </w:rPr>
              <w:t>4 (0.7%)</w:t>
            </w:r>
          </w:p>
        </w:tc>
      </w:tr>
    </w:tbl>
    <w:p w14:paraId="0AAFB422" w14:textId="77777777" w:rsidR="000D0C4A" w:rsidRPr="00F0251C" w:rsidRDefault="000D0C4A" w:rsidP="000D0C4A">
      <w:pPr>
        <w:autoSpaceDE w:val="0"/>
        <w:autoSpaceDN w:val="0"/>
        <w:ind w:left="426"/>
        <w:rPr>
          <w:lang w:val="en-AU"/>
        </w:rPr>
      </w:pPr>
      <w:r w:rsidRPr="00F0251C">
        <w:rPr>
          <w:lang w:val="en-AU"/>
        </w:rPr>
        <w:t>BDP/FF/GB = beclometasone dipropionate/formoterol fumarate/glycopyrronium bromide (TRIMBOW)</w:t>
      </w:r>
    </w:p>
    <w:p w14:paraId="119E2AA9" w14:textId="77777777" w:rsidR="000D0C4A" w:rsidRPr="00F0251C" w:rsidRDefault="000D0C4A" w:rsidP="000D0C4A">
      <w:pPr>
        <w:autoSpaceDE w:val="0"/>
        <w:autoSpaceDN w:val="0"/>
        <w:ind w:left="426"/>
        <w:rPr>
          <w:lang w:val="en-AU"/>
        </w:rPr>
      </w:pPr>
      <w:r w:rsidRPr="00F0251C">
        <w:rPr>
          <w:lang w:val="en-AU"/>
        </w:rPr>
        <w:t>BDP/FF = beclometasone dipropionate/formoterol fumarate</w:t>
      </w:r>
    </w:p>
    <w:p w14:paraId="7BD7529C" w14:textId="77777777" w:rsidR="000D0C4A" w:rsidRPr="00F0251C" w:rsidRDefault="000D0C4A" w:rsidP="000D0C4A">
      <w:pPr>
        <w:autoSpaceDE w:val="0"/>
        <w:autoSpaceDN w:val="0"/>
        <w:ind w:left="426"/>
        <w:rPr>
          <w:lang w:val="en-AU"/>
        </w:rPr>
      </w:pPr>
      <w:r w:rsidRPr="00F0251C">
        <w:rPr>
          <w:vertAlign w:val="superscript"/>
          <w:lang w:val="en-AU"/>
        </w:rPr>
        <w:t>#</w:t>
      </w:r>
      <w:r w:rsidRPr="00F0251C">
        <w:rPr>
          <w:lang w:val="en-AU"/>
        </w:rPr>
        <w:t>Total daily dose</w:t>
      </w:r>
    </w:p>
    <w:p w14:paraId="7500D3D6" w14:textId="3F0BD272" w:rsidR="00BC42DF" w:rsidRPr="000D0C4A" w:rsidRDefault="000D0C4A" w:rsidP="000D0C4A">
      <w:pPr>
        <w:autoSpaceDE w:val="0"/>
        <w:autoSpaceDN w:val="0"/>
        <w:rPr>
          <w:lang w:val="en-AU"/>
        </w:rPr>
      </w:pPr>
      <w:r w:rsidRPr="00F0251C">
        <w:rPr>
          <w:lang w:val="en-AU"/>
        </w:rPr>
        <w:t xml:space="preserve">        *Includes preferred terms of </w:t>
      </w:r>
      <w:r w:rsidRPr="00F0251C">
        <w:rPr>
          <w:lang w:val="en-AU" w:eastAsia="en-US"/>
        </w:rPr>
        <w:t>bronchopneumonia, interstitial lung disease, lobar pneumonia and pneumonia</w:t>
      </w:r>
    </w:p>
    <w:p w14:paraId="7E8C223C" w14:textId="6962D04F" w:rsidR="008678C8" w:rsidRPr="00F0251C" w:rsidRDefault="008678C8" w:rsidP="001F1848">
      <w:pPr>
        <w:rPr>
          <w:sz w:val="24"/>
          <w:szCs w:val="24"/>
          <w:lang w:val="en-AU"/>
        </w:rPr>
      </w:pPr>
      <w:bookmarkStart w:id="8" w:name="IDX"/>
      <w:bookmarkEnd w:id="8"/>
    </w:p>
    <w:p w14:paraId="4FF99C19" w14:textId="6BDD2A68" w:rsidR="007A39B8" w:rsidRPr="00F0251C" w:rsidRDefault="000D0C4A" w:rsidP="00CF0CFE">
      <w:pPr>
        <w:pStyle w:val="NoSpacing"/>
        <w:ind w:left="360"/>
        <w:rPr>
          <w:noProof/>
          <w:sz w:val="24"/>
          <w:szCs w:val="24"/>
          <w:lang w:val="en-AU"/>
        </w:rPr>
      </w:pPr>
      <w:bookmarkStart w:id="9" w:name="_Hlk29907595"/>
      <w:r w:rsidRPr="00F0251C">
        <w:rPr>
          <w:noProof/>
          <w:sz w:val="24"/>
          <w:szCs w:val="24"/>
          <w:lang w:val="en-AU"/>
        </w:rPr>
        <w:t>In the clinical development  programme of TRIMBOW in COPD, the</w:t>
      </w:r>
      <w:r>
        <w:rPr>
          <w:noProof/>
          <w:sz w:val="24"/>
          <w:szCs w:val="24"/>
          <w:lang w:val="en-AU"/>
        </w:rPr>
        <w:t xml:space="preserve"> </w:t>
      </w:r>
      <w:r w:rsidR="00474334" w:rsidRPr="00F0251C">
        <w:rPr>
          <w:noProof/>
          <w:sz w:val="24"/>
          <w:szCs w:val="24"/>
          <w:lang w:val="en-AU"/>
        </w:rPr>
        <w:t xml:space="preserve">most frequently reported adverse reactions with </w:t>
      </w:r>
      <w:r w:rsidR="000D1FB0" w:rsidRPr="00F0251C">
        <w:rPr>
          <w:noProof/>
          <w:sz w:val="24"/>
          <w:szCs w:val="24"/>
          <w:lang w:val="en-AU"/>
        </w:rPr>
        <w:t>TRIMBOW</w:t>
      </w:r>
      <w:r w:rsidR="00474334" w:rsidRPr="00F0251C">
        <w:rPr>
          <w:noProof/>
          <w:sz w:val="24"/>
          <w:szCs w:val="24"/>
          <w:lang w:val="en-AU"/>
        </w:rPr>
        <w:t xml:space="preserve"> were oral candidiasis (which occurred in 0.8% of the exposed subjects), which is normally associated with </w:t>
      </w:r>
      <w:r>
        <w:rPr>
          <w:noProof/>
          <w:sz w:val="24"/>
          <w:szCs w:val="24"/>
          <w:lang w:val="en-AU"/>
        </w:rPr>
        <w:t>ICS</w:t>
      </w:r>
      <w:r w:rsidR="00474334" w:rsidRPr="00F0251C">
        <w:rPr>
          <w:noProof/>
          <w:sz w:val="24"/>
          <w:szCs w:val="24"/>
          <w:lang w:val="en-AU"/>
        </w:rPr>
        <w:t xml:space="preserve">; muscle spasms (0.4%), which can be attributed to the </w:t>
      </w:r>
      <w:r>
        <w:rPr>
          <w:noProof/>
          <w:sz w:val="24"/>
          <w:szCs w:val="24"/>
          <w:lang w:val="en-AU"/>
        </w:rPr>
        <w:t>LABA</w:t>
      </w:r>
      <w:r w:rsidR="00474334" w:rsidRPr="00F0251C">
        <w:rPr>
          <w:noProof/>
          <w:sz w:val="24"/>
          <w:szCs w:val="24"/>
          <w:lang w:val="en-AU"/>
        </w:rPr>
        <w:t xml:space="preserve"> component; dry mouth (0.4%), which is a typical anticholinergic effect</w:t>
      </w:r>
      <w:r w:rsidRPr="00F0251C">
        <w:rPr>
          <w:noProof/>
          <w:sz w:val="24"/>
          <w:szCs w:val="24"/>
          <w:lang w:val="en-AU"/>
        </w:rPr>
        <w:t>, which can be attributed to the LAMA component</w:t>
      </w:r>
      <w:r w:rsidR="00474334" w:rsidRPr="00F0251C">
        <w:rPr>
          <w:noProof/>
          <w:sz w:val="24"/>
          <w:szCs w:val="24"/>
          <w:lang w:val="en-AU"/>
        </w:rPr>
        <w:t>.</w:t>
      </w:r>
    </w:p>
    <w:p w14:paraId="044BB843" w14:textId="67E88508" w:rsidR="00474334" w:rsidRPr="00F0251C" w:rsidRDefault="00474334" w:rsidP="00CF0CFE">
      <w:pPr>
        <w:pStyle w:val="NoSpacing"/>
        <w:ind w:left="360"/>
        <w:rPr>
          <w:noProof/>
          <w:sz w:val="24"/>
          <w:szCs w:val="24"/>
          <w:lang w:val="en-AU"/>
        </w:rPr>
      </w:pPr>
    </w:p>
    <w:p w14:paraId="5157320E" w14:textId="7E7DB131" w:rsidR="00474334" w:rsidRPr="00F0251C" w:rsidRDefault="00474334" w:rsidP="00474334">
      <w:pPr>
        <w:pStyle w:val="NoSpacing"/>
        <w:ind w:left="360"/>
        <w:rPr>
          <w:noProof/>
          <w:sz w:val="24"/>
          <w:szCs w:val="24"/>
          <w:lang w:val="en-AU"/>
        </w:rPr>
      </w:pPr>
      <w:r w:rsidRPr="00F0251C">
        <w:rPr>
          <w:noProof/>
          <w:sz w:val="24"/>
          <w:szCs w:val="24"/>
          <w:lang w:val="en-AU"/>
        </w:rPr>
        <w:t xml:space="preserve">The clinical development programme of </w:t>
      </w:r>
      <w:r w:rsidR="000D1FB0" w:rsidRPr="00F0251C">
        <w:rPr>
          <w:noProof/>
          <w:sz w:val="24"/>
          <w:szCs w:val="24"/>
          <w:lang w:val="en-AU"/>
        </w:rPr>
        <w:t>TRIMBOW</w:t>
      </w:r>
      <w:r w:rsidRPr="00F0251C">
        <w:rPr>
          <w:noProof/>
          <w:sz w:val="24"/>
          <w:szCs w:val="24"/>
          <w:lang w:val="en-AU"/>
        </w:rPr>
        <w:t xml:space="preserve"> was conducted in patients with moderate, severe or very severe COPD. A total of 3,346 patients were treated at the target dose regimen (two inhalations twice daily) in multiple dose studies.</w:t>
      </w:r>
    </w:p>
    <w:p w14:paraId="1657BF64" w14:textId="77777777" w:rsidR="00474334" w:rsidRPr="00F0251C" w:rsidRDefault="00474334" w:rsidP="00474334">
      <w:pPr>
        <w:pStyle w:val="NoSpacing"/>
        <w:ind w:left="360"/>
        <w:rPr>
          <w:noProof/>
          <w:sz w:val="24"/>
          <w:szCs w:val="24"/>
          <w:lang w:val="en-AU"/>
        </w:rPr>
      </w:pPr>
    </w:p>
    <w:p w14:paraId="5E446191" w14:textId="20F1D319" w:rsidR="00474334" w:rsidRPr="00F0251C" w:rsidRDefault="00474334" w:rsidP="00474334">
      <w:pPr>
        <w:pStyle w:val="NoSpacing"/>
        <w:ind w:left="360"/>
        <w:rPr>
          <w:noProof/>
          <w:sz w:val="24"/>
          <w:szCs w:val="24"/>
          <w:lang w:val="en-AU"/>
        </w:rPr>
      </w:pPr>
      <w:r w:rsidRPr="00F0251C">
        <w:rPr>
          <w:noProof/>
          <w:sz w:val="24"/>
          <w:szCs w:val="24"/>
          <w:lang w:val="en-AU"/>
        </w:rPr>
        <w:t>The frequency of adverse reactions is defined using the following convention: very common (</w:t>
      </w:r>
      <w:r w:rsidR="004E5D2B">
        <w:rPr>
          <w:noProof/>
          <w:sz w:val="24"/>
          <w:szCs w:val="24"/>
          <w:lang w:val="en-AU"/>
        </w:rPr>
        <w:sym w:font="Symbol" w:char="F0B3"/>
      </w:r>
      <w:r w:rsidRPr="00F0251C">
        <w:rPr>
          <w:noProof/>
          <w:sz w:val="24"/>
          <w:szCs w:val="24"/>
          <w:lang w:val="en-AU"/>
        </w:rPr>
        <w:t>1/10); common (</w:t>
      </w:r>
      <w:r w:rsidR="004E5D2B">
        <w:rPr>
          <w:noProof/>
          <w:sz w:val="24"/>
          <w:szCs w:val="24"/>
          <w:lang w:val="en-AU"/>
        </w:rPr>
        <w:sym w:font="Symbol" w:char="F0B3"/>
      </w:r>
      <w:r w:rsidRPr="00F0251C">
        <w:rPr>
          <w:noProof/>
          <w:sz w:val="24"/>
          <w:szCs w:val="24"/>
          <w:lang w:val="en-AU"/>
        </w:rPr>
        <w:t>1/100 to &lt;1/10); uncommon (</w:t>
      </w:r>
      <w:r w:rsidR="004E5D2B">
        <w:rPr>
          <w:noProof/>
          <w:sz w:val="24"/>
          <w:szCs w:val="24"/>
          <w:lang w:val="en-AU"/>
        </w:rPr>
        <w:sym w:font="Symbol" w:char="F0B3"/>
      </w:r>
      <w:r w:rsidRPr="00F0251C">
        <w:rPr>
          <w:noProof/>
          <w:sz w:val="24"/>
          <w:szCs w:val="24"/>
          <w:lang w:val="en-AU"/>
        </w:rPr>
        <w:t>1/1,000 to &lt;1/100); rare (</w:t>
      </w:r>
      <w:r w:rsidR="004E5D2B">
        <w:rPr>
          <w:noProof/>
          <w:sz w:val="24"/>
          <w:szCs w:val="24"/>
          <w:lang w:val="en-AU"/>
        </w:rPr>
        <w:sym w:font="Symbol" w:char="F0B3"/>
      </w:r>
      <w:r w:rsidRPr="00F0251C">
        <w:rPr>
          <w:noProof/>
          <w:sz w:val="24"/>
          <w:szCs w:val="24"/>
          <w:lang w:val="en-AU"/>
        </w:rPr>
        <w:t>1/10,000 to &lt;1/1,000); very rare (&lt;1/10,000) and not known (cannot be estimated from available data).</w:t>
      </w:r>
    </w:p>
    <w:p w14:paraId="670174CB" w14:textId="77777777" w:rsidR="00E12298" w:rsidRPr="00F0251C" w:rsidRDefault="00E12298" w:rsidP="00474334">
      <w:pPr>
        <w:pStyle w:val="NoSpacing"/>
        <w:ind w:left="360"/>
        <w:rPr>
          <w:noProof/>
          <w:sz w:val="24"/>
          <w:szCs w:val="24"/>
          <w:lang w:val="en-AU"/>
        </w:rPr>
      </w:pPr>
    </w:p>
    <w:bookmarkEnd w:id="9"/>
    <w:p w14:paraId="31BE34C5" w14:textId="77777777" w:rsidR="00DD40B4" w:rsidRDefault="00DD40B4" w:rsidP="000D0C4A">
      <w:pPr>
        <w:pStyle w:val="NoSpacing"/>
        <w:ind w:left="360" w:firstLine="142"/>
        <w:rPr>
          <w:b/>
          <w:noProof/>
          <w:sz w:val="24"/>
          <w:szCs w:val="24"/>
          <w:lang w:val="en-AU"/>
        </w:rPr>
      </w:pPr>
    </w:p>
    <w:p w14:paraId="59C76764" w14:textId="24D9DBBA" w:rsidR="000D0C4A" w:rsidRPr="00F0251C" w:rsidRDefault="000D0C4A" w:rsidP="000D0C4A">
      <w:pPr>
        <w:pStyle w:val="NoSpacing"/>
        <w:ind w:left="360" w:firstLine="142"/>
        <w:rPr>
          <w:b/>
          <w:noProof/>
          <w:sz w:val="24"/>
          <w:szCs w:val="24"/>
          <w:lang w:val="en-AU"/>
        </w:rPr>
      </w:pPr>
      <w:r w:rsidRPr="00F0251C">
        <w:rPr>
          <w:b/>
          <w:noProof/>
          <w:sz w:val="24"/>
          <w:szCs w:val="24"/>
          <w:lang w:val="en-AU"/>
        </w:rPr>
        <w:t>Table 3: Adverse reactions with TRIMBOW</w:t>
      </w:r>
      <w:r w:rsidR="003036ED">
        <w:rPr>
          <w:b/>
          <w:noProof/>
          <w:sz w:val="24"/>
          <w:szCs w:val="24"/>
          <w:lang w:val="en-AU"/>
        </w:rPr>
        <w:t>*</w:t>
      </w:r>
      <w:r w:rsidR="00B506BA">
        <w:rPr>
          <w:b/>
          <w:noProof/>
          <w:sz w:val="24"/>
          <w:szCs w:val="24"/>
          <w:lang w:val="en-AU"/>
        </w:rPr>
        <w:t xml:space="preserve"> </w:t>
      </w:r>
    </w:p>
    <w:tbl>
      <w:tblPr>
        <w:tblStyle w:val="Tabellanorma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5670"/>
        <w:gridCol w:w="1394"/>
      </w:tblGrid>
      <w:tr w:rsidR="00474334" w:rsidRPr="00F0251C" w14:paraId="7609A7D2" w14:textId="77777777" w:rsidTr="009B3F0E">
        <w:trPr>
          <w:cantSplit/>
          <w:tblHeader/>
          <w:jc w:val="center"/>
        </w:trPr>
        <w:tc>
          <w:tcPr>
            <w:tcW w:w="2409" w:type="dxa"/>
            <w:vAlign w:val="center"/>
          </w:tcPr>
          <w:p w14:paraId="2358C5EC" w14:textId="6EEE62BB" w:rsidR="00474334" w:rsidRPr="00F0251C" w:rsidRDefault="00474334" w:rsidP="008C0936">
            <w:pPr>
              <w:pStyle w:val="Normale1"/>
              <w:keepNext/>
              <w:jc w:val="center"/>
              <w:rPr>
                <w:b/>
                <w:sz w:val="22"/>
                <w:szCs w:val="22"/>
                <w:lang w:val="en-AU"/>
              </w:rPr>
            </w:pPr>
            <w:r w:rsidRPr="00F0251C">
              <w:rPr>
                <w:b/>
                <w:sz w:val="22"/>
                <w:szCs w:val="22"/>
                <w:lang w:val="en-AU"/>
              </w:rPr>
              <w:lastRenderedPageBreak/>
              <w:t>MedDRA system organ class</w:t>
            </w:r>
          </w:p>
        </w:tc>
        <w:tc>
          <w:tcPr>
            <w:tcW w:w="5670" w:type="dxa"/>
            <w:vAlign w:val="center"/>
          </w:tcPr>
          <w:p w14:paraId="1FADAB6E" w14:textId="77777777" w:rsidR="00474334" w:rsidRPr="00F0251C" w:rsidRDefault="00474334" w:rsidP="008C0936">
            <w:pPr>
              <w:pStyle w:val="Normale1"/>
              <w:keepNext/>
              <w:jc w:val="center"/>
              <w:rPr>
                <w:b/>
                <w:sz w:val="22"/>
                <w:szCs w:val="22"/>
                <w:lang w:val="en-AU"/>
              </w:rPr>
            </w:pPr>
            <w:r w:rsidRPr="00F0251C">
              <w:rPr>
                <w:b/>
                <w:sz w:val="22"/>
                <w:szCs w:val="22"/>
                <w:lang w:val="en-AU"/>
              </w:rPr>
              <w:t>Adverse reaction</w:t>
            </w:r>
          </w:p>
        </w:tc>
        <w:tc>
          <w:tcPr>
            <w:tcW w:w="1394" w:type="dxa"/>
            <w:vAlign w:val="center"/>
          </w:tcPr>
          <w:p w14:paraId="64965361" w14:textId="77777777" w:rsidR="00474334" w:rsidRPr="00F0251C" w:rsidRDefault="00474334" w:rsidP="008C0936">
            <w:pPr>
              <w:pStyle w:val="Normale1"/>
              <w:keepNext/>
              <w:jc w:val="center"/>
              <w:rPr>
                <w:b/>
                <w:sz w:val="22"/>
                <w:szCs w:val="22"/>
                <w:lang w:val="en-AU"/>
              </w:rPr>
            </w:pPr>
            <w:r w:rsidRPr="00F0251C">
              <w:rPr>
                <w:b/>
                <w:sz w:val="22"/>
                <w:szCs w:val="22"/>
                <w:lang w:val="en-AU"/>
              </w:rPr>
              <w:t>Frequency</w:t>
            </w:r>
          </w:p>
        </w:tc>
      </w:tr>
      <w:tr w:rsidR="00474334" w:rsidRPr="00F0251C" w14:paraId="36E35C5B" w14:textId="77777777" w:rsidTr="009B3F0E">
        <w:trPr>
          <w:cantSplit/>
          <w:jc w:val="center"/>
        </w:trPr>
        <w:tc>
          <w:tcPr>
            <w:tcW w:w="2409" w:type="dxa"/>
            <w:vMerge w:val="restart"/>
            <w:vAlign w:val="center"/>
          </w:tcPr>
          <w:p w14:paraId="6B781F98" w14:textId="77777777" w:rsidR="00474334" w:rsidRPr="00F0251C" w:rsidRDefault="00474334" w:rsidP="008C0936">
            <w:pPr>
              <w:pStyle w:val="Normale1"/>
              <w:keepNext/>
              <w:rPr>
                <w:b/>
                <w:sz w:val="22"/>
                <w:szCs w:val="22"/>
                <w:lang w:val="en-AU"/>
              </w:rPr>
            </w:pPr>
            <w:r w:rsidRPr="00F0251C">
              <w:rPr>
                <w:sz w:val="22"/>
                <w:szCs w:val="22"/>
                <w:lang w:val="en-AU"/>
              </w:rPr>
              <w:t>Infections and Infestations</w:t>
            </w:r>
          </w:p>
        </w:tc>
        <w:tc>
          <w:tcPr>
            <w:tcW w:w="5670" w:type="dxa"/>
            <w:vAlign w:val="center"/>
          </w:tcPr>
          <w:p w14:paraId="7A60F13E" w14:textId="77777777" w:rsidR="00474334" w:rsidRPr="00F0251C" w:rsidRDefault="00474334" w:rsidP="008C0936">
            <w:pPr>
              <w:pStyle w:val="Normale1"/>
              <w:keepNext/>
              <w:rPr>
                <w:b/>
                <w:sz w:val="22"/>
                <w:szCs w:val="22"/>
                <w:lang w:val="en-AU"/>
              </w:rPr>
            </w:pPr>
            <w:r w:rsidRPr="00F0251C">
              <w:rPr>
                <w:sz w:val="22"/>
                <w:szCs w:val="22"/>
                <w:lang w:val="en-AU"/>
              </w:rPr>
              <w:t>Pneumonia (in COPD patients), pharyngitis, oral candidiasis, urinary tract infection</w:t>
            </w:r>
            <w:r w:rsidRPr="00F0251C">
              <w:rPr>
                <w:sz w:val="22"/>
                <w:szCs w:val="22"/>
                <w:vertAlign w:val="superscript"/>
                <w:lang w:val="en-AU"/>
              </w:rPr>
              <w:t>1</w:t>
            </w:r>
            <w:r w:rsidRPr="00F0251C">
              <w:rPr>
                <w:sz w:val="22"/>
                <w:szCs w:val="22"/>
                <w:lang w:val="en-AU"/>
              </w:rPr>
              <w:t>, nasopharyngitis</w:t>
            </w:r>
            <w:r w:rsidRPr="00F0251C">
              <w:rPr>
                <w:sz w:val="22"/>
                <w:szCs w:val="22"/>
                <w:vertAlign w:val="superscript"/>
                <w:lang w:val="en-AU"/>
              </w:rPr>
              <w:t>1</w:t>
            </w:r>
          </w:p>
        </w:tc>
        <w:tc>
          <w:tcPr>
            <w:tcW w:w="1394" w:type="dxa"/>
            <w:vAlign w:val="center"/>
          </w:tcPr>
          <w:p w14:paraId="7413CE6F" w14:textId="77777777" w:rsidR="00474334" w:rsidRPr="00F0251C" w:rsidRDefault="00474334" w:rsidP="008C0936">
            <w:pPr>
              <w:pStyle w:val="Normale1"/>
              <w:keepNext/>
              <w:rPr>
                <w:b/>
                <w:sz w:val="22"/>
                <w:szCs w:val="22"/>
                <w:lang w:val="en-AU"/>
              </w:rPr>
            </w:pPr>
            <w:r w:rsidRPr="00F0251C">
              <w:rPr>
                <w:sz w:val="22"/>
                <w:szCs w:val="22"/>
                <w:lang w:val="en-AU"/>
              </w:rPr>
              <w:t>Common</w:t>
            </w:r>
          </w:p>
        </w:tc>
      </w:tr>
      <w:tr w:rsidR="00474334" w:rsidRPr="00F0251C" w14:paraId="38F80373" w14:textId="77777777" w:rsidTr="009B3F0E">
        <w:trPr>
          <w:cantSplit/>
          <w:jc w:val="center"/>
        </w:trPr>
        <w:tc>
          <w:tcPr>
            <w:tcW w:w="2409" w:type="dxa"/>
            <w:vMerge/>
            <w:vAlign w:val="center"/>
          </w:tcPr>
          <w:p w14:paraId="4B5AD56A" w14:textId="77777777" w:rsidR="00474334" w:rsidRPr="00F0251C" w:rsidRDefault="00474334" w:rsidP="008C0936">
            <w:pPr>
              <w:pStyle w:val="Normale1"/>
              <w:keepNext/>
              <w:rPr>
                <w:b/>
                <w:sz w:val="22"/>
                <w:szCs w:val="22"/>
                <w:lang w:val="en-AU"/>
              </w:rPr>
            </w:pPr>
          </w:p>
        </w:tc>
        <w:tc>
          <w:tcPr>
            <w:tcW w:w="5670" w:type="dxa"/>
            <w:vAlign w:val="center"/>
          </w:tcPr>
          <w:p w14:paraId="76BA32D9" w14:textId="77777777" w:rsidR="00474334" w:rsidRPr="00F0251C" w:rsidRDefault="00474334" w:rsidP="008C0936">
            <w:pPr>
              <w:pStyle w:val="Normale1"/>
              <w:keepNext/>
              <w:rPr>
                <w:b/>
                <w:sz w:val="22"/>
                <w:szCs w:val="22"/>
                <w:lang w:val="en-AU"/>
              </w:rPr>
            </w:pPr>
            <w:r w:rsidRPr="00F0251C">
              <w:rPr>
                <w:sz w:val="22"/>
                <w:szCs w:val="22"/>
                <w:lang w:val="en-AU"/>
              </w:rPr>
              <w:t>Influenza</w:t>
            </w:r>
            <w:r w:rsidRPr="00F0251C">
              <w:rPr>
                <w:sz w:val="22"/>
                <w:szCs w:val="22"/>
                <w:vertAlign w:val="superscript"/>
                <w:lang w:val="en-AU"/>
              </w:rPr>
              <w:t>1</w:t>
            </w:r>
            <w:r w:rsidRPr="00F0251C">
              <w:rPr>
                <w:sz w:val="22"/>
                <w:szCs w:val="22"/>
                <w:lang w:val="en-AU"/>
              </w:rPr>
              <w:t>, oral fungal infection, oropharyngeal candidiasis, oesophageal candidiasis</w:t>
            </w:r>
            <w:r w:rsidRPr="00F0251C">
              <w:rPr>
                <w:sz w:val="22"/>
                <w:szCs w:val="22"/>
                <w:vertAlign w:val="superscript"/>
                <w:lang w:val="en-AU"/>
              </w:rPr>
              <w:t>1</w:t>
            </w:r>
            <w:r w:rsidRPr="00F0251C">
              <w:rPr>
                <w:sz w:val="22"/>
                <w:szCs w:val="22"/>
                <w:lang w:val="en-AU"/>
              </w:rPr>
              <w:t>, sinusitis</w:t>
            </w:r>
            <w:r w:rsidRPr="00F0251C">
              <w:rPr>
                <w:sz w:val="22"/>
                <w:szCs w:val="22"/>
                <w:vertAlign w:val="superscript"/>
                <w:lang w:val="en-AU"/>
              </w:rPr>
              <w:t>1</w:t>
            </w:r>
            <w:r w:rsidRPr="00F0251C">
              <w:rPr>
                <w:sz w:val="22"/>
                <w:szCs w:val="22"/>
                <w:lang w:val="en-AU"/>
              </w:rPr>
              <w:t>, rhinitis</w:t>
            </w:r>
            <w:r w:rsidRPr="00F0251C">
              <w:rPr>
                <w:sz w:val="22"/>
                <w:szCs w:val="22"/>
                <w:vertAlign w:val="superscript"/>
                <w:lang w:val="en-AU"/>
              </w:rPr>
              <w:t>1</w:t>
            </w:r>
            <w:r w:rsidRPr="00F0251C">
              <w:rPr>
                <w:sz w:val="22"/>
                <w:szCs w:val="22"/>
                <w:lang w:val="en-AU"/>
              </w:rPr>
              <w:t>, gastroenteritis</w:t>
            </w:r>
            <w:r w:rsidRPr="00F0251C">
              <w:rPr>
                <w:sz w:val="22"/>
                <w:szCs w:val="22"/>
                <w:vertAlign w:val="superscript"/>
                <w:lang w:val="en-AU"/>
              </w:rPr>
              <w:t>1</w:t>
            </w:r>
            <w:r w:rsidRPr="00F0251C">
              <w:rPr>
                <w:sz w:val="22"/>
                <w:szCs w:val="22"/>
                <w:lang w:val="en-AU"/>
              </w:rPr>
              <w:t>, vulvovaginal candidiasis</w:t>
            </w:r>
            <w:r w:rsidRPr="00F0251C">
              <w:rPr>
                <w:sz w:val="22"/>
                <w:szCs w:val="22"/>
                <w:vertAlign w:val="superscript"/>
                <w:lang w:val="en-AU"/>
              </w:rPr>
              <w:t>1</w:t>
            </w:r>
          </w:p>
        </w:tc>
        <w:tc>
          <w:tcPr>
            <w:tcW w:w="1394" w:type="dxa"/>
            <w:vAlign w:val="center"/>
          </w:tcPr>
          <w:p w14:paraId="603DABE3" w14:textId="77777777" w:rsidR="00474334" w:rsidRPr="00F0251C" w:rsidRDefault="00474334" w:rsidP="008C0936">
            <w:pPr>
              <w:pStyle w:val="Normale1"/>
              <w:keepNext/>
              <w:rPr>
                <w:b/>
                <w:sz w:val="22"/>
                <w:szCs w:val="22"/>
                <w:lang w:val="en-AU"/>
              </w:rPr>
            </w:pPr>
            <w:r w:rsidRPr="00F0251C">
              <w:rPr>
                <w:sz w:val="22"/>
                <w:szCs w:val="22"/>
                <w:lang w:val="en-AU"/>
              </w:rPr>
              <w:t>Uncommon</w:t>
            </w:r>
          </w:p>
        </w:tc>
      </w:tr>
      <w:tr w:rsidR="00474334" w:rsidRPr="00F0251C" w14:paraId="29F979C9" w14:textId="77777777" w:rsidTr="009B3F0E">
        <w:trPr>
          <w:cantSplit/>
          <w:jc w:val="center"/>
        </w:trPr>
        <w:tc>
          <w:tcPr>
            <w:tcW w:w="2409" w:type="dxa"/>
            <w:vMerge/>
            <w:vAlign w:val="center"/>
          </w:tcPr>
          <w:p w14:paraId="1DA92068" w14:textId="77777777" w:rsidR="00474334" w:rsidRPr="00F0251C" w:rsidRDefault="00474334" w:rsidP="008C0936">
            <w:pPr>
              <w:pStyle w:val="Normale1"/>
              <w:keepNext/>
              <w:rPr>
                <w:b/>
                <w:sz w:val="22"/>
                <w:szCs w:val="22"/>
                <w:lang w:val="en-AU"/>
              </w:rPr>
            </w:pPr>
          </w:p>
        </w:tc>
        <w:tc>
          <w:tcPr>
            <w:tcW w:w="5670" w:type="dxa"/>
            <w:vAlign w:val="center"/>
          </w:tcPr>
          <w:p w14:paraId="7C4CF026" w14:textId="77777777" w:rsidR="00474334" w:rsidRPr="00F0251C" w:rsidRDefault="00474334" w:rsidP="008C0936">
            <w:pPr>
              <w:pStyle w:val="Normale1"/>
              <w:keepNext/>
              <w:rPr>
                <w:b/>
                <w:sz w:val="22"/>
                <w:szCs w:val="22"/>
                <w:lang w:val="en-AU"/>
              </w:rPr>
            </w:pPr>
            <w:r w:rsidRPr="00F0251C">
              <w:rPr>
                <w:sz w:val="22"/>
                <w:szCs w:val="22"/>
                <w:lang w:val="en-AU"/>
              </w:rPr>
              <w:t>Lower respiratory tract infection (fungal)</w:t>
            </w:r>
          </w:p>
        </w:tc>
        <w:tc>
          <w:tcPr>
            <w:tcW w:w="1394" w:type="dxa"/>
            <w:vAlign w:val="center"/>
          </w:tcPr>
          <w:p w14:paraId="2EA5CEC0" w14:textId="77777777" w:rsidR="00474334" w:rsidRPr="00F0251C" w:rsidRDefault="00474334" w:rsidP="008C0936">
            <w:pPr>
              <w:pStyle w:val="Normale1"/>
              <w:keepNext/>
              <w:rPr>
                <w:b/>
                <w:sz w:val="22"/>
                <w:szCs w:val="22"/>
                <w:lang w:val="en-AU"/>
              </w:rPr>
            </w:pPr>
            <w:r w:rsidRPr="00F0251C">
              <w:rPr>
                <w:sz w:val="22"/>
                <w:szCs w:val="22"/>
                <w:lang w:val="en-AU"/>
              </w:rPr>
              <w:t>Rare</w:t>
            </w:r>
          </w:p>
        </w:tc>
      </w:tr>
      <w:tr w:rsidR="00474334" w:rsidRPr="00F0251C" w14:paraId="5CDC2CA3" w14:textId="77777777" w:rsidTr="009B3F0E">
        <w:trPr>
          <w:cantSplit/>
          <w:jc w:val="center"/>
        </w:trPr>
        <w:tc>
          <w:tcPr>
            <w:tcW w:w="2409" w:type="dxa"/>
            <w:vMerge w:val="restart"/>
            <w:vAlign w:val="center"/>
          </w:tcPr>
          <w:p w14:paraId="62C1EC49" w14:textId="77777777" w:rsidR="00474334" w:rsidRPr="00F0251C" w:rsidRDefault="00474334" w:rsidP="008C0936">
            <w:pPr>
              <w:pStyle w:val="Normale1"/>
              <w:rPr>
                <w:b/>
                <w:sz w:val="22"/>
                <w:szCs w:val="22"/>
                <w:lang w:val="en-AU"/>
              </w:rPr>
            </w:pPr>
            <w:r w:rsidRPr="00F0251C">
              <w:rPr>
                <w:sz w:val="22"/>
                <w:szCs w:val="22"/>
                <w:lang w:val="en-AU"/>
              </w:rPr>
              <w:t>Blood and lymphatic system disorders</w:t>
            </w:r>
          </w:p>
        </w:tc>
        <w:tc>
          <w:tcPr>
            <w:tcW w:w="5670" w:type="dxa"/>
            <w:vAlign w:val="center"/>
          </w:tcPr>
          <w:p w14:paraId="4492854F" w14:textId="77777777" w:rsidR="00474334" w:rsidRPr="00F0251C" w:rsidRDefault="00474334" w:rsidP="008C0936">
            <w:pPr>
              <w:pStyle w:val="Normale1"/>
              <w:rPr>
                <w:b/>
                <w:sz w:val="22"/>
                <w:szCs w:val="22"/>
                <w:lang w:val="en-AU"/>
              </w:rPr>
            </w:pPr>
            <w:r w:rsidRPr="00F0251C">
              <w:rPr>
                <w:sz w:val="22"/>
                <w:szCs w:val="22"/>
                <w:lang w:val="en-AU"/>
              </w:rPr>
              <w:t>Granulocytopenia</w:t>
            </w:r>
            <w:r w:rsidRPr="00F0251C">
              <w:rPr>
                <w:sz w:val="22"/>
                <w:szCs w:val="22"/>
                <w:vertAlign w:val="superscript"/>
                <w:lang w:val="en-AU"/>
              </w:rPr>
              <w:t>1</w:t>
            </w:r>
          </w:p>
        </w:tc>
        <w:tc>
          <w:tcPr>
            <w:tcW w:w="1394" w:type="dxa"/>
            <w:vAlign w:val="center"/>
          </w:tcPr>
          <w:p w14:paraId="44110AE8" w14:textId="77777777" w:rsidR="00474334" w:rsidRPr="00F0251C" w:rsidRDefault="00474334" w:rsidP="008C0936">
            <w:pPr>
              <w:pStyle w:val="Normale1"/>
              <w:rPr>
                <w:b/>
                <w:sz w:val="22"/>
                <w:szCs w:val="22"/>
                <w:lang w:val="en-AU"/>
              </w:rPr>
            </w:pPr>
            <w:r w:rsidRPr="00F0251C">
              <w:rPr>
                <w:sz w:val="22"/>
                <w:szCs w:val="22"/>
                <w:lang w:val="en-AU"/>
              </w:rPr>
              <w:t>Uncommon</w:t>
            </w:r>
          </w:p>
        </w:tc>
      </w:tr>
      <w:tr w:rsidR="00474334" w:rsidRPr="00F0251C" w14:paraId="4DF66511" w14:textId="77777777" w:rsidTr="009B3F0E">
        <w:trPr>
          <w:cantSplit/>
          <w:jc w:val="center"/>
        </w:trPr>
        <w:tc>
          <w:tcPr>
            <w:tcW w:w="2409" w:type="dxa"/>
            <w:vMerge/>
            <w:vAlign w:val="center"/>
          </w:tcPr>
          <w:p w14:paraId="05A95890" w14:textId="77777777" w:rsidR="00474334" w:rsidRPr="00F0251C" w:rsidRDefault="00474334" w:rsidP="008C0936">
            <w:pPr>
              <w:pStyle w:val="Normale1"/>
              <w:rPr>
                <w:b/>
                <w:sz w:val="22"/>
                <w:szCs w:val="22"/>
                <w:lang w:val="en-AU"/>
              </w:rPr>
            </w:pPr>
          </w:p>
        </w:tc>
        <w:tc>
          <w:tcPr>
            <w:tcW w:w="5670" w:type="dxa"/>
            <w:vAlign w:val="center"/>
          </w:tcPr>
          <w:p w14:paraId="4CB73CA4" w14:textId="77777777" w:rsidR="00474334" w:rsidRPr="00F0251C" w:rsidRDefault="00474334" w:rsidP="008C0936">
            <w:pPr>
              <w:pStyle w:val="Normale1"/>
              <w:rPr>
                <w:b/>
                <w:sz w:val="22"/>
                <w:szCs w:val="22"/>
                <w:lang w:val="en-AU"/>
              </w:rPr>
            </w:pPr>
            <w:r w:rsidRPr="00F0251C">
              <w:rPr>
                <w:sz w:val="22"/>
                <w:szCs w:val="22"/>
                <w:lang w:val="en-AU"/>
              </w:rPr>
              <w:t>Thrombocytopenia</w:t>
            </w:r>
            <w:r w:rsidRPr="00F0251C">
              <w:rPr>
                <w:sz w:val="22"/>
                <w:szCs w:val="22"/>
                <w:vertAlign w:val="superscript"/>
                <w:lang w:val="en-AU"/>
              </w:rPr>
              <w:t>1</w:t>
            </w:r>
          </w:p>
        </w:tc>
        <w:tc>
          <w:tcPr>
            <w:tcW w:w="1394" w:type="dxa"/>
            <w:vAlign w:val="center"/>
          </w:tcPr>
          <w:p w14:paraId="2C9E3F7D" w14:textId="77777777" w:rsidR="00474334" w:rsidRPr="00F0251C" w:rsidRDefault="00474334" w:rsidP="008C0936">
            <w:pPr>
              <w:pStyle w:val="Normale1"/>
              <w:rPr>
                <w:b/>
                <w:sz w:val="22"/>
                <w:szCs w:val="22"/>
                <w:lang w:val="en-AU"/>
              </w:rPr>
            </w:pPr>
            <w:r w:rsidRPr="00F0251C">
              <w:rPr>
                <w:sz w:val="22"/>
                <w:szCs w:val="22"/>
                <w:lang w:val="en-AU"/>
              </w:rPr>
              <w:t>Very rare</w:t>
            </w:r>
          </w:p>
        </w:tc>
      </w:tr>
      <w:tr w:rsidR="00474334" w:rsidRPr="00F0251C" w14:paraId="7816E7FC" w14:textId="77777777" w:rsidTr="009B3F0E">
        <w:trPr>
          <w:cantSplit/>
          <w:jc w:val="center"/>
        </w:trPr>
        <w:tc>
          <w:tcPr>
            <w:tcW w:w="2409" w:type="dxa"/>
            <w:vMerge w:val="restart"/>
            <w:vAlign w:val="center"/>
          </w:tcPr>
          <w:p w14:paraId="00902209" w14:textId="77777777" w:rsidR="00474334" w:rsidRPr="00F0251C" w:rsidRDefault="00474334" w:rsidP="008C0936">
            <w:pPr>
              <w:pStyle w:val="Normale1"/>
              <w:keepNext/>
              <w:rPr>
                <w:sz w:val="22"/>
                <w:szCs w:val="22"/>
                <w:lang w:val="en-AU"/>
              </w:rPr>
            </w:pPr>
            <w:r w:rsidRPr="00F0251C">
              <w:rPr>
                <w:sz w:val="22"/>
                <w:szCs w:val="22"/>
                <w:lang w:val="en-AU"/>
              </w:rPr>
              <w:t>Immune system disorders</w:t>
            </w:r>
          </w:p>
        </w:tc>
        <w:tc>
          <w:tcPr>
            <w:tcW w:w="5670" w:type="dxa"/>
            <w:vAlign w:val="center"/>
          </w:tcPr>
          <w:p w14:paraId="3476531D" w14:textId="77777777" w:rsidR="00474334" w:rsidRPr="00F0251C" w:rsidRDefault="00474334" w:rsidP="008C0936">
            <w:pPr>
              <w:pStyle w:val="Normale1"/>
              <w:keepNext/>
              <w:rPr>
                <w:sz w:val="22"/>
                <w:szCs w:val="22"/>
                <w:lang w:val="en-AU"/>
              </w:rPr>
            </w:pPr>
            <w:r w:rsidRPr="00F0251C">
              <w:rPr>
                <w:sz w:val="22"/>
                <w:szCs w:val="22"/>
                <w:lang w:val="en-AU"/>
              </w:rPr>
              <w:t>Dermatitis allergic</w:t>
            </w:r>
            <w:r w:rsidRPr="00F0251C">
              <w:rPr>
                <w:sz w:val="22"/>
                <w:szCs w:val="22"/>
                <w:vertAlign w:val="superscript"/>
                <w:lang w:val="en-AU"/>
              </w:rPr>
              <w:t>1</w:t>
            </w:r>
          </w:p>
        </w:tc>
        <w:tc>
          <w:tcPr>
            <w:tcW w:w="1394" w:type="dxa"/>
            <w:vAlign w:val="center"/>
          </w:tcPr>
          <w:p w14:paraId="3A5F60F2" w14:textId="77777777" w:rsidR="00474334" w:rsidRPr="00F0251C" w:rsidRDefault="00474334" w:rsidP="008C0936">
            <w:pPr>
              <w:pStyle w:val="Normale1"/>
              <w:keepNext/>
              <w:rPr>
                <w:sz w:val="22"/>
                <w:szCs w:val="22"/>
                <w:lang w:val="en-AU"/>
              </w:rPr>
            </w:pPr>
            <w:r w:rsidRPr="00F0251C">
              <w:rPr>
                <w:sz w:val="22"/>
                <w:szCs w:val="22"/>
                <w:lang w:val="en-AU"/>
              </w:rPr>
              <w:t>Uncommon</w:t>
            </w:r>
          </w:p>
        </w:tc>
      </w:tr>
      <w:tr w:rsidR="00474334" w:rsidRPr="00F0251C" w14:paraId="3480B774" w14:textId="77777777" w:rsidTr="009B3F0E">
        <w:trPr>
          <w:cantSplit/>
          <w:jc w:val="center"/>
        </w:trPr>
        <w:tc>
          <w:tcPr>
            <w:tcW w:w="2409" w:type="dxa"/>
            <w:vMerge/>
            <w:vAlign w:val="center"/>
          </w:tcPr>
          <w:p w14:paraId="21CE9C65" w14:textId="77777777" w:rsidR="00474334" w:rsidRPr="00F0251C" w:rsidRDefault="00474334" w:rsidP="008C0936">
            <w:pPr>
              <w:pStyle w:val="Normale1"/>
              <w:rPr>
                <w:b/>
                <w:sz w:val="22"/>
                <w:szCs w:val="22"/>
                <w:lang w:val="en-AU"/>
              </w:rPr>
            </w:pPr>
          </w:p>
        </w:tc>
        <w:tc>
          <w:tcPr>
            <w:tcW w:w="5670" w:type="dxa"/>
            <w:vAlign w:val="center"/>
          </w:tcPr>
          <w:p w14:paraId="0E528D43" w14:textId="77777777" w:rsidR="00474334" w:rsidRPr="00F0251C" w:rsidRDefault="00474334" w:rsidP="008C0936">
            <w:pPr>
              <w:pStyle w:val="Normale1"/>
              <w:rPr>
                <w:b/>
                <w:sz w:val="22"/>
                <w:szCs w:val="22"/>
                <w:lang w:val="en-AU"/>
              </w:rPr>
            </w:pPr>
            <w:r w:rsidRPr="00F0251C">
              <w:rPr>
                <w:sz w:val="22"/>
                <w:szCs w:val="22"/>
                <w:lang w:val="en-AU"/>
              </w:rPr>
              <w:t>Hypersensitivity reactions, including erythema, lips, face, eye and pharyngeal oedema</w:t>
            </w:r>
          </w:p>
        </w:tc>
        <w:tc>
          <w:tcPr>
            <w:tcW w:w="1394" w:type="dxa"/>
            <w:vAlign w:val="center"/>
          </w:tcPr>
          <w:p w14:paraId="1001EA28" w14:textId="77777777" w:rsidR="00474334" w:rsidRPr="00F0251C" w:rsidRDefault="00474334" w:rsidP="008C0936">
            <w:pPr>
              <w:pStyle w:val="Normale1"/>
              <w:rPr>
                <w:b/>
                <w:sz w:val="22"/>
                <w:szCs w:val="22"/>
                <w:lang w:val="en-AU"/>
              </w:rPr>
            </w:pPr>
            <w:r w:rsidRPr="00F0251C">
              <w:rPr>
                <w:sz w:val="22"/>
                <w:szCs w:val="22"/>
                <w:lang w:val="en-AU"/>
              </w:rPr>
              <w:t>Rare</w:t>
            </w:r>
          </w:p>
        </w:tc>
      </w:tr>
      <w:tr w:rsidR="00474334" w:rsidRPr="00F0251C" w14:paraId="27FAC54E" w14:textId="77777777" w:rsidTr="009B3F0E">
        <w:trPr>
          <w:cantSplit/>
          <w:jc w:val="center"/>
        </w:trPr>
        <w:tc>
          <w:tcPr>
            <w:tcW w:w="2409" w:type="dxa"/>
            <w:vAlign w:val="center"/>
          </w:tcPr>
          <w:p w14:paraId="490ABC73" w14:textId="77777777" w:rsidR="00474334" w:rsidRPr="00F0251C" w:rsidRDefault="00474334" w:rsidP="008C0936">
            <w:pPr>
              <w:pStyle w:val="Normale1"/>
              <w:rPr>
                <w:b/>
                <w:sz w:val="22"/>
                <w:szCs w:val="22"/>
                <w:lang w:val="en-AU"/>
              </w:rPr>
            </w:pPr>
            <w:r w:rsidRPr="00F0251C">
              <w:rPr>
                <w:sz w:val="22"/>
                <w:szCs w:val="22"/>
                <w:lang w:val="en-AU"/>
              </w:rPr>
              <w:t>Endocrine disorders</w:t>
            </w:r>
          </w:p>
        </w:tc>
        <w:tc>
          <w:tcPr>
            <w:tcW w:w="5670" w:type="dxa"/>
            <w:vAlign w:val="center"/>
          </w:tcPr>
          <w:p w14:paraId="3BEC636A" w14:textId="77777777" w:rsidR="00474334" w:rsidRPr="00F0251C" w:rsidRDefault="00474334" w:rsidP="008C0936">
            <w:pPr>
              <w:pStyle w:val="Normale1"/>
              <w:rPr>
                <w:b/>
                <w:sz w:val="22"/>
                <w:szCs w:val="22"/>
                <w:lang w:val="en-AU"/>
              </w:rPr>
            </w:pPr>
            <w:r w:rsidRPr="00F0251C">
              <w:rPr>
                <w:sz w:val="22"/>
                <w:szCs w:val="22"/>
                <w:lang w:val="en-AU"/>
              </w:rPr>
              <w:t>Adrenal suppression</w:t>
            </w:r>
            <w:r w:rsidRPr="00F0251C">
              <w:rPr>
                <w:sz w:val="22"/>
                <w:szCs w:val="22"/>
                <w:vertAlign w:val="superscript"/>
                <w:lang w:val="en-AU"/>
              </w:rPr>
              <w:t>1</w:t>
            </w:r>
          </w:p>
        </w:tc>
        <w:tc>
          <w:tcPr>
            <w:tcW w:w="1394" w:type="dxa"/>
            <w:vAlign w:val="center"/>
          </w:tcPr>
          <w:p w14:paraId="76AEB8F7" w14:textId="77777777" w:rsidR="00474334" w:rsidRPr="00F0251C" w:rsidRDefault="00474334" w:rsidP="008C0936">
            <w:pPr>
              <w:pStyle w:val="Normale1"/>
              <w:rPr>
                <w:b/>
                <w:sz w:val="22"/>
                <w:szCs w:val="22"/>
                <w:lang w:val="en-AU"/>
              </w:rPr>
            </w:pPr>
            <w:r w:rsidRPr="00F0251C">
              <w:rPr>
                <w:sz w:val="22"/>
                <w:szCs w:val="22"/>
                <w:lang w:val="en-AU"/>
              </w:rPr>
              <w:t>Very rare</w:t>
            </w:r>
          </w:p>
        </w:tc>
      </w:tr>
      <w:tr w:rsidR="00474334" w:rsidRPr="00F0251C" w14:paraId="418D4496" w14:textId="77777777" w:rsidTr="009B3F0E">
        <w:trPr>
          <w:cantSplit/>
          <w:jc w:val="center"/>
        </w:trPr>
        <w:tc>
          <w:tcPr>
            <w:tcW w:w="2409" w:type="dxa"/>
            <w:vMerge w:val="restart"/>
            <w:vAlign w:val="center"/>
          </w:tcPr>
          <w:p w14:paraId="5A7018A0" w14:textId="77777777" w:rsidR="00474334" w:rsidRPr="00F0251C" w:rsidRDefault="00474334" w:rsidP="008C0936">
            <w:pPr>
              <w:pStyle w:val="Normale1"/>
              <w:rPr>
                <w:b/>
                <w:sz w:val="22"/>
                <w:szCs w:val="22"/>
                <w:lang w:val="en-AU"/>
              </w:rPr>
            </w:pPr>
            <w:r w:rsidRPr="00F0251C">
              <w:rPr>
                <w:sz w:val="22"/>
                <w:szCs w:val="22"/>
                <w:lang w:val="en-AU"/>
              </w:rPr>
              <w:t>Metabolism and nutrition disorders</w:t>
            </w:r>
          </w:p>
        </w:tc>
        <w:tc>
          <w:tcPr>
            <w:tcW w:w="5670" w:type="dxa"/>
            <w:vAlign w:val="center"/>
          </w:tcPr>
          <w:p w14:paraId="196DA36B" w14:textId="77777777" w:rsidR="00474334" w:rsidRPr="00F0251C" w:rsidRDefault="00474334" w:rsidP="008C0936">
            <w:pPr>
              <w:pStyle w:val="Normale1"/>
              <w:rPr>
                <w:b/>
                <w:sz w:val="22"/>
                <w:szCs w:val="22"/>
                <w:lang w:val="en-AU"/>
              </w:rPr>
            </w:pPr>
            <w:r w:rsidRPr="00F0251C">
              <w:rPr>
                <w:sz w:val="22"/>
                <w:szCs w:val="22"/>
                <w:lang w:val="en-AU"/>
              </w:rPr>
              <w:t>Hypokalaemia, hyperglycaemia</w:t>
            </w:r>
          </w:p>
        </w:tc>
        <w:tc>
          <w:tcPr>
            <w:tcW w:w="1394" w:type="dxa"/>
            <w:vAlign w:val="center"/>
          </w:tcPr>
          <w:p w14:paraId="1E230BED" w14:textId="77777777" w:rsidR="00474334" w:rsidRPr="00F0251C" w:rsidRDefault="00474334" w:rsidP="008C0936">
            <w:pPr>
              <w:pStyle w:val="Normale1"/>
              <w:rPr>
                <w:b/>
                <w:sz w:val="22"/>
                <w:szCs w:val="22"/>
                <w:lang w:val="en-AU"/>
              </w:rPr>
            </w:pPr>
            <w:r w:rsidRPr="00F0251C">
              <w:rPr>
                <w:sz w:val="22"/>
                <w:szCs w:val="22"/>
                <w:lang w:val="en-AU"/>
              </w:rPr>
              <w:t>Uncommon</w:t>
            </w:r>
          </w:p>
        </w:tc>
      </w:tr>
      <w:tr w:rsidR="00474334" w:rsidRPr="00F0251C" w14:paraId="30F053B7" w14:textId="77777777" w:rsidTr="009B3F0E">
        <w:trPr>
          <w:cantSplit/>
          <w:jc w:val="center"/>
        </w:trPr>
        <w:tc>
          <w:tcPr>
            <w:tcW w:w="2409" w:type="dxa"/>
            <w:vMerge/>
            <w:vAlign w:val="center"/>
          </w:tcPr>
          <w:p w14:paraId="638CFEE3" w14:textId="77777777" w:rsidR="00474334" w:rsidRPr="00F0251C" w:rsidRDefault="00474334" w:rsidP="008C0936">
            <w:pPr>
              <w:pStyle w:val="Normale1"/>
              <w:rPr>
                <w:b/>
                <w:sz w:val="22"/>
                <w:szCs w:val="22"/>
                <w:lang w:val="en-AU"/>
              </w:rPr>
            </w:pPr>
          </w:p>
        </w:tc>
        <w:tc>
          <w:tcPr>
            <w:tcW w:w="5670" w:type="dxa"/>
            <w:vAlign w:val="center"/>
          </w:tcPr>
          <w:p w14:paraId="331B46D9" w14:textId="77777777" w:rsidR="00474334" w:rsidRPr="00F0251C" w:rsidRDefault="00474334" w:rsidP="008C0936">
            <w:pPr>
              <w:pStyle w:val="Normale1"/>
              <w:rPr>
                <w:b/>
                <w:sz w:val="22"/>
                <w:szCs w:val="22"/>
                <w:lang w:val="en-AU"/>
              </w:rPr>
            </w:pPr>
            <w:r w:rsidRPr="00F0251C">
              <w:rPr>
                <w:sz w:val="22"/>
                <w:szCs w:val="22"/>
                <w:lang w:val="en-AU"/>
              </w:rPr>
              <w:t>Decreased appetite</w:t>
            </w:r>
          </w:p>
        </w:tc>
        <w:tc>
          <w:tcPr>
            <w:tcW w:w="1394" w:type="dxa"/>
            <w:vAlign w:val="center"/>
          </w:tcPr>
          <w:p w14:paraId="3879BA64" w14:textId="77777777" w:rsidR="00474334" w:rsidRPr="00F0251C" w:rsidRDefault="00474334" w:rsidP="008C0936">
            <w:pPr>
              <w:pStyle w:val="Normale1"/>
              <w:rPr>
                <w:b/>
                <w:sz w:val="22"/>
                <w:szCs w:val="22"/>
                <w:lang w:val="en-AU"/>
              </w:rPr>
            </w:pPr>
            <w:r w:rsidRPr="00F0251C">
              <w:rPr>
                <w:sz w:val="22"/>
                <w:szCs w:val="22"/>
                <w:lang w:val="en-AU"/>
              </w:rPr>
              <w:t>Rare</w:t>
            </w:r>
          </w:p>
        </w:tc>
      </w:tr>
      <w:tr w:rsidR="00474334" w:rsidRPr="00F0251C" w14:paraId="5FDCFB11" w14:textId="77777777" w:rsidTr="009B3F0E">
        <w:trPr>
          <w:cantSplit/>
          <w:jc w:val="center"/>
        </w:trPr>
        <w:tc>
          <w:tcPr>
            <w:tcW w:w="2409" w:type="dxa"/>
            <w:vMerge w:val="restart"/>
            <w:vAlign w:val="center"/>
          </w:tcPr>
          <w:p w14:paraId="0EC84E9A" w14:textId="77777777" w:rsidR="00474334" w:rsidRPr="00F0251C" w:rsidRDefault="00474334" w:rsidP="008C0936">
            <w:pPr>
              <w:pStyle w:val="Normale1"/>
              <w:rPr>
                <w:b/>
                <w:sz w:val="22"/>
                <w:szCs w:val="22"/>
                <w:lang w:val="en-AU"/>
              </w:rPr>
            </w:pPr>
            <w:r w:rsidRPr="00F0251C">
              <w:rPr>
                <w:sz w:val="22"/>
                <w:szCs w:val="22"/>
                <w:lang w:val="en-AU"/>
              </w:rPr>
              <w:t>Psychiatric disorders</w:t>
            </w:r>
          </w:p>
        </w:tc>
        <w:tc>
          <w:tcPr>
            <w:tcW w:w="5670" w:type="dxa"/>
            <w:vAlign w:val="center"/>
          </w:tcPr>
          <w:p w14:paraId="357C297C" w14:textId="77777777" w:rsidR="00474334" w:rsidRPr="00F0251C" w:rsidRDefault="00474334" w:rsidP="008C0936">
            <w:pPr>
              <w:pStyle w:val="Normale1"/>
              <w:rPr>
                <w:b/>
                <w:sz w:val="22"/>
                <w:szCs w:val="22"/>
                <w:lang w:val="en-AU"/>
              </w:rPr>
            </w:pPr>
            <w:r w:rsidRPr="00F0251C">
              <w:rPr>
                <w:sz w:val="22"/>
                <w:szCs w:val="22"/>
                <w:lang w:val="en-AU"/>
              </w:rPr>
              <w:t>Restlessness</w:t>
            </w:r>
            <w:r w:rsidRPr="00F0251C">
              <w:rPr>
                <w:sz w:val="22"/>
                <w:szCs w:val="22"/>
                <w:vertAlign w:val="superscript"/>
                <w:lang w:val="en-AU"/>
              </w:rPr>
              <w:t>1</w:t>
            </w:r>
          </w:p>
        </w:tc>
        <w:tc>
          <w:tcPr>
            <w:tcW w:w="1394" w:type="dxa"/>
            <w:vAlign w:val="center"/>
          </w:tcPr>
          <w:p w14:paraId="77505515" w14:textId="77777777" w:rsidR="00474334" w:rsidRPr="00F0251C" w:rsidRDefault="00474334" w:rsidP="008C0936">
            <w:pPr>
              <w:pStyle w:val="Normale1"/>
              <w:rPr>
                <w:b/>
                <w:sz w:val="22"/>
                <w:szCs w:val="22"/>
                <w:lang w:val="en-AU"/>
              </w:rPr>
            </w:pPr>
            <w:r w:rsidRPr="00F0251C">
              <w:rPr>
                <w:sz w:val="22"/>
                <w:szCs w:val="22"/>
                <w:lang w:val="en-AU"/>
              </w:rPr>
              <w:t>Uncommon</w:t>
            </w:r>
          </w:p>
        </w:tc>
      </w:tr>
      <w:tr w:rsidR="00474334" w:rsidRPr="00F0251C" w14:paraId="049B2112" w14:textId="77777777" w:rsidTr="009B3F0E">
        <w:trPr>
          <w:cantSplit/>
          <w:jc w:val="center"/>
        </w:trPr>
        <w:tc>
          <w:tcPr>
            <w:tcW w:w="2409" w:type="dxa"/>
            <w:vMerge/>
            <w:vAlign w:val="center"/>
          </w:tcPr>
          <w:p w14:paraId="3B989F81" w14:textId="77777777" w:rsidR="00474334" w:rsidRPr="00F0251C" w:rsidRDefault="00474334" w:rsidP="008C0936">
            <w:pPr>
              <w:pStyle w:val="Normale1"/>
              <w:rPr>
                <w:b/>
                <w:sz w:val="22"/>
                <w:szCs w:val="22"/>
                <w:lang w:val="en-AU"/>
              </w:rPr>
            </w:pPr>
          </w:p>
        </w:tc>
        <w:tc>
          <w:tcPr>
            <w:tcW w:w="5670" w:type="dxa"/>
            <w:vAlign w:val="center"/>
          </w:tcPr>
          <w:p w14:paraId="692BFA04" w14:textId="77777777" w:rsidR="00474334" w:rsidRPr="00F0251C" w:rsidRDefault="00474334" w:rsidP="008C0936">
            <w:pPr>
              <w:pStyle w:val="Normale1"/>
              <w:rPr>
                <w:b/>
                <w:sz w:val="22"/>
                <w:szCs w:val="22"/>
                <w:lang w:val="en-AU"/>
              </w:rPr>
            </w:pPr>
            <w:r w:rsidRPr="00F0251C">
              <w:rPr>
                <w:sz w:val="22"/>
                <w:szCs w:val="22"/>
                <w:lang w:val="en-AU"/>
              </w:rPr>
              <w:t>Psychomotor hyperactivity</w:t>
            </w:r>
            <w:r w:rsidRPr="00F0251C">
              <w:rPr>
                <w:sz w:val="22"/>
                <w:szCs w:val="22"/>
                <w:vertAlign w:val="superscript"/>
                <w:lang w:val="en-AU"/>
              </w:rPr>
              <w:t>1</w:t>
            </w:r>
            <w:r w:rsidRPr="00F0251C">
              <w:rPr>
                <w:sz w:val="22"/>
                <w:szCs w:val="22"/>
                <w:lang w:val="en-AU"/>
              </w:rPr>
              <w:t>, sleep disorders</w:t>
            </w:r>
            <w:r w:rsidRPr="00F0251C">
              <w:rPr>
                <w:sz w:val="22"/>
                <w:szCs w:val="22"/>
                <w:vertAlign w:val="superscript"/>
                <w:lang w:val="en-AU"/>
              </w:rPr>
              <w:t>1</w:t>
            </w:r>
            <w:r w:rsidRPr="00F0251C">
              <w:rPr>
                <w:sz w:val="22"/>
                <w:szCs w:val="22"/>
                <w:lang w:val="en-AU"/>
              </w:rPr>
              <w:t>, anxiety, depression</w:t>
            </w:r>
            <w:r w:rsidRPr="00F0251C">
              <w:rPr>
                <w:sz w:val="22"/>
                <w:szCs w:val="22"/>
                <w:vertAlign w:val="superscript"/>
                <w:lang w:val="en-AU"/>
              </w:rPr>
              <w:t>1</w:t>
            </w:r>
            <w:r w:rsidRPr="00F0251C">
              <w:rPr>
                <w:sz w:val="22"/>
                <w:szCs w:val="22"/>
                <w:lang w:val="en-AU"/>
              </w:rPr>
              <w:t>, aggression</w:t>
            </w:r>
            <w:r w:rsidRPr="00F0251C">
              <w:rPr>
                <w:sz w:val="22"/>
                <w:szCs w:val="22"/>
                <w:vertAlign w:val="superscript"/>
                <w:lang w:val="en-AU"/>
              </w:rPr>
              <w:t>1</w:t>
            </w:r>
            <w:r w:rsidRPr="00F0251C">
              <w:rPr>
                <w:sz w:val="22"/>
                <w:szCs w:val="22"/>
                <w:lang w:val="en-AU"/>
              </w:rPr>
              <w:t>, behavioural changes (predominantly in children)</w:t>
            </w:r>
            <w:r w:rsidRPr="00F0251C">
              <w:rPr>
                <w:sz w:val="22"/>
                <w:szCs w:val="22"/>
                <w:vertAlign w:val="superscript"/>
                <w:lang w:val="en-AU"/>
              </w:rPr>
              <w:t xml:space="preserve"> 1</w:t>
            </w:r>
          </w:p>
        </w:tc>
        <w:tc>
          <w:tcPr>
            <w:tcW w:w="1394" w:type="dxa"/>
            <w:vAlign w:val="center"/>
          </w:tcPr>
          <w:p w14:paraId="572369B5" w14:textId="77777777" w:rsidR="00474334" w:rsidRPr="00F0251C" w:rsidRDefault="00474334" w:rsidP="008C0936">
            <w:pPr>
              <w:pStyle w:val="Normale1"/>
              <w:rPr>
                <w:b/>
                <w:sz w:val="22"/>
                <w:szCs w:val="22"/>
                <w:lang w:val="en-AU"/>
              </w:rPr>
            </w:pPr>
            <w:r w:rsidRPr="00F0251C">
              <w:rPr>
                <w:sz w:val="22"/>
                <w:szCs w:val="22"/>
                <w:lang w:val="en-AU"/>
              </w:rPr>
              <w:t>Frequency not known</w:t>
            </w:r>
          </w:p>
        </w:tc>
      </w:tr>
      <w:tr w:rsidR="00474334" w:rsidRPr="00F0251C" w14:paraId="0603340C" w14:textId="77777777" w:rsidTr="009B3F0E">
        <w:trPr>
          <w:cantSplit/>
          <w:jc w:val="center"/>
        </w:trPr>
        <w:tc>
          <w:tcPr>
            <w:tcW w:w="2409" w:type="dxa"/>
            <w:vMerge/>
            <w:vAlign w:val="center"/>
          </w:tcPr>
          <w:p w14:paraId="4E505A9F" w14:textId="77777777" w:rsidR="00474334" w:rsidRPr="00F0251C" w:rsidRDefault="00474334" w:rsidP="008C0936">
            <w:pPr>
              <w:pStyle w:val="Normale1"/>
              <w:rPr>
                <w:b/>
                <w:sz w:val="22"/>
                <w:szCs w:val="22"/>
                <w:lang w:val="en-AU"/>
              </w:rPr>
            </w:pPr>
          </w:p>
        </w:tc>
        <w:tc>
          <w:tcPr>
            <w:tcW w:w="5670" w:type="dxa"/>
            <w:vAlign w:val="center"/>
          </w:tcPr>
          <w:p w14:paraId="7BB1709B" w14:textId="77777777" w:rsidR="00474334" w:rsidRPr="00F0251C" w:rsidRDefault="00474334" w:rsidP="008C0936">
            <w:pPr>
              <w:pStyle w:val="Normale1"/>
              <w:rPr>
                <w:b/>
                <w:sz w:val="22"/>
                <w:szCs w:val="22"/>
                <w:lang w:val="en-AU"/>
              </w:rPr>
            </w:pPr>
            <w:r w:rsidRPr="00F0251C">
              <w:rPr>
                <w:sz w:val="22"/>
                <w:szCs w:val="22"/>
                <w:lang w:val="en-AU"/>
              </w:rPr>
              <w:t>Insomnia</w:t>
            </w:r>
          </w:p>
        </w:tc>
        <w:tc>
          <w:tcPr>
            <w:tcW w:w="1394" w:type="dxa"/>
            <w:vAlign w:val="center"/>
          </w:tcPr>
          <w:p w14:paraId="6139EB42" w14:textId="77777777" w:rsidR="00474334" w:rsidRPr="00F0251C" w:rsidRDefault="00474334" w:rsidP="008C0936">
            <w:pPr>
              <w:pStyle w:val="Normale1"/>
              <w:rPr>
                <w:b/>
                <w:sz w:val="22"/>
                <w:szCs w:val="22"/>
                <w:lang w:val="en-AU"/>
              </w:rPr>
            </w:pPr>
            <w:r w:rsidRPr="00F0251C">
              <w:rPr>
                <w:sz w:val="22"/>
                <w:szCs w:val="22"/>
                <w:lang w:val="en-AU"/>
              </w:rPr>
              <w:t>Rare</w:t>
            </w:r>
          </w:p>
        </w:tc>
      </w:tr>
      <w:tr w:rsidR="00474334" w:rsidRPr="00F0251C" w14:paraId="6ADBB8DD" w14:textId="77777777" w:rsidTr="009B3F0E">
        <w:trPr>
          <w:cantSplit/>
          <w:jc w:val="center"/>
        </w:trPr>
        <w:tc>
          <w:tcPr>
            <w:tcW w:w="2409" w:type="dxa"/>
            <w:vMerge w:val="restart"/>
            <w:vAlign w:val="center"/>
          </w:tcPr>
          <w:p w14:paraId="43F06782" w14:textId="77777777" w:rsidR="00474334" w:rsidRPr="00F0251C" w:rsidRDefault="00474334" w:rsidP="008C0936">
            <w:pPr>
              <w:pStyle w:val="Normale1"/>
              <w:keepNext/>
              <w:rPr>
                <w:b/>
                <w:sz w:val="22"/>
                <w:szCs w:val="22"/>
                <w:lang w:val="en-AU"/>
              </w:rPr>
            </w:pPr>
            <w:r w:rsidRPr="00F0251C">
              <w:rPr>
                <w:sz w:val="22"/>
                <w:szCs w:val="22"/>
                <w:lang w:val="en-AU"/>
              </w:rPr>
              <w:t>Nervous system disorders</w:t>
            </w:r>
          </w:p>
        </w:tc>
        <w:tc>
          <w:tcPr>
            <w:tcW w:w="5670" w:type="dxa"/>
            <w:vAlign w:val="center"/>
          </w:tcPr>
          <w:p w14:paraId="78BFB413" w14:textId="77777777" w:rsidR="00474334" w:rsidRPr="00F0251C" w:rsidRDefault="00474334" w:rsidP="008C0936">
            <w:pPr>
              <w:pStyle w:val="Normale1"/>
              <w:keepNext/>
              <w:rPr>
                <w:b/>
                <w:sz w:val="22"/>
                <w:szCs w:val="22"/>
                <w:lang w:val="en-AU"/>
              </w:rPr>
            </w:pPr>
            <w:r w:rsidRPr="00F0251C">
              <w:rPr>
                <w:sz w:val="22"/>
                <w:szCs w:val="22"/>
                <w:lang w:val="en-AU"/>
              </w:rPr>
              <w:t>Headache</w:t>
            </w:r>
          </w:p>
        </w:tc>
        <w:tc>
          <w:tcPr>
            <w:tcW w:w="1394" w:type="dxa"/>
            <w:vAlign w:val="center"/>
          </w:tcPr>
          <w:p w14:paraId="6D6C328A" w14:textId="77777777" w:rsidR="00474334" w:rsidRPr="00F0251C" w:rsidRDefault="00474334" w:rsidP="008C0936">
            <w:pPr>
              <w:pStyle w:val="Normale1"/>
              <w:keepNext/>
              <w:rPr>
                <w:b/>
                <w:sz w:val="22"/>
                <w:szCs w:val="22"/>
                <w:lang w:val="en-AU"/>
              </w:rPr>
            </w:pPr>
            <w:r w:rsidRPr="00F0251C">
              <w:rPr>
                <w:sz w:val="22"/>
                <w:szCs w:val="22"/>
                <w:lang w:val="en-AU"/>
              </w:rPr>
              <w:t>Common</w:t>
            </w:r>
          </w:p>
        </w:tc>
      </w:tr>
      <w:tr w:rsidR="00474334" w:rsidRPr="00F0251C" w14:paraId="294BEA07" w14:textId="77777777" w:rsidTr="009B3F0E">
        <w:trPr>
          <w:cantSplit/>
          <w:jc w:val="center"/>
        </w:trPr>
        <w:tc>
          <w:tcPr>
            <w:tcW w:w="2409" w:type="dxa"/>
            <w:vMerge/>
            <w:vAlign w:val="center"/>
          </w:tcPr>
          <w:p w14:paraId="0A4FE34F" w14:textId="77777777" w:rsidR="00474334" w:rsidRPr="00F0251C" w:rsidRDefault="00474334" w:rsidP="008C0936">
            <w:pPr>
              <w:pStyle w:val="Normale1"/>
              <w:keepNext/>
              <w:rPr>
                <w:b/>
                <w:sz w:val="22"/>
                <w:szCs w:val="22"/>
                <w:lang w:val="en-AU"/>
              </w:rPr>
            </w:pPr>
          </w:p>
        </w:tc>
        <w:tc>
          <w:tcPr>
            <w:tcW w:w="5670" w:type="dxa"/>
            <w:vAlign w:val="center"/>
          </w:tcPr>
          <w:p w14:paraId="35D00C44" w14:textId="77777777" w:rsidR="00474334" w:rsidRPr="00F0251C" w:rsidRDefault="00474334" w:rsidP="008C0936">
            <w:pPr>
              <w:pStyle w:val="Normale1"/>
              <w:keepNext/>
              <w:rPr>
                <w:b/>
                <w:sz w:val="22"/>
                <w:szCs w:val="22"/>
                <w:lang w:val="en-AU"/>
              </w:rPr>
            </w:pPr>
            <w:r w:rsidRPr="00F0251C">
              <w:rPr>
                <w:sz w:val="22"/>
                <w:szCs w:val="22"/>
                <w:lang w:val="en-AU"/>
              </w:rPr>
              <w:t>Tremor, dizziness, dysgeusia</w:t>
            </w:r>
            <w:r w:rsidRPr="00F0251C">
              <w:rPr>
                <w:sz w:val="22"/>
                <w:szCs w:val="22"/>
                <w:vertAlign w:val="superscript"/>
                <w:lang w:val="en-AU"/>
              </w:rPr>
              <w:t>1</w:t>
            </w:r>
            <w:r w:rsidRPr="00F0251C">
              <w:rPr>
                <w:sz w:val="22"/>
                <w:szCs w:val="22"/>
                <w:lang w:val="en-AU"/>
              </w:rPr>
              <w:t>, hypoaesthesia</w:t>
            </w:r>
            <w:r w:rsidRPr="00F0251C">
              <w:rPr>
                <w:sz w:val="22"/>
                <w:szCs w:val="22"/>
                <w:vertAlign w:val="superscript"/>
                <w:lang w:val="en-AU"/>
              </w:rPr>
              <w:t>1</w:t>
            </w:r>
          </w:p>
        </w:tc>
        <w:tc>
          <w:tcPr>
            <w:tcW w:w="1394" w:type="dxa"/>
            <w:vAlign w:val="center"/>
          </w:tcPr>
          <w:p w14:paraId="097359E2" w14:textId="77777777" w:rsidR="00474334" w:rsidRPr="00F0251C" w:rsidRDefault="00474334" w:rsidP="008C0936">
            <w:pPr>
              <w:pStyle w:val="Normale1"/>
              <w:keepNext/>
              <w:rPr>
                <w:b/>
                <w:sz w:val="22"/>
                <w:szCs w:val="22"/>
                <w:lang w:val="en-AU"/>
              </w:rPr>
            </w:pPr>
            <w:r w:rsidRPr="00F0251C">
              <w:rPr>
                <w:sz w:val="22"/>
                <w:szCs w:val="22"/>
                <w:lang w:val="en-AU"/>
              </w:rPr>
              <w:t>Uncommon</w:t>
            </w:r>
          </w:p>
        </w:tc>
      </w:tr>
      <w:tr w:rsidR="00474334" w:rsidRPr="00F0251C" w14:paraId="0E77CC81" w14:textId="77777777" w:rsidTr="009B3F0E">
        <w:trPr>
          <w:cantSplit/>
          <w:jc w:val="center"/>
        </w:trPr>
        <w:tc>
          <w:tcPr>
            <w:tcW w:w="2409" w:type="dxa"/>
            <w:vMerge/>
            <w:vAlign w:val="center"/>
          </w:tcPr>
          <w:p w14:paraId="605DC77D" w14:textId="77777777" w:rsidR="00474334" w:rsidRPr="00F0251C" w:rsidRDefault="00474334" w:rsidP="008C0936">
            <w:pPr>
              <w:pStyle w:val="Normale1"/>
              <w:keepNext/>
              <w:rPr>
                <w:b/>
                <w:sz w:val="22"/>
                <w:szCs w:val="22"/>
                <w:lang w:val="en-AU"/>
              </w:rPr>
            </w:pPr>
          </w:p>
        </w:tc>
        <w:tc>
          <w:tcPr>
            <w:tcW w:w="5670" w:type="dxa"/>
            <w:vAlign w:val="center"/>
          </w:tcPr>
          <w:p w14:paraId="08BAE20D" w14:textId="77777777" w:rsidR="00474334" w:rsidRPr="00F0251C" w:rsidRDefault="00474334" w:rsidP="008C0936">
            <w:pPr>
              <w:pStyle w:val="Normale1"/>
              <w:keepNext/>
              <w:rPr>
                <w:b/>
                <w:sz w:val="22"/>
                <w:szCs w:val="22"/>
                <w:lang w:val="en-AU"/>
              </w:rPr>
            </w:pPr>
            <w:r w:rsidRPr="00F0251C">
              <w:rPr>
                <w:sz w:val="22"/>
                <w:szCs w:val="22"/>
                <w:lang w:val="en-AU"/>
              </w:rPr>
              <w:t>Hypersomnia</w:t>
            </w:r>
          </w:p>
        </w:tc>
        <w:tc>
          <w:tcPr>
            <w:tcW w:w="1394" w:type="dxa"/>
            <w:vAlign w:val="center"/>
          </w:tcPr>
          <w:p w14:paraId="047EC5D2" w14:textId="77777777" w:rsidR="00474334" w:rsidRPr="00F0251C" w:rsidRDefault="00474334" w:rsidP="008C0936">
            <w:pPr>
              <w:pStyle w:val="Normale1"/>
              <w:keepNext/>
              <w:rPr>
                <w:b/>
                <w:sz w:val="22"/>
                <w:szCs w:val="22"/>
                <w:lang w:val="en-AU"/>
              </w:rPr>
            </w:pPr>
            <w:r w:rsidRPr="00F0251C">
              <w:rPr>
                <w:sz w:val="22"/>
                <w:szCs w:val="22"/>
                <w:lang w:val="en-AU"/>
              </w:rPr>
              <w:t>Rare</w:t>
            </w:r>
          </w:p>
        </w:tc>
      </w:tr>
      <w:tr w:rsidR="00474334" w:rsidRPr="00F0251C" w14:paraId="6778F233" w14:textId="77777777" w:rsidTr="009B3F0E">
        <w:trPr>
          <w:cantSplit/>
          <w:trHeight w:val="128"/>
          <w:jc w:val="center"/>
        </w:trPr>
        <w:tc>
          <w:tcPr>
            <w:tcW w:w="2409" w:type="dxa"/>
            <w:vMerge w:val="restart"/>
            <w:vAlign w:val="center"/>
          </w:tcPr>
          <w:p w14:paraId="24ED21B8" w14:textId="77777777" w:rsidR="00474334" w:rsidRPr="00F0251C" w:rsidRDefault="00474334" w:rsidP="008C0936">
            <w:pPr>
              <w:pStyle w:val="Normale1"/>
              <w:rPr>
                <w:b/>
                <w:sz w:val="22"/>
                <w:szCs w:val="22"/>
                <w:lang w:val="en-AU"/>
              </w:rPr>
            </w:pPr>
            <w:r w:rsidRPr="00F0251C">
              <w:rPr>
                <w:sz w:val="22"/>
                <w:szCs w:val="22"/>
                <w:lang w:val="en-AU"/>
              </w:rPr>
              <w:t>Eye disorders</w:t>
            </w:r>
          </w:p>
        </w:tc>
        <w:tc>
          <w:tcPr>
            <w:tcW w:w="5670" w:type="dxa"/>
            <w:vAlign w:val="center"/>
          </w:tcPr>
          <w:p w14:paraId="383353CE" w14:textId="4ECFF256" w:rsidR="00474334" w:rsidRPr="00F0251C" w:rsidRDefault="00474334" w:rsidP="008C0936">
            <w:pPr>
              <w:pStyle w:val="Normale1"/>
              <w:rPr>
                <w:sz w:val="22"/>
                <w:szCs w:val="22"/>
                <w:lang w:val="en-AU"/>
              </w:rPr>
            </w:pPr>
            <w:r w:rsidRPr="00F0251C">
              <w:rPr>
                <w:sz w:val="22"/>
                <w:szCs w:val="22"/>
                <w:lang w:val="en-AU"/>
              </w:rPr>
              <w:t>Vision, blurred</w:t>
            </w:r>
            <w:r w:rsidRPr="00F0251C">
              <w:rPr>
                <w:sz w:val="22"/>
                <w:szCs w:val="22"/>
                <w:vertAlign w:val="superscript"/>
                <w:lang w:val="en-AU"/>
              </w:rPr>
              <w:t xml:space="preserve">1 </w:t>
            </w:r>
            <w:r w:rsidRPr="00F0251C">
              <w:rPr>
                <w:sz w:val="22"/>
                <w:szCs w:val="22"/>
                <w:lang w:val="en-AU"/>
              </w:rPr>
              <w:t xml:space="preserve">(see also section </w:t>
            </w:r>
            <w:hyperlink w:anchor="_4.4_SPECIAL_WARNINGS" w:history="1">
              <w:r w:rsidRPr="00F0251C">
                <w:rPr>
                  <w:rStyle w:val="Hyperlink"/>
                  <w:sz w:val="22"/>
                  <w:szCs w:val="22"/>
                  <w:lang w:val="en-AU"/>
                </w:rPr>
                <w:t>4.4</w:t>
              </w:r>
              <w:r w:rsidR="003155FC" w:rsidRPr="00F0251C">
                <w:rPr>
                  <w:rStyle w:val="Hyperlink"/>
                  <w:sz w:val="22"/>
                  <w:szCs w:val="22"/>
                  <w:lang w:val="en-AU"/>
                </w:rPr>
                <w:t xml:space="preserve"> SPECIAL WARNINGS AND PRECAUTIONS FOR USE</w:t>
              </w:r>
            </w:hyperlink>
            <w:r w:rsidRPr="00F0251C">
              <w:rPr>
                <w:sz w:val="22"/>
                <w:szCs w:val="22"/>
                <w:lang w:val="en-AU"/>
              </w:rPr>
              <w:t>)</w:t>
            </w:r>
          </w:p>
        </w:tc>
        <w:tc>
          <w:tcPr>
            <w:tcW w:w="1394" w:type="dxa"/>
            <w:vAlign w:val="center"/>
          </w:tcPr>
          <w:p w14:paraId="2422D603" w14:textId="77777777" w:rsidR="00474334" w:rsidRPr="00F0251C" w:rsidRDefault="00474334" w:rsidP="008C0936">
            <w:pPr>
              <w:pStyle w:val="Normale1"/>
              <w:rPr>
                <w:sz w:val="22"/>
                <w:szCs w:val="22"/>
                <w:lang w:val="en-AU"/>
              </w:rPr>
            </w:pPr>
            <w:r w:rsidRPr="00F0251C">
              <w:rPr>
                <w:sz w:val="22"/>
                <w:szCs w:val="22"/>
                <w:lang w:val="en-AU"/>
              </w:rPr>
              <w:t>Frequency not known</w:t>
            </w:r>
          </w:p>
        </w:tc>
      </w:tr>
      <w:tr w:rsidR="00474334" w:rsidRPr="00F0251C" w14:paraId="66F65D3B" w14:textId="77777777" w:rsidTr="009B3F0E">
        <w:trPr>
          <w:cantSplit/>
          <w:trHeight w:val="127"/>
          <w:jc w:val="center"/>
        </w:trPr>
        <w:tc>
          <w:tcPr>
            <w:tcW w:w="2409" w:type="dxa"/>
            <w:vMerge/>
            <w:vAlign w:val="center"/>
          </w:tcPr>
          <w:p w14:paraId="25F088D0" w14:textId="77777777" w:rsidR="00474334" w:rsidRPr="00F0251C" w:rsidRDefault="00474334" w:rsidP="008C0936">
            <w:pPr>
              <w:pStyle w:val="Normale1"/>
              <w:rPr>
                <w:sz w:val="22"/>
                <w:szCs w:val="22"/>
                <w:lang w:val="en-AU"/>
              </w:rPr>
            </w:pPr>
          </w:p>
        </w:tc>
        <w:tc>
          <w:tcPr>
            <w:tcW w:w="5670" w:type="dxa"/>
            <w:vAlign w:val="center"/>
          </w:tcPr>
          <w:p w14:paraId="17BD57D3" w14:textId="77777777" w:rsidR="00474334" w:rsidRPr="00F0251C" w:rsidRDefault="00474334" w:rsidP="008C0936">
            <w:pPr>
              <w:pStyle w:val="Normale1"/>
              <w:rPr>
                <w:sz w:val="22"/>
                <w:szCs w:val="22"/>
                <w:lang w:val="en-AU"/>
              </w:rPr>
            </w:pPr>
            <w:r w:rsidRPr="00F0251C">
              <w:rPr>
                <w:sz w:val="22"/>
                <w:szCs w:val="22"/>
                <w:lang w:val="en-AU"/>
              </w:rPr>
              <w:t>Glaucoma</w:t>
            </w:r>
            <w:r w:rsidRPr="00F0251C">
              <w:rPr>
                <w:sz w:val="22"/>
                <w:szCs w:val="22"/>
                <w:vertAlign w:val="superscript"/>
                <w:lang w:val="en-AU"/>
              </w:rPr>
              <w:t>1</w:t>
            </w:r>
            <w:r w:rsidRPr="00F0251C">
              <w:rPr>
                <w:sz w:val="22"/>
                <w:szCs w:val="22"/>
                <w:lang w:val="en-AU"/>
              </w:rPr>
              <w:t>, cataract</w:t>
            </w:r>
            <w:r w:rsidRPr="00F0251C">
              <w:rPr>
                <w:sz w:val="22"/>
                <w:szCs w:val="22"/>
                <w:vertAlign w:val="superscript"/>
                <w:lang w:val="en-AU"/>
              </w:rPr>
              <w:t>1</w:t>
            </w:r>
          </w:p>
        </w:tc>
        <w:tc>
          <w:tcPr>
            <w:tcW w:w="1394" w:type="dxa"/>
            <w:vAlign w:val="center"/>
          </w:tcPr>
          <w:p w14:paraId="55DEFF56" w14:textId="77777777" w:rsidR="00474334" w:rsidRPr="00F0251C" w:rsidRDefault="00474334" w:rsidP="008C0936">
            <w:pPr>
              <w:pStyle w:val="Normale1"/>
              <w:rPr>
                <w:sz w:val="22"/>
                <w:szCs w:val="22"/>
                <w:lang w:val="en-AU"/>
              </w:rPr>
            </w:pPr>
            <w:r w:rsidRPr="00F0251C">
              <w:rPr>
                <w:sz w:val="22"/>
                <w:szCs w:val="22"/>
                <w:lang w:val="en-AU"/>
              </w:rPr>
              <w:t>Very rare</w:t>
            </w:r>
          </w:p>
        </w:tc>
      </w:tr>
      <w:tr w:rsidR="00474334" w:rsidRPr="00F0251C" w14:paraId="59613AD2" w14:textId="77777777" w:rsidTr="009B3F0E">
        <w:trPr>
          <w:cantSplit/>
          <w:jc w:val="center"/>
        </w:trPr>
        <w:tc>
          <w:tcPr>
            <w:tcW w:w="2409" w:type="dxa"/>
            <w:vAlign w:val="center"/>
          </w:tcPr>
          <w:p w14:paraId="14639C38" w14:textId="77777777" w:rsidR="00474334" w:rsidRPr="00F0251C" w:rsidRDefault="00474334" w:rsidP="008C0936">
            <w:pPr>
              <w:pStyle w:val="Normale1"/>
              <w:rPr>
                <w:sz w:val="22"/>
                <w:szCs w:val="22"/>
                <w:lang w:val="en-AU"/>
              </w:rPr>
            </w:pPr>
            <w:r w:rsidRPr="00F0251C">
              <w:rPr>
                <w:sz w:val="22"/>
                <w:szCs w:val="22"/>
                <w:lang w:val="en-AU"/>
              </w:rPr>
              <w:t>Ear and labyrinth disorders</w:t>
            </w:r>
          </w:p>
        </w:tc>
        <w:tc>
          <w:tcPr>
            <w:tcW w:w="5670" w:type="dxa"/>
            <w:vAlign w:val="center"/>
          </w:tcPr>
          <w:p w14:paraId="4C6CC684" w14:textId="77777777" w:rsidR="00474334" w:rsidRPr="00F0251C" w:rsidRDefault="00474334" w:rsidP="008C0936">
            <w:pPr>
              <w:pStyle w:val="Normale1"/>
              <w:rPr>
                <w:sz w:val="22"/>
                <w:szCs w:val="22"/>
                <w:lang w:val="en-AU"/>
              </w:rPr>
            </w:pPr>
            <w:r w:rsidRPr="00F0251C">
              <w:rPr>
                <w:sz w:val="22"/>
                <w:szCs w:val="22"/>
                <w:lang w:val="en-AU"/>
              </w:rPr>
              <w:t>Otosalpingitis</w:t>
            </w:r>
            <w:r w:rsidRPr="00F0251C">
              <w:rPr>
                <w:sz w:val="22"/>
                <w:szCs w:val="22"/>
                <w:vertAlign w:val="superscript"/>
                <w:lang w:val="en-AU"/>
              </w:rPr>
              <w:t>1</w:t>
            </w:r>
          </w:p>
        </w:tc>
        <w:tc>
          <w:tcPr>
            <w:tcW w:w="1394" w:type="dxa"/>
            <w:vAlign w:val="center"/>
          </w:tcPr>
          <w:p w14:paraId="04089C4F" w14:textId="77777777" w:rsidR="00474334" w:rsidRPr="00F0251C" w:rsidRDefault="00474334" w:rsidP="008C0936">
            <w:pPr>
              <w:pStyle w:val="Normale1"/>
              <w:rPr>
                <w:sz w:val="22"/>
                <w:szCs w:val="22"/>
                <w:lang w:val="en-AU"/>
              </w:rPr>
            </w:pPr>
            <w:r w:rsidRPr="00F0251C">
              <w:rPr>
                <w:sz w:val="22"/>
                <w:szCs w:val="22"/>
                <w:lang w:val="en-AU"/>
              </w:rPr>
              <w:t>Uncommon</w:t>
            </w:r>
          </w:p>
        </w:tc>
      </w:tr>
      <w:tr w:rsidR="00474334" w:rsidRPr="00F0251C" w14:paraId="6491E451" w14:textId="77777777" w:rsidTr="009B3F0E">
        <w:trPr>
          <w:cantSplit/>
          <w:jc w:val="center"/>
        </w:trPr>
        <w:tc>
          <w:tcPr>
            <w:tcW w:w="2409" w:type="dxa"/>
            <w:vMerge w:val="restart"/>
            <w:vAlign w:val="center"/>
          </w:tcPr>
          <w:p w14:paraId="021A6601" w14:textId="77777777" w:rsidR="00474334" w:rsidRPr="00F0251C" w:rsidRDefault="00474334" w:rsidP="008C0936">
            <w:pPr>
              <w:pStyle w:val="Normale1"/>
              <w:keepNext/>
              <w:rPr>
                <w:b/>
                <w:sz w:val="22"/>
                <w:szCs w:val="22"/>
                <w:lang w:val="en-AU"/>
              </w:rPr>
            </w:pPr>
            <w:r w:rsidRPr="00F0251C">
              <w:rPr>
                <w:sz w:val="22"/>
                <w:szCs w:val="22"/>
                <w:lang w:val="en-AU"/>
              </w:rPr>
              <w:t>Cardiac disorders</w:t>
            </w:r>
          </w:p>
        </w:tc>
        <w:tc>
          <w:tcPr>
            <w:tcW w:w="5670" w:type="dxa"/>
            <w:vAlign w:val="center"/>
          </w:tcPr>
          <w:p w14:paraId="49C7F46D" w14:textId="77777777" w:rsidR="00474334" w:rsidRPr="00F0251C" w:rsidRDefault="00474334" w:rsidP="008C0936">
            <w:pPr>
              <w:pStyle w:val="Normale1"/>
              <w:keepNext/>
              <w:rPr>
                <w:b/>
                <w:sz w:val="22"/>
                <w:szCs w:val="22"/>
                <w:lang w:val="en-AU"/>
              </w:rPr>
            </w:pPr>
            <w:r w:rsidRPr="00F0251C">
              <w:rPr>
                <w:sz w:val="22"/>
                <w:szCs w:val="22"/>
                <w:lang w:val="en-AU"/>
              </w:rPr>
              <w:t>Atrial fibrillation, electrocardiogram QT prolonged, tachycardia, tachyarrhythmia</w:t>
            </w:r>
            <w:r w:rsidRPr="00F0251C">
              <w:rPr>
                <w:sz w:val="22"/>
                <w:szCs w:val="22"/>
                <w:vertAlign w:val="superscript"/>
                <w:lang w:val="en-AU"/>
              </w:rPr>
              <w:t>1</w:t>
            </w:r>
            <w:r w:rsidRPr="00F0251C">
              <w:rPr>
                <w:sz w:val="22"/>
                <w:szCs w:val="22"/>
                <w:lang w:val="en-AU"/>
              </w:rPr>
              <w:t>, palpitations</w:t>
            </w:r>
          </w:p>
        </w:tc>
        <w:tc>
          <w:tcPr>
            <w:tcW w:w="1394" w:type="dxa"/>
            <w:vAlign w:val="center"/>
          </w:tcPr>
          <w:p w14:paraId="16F8DF0E" w14:textId="77777777" w:rsidR="00474334" w:rsidRPr="00F0251C" w:rsidRDefault="00474334" w:rsidP="008C0936">
            <w:pPr>
              <w:pStyle w:val="Normale1"/>
              <w:keepNext/>
              <w:rPr>
                <w:b/>
                <w:sz w:val="22"/>
                <w:szCs w:val="22"/>
                <w:lang w:val="en-AU"/>
              </w:rPr>
            </w:pPr>
            <w:r w:rsidRPr="00F0251C">
              <w:rPr>
                <w:sz w:val="22"/>
                <w:szCs w:val="22"/>
                <w:lang w:val="en-AU"/>
              </w:rPr>
              <w:t>Uncommon</w:t>
            </w:r>
          </w:p>
        </w:tc>
      </w:tr>
      <w:tr w:rsidR="00474334" w:rsidRPr="00F0251C" w14:paraId="4BEABC8C" w14:textId="77777777" w:rsidTr="009B3F0E">
        <w:trPr>
          <w:cantSplit/>
          <w:jc w:val="center"/>
        </w:trPr>
        <w:tc>
          <w:tcPr>
            <w:tcW w:w="2409" w:type="dxa"/>
            <w:vMerge/>
            <w:vAlign w:val="center"/>
          </w:tcPr>
          <w:p w14:paraId="4BF0D529" w14:textId="77777777" w:rsidR="00474334" w:rsidRPr="00F0251C" w:rsidRDefault="00474334" w:rsidP="008C0936">
            <w:pPr>
              <w:pStyle w:val="Normale1"/>
              <w:rPr>
                <w:b/>
                <w:sz w:val="22"/>
                <w:szCs w:val="22"/>
                <w:lang w:val="en-AU"/>
              </w:rPr>
            </w:pPr>
          </w:p>
        </w:tc>
        <w:tc>
          <w:tcPr>
            <w:tcW w:w="5670" w:type="dxa"/>
            <w:vAlign w:val="center"/>
          </w:tcPr>
          <w:p w14:paraId="712E68A6" w14:textId="77777777" w:rsidR="00474334" w:rsidRPr="00F0251C" w:rsidRDefault="00474334" w:rsidP="008C0936">
            <w:pPr>
              <w:pStyle w:val="Normale1"/>
              <w:rPr>
                <w:b/>
                <w:sz w:val="22"/>
                <w:szCs w:val="22"/>
                <w:lang w:val="en-AU"/>
              </w:rPr>
            </w:pPr>
            <w:r w:rsidRPr="00F0251C">
              <w:rPr>
                <w:sz w:val="22"/>
                <w:szCs w:val="22"/>
                <w:lang w:val="en-AU"/>
              </w:rPr>
              <w:t>Angina pectoris (stable</w:t>
            </w:r>
            <w:r w:rsidRPr="00F0251C">
              <w:rPr>
                <w:sz w:val="22"/>
                <w:szCs w:val="22"/>
                <w:vertAlign w:val="superscript"/>
                <w:lang w:val="en-AU"/>
              </w:rPr>
              <w:t>1</w:t>
            </w:r>
            <w:r w:rsidRPr="00F0251C">
              <w:rPr>
                <w:sz w:val="22"/>
                <w:szCs w:val="22"/>
                <w:lang w:val="en-AU"/>
              </w:rPr>
              <w:t xml:space="preserve"> and unstable), ventricular extrasystoles</w:t>
            </w:r>
            <w:r w:rsidRPr="00F0251C">
              <w:rPr>
                <w:sz w:val="22"/>
                <w:szCs w:val="22"/>
                <w:vertAlign w:val="superscript"/>
                <w:lang w:val="en-AU"/>
              </w:rPr>
              <w:t>1</w:t>
            </w:r>
            <w:r w:rsidRPr="00F0251C">
              <w:rPr>
                <w:sz w:val="22"/>
                <w:szCs w:val="22"/>
                <w:lang w:val="en-AU"/>
              </w:rPr>
              <w:t>, nodal rhythm, sinus bradycardia</w:t>
            </w:r>
          </w:p>
        </w:tc>
        <w:tc>
          <w:tcPr>
            <w:tcW w:w="1394" w:type="dxa"/>
            <w:vAlign w:val="center"/>
          </w:tcPr>
          <w:p w14:paraId="1C719195" w14:textId="77777777" w:rsidR="00474334" w:rsidRPr="00F0251C" w:rsidRDefault="00474334" w:rsidP="008C0936">
            <w:pPr>
              <w:pStyle w:val="Normale1"/>
              <w:rPr>
                <w:b/>
                <w:sz w:val="22"/>
                <w:szCs w:val="22"/>
                <w:lang w:val="en-AU"/>
              </w:rPr>
            </w:pPr>
            <w:r w:rsidRPr="00F0251C">
              <w:rPr>
                <w:sz w:val="22"/>
                <w:szCs w:val="22"/>
                <w:lang w:val="en-AU"/>
              </w:rPr>
              <w:t>Rare</w:t>
            </w:r>
          </w:p>
        </w:tc>
      </w:tr>
      <w:tr w:rsidR="00474334" w:rsidRPr="00F0251C" w14:paraId="31154B5B" w14:textId="77777777" w:rsidTr="009B3F0E">
        <w:trPr>
          <w:cantSplit/>
          <w:jc w:val="center"/>
        </w:trPr>
        <w:tc>
          <w:tcPr>
            <w:tcW w:w="2409" w:type="dxa"/>
            <w:vMerge w:val="restart"/>
            <w:vAlign w:val="center"/>
          </w:tcPr>
          <w:p w14:paraId="07502247" w14:textId="77777777" w:rsidR="00474334" w:rsidRPr="00F0251C" w:rsidRDefault="00474334" w:rsidP="008C0936">
            <w:pPr>
              <w:pStyle w:val="Normale1"/>
              <w:rPr>
                <w:b/>
                <w:sz w:val="22"/>
                <w:szCs w:val="22"/>
                <w:lang w:val="en-AU"/>
              </w:rPr>
            </w:pPr>
            <w:r w:rsidRPr="00F0251C">
              <w:rPr>
                <w:sz w:val="22"/>
                <w:szCs w:val="22"/>
                <w:lang w:val="en-AU"/>
              </w:rPr>
              <w:t>Vascular disorders</w:t>
            </w:r>
          </w:p>
        </w:tc>
        <w:tc>
          <w:tcPr>
            <w:tcW w:w="5670" w:type="dxa"/>
            <w:vAlign w:val="center"/>
          </w:tcPr>
          <w:p w14:paraId="283FA1FC" w14:textId="77777777" w:rsidR="00474334" w:rsidRPr="00F0251C" w:rsidRDefault="00474334" w:rsidP="008C0936">
            <w:pPr>
              <w:pStyle w:val="Normale1"/>
              <w:rPr>
                <w:b/>
                <w:sz w:val="22"/>
                <w:szCs w:val="22"/>
                <w:lang w:val="en-AU"/>
              </w:rPr>
            </w:pPr>
            <w:r w:rsidRPr="00F0251C">
              <w:rPr>
                <w:sz w:val="22"/>
                <w:szCs w:val="22"/>
                <w:lang w:val="en-AU"/>
              </w:rPr>
              <w:t>Hyperaemia</w:t>
            </w:r>
            <w:r w:rsidRPr="00F0251C">
              <w:rPr>
                <w:sz w:val="22"/>
                <w:szCs w:val="22"/>
                <w:vertAlign w:val="superscript"/>
                <w:lang w:val="en-AU"/>
              </w:rPr>
              <w:t>1</w:t>
            </w:r>
            <w:r w:rsidRPr="00F0251C">
              <w:rPr>
                <w:sz w:val="22"/>
                <w:szCs w:val="22"/>
                <w:lang w:val="en-AU"/>
              </w:rPr>
              <w:t>, flushing</w:t>
            </w:r>
            <w:r w:rsidRPr="00F0251C">
              <w:rPr>
                <w:sz w:val="22"/>
                <w:szCs w:val="22"/>
                <w:vertAlign w:val="superscript"/>
                <w:lang w:val="en-AU"/>
              </w:rPr>
              <w:t>1</w:t>
            </w:r>
            <w:r w:rsidRPr="00F0251C">
              <w:rPr>
                <w:sz w:val="22"/>
                <w:szCs w:val="22"/>
                <w:lang w:val="en-AU"/>
              </w:rPr>
              <w:t>, hypertension</w:t>
            </w:r>
          </w:p>
        </w:tc>
        <w:tc>
          <w:tcPr>
            <w:tcW w:w="1394" w:type="dxa"/>
            <w:vAlign w:val="center"/>
          </w:tcPr>
          <w:p w14:paraId="2C36101F" w14:textId="77777777" w:rsidR="00474334" w:rsidRPr="00F0251C" w:rsidRDefault="00474334" w:rsidP="008C0936">
            <w:pPr>
              <w:pStyle w:val="Normale1"/>
              <w:rPr>
                <w:b/>
                <w:sz w:val="22"/>
                <w:szCs w:val="22"/>
                <w:lang w:val="en-AU"/>
              </w:rPr>
            </w:pPr>
            <w:r w:rsidRPr="00F0251C">
              <w:rPr>
                <w:sz w:val="22"/>
                <w:szCs w:val="22"/>
                <w:lang w:val="en-AU"/>
              </w:rPr>
              <w:t>Uncommon</w:t>
            </w:r>
          </w:p>
        </w:tc>
      </w:tr>
      <w:tr w:rsidR="00474334" w:rsidRPr="00F0251C" w14:paraId="5A634879" w14:textId="77777777" w:rsidTr="009B3F0E">
        <w:trPr>
          <w:cantSplit/>
          <w:jc w:val="center"/>
        </w:trPr>
        <w:tc>
          <w:tcPr>
            <w:tcW w:w="2409" w:type="dxa"/>
            <w:vMerge/>
            <w:vAlign w:val="center"/>
          </w:tcPr>
          <w:p w14:paraId="18F8B096" w14:textId="77777777" w:rsidR="00474334" w:rsidRPr="00F0251C" w:rsidRDefault="00474334" w:rsidP="008C0936">
            <w:pPr>
              <w:pStyle w:val="Normale1"/>
              <w:rPr>
                <w:b/>
                <w:sz w:val="22"/>
                <w:szCs w:val="22"/>
                <w:lang w:val="en-AU"/>
              </w:rPr>
            </w:pPr>
          </w:p>
        </w:tc>
        <w:tc>
          <w:tcPr>
            <w:tcW w:w="5670" w:type="dxa"/>
            <w:vAlign w:val="center"/>
          </w:tcPr>
          <w:p w14:paraId="179B2BC2" w14:textId="77777777" w:rsidR="00474334" w:rsidRPr="00F0251C" w:rsidRDefault="00474334" w:rsidP="008C0936">
            <w:pPr>
              <w:pStyle w:val="Normale1"/>
              <w:rPr>
                <w:b/>
                <w:sz w:val="22"/>
                <w:szCs w:val="22"/>
                <w:lang w:val="en-AU"/>
              </w:rPr>
            </w:pPr>
            <w:r w:rsidRPr="00F0251C">
              <w:rPr>
                <w:sz w:val="22"/>
                <w:szCs w:val="22"/>
                <w:lang w:val="en-AU"/>
              </w:rPr>
              <w:t xml:space="preserve">Extravasation blood </w:t>
            </w:r>
          </w:p>
        </w:tc>
        <w:tc>
          <w:tcPr>
            <w:tcW w:w="1394" w:type="dxa"/>
            <w:vAlign w:val="center"/>
          </w:tcPr>
          <w:p w14:paraId="36EA6CF8" w14:textId="77777777" w:rsidR="00474334" w:rsidRPr="00F0251C" w:rsidRDefault="00474334" w:rsidP="008C0936">
            <w:pPr>
              <w:pStyle w:val="Normale1"/>
              <w:rPr>
                <w:b/>
                <w:sz w:val="22"/>
                <w:szCs w:val="22"/>
                <w:lang w:val="en-AU"/>
              </w:rPr>
            </w:pPr>
            <w:r w:rsidRPr="00F0251C">
              <w:rPr>
                <w:sz w:val="22"/>
                <w:szCs w:val="22"/>
                <w:lang w:val="en-AU"/>
              </w:rPr>
              <w:t>Rare</w:t>
            </w:r>
          </w:p>
        </w:tc>
      </w:tr>
      <w:tr w:rsidR="00474334" w:rsidRPr="00F0251C" w14:paraId="2B1491E3" w14:textId="77777777" w:rsidTr="009B3F0E">
        <w:trPr>
          <w:cantSplit/>
          <w:jc w:val="center"/>
        </w:trPr>
        <w:tc>
          <w:tcPr>
            <w:tcW w:w="2409" w:type="dxa"/>
            <w:vMerge w:val="restart"/>
            <w:vAlign w:val="center"/>
          </w:tcPr>
          <w:p w14:paraId="2DE036C1" w14:textId="77777777" w:rsidR="00474334" w:rsidRPr="00F0251C" w:rsidRDefault="00474334" w:rsidP="008C0936">
            <w:pPr>
              <w:pStyle w:val="Normale1"/>
              <w:rPr>
                <w:b/>
                <w:sz w:val="22"/>
                <w:szCs w:val="22"/>
                <w:lang w:val="en-AU"/>
              </w:rPr>
            </w:pPr>
            <w:r w:rsidRPr="00F0251C">
              <w:rPr>
                <w:sz w:val="22"/>
                <w:szCs w:val="22"/>
                <w:lang w:val="en-AU"/>
              </w:rPr>
              <w:t>Respiratory, thoracic and mediastinal disorders</w:t>
            </w:r>
          </w:p>
        </w:tc>
        <w:tc>
          <w:tcPr>
            <w:tcW w:w="5670" w:type="dxa"/>
            <w:vAlign w:val="center"/>
          </w:tcPr>
          <w:p w14:paraId="0DA15A11" w14:textId="77777777" w:rsidR="00474334" w:rsidRPr="00F0251C" w:rsidRDefault="00474334" w:rsidP="008C0936">
            <w:pPr>
              <w:pStyle w:val="Normale1"/>
              <w:rPr>
                <w:b/>
                <w:sz w:val="22"/>
                <w:szCs w:val="22"/>
                <w:lang w:val="en-AU"/>
              </w:rPr>
            </w:pPr>
            <w:r w:rsidRPr="00F0251C">
              <w:rPr>
                <w:sz w:val="22"/>
                <w:szCs w:val="22"/>
                <w:lang w:val="en-AU"/>
              </w:rPr>
              <w:t>Dysphonia</w:t>
            </w:r>
          </w:p>
        </w:tc>
        <w:tc>
          <w:tcPr>
            <w:tcW w:w="1394" w:type="dxa"/>
            <w:vAlign w:val="center"/>
          </w:tcPr>
          <w:p w14:paraId="0208EA63" w14:textId="77777777" w:rsidR="00474334" w:rsidRPr="00F0251C" w:rsidRDefault="00474334" w:rsidP="008C0936">
            <w:pPr>
              <w:pStyle w:val="Normale1"/>
              <w:rPr>
                <w:b/>
                <w:sz w:val="22"/>
                <w:szCs w:val="22"/>
                <w:lang w:val="en-AU"/>
              </w:rPr>
            </w:pPr>
            <w:r w:rsidRPr="00F0251C">
              <w:rPr>
                <w:sz w:val="22"/>
                <w:szCs w:val="22"/>
                <w:lang w:val="en-AU"/>
              </w:rPr>
              <w:t>Common</w:t>
            </w:r>
          </w:p>
        </w:tc>
      </w:tr>
      <w:tr w:rsidR="00474334" w:rsidRPr="00F0251C" w14:paraId="474DF31E" w14:textId="77777777" w:rsidTr="009B3F0E">
        <w:trPr>
          <w:cantSplit/>
          <w:jc w:val="center"/>
        </w:trPr>
        <w:tc>
          <w:tcPr>
            <w:tcW w:w="2409" w:type="dxa"/>
            <w:vMerge/>
            <w:vAlign w:val="center"/>
          </w:tcPr>
          <w:p w14:paraId="4F2D749A" w14:textId="77777777" w:rsidR="00474334" w:rsidRPr="00F0251C" w:rsidRDefault="00474334" w:rsidP="008C0936">
            <w:pPr>
              <w:pStyle w:val="Normale1"/>
              <w:rPr>
                <w:b/>
                <w:sz w:val="22"/>
                <w:szCs w:val="22"/>
                <w:lang w:val="en-AU"/>
              </w:rPr>
            </w:pPr>
          </w:p>
        </w:tc>
        <w:tc>
          <w:tcPr>
            <w:tcW w:w="5670" w:type="dxa"/>
            <w:vAlign w:val="center"/>
          </w:tcPr>
          <w:p w14:paraId="1DDF1F33" w14:textId="77777777" w:rsidR="00474334" w:rsidRPr="00F0251C" w:rsidRDefault="00474334" w:rsidP="008C0936">
            <w:pPr>
              <w:pStyle w:val="Normale1"/>
              <w:rPr>
                <w:b/>
                <w:sz w:val="22"/>
                <w:szCs w:val="22"/>
                <w:lang w:val="en-AU"/>
              </w:rPr>
            </w:pPr>
            <w:r w:rsidRPr="00F0251C">
              <w:rPr>
                <w:sz w:val="22"/>
                <w:szCs w:val="22"/>
                <w:lang w:val="en-AU"/>
              </w:rPr>
              <w:t>Cough, productive cough</w:t>
            </w:r>
            <w:r w:rsidRPr="00F0251C">
              <w:rPr>
                <w:sz w:val="22"/>
                <w:szCs w:val="22"/>
                <w:vertAlign w:val="superscript"/>
                <w:lang w:val="en-AU"/>
              </w:rPr>
              <w:t>1</w:t>
            </w:r>
            <w:r w:rsidRPr="00F0251C">
              <w:rPr>
                <w:sz w:val="22"/>
                <w:szCs w:val="22"/>
                <w:lang w:val="en-AU"/>
              </w:rPr>
              <w:t>, throat irritation, epistaxis</w:t>
            </w:r>
            <w:r w:rsidRPr="00F0251C">
              <w:rPr>
                <w:sz w:val="22"/>
                <w:szCs w:val="22"/>
                <w:vertAlign w:val="superscript"/>
                <w:lang w:val="en-AU"/>
              </w:rPr>
              <w:t>1</w:t>
            </w:r>
          </w:p>
        </w:tc>
        <w:tc>
          <w:tcPr>
            <w:tcW w:w="1394" w:type="dxa"/>
            <w:vAlign w:val="center"/>
          </w:tcPr>
          <w:p w14:paraId="13BCA68C" w14:textId="77777777" w:rsidR="00474334" w:rsidRPr="00F0251C" w:rsidRDefault="00474334" w:rsidP="008C0936">
            <w:pPr>
              <w:pStyle w:val="Normale1"/>
              <w:rPr>
                <w:b/>
                <w:sz w:val="22"/>
                <w:szCs w:val="22"/>
                <w:lang w:val="en-AU"/>
              </w:rPr>
            </w:pPr>
            <w:r w:rsidRPr="00F0251C">
              <w:rPr>
                <w:sz w:val="22"/>
                <w:szCs w:val="22"/>
                <w:lang w:val="en-AU"/>
              </w:rPr>
              <w:t>Uncommon</w:t>
            </w:r>
          </w:p>
        </w:tc>
      </w:tr>
      <w:tr w:rsidR="00474334" w:rsidRPr="00F0251C" w14:paraId="4DFE7086" w14:textId="77777777" w:rsidTr="009B3F0E">
        <w:trPr>
          <w:cantSplit/>
          <w:jc w:val="center"/>
        </w:trPr>
        <w:tc>
          <w:tcPr>
            <w:tcW w:w="2409" w:type="dxa"/>
            <w:vMerge/>
            <w:vAlign w:val="center"/>
          </w:tcPr>
          <w:p w14:paraId="1474B0D3" w14:textId="77777777" w:rsidR="00474334" w:rsidRPr="00F0251C" w:rsidRDefault="00474334" w:rsidP="008C0936">
            <w:pPr>
              <w:pStyle w:val="Normale1"/>
              <w:rPr>
                <w:b/>
                <w:sz w:val="22"/>
                <w:szCs w:val="22"/>
                <w:lang w:val="en-AU"/>
              </w:rPr>
            </w:pPr>
          </w:p>
        </w:tc>
        <w:tc>
          <w:tcPr>
            <w:tcW w:w="5670" w:type="dxa"/>
            <w:vAlign w:val="center"/>
          </w:tcPr>
          <w:p w14:paraId="5BB049D8" w14:textId="77777777" w:rsidR="00474334" w:rsidRPr="00F0251C" w:rsidRDefault="00474334" w:rsidP="008C0936">
            <w:pPr>
              <w:pStyle w:val="Normale1"/>
              <w:rPr>
                <w:b/>
                <w:sz w:val="22"/>
                <w:szCs w:val="22"/>
                <w:lang w:val="en-AU"/>
              </w:rPr>
            </w:pPr>
            <w:r w:rsidRPr="00F0251C">
              <w:rPr>
                <w:sz w:val="22"/>
                <w:szCs w:val="22"/>
                <w:lang w:val="en-AU"/>
              </w:rPr>
              <w:t>Bronchospasm paradoxical</w:t>
            </w:r>
            <w:r w:rsidRPr="00F0251C">
              <w:rPr>
                <w:sz w:val="22"/>
                <w:szCs w:val="22"/>
                <w:vertAlign w:val="superscript"/>
                <w:lang w:val="en-AU"/>
              </w:rPr>
              <w:t>1</w:t>
            </w:r>
            <w:r w:rsidRPr="00F0251C">
              <w:rPr>
                <w:sz w:val="22"/>
                <w:szCs w:val="22"/>
                <w:lang w:val="en-AU"/>
              </w:rPr>
              <w:t>, oropharyngeal pain, pharyngeal erythema, pharyngeal inflammation, dry throat</w:t>
            </w:r>
          </w:p>
        </w:tc>
        <w:tc>
          <w:tcPr>
            <w:tcW w:w="1394" w:type="dxa"/>
            <w:vAlign w:val="center"/>
          </w:tcPr>
          <w:p w14:paraId="150DD058" w14:textId="77777777" w:rsidR="00474334" w:rsidRPr="00F0251C" w:rsidRDefault="00474334" w:rsidP="008C0936">
            <w:pPr>
              <w:pStyle w:val="Normale1"/>
              <w:rPr>
                <w:b/>
                <w:sz w:val="22"/>
                <w:szCs w:val="22"/>
                <w:lang w:val="en-AU"/>
              </w:rPr>
            </w:pPr>
            <w:r w:rsidRPr="00F0251C">
              <w:rPr>
                <w:sz w:val="22"/>
                <w:szCs w:val="22"/>
                <w:lang w:val="en-AU"/>
              </w:rPr>
              <w:t>Rare</w:t>
            </w:r>
          </w:p>
        </w:tc>
      </w:tr>
      <w:tr w:rsidR="00474334" w:rsidRPr="00F0251C" w14:paraId="02429D75" w14:textId="77777777" w:rsidTr="009B3F0E">
        <w:trPr>
          <w:cantSplit/>
          <w:jc w:val="center"/>
        </w:trPr>
        <w:tc>
          <w:tcPr>
            <w:tcW w:w="2409" w:type="dxa"/>
            <w:vMerge/>
            <w:vAlign w:val="center"/>
          </w:tcPr>
          <w:p w14:paraId="352F9321" w14:textId="77777777" w:rsidR="00474334" w:rsidRPr="00F0251C" w:rsidRDefault="00474334" w:rsidP="008C0936">
            <w:pPr>
              <w:pStyle w:val="Normale1"/>
              <w:rPr>
                <w:b/>
                <w:sz w:val="22"/>
                <w:szCs w:val="22"/>
                <w:lang w:val="en-AU"/>
              </w:rPr>
            </w:pPr>
          </w:p>
        </w:tc>
        <w:tc>
          <w:tcPr>
            <w:tcW w:w="5670" w:type="dxa"/>
            <w:vAlign w:val="center"/>
          </w:tcPr>
          <w:p w14:paraId="7D2C39A4" w14:textId="77777777" w:rsidR="00474334" w:rsidRPr="00F0251C" w:rsidRDefault="00474334" w:rsidP="008C0936">
            <w:pPr>
              <w:pStyle w:val="Normale1"/>
              <w:rPr>
                <w:b/>
                <w:sz w:val="22"/>
                <w:szCs w:val="22"/>
                <w:lang w:val="en-AU"/>
              </w:rPr>
            </w:pPr>
            <w:r w:rsidRPr="00F0251C">
              <w:rPr>
                <w:sz w:val="22"/>
                <w:szCs w:val="22"/>
                <w:lang w:val="en-AU"/>
              </w:rPr>
              <w:t>Dyspnoea</w:t>
            </w:r>
            <w:r w:rsidRPr="00F0251C">
              <w:rPr>
                <w:sz w:val="22"/>
                <w:szCs w:val="22"/>
                <w:vertAlign w:val="superscript"/>
                <w:lang w:val="en-AU"/>
              </w:rPr>
              <w:t>1</w:t>
            </w:r>
          </w:p>
        </w:tc>
        <w:tc>
          <w:tcPr>
            <w:tcW w:w="1394" w:type="dxa"/>
            <w:vAlign w:val="center"/>
          </w:tcPr>
          <w:p w14:paraId="24AC54EC" w14:textId="77777777" w:rsidR="00474334" w:rsidRPr="00F0251C" w:rsidRDefault="00474334" w:rsidP="008C0936">
            <w:pPr>
              <w:pStyle w:val="Normale1"/>
              <w:rPr>
                <w:b/>
                <w:sz w:val="22"/>
                <w:szCs w:val="22"/>
                <w:lang w:val="en-AU"/>
              </w:rPr>
            </w:pPr>
            <w:r w:rsidRPr="00F0251C">
              <w:rPr>
                <w:sz w:val="22"/>
                <w:szCs w:val="22"/>
                <w:lang w:val="en-AU"/>
              </w:rPr>
              <w:t>Very rare</w:t>
            </w:r>
          </w:p>
        </w:tc>
      </w:tr>
      <w:tr w:rsidR="00474334" w:rsidRPr="00F0251C" w14:paraId="7107DCAB" w14:textId="77777777" w:rsidTr="009B3F0E">
        <w:trPr>
          <w:cantSplit/>
          <w:jc w:val="center"/>
        </w:trPr>
        <w:tc>
          <w:tcPr>
            <w:tcW w:w="2409" w:type="dxa"/>
            <w:vAlign w:val="center"/>
          </w:tcPr>
          <w:p w14:paraId="509F3C10" w14:textId="77777777" w:rsidR="00474334" w:rsidRPr="00F0251C" w:rsidRDefault="00474334" w:rsidP="008C0936">
            <w:pPr>
              <w:pStyle w:val="Normale1"/>
              <w:rPr>
                <w:b/>
                <w:sz w:val="22"/>
                <w:szCs w:val="22"/>
                <w:lang w:val="en-AU"/>
              </w:rPr>
            </w:pPr>
            <w:r w:rsidRPr="00F0251C">
              <w:rPr>
                <w:sz w:val="22"/>
                <w:szCs w:val="22"/>
                <w:lang w:val="en-AU"/>
              </w:rPr>
              <w:t>Gastrointestinal disorders</w:t>
            </w:r>
          </w:p>
        </w:tc>
        <w:tc>
          <w:tcPr>
            <w:tcW w:w="5670" w:type="dxa"/>
            <w:vAlign w:val="center"/>
          </w:tcPr>
          <w:p w14:paraId="07D01240" w14:textId="77777777" w:rsidR="00474334" w:rsidRPr="00F0251C" w:rsidRDefault="00474334" w:rsidP="008C0936">
            <w:pPr>
              <w:pStyle w:val="Normale1"/>
              <w:rPr>
                <w:b/>
                <w:sz w:val="22"/>
                <w:szCs w:val="22"/>
                <w:lang w:val="en-AU"/>
              </w:rPr>
            </w:pPr>
            <w:r w:rsidRPr="00F0251C">
              <w:rPr>
                <w:sz w:val="22"/>
                <w:szCs w:val="22"/>
                <w:lang w:val="en-AU"/>
              </w:rPr>
              <w:t>Diarrhoea</w:t>
            </w:r>
            <w:r w:rsidRPr="00F0251C">
              <w:rPr>
                <w:sz w:val="22"/>
                <w:szCs w:val="22"/>
                <w:vertAlign w:val="superscript"/>
                <w:lang w:val="en-AU"/>
              </w:rPr>
              <w:t>1</w:t>
            </w:r>
            <w:r w:rsidRPr="00F0251C">
              <w:rPr>
                <w:sz w:val="22"/>
                <w:szCs w:val="22"/>
                <w:lang w:val="en-AU"/>
              </w:rPr>
              <w:t>, dry mouth, dysphagia</w:t>
            </w:r>
            <w:r w:rsidRPr="00F0251C">
              <w:rPr>
                <w:sz w:val="22"/>
                <w:szCs w:val="22"/>
                <w:vertAlign w:val="superscript"/>
                <w:lang w:val="en-AU"/>
              </w:rPr>
              <w:t>1</w:t>
            </w:r>
            <w:r w:rsidRPr="00F0251C">
              <w:rPr>
                <w:sz w:val="22"/>
                <w:szCs w:val="22"/>
                <w:lang w:val="en-AU"/>
              </w:rPr>
              <w:t>, nausea, dyspepsia</w:t>
            </w:r>
            <w:r w:rsidRPr="00F0251C">
              <w:rPr>
                <w:sz w:val="22"/>
                <w:szCs w:val="22"/>
                <w:vertAlign w:val="superscript"/>
                <w:lang w:val="en-AU"/>
              </w:rPr>
              <w:t>1</w:t>
            </w:r>
            <w:r w:rsidRPr="00F0251C">
              <w:rPr>
                <w:sz w:val="22"/>
                <w:szCs w:val="22"/>
                <w:lang w:val="en-AU"/>
              </w:rPr>
              <w:t>, burning sensation of the lips</w:t>
            </w:r>
            <w:r w:rsidRPr="00F0251C">
              <w:rPr>
                <w:sz w:val="22"/>
                <w:szCs w:val="22"/>
                <w:vertAlign w:val="superscript"/>
                <w:lang w:val="en-AU"/>
              </w:rPr>
              <w:t>1</w:t>
            </w:r>
            <w:r w:rsidRPr="00F0251C">
              <w:rPr>
                <w:sz w:val="22"/>
                <w:szCs w:val="22"/>
                <w:lang w:val="en-AU"/>
              </w:rPr>
              <w:t>, dental caries</w:t>
            </w:r>
            <w:r w:rsidRPr="00F0251C">
              <w:rPr>
                <w:sz w:val="22"/>
                <w:szCs w:val="22"/>
                <w:vertAlign w:val="superscript"/>
                <w:lang w:val="en-AU"/>
              </w:rPr>
              <w:t>1</w:t>
            </w:r>
            <w:r w:rsidRPr="00F0251C">
              <w:rPr>
                <w:sz w:val="22"/>
                <w:szCs w:val="22"/>
                <w:lang w:val="en-AU"/>
              </w:rPr>
              <w:t>,</w:t>
            </w:r>
            <w:r w:rsidRPr="00F0251C">
              <w:rPr>
                <w:sz w:val="22"/>
                <w:szCs w:val="22"/>
                <w:vertAlign w:val="superscript"/>
                <w:lang w:val="en-AU"/>
              </w:rPr>
              <w:t xml:space="preserve"> </w:t>
            </w:r>
            <w:r w:rsidRPr="00F0251C">
              <w:rPr>
                <w:sz w:val="22"/>
                <w:szCs w:val="22"/>
                <w:lang w:val="en-AU"/>
              </w:rPr>
              <w:t>(aphthous) stomatitis</w:t>
            </w:r>
          </w:p>
        </w:tc>
        <w:tc>
          <w:tcPr>
            <w:tcW w:w="1394" w:type="dxa"/>
            <w:vAlign w:val="center"/>
          </w:tcPr>
          <w:p w14:paraId="5458E2F6" w14:textId="77777777" w:rsidR="00474334" w:rsidRPr="00F0251C" w:rsidRDefault="00474334" w:rsidP="008C0936">
            <w:pPr>
              <w:pStyle w:val="Normale1"/>
              <w:rPr>
                <w:b/>
                <w:sz w:val="22"/>
                <w:szCs w:val="22"/>
                <w:lang w:val="en-AU"/>
              </w:rPr>
            </w:pPr>
            <w:r w:rsidRPr="00F0251C">
              <w:rPr>
                <w:sz w:val="22"/>
                <w:szCs w:val="22"/>
                <w:lang w:val="en-AU"/>
              </w:rPr>
              <w:t>Uncommon</w:t>
            </w:r>
          </w:p>
        </w:tc>
      </w:tr>
      <w:tr w:rsidR="00474334" w:rsidRPr="00F0251C" w14:paraId="2A698F51" w14:textId="77777777" w:rsidTr="009B3F0E">
        <w:trPr>
          <w:cantSplit/>
          <w:jc w:val="center"/>
        </w:trPr>
        <w:tc>
          <w:tcPr>
            <w:tcW w:w="2409" w:type="dxa"/>
            <w:vMerge w:val="restart"/>
            <w:vAlign w:val="center"/>
          </w:tcPr>
          <w:p w14:paraId="55A97C23" w14:textId="77777777" w:rsidR="00474334" w:rsidRPr="00F0251C" w:rsidRDefault="00474334" w:rsidP="008C0936">
            <w:pPr>
              <w:pStyle w:val="Normale1"/>
              <w:rPr>
                <w:b/>
                <w:sz w:val="22"/>
                <w:szCs w:val="22"/>
                <w:lang w:val="en-AU"/>
              </w:rPr>
            </w:pPr>
            <w:r w:rsidRPr="00F0251C">
              <w:rPr>
                <w:sz w:val="22"/>
                <w:szCs w:val="22"/>
                <w:lang w:val="en-AU"/>
              </w:rPr>
              <w:t>Skin and subcutaneous tissue disorders</w:t>
            </w:r>
          </w:p>
        </w:tc>
        <w:tc>
          <w:tcPr>
            <w:tcW w:w="5670" w:type="dxa"/>
            <w:vAlign w:val="center"/>
          </w:tcPr>
          <w:p w14:paraId="620C39D5" w14:textId="77777777" w:rsidR="00474334" w:rsidRPr="00F0251C" w:rsidRDefault="00474334" w:rsidP="008C0936">
            <w:pPr>
              <w:pStyle w:val="Normale1"/>
              <w:rPr>
                <w:b/>
                <w:sz w:val="22"/>
                <w:szCs w:val="22"/>
                <w:lang w:val="en-AU"/>
              </w:rPr>
            </w:pPr>
            <w:r w:rsidRPr="00F0251C">
              <w:rPr>
                <w:sz w:val="22"/>
                <w:szCs w:val="22"/>
                <w:lang w:val="en-AU"/>
              </w:rPr>
              <w:t>Rash</w:t>
            </w:r>
            <w:r w:rsidRPr="00F0251C">
              <w:rPr>
                <w:sz w:val="22"/>
                <w:szCs w:val="22"/>
                <w:vertAlign w:val="superscript"/>
                <w:lang w:val="en-AU"/>
              </w:rPr>
              <w:t>1</w:t>
            </w:r>
            <w:r w:rsidRPr="00F0251C">
              <w:rPr>
                <w:sz w:val="22"/>
                <w:szCs w:val="22"/>
                <w:lang w:val="en-AU"/>
              </w:rPr>
              <w:t>, urticaria</w:t>
            </w:r>
            <w:r w:rsidRPr="00F0251C">
              <w:rPr>
                <w:sz w:val="22"/>
                <w:szCs w:val="22"/>
                <w:vertAlign w:val="superscript"/>
                <w:lang w:val="en-AU"/>
              </w:rPr>
              <w:t>1</w:t>
            </w:r>
            <w:r w:rsidRPr="00F0251C">
              <w:rPr>
                <w:sz w:val="22"/>
                <w:szCs w:val="22"/>
                <w:lang w:val="en-AU"/>
              </w:rPr>
              <w:t>, pruritus, hyperhidrosis</w:t>
            </w:r>
            <w:r w:rsidRPr="00F0251C">
              <w:rPr>
                <w:sz w:val="22"/>
                <w:szCs w:val="22"/>
                <w:vertAlign w:val="superscript"/>
                <w:lang w:val="en-AU"/>
              </w:rPr>
              <w:t>1</w:t>
            </w:r>
          </w:p>
        </w:tc>
        <w:tc>
          <w:tcPr>
            <w:tcW w:w="1394" w:type="dxa"/>
            <w:vAlign w:val="center"/>
          </w:tcPr>
          <w:p w14:paraId="0A138888" w14:textId="77777777" w:rsidR="00474334" w:rsidRPr="00F0251C" w:rsidRDefault="00474334" w:rsidP="008C0936">
            <w:pPr>
              <w:pStyle w:val="Normale1"/>
              <w:rPr>
                <w:b/>
                <w:sz w:val="22"/>
                <w:szCs w:val="22"/>
                <w:lang w:val="en-AU"/>
              </w:rPr>
            </w:pPr>
            <w:r w:rsidRPr="00F0251C">
              <w:rPr>
                <w:sz w:val="22"/>
                <w:szCs w:val="22"/>
                <w:lang w:val="en-AU"/>
              </w:rPr>
              <w:t>Uncommon</w:t>
            </w:r>
          </w:p>
        </w:tc>
      </w:tr>
      <w:tr w:rsidR="00474334" w:rsidRPr="00F0251C" w14:paraId="4D8125FA" w14:textId="77777777" w:rsidTr="009B3F0E">
        <w:trPr>
          <w:cantSplit/>
          <w:jc w:val="center"/>
        </w:trPr>
        <w:tc>
          <w:tcPr>
            <w:tcW w:w="2409" w:type="dxa"/>
            <w:vMerge/>
            <w:vAlign w:val="center"/>
          </w:tcPr>
          <w:p w14:paraId="2EABDBF6" w14:textId="77777777" w:rsidR="00474334" w:rsidRPr="00F0251C" w:rsidRDefault="00474334" w:rsidP="008C0936">
            <w:pPr>
              <w:pStyle w:val="Normale1"/>
              <w:rPr>
                <w:b/>
                <w:sz w:val="22"/>
                <w:szCs w:val="22"/>
                <w:lang w:val="en-AU"/>
              </w:rPr>
            </w:pPr>
          </w:p>
        </w:tc>
        <w:tc>
          <w:tcPr>
            <w:tcW w:w="5670" w:type="dxa"/>
            <w:vAlign w:val="center"/>
          </w:tcPr>
          <w:p w14:paraId="1222356D" w14:textId="77777777" w:rsidR="00474334" w:rsidRPr="00F0251C" w:rsidRDefault="00474334" w:rsidP="008C0936">
            <w:pPr>
              <w:pStyle w:val="Normale1"/>
              <w:rPr>
                <w:b/>
                <w:sz w:val="22"/>
                <w:szCs w:val="22"/>
                <w:lang w:val="en-AU"/>
              </w:rPr>
            </w:pPr>
            <w:r w:rsidRPr="00F0251C">
              <w:rPr>
                <w:sz w:val="22"/>
                <w:szCs w:val="22"/>
                <w:lang w:val="en-AU"/>
              </w:rPr>
              <w:t>Angioedema</w:t>
            </w:r>
            <w:r w:rsidRPr="00F0251C">
              <w:rPr>
                <w:sz w:val="22"/>
                <w:szCs w:val="22"/>
                <w:vertAlign w:val="superscript"/>
                <w:lang w:val="en-AU"/>
              </w:rPr>
              <w:t>1</w:t>
            </w:r>
          </w:p>
        </w:tc>
        <w:tc>
          <w:tcPr>
            <w:tcW w:w="1394" w:type="dxa"/>
            <w:vAlign w:val="center"/>
          </w:tcPr>
          <w:p w14:paraId="45684DE5" w14:textId="77777777" w:rsidR="00474334" w:rsidRPr="00F0251C" w:rsidRDefault="00474334" w:rsidP="008C0936">
            <w:pPr>
              <w:pStyle w:val="Normale1"/>
              <w:rPr>
                <w:b/>
                <w:sz w:val="22"/>
                <w:szCs w:val="22"/>
                <w:lang w:val="en-AU"/>
              </w:rPr>
            </w:pPr>
            <w:r w:rsidRPr="00F0251C">
              <w:rPr>
                <w:sz w:val="22"/>
                <w:szCs w:val="22"/>
                <w:lang w:val="en-AU"/>
              </w:rPr>
              <w:t>Rare</w:t>
            </w:r>
          </w:p>
        </w:tc>
      </w:tr>
      <w:tr w:rsidR="00474334" w:rsidRPr="00F0251C" w14:paraId="4D9AB0B1" w14:textId="77777777" w:rsidTr="009B3F0E">
        <w:trPr>
          <w:cantSplit/>
          <w:jc w:val="center"/>
        </w:trPr>
        <w:tc>
          <w:tcPr>
            <w:tcW w:w="2409" w:type="dxa"/>
            <w:vMerge w:val="restart"/>
            <w:vAlign w:val="center"/>
          </w:tcPr>
          <w:p w14:paraId="6E9AD537" w14:textId="77777777" w:rsidR="00474334" w:rsidRPr="00F0251C" w:rsidRDefault="00474334" w:rsidP="008C0936">
            <w:pPr>
              <w:pStyle w:val="Normale1"/>
              <w:rPr>
                <w:b/>
                <w:sz w:val="22"/>
                <w:szCs w:val="22"/>
                <w:lang w:val="en-AU"/>
              </w:rPr>
            </w:pPr>
            <w:r w:rsidRPr="00F0251C">
              <w:rPr>
                <w:sz w:val="22"/>
                <w:szCs w:val="22"/>
                <w:lang w:val="en-AU"/>
              </w:rPr>
              <w:t>Musculoskeletal and connective tissue disorders</w:t>
            </w:r>
          </w:p>
        </w:tc>
        <w:tc>
          <w:tcPr>
            <w:tcW w:w="5670" w:type="dxa"/>
            <w:vAlign w:val="center"/>
          </w:tcPr>
          <w:p w14:paraId="44F28050" w14:textId="77777777" w:rsidR="00474334" w:rsidRPr="00F0251C" w:rsidRDefault="00474334" w:rsidP="008C0936">
            <w:pPr>
              <w:pStyle w:val="Normale1"/>
              <w:rPr>
                <w:b/>
                <w:sz w:val="22"/>
                <w:szCs w:val="22"/>
                <w:lang w:val="en-AU"/>
              </w:rPr>
            </w:pPr>
            <w:r w:rsidRPr="00F0251C">
              <w:rPr>
                <w:sz w:val="22"/>
                <w:szCs w:val="22"/>
                <w:lang w:val="en-AU"/>
              </w:rPr>
              <w:t>Muscle spasms, myalgia, pain in extremity</w:t>
            </w:r>
            <w:r w:rsidRPr="00F0251C">
              <w:rPr>
                <w:sz w:val="22"/>
                <w:szCs w:val="22"/>
                <w:vertAlign w:val="superscript"/>
                <w:lang w:val="en-AU"/>
              </w:rPr>
              <w:t>1</w:t>
            </w:r>
            <w:r w:rsidRPr="00F0251C">
              <w:rPr>
                <w:sz w:val="22"/>
                <w:szCs w:val="22"/>
                <w:lang w:val="en-AU"/>
              </w:rPr>
              <w:t>, musculoskeletal chest pain</w:t>
            </w:r>
            <w:r w:rsidRPr="00F0251C">
              <w:rPr>
                <w:sz w:val="22"/>
                <w:szCs w:val="22"/>
                <w:vertAlign w:val="superscript"/>
                <w:lang w:val="en-AU"/>
              </w:rPr>
              <w:t>1</w:t>
            </w:r>
          </w:p>
        </w:tc>
        <w:tc>
          <w:tcPr>
            <w:tcW w:w="1394" w:type="dxa"/>
            <w:vAlign w:val="center"/>
          </w:tcPr>
          <w:p w14:paraId="2631551B" w14:textId="77777777" w:rsidR="00474334" w:rsidRPr="00F0251C" w:rsidRDefault="00474334" w:rsidP="008C0936">
            <w:pPr>
              <w:pStyle w:val="Normale1"/>
              <w:rPr>
                <w:b/>
                <w:sz w:val="22"/>
                <w:szCs w:val="22"/>
                <w:lang w:val="en-AU"/>
              </w:rPr>
            </w:pPr>
            <w:r w:rsidRPr="00F0251C">
              <w:rPr>
                <w:sz w:val="22"/>
                <w:szCs w:val="22"/>
                <w:lang w:val="en-AU"/>
              </w:rPr>
              <w:t>Uncommon</w:t>
            </w:r>
          </w:p>
        </w:tc>
      </w:tr>
      <w:tr w:rsidR="00474334" w:rsidRPr="00F0251C" w14:paraId="6346C71B" w14:textId="77777777" w:rsidTr="009B3F0E">
        <w:trPr>
          <w:cantSplit/>
          <w:jc w:val="center"/>
        </w:trPr>
        <w:tc>
          <w:tcPr>
            <w:tcW w:w="2409" w:type="dxa"/>
            <w:vMerge/>
            <w:vAlign w:val="center"/>
          </w:tcPr>
          <w:p w14:paraId="427965DF" w14:textId="77777777" w:rsidR="00474334" w:rsidRPr="00F0251C" w:rsidRDefault="00474334" w:rsidP="008C0936">
            <w:pPr>
              <w:pStyle w:val="Normale1"/>
              <w:rPr>
                <w:sz w:val="22"/>
                <w:szCs w:val="22"/>
                <w:lang w:val="en-AU"/>
              </w:rPr>
            </w:pPr>
          </w:p>
        </w:tc>
        <w:tc>
          <w:tcPr>
            <w:tcW w:w="5670" w:type="dxa"/>
            <w:vAlign w:val="center"/>
          </w:tcPr>
          <w:p w14:paraId="4645E13F" w14:textId="77777777" w:rsidR="00474334" w:rsidRPr="00F0251C" w:rsidRDefault="00474334" w:rsidP="008C0936">
            <w:pPr>
              <w:pStyle w:val="Normale1"/>
              <w:rPr>
                <w:sz w:val="22"/>
                <w:szCs w:val="22"/>
                <w:lang w:val="en-AU"/>
              </w:rPr>
            </w:pPr>
            <w:r w:rsidRPr="00F0251C">
              <w:rPr>
                <w:sz w:val="22"/>
                <w:szCs w:val="22"/>
                <w:lang w:val="en-AU"/>
              </w:rPr>
              <w:t>Growth retardation</w:t>
            </w:r>
            <w:r w:rsidRPr="00F0251C">
              <w:rPr>
                <w:sz w:val="22"/>
                <w:szCs w:val="22"/>
                <w:vertAlign w:val="superscript"/>
                <w:lang w:val="en-AU"/>
              </w:rPr>
              <w:t>1</w:t>
            </w:r>
          </w:p>
        </w:tc>
        <w:tc>
          <w:tcPr>
            <w:tcW w:w="1394" w:type="dxa"/>
            <w:vAlign w:val="center"/>
          </w:tcPr>
          <w:p w14:paraId="01DF0170" w14:textId="77777777" w:rsidR="00474334" w:rsidRPr="00F0251C" w:rsidRDefault="00474334" w:rsidP="008C0936">
            <w:pPr>
              <w:pStyle w:val="Normale1"/>
              <w:rPr>
                <w:sz w:val="22"/>
                <w:szCs w:val="22"/>
                <w:lang w:val="en-AU"/>
              </w:rPr>
            </w:pPr>
            <w:r w:rsidRPr="00F0251C">
              <w:rPr>
                <w:sz w:val="22"/>
                <w:szCs w:val="22"/>
                <w:lang w:val="en-AU"/>
              </w:rPr>
              <w:t>Very rare</w:t>
            </w:r>
          </w:p>
        </w:tc>
      </w:tr>
      <w:tr w:rsidR="00474334" w:rsidRPr="00F0251C" w14:paraId="59D1BC7E" w14:textId="77777777" w:rsidTr="009B3F0E">
        <w:trPr>
          <w:cantSplit/>
          <w:trHeight w:val="516"/>
          <w:jc w:val="center"/>
        </w:trPr>
        <w:tc>
          <w:tcPr>
            <w:tcW w:w="2409" w:type="dxa"/>
            <w:vAlign w:val="center"/>
          </w:tcPr>
          <w:p w14:paraId="2D51311A" w14:textId="77777777" w:rsidR="00474334" w:rsidRPr="00F0251C" w:rsidRDefault="00474334" w:rsidP="008C0936">
            <w:pPr>
              <w:pStyle w:val="Normale1"/>
              <w:rPr>
                <w:sz w:val="22"/>
                <w:szCs w:val="22"/>
                <w:lang w:val="en-AU"/>
              </w:rPr>
            </w:pPr>
            <w:r w:rsidRPr="00F0251C">
              <w:rPr>
                <w:sz w:val="22"/>
                <w:szCs w:val="22"/>
                <w:lang w:val="en-AU"/>
              </w:rPr>
              <w:t>Renal and urinary disorders</w:t>
            </w:r>
          </w:p>
        </w:tc>
        <w:tc>
          <w:tcPr>
            <w:tcW w:w="5670" w:type="dxa"/>
            <w:vAlign w:val="center"/>
          </w:tcPr>
          <w:p w14:paraId="1ED57835" w14:textId="77777777" w:rsidR="00474334" w:rsidRPr="00F0251C" w:rsidRDefault="00474334" w:rsidP="008C0936">
            <w:pPr>
              <w:pStyle w:val="Normale1"/>
              <w:rPr>
                <w:sz w:val="22"/>
                <w:szCs w:val="22"/>
                <w:lang w:val="en-AU"/>
              </w:rPr>
            </w:pPr>
            <w:r w:rsidRPr="00F0251C">
              <w:rPr>
                <w:sz w:val="22"/>
                <w:szCs w:val="22"/>
                <w:lang w:val="en-AU"/>
              </w:rPr>
              <w:t>Dysuria, urinary retention, nephritis</w:t>
            </w:r>
            <w:r w:rsidRPr="00F0251C">
              <w:rPr>
                <w:sz w:val="22"/>
                <w:szCs w:val="22"/>
                <w:vertAlign w:val="superscript"/>
                <w:lang w:val="en-AU"/>
              </w:rPr>
              <w:t>1</w:t>
            </w:r>
          </w:p>
        </w:tc>
        <w:tc>
          <w:tcPr>
            <w:tcW w:w="1394" w:type="dxa"/>
            <w:vAlign w:val="center"/>
          </w:tcPr>
          <w:p w14:paraId="7E7140D9" w14:textId="77777777" w:rsidR="00474334" w:rsidRPr="00F0251C" w:rsidRDefault="00474334" w:rsidP="008C0936">
            <w:pPr>
              <w:pStyle w:val="Normale1"/>
              <w:rPr>
                <w:sz w:val="22"/>
                <w:szCs w:val="22"/>
                <w:lang w:val="en-AU"/>
              </w:rPr>
            </w:pPr>
            <w:r w:rsidRPr="00F0251C">
              <w:rPr>
                <w:sz w:val="22"/>
                <w:szCs w:val="22"/>
                <w:lang w:val="en-AU"/>
              </w:rPr>
              <w:t>Rare</w:t>
            </w:r>
          </w:p>
        </w:tc>
      </w:tr>
      <w:tr w:rsidR="00474334" w:rsidRPr="00F0251C" w14:paraId="6829322E" w14:textId="77777777" w:rsidTr="009B3F0E">
        <w:trPr>
          <w:cantSplit/>
          <w:trHeight w:val="347"/>
          <w:jc w:val="center"/>
        </w:trPr>
        <w:tc>
          <w:tcPr>
            <w:tcW w:w="2409" w:type="dxa"/>
            <w:vMerge w:val="restart"/>
            <w:vAlign w:val="center"/>
          </w:tcPr>
          <w:p w14:paraId="5E390AC2" w14:textId="77777777" w:rsidR="00474334" w:rsidRPr="00F0251C" w:rsidRDefault="00474334" w:rsidP="008C0936">
            <w:pPr>
              <w:pStyle w:val="Normale1"/>
              <w:rPr>
                <w:b/>
                <w:sz w:val="22"/>
                <w:szCs w:val="22"/>
                <w:lang w:val="en-AU"/>
              </w:rPr>
            </w:pPr>
            <w:r w:rsidRPr="00F0251C">
              <w:rPr>
                <w:sz w:val="22"/>
                <w:szCs w:val="22"/>
                <w:lang w:val="en-AU"/>
              </w:rPr>
              <w:lastRenderedPageBreak/>
              <w:t>General disorders and administration site conditions</w:t>
            </w:r>
          </w:p>
        </w:tc>
        <w:tc>
          <w:tcPr>
            <w:tcW w:w="5670" w:type="dxa"/>
            <w:vAlign w:val="center"/>
          </w:tcPr>
          <w:p w14:paraId="4D5E9E46" w14:textId="77777777" w:rsidR="00474334" w:rsidRPr="00F0251C" w:rsidRDefault="00474334" w:rsidP="008C0936">
            <w:pPr>
              <w:pStyle w:val="Normale1"/>
              <w:rPr>
                <w:b/>
                <w:sz w:val="22"/>
                <w:szCs w:val="22"/>
                <w:lang w:val="en-AU"/>
              </w:rPr>
            </w:pPr>
            <w:r w:rsidRPr="00F0251C">
              <w:rPr>
                <w:sz w:val="22"/>
                <w:szCs w:val="22"/>
                <w:lang w:val="en-AU"/>
              </w:rPr>
              <w:t>Fatigue</w:t>
            </w:r>
            <w:r w:rsidRPr="00F0251C">
              <w:rPr>
                <w:sz w:val="22"/>
                <w:szCs w:val="22"/>
                <w:vertAlign w:val="superscript"/>
                <w:lang w:val="en-AU"/>
              </w:rPr>
              <w:t>1</w:t>
            </w:r>
            <w:r w:rsidRPr="00F0251C">
              <w:rPr>
                <w:sz w:val="22"/>
                <w:szCs w:val="22"/>
                <w:lang w:val="en-AU"/>
              </w:rPr>
              <w:t xml:space="preserve"> </w:t>
            </w:r>
          </w:p>
        </w:tc>
        <w:tc>
          <w:tcPr>
            <w:tcW w:w="1394" w:type="dxa"/>
            <w:vAlign w:val="center"/>
          </w:tcPr>
          <w:p w14:paraId="41EACF8D" w14:textId="77777777" w:rsidR="00474334" w:rsidRPr="00F0251C" w:rsidRDefault="00474334" w:rsidP="008C0936">
            <w:pPr>
              <w:pStyle w:val="Normale1"/>
              <w:rPr>
                <w:sz w:val="22"/>
                <w:szCs w:val="22"/>
                <w:lang w:val="en-AU"/>
              </w:rPr>
            </w:pPr>
            <w:r w:rsidRPr="00F0251C">
              <w:rPr>
                <w:sz w:val="22"/>
                <w:szCs w:val="22"/>
                <w:lang w:val="en-AU"/>
              </w:rPr>
              <w:t>Uncommon</w:t>
            </w:r>
          </w:p>
        </w:tc>
      </w:tr>
      <w:tr w:rsidR="00474334" w:rsidRPr="00F0251C" w14:paraId="72099F0D" w14:textId="77777777" w:rsidTr="009B3F0E">
        <w:trPr>
          <w:cantSplit/>
          <w:trHeight w:val="347"/>
          <w:jc w:val="center"/>
        </w:trPr>
        <w:tc>
          <w:tcPr>
            <w:tcW w:w="2409" w:type="dxa"/>
            <w:vMerge/>
            <w:vAlign w:val="center"/>
          </w:tcPr>
          <w:p w14:paraId="0F770660" w14:textId="77777777" w:rsidR="00474334" w:rsidRPr="00F0251C" w:rsidRDefault="00474334" w:rsidP="008C0936">
            <w:pPr>
              <w:pStyle w:val="Normale1"/>
              <w:rPr>
                <w:sz w:val="22"/>
                <w:szCs w:val="22"/>
                <w:lang w:val="en-AU"/>
              </w:rPr>
            </w:pPr>
          </w:p>
        </w:tc>
        <w:tc>
          <w:tcPr>
            <w:tcW w:w="5670" w:type="dxa"/>
            <w:vAlign w:val="center"/>
          </w:tcPr>
          <w:p w14:paraId="643C476C" w14:textId="77777777" w:rsidR="00474334" w:rsidRPr="00F0251C" w:rsidRDefault="00474334" w:rsidP="008C0936">
            <w:pPr>
              <w:pStyle w:val="Normale1"/>
              <w:rPr>
                <w:sz w:val="22"/>
                <w:szCs w:val="22"/>
                <w:lang w:val="en-AU"/>
              </w:rPr>
            </w:pPr>
            <w:r w:rsidRPr="00F0251C">
              <w:rPr>
                <w:sz w:val="22"/>
                <w:szCs w:val="22"/>
                <w:lang w:val="en-AU"/>
              </w:rPr>
              <w:t>Asthenia</w:t>
            </w:r>
          </w:p>
        </w:tc>
        <w:tc>
          <w:tcPr>
            <w:tcW w:w="1394" w:type="dxa"/>
            <w:vAlign w:val="center"/>
          </w:tcPr>
          <w:p w14:paraId="778CDD10" w14:textId="77777777" w:rsidR="00474334" w:rsidRPr="00F0251C" w:rsidRDefault="00474334" w:rsidP="008C0936">
            <w:pPr>
              <w:pStyle w:val="Normale1"/>
              <w:rPr>
                <w:sz w:val="22"/>
                <w:szCs w:val="22"/>
                <w:lang w:val="en-AU"/>
              </w:rPr>
            </w:pPr>
            <w:r w:rsidRPr="00F0251C">
              <w:rPr>
                <w:sz w:val="22"/>
                <w:szCs w:val="22"/>
                <w:lang w:val="en-AU"/>
              </w:rPr>
              <w:t>Rare</w:t>
            </w:r>
          </w:p>
        </w:tc>
      </w:tr>
      <w:tr w:rsidR="00474334" w:rsidRPr="00F0251C" w14:paraId="5335859C" w14:textId="77777777" w:rsidTr="009B3F0E">
        <w:trPr>
          <w:cantSplit/>
          <w:trHeight w:val="346"/>
          <w:jc w:val="center"/>
        </w:trPr>
        <w:tc>
          <w:tcPr>
            <w:tcW w:w="2409" w:type="dxa"/>
            <w:vMerge/>
            <w:vAlign w:val="center"/>
          </w:tcPr>
          <w:p w14:paraId="7627B9D1" w14:textId="77777777" w:rsidR="00474334" w:rsidRPr="00F0251C" w:rsidRDefault="00474334" w:rsidP="008C0936">
            <w:pPr>
              <w:pStyle w:val="Normale1"/>
              <w:rPr>
                <w:sz w:val="22"/>
                <w:szCs w:val="22"/>
                <w:lang w:val="en-AU"/>
              </w:rPr>
            </w:pPr>
          </w:p>
        </w:tc>
        <w:tc>
          <w:tcPr>
            <w:tcW w:w="5670" w:type="dxa"/>
            <w:vAlign w:val="center"/>
          </w:tcPr>
          <w:p w14:paraId="6D10901E" w14:textId="77777777" w:rsidR="00474334" w:rsidRPr="00F0251C" w:rsidRDefault="00474334" w:rsidP="008C0936">
            <w:pPr>
              <w:pStyle w:val="Normale1"/>
              <w:rPr>
                <w:b/>
                <w:sz w:val="22"/>
                <w:szCs w:val="22"/>
                <w:lang w:val="en-AU"/>
              </w:rPr>
            </w:pPr>
            <w:r w:rsidRPr="00F0251C">
              <w:rPr>
                <w:sz w:val="22"/>
                <w:szCs w:val="22"/>
                <w:lang w:val="en-AU"/>
              </w:rPr>
              <w:t>Oedema peripheral</w:t>
            </w:r>
            <w:r w:rsidRPr="00F0251C">
              <w:rPr>
                <w:sz w:val="22"/>
                <w:szCs w:val="22"/>
                <w:vertAlign w:val="superscript"/>
                <w:lang w:val="en-AU"/>
              </w:rPr>
              <w:t>1</w:t>
            </w:r>
          </w:p>
        </w:tc>
        <w:tc>
          <w:tcPr>
            <w:tcW w:w="1394" w:type="dxa"/>
            <w:vAlign w:val="center"/>
          </w:tcPr>
          <w:p w14:paraId="2F75BF38" w14:textId="77777777" w:rsidR="00474334" w:rsidRPr="00F0251C" w:rsidRDefault="00474334" w:rsidP="008C0936">
            <w:pPr>
              <w:pStyle w:val="Normale1"/>
              <w:rPr>
                <w:b/>
                <w:sz w:val="22"/>
                <w:szCs w:val="22"/>
                <w:lang w:val="en-AU"/>
              </w:rPr>
            </w:pPr>
            <w:r w:rsidRPr="00F0251C">
              <w:rPr>
                <w:sz w:val="22"/>
                <w:szCs w:val="22"/>
                <w:lang w:val="en-AU"/>
              </w:rPr>
              <w:t>Very rare</w:t>
            </w:r>
          </w:p>
        </w:tc>
      </w:tr>
      <w:tr w:rsidR="00474334" w:rsidRPr="00F0251C" w14:paraId="41213747" w14:textId="77777777" w:rsidTr="009B3F0E">
        <w:trPr>
          <w:cantSplit/>
          <w:jc w:val="center"/>
        </w:trPr>
        <w:tc>
          <w:tcPr>
            <w:tcW w:w="2409" w:type="dxa"/>
            <w:vMerge w:val="restart"/>
            <w:vAlign w:val="center"/>
          </w:tcPr>
          <w:p w14:paraId="47538956" w14:textId="77777777" w:rsidR="00474334" w:rsidRPr="00F0251C" w:rsidRDefault="00474334" w:rsidP="008C0936">
            <w:pPr>
              <w:pStyle w:val="Normale1"/>
              <w:keepNext/>
              <w:rPr>
                <w:b/>
                <w:sz w:val="22"/>
                <w:szCs w:val="22"/>
                <w:lang w:val="en-AU"/>
              </w:rPr>
            </w:pPr>
            <w:r w:rsidRPr="00F0251C">
              <w:rPr>
                <w:sz w:val="22"/>
                <w:szCs w:val="22"/>
                <w:lang w:val="en-AU"/>
              </w:rPr>
              <w:t>Investigations</w:t>
            </w:r>
          </w:p>
        </w:tc>
        <w:tc>
          <w:tcPr>
            <w:tcW w:w="5670" w:type="dxa"/>
            <w:vAlign w:val="center"/>
          </w:tcPr>
          <w:p w14:paraId="6AC89603" w14:textId="77777777" w:rsidR="00474334" w:rsidRPr="00F0251C" w:rsidRDefault="00474334" w:rsidP="008C0936">
            <w:pPr>
              <w:pStyle w:val="Normale1"/>
              <w:keepNext/>
              <w:rPr>
                <w:b/>
                <w:sz w:val="22"/>
                <w:szCs w:val="22"/>
                <w:lang w:val="en-AU"/>
              </w:rPr>
            </w:pPr>
            <w:r w:rsidRPr="00F0251C">
              <w:rPr>
                <w:sz w:val="22"/>
                <w:szCs w:val="22"/>
                <w:lang w:val="en-AU"/>
              </w:rPr>
              <w:t>C</w:t>
            </w:r>
            <w:r w:rsidRPr="00F0251C">
              <w:rPr>
                <w:sz w:val="22"/>
                <w:szCs w:val="22"/>
                <w:lang w:val="en-AU"/>
              </w:rPr>
              <w:noBreakHyphen/>
              <w:t>reactive protein increased</w:t>
            </w:r>
            <w:r w:rsidRPr="00F0251C">
              <w:rPr>
                <w:sz w:val="22"/>
                <w:szCs w:val="22"/>
                <w:vertAlign w:val="superscript"/>
                <w:lang w:val="en-AU"/>
              </w:rPr>
              <w:t>1</w:t>
            </w:r>
            <w:r w:rsidRPr="00F0251C">
              <w:rPr>
                <w:sz w:val="22"/>
                <w:szCs w:val="22"/>
                <w:lang w:val="en-AU"/>
              </w:rPr>
              <w:t>, platelet count increased</w:t>
            </w:r>
            <w:r w:rsidRPr="00F0251C">
              <w:rPr>
                <w:sz w:val="22"/>
                <w:szCs w:val="22"/>
                <w:vertAlign w:val="superscript"/>
                <w:lang w:val="en-AU"/>
              </w:rPr>
              <w:t>1</w:t>
            </w:r>
            <w:r w:rsidRPr="00F0251C">
              <w:rPr>
                <w:sz w:val="22"/>
                <w:szCs w:val="22"/>
                <w:lang w:val="en-AU"/>
              </w:rPr>
              <w:t>, free fatty acids increased</w:t>
            </w:r>
            <w:r w:rsidRPr="00F0251C">
              <w:rPr>
                <w:sz w:val="22"/>
                <w:szCs w:val="22"/>
                <w:vertAlign w:val="superscript"/>
                <w:lang w:val="en-AU"/>
              </w:rPr>
              <w:t>1</w:t>
            </w:r>
            <w:r w:rsidRPr="00F0251C">
              <w:rPr>
                <w:sz w:val="22"/>
                <w:szCs w:val="22"/>
                <w:lang w:val="en-AU"/>
              </w:rPr>
              <w:t>, blood insulin increased</w:t>
            </w:r>
            <w:r w:rsidRPr="00F0251C">
              <w:rPr>
                <w:sz w:val="22"/>
                <w:szCs w:val="22"/>
                <w:vertAlign w:val="superscript"/>
                <w:lang w:val="en-AU"/>
              </w:rPr>
              <w:t>1</w:t>
            </w:r>
            <w:r w:rsidRPr="00F0251C">
              <w:rPr>
                <w:sz w:val="22"/>
                <w:szCs w:val="22"/>
                <w:lang w:val="en-AU"/>
              </w:rPr>
              <w:t>, blood ketone body increased</w:t>
            </w:r>
            <w:r w:rsidRPr="00F0251C">
              <w:rPr>
                <w:sz w:val="22"/>
                <w:szCs w:val="22"/>
                <w:vertAlign w:val="superscript"/>
                <w:lang w:val="en-AU"/>
              </w:rPr>
              <w:t>1</w:t>
            </w:r>
            <w:r w:rsidRPr="00F0251C">
              <w:rPr>
                <w:sz w:val="22"/>
                <w:szCs w:val="22"/>
                <w:lang w:val="en-AU"/>
              </w:rPr>
              <w:t>, cortisol decreased</w:t>
            </w:r>
            <w:r w:rsidRPr="00F0251C">
              <w:rPr>
                <w:sz w:val="22"/>
                <w:szCs w:val="22"/>
                <w:vertAlign w:val="superscript"/>
                <w:lang w:val="en-AU"/>
              </w:rPr>
              <w:t>1</w:t>
            </w:r>
          </w:p>
        </w:tc>
        <w:tc>
          <w:tcPr>
            <w:tcW w:w="1394" w:type="dxa"/>
            <w:vAlign w:val="center"/>
          </w:tcPr>
          <w:p w14:paraId="2C2FCEE7" w14:textId="77777777" w:rsidR="00474334" w:rsidRPr="00F0251C" w:rsidRDefault="00474334" w:rsidP="008C0936">
            <w:pPr>
              <w:pStyle w:val="Normale1"/>
              <w:keepNext/>
              <w:rPr>
                <w:b/>
                <w:sz w:val="22"/>
                <w:szCs w:val="22"/>
                <w:lang w:val="en-AU"/>
              </w:rPr>
            </w:pPr>
            <w:r w:rsidRPr="00F0251C">
              <w:rPr>
                <w:sz w:val="22"/>
                <w:szCs w:val="22"/>
                <w:lang w:val="en-AU"/>
              </w:rPr>
              <w:t>Uncommon</w:t>
            </w:r>
          </w:p>
        </w:tc>
      </w:tr>
      <w:tr w:rsidR="00474334" w:rsidRPr="00F0251C" w14:paraId="37917562" w14:textId="77777777" w:rsidTr="009B3F0E">
        <w:trPr>
          <w:cantSplit/>
          <w:jc w:val="center"/>
        </w:trPr>
        <w:tc>
          <w:tcPr>
            <w:tcW w:w="2409" w:type="dxa"/>
            <w:vMerge/>
            <w:vAlign w:val="center"/>
          </w:tcPr>
          <w:p w14:paraId="325283F3" w14:textId="77777777" w:rsidR="00474334" w:rsidRPr="00F0251C" w:rsidRDefault="00474334" w:rsidP="008C0936">
            <w:pPr>
              <w:pStyle w:val="Normale1"/>
              <w:keepNext/>
              <w:rPr>
                <w:b/>
                <w:sz w:val="22"/>
                <w:szCs w:val="22"/>
                <w:lang w:val="en-AU"/>
              </w:rPr>
            </w:pPr>
          </w:p>
        </w:tc>
        <w:tc>
          <w:tcPr>
            <w:tcW w:w="5670" w:type="dxa"/>
            <w:vAlign w:val="center"/>
          </w:tcPr>
          <w:p w14:paraId="229CBCFF" w14:textId="77777777" w:rsidR="00474334" w:rsidRPr="00F0251C" w:rsidRDefault="00474334" w:rsidP="008C0936">
            <w:pPr>
              <w:pStyle w:val="Normale1"/>
              <w:keepNext/>
              <w:rPr>
                <w:b/>
                <w:sz w:val="22"/>
                <w:szCs w:val="22"/>
                <w:lang w:val="en-AU"/>
              </w:rPr>
            </w:pPr>
            <w:r w:rsidRPr="00F0251C">
              <w:rPr>
                <w:sz w:val="22"/>
                <w:szCs w:val="22"/>
                <w:lang w:val="en-AU"/>
              </w:rPr>
              <w:t>Blood pressure increased</w:t>
            </w:r>
            <w:r w:rsidRPr="00F0251C">
              <w:rPr>
                <w:sz w:val="22"/>
                <w:szCs w:val="22"/>
                <w:vertAlign w:val="superscript"/>
                <w:lang w:val="en-AU"/>
              </w:rPr>
              <w:t>1</w:t>
            </w:r>
            <w:r w:rsidRPr="00F0251C">
              <w:rPr>
                <w:sz w:val="22"/>
                <w:szCs w:val="22"/>
                <w:lang w:val="en-AU"/>
              </w:rPr>
              <w:t>, blood pressure decreased</w:t>
            </w:r>
            <w:r w:rsidRPr="00F0251C">
              <w:rPr>
                <w:sz w:val="22"/>
                <w:szCs w:val="22"/>
                <w:vertAlign w:val="superscript"/>
                <w:lang w:val="en-AU"/>
              </w:rPr>
              <w:t>1</w:t>
            </w:r>
          </w:p>
        </w:tc>
        <w:tc>
          <w:tcPr>
            <w:tcW w:w="1394" w:type="dxa"/>
            <w:vAlign w:val="center"/>
          </w:tcPr>
          <w:p w14:paraId="720B538E" w14:textId="77777777" w:rsidR="00474334" w:rsidRPr="00F0251C" w:rsidRDefault="00474334" w:rsidP="008C0936">
            <w:pPr>
              <w:pStyle w:val="Normale1"/>
              <w:keepNext/>
              <w:rPr>
                <w:b/>
                <w:sz w:val="22"/>
                <w:szCs w:val="22"/>
                <w:lang w:val="en-AU"/>
              </w:rPr>
            </w:pPr>
            <w:r w:rsidRPr="00F0251C">
              <w:rPr>
                <w:sz w:val="22"/>
                <w:szCs w:val="22"/>
                <w:lang w:val="en-AU"/>
              </w:rPr>
              <w:t>Rare</w:t>
            </w:r>
          </w:p>
        </w:tc>
      </w:tr>
      <w:tr w:rsidR="00474334" w:rsidRPr="00F0251C" w14:paraId="7A796048" w14:textId="77777777" w:rsidTr="009B3F0E">
        <w:trPr>
          <w:cantSplit/>
          <w:jc w:val="center"/>
        </w:trPr>
        <w:tc>
          <w:tcPr>
            <w:tcW w:w="2409" w:type="dxa"/>
            <w:vMerge/>
            <w:vAlign w:val="center"/>
          </w:tcPr>
          <w:p w14:paraId="625101BF" w14:textId="77777777" w:rsidR="00474334" w:rsidRPr="00F0251C" w:rsidRDefault="00474334" w:rsidP="008C0936">
            <w:pPr>
              <w:pStyle w:val="Normale1"/>
              <w:keepNext/>
              <w:rPr>
                <w:b/>
                <w:sz w:val="22"/>
                <w:szCs w:val="22"/>
                <w:lang w:val="en-AU"/>
              </w:rPr>
            </w:pPr>
          </w:p>
        </w:tc>
        <w:tc>
          <w:tcPr>
            <w:tcW w:w="5670" w:type="dxa"/>
            <w:vAlign w:val="center"/>
          </w:tcPr>
          <w:p w14:paraId="58BCF1B9" w14:textId="77777777" w:rsidR="00474334" w:rsidRPr="00F0251C" w:rsidRDefault="00474334" w:rsidP="008C0936">
            <w:pPr>
              <w:pStyle w:val="Normale1"/>
              <w:keepNext/>
              <w:rPr>
                <w:b/>
                <w:sz w:val="22"/>
                <w:szCs w:val="22"/>
                <w:lang w:val="en-AU"/>
              </w:rPr>
            </w:pPr>
            <w:r w:rsidRPr="00F0251C">
              <w:rPr>
                <w:sz w:val="22"/>
                <w:szCs w:val="22"/>
                <w:lang w:val="en-AU"/>
              </w:rPr>
              <w:t>Bone density decreased</w:t>
            </w:r>
            <w:r w:rsidRPr="00F0251C">
              <w:rPr>
                <w:sz w:val="22"/>
                <w:szCs w:val="22"/>
                <w:vertAlign w:val="superscript"/>
                <w:lang w:val="en-AU"/>
              </w:rPr>
              <w:t>1</w:t>
            </w:r>
          </w:p>
        </w:tc>
        <w:tc>
          <w:tcPr>
            <w:tcW w:w="1394" w:type="dxa"/>
            <w:vAlign w:val="center"/>
          </w:tcPr>
          <w:p w14:paraId="63923147" w14:textId="77777777" w:rsidR="00474334" w:rsidRPr="00F0251C" w:rsidRDefault="00474334" w:rsidP="008C0936">
            <w:pPr>
              <w:pStyle w:val="Normale1"/>
              <w:keepNext/>
              <w:rPr>
                <w:b/>
                <w:sz w:val="22"/>
                <w:szCs w:val="22"/>
                <w:lang w:val="en-AU"/>
              </w:rPr>
            </w:pPr>
            <w:r w:rsidRPr="00F0251C">
              <w:rPr>
                <w:sz w:val="22"/>
                <w:szCs w:val="22"/>
                <w:lang w:val="en-AU"/>
              </w:rPr>
              <w:t>Very rare</w:t>
            </w:r>
          </w:p>
        </w:tc>
      </w:tr>
    </w:tbl>
    <w:p w14:paraId="75A81201" w14:textId="3CDFCC7F" w:rsidR="003036ED" w:rsidRDefault="003036ED" w:rsidP="001E15B5">
      <w:pPr>
        <w:pStyle w:val="NoSpacing"/>
        <w:ind w:left="360"/>
        <w:rPr>
          <w:vertAlign w:val="superscript"/>
          <w:lang w:val="en-AU"/>
        </w:rPr>
      </w:pPr>
      <w:r>
        <w:rPr>
          <w:b/>
          <w:noProof/>
          <w:sz w:val="24"/>
          <w:szCs w:val="24"/>
          <w:lang w:val="en-AU"/>
        </w:rPr>
        <w:t>*</w:t>
      </w:r>
      <w:r>
        <w:rPr>
          <w:lang w:val="en-AU"/>
        </w:rPr>
        <w:t>I</w:t>
      </w:r>
      <w:r w:rsidRPr="0098641D">
        <w:rPr>
          <w:lang w:val="en-AU"/>
        </w:rPr>
        <w:t>ncludes</w:t>
      </w:r>
      <w:r>
        <w:rPr>
          <w:b/>
          <w:noProof/>
          <w:sz w:val="24"/>
          <w:szCs w:val="24"/>
          <w:lang w:val="en-AU"/>
        </w:rPr>
        <w:t xml:space="preserve"> </w:t>
      </w:r>
      <w:r w:rsidRPr="0098641D">
        <w:rPr>
          <w:lang w:val="en-AU"/>
        </w:rPr>
        <w:t>adverse drug</w:t>
      </w:r>
      <w:r>
        <w:rPr>
          <w:b/>
          <w:noProof/>
          <w:sz w:val="24"/>
          <w:szCs w:val="24"/>
          <w:lang w:val="en-AU"/>
        </w:rPr>
        <w:t xml:space="preserve"> </w:t>
      </w:r>
      <w:r w:rsidRPr="0098641D">
        <w:rPr>
          <w:lang w:val="en-AU"/>
        </w:rPr>
        <w:t>reactions</w:t>
      </w:r>
      <w:r w:rsidR="00141010">
        <w:rPr>
          <w:lang w:val="en-AU"/>
        </w:rPr>
        <w:t xml:space="preserve"> reported </w:t>
      </w:r>
      <w:r w:rsidR="001E15B5">
        <w:rPr>
          <w:lang w:val="en-AU"/>
        </w:rPr>
        <w:t xml:space="preserve">in </w:t>
      </w:r>
      <w:r w:rsidR="005C0882">
        <w:rPr>
          <w:lang w:val="en-AU"/>
        </w:rPr>
        <w:t xml:space="preserve">the clinical development </w:t>
      </w:r>
      <w:r w:rsidR="00A772C7">
        <w:rPr>
          <w:lang w:val="en-AU"/>
        </w:rPr>
        <w:t xml:space="preserve">of TRIMBOW </w:t>
      </w:r>
      <w:r w:rsidR="00141010">
        <w:rPr>
          <w:lang w:val="en-AU"/>
        </w:rPr>
        <w:t xml:space="preserve">and adverse drug reactions </w:t>
      </w:r>
      <w:r w:rsidR="001E15B5">
        <w:rPr>
          <w:lang w:val="en-AU"/>
        </w:rPr>
        <w:t xml:space="preserve">reported for </w:t>
      </w:r>
      <w:r w:rsidR="00141010">
        <w:rPr>
          <w:lang w:val="en-AU"/>
        </w:rPr>
        <w:t>the</w:t>
      </w:r>
      <w:r w:rsidR="001E15B5">
        <w:rPr>
          <w:lang w:val="en-AU"/>
        </w:rPr>
        <w:t xml:space="preserve"> marketed</w:t>
      </w:r>
      <w:r w:rsidR="00141010">
        <w:rPr>
          <w:lang w:val="en-AU"/>
        </w:rPr>
        <w:t xml:space="preserve"> individual components BDP/FF and GB</w:t>
      </w:r>
    </w:p>
    <w:p w14:paraId="68944B00" w14:textId="349D18C8" w:rsidR="00A03D1B" w:rsidRPr="00F0251C" w:rsidRDefault="00A03D1B" w:rsidP="00A03D1B">
      <w:pPr>
        <w:pStyle w:val="NoSpacing"/>
        <w:ind w:left="360"/>
        <w:rPr>
          <w:lang w:val="en-AU"/>
        </w:rPr>
      </w:pPr>
      <w:r w:rsidRPr="00F0251C">
        <w:rPr>
          <w:vertAlign w:val="superscript"/>
          <w:lang w:val="en-AU"/>
        </w:rPr>
        <w:t>1</w:t>
      </w:r>
      <w:r w:rsidRPr="00F0251C">
        <w:rPr>
          <w:lang w:val="en-AU"/>
        </w:rPr>
        <w:t xml:space="preserve">Adverse reactions reported in the SmPC of at least one of the individual components, but not observed as adverse reactions in the clinical development of </w:t>
      </w:r>
      <w:r w:rsidR="000D1FB0" w:rsidRPr="00F0251C">
        <w:rPr>
          <w:lang w:val="en-AU"/>
        </w:rPr>
        <w:t>TRIMBOW</w:t>
      </w:r>
      <w:r w:rsidRPr="00F0251C">
        <w:rPr>
          <w:lang w:val="en-AU"/>
        </w:rPr>
        <w:t>.</w:t>
      </w:r>
    </w:p>
    <w:p w14:paraId="1C0E23A2" w14:textId="77777777" w:rsidR="00A03D1B" w:rsidRPr="00F0251C" w:rsidRDefault="00A03D1B" w:rsidP="00A03D1B">
      <w:pPr>
        <w:pStyle w:val="NoSpacing"/>
        <w:ind w:left="360"/>
        <w:rPr>
          <w:sz w:val="24"/>
          <w:szCs w:val="24"/>
          <w:lang w:val="en-AU"/>
        </w:rPr>
      </w:pPr>
    </w:p>
    <w:p w14:paraId="6579AF27" w14:textId="289C3AED" w:rsidR="00A03D1B" w:rsidRPr="00F0251C" w:rsidRDefault="00A03D1B" w:rsidP="00A03D1B">
      <w:pPr>
        <w:pStyle w:val="NoSpacing"/>
        <w:ind w:left="360"/>
        <w:rPr>
          <w:sz w:val="24"/>
          <w:szCs w:val="24"/>
          <w:lang w:val="en-AU"/>
        </w:rPr>
      </w:pPr>
      <w:r w:rsidRPr="00F0251C">
        <w:rPr>
          <w:sz w:val="24"/>
          <w:szCs w:val="24"/>
          <w:lang w:val="en-AU"/>
        </w:rPr>
        <w:t>Among the observed adverse reactions, the following are typically associated with:</w:t>
      </w:r>
    </w:p>
    <w:p w14:paraId="084158F1" w14:textId="77777777" w:rsidR="00A03D1B" w:rsidRPr="00F0251C" w:rsidRDefault="00A03D1B" w:rsidP="00A03D1B">
      <w:pPr>
        <w:pStyle w:val="NoSpacing"/>
        <w:ind w:left="360"/>
        <w:rPr>
          <w:sz w:val="24"/>
          <w:szCs w:val="24"/>
          <w:lang w:val="en-AU"/>
        </w:rPr>
      </w:pPr>
    </w:p>
    <w:p w14:paraId="4DFDCCFF" w14:textId="77777777" w:rsidR="00A03D1B" w:rsidRPr="00F0251C" w:rsidRDefault="00A03D1B" w:rsidP="00A03D1B">
      <w:pPr>
        <w:pStyle w:val="NoSpacing"/>
        <w:ind w:left="360"/>
        <w:rPr>
          <w:sz w:val="24"/>
          <w:szCs w:val="24"/>
          <w:lang w:val="en-AU"/>
        </w:rPr>
      </w:pPr>
      <w:r w:rsidRPr="00F0251C">
        <w:rPr>
          <w:sz w:val="24"/>
          <w:szCs w:val="24"/>
          <w:u w:val="single"/>
          <w:lang w:val="en-AU"/>
        </w:rPr>
        <w:t>Beclometasone dipropionate:</w:t>
      </w:r>
      <w:r w:rsidRPr="00F0251C">
        <w:rPr>
          <w:sz w:val="24"/>
          <w:szCs w:val="24"/>
          <w:lang w:val="en-AU"/>
        </w:rPr>
        <w:t xml:space="preserve"> pneumonia, oral fungal infections, lower respiratory tract infection fungal, dysphonia, throat irritation, hyperglycaemia, psychiatric disorders, cortisol decreased, blurred vision.</w:t>
      </w:r>
    </w:p>
    <w:p w14:paraId="1CAE3C5D" w14:textId="77777777" w:rsidR="00A03D1B" w:rsidRPr="00F0251C" w:rsidRDefault="00A03D1B" w:rsidP="00A03D1B">
      <w:pPr>
        <w:pStyle w:val="NoSpacing"/>
        <w:ind w:left="360"/>
        <w:rPr>
          <w:sz w:val="24"/>
          <w:szCs w:val="24"/>
          <w:lang w:val="en-AU"/>
        </w:rPr>
      </w:pPr>
    </w:p>
    <w:p w14:paraId="634E7A93" w14:textId="77777777" w:rsidR="00A03D1B" w:rsidRPr="00F0251C" w:rsidRDefault="00A03D1B" w:rsidP="00A03D1B">
      <w:pPr>
        <w:pStyle w:val="NoSpacing"/>
        <w:ind w:left="360"/>
        <w:rPr>
          <w:sz w:val="24"/>
          <w:szCs w:val="24"/>
          <w:lang w:val="en-AU"/>
        </w:rPr>
      </w:pPr>
      <w:r w:rsidRPr="00F0251C">
        <w:rPr>
          <w:sz w:val="24"/>
          <w:szCs w:val="24"/>
          <w:u w:val="single"/>
          <w:lang w:val="en-AU"/>
        </w:rPr>
        <w:t>Formoterol:</w:t>
      </w:r>
      <w:r w:rsidRPr="00F0251C">
        <w:rPr>
          <w:sz w:val="24"/>
          <w:szCs w:val="24"/>
          <w:lang w:val="en-AU"/>
        </w:rPr>
        <w:t xml:space="preserve"> hypokalaemia, hyperglycaemia, tremor, palpitations, muscle spasms, electrocardiogram QT prolonged, blood pressure increased, blood pressure decreased, atrial fibrillation, tachycardia, tachyarrhythmia, angina pectoris (stable and unstable), ventricular extrasystoles, nodal rhythm.</w:t>
      </w:r>
    </w:p>
    <w:p w14:paraId="54C13B7C" w14:textId="77777777" w:rsidR="00A03D1B" w:rsidRPr="00F0251C" w:rsidRDefault="00A03D1B" w:rsidP="00A03D1B">
      <w:pPr>
        <w:pStyle w:val="NoSpacing"/>
        <w:ind w:left="360"/>
        <w:rPr>
          <w:sz w:val="24"/>
          <w:szCs w:val="24"/>
          <w:lang w:val="en-AU"/>
        </w:rPr>
      </w:pPr>
    </w:p>
    <w:p w14:paraId="096639C5" w14:textId="1413D4F9" w:rsidR="007B177E" w:rsidRPr="00F0251C" w:rsidRDefault="00A03D1B" w:rsidP="00A03D1B">
      <w:pPr>
        <w:pStyle w:val="NoSpacing"/>
        <w:ind w:left="360"/>
        <w:rPr>
          <w:sz w:val="24"/>
          <w:szCs w:val="24"/>
          <w:lang w:val="en-AU"/>
        </w:rPr>
      </w:pPr>
      <w:r w:rsidRPr="00F0251C">
        <w:rPr>
          <w:sz w:val="24"/>
          <w:szCs w:val="24"/>
          <w:u w:val="single"/>
          <w:lang w:val="en-AU"/>
        </w:rPr>
        <w:t>Glycopyrronium:</w:t>
      </w:r>
      <w:r w:rsidRPr="00F0251C">
        <w:rPr>
          <w:sz w:val="24"/>
          <w:szCs w:val="24"/>
          <w:lang w:val="en-AU"/>
        </w:rPr>
        <w:t xml:space="preserve"> glaucoma, atrial fibrillation, tachycardia, palpitations, dry mouth, dental caries, dysuria, urinary retention, urinary tract infection.</w:t>
      </w:r>
    </w:p>
    <w:p w14:paraId="31C2E979" w14:textId="77777777" w:rsidR="00792C0E" w:rsidRPr="00F0251C" w:rsidRDefault="00792C0E" w:rsidP="00CF0CFE">
      <w:pPr>
        <w:pStyle w:val="NoSpacing"/>
        <w:ind w:left="360"/>
        <w:rPr>
          <w:noProof/>
          <w:sz w:val="24"/>
          <w:szCs w:val="24"/>
          <w:lang w:val="en-AU"/>
        </w:rPr>
      </w:pPr>
    </w:p>
    <w:p w14:paraId="1D83A110" w14:textId="77777777" w:rsidR="00792C0E" w:rsidRPr="00F0251C" w:rsidRDefault="00792C0E" w:rsidP="00CF0CFE">
      <w:pPr>
        <w:pStyle w:val="NoSpacing"/>
        <w:ind w:left="360"/>
        <w:rPr>
          <w:b/>
          <w:sz w:val="24"/>
          <w:szCs w:val="24"/>
          <w:lang w:val="en-AU"/>
        </w:rPr>
      </w:pPr>
      <w:r w:rsidRPr="00F0251C">
        <w:rPr>
          <w:b/>
          <w:sz w:val="24"/>
          <w:szCs w:val="24"/>
          <w:lang w:val="en-AU"/>
        </w:rPr>
        <w:t xml:space="preserve">Reporting suspected adverse </w:t>
      </w:r>
      <w:r w:rsidR="007A39B8" w:rsidRPr="00F0251C">
        <w:rPr>
          <w:b/>
          <w:sz w:val="24"/>
          <w:szCs w:val="24"/>
          <w:lang w:val="en-AU"/>
        </w:rPr>
        <w:t>effects</w:t>
      </w:r>
      <w:r w:rsidRPr="00F0251C">
        <w:rPr>
          <w:b/>
          <w:sz w:val="24"/>
          <w:szCs w:val="24"/>
          <w:lang w:val="en-AU"/>
        </w:rPr>
        <w:t xml:space="preserve"> </w:t>
      </w:r>
    </w:p>
    <w:p w14:paraId="5DC69354" w14:textId="200160D6" w:rsidR="007A39B8" w:rsidRPr="00F0251C" w:rsidRDefault="007A39B8" w:rsidP="00CF0CFE">
      <w:pPr>
        <w:pStyle w:val="NoSpacing"/>
        <w:ind w:left="360"/>
        <w:rPr>
          <w:sz w:val="24"/>
          <w:szCs w:val="24"/>
          <w:lang w:val="en-AU"/>
        </w:rPr>
      </w:pPr>
      <w:r w:rsidRPr="00F0251C">
        <w:rPr>
          <w:sz w:val="24"/>
          <w:szCs w:val="24"/>
          <w:lang w:val="en-AU"/>
        </w:rPr>
        <w:t>Reporting suspected adverse reactions after registration of the medicinal product is important. It allows continued monitoring of the benefit-risk balance of the medicinal product. Healthcare professionals are asked to report any suspected adverse reactions at</w:t>
      </w:r>
      <w:r w:rsidR="00474334" w:rsidRPr="00F0251C">
        <w:rPr>
          <w:sz w:val="24"/>
          <w:szCs w:val="24"/>
          <w:lang w:val="en-AU"/>
        </w:rPr>
        <w:t xml:space="preserve"> </w:t>
      </w:r>
      <w:hyperlink r:id="rId12" w:history="1">
        <w:r w:rsidR="00474334" w:rsidRPr="00F0251C">
          <w:rPr>
            <w:rStyle w:val="Hyperlink"/>
            <w:sz w:val="24"/>
            <w:szCs w:val="24"/>
            <w:lang w:val="en-AU"/>
          </w:rPr>
          <w:t>www.tga.gov.au/reporting-problems</w:t>
        </w:r>
      </w:hyperlink>
      <w:r w:rsidRPr="00F0251C">
        <w:rPr>
          <w:sz w:val="24"/>
          <w:szCs w:val="24"/>
          <w:lang w:val="en-AU"/>
        </w:rPr>
        <w:t>.</w:t>
      </w:r>
    </w:p>
    <w:p w14:paraId="260EDBAA" w14:textId="77777777" w:rsidR="00FB2EC2" w:rsidRPr="00F0251C" w:rsidRDefault="00FB2EC2" w:rsidP="00CF0CFE">
      <w:pPr>
        <w:pStyle w:val="NoSpacing"/>
        <w:ind w:left="360"/>
        <w:rPr>
          <w:sz w:val="24"/>
          <w:szCs w:val="24"/>
          <w:lang w:val="en-AU"/>
        </w:rPr>
      </w:pPr>
    </w:p>
    <w:p w14:paraId="230DD855" w14:textId="77777777" w:rsidR="000C49CD" w:rsidRPr="00F0251C" w:rsidRDefault="007A39B8" w:rsidP="001E27D5">
      <w:pPr>
        <w:pStyle w:val="Heading2"/>
        <w:jc w:val="left"/>
        <w:rPr>
          <w:noProof/>
          <w:sz w:val="24"/>
          <w:szCs w:val="24"/>
          <w:lang w:val="en-AU"/>
        </w:rPr>
      </w:pPr>
      <w:r w:rsidRPr="00F0251C">
        <w:rPr>
          <w:smallCaps/>
          <w:noProof/>
          <w:sz w:val="24"/>
          <w:szCs w:val="24"/>
          <w:lang w:val="en-AU"/>
        </w:rPr>
        <w:t>4.9</w:t>
      </w:r>
      <w:r w:rsidR="00BA1633" w:rsidRPr="00F0251C">
        <w:rPr>
          <w:smallCaps/>
          <w:noProof/>
          <w:sz w:val="24"/>
          <w:szCs w:val="24"/>
          <w:lang w:val="en-AU"/>
        </w:rPr>
        <w:t xml:space="preserve"> </w:t>
      </w:r>
      <w:r w:rsidRPr="00F0251C">
        <w:rPr>
          <w:noProof/>
          <w:sz w:val="24"/>
          <w:szCs w:val="24"/>
          <w:lang w:val="en-AU"/>
        </w:rPr>
        <w:t>OVERDOSE</w:t>
      </w:r>
    </w:p>
    <w:p w14:paraId="1A236441" w14:textId="4D6E18E0" w:rsidR="000C49CD" w:rsidRPr="00F0251C" w:rsidRDefault="00A03D1B" w:rsidP="00BA1633">
      <w:pPr>
        <w:pStyle w:val="NoSpacing"/>
        <w:ind w:left="360"/>
        <w:rPr>
          <w:noProof/>
          <w:sz w:val="24"/>
          <w:szCs w:val="24"/>
          <w:lang w:val="en-AU"/>
        </w:rPr>
      </w:pPr>
      <w:bookmarkStart w:id="10" w:name="OLE_LINK3"/>
      <w:r w:rsidRPr="00F0251C">
        <w:rPr>
          <w:noProof/>
          <w:sz w:val="24"/>
          <w:szCs w:val="24"/>
          <w:lang w:val="en-AU"/>
        </w:rPr>
        <w:t xml:space="preserve">An overdose of </w:t>
      </w:r>
      <w:r w:rsidR="000D1FB0" w:rsidRPr="00F0251C">
        <w:rPr>
          <w:noProof/>
          <w:sz w:val="24"/>
          <w:szCs w:val="24"/>
          <w:lang w:val="en-AU"/>
        </w:rPr>
        <w:t>TRIMBOW</w:t>
      </w:r>
      <w:r w:rsidRPr="00F0251C">
        <w:rPr>
          <w:noProof/>
          <w:sz w:val="24"/>
          <w:szCs w:val="24"/>
          <w:lang w:val="en-AU"/>
        </w:rPr>
        <w:t xml:space="preserve"> may produce signs and symptoms due to the individual component’s actions, including those seen with overdose of other beta2-agonists or anticholinergics and consistent with the known inhaled corticosteroid class effects (see section </w:t>
      </w:r>
      <w:hyperlink w:anchor="_4.4_SPECIAL_WARNINGS" w:history="1">
        <w:r w:rsidRPr="00F0251C">
          <w:rPr>
            <w:rStyle w:val="Hyperlink"/>
            <w:noProof/>
            <w:sz w:val="24"/>
            <w:szCs w:val="24"/>
            <w:lang w:val="en-AU"/>
          </w:rPr>
          <w:t>4.4</w:t>
        </w:r>
        <w:r w:rsidR="003155FC" w:rsidRPr="00F0251C">
          <w:rPr>
            <w:rStyle w:val="Hyperlink"/>
            <w:noProof/>
            <w:sz w:val="24"/>
            <w:szCs w:val="24"/>
            <w:lang w:val="en-AU"/>
          </w:rPr>
          <w:t xml:space="preserve"> SPECIAL WARNINGS AND PRECAUTIONS FOR USE</w:t>
        </w:r>
      </w:hyperlink>
      <w:r w:rsidRPr="00F0251C">
        <w:rPr>
          <w:noProof/>
          <w:sz w:val="24"/>
          <w:szCs w:val="24"/>
          <w:lang w:val="en-AU"/>
        </w:rPr>
        <w:t>). If overdose occurs, the patient’s symptoms should be treated supportively with appropriate monitoring as necessary</w:t>
      </w:r>
      <w:r w:rsidR="008A44FA" w:rsidRPr="00F0251C">
        <w:rPr>
          <w:noProof/>
          <w:sz w:val="24"/>
          <w:szCs w:val="24"/>
          <w:lang w:val="en-AU"/>
        </w:rPr>
        <w:t>.</w:t>
      </w:r>
    </w:p>
    <w:p w14:paraId="5AC9D4D3" w14:textId="77777777" w:rsidR="0012238B" w:rsidRPr="00F0251C" w:rsidRDefault="0012238B" w:rsidP="00BA1633">
      <w:pPr>
        <w:pStyle w:val="NoSpacing"/>
        <w:ind w:left="360"/>
        <w:rPr>
          <w:noProof/>
          <w:sz w:val="24"/>
          <w:szCs w:val="24"/>
          <w:lang w:val="en-AU"/>
        </w:rPr>
      </w:pPr>
    </w:p>
    <w:p w14:paraId="0BF679DF" w14:textId="77777777" w:rsidR="000C49CD" w:rsidRPr="00F0251C" w:rsidRDefault="0012238B" w:rsidP="00BA1633">
      <w:pPr>
        <w:pStyle w:val="NoSpacing"/>
        <w:ind w:left="360"/>
        <w:rPr>
          <w:noProof/>
          <w:sz w:val="24"/>
          <w:szCs w:val="24"/>
          <w:lang w:val="en-AU"/>
        </w:rPr>
      </w:pPr>
      <w:r w:rsidRPr="00F0251C">
        <w:rPr>
          <w:noProof/>
          <w:sz w:val="24"/>
          <w:szCs w:val="24"/>
          <w:lang w:val="en-AU"/>
        </w:rPr>
        <w:t>For information on the management of overdose, contact the Poisons Information Centre on 131126 (Australia).</w:t>
      </w:r>
      <w:bookmarkEnd w:id="10"/>
    </w:p>
    <w:p w14:paraId="09AE23FA" w14:textId="77777777" w:rsidR="0012238B" w:rsidRPr="00F0251C" w:rsidRDefault="0012238B" w:rsidP="00BA1633">
      <w:pPr>
        <w:pStyle w:val="NoSpacing"/>
        <w:ind w:left="360"/>
        <w:rPr>
          <w:noProof/>
          <w:sz w:val="24"/>
          <w:szCs w:val="24"/>
          <w:lang w:val="en-AU"/>
        </w:rPr>
      </w:pPr>
    </w:p>
    <w:p w14:paraId="78A6D7A1" w14:textId="254013BE" w:rsidR="000C49CD" w:rsidRPr="00F0251C" w:rsidRDefault="000C49CD" w:rsidP="007B1083">
      <w:pPr>
        <w:pStyle w:val="Heading1"/>
        <w:numPr>
          <w:ilvl w:val="0"/>
          <w:numId w:val="1"/>
        </w:numPr>
        <w:rPr>
          <w:rFonts w:ascii="Times New Roman" w:hAnsi="Times New Roman"/>
          <w:noProof/>
          <w:sz w:val="24"/>
          <w:szCs w:val="24"/>
          <w:lang w:val="en-AU"/>
        </w:rPr>
      </w:pPr>
      <w:r w:rsidRPr="00F0251C">
        <w:rPr>
          <w:rFonts w:ascii="Times New Roman" w:hAnsi="Times New Roman"/>
          <w:noProof/>
          <w:sz w:val="24"/>
          <w:szCs w:val="24"/>
          <w:lang w:val="en-AU"/>
        </w:rPr>
        <w:lastRenderedPageBreak/>
        <w:t>PHARMACOLOGICAL PROPERTIES</w:t>
      </w:r>
    </w:p>
    <w:p w14:paraId="1DCA4791" w14:textId="77777777" w:rsidR="00EC7368" w:rsidRPr="006A391D" w:rsidRDefault="00EC7368" w:rsidP="006A391D">
      <w:pPr>
        <w:pStyle w:val="NoSpacing"/>
        <w:ind w:left="360"/>
        <w:rPr>
          <w:i/>
          <w:sz w:val="24"/>
          <w:szCs w:val="24"/>
          <w:lang w:val="en-AU"/>
        </w:rPr>
      </w:pPr>
      <w:bookmarkStart w:id="11" w:name="_5.1_PHARMACODYNAMIC_PROPERTIES"/>
      <w:bookmarkEnd w:id="11"/>
    </w:p>
    <w:p w14:paraId="33AB22F7" w14:textId="64229566" w:rsidR="000C49CD" w:rsidRPr="00F0251C" w:rsidRDefault="00A62F07" w:rsidP="001E27D5">
      <w:pPr>
        <w:pStyle w:val="Heading2"/>
        <w:jc w:val="left"/>
        <w:rPr>
          <w:noProof/>
          <w:sz w:val="24"/>
          <w:szCs w:val="24"/>
          <w:lang w:val="en-AU"/>
        </w:rPr>
      </w:pPr>
      <w:r w:rsidRPr="00F0251C">
        <w:rPr>
          <w:smallCaps/>
          <w:noProof/>
          <w:sz w:val="24"/>
          <w:szCs w:val="24"/>
          <w:lang w:val="en-AU"/>
        </w:rPr>
        <w:t>5.1</w:t>
      </w:r>
      <w:r w:rsidR="00BA1633" w:rsidRPr="00F0251C">
        <w:rPr>
          <w:smallCaps/>
          <w:noProof/>
          <w:sz w:val="24"/>
          <w:szCs w:val="24"/>
          <w:lang w:val="en-AU"/>
        </w:rPr>
        <w:t xml:space="preserve"> </w:t>
      </w:r>
      <w:r w:rsidRPr="00F0251C">
        <w:rPr>
          <w:noProof/>
          <w:sz w:val="24"/>
          <w:szCs w:val="24"/>
          <w:lang w:val="en-AU"/>
        </w:rPr>
        <w:t>PHARMACODYNAMIC PROPERTIES</w:t>
      </w:r>
    </w:p>
    <w:p w14:paraId="4DCDFD59" w14:textId="53120338" w:rsidR="001C541A" w:rsidRPr="00F0251C" w:rsidRDefault="001C541A" w:rsidP="00BA1633">
      <w:pPr>
        <w:pStyle w:val="NoSpacing"/>
        <w:ind w:left="360"/>
        <w:rPr>
          <w:noProof/>
          <w:sz w:val="24"/>
          <w:szCs w:val="24"/>
          <w:lang w:val="en-AU"/>
        </w:rPr>
      </w:pPr>
      <w:r w:rsidRPr="00F0251C">
        <w:rPr>
          <w:noProof/>
          <w:sz w:val="24"/>
          <w:szCs w:val="24"/>
          <w:lang w:val="en-AU"/>
        </w:rPr>
        <w:t>Pharmacotherapeutic group: Drugs for obstructive airway diseases, adrenergics in combination with anticholinergics incl. triple combinations with corticosteroids.</w:t>
      </w:r>
    </w:p>
    <w:p w14:paraId="4BF1B509" w14:textId="2AEC7EEC" w:rsidR="00A62F07" w:rsidRPr="00F0251C" w:rsidRDefault="001C541A" w:rsidP="00BA1633">
      <w:pPr>
        <w:pStyle w:val="NoSpacing"/>
        <w:ind w:left="360"/>
        <w:rPr>
          <w:noProof/>
          <w:sz w:val="24"/>
          <w:szCs w:val="24"/>
          <w:lang w:val="en-AU"/>
        </w:rPr>
      </w:pPr>
      <w:r w:rsidRPr="00F0251C">
        <w:rPr>
          <w:noProof/>
          <w:sz w:val="24"/>
          <w:szCs w:val="24"/>
          <w:lang w:val="en-AU"/>
        </w:rPr>
        <w:t>ATC code: R03AL09.</w:t>
      </w:r>
    </w:p>
    <w:p w14:paraId="2FC875E0" w14:textId="77777777" w:rsidR="001C541A" w:rsidRPr="00F0251C" w:rsidRDefault="001C541A" w:rsidP="00BA1633">
      <w:pPr>
        <w:pStyle w:val="NoSpacing"/>
        <w:ind w:left="360"/>
        <w:rPr>
          <w:i/>
          <w:sz w:val="24"/>
          <w:szCs w:val="24"/>
          <w:lang w:val="en-AU"/>
        </w:rPr>
      </w:pPr>
    </w:p>
    <w:p w14:paraId="09DFE3C2" w14:textId="77777777" w:rsidR="00DD40B4" w:rsidRDefault="00DD40B4" w:rsidP="00BA1633">
      <w:pPr>
        <w:pStyle w:val="NoSpacing"/>
        <w:ind w:left="360"/>
        <w:rPr>
          <w:b/>
          <w:sz w:val="24"/>
          <w:szCs w:val="24"/>
          <w:lang w:val="en-AU"/>
        </w:rPr>
      </w:pPr>
      <w:bookmarkStart w:id="12" w:name="OLE_LINK2"/>
    </w:p>
    <w:p w14:paraId="12BAF1A4" w14:textId="68FB4055" w:rsidR="000C49CD" w:rsidRPr="00F0251C" w:rsidRDefault="00BA1633" w:rsidP="00BA1633">
      <w:pPr>
        <w:pStyle w:val="NoSpacing"/>
        <w:ind w:left="360"/>
        <w:rPr>
          <w:b/>
          <w:sz w:val="24"/>
          <w:szCs w:val="24"/>
          <w:lang w:val="en-AU"/>
        </w:rPr>
      </w:pPr>
      <w:r w:rsidRPr="00F0251C">
        <w:rPr>
          <w:b/>
          <w:sz w:val="24"/>
          <w:szCs w:val="24"/>
          <w:lang w:val="en-AU"/>
        </w:rPr>
        <w:t>MECHANISM OF ACTION</w:t>
      </w:r>
    </w:p>
    <w:p w14:paraId="28D4CC1D" w14:textId="1790DC91" w:rsidR="003455E7" w:rsidRPr="00F0251C" w:rsidRDefault="000D1FB0" w:rsidP="00BA1633">
      <w:pPr>
        <w:pStyle w:val="NoSpacing"/>
        <w:ind w:left="360"/>
        <w:rPr>
          <w:sz w:val="24"/>
          <w:szCs w:val="24"/>
          <w:lang w:val="en-AU"/>
        </w:rPr>
      </w:pPr>
      <w:r w:rsidRPr="00F0251C">
        <w:rPr>
          <w:sz w:val="24"/>
          <w:szCs w:val="24"/>
          <w:lang w:val="en-AU"/>
        </w:rPr>
        <w:t>TRIMBOW</w:t>
      </w:r>
      <w:r w:rsidR="001C541A" w:rsidRPr="00F0251C">
        <w:rPr>
          <w:sz w:val="24"/>
          <w:szCs w:val="24"/>
          <w:lang w:val="en-AU"/>
        </w:rPr>
        <w:t xml:space="preserve"> contains beclometasone dipropionate, formoterol and glycopyrronium in a solution formulation resulting in an aerosol with extrafine particles with an average mass median aerodynamic diameter (MMAD) of around 1.1 micrometres and co-deposition of the three components. The aerosol particles of </w:t>
      </w:r>
      <w:r w:rsidRPr="00F0251C">
        <w:rPr>
          <w:sz w:val="24"/>
          <w:szCs w:val="24"/>
          <w:lang w:val="en-AU"/>
        </w:rPr>
        <w:t>TRIMBOW</w:t>
      </w:r>
      <w:r w:rsidR="001C541A" w:rsidRPr="00F0251C">
        <w:rPr>
          <w:sz w:val="24"/>
          <w:szCs w:val="24"/>
          <w:lang w:val="en-AU"/>
        </w:rPr>
        <w:t xml:space="preserve"> are on average much smaller than the particles delivered in non-extrafine formulations. For beclometasone dipropionate, this results in a more potent effect than formulations with a non-extrafine particle size distribution (100 micrograms of beclometasone dipropionate extrafine in </w:t>
      </w:r>
      <w:r w:rsidRPr="00F0251C">
        <w:rPr>
          <w:sz w:val="24"/>
          <w:szCs w:val="24"/>
          <w:lang w:val="en-AU"/>
        </w:rPr>
        <w:t>TRIMBOW</w:t>
      </w:r>
      <w:r w:rsidR="001C541A" w:rsidRPr="00F0251C">
        <w:rPr>
          <w:sz w:val="24"/>
          <w:szCs w:val="24"/>
          <w:lang w:val="en-AU"/>
        </w:rPr>
        <w:t xml:space="preserve"> are equivalent to 250 micrograms of beclometasone dipropionate in a non</w:t>
      </w:r>
      <w:r w:rsidR="00BD56C9" w:rsidRPr="00F0251C">
        <w:rPr>
          <w:sz w:val="24"/>
          <w:szCs w:val="24"/>
          <w:lang w:val="en-AU"/>
        </w:rPr>
        <w:t>-</w:t>
      </w:r>
      <w:r w:rsidR="001C541A" w:rsidRPr="00F0251C">
        <w:rPr>
          <w:sz w:val="24"/>
          <w:szCs w:val="24"/>
          <w:lang w:val="en-AU"/>
        </w:rPr>
        <w:t>extrafine formulation).</w:t>
      </w:r>
      <w:r w:rsidR="003455E7" w:rsidRPr="00F0251C">
        <w:rPr>
          <w:sz w:val="24"/>
          <w:szCs w:val="24"/>
          <w:lang w:val="en-AU"/>
        </w:rPr>
        <w:t xml:space="preserve"> </w:t>
      </w:r>
    </w:p>
    <w:p w14:paraId="06A73C78" w14:textId="77777777" w:rsidR="003455E7" w:rsidRPr="00F0251C" w:rsidRDefault="003455E7" w:rsidP="00BA1633">
      <w:pPr>
        <w:pStyle w:val="NoSpacing"/>
        <w:ind w:left="360"/>
        <w:rPr>
          <w:sz w:val="24"/>
          <w:szCs w:val="24"/>
          <w:lang w:val="en-AU"/>
        </w:rPr>
      </w:pPr>
    </w:p>
    <w:p w14:paraId="58C78974" w14:textId="08273709" w:rsidR="000C49CD" w:rsidRPr="00F0251C" w:rsidRDefault="000C49CD" w:rsidP="00BA1633">
      <w:pPr>
        <w:pStyle w:val="NoSpacing"/>
        <w:ind w:left="360"/>
        <w:rPr>
          <w:b/>
          <w:sz w:val="24"/>
          <w:szCs w:val="24"/>
          <w:lang w:val="en-AU"/>
        </w:rPr>
      </w:pPr>
      <w:r w:rsidRPr="00F0251C">
        <w:rPr>
          <w:b/>
          <w:sz w:val="24"/>
          <w:szCs w:val="24"/>
          <w:lang w:val="en-AU"/>
        </w:rPr>
        <w:t>B</w:t>
      </w:r>
      <w:r w:rsidR="002C286A" w:rsidRPr="00F0251C">
        <w:rPr>
          <w:b/>
          <w:sz w:val="24"/>
          <w:szCs w:val="24"/>
          <w:lang w:val="en-AU"/>
        </w:rPr>
        <w:t>eclomet</w:t>
      </w:r>
      <w:r w:rsidR="00F057AC" w:rsidRPr="00F0251C">
        <w:rPr>
          <w:b/>
          <w:sz w:val="24"/>
          <w:szCs w:val="24"/>
          <w:lang w:val="en-AU"/>
        </w:rPr>
        <w:t>asone</w:t>
      </w:r>
      <w:r w:rsidRPr="00F0251C">
        <w:rPr>
          <w:b/>
          <w:sz w:val="24"/>
          <w:szCs w:val="24"/>
          <w:lang w:val="en-AU"/>
        </w:rPr>
        <w:t xml:space="preserve"> dipropionate</w:t>
      </w:r>
    </w:p>
    <w:p w14:paraId="318DE304" w14:textId="2EEC6A3D" w:rsidR="00A62F07" w:rsidRPr="00F0251C" w:rsidRDefault="001C541A" w:rsidP="00BA1633">
      <w:pPr>
        <w:pStyle w:val="NoSpacing"/>
        <w:ind w:left="360"/>
        <w:rPr>
          <w:sz w:val="24"/>
          <w:szCs w:val="24"/>
          <w:lang w:val="en-AU"/>
        </w:rPr>
      </w:pPr>
      <w:r w:rsidRPr="00F0251C">
        <w:rPr>
          <w:sz w:val="24"/>
          <w:szCs w:val="24"/>
          <w:lang w:val="en-AU"/>
        </w:rPr>
        <w:t xml:space="preserve">Beclometasone dipropionate given by inhalation at recommended doses has a glucocorticoid anti-inflammatory action within the lungs. Glucocorticoids are widely used for the suppression of inflammation in chronic inflammatory diseases of the airways such as COPD. Their action is mediated by the binding to glucocorticoid receptors in the cytoplasm resulting in the increased transcription of genes coding for </w:t>
      </w:r>
      <w:r w:rsidR="00F85C8B" w:rsidRPr="00F0251C">
        <w:rPr>
          <w:sz w:val="24"/>
          <w:szCs w:val="24"/>
          <w:lang w:val="en-AU"/>
        </w:rPr>
        <w:t>anti-inflammatory</w:t>
      </w:r>
      <w:r w:rsidRPr="00F0251C">
        <w:rPr>
          <w:sz w:val="24"/>
          <w:szCs w:val="24"/>
          <w:lang w:val="en-AU"/>
        </w:rPr>
        <w:t xml:space="preserve"> proteins.</w:t>
      </w:r>
    </w:p>
    <w:p w14:paraId="6AA800DF" w14:textId="77777777" w:rsidR="001C541A" w:rsidRPr="00F0251C" w:rsidRDefault="001C541A" w:rsidP="00BA1633">
      <w:pPr>
        <w:pStyle w:val="NoSpacing"/>
        <w:ind w:left="360"/>
        <w:rPr>
          <w:sz w:val="24"/>
          <w:szCs w:val="24"/>
          <w:lang w:val="en-AU"/>
        </w:rPr>
      </w:pPr>
    </w:p>
    <w:p w14:paraId="2B4AD9F6" w14:textId="0C461771" w:rsidR="000C49CD" w:rsidRPr="00F0251C" w:rsidRDefault="000C49CD" w:rsidP="00BA1633">
      <w:pPr>
        <w:pStyle w:val="NoSpacing"/>
        <w:ind w:left="360"/>
        <w:rPr>
          <w:b/>
          <w:sz w:val="24"/>
          <w:szCs w:val="24"/>
          <w:lang w:val="en-AU"/>
        </w:rPr>
      </w:pPr>
      <w:r w:rsidRPr="00F0251C">
        <w:rPr>
          <w:b/>
          <w:sz w:val="24"/>
          <w:szCs w:val="24"/>
          <w:lang w:val="en-AU"/>
        </w:rPr>
        <w:t>Formoterol</w:t>
      </w:r>
    </w:p>
    <w:p w14:paraId="7F9EB498" w14:textId="2B6A6A30" w:rsidR="000C49CD" w:rsidRPr="00F0251C" w:rsidRDefault="001C541A" w:rsidP="00BA1633">
      <w:pPr>
        <w:pStyle w:val="NoSpacing"/>
        <w:ind w:left="360"/>
        <w:rPr>
          <w:sz w:val="24"/>
          <w:szCs w:val="24"/>
          <w:lang w:val="en-AU"/>
        </w:rPr>
      </w:pPr>
      <w:r w:rsidRPr="00F0251C">
        <w:rPr>
          <w:sz w:val="24"/>
          <w:szCs w:val="24"/>
          <w:lang w:val="en-AU"/>
        </w:rPr>
        <w:t xml:space="preserve">Formoterol is a selective beta2 adrenergic agonist that produces relaxation of bronchial smooth muscle in patients with reversible airways obstruction. The </w:t>
      </w:r>
      <w:proofErr w:type="spellStart"/>
      <w:r w:rsidRPr="00F0251C">
        <w:rPr>
          <w:sz w:val="24"/>
          <w:szCs w:val="24"/>
          <w:lang w:val="en-AU"/>
        </w:rPr>
        <w:t>bronchodilating</w:t>
      </w:r>
      <w:proofErr w:type="spellEnd"/>
      <w:r w:rsidRPr="00F0251C">
        <w:rPr>
          <w:sz w:val="24"/>
          <w:szCs w:val="24"/>
          <w:lang w:val="en-AU"/>
        </w:rPr>
        <w:t xml:space="preserve"> effect sets in rapidly, within 1</w:t>
      </w:r>
      <w:r w:rsidR="00EC7368">
        <w:rPr>
          <w:sz w:val="24"/>
          <w:szCs w:val="24"/>
          <w:lang w:val="en-AU"/>
        </w:rPr>
        <w:t>-</w:t>
      </w:r>
      <w:r w:rsidRPr="00F0251C">
        <w:rPr>
          <w:sz w:val="24"/>
          <w:szCs w:val="24"/>
          <w:lang w:val="en-AU"/>
        </w:rPr>
        <w:t>3 minutes after inhalation, and has a duration of 12 hours after a single dose.</w:t>
      </w:r>
    </w:p>
    <w:p w14:paraId="234F899C" w14:textId="3D5EE4D6" w:rsidR="001C541A" w:rsidRPr="00F0251C" w:rsidRDefault="001C541A" w:rsidP="00BA1633">
      <w:pPr>
        <w:pStyle w:val="NoSpacing"/>
        <w:ind w:left="360"/>
        <w:rPr>
          <w:i/>
          <w:sz w:val="24"/>
          <w:szCs w:val="24"/>
          <w:lang w:val="en-AU"/>
        </w:rPr>
      </w:pPr>
    </w:p>
    <w:p w14:paraId="01BF3F19" w14:textId="77777777" w:rsidR="001C541A" w:rsidRPr="00F0251C" w:rsidRDefault="001C541A" w:rsidP="001C541A">
      <w:pPr>
        <w:pStyle w:val="NoSpacing"/>
        <w:ind w:left="360"/>
        <w:rPr>
          <w:b/>
          <w:sz w:val="24"/>
          <w:szCs w:val="24"/>
          <w:lang w:val="en-AU"/>
        </w:rPr>
      </w:pPr>
      <w:r w:rsidRPr="00F0251C">
        <w:rPr>
          <w:b/>
          <w:sz w:val="24"/>
          <w:szCs w:val="24"/>
          <w:lang w:val="en-AU"/>
        </w:rPr>
        <w:t>Glycopyrronium</w:t>
      </w:r>
    </w:p>
    <w:p w14:paraId="7C7DC44C" w14:textId="16146DD3" w:rsidR="001C541A" w:rsidRPr="00F0251C" w:rsidRDefault="001C541A" w:rsidP="001C541A">
      <w:pPr>
        <w:pStyle w:val="NoSpacing"/>
        <w:ind w:left="360"/>
        <w:rPr>
          <w:sz w:val="24"/>
          <w:szCs w:val="24"/>
          <w:lang w:val="en-AU"/>
        </w:rPr>
      </w:pPr>
      <w:r w:rsidRPr="00F0251C">
        <w:rPr>
          <w:sz w:val="24"/>
          <w:szCs w:val="24"/>
          <w:lang w:val="en-AU"/>
        </w:rPr>
        <w:t xml:space="preserve">Glycopyrronium is a high-affinity, long-acting muscarinic receptor antagonist (anticholinergic) used for inhalation as bronchodilator treatment of COPD. Glycopyrronium works by blocking the bronchoconstrictor action of acetylcholine on airway smooth muscle cells, thereby dilating the airways. </w:t>
      </w:r>
      <w:r w:rsidR="0038634C">
        <w:rPr>
          <w:sz w:val="24"/>
          <w:szCs w:val="24"/>
          <w:lang w:val="en-AU"/>
        </w:rPr>
        <w:t xml:space="preserve">It shows </w:t>
      </w:r>
      <w:r w:rsidRPr="00F0251C">
        <w:rPr>
          <w:sz w:val="24"/>
          <w:szCs w:val="24"/>
          <w:lang w:val="en-AU"/>
        </w:rPr>
        <w:t>greater than 4-fold selectivity for the human M3 receptors over the human M2 receptor.</w:t>
      </w:r>
    </w:p>
    <w:p w14:paraId="6780090C" w14:textId="77777777" w:rsidR="001C541A" w:rsidRPr="00F0251C" w:rsidRDefault="001C541A" w:rsidP="00BA1633">
      <w:pPr>
        <w:pStyle w:val="NoSpacing"/>
        <w:ind w:left="360"/>
        <w:rPr>
          <w:i/>
          <w:sz w:val="24"/>
          <w:szCs w:val="24"/>
          <w:lang w:val="en-AU"/>
        </w:rPr>
      </w:pPr>
    </w:p>
    <w:p w14:paraId="06831AF1" w14:textId="50E5A897" w:rsidR="00A62F07" w:rsidRPr="00F0251C" w:rsidRDefault="00BA1633" w:rsidP="00BA1633">
      <w:pPr>
        <w:pStyle w:val="NoSpacing"/>
        <w:ind w:left="360"/>
        <w:rPr>
          <w:b/>
          <w:sz w:val="24"/>
          <w:szCs w:val="24"/>
          <w:lang w:val="en-AU"/>
        </w:rPr>
      </w:pPr>
      <w:r w:rsidRPr="00F0251C">
        <w:rPr>
          <w:b/>
          <w:sz w:val="24"/>
          <w:szCs w:val="24"/>
          <w:lang w:val="en-AU"/>
        </w:rPr>
        <w:t>CLINICAL TRIALS</w:t>
      </w:r>
    </w:p>
    <w:p w14:paraId="29C3D429" w14:textId="637C1671" w:rsidR="002045BA" w:rsidRPr="00F0251C" w:rsidRDefault="002045BA" w:rsidP="002045BA">
      <w:pPr>
        <w:pStyle w:val="NoSpacing"/>
        <w:ind w:left="360"/>
        <w:rPr>
          <w:rFonts w:eastAsia="Calibri"/>
          <w:sz w:val="24"/>
          <w:szCs w:val="24"/>
          <w:lang w:val="en-AU" w:eastAsia="en-US"/>
        </w:rPr>
      </w:pPr>
      <w:r w:rsidRPr="00F0251C">
        <w:rPr>
          <w:rFonts w:eastAsia="Calibri"/>
          <w:sz w:val="24"/>
          <w:szCs w:val="24"/>
          <w:lang w:val="en-AU" w:eastAsia="en-US"/>
        </w:rPr>
        <w:t>All patients included in the below described clinical studies were required to have a clinical diagnosis of COPD, a smoking history of at least 10 pack years; a post-salbutamol FEV</w:t>
      </w:r>
      <w:r w:rsidRPr="00F0251C">
        <w:rPr>
          <w:rFonts w:eastAsia="Calibri"/>
          <w:sz w:val="24"/>
          <w:szCs w:val="24"/>
          <w:vertAlign w:val="subscript"/>
          <w:lang w:val="en-AU" w:eastAsia="en-US"/>
        </w:rPr>
        <w:t>1</w:t>
      </w:r>
      <w:r w:rsidRPr="00F0251C">
        <w:rPr>
          <w:rFonts w:eastAsia="Calibri"/>
          <w:sz w:val="24"/>
          <w:szCs w:val="24"/>
          <w:lang w:val="en-AU" w:eastAsia="en-US"/>
        </w:rPr>
        <w:t>/ FVC ratio &lt;0.70 and FEV</w:t>
      </w:r>
      <w:r w:rsidRPr="00F0251C">
        <w:rPr>
          <w:rFonts w:eastAsia="Calibri"/>
          <w:sz w:val="24"/>
          <w:szCs w:val="24"/>
          <w:vertAlign w:val="subscript"/>
          <w:lang w:val="en-AU" w:eastAsia="en-US"/>
        </w:rPr>
        <w:t>1</w:t>
      </w:r>
      <w:r w:rsidRPr="00F0251C">
        <w:rPr>
          <w:rFonts w:eastAsia="Calibri"/>
          <w:sz w:val="24"/>
          <w:szCs w:val="24"/>
          <w:lang w:val="en-AU" w:eastAsia="en-US"/>
        </w:rPr>
        <w:t xml:space="preserve"> of &lt;50% predicted normal; evidence of symptoms with a COPD Assessment Test (CAT) score of 10 or above; and a history of </w:t>
      </w:r>
      <w:r w:rsidR="004E5D2B">
        <w:rPr>
          <w:noProof/>
          <w:sz w:val="24"/>
          <w:szCs w:val="24"/>
          <w:lang w:val="en-AU"/>
        </w:rPr>
        <w:sym w:font="Symbol" w:char="F0B3"/>
      </w:r>
      <w:r w:rsidRPr="00F0251C">
        <w:rPr>
          <w:rFonts w:eastAsia="Calibri"/>
          <w:sz w:val="24"/>
          <w:szCs w:val="24"/>
          <w:lang w:val="en-AU" w:eastAsia="en-US"/>
        </w:rPr>
        <w:t>1 COPD exacerbation in the previous 12 months at screening.</w:t>
      </w:r>
    </w:p>
    <w:p w14:paraId="58AEFB77" w14:textId="77777777" w:rsidR="002045BA" w:rsidRPr="00F0251C" w:rsidRDefault="002045BA" w:rsidP="002045BA">
      <w:pPr>
        <w:pStyle w:val="NoSpacing"/>
        <w:ind w:left="360"/>
        <w:rPr>
          <w:rFonts w:eastAsia="Calibri"/>
          <w:sz w:val="24"/>
          <w:szCs w:val="24"/>
          <w:lang w:val="en-AU" w:eastAsia="en-US"/>
        </w:rPr>
      </w:pPr>
    </w:p>
    <w:p w14:paraId="4BF1E483" w14:textId="77777777" w:rsidR="002045BA" w:rsidRPr="00F0251C" w:rsidRDefault="002045BA" w:rsidP="002045BA">
      <w:pPr>
        <w:pStyle w:val="NoSpacing"/>
        <w:ind w:left="360"/>
        <w:rPr>
          <w:rFonts w:eastAsia="Calibri"/>
          <w:b/>
          <w:bCs/>
          <w:sz w:val="24"/>
          <w:szCs w:val="24"/>
          <w:lang w:val="en-AU" w:eastAsia="en-US"/>
        </w:rPr>
      </w:pPr>
      <w:r w:rsidRPr="00F0251C">
        <w:rPr>
          <w:rFonts w:eastAsia="Calibri"/>
          <w:b/>
          <w:bCs/>
          <w:sz w:val="24"/>
          <w:szCs w:val="24"/>
          <w:lang w:val="en-AU" w:eastAsia="en-US"/>
        </w:rPr>
        <w:t>Study 1 (CCD-1207-PR-0091, TRILOGY)</w:t>
      </w:r>
    </w:p>
    <w:p w14:paraId="19D85F17" w14:textId="77777777" w:rsidR="002045BA" w:rsidRPr="00F0251C" w:rsidRDefault="002045BA" w:rsidP="002045BA">
      <w:pPr>
        <w:pStyle w:val="NoSpacing"/>
        <w:ind w:left="360"/>
        <w:rPr>
          <w:rFonts w:eastAsia="Calibri"/>
          <w:sz w:val="24"/>
          <w:szCs w:val="24"/>
          <w:lang w:val="en-AU" w:eastAsia="en-US"/>
        </w:rPr>
      </w:pPr>
      <w:r w:rsidRPr="009B3F0E">
        <w:rPr>
          <w:rFonts w:eastAsia="Calibri"/>
          <w:sz w:val="24"/>
          <w:szCs w:val="24"/>
          <w:lang w:val="en-AU" w:eastAsia="en-US"/>
        </w:rPr>
        <w:lastRenderedPageBreak/>
        <w:t xml:space="preserve">The efficacy of the single-inhaler fixed triple combination of beclomethasone dipropionate, formoterol fumarate, glycopyrronium bromide (BDP/FF/GB 100/6/12.5 micrograms) </w:t>
      </w:r>
      <w:r>
        <w:rPr>
          <w:rFonts w:eastAsia="Calibri"/>
          <w:sz w:val="24"/>
          <w:szCs w:val="24"/>
          <w:lang w:val="en-AU" w:eastAsia="en-US"/>
        </w:rPr>
        <w:t xml:space="preserve">pMDI </w:t>
      </w:r>
      <w:r w:rsidRPr="00F0251C">
        <w:rPr>
          <w:rFonts w:eastAsia="Calibri"/>
          <w:sz w:val="24"/>
          <w:szCs w:val="24"/>
          <w:lang w:val="en-AU" w:eastAsia="en-US"/>
        </w:rPr>
        <w:t>administered as a two inhalations twice-daily treatment in patients with a clinical diagnosis of COPD has been evaluated in this multicentre, randomi</w:t>
      </w:r>
      <w:r>
        <w:rPr>
          <w:rFonts w:eastAsia="Calibri"/>
          <w:sz w:val="24"/>
          <w:szCs w:val="24"/>
          <w:lang w:val="en-AU" w:eastAsia="en-US"/>
        </w:rPr>
        <w:t>s</w:t>
      </w:r>
      <w:r w:rsidRPr="00F0251C">
        <w:rPr>
          <w:rFonts w:eastAsia="Calibri"/>
          <w:sz w:val="24"/>
          <w:szCs w:val="24"/>
          <w:lang w:val="en-AU" w:eastAsia="en-US"/>
        </w:rPr>
        <w:t>ed double-blind, parallel group 52-week active-controlled study compared to the fixed combination pMDI - beclomethasone dipropionate, formoterol fumarate (BDP/FF 100/6 micrograms) two inhalations twice-daily.</w:t>
      </w:r>
    </w:p>
    <w:p w14:paraId="1CC4C59B" w14:textId="77777777" w:rsidR="002045BA" w:rsidRPr="00F0251C" w:rsidRDefault="002045BA" w:rsidP="002045BA">
      <w:pPr>
        <w:pStyle w:val="NoSpacing"/>
        <w:ind w:left="360"/>
        <w:rPr>
          <w:rFonts w:eastAsia="Calibri"/>
          <w:sz w:val="24"/>
          <w:szCs w:val="24"/>
          <w:lang w:val="en-AU" w:eastAsia="en-US"/>
        </w:rPr>
      </w:pPr>
    </w:p>
    <w:p w14:paraId="43DD9364" w14:textId="77777777" w:rsidR="002045BA" w:rsidRPr="00F0251C" w:rsidRDefault="002045BA" w:rsidP="002045BA">
      <w:pPr>
        <w:pStyle w:val="NoSpacing"/>
        <w:ind w:left="360"/>
        <w:rPr>
          <w:rFonts w:eastAsia="Calibri"/>
          <w:sz w:val="24"/>
          <w:szCs w:val="24"/>
          <w:lang w:val="en-AU" w:eastAsia="en-US"/>
        </w:rPr>
      </w:pPr>
      <w:r w:rsidRPr="00F0251C">
        <w:rPr>
          <w:rFonts w:eastAsia="Calibri"/>
          <w:sz w:val="24"/>
          <w:szCs w:val="24"/>
          <w:lang w:val="en-AU" w:eastAsia="en-US"/>
        </w:rPr>
        <w:t>At screening, the mean post-bronchodilator FEV</w:t>
      </w:r>
      <w:r w:rsidRPr="00F0251C">
        <w:rPr>
          <w:rFonts w:eastAsia="Calibri"/>
          <w:sz w:val="24"/>
          <w:szCs w:val="24"/>
          <w:vertAlign w:val="subscript"/>
          <w:lang w:val="en-AU" w:eastAsia="en-US"/>
        </w:rPr>
        <w:t>1</w:t>
      </w:r>
      <w:r w:rsidRPr="00F0251C">
        <w:rPr>
          <w:rFonts w:eastAsia="Calibri"/>
          <w:sz w:val="24"/>
          <w:szCs w:val="24"/>
          <w:lang w:val="en-AU" w:eastAsia="en-US"/>
        </w:rPr>
        <w:t xml:space="preserve"> was 36.5% predicted, the mean reversibility was 10.40%, and the mean CAT score was 20.8. In the year prior to study entry, 80.2% of the patients had one moderate or severe COPD exacerbation, while 19.8% of the patients had experienced more than one exacerbation.</w:t>
      </w:r>
    </w:p>
    <w:p w14:paraId="266C3321" w14:textId="77777777" w:rsidR="002045BA" w:rsidRPr="00F0251C" w:rsidRDefault="002045BA" w:rsidP="002045BA">
      <w:pPr>
        <w:pStyle w:val="NoSpacing"/>
        <w:ind w:left="360"/>
        <w:rPr>
          <w:rFonts w:eastAsia="Calibri"/>
          <w:sz w:val="24"/>
          <w:szCs w:val="24"/>
          <w:lang w:val="en-AU" w:eastAsia="en-US"/>
        </w:rPr>
      </w:pPr>
    </w:p>
    <w:p w14:paraId="1FF23DA0" w14:textId="347FF64A" w:rsidR="002045BA" w:rsidRPr="00F0251C" w:rsidRDefault="002045BA" w:rsidP="002045BA">
      <w:pPr>
        <w:pStyle w:val="NoSpacing"/>
        <w:ind w:left="360"/>
        <w:rPr>
          <w:rFonts w:eastAsia="Calibri"/>
          <w:sz w:val="24"/>
          <w:szCs w:val="24"/>
          <w:lang w:val="en-AU" w:eastAsia="en-US"/>
        </w:rPr>
      </w:pPr>
      <w:r>
        <w:rPr>
          <w:rFonts w:eastAsia="Calibri"/>
          <w:sz w:val="24"/>
          <w:szCs w:val="24"/>
          <w:lang w:val="en-AU" w:eastAsia="en-US"/>
        </w:rPr>
        <w:t>BDP/FF/GB</w:t>
      </w:r>
      <w:r w:rsidRPr="00F0251C">
        <w:rPr>
          <w:rFonts w:eastAsia="Calibri"/>
          <w:sz w:val="24"/>
          <w:szCs w:val="24"/>
          <w:lang w:val="en-AU" w:eastAsia="en-US"/>
        </w:rPr>
        <w:t xml:space="preserve"> demonstrated a statistically significant improvement in lung function (as defined by change from baseline in pre-dose FEV</w:t>
      </w:r>
      <w:r w:rsidRPr="00F0251C">
        <w:rPr>
          <w:rFonts w:eastAsia="Calibri"/>
          <w:sz w:val="24"/>
          <w:szCs w:val="24"/>
          <w:vertAlign w:val="subscript"/>
          <w:lang w:val="en-AU" w:eastAsia="en-US"/>
        </w:rPr>
        <w:t>1</w:t>
      </w:r>
      <w:r w:rsidRPr="00F0251C">
        <w:rPr>
          <w:rFonts w:eastAsia="Calibri"/>
          <w:sz w:val="24"/>
          <w:szCs w:val="24"/>
          <w:lang w:val="en-AU" w:eastAsia="en-US"/>
        </w:rPr>
        <w:t xml:space="preserve"> at Week 26 and change from baseline in 2-hour post-dose FEV</w:t>
      </w:r>
      <w:r w:rsidRPr="00F0251C">
        <w:rPr>
          <w:rFonts w:eastAsia="Calibri"/>
          <w:sz w:val="24"/>
          <w:szCs w:val="24"/>
          <w:vertAlign w:val="subscript"/>
          <w:lang w:val="en-AU" w:eastAsia="en-US"/>
        </w:rPr>
        <w:t>1</w:t>
      </w:r>
      <w:r w:rsidRPr="00F0251C">
        <w:rPr>
          <w:rFonts w:eastAsia="Calibri"/>
          <w:sz w:val="24"/>
          <w:szCs w:val="24"/>
          <w:lang w:val="en-AU" w:eastAsia="en-US"/>
        </w:rPr>
        <w:t>; co-primary endpoints) compared with BDP/FF (see Table 4).</w:t>
      </w:r>
    </w:p>
    <w:p w14:paraId="3A51CF3C" w14:textId="77777777" w:rsidR="002045BA" w:rsidRDefault="002045BA" w:rsidP="002045BA">
      <w:pPr>
        <w:pStyle w:val="NoSpacing"/>
        <w:ind w:left="360"/>
        <w:rPr>
          <w:rFonts w:eastAsia="Calibri"/>
          <w:sz w:val="24"/>
          <w:szCs w:val="24"/>
          <w:lang w:val="en-AU" w:eastAsia="en-US"/>
        </w:rPr>
      </w:pPr>
    </w:p>
    <w:p w14:paraId="2B32E54A" w14:textId="0C42B76A" w:rsidR="002045BA" w:rsidRDefault="002045BA" w:rsidP="002045BA">
      <w:pPr>
        <w:pStyle w:val="NoSpacing"/>
        <w:ind w:left="360"/>
        <w:rPr>
          <w:rFonts w:eastAsia="Calibri"/>
          <w:sz w:val="24"/>
          <w:szCs w:val="24"/>
          <w:lang w:val="en-AU" w:eastAsia="en-US"/>
        </w:rPr>
      </w:pPr>
      <w:r>
        <w:rPr>
          <w:rFonts w:eastAsia="Calibri"/>
          <w:sz w:val="24"/>
          <w:szCs w:val="24"/>
          <w:lang w:val="en-AU" w:eastAsia="en-US"/>
        </w:rPr>
        <w:t>BDP/FF/GB</w:t>
      </w:r>
      <w:r w:rsidRPr="00F0251C">
        <w:rPr>
          <w:rFonts w:eastAsia="Calibri"/>
          <w:sz w:val="24"/>
          <w:szCs w:val="24"/>
          <w:lang w:val="en-AU" w:eastAsia="en-US"/>
        </w:rPr>
        <w:t xml:space="preserve"> showed a numerical improvement compared with BDP/FF at Week 26 for </w:t>
      </w:r>
      <w:proofErr w:type="spellStart"/>
      <w:r w:rsidRPr="00F0251C">
        <w:rPr>
          <w:rFonts w:eastAsia="Calibri"/>
          <w:sz w:val="24"/>
          <w:szCs w:val="24"/>
          <w:lang w:val="en-AU" w:eastAsia="en-US"/>
        </w:rPr>
        <w:t>dyspnea</w:t>
      </w:r>
      <w:proofErr w:type="spellEnd"/>
      <w:r w:rsidRPr="00F0251C">
        <w:rPr>
          <w:rFonts w:eastAsia="Calibri"/>
          <w:sz w:val="24"/>
          <w:szCs w:val="24"/>
          <w:lang w:val="en-AU" w:eastAsia="en-US"/>
        </w:rPr>
        <w:t xml:space="preserve"> severity measured by the transition </w:t>
      </w:r>
      <w:proofErr w:type="spellStart"/>
      <w:r w:rsidRPr="00F0251C">
        <w:rPr>
          <w:rFonts w:eastAsia="Calibri"/>
          <w:sz w:val="24"/>
          <w:szCs w:val="24"/>
          <w:lang w:val="en-AU" w:eastAsia="en-US"/>
        </w:rPr>
        <w:t>dyspnea</w:t>
      </w:r>
      <w:proofErr w:type="spellEnd"/>
      <w:r w:rsidRPr="00F0251C">
        <w:rPr>
          <w:rFonts w:eastAsia="Calibri"/>
          <w:sz w:val="24"/>
          <w:szCs w:val="24"/>
          <w:lang w:val="en-AU" w:eastAsia="en-US"/>
        </w:rPr>
        <w:t xml:space="preserve"> index (TDI) focal score (co-primary endpoint) and health-related quality of life measured by the St. George’s Respiratory Questionnaire (SGRQ) total score. </w:t>
      </w:r>
      <w:r>
        <w:rPr>
          <w:rFonts w:eastAsia="Calibri"/>
          <w:sz w:val="24"/>
          <w:szCs w:val="24"/>
          <w:lang w:val="en-AU" w:eastAsia="en-US"/>
        </w:rPr>
        <w:t>BDP/FF/GB</w:t>
      </w:r>
      <w:r w:rsidRPr="00F0251C">
        <w:rPr>
          <w:rFonts w:eastAsia="Calibri"/>
          <w:sz w:val="24"/>
          <w:szCs w:val="24"/>
          <w:lang w:val="en-AU" w:eastAsia="en-US"/>
        </w:rPr>
        <w:t xml:space="preserve"> also demonstrated a reduction in the annual rate of moderate/severe exacerbations (i.e. requiring treatment with antibiotics or corticosteroids or hospitalisation) compared with BDP/FF (see Table 4).</w:t>
      </w:r>
    </w:p>
    <w:p w14:paraId="0E3431A4" w14:textId="036122F8" w:rsidR="002045BA" w:rsidRDefault="002045BA" w:rsidP="002045BA">
      <w:pPr>
        <w:pStyle w:val="NoSpacing"/>
        <w:ind w:left="360"/>
        <w:rPr>
          <w:rFonts w:eastAsia="Calibri"/>
          <w:sz w:val="24"/>
          <w:szCs w:val="24"/>
          <w:lang w:val="en-AU" w:eastAsia="en-US"/>
        </w:rPr>
      </w:pPr>
    </w:p>
    <w:p w14:paraId="48C72415" w14:textId="5AE15641" w:rsidR="00CA1CBF" w:rsidRDefault="002045BA" w:rsidP="002045BA">
      <w:pPr>
        <w:pStyle w:val="NoSpacing"/>
        <w:ind w:left="360"/>
        <w:rPr>
          <w:rFonts w:eastAsia="Calibri"/>
          <w:sz w:val="24"/>
          <w:szCs w:val="24"/>
          <w:lang w:val="en-AU" w:eastAsia="en-US"/>
        </w:rPr>
      </w:pPr>
      <w:r w:rsidRPr="00F0251C">
        <w:rPr>
          <w:rFonts w:eastAsia="Calibri"/>
          <w:sz w:val="24"/>
          <w:szCs w:val="24"/>
          <w:lang w:val="en-AU" w:eastAsia="en-US"/>
        </w:rPr>
        <w:t xml:space="preserve">The lung function, TDI and SGRQ outcomes at Week 52 </w:t>
      </w:r>
      <w:r w:rsidR="006468AC">
        <w:rPr>
          <w:rFonts w:eastAsia="Calibri"/>
          <w:sz w:val="24"/>
          <w:szCs w:val="24"/>
          <w:lang w:val="en-AU" w:eastAsia="en-US"/>
        </w:rPr>
        <w:t xml:space="preserve">(data not shown) </w:t>
      </w:r>
      <w:r w:rsidRPr="00F0251C">
        <w:rPr>
          <w:rFonts w:eastAsia="Calibri"/>
          <w:sz w:val="24"/>
          <w:szCs w:val="24"/>
          <w:lang w:val="en-AU" w:eastAsia="en-US"/>
        </w:rPr>
        <w:t>were consistent with the results observed at Week 26 (see Table 4).</w:t>
      </w:r>
    </w:p>
    <w:p w14:paraId="1BF94187" w14:textId="44539423" w:rsidR="002045BA" w:rsidRDefault="002045BA" w:rsidP="002045BA">
      <w:pPr>
        <w:pStyle w:val="NoSpacing"/>
        <w:ind w:left="360"/>
        <w:rPr>
          <w:rFonts w:eastAsia="Calibri"/>
          <w:sz w:val="24"/>
          <w:szCs w:val="24"/>
          <w:lang w:val="en-AU" w:eastAsia="en-US"/>
        </w:rPr>
      </w:pPr>
    </w:p>
    <w:tbl>
      <w:tblPr>
        <w:tblStyle w:val="TableGrid"/>
        <w:tblW w:w="0" w:type="auto"/>
        <w:jc w:val="center"/>
        <w:tblLook w:val="04A0" w:firstRow="1" w:lastRow="0" w:firstColumn="1" w:lastColumn="0" w:noHBand="0" w:noVBand="1"/>
      </w:tblPr>
      <w:tblGrid>
        <w:gridCol w:w="3432"/>
        <w:gridCol w:w="3199"/>
        <w:gridCol w:w="2997"/>
      </w:tblGrid>
      <w:tr w:rsidR="002045BA" w:rsidRPr="00F0251C" w14:paraId="3D7D8136" w14:textId="77777777" w:rsidTr="004076BD">
        <w:trPr>
          <w:trHeight w:val="276"/>
          <w:jc w:val="center"/>
        </w:trPr>
        <w:tc>
          <w:tcPr>
            <w:tcW w:w="3432" w:type="dxa"/>
            <w:vMerge w:val="restart"/>
          </w:tcPr>
          <w:p w14:paraId="6AB03605" w14:textId="2011271C" w:rsidR="002045BA" w:rsidRPr="00F0251C" w:rsidRDefault="009B3F0E" w:rsidP="006A391D">
            <w:pPr>
              <w:keepNext/>
              <w:keepLines/>
              <w:rPr>
                <w:rFonts w:ascii="Times New Roman" w:hAnsi="Times New Roman"/>
                <w:color w:val="000000"/>
                <w:sz w:val="22"/>
                <w:szCs w:val="22"/>
                <w:lang w:val="en-AU"/>
              </w:rPr>
            </w:pPr>
            <w:r w:rsidRPr="00F0251C">
              <w:rPr>
                <w:b/>
                <w:noProof/>
                <w:sz w:val="24"/>
                <w:szCs w:val="24"/>
                <w:lang w:val="en-AU"/>
              </w:rPr>
              <w:t>Table 4: Key efficacy endpoints, ITT population (Study CCD-1207-PR-0091, TRILOGY)</w:t>
            </w:r>
          </w:p>
        </w:tc>
        <w:tc>
          <w:tcPr>
            <w:tcW w:w="3199" w:type="dxa"/>
            <w:vMerge w:val="restart"/>
          </w:tcPr>
          <w:p w14:paraId="051558A1" w14:textId="77777777" w:rsidR="002045BA" w:rsidRPr="00A30CE5" w:rsidRDefault="002045BA" w:rsidP="006A391D">
            <w:pPr>
              <w:keepNext/>
              <w:keepLines/>
              <w:rPr>
                <w:rFonts w:ascii="Times New Roman" w:hAnsi="Times New Roman"/>
                <w:color w:val="000000"/>
                <w:sz w:val="22"/>
                <w:szCs w:val="22"/>
                <w:lang w:val="pt-BR"/>
              </w:rPr>
            </w:pPr>
            <w:r w:rsidRPr="00A30CE5">
              <w:rPr>
                <w:color w:val="000000"/>
                <w:sz w:val="22"/>
                <w:szCs w:val="22"/>
                <w:lang w:val="pt-BR"/>
              </w:rPr>
              <w:t xml:space="preserve">BDP/FF/GB 100/6/12.5 mcg </w:t>
            </w:r>
          </w:p>
          <w:p w14:paraId="1EF5C0CD" w14:textId="77777777" w:rsidR="002045BA" w:rsidRPr="00A30CE5" w:rsidRDefault="002045BA" w:rsidP="006A391D">
            <w:pPr>
              <w:keepNext/>
              <w:keepLines/>
              <w:rPr>
                <w:rFonts w:ascii="Times New Roman" w:hAnsi="Times New Roman"/>
                <w:color w:val="000000"/>
                <w:sz w:val="22"/>
                <w:szCs w:val="22"/>
                <w:lang w:val="pt-BR"/>
              </w:rPr>
            </w:pPr>
            <w:r w:rsidRPr="00A30CE5">
              <w:rPr>
                <w:color w:val="000000"/>
                <w:sz w:val="22"/>
                <w:szCs w:val="22"/>
                <w:lang w:val="pt-BR"/>
              </w:rPr>
              <w:t>(n = 687)</w:t>
            </w:r>
          </w:p>
        </w:tc>
        <w:tc>
          <w:tcPr>
            <w:tcW w:w="2997" w:type="dxa"/>
            <w:vMerge w:val="restart"/>
          </w:tcPr>
          <w:p w14:paraId="54F247AC" w14:textId="77777777" w:rsidR="002045BA" w:rsidRPr="00F0251C" w:rsidRDefault="002045BA" w:rsidP="006A391D">
            <w:pPr>
              <w:keepNext/>
              <w:keepLines/>
              <w:rPr>
                <w:rFonts w:ascii="Times New Roman" w:hAnsi="Times New Roman"/>
                <w:color w:val="000000"/>
                <w:sz w:val="22"/>
                <w:szCs w:val="22"/>
                <w:lang w:val="en-AU"/>
              </w:rPr>
            </w:pPr>
            <w:r w:rsidRPr="00F0251C">
              <w:rPr>
                <w:rFonts w:ascii="Times New Roman" w:hAnsi="Times New Roman"/>
                <w:color w:val="000000"/>
                <w:sz w:val="22"/>
                <w:szCs w:val="22"/>
                <w:lang w:val="en-AU"/>
              </w:rPr>
              <w:t xml:space="preserve">BDP/FF 100/6 mcg </w:t>
            </w:r>
          </w:p>
          <w:p w14:paraId="6DB46B19" w14:textId="77777777" w:rsidR="002045BA" w:rsidRPr="00F0251C" w:rsidRDefault="002045BA" w:rsidP="006A391D">
            <w:pPr>
              <w:keepNext/>
              <w:keepLines/>
              <w:rPr>
                <w:rFonts w:ascii="Times New Roman" w:hAnsi="Times New Roman"/>
                <w:color w:val="000000"/>
                <w:sz w:val="22"/>
                <w:szCs w:val="22"/>
                <w:lang w:val="en-AU"/>
              </w:rPr>
            </w:pPr>
            <w:r w:rsidRPr="00F0251C">
              <w:rPr>
                <w:rFonts w:ascii="Times New Roman" w:hAnsi="Times New Roman"/>
                <w:color w:val="000000"/>
                <w:sz w:val="22"/>
                <w:szCs w:val="22"/>
                <w:lang w:val="en-AU"/>
              </w:rPr>
              <w:t>(n = 680)</w:t>
            </w:r>
          </w:p>
        </w:tc>
      </w:tr>
      <w:tr w:rsidR="002045BA" w:rsidRPr="00F0251C" w14:paraId="1BB7CC55" w14:textId="77777777" w:rsidTr="004076BD">
        <w:trPr>
          <w:trHeight w:val="276"/>
          <w:jc w:val="center"/>
        </w:trPr>
        <w:tc>
          <w:tcPr>
            <w:tcW w:w="3432" w:type="dxa"/>
            <w:vMerge/>
          </w:tcPr>
          <w:p w14:paraId="12D2DA73" w14:textId="77777777" w:rsidR="002045BA" w:rsidRPr="00F0251C" w:rsidRDefault="002045BA" w:rsidP="00D24B97">
            <w:pPr>
              <w:rPr>
                <w:rFonts w:ascii="Times New Roman" w:hAnsi="Times New Roman"/>
                <w:color w:val="000000"/>
                <w:sz w:val="22"/>
                <w:szCs w:val="22"/>
                <w:lang w:val="en-AU"/>
              </w:rPr>
            </w:pPr>
          </w:p>
        </w:tc>
        <w:tc>
          <w:tcPr>
            <w:tcW w:w="3199" w:type="dxa"/>
            <w:vMerge/>
          </w:tcPr>
          <w:p w14:paraId="3E131B7C" w14:textId="77777777" w:rsidR="002045BA" w:rsidRPr="00F0251C" w:rsidRDefault="002045BA" w:rsidP="00D24B97">
            <w:pPr>
              <w:rPr>
                <w:rFonts w:ascii="Times New Roman" w:hAnsi="Times New Roman"/>
                <w:color w:val="000000"/>
                <w:sz w:val="22"/>
                <w:szCs w:val="22"/>
                <w:lang w:val="en-AU"/>
              </w:rPr>
            </w:pPr>
          </w:p>
        </w:tc>
        <w:tc>
          <w:tcPr>
            <w:tcW w:w="2997" w:type="dxa"/>
            <w:vMerge/>
          </w:tcPr>
          <w:p w14:paraId="7E12363D" w14:textId="77777777" w:rsidR="002045BA" w:rsidRPr="00F0251C" w:rsidRDefault="002045BA" w:rsidP="00D24B97">
            <w:pPr>
              <w:rPr>
                <w:rFonts w:ascii="Times New Roman" w:hAnsi="Times New Roman"/>
                <w:color w:val="000000"/>
                <w:sz w:val="22"/>
                <w:szCs w:val="22"/>
                <w:lang w:val="en-AU"/>
              </w:rPr>
            </w:pPr>
          </w:p>
        </w:tc>
      </w:tr>
      <w:tr w:rsidR="002045BA" w:rsidRPr="00F0251C" w14:paraId="6292D45A" w14:textId="77777777" w:rsidTr="004076BD">
        <w:trPr>
          <w:trHeight w:val="302"/>
          <w:jc w:val="center"/>
        </w:trPr>
        <w:tc>
          <w:tcPr>
            <w:tcW w:w="9628" w:type="dxa"/>
            <w:gridSpan w:val="3"/>
          </w:tcPr>
          <w:p w14:paraId="75268A41" w14:textId="77777777" w:rsidR="002045BA" w:rsidRPr="00F0251C" w:rsidRDefault="002045BA" w:rsidP="00D24B97">
            <w:pPr>
              <w:rPr>
                <w:rFonts w:ascii="Times New Roman" w:hAnsi="Times New Roman"/>
                <w:b/>
                <w:color w:val="000000"/>
                <w:sz w:val="22"/>
                <w:szCs w:val="22"/>
                <w:u w:val="single"/>
                <w:lang w:val="en-AU"/>
              </w:rPr>
            </w:pPr>
            <w:r w:rsidRPr="00F0251C">
              <w:rPr>
                <w:rFonts w:ascii="Times New Roman" w:hAnsi="Times New Roman"/>
                <w:b/>
                <w:color w:val="000000"/>
                <w:sz w:val="22"/>
                <w:szCs w:val="22"/>
                <w:u w:val="single"/>
                <w:lang w:val="en-AU"/>
              </w:rPr>
              <w:t>Primary endpoints</w:t>
            </w:r>
          </w:p>
        </w:tc>
      </w:tr>
      <w:tr w:rsidR="002045BA" w:rsidRPr="00F0251C" w14:paraId="54430B71" w14:textId="77777777" w:rsidTr="004076BD">
        <w:trPr>
          <w:trHeight w:val="206"/>
          <w:jc w:val="center"/>
        </w:trPr>
        <w:tc>
          <w:tcPr>
            <w:tcW w:w="9628" w:type="dxa"/>
            <w:gridSpan w:val="3"/>
          </w:tcPr>
          <w:p w14:paraId="35E95A89" w14:textId="77777777"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lang w:val="en-AU"/>
              </w:rPr>
              <w:t>Change from baseline in pre-dose morning FEV</w:t>
            </w:r>
            <w:r w:rsidRPr="00F0251C">
              <w:rPr>
                <w:rFonts w:ascii="Times New Roman" w:hAnsi="Times New Roman"/>
                <w:b/>
                <w:color w:val="000000"/>
                <w:sz w:val="22"/>
                <w:szCs w:val="22"/>
                <w:vertAlign w:val="subscript"/>
                <w:lang w:val="en-AU"/>
              </w:rPr>
              <w:t>1</w:t>
            </w:r>
            <w:r w:rsidRPr="00F0251C">
              <w:rPr>
                <w:rFonts w:ascii="Times New Roman" w:hAnsi="Times New Roman"/>
                <w:b/>
                <w:color w:val="000000"/>
                <w:sz w:val="22"/>
                <w:szCs w:val="22"/>
                <w:lang w:val="en-AU"/>
              </w:rPr>
              <w:t xml:space="preserve"> (L) at Week 26 (L)</w:t>
            </w:r>
          </w:p>
        </w:tc>
      </w:tr>
      <w:tr w:rsidR="002045BA" w:rsidRPr="00F0251C" w14:paraId="2761003D" w14:textId="77777777" w:rsidTr="004076BD">
        <w:trPr>
          <w:trHeight w:val="248"/>
          <w:jc w:val="center"/>
        </w:trPr>
        <w:tc>
          <w:tcPr>
            <w:tcW w:w="3432" w:type="dxa"/>
          </w:tcPr>
          <w:p w14:paraId="2B1AC771"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n</w:t>
            </w:r>
          </w:p>
          <w:p w14:paraId="3D620847"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(95% CI)</w:t>
            </w:r>
          </w:p>
        </w:tc>
        <w:tc>
          <w:tcPr>
            <w:tcW w:w="3199" w:type="dxa"/>
          </w:tcPr>
          <w:p w14:paraId="74E4578B"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642</w:t>
            </w:r>
          </w:p>
          <w:p w14:paraId="76FF61D5"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0.082 (0.062; 0.102)</w:t>
            </w:r>
          </w:p>
        </w:tc>
        <w:tc>
          <w:tcPr>
            <w:tcW w:w="2997" w:type="dxa"/>
          </w:tcPr>
          <w:p w14:paraId="3E592FC6"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616</w:t>
            </w:r>
          </w:p>
          <w:p w14:paraId="7E8AA175"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0.001 (-0.019; 0.021)</w:t>
            </w:r>
          </w:p>
        </w:tc>
      </w:tr>
      <w:tr w:rsidR="002045BA" w:rsidRPr="00F0251C" w14:paraId="507DC423" w14:textId="77777777" w:rsidTr="004076BD">
        <w:trPr>
          <w:trHeight w:val="237"/>
          <w:jc w:val="center"/>
        </w:trPr>
        <w:tc>
          <w:tcPr>
            <w:tcW w:w="3432" w:type="dxa"/>
          </w:tcPr>
          <w:p w14:paraId="4F52EC04"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difference (95% CI)</w:t>
            </w:r>
          </w:p>
          <w:p w14:paraId="3B3536B6"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 xml:space="preserve">p-value </w:t>
            </w:r>
          </w:p>
        </w:tc>
        <w:tc>
          <w:tcPr>
            <w:tcW w:w="6196" w:type="dxa"/>
            <w:gridSpan w:val="2"/>
          </w:tcPr>
          <w:p w14:paraId="0380B51E"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0.081 (0.052; 0.109)</w:t>
            </w:r>
          </w:p>
          <w:p w14:paraId="7BB100EF"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&lt; 0.001</w:t>
            </w:r>
          </w:p>
        </w:tc>
      </w:tr>
      <w:tr w:rsidR="002045BA" w:rsidRPr="00F0251C" w14:paraId="6BDC910B" w14:textId="77777777" w:rsidTr="004076BD">
        <w:trPr>
          <w:trHeight w:val="237"/>
          <w:jc w:val="center"/>
        </w:trPr>
        <w:tc>
          <w:tcPr>
            <w:tcW w:w="9628" w:type="dxa"/>
            <w:gridSpan w:val="3"/>
          </w:tcPr>
          <w:p w14:paraId="03DA618A" w14:textId="77777777"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lang w:val="en-AU"/>
              </w:rPr>
              <w:t>Change from baseline in 2-hour post-dose FEV</w:t>
            </w:r>
            <w:r w:rsidRPr="00F0251C">
              <w:rPr>
                <w:rFonts w:ascii="Times New Roman" w:hAnsi="Times New Roman"/>
                <w:b/>
                <w:color w:val="000000"/>
                <w:sz w:val="22"/>
                <w:szCs w:val="22"/>
                <w:vertAlign w:val="subscript"/>
                <w:lang w:val="en-AU"/>
              </w:rPr>
              <w:t>1</w:t>
            </w:r>
            <w:r w:rsidRPr="00F0251C">
              <w:rPr>
                <w:rFonts w:ascii="Times New Roman" w:hAnsi="Times New Roman"/>
                <w:b/>
                <w:color w:val="000000"/>
                <w:sz w:val="22"/>
                <w:szCs w:val="22"/>
                <w:lang w:val="en-AU"/>
              </w:rPr>
              <w:t xml:space="preserve"> (L) at Week 26 (L)</w:t>
            </w:r>
          </w:p>
        </w:tc>
      </w:tr>
      <w:tr w:rsidR="002045BA" w:rsidRPr="00F0251C" w14:paraId="4BC1AC45" w14:textId="77777777" w:rsidTr="004076BD">
        <w:trPr>
          <w:trHeight w:val="237"/>
          <w:jc w:val="center"/>
        </w:trPr>
        <w:tc>
          <w:tcPr>
            <w:tcW w:w="3432" w:type="dxa"/>
          </w:tcPr>
          <w:p w14:paraId="07B54FC1"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n</w:t>
            </w:r>
          </w:p>
          <w:p w14:paraId="51C16339"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(95% CI)</w:t>
            </w:r>
          </w:p>
        </w:tc>
        <w:tc>
          <w:tcPr>
            <w:tcW w:w="3199" w:type="dxa"/>
          </w:tcPr>
          <w:p w14:paraId="03085FD2"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631</w:t>
            </w:r>
          </w:p>
          <w:p w14:paraId="7350B428"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0.261 (0.240; 0.283)</w:t>
            </w:r>
          </w:p>
        </w:tc>
        <w:tc>
          <w:tcPr>
            <w:tcW w:w="2997" w:type="dxa"/>
          </w:tcPr>
          <w:p w14:paraId="7A1C5D90"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609</w:t>
            </w:r>
          </w:p>
          <w:p w14:paraId="2D3E57F9"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0.145 (0.123; 0.166)</w:t>
            </w:r>
          </w:p>
        </w:tc>
      </w:tr>
      <w:tr w:rsidR="002045BA" w:rsidRPr="00F0251C" w14:paraId="3CE0219D" w14:textId="77777777" w:rsidTr="004076BD">
        <w:trPr>
          <w:trHeight w:val="237"/>
          <w:jc w:val="center"/>
        </w:trPr>
        <w:tc>
          <w:tcPr>
            <w:tcW w:w="3432" w:type="dxa"/>
          </w:tcPr>
          <w:p w14:paraId="5FFAB179"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difference (95% CI)</w:t>
            </w:r>
          </w:p>
          <w:p w14:paraId="2F776A11"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 xml:space="preserve">p-value </w:t>
            </w:r>
          </w:p>
        </w:tc>
        <w:tc>
          <w:tcPr>
            <w:tcW w:w="6196" w:type="dxa"/>
            <w:gridSpan w:val="2"/>
          </w:tcPr>
          <w:p w14:paraId="132CD25D"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0.117 (0.086; 0.147)</w:t>
            </w:r>
          </w:p>
          <w:p w14:paraId="398EF880"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&lt; 0.001</w:t>
            </w:r>
          </w:p>
        </w:tc>
      </w:tr>
      <w:tr w:rsidR="002045BA" w:rsidRPr="00F0251C" w14:paraId="40443453" w14:textId="77777777" w:rsidTr="004076BD">
        <w:trPr>
          <w:trHeight w:val="248"/>
          <w:jc w:val="center"/>
        </w:trPr>
        <w:tc>
          <w:tcPr>
            <w:tcW w:w="9628" w:type="dxa"/>
            <w:gridSpan w:val="3"/>
          </w:tcPr>
          <w:p w14:paraId="7D765913" w14:textId="77777777"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lang w:val="en-AU"/>
              </w:rPr>
              <w:t>TDI focal score at Week 26</w:t>
            </w:r>
          </w:p>
        </w:tc>
      </w:tr>
      <w:tr w:rsidR="002045BA" w:rsidRPr="00F0251C" w14:paraId="5680DB8C" w14:textId="77777777" w:rsidTr="004076BD">
        <w:trPr>
          <w:trHeight w:val="237"/>
          <w:jc w:val="center"/>
        </w:trPr>
        <w:tc>
          <w:tcPr>
            <w:tcW w:w="3432" w:type="dxa"/>
          </w:tcPr>
          <w:p w14:paraId="139828E6"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n</w:t>
            </w:r>
          </w:p>
          <w:p w14:paraId="4F65C3BD"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(95% CI)</w:t>
            </w:r>
          </w:p>
        </w:tc>
        <w:tc>
          <w:tcPr>
            <w:tcW w:w="3199" w:type="dxa"/>
          </w:tcPr>
          <w:p w14:paraId="0E130EBE"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642</w:t>
            </w:r>
          </w:p>
          <w:p w14:paraId="0C2943C7"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1.71 (1.50; 1.92)</w:t>
            </w:r>
          </w:p>
        </w:tc>
        <w:tc>
          <w:tcPr>
            <w:tcW w:w="2997" w:type="dxa"/>
          </w:tcPr>
          <w:p w14:paraId="2619D7FA"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609</w:t>
            </w:r>
          </w:p>
          <w:p w14:paraId="487F4B84"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1.50 (1.29; 1.71)</w:t>
            </w:r>
          </w:p>
        </w:tc>
      </w:tr>
      <w:tr w:rsidR="002045BA" w:rsidRPr="00F0251C" w14:paraId="20CA993B" w14:textId="77777777" w:rsidTr="004076BD">
        <w:trPr>
          <w:trHeight w:val="237"/>
          <w:jc w:val="center"/>
        </w:trPr>
        <w:tc>
          <w:tcPr>
            <w:tcW w:w="3432" w:type="dxa"/>
          </w:tcPr>
          <w:p w14:paraId="28736679"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difference (95% CI)</w:t>
            </w:r>
          </w:p>
          <w:p w14:paraId="6E2EF6E9"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p-value</w:t>
            </w:r>
          </w:p>
        </w:tc>
        <w:tc>
          <w:tcPr>
            <w:tcW w:w="6196" w:type="dxa"/>
            <w:gridSpan w:val="2"/>
          </w:tcPr>
          <w:p w14:paraId="1AC34960"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0.21 (-0.08; 0.51)</w:t>
            </w:r>
          </w:p>
          <w:p w14:paraId="50E29DBF"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0.160</w:t>
            </w:r>
          </w:p>
        </w:tc>
      </w:tr>
      <w:tr w:rsidR="002045BA" w:rsidRPr="00F0251C" w14:paraId="20B09AD9" w14:textId="77777777" w:rsidTr="004076BD">
        <w:trPr>
          <w:trHeight w:val="301"/>
          <w:jc w:val="center"/>
        </w:trPr>
        <w:tc>
          <w:tcPr>
            <w:tcW w:w="9628" w:type="dxa"/>
            <w:gridSpan w:val="3"/>
          </w:tcPr>
          <w:p w14:paraId="1765350B" w14:textId="77777777"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u w:val="single"/>
                <w:lang w:val="en-AU"/>
              </w:rPr>
              <w:t>Secondary endpoints</w:t>
            </w:r>
          </w:p>
        </w:tc>
      </w:tr>
      <w:tr w:rsidR="002045BA" w:rsidRPr="00F0251C" w14:paraId="27303C55" w14:textId="77777777" w:rsidTr="004076BD">
        <w:trPr>
          <w:trHeight w:val="237"/>
          <w:jc w:val="center"/>
        </w:trPr>
        <w:tc>
          <w:tcPr>
            <w:tcW w:w="9628" w:type="dxa"/>
            <w:gridSpan w:val="3"/>
          </w:tcPr>
          <w:p w14:paraId="323144FC" w14:textId="3FFC4420"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lang w:val="en-AU"/>
              </w:rPr>
              <w:lastRenderedPageBreak/>
              <w:t>Change from baseline in pre-dose morning FEV</w:t>
            </w:r>
            <w:r w:rsidRPr="00F0251C">
              <w:rPr>
                <w:rFonts w:ascii="Times New Roman" w:hAnsi="Times New Roman"/>
                <w:b/>
                <w:color w:val="000000"/>
                <w:sz w:val="22"/>
                <w:szCs w:val="22"/>
                <w:vertAlign w:val="subscript"/>
                <w:lang w:val="en-AU"/>
              </w:rPr>
              <w:t>1</w:t>
            </w:r>
            <w:r w:rsidRPr="00F0251C">
              <w:rPr>
                <w:rFonts w:ascii="Times New Roman" w:hAnsi="Times New Roman"/>
                <w:b/>
                <w:color w:val="000000"/>
                <w:sz w:val="22"/>
                <w:szCs w:val="22"/>
                <w:lang w:val="en-AU"/>
              </w:rPr>
              <w:t xml:space="preserve"> (L) at Week 52 (L)</w:t>
            </w:r>
          </w:p>
        </w:tc>
      </w:tr>
      <w:tr w:rsidR="002045BA" w:rsidRPr="00F0251C" w14:paraId="0934D0EC" w14:textId="77777777" w:rsidTr="004076BD">
        <w:trPr>
          <w:trHeight w:val="237"/>
          <w:jc w:val="center"/>
        </w:trPr>
        <w:tc>
          <w:tcPr>
            <w:tcW w:w="3432" w:type="dxa"/>
          </w:tcPr>
          <w:p w14:paraId="008758FB" w14:textId="60FE0978"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n</w:t>
            </w:r>
          </w:p>
          <w:p w14:paraId="636D4F53" w14:textId="0CBE2321"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(95% CI)</w:t>
            </w:r>
          </w:p>
        </w:tc>
        <w:tc>
          <w:tcPr>
            <w:tcW w:w="3199" w:type="dxa"/>
          </w:tcPr>
          <w:p w14:paraId="7389218E" w14:textId="1EF7DFA0"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606</w:t>
            </w:r>
          </w:p>
          <w:p w14:paraId="6ED93A4C" w14:textId="264AC402"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0.071 (0.050; 0.093)</w:t>
            </w:r>
          </w:p>
        </w:tc>
        <w:tc>
          <w:tcPr>
            <w:tcW w:w="2997" w:type="dxa"/>
          </w:tcPr>
          <w:p w14:paraId="1E9E5D3D" w14:textId="43E99752"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578</w:t>
            </w:r>
          </w:p>
          <w:p w14:paraId="3C6BA8BB" w14:textId="735EF57C"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0.008 (-0.014; 0.030)</w:t>
            </w:r>
          </w:p>
        </w:tc>
      </w:tr>
      <w:tr w:rsidR="002045BA" w:rsidRPr="00F0251C" w14:paraId="4A4A38D8" w14:textId="77777777" w:rsidTr="004076BD">
        <w:trPr>
          <w:trHeight w:val="237"/>
          <w:jc w:val="center"/>
        </w:trPr>
        <w:tc>
          <w:tcPr>
            <w:tcW w:w="3432" w:type="dxa"/>
          </w:tcPr>
          <w:p w14:paraId="4A3FB00C" w14:textId="726F02FE"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difference (95% CI)</w:t>
            </w:r>
          </w:p>
          <w:p w14:paraId="08518CB0" w14:textId="76830E5C" w:rsidR="002045BA" w:rsidRPr="00F0251C" w:rsidRDefault="002045BA" w:rsidP="00D24B97">
            <w:pPr>
              <w:rPr>
                <w:rFonts w:ascii="Times New Roman" w:hAnsi="Times New Roman"/>
                <w:color w:val="000000"/>
                <w:sz w:val="22"/>
                <w:szCs w:val="22"/>
                <w:lang w:val="en-AU"/>
              </w:rPr>
            </w:pPr>
          </w:p>
        </w:tc>
        <w:tc>
          <w:tcPr>
            <w:tcW w:w="6196" w:type="dxa"/>
            <w:gridSpan w:val="2"/>
          </w:tcPr>
          <w:p w14:paraId="3B8EE4A0" w14:textId="0C543C59"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0.063 (0.032; 0.094)</w:t>
            </w:r>
          </w:p>
          <w:p w14:paraId="73E599CD" w14:textId="1CCAC9BF" w:rsidR="002045BA" w:rsidRPr="00F0251C" w:rsidRDefault="002045BA" w:rsidP="00D24B97">
            <w:pPr>
              <w:jc w:val="center"/>
              <w:rPr>
                <w:rFonts w:ascii="Times New Roman" w:hAnsi="Times New Roman"/>
                <w:color w:val="000000"/>
                <w:sz w:val="22"/>
                <w:szCs w:val="22"/>
                <w:lang w:val="en-AU"/>
              </w:rPr>
            </w:pPr>
          </w:p>
        </w:tc>
      </w:tr>
      <w:tr w:rsidR="002045BA" w:rsidRPr="00F0251C" w14:paraId="1A2324FA" w14:textId="77777777" w:rsidTr="004076BD">
        <w:trPr>
          <w:trHeight w:val="237"/>
          <w:jc w:val="center"/>
        </w:trPr>
        <w:tc>
          <w:tcPr>
            <w:tcW w:w="9628" w:type="dxa"/>
            <w:gridSpan w:val="3"/>
          </w:tcPr>
          <w:p w14:paraId="1C739B8D" w14:textId="17EEABD5"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lang w:val="en-AU"/>
              </w:rPr>
              <w:t>Change from baseline in 2-hour post-dose FEV</w:t>
            </w:r>
            <w:r w:rsidRPr="00F0251C">
              <w:rPr>
                <w:rFonts w:ascii="Times New Roman" w:hAnsi="Times New Roman"/>
                <w:b/>
                <w:color w:val="000000"/>
                <w:sz w:val="22"/>
                <w:szCs w:val="22"/>
                <w:vertAlign w:val="subscript"/>
                <w:lang w:val="en-AU"/>
              </w:rPr>
              <w:t>1</w:t>
            </w:r>
            <w:r w:rsidRPr="00F0251C">
              <w:rPr>
                <w:rFonts w:ascii="Times New Roman" w:hAnsi="Times New Roman"/>
                <w:b/>
                <w:color w:val="000000"/>
                <w:sz w:val="22"/>
                <w:szCs w:val="22"/>
                <w:lang w:val="en-AU"/>
              </w:rPr>
              <w:t xml:space="preserve"> (L) at Week 52 (L)</w:t>
            </w:r>
          </w:p>
        </w:tc>
      </w:tr>
      <w:tr w:rsidR="002045BA" w:rsidRPr="00F0251C" w14:paraId="5760D3C8" w14:textId="77777777" w:rsidTr="004076BD">
        <w:trPr>
          <w:trHeight w:val="237"/>
          <w:jc w:val="center"/>
        </w:trPr>
        <w:tc>
          <w:tcPr>
            <w:tcW w:w="3432" w:type="dxa"/>
          </w:tcPr>
          <w:p w14:paraId="514E3980" w14:textId="372842EB"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n</w:t>
            </w:r>
          </w:p>
          <w:p w14:paraId="4100C38F" w14:textId="1E9C145B"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(95% CI)</w:t>
            </w:r>
          </w:p>
        </w:tc>
        <w:tc>
          <w:tcPr>
            <w:tcW w:w="3199" w:type="dxa"/>
          </w:tcPr>
          <w:p w14:paraId="555B198B" w14:textId="508BB205"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598</w:t>
            </w:r>
          </w:p>
          <w:p w14:paraId="22EFC61C" w14:textId="1A394023"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0.249 (0.226; 0.273)</w:t>
            </w:r>
          </w:p>
        </w:tc>
        <w:tc>
          <w:tcPr>
            <w:tcW w:w="2997" w:type="dxa"/>
          </w:tcPr>
          <w:p w14:paraId="638FE721" w14:textId="31A1DC62"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575</w:t>
            </w:r>
          </w:p>
          <w:p w14:paraId="22A2B75B" w14:textId="2990585F"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0.146 (0.122; 0.170)</w:t>
            </w:r>
          </w:p>
        </w:tc>
      </w:tr>
      <w:tr w:rsidR="002045BA" w:rsidRPr="00F0251C" w14:paraId="0BF86409" w14:textId="77777777" w:rsidTr="004076BD">
        <w:trPr>
          <w:trHeight w:val="237"/>
          <w:jc w:val="center"/>
        </w:trPr>
        <w:tc>
          <w:tcPr>
            <w:tcW w:w="3432" w:type="dxa"/>
          </w:tcPr>
          <w:p w14:paraId="38A98290" w14:textId="20A2D2CE"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difference (95% CI)</w:t>
            </w:r>
          </w:p>
          <w:p w14:paraId="5A029F29" w14:textId="2AAA74A3" w:rsidR="002045BA" w:rsidRPr="00F0251C" w:rsidRDefault="002045BA" w:rsidP="00D24B97">
            <w:pPr>
              <w:rPr>
                <w:rFonts w:ascii="Times New Roman" w:hAnsi="Times New Roman"/>
                <w:color w:val="000000"/>
                <w:sz w:val="22"/>
                <w:szCs w:val="22"/>
                <w:lang w:val="en-AU"/>
              </w:rPr>
            </w:pPr>
          </w:p>
        </w:tc>
        <w:tc>
          <w:tcPr>
            <w:tcW w:w="6196" w:type="dxa"/>
            <w:gridSpan w:val="2"/>
          </w:tcPr>
          <w:p w14:paraId="31A0C15C" w14:textId="0B78AEF0"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0.103 (0.069; 0.137)</w:t>
            </w:r>
          </w:p>
          <w:p w14:paraId="7F26BB9D" w14:textId="6849594B" w:rsidR="002045BA" w:rsidRPr="00F0251C" w:rsidRDefault="002045BA" w:rsidP="00D24B97">
            <w:pPr>
              <w:jc w:val="center"/>
              <w:rPr>
                <w:rFonts w:ascii="Times New Roman" w:hAnsi="Times New Roman"/>
                <w:color w:val="000000"/>
                <w:sz w:val="22"/>
                <w:szCs w:val="22"/>
                <w:lang w:val="en-AU"/>
              </w:rPr>
            </w:pPr>
          </w:p>
        </w:tc>
      </w:tr>
      <w:tr w:rsidR="002045BA" w:rsidRPr="00F0251C" w14:paraId="66E0E856" w14:textId="77777777" w:rsidTr="004076BD">
        <w:trPr>
          <w:trHeight w:val="237"/>
          <w:jc w:val="center"/>
        </w:trPr>
        <w:tc>
          <w:tcPr>
            <w:tcW w:w="9628" w:type="dxa"/>
            <w:gridSpan w:val="3"/>
          </w:tcPr>
          <w:p w14:paraId="53225342" w14:textId="217DE096"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lang w:val="en-AU"/>
              </w:rPr>
              <w:t>TDI focal score at Week 52</w:t>
            </w:r>
          </w:p>
        </w:tc>
      </w:tr>
      <w:tr w:rsidR="002045BA" w:rsidRPr="00F0251C" w14:paraId="5A6310CE" w14:textId="77777777" w:rsidTr="004076BD">
        <w:trPr>
          <w:trHeight w:val="237"/>
          <w:jc w:val="center"/>
        </w:trPr>
        <w:tc>
          <w:tcPr>
            <w:tcW w:w="3432" w:type="dxa"/>
          </w:tcPr>
          <w:p w14:paraId="5D3E1185" w14:textId="75618306"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n</w:t>
            </w:r>
          </w:p>
          <w:p w14:paraId="3132F2D5" w14:textId="38EC6F25"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(95% CI)</w:t>
            </w:r>
          </w:p>
        </w:tc>
        <w:tc>
          <w:tcPr>
            <w:tcW w:w="3199" w:type="dxa"/>
          </w:tcPr>
          <w:p w14:paraId="0A9AB537" w14:textId="565D6484"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608</w:t>
            </w:r>
          </w:p>
          <w:p w14:paraId="6C26BEAB" w14:textId="57E5F544"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2.03 (1.81; 2.25)</w:t>
            </w:r>
          </w:p>
        </w:tc>
        <w:tc>
          <w:tcPr>
            <w:tcW w:w="2997" w:type="dxa"/>
          </w:tcPr>
          <w:p w14:paraId="256D8F19" w14:textId="0AAB2B75"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579</w:t>
            </w:r>
          </w:p>
          <w:p w14:paraId="771777FD" w14:textId="63AEE4DE"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1.81 (1.59; 2.04)</w:t>
            </w:r>
          </w:p>
        </w:tc>
      </w:tr>
      <w:tr w:rsidR="002045BA" w:rsidRPr="00F0251C" w14:paraId="4CDBC935" w14:textId="77777777" w:rsidTr="004076BD">
        <w:trPr>
          <w:trHeight w:val="237"/>
          <w:jc w:val="center"/>
        </w:trPr>
        <w:tc>
          <w:tcPr>
            <w:tcW w:w="3432" w:type="dxa"/>
          </w:tcPr>
          <w:p w14:paraId="25889E42" w14:textId="650591CC"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difference (95% CI)</w:t>
            </w:r>
          </w:p>
          <w:p w14:paraId="052C0147" w14:textId="60F38868" w:rsidR="002045BA" w:rsidRPr="00F0251C" w:rsidRDefault="002045BA" w:rsidP="00D24B97">
            <w:pPr>
              <w:rPr>
                <w:rFonts w:ascii="Times New Roman" w:hAnsi="Times New Roman"/>
                <w:color w:val="000000"/>
                <w:sz w:val="22"/>
                <w:szCs w:val="22"/>
                <w:lang w:val="en-AU"/>
              </w:rPr>
            </w:pPr>
          </w:p>
        </w:tc>
        <w:tc>
          <w:tcPr>
            <w:tcW w:w="6196" w:type="dxa"/>
            <w:gridSpan w:val="2"/>
          </w:tcPr>
          <w:p w14:paraId="0439B639" w14:textId="3DF2A1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0.21 (-0.10; 0.53)</w:t>
            </w:r>
          </w:p>
          <w:p w14:paraId="35104960" w14:textId="79C4E8C7" w:rsidR="002045BA" w:rsidRPr="00F0251C" w:rsidRDefault="002045BA" w:rsidP="00D24B97">
            <w:pPr>
              <w:jc w:val="center"/>
              <w:rPr>
                <w:rFonts w:ascii="Times New Roman" w:hAnsi="Times New Roman"/>
                <w:color w:val="000000"/>
                <w:sz w:val="22"/>
                <w:szCs w:val="22"/>
                <w:lang w:val="en-AU"/>
              </w:rPr>
            </w:pPr>
          </w:p>
        </w:tc>
      </w:tr>
      <w:tr w:rsidR="002045BA" w:rsidRPr="00F0251C" w14:paraId="6C04E675" w14:textId="77777777" w:rsidTr="004076BD">
        <w:trPr>
          <w:trHeight w:val="374"/>
          <w:jc w:val="center"/>
        </w:trPr>
        <w:tc>
          <w:tcPr>
            <w:tcW w:w="9628" w:type="dxa"/>
            <w:gridSpan w:val="3"/>
          </w:tcPr>
          <w:p w14:paraId="5A5E3ADC" w14:textId="77777777"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lang w:val="en-AU"/>
              </w:rPr>
              <w:t>Moderate/severe COPD exacerbation rate</w:t>
            </w:r>
          </w:p>
        </w:tc>
      </w:tr>
      <w:tr w:rsidR="002045BA" w:rsidRPr="00F0251C" w14:paraId="3500D2F7" w14:textId="77777777" w:rsidTr="004076BD">
        <w:trPr>
          <w:trHeight w:val="237"/>
          <w:jc w:val="center"/>
        </w:trPr>
        <w:tc>
          <w:tcPr>
            <w:tcW w:w="3432" w:type="dxa"/>
          </w:tcPr>
          <w:p w14:paraId="1309FCDC"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exacerbation rate per patient per year (95% CI)</w:t>
            </w:r>
          </w:p>
        </w:tc>
        <w:tc>
          <w:tcPr>
            <w:tcW w:w="3199" w:type="dxa"/>
          </w:tcPr>
          <w:p w14:paraId="01363C32"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0.410 (0.358; 0.469)</w:t>
            </w:r>
          </w:p>
        </w:tc>
        <w:tc>
          <w:tcPr>
            <w:tcW w:w="2997" w:type="dxa"/>
          </w:tcPr>
          <w:p w14:paraId="18B00D74"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0.530 (0.468; 0.600)</w:t>
            </w:r>
          </w:p>
        </w:tc>
      </w:tr>
      <w:tr w:rsidR="002045BA" w:rsidRPr="00F0251C" w14:paraId="1A412FD5" w14:textId="77777777" w:rsidTr="004076BD">
        <w:trPr>
          <w:trHeight w:val="237"/>
          <w:jc w:val="center"/>
        </w:trPr>
        <w:tc>
          <w:tcPr>
            <w:tcW w:w="3432" w:type="dxa"/>
          </w:tcPr>
          <w:p w14:paraId="7BAA1911"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rate ratio (95% CI)</w:t>
            </w:r>
          </w:p>
          <w:p w14:paraId="4790A6BC" w14:textId="523E37FA" w:rsidR="002045BA" w:rsidRPr="00F0251C" w:rsidRDefault="002045BA" w:rsidP="00D24B97">
            <w:pPr>
              <w:rPr>
                <w:rFonts w:ascii="Times New Roman" w:hAnsi="Times New Roman"/>
                <w:color w:val="000000"/>
                <w:sz w:val="22"/>
                <w:szCs w:val="22"/>
                <w:lang w:val="en-AU"/>
              </w:rPr>
            </w:pPr>
          </w:p>
        </w:tc>
        <w:tc>
          <w:tcPr>
            <w:tcW w:w="6196" w:type="dxa"/>
            <w:gridSpan w:val="2"/>
          </w:tcPr>
          <w:p w14:paraId="13595EC7"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0.773 (0.647; 0.924)</w:t>
            </w:r>
          </w:p>
          <w:p w14:paraId="6695C205" w14:textId="37F655B3" w:rsidR="002045BA" w:rsidRPr="00F0251C" w:rsidRDefault="002045BA" w:rsidP="00D24B97">
            <w:pPr>
              <w:jc w:val="center"/>
              <w:rPr>
                <w:rFonts w:ascii="Times New Roman" w:hAnsi="Times New Roman"/>
                <w:color w:val="000000"/>
                <w:sz w:val="22"/>
                <w:szCs w:val="22"/>
                <w:lang w:val="en-AU"/>
              </w:rPr>
            </w:pPr>
          </w:p>
        </w:tc>
      </w:tr>
      <w:tr w:rsidR="002045BA" w:rsidRPr="00F0251C" w14:paraId="56CB81A5" w14:textId="77777777" w:rsidTr="004076BD">
        <w:trPr>
          <w:trHeight w:val="237"/>
          <w:jc w:val="center"/>
        </w:trPr>
        <w:tc>
          <w:tcPr>
            <w:tcW w:w="9628" w:type="dxa"/>
            <w:gridSpan w:val="3"/>
          </w:tcPr>
          <w:p w14:paraId="4F676510" w14:textId="677740DA"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BDP= beclomethasone dipropionate; CAT= COPD assessment test; COPD= chronic obstructive pulmonary disease; FEV</w:t>
            </w:r>
            <w:r w:rsidRPr="00F0251C">
              <w:rPr>
                <w:rFonts w:ascii="Times New Roman" w:hAnsi="Times New Roman"/>
                <w:color w:val="000000"/>
                <w:sz w:val="22"/>
                <w:szCs w:val="22"/>
                <w:vertAlign w:val="subscript"/>
                <w:lang w:val="en-AU"/>
              </w:rPr>
              <w:t>1</w:t>
            </w:r>
            <w:r w:rsidRPr="00F0251C">
              <w:rPr>
                <w:rFonts w:ascii="Times New Roman" w:hAnsi="Times New Roman"/>
                <w:color w:val="000000"/>
                <w:sz w:val="22"/>
                <w:szCs w:val="22"/>
                <w:lang w:val="en-AU"/>
              </w:rPr>
              <w:t>= forced expiratory volume in 1 second; FF= formoterol fumarate; GB= glycopyrronium bromide; n= number of patients with available data; N= Number of patients in the ITT population; TDI= transitional dyspnoea index.</w:t>
            </w:r>
          </w:p>
          <w:p w14:paraId="0E5B11EE" w14:textId="4B6A9562" w:rsidR="002045BA" w:rsidRPr="00F0251C" w:rsidRDefault="002045BA" w:rsidP="00D24B97">
            <w:pPr>
              <w:jc w:val="center"/>
              <w:rPr>
                <w:rFonts w:ascii="Times New Roman" w:hAnsi="Times New Roman"/>
                <w:color w:val="000000"/>
                <w:sz w:val="22"/>
                <w:szCs w:val="22"/>
                <w:lang w:val="en-AU"/>
              </w:rPr>
            </w:pPr>
          </w:p>
        </w:tc>
      </w:tr>
    </w:tbl>
    <w:p w14:paraId="23BE1CBD" w14:textId="77777777" w:rsidR="000102EA" w:rsidRPr="00F0251C" w:rsidRDefault="000102EA" w:rsidP="000102EA">
      <w:pPr>
        <w:pStyle w:val="NoSpacing"/>
        <w:ind w:left="360"/>
        <w:rPr>
          <w:rFonts w:eastAsia="Calibri"/>
          <w:sz w:val="24"/>
          <w:szCs w:val="24"/>
          <w:lang w:val="en-AU" w:eastAsia="en-US"/>
        </w:rPr>
      </w:pPr>
    </w:p>
    <w:p w14:paraId="71400593" w14:textId="77777777" w:rsidR="002045BA" w:rsidRPr="00F0251C" w:rsidRDefault="002045BA" w:rsidP="002045BA">
      <w:pPr>
        <w:pStyle w:val="NoSpacing"/>
        <w:ind w:left="360"/>
        <w:rPr>
          <w:rFonts w:eastAsia="Calibri"/>
          <w:b/>
          <w:bCs/>
          <w:sz w:val="24"/>
          <w:szCs w:val="24"/>
          <w:lang w:val="en-AU" w:eastAsia="en-US"/>
        </w:rPr>
      </w:pPr>
      <w:r w:rsidRPr="00F0251C">
        <w:rPr>
          <w:rFonts w:eastAsia="Calibri"/>
          <w:b/>
          <w:bCs/>
          <w:sz w:val="24"/>
          <w:szCs w:val="24"/>
          <w:lang w:val="en-AU" w:eastAsia="en-US"/>
        </w:rPr>
        <w:t>Study 2 (CCD-1208-PR-0090, TRINITY)</w:t>
      </w:r>
    </w:p>
    <w:p w14:paraId="4022C580" w14:textId="77777777" w:rsidR="002045BA" w:rsidRPr="00F0251C" w:rsidRDefault="002045BA" w:rsidP="002045BA">
      <w:pPr>
        <w:pStyle w:val="NoSpacing"/>
        <w:ind w:left="360"/>
        <w:rPr>
          <w:rFonts w:eastAsia="Calibri"/>
          <w:sz w:val="24"/>
          <w:szCs w:val="24"/>
          <w:lang w:val="en-AU" w:eastAsia="en-US"/>
        </w:rPr>
      </w:pPr>
      <w:r w:rsidRPr="009B3F0E">
        <w:rPr>
          <w:rFonts w:eastAsia="Calibri"/>
          <w:sz w:val="24"/>
          <w:szCs w:val="24"/>
          <w:lang w:val="en-AU" w:eastAsia="en-US"/>
        </w:rPr>
        <w:t xml:space="preserve">The efficacy of the single-inhaler fixed triple combination of beclomethasone dipropionate, formoterol fumarate, glycopyrronium bromide (BDP/FF/GB 100/6/12.5 micrograms) </w:t>
      </w:r>
      <w:r>
        <w:rPr>
          <w:rFonts w:eastAsia="Calibri"/>
          <w:sz w:val="24"/>
          <w:szCs w:val="24"/>
          <w:lang w:val="en-AU" w:eastAsia="en-US"/>
        </w:rPr>
        <w:t>pMDI</w:t>
      </w:r>
      <w:r w:rsidRPr="00F0251C">
        <w:rPr>
          <w:rFonts w:eastAsia="Calibri"/>
          <w:sz w:val="24"/>
          <w:szCs w:val="24"/>
          <w:lang w:val="en-AU" w:eastAsia="en-US"/>
        </w:rPr>
        <w:t xml:space="preserve"> administered as two inhalations, twice-daily treatment in patients with a clinical diagnosis of COPD has been evaluated in this multicentre, double-blind, double-dummy, parallel group 52-week active-controlled study. It was compared to tiotropium bromide (TIO 18 micrograms) inhalation powder once-daily, and a two-inhaler triple therapy containing a the fixed combination beclomethasone dipropionate, formoterol fumarate (BDP/FF 100/6 micrograms) pMDI two inhalations twice-daily and tiotropium bromide inhalation powder (TIO 18 micrograms) once-daily [BDP/FF+TIO].</w:t>
      </w:r>
    </w:p>
    <w:p w14:paraId="10FF84F6" w14:textId="77777777" w:rsidR="002045BA" w:rsidRPr="00F0251C" w:rsidRDefault="002045BA" w:rsidP="002045BA">
      <w:pPr>
        <w:pStyle w:val="NoSpacing"/>
        <w:ind w:left="360"/>
        <w:rPr>
          <w:rFonts w:eastAsia="Calibri"/>
          <w:sz w:val="24"/>
          <w:szCs w:val="24"/>
          <w:lang w:val="en-AU" w:eastAsia="en-US"/>
        </w:rPr>
      </w:pPr>
    </w:p>
    <w:p w14:paraId="359C9374" w14:textId="77777777" w:rsidR="002045BA" w:rsidRPr="00F0251C" w:rsidRDefault="002045BA" w:rsidP="002045BA">
      <w:pPr>
        <w:pStyle w:val="NoSpacing"/>
        <w:ind w:left="360"/>
        <w:rPr>
          <w:rFonts w:eastAsia="Calibri"/>
          <w:sz w:val="24"/>
          <w:szCs w:val="24"/>
          <w:lang w:val="en-AU" w:eastAsia="en-US"/>
        </w:rPr>
      </w:pPr>
      <w:r w:rsidRPr="00F0251C">
        <w:rPr>
          <w:rFonts w:eastAsia="Calibri"/>
          <w:sz w:val="24"/>
          <w:szCs w:val="24"/>
          <w:lang w:val="en-AU" w:eastAsia="en-US"/>
        </w:rPr>
        <w:t>At screening, the mean post-bronchodilator FEV</w:t>
      </w:r>
      <w:r w:rsidRPr="00F0251C">
        <w:rPr>
          <w:rFonts w:eastAsia="Calibri"/>
          <w:sz w:val="24"/>
          <w:szCs w:val="24"/>
          <w:vertAlign w:val="subscript"/>
          <w:lang w:val="en-AU" w:eastAsia="en-US"/>
        </w:rPr>
        <w:t>1</w:t>
      </w:r>
      <w:r w:rsidRPr="00F0251C">
        <w:rPr>
          <w:rFonts w:eastAsia="Calibri"/>
          <w:sz w:val="24"/>
          <w:szCs w:val="24"/>
          <w:lang w:val="en-AU" w:eastAsia="en-US"/>
        </w:rPr>
        <w:t xml:space="preserve"> was 36.6% predicted, the mean reversibility was 7.75%, and the mean CAT score was 21.6. In the year prior to study entry, 79.7% of the patients had one moderate or severe COPD exacerbation, while 20.3% of the patients had experienced more than one exacerbation.</w:t>
      </w:r>
    </w:p>
    <w:p w14:paraId="52D1AAEC" w14:textId="77777777" w:rsidR="002045BA" w:rsidRPr="00F0251C" w:rsidRDefault="002045BA" w:rsidP="002045BA">
      <w:pPr>
        <w:pStyle w:val="NoSpacing"/>
        <w:ind w:left="360"/>
        <w:rPr>
          <w:rFonts w:eastAsia="Calibri"/>
          <w:sz w:val="24"/>
          <w:szCs w:val="24"/>
          <w:lang w:val="en-AU" w:eastAsia="en-US"/>
        </w:rPr>
      </w:pPr>
    </w:p>
    <w:p w14:paraId="5096FB25" w14:textId="77777777" w:rsidR="002045BA" w:rsidRPr="00F0251C" w:rsidRDefault="002045BA" w:rsidP="002045BA">
      <w:pPr>
        <w:pStyle w:val="NoSpacing"/>
        <w:ind w:left="360"/>
        <w:rPr>
          <w:rFonts w:eastAsia="Calibri"/>
          <w:sz w:val="24"/>
          <w:szCs w:val="24"/>
          <w:lang w:val="en-AU" w:eastAsia="en-US"/>
        </w:rPr>
      </w:pPr>
      <w:r>
        <w:rPr>
          <w:rFonts w:eastAsia="Calibri"/>
          <w:sz w:val="24"/>
          <w:szCs w:val="24"/>
          <w:lang w:val="en-AU" w:eastAsia="en-US"/>
        </w:rPr>
        <w:t>BDP/FF/GB</w:t>
      </w:r>
      <w:r w:rsidRPr="00F0251C">
        <w:rPr>
          <w:rFonts w:eastAsia="Calibri"/>
          <w:sz w:val="24"/>
          <w:szCs w:val="24"/>
          <w:lang w:val="en-AU" w:eastAsia="en-US"/>
        </w:rPr>
        <w:t xml:space="preserve"> demonstrated a statistically significant reduction in the annual rate of moderate/severe exacerbations (i.e. requiring treatment with antibiotics or corticosteroids or hospitalisation) compared with TIO (primary endpoint), as well as a statistically significant improvement in lung function (as defined by change from baseline in pre-dose FEV</w:t>
      </w:r>
      <w:r w:rsidRPr="00F0251C">
        <w:rPr>
          <w:rFonts w:eastAsia="Calibri"/>
          <w:sz w:val="24"/>
          <w:szCs w:val="24"/>
          <w:vertAlign w:val="subscript"/>
          <w:lang w:val="en-AU" w:eastAsia="en-US"/>
        </w:rPr>
        <w:t>1</w:t>
      </w:r>
      <w:r w:rsidRPr="00F0251C">
        <w:rPr>
          <w:rFonts w:eastAsia="Calibri"/>
          <w:sz w:val="24"/>
          <w:szCs w:val="24"/>
          <w:lang w:val="en-AU" w:eastAsia="en-US"/>
        </w:rPr>
        <w:t xml:space="preserve"> at Week 52; key secondary endpoint) compared with TIO (see Table 5).</w:t>
      </w:r>
    </w:p>
    <w:p w14:paraId="4B2DAB5C" w14:textId="77777777" w:rsidR="002045BA" w:rsidRPr="00F0251C" w:rsidRDefault="002045BA" w:rsidP="002045BA">
      <w:pPr>
        <w:pStyle w:val="NoSpacing"/>
        <w:ind w:left="360"/>
        <w:rPr>
          <w:rFonts w:eastAsia="Calibri"/>
          <w:sz w:val="24"/>
          <w:szCs w:val="24"/>
          <w:lang w:val="en-AU" w:eastAsia="en-US"/>
        </w:rPr>
      </w:pPr>
    </w:p>
    <w:p w14:paraId="3213B7FF" w14:textId="77777777" w:rsidR="002045BA" w:rsidRPr="00F0251C" w:rsidRDefault="002045BA" w:rsidP="002045BA">
      <w:pPr>
        <w:pStyle w:val="NoSpacing"/>
        <w:ind w:left="360"/>
        <w:rPr>
          <w:rFonts w:eastAsia="Calibri"/>
          <w:sz w:val="24"/>
          <w:szCs w:val="24"/>
          <w:lang w:val="en-AU" w:eastAsia="en-US"/>
        </w:rPr>
      </w:pPr>
      <w:r w:rsidRPr="00F0251C">
        <w:rPr>
          <w:rFonts w:eastAsia="Calibri"/>
          <w:sz w:val="24"/>
          <w:szCs w:val="24"/>
          <w:lang w:val="en-AU" w:eastAsia="en-US"/>
        </w:rPr>
        <w:lastRenderedPageBreak/>
        <w:t xml:space="preserve">In addition, no relevant differences were observed between </w:t>
      </w:r>
      <w:r>
        <w:rPr>
          <w:rFonts w:eastAsia="Calibri"/>
          <w:sz w:val="24"/>
          <w:szCs w:val="24"/>
          <w:lang w:val="en-AU" w:eastAsia="en-US"/>
        </w:rPr>
        <w:t>BDP/FF/GB</w:t>
      </w:r>
      <w:r w:rsidRPr="00F0251C">
        <w:rPr>
          <w:rFonts w:eastAsia="Calibri"/>
          <w:sz w:val="24"/>
          <w:szCs w:val="24"/>
          <w:lang w:val="en-AU" w:eastAsia="en-US"/>
        </w:rPr>
        <w:t xml:space="preserve"> and BDP/FF+TIO in terms of change from baseline in pre-dose FEV</w:t>
      </w:r>
      <w:r w:rsidRPr="00F0251C">
        <w:rPr>
          <w:rFonts w:eastAsia="Calibri"/>
          <w:sz w:val="24"/>
          <w:szCs w:val="24"/>
          <w:vertAlign w:val="subscript"/>
          <w:lang w:val="en-AU" w:eastAsia="en-US"/>
        </w:rPr>
        <w:t>1</w:t>
      </w:r>
      <w:r w:rsidRPr="00F0251C">
        <w:rPr>
          <w:rFonts w:eastAsia="Calibri"/>
          <w:sz w:val="24"/>
          <w:szCs w:val="24"/>
          <w:lang w:val="en-AU" w:eastAsia="en-US"/>
        </w:rPr>
        <w:t xml:space="preserve"> at Week 52 (key secondary endpoint) and moderate/severe exacerbation rate.</w:t>
      </w:r>
    </w:p>
    <w:p w14:paraId="398687BB" w14:textId="497C5125" w:rsidR="002045BA" w:rsidRPr="00F0251C" w:rsidRDefault="002045BA" w:rsidP="002045BA">
      <w:pPr>
        <w:pStyle w:val="NoSpacing"/>
        <w:ind w:left="360"/>
        <w:rPr>
          <w:rFonts w:eastAsia="Calibri"/>
          <w:sz w:val="24"/>
          <w:szCs w:val="24"/>
          <w:lang w:val="en-AU" w:eastAsia="en-US"/>
        </w:rPr>
      </w:pPr>
      <w:r>
        <w:rPr>
          <w:rFonts w:eastAsia="Calibri"/>
          <w:sz w:val="24"/>
          <w:szCs w:val="24"/>
          <w:lang w:val="en-AU" w:eastAsia="en-US"/>
        </w:rPr>
        <w:t>BDP/FF/GB s</w:t>
      </w:r>
      <w:r w:rsidRPr="00F0251C">
        <w:rPr>
          <w:rFonts w:eastAsia="Calibri"/>
          <w:sz w:val="24"/>
          <w:szCs w:val="24"/>
          <w:lang w:val="en-AU" w:eastAsia="en-US"/>
        </w:rPr>
        <w:t>howed improvement compared with TIO at Week 52 in health-related quality of life measured by the SGRQ total score.</w:t>
      </w:r>
    </w:p>
    <w:p w14:paraId="7911DF75" w14:textId="77777777" w:rsidR="002045BA" w:rsidRPr="00F0251C" w:rsidRDefault="002045BA" w:rsidP="002045BA">
      <w:pPr>
        <w:pStyle w:val="NoSpacing"/>
        <w:ind w:left="284"/>
        <w:rPr>
          <w:rFonts w:eastAsia="Calibri"/>
          <w:sz w:val="24"/>
          <w:szCs w:val="24"/>
          <w:lang w:val="en-AU" w:eastAsia="en-US"/>
        </w:rPr>
      </w:pPr>
    </w:p>
    <w:p w14:paraId="3DB67321" w14:textId="77777777" w:rsidR="002045BA" w:rsidRPr="00F0251C" w:rsidRDefault="002045BA" w:rsidP="002045BA">
      <w:pPr>
        <w:pStyle w:val="NoSpacing"/>
        <w:ind w:left="284"/>
        <w:rPr>
          <w:rFonts w:eastAsia="Calibri"/>
          <w:sz w:val="24"/>
          <w:szCs w:val="24"/>
          <w:lang w:val="en-AU" w:eastAsia="en-US"/>
        </w:rPr>
      </w:pPr>
      <w:r w:rsidRPr="00F0251C">
        <w:rPr>
          <w:b/>
          <w:bCs/>
          <w:color w:val="000000"/>
          <w:sz w:val="24"/>
          <w:szCs w:val="24"/>
          <w:lang w:val="en-AU"/>
        </w:rPr>
        <w:t>Table 5: Key efficacy endpoints, ITT population (Study CCD-1208-PR-0090, TRINITY)</w:t>
      </w:r>
    </w:p>
    <w:tbl>
      <w:tblPr>
        <w:tblStyle w:val="TableGrid"/>
        <w:tblW w:w="0" w:type="auto"/>
        <w:jc w:val="center"/>
        <w:tblLook w:val="04A0" w:firstRow="1" w:lastRow="0" w:firstColumn="1" w:lastColumn="0" w:noHBand="0" w:noVBand="1"/>
      </w:tblPr>
      <w:tblGrid>
        <w:gridCol w:w="4106"/>
        <w:gridCol w:w="1843"/>
        <w:gridCol w:w="1701"/>
        <w:gridCol w:w="1978"/>
      </w:tblGrid>
      <w:tr w:rsidR="002045BA" w:rsidRPr="00CE4166" w14:paraId="01EEB5AD" w14:textId="77777777" w:rsidTr="004A490D">
        <w:trPr>
          <w:trHeight w:val="724"/>
          <w:jc w:val="center"/>
        </w:trPr>
        <w:tc>
          <w:tcPr>
            <w:tcW w:w="4106" w:type="dxa"/>
          </w:tcPr>
          <w:p w14:paraId="06048BAD" w14:textId="77777777" w:rsidR="002045BA" w:rsidRPr="00F0251C" w:rsidRDefault="002045BA" w:rsidP="00D24B97">
            <w:pPr>
              <w:rPr>
                <w:rFonts w:ascii="Times New Roman" w:hAnsi="Times New Roman"/>
                <w:color w:val="000000"/>
                <w:sz w:val="22"/>
                <w:szCs w:val="22"/>
                <w:lang w:val="en-AU"/>
              </w:rPr>
            </w:pPr>
          </w:p>
        </w:tc>
        <w:tc>
          <w:tcPr>
            <w:tcW w:w="1843" w:type="dxa"/>
          </w:tcPr>
          <w:p w14:paraId="776F1E92" w14:textId="77777777" w:rsidR="002045BA" w:rsidRPr="00A30CE5" w:rsidRDefault="002045BA" w:rsidP="00D24B97">
            <w:pPr>
              <w:rPr>
                <w:rFonts w:ascii="Times New Roman" w:hAnsi="Times New Roman"/>
                <w:color w:val="000000"/>
                <w:sz w:val="22"/>
                <w:szCs w:val="22"/>
                <w:lang w:val="pt-BR"/>
              </w:rPr>
            </w:pPr>
            <w:r w:rsidRPr="00A30CE5">
              <w:rPr>
                <w:color w:val="000000"/>
                <w:sz w:val="22"/>
                <w:szCs w:val="22"/>
                <w:lang w:val="pt-BR"/>
              </w:rPr>
              <w:t xml:space="preserve">BDP/FF/GB 100/6/12.5 mcg </w:t>
            </w:r>
          </w:p>
          <w:p w14:paraId="7CF4C61D" w14:textId="77777777" w:rsidR="002045BA" w:rsidRPr="00A30CE5" w:rsidRDefault="002045BA" w:rsidP="00D24B97">
            <w:pPr>
              <w:rPr>
                <w:rFonts w:ascii="Times New Roman" w:hAnsi="Times New Roman"/>
                <w:color w:val="000000"/>
                <w:sz w:val="22"/>
                <w:szCs w:val="22"/>
                <w:lang w:val="pt-BR"/>
              </w:rPr>
            </w:pPr>
            <w:r w:rsidRPr="00A30CE5">
              <w:rPr>
                <w:color w:val="000000"/>
                <w:sz w:val="22"/>
                <w:szCs w:val="22"/>
                <w:lang w:val="pt-BR"/>
              </w:rPr>
              <w:t>(N = 1077)</w:t>
            </w:r>
          </w:p>
        </w:tc>
        <w:tc>
          <w:tcPr>
            <w:tcW w:w="1701" w:type="dxa"/>
          </w:tcPr>
          <w:p w14:paraId="55614922"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TIO 18 mcg</w:t>
            </w:r>
          </w:p>
          <w:p w14:paraId="103F8E46"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(N = 1074)</w:t>
            </w:r>
          </w:p>
        </w:tc>
        <w:tc>
          <w:tcPr>
            <w:tcW w:w="1978" w:type="dxa"/>
          </w:tcPr>
          <w:p w14:paraId="7141BCA3" w14:textId="77777777" w:rsidR="002045BA" w:rsidRPr="00A30CE5" w:rsidRDefault="002045BA" w:rsidP="00D24B97">
            <w:pPr>
              <w:rPr>
                <w:rFonts w:ascii="Times New Roman" w:hAnsi="Times New Roman"/>
                <w:color w:val="000000"/>
                <w:sz w:val="22"/>
                <w:szCs w:val="22"/>
                <w:lang w:val="pt-BR"/>
              </w:rPr>
            </w:pPr>
            <w:r w:rsidRPr="00A30CE5">
              <w:rPr>
                <w:color w:val="000000"/>
                <w:sz w:val="22"/>
                <w:szCs w:val="22"/>
                <w:lang w:val="pt-BR"/>
              </w:rPr>
              <w:t xml:space="preserve">BDP/FF 100/6 mcg + TIO </w:t>
            </w:r>
            <w:bookmarkStart w:id="13" w:name="_Hlk26458605"/>
            <w:r w:rsidRPr="00A30CE5">
              <w:rPr>
                <w:color w:val="000000"/>
                <w:sz w:val="22"/>
                <w:szCs w:val="22"/>
                <w:lang w:val="pt-BR"/>
              </w:rPr>
              <w:t>18 mcg</w:t>
            </w:r>
            <w:bookmarkEnd w:id="13"/>
            <w:r w:rsidRPr="00A30CE5">
              <w:rPr>
                <w:color w:val="000000"/>
                <w:sz w:val="22"/>
                <w:szCs w:val="22"/>
                <w:lang w:val="pt-BR"/>
              </w:rPr>
              <w:t xml:space="preserve"> (N=538)</w:t>
            </w:r>
          </w:p>
        </w:tc>
      </w:tr>
      <w:tr w:rsidR="002045BA" w:rsidRPr="00F0251C" w14:paraId="7D3F5239" w14:textId="77777777" w:rsidTr="004A490D">
        <w:trPr>
          <w:trHeight w:val="302"/>
          <w:jc w:val="center"/>
        </w:trPr>
        <w:tc>
          <w:tcPr>
            <w:tcW w:w="9628" w:type="dxa"/>
            <w:gridSpan w:val="4"/>
          </w:tcPr>
          <w:p w14:paraId="3DBC5616" w14:textId="77777777" w:rsidR="002045BA" w:rsidRPr="00F0251C" w:rsidRDefault="002045BA" w:rsidP="00D24B97">
            <w:pPr>
              <w:rPr>
                <w:rFonts w:ascii="Times New Roman" w:hAnsi="Times New Roman"/>
                <w:b/>
                <w:color w:val="000000"/>
                <w:sz w:val="22"/>
                <w:szCs w:val="22"/>
                <w:u w:val="single"/>
                <w:lang w:val="en-AU"/>
              </w:rPr>
            </w:pPr>
            <w:r w:rsidRPr="00F0251C">
              <w:rPr>
                <w:rFonts w:ascii="Times New Roman" w:hAnsi="Times New Roman"/>
                <w:b/>
                <w:color w:val="000000"/>
                <w:sz w:val="22"/>
                <w:szCs w:val="22"/>
                <w:u w:val="single"/>
                <w:lang w:val="en-AU"/>
              </w:rPr>
              <w:t>Primary endpoint</w:t>
            </w:r>
          </w:p>
        </w:tc>
      </w:tr>
      <w:tr w:rsidR="002045BA" w:rsidRPr="00F0251C" w14:paraId="67087440" w14:textId="77777777" w:rsidTr="004A490D">
        <w:trPr>
          <w:trHeight w:val="206"/>
          <w:jc w:val="center"/>
        </w:trPr>
        <w:tc>
          <w:tcPr>
            <w:tcW w:w="9628" w:type="dxa"/>
            <w:gridSpan w:val="4"/>
          </w:tcPr>
          <w:p w14:paraId="01424973" w14:textId="77777777"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lang w:val="en-AU"/>
              </w:rPr>
              <w:t>Moderate/severe COPD exacerbation rate</w:t>
            </w:r>
          </w:p>
        </w:tc>
      </w:tr>
      <w:tr w:rsidR="002045BA" w:rsidRPr="00F0251C" w14:paraId="735C2012" w14:textId="77777777" w:rsidTr="004A490D">
        <w:trPr>
          <w:trHeight w:val="248"/>
          <w:jc w:val="center"/>
        </w:trPr>
        <w:tc>
          <w:tcPr>
            <w:tcW w:w="4106" w:type="dxa"/>
          </w:tcPr>
          <w:p w14:paraId="4A60B349"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exacerbation rate per patient per year (95% CI)</w:t>
            </w:r>
          </w:p>
        </w:tc>
        <w:tc>
          <w:tcPr>
            <w:tcW w:w="1843" w:type="dxa"/>
          </w:tcPr>
          <w:p w14:paraId="7ACADC5F"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0.457 (0.412; 0.508)</w:t>
            </w:r>
          </w:p>
        </w:tc>
        <w:tc>
          <w:tcPr>
            <w:tcW w:w="1701" w:type="dxa"/>
          </w:tcPr>
          <w:p w14:paraId="53751515"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0.571 (0.517; 0.632)</w:t>
            </w:r>
          </w:p>
        </w:tc>
        <w:tc>
          <w:tcPr>
            <w:tcW w:w="1978" w:type="dxa"/>
          </w:tcPr>
          <w:p w14:paraId="4DB6A81C"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0.452 (0.389; 0.524)</w:t>
            </w:r>
          </w:p>
        </w:tc>
      </w:tr>
      <w:tr w:rsidR="002045BA" w:rsidRPr="00F0251C" w14:paraId="30F313EC" w14:textId="77777777" w:rsidTr="004A490D">
        <w:trPr>
          <w:trHeight w:val="237"/>
          <w:jc w:val="center"/>
        </w:trPr>
        <w:tc>
          <w:tcPr>
            <w:tcW w:w="4106" w:type="dxa"/>
          </w:tcPr>
          <w:p w14:paraId="304753F1"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rate ratio</w:t>
            </w:r>
            <w:r>
              <w:rPr>
                <w:rFonts w:ascii="Times New Roman" w:hAnsi="Times New Roman"/>
                <w:color w:val="000000"/>
                <w:sz w:val="22"/>
                <w:szCs w:val="22"/>
                <w:lang w:val="en-AU"/>
              </w:rPr>
              <w:t xml:space="preserve"> BDP/FF/GB</w:t>
            </w:r>
            <w:r w:rsidRPr="00F0251C">
              <w:rPr>
                <w:rFonts w:ascii="Times New Roman" w:hAnsi="Times New Roman"/>
                <w:color w:val="000000"/>
                <w:sz w:val="22"/>
                <w:szCs w:val="22"/>
                <w:lang w:val="en-AU"/>
              </w:rPr>
              <w:t xml:space="preserve"> vs TIO (95% CI)</w:t>
            </w:r>
          </w:p>
          <w:p w14:paraId="3B6C12B4"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p-value</w:t>
            </w:r>
          </w:p>
        </w:tc>
        <w:tc>
          <w:tcPr>
            <w:tcW w:w="5522" w:type="dxa"/>
            <w:gridSpan w:val="3"/>
          </w:tcPr>
          <w:p w14:paraId="54658731" w14:textId="77777777" w:rsidR="00F57EE1" w:rsidRDefault="00F57EE1" w:rsidP="00D24B97">
            <w:pPr>
              <w:jc w:val="center"/>
              <w:rPr>
                <w:rFonts w:ascii="Times New Roman" w:hAnsi="Times New Roman"/>
                <w:color w:val="000000"/>
                <w:sz w:val="22"/>
                <w:szCs w:val="22"/>
                <w:lang w:val="en-AU"/>
              </w:rPr>
            </w:pPr>
          </w:p>
          <w:p w14:paraId="3C16482D" w14:textId="631C6BEE"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0.773 (0.647; 0.924)</w:t>
            </w:r>
          </w:p>
          <w:p w14:paraId="3DDBB672"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0.005</w:t>
            </w:r>
          </w:p>
        </w:tc>
      </w:tr>
      <w:tr w:rsidR="002045BA" w:rsidRPr="00F0251C" w14:paraId="6DE891BE" w14:textId="77777777" w:rsidTr="004A490D">
        <w:trPr>
          <w:trHeight w:val="237"/>
          <w:jc w:val="center"/>
        </w:trPr>
        <w:tc>
          <w:tcPr>
            <w:tcW w:w="4106" w:type="dxa"/>
          </w:tcPr>
          <w:p w14:paraId="78501CC6"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rate ratio</w:t>
            </w:r>
            <w:r>
              <w:rPr>
                <w:rFonts w:ascii="Times New Roman" w:hAnsi="Times New Roman"/>
                <w:color w:val="000000"/>
                <w:sz w:val="22"/>
                <w:szCs w:val="22"/>
                <w:lang w:val="en-AU"/>
              </w:rPr>
              <w:t xml:space="preserve"> BDP/FF/GB</w:t>
            </w:r>
            <w:r w:rsidRPr="00F0251C">
              <w:rPr>
                <w:rFonts w:ascii="Times New Roman" w:hAnsi="Times New Roman"/>
                <w:color w:val="000000"/>
                <w:sz w:val="22"/>
                <w:szCs w:val="22"/>
                <w:lang w:val="en-AU"/>
              </w:rPr>
              <w:t xml:space="preserve"> vs BDP/FF+TIO (95% CI)</w:t>
            </w:r>
          </w:p>
          <w:p w14:paraId="346CC22E"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p-value</w:t>
            </w:r>
          </w:p>
        </w:tc>
        <w:tc>
          <w:tcPr>
            <w:tcW w:w="5522" w:type="dxa"/>
            <w:gridSpan w:val="3"/>
          </w:tcPr>
          <w:p w14:paraId="4B622811" w14:textId="77777777" w:rsidR="002045BA" w:rsidRPr="00F0251C" w:rsidRDefault="002045BA" w:rsidP="00D24B97">
            <w:pPr>
              <w:jc w:val="center"/>
              <w:rPr>
                <w:rFonts w:ascii="Times New Roman" w:hAnsi="Times New Roman"/>
                <w:color w:val="000000"/>
                <w:sz w:val="22"/>
                <w:szCs w:val="22"/>
                <w:lang w:val="en-AU"/>
              </w:rPr>
            </w:pPr>
          </w:p>
          <w:p w14:paraId="0FA7E759"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1.013 (0.846; 1.214)</w:t>
            </w:r>
          </w:p>
          <w:p w14:paraId="37630CA3"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0.887</w:t>
            </w:r>
          </w:p>
        </w:tc>
      </w:tr>
      <w:tr w:rsidR="002045BA" w:rsidRPr="00F0251C" w14:paraId="4DC65C32" w14:textId="77777777" w:rsidTr="004A490D">
        <w:trPr>
          <w:trHeight w:val="237"/>
          <w:jc w:val="center"/>
        </w:trPr>
        <w:tc>
          <w:tcPr>
            <w:tcW w:w="9628" w:type="dxa"/>
            <w:gridSpan w:val="4"/>
          </w:tcPr>
          <w:p w14:paraId="0E2C1FA3" w14:textId="77777777"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u w:val="single"/>
                <w:lang w:val="en-AU"/>
              </w:rPr>
              <w:t>Key-secondary endpoint</w:t>
            </w:r>
          </w:p>
        </w:tc>
      </w:tr>
      <w:tr w:rsidR="002045BA" w:rsidRPr="00F0251C" w14:paraId="20C022C8" w14:textId="77777777" w:rsidTr="004A490D">
        <w:trPr>
          <w:trHeight w:val="237"/>
          <w:jc w:val="center"/>
        </w:trPr>
        <w:tc>
          <w:tcPr>
            <w:tcW w:w="9628" w:type="dxa"/>
            <w:gridSpan w:val="4"/>
          </w:tcPr>
          <w:p w14:paraId="4DCBDBE8" w14:textId="77777777"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lang w:val="en-AU"/>
              </w:rPr>
              <w:t>Change from baseline in pre-dose morning FEV</w:t>
            </w:r>
            <w:r w:rsidRPr="00F0251C">
              <w:rPr>
                <w:rFonts w:ascii="Times New Roman" w:hAnsi="Times New Roman"/>
                <w:b/>
                <w:color w:val="000000"/>
                <w:sz w:val="22"/>
                <w:szCs w:val="22"/>
                <w:vertAlign w:val="subscript"/>
                <w:lang w:val="en-AU"/>
              </w:rPr>
              <w:t>1</w:t>
            </w:r>
            <w:r w:rsidRPr="00F0251C">
              <w:rPr>
                <w:rFonts w:ascii="Times New Roman" w:hAnsi="Times New Roman"/>
                <w:b/>
                <w:color w:val="000000"/>
                <w:sz w:val="22"/>
                <w:szCs w:val="22"/>
                <w:lang w:val="en-AU"/>
              </w:rPr>
              <w:t xml:space="preserve"> (L) at Week 52 (L)</w:t>
            </w:r>
          </w:p>
        </w:tc>
      </w:tr>
      <w:tr w:rsidR="002045BA" w:rsidRPr="00F0251C" w14:paraId="27786294" w14:textId="77777777" w:rsidTr="004A490D">
        <w:trPr>
          <w:trHeight w:val="237"/>
          <w:jc w:val="center"/>
        </w:trPr>
        <w:tc>
          <w:tcPr>
            <w:tcW w:w="4106" w:type="dxa"/>
          </w:tcPr>
          <w:p w14:paraId="060321C9"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n</w:t>
            </w:r>
          </w:p>
          <w:p w14:paraId="4133C84D"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(95% CI)</w:t>
            </w:r>
          </w:p>
        </w:tc>
        <w:tc>
          <w:tcPr>
            <w:tcW w:w="1843" w:type="dxa"/>
          </w:tcPr>
          <w:p w14:paraId="7A981938"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985</w:t>
            </w:r>
          </w:p>
          <w:p w14:paraId="380C8516"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0.082 (0.065; 0.100)</w:t>
            </w:r>
          </w:p>
        </w:tc>
        <w:tc>
          <w:tcPr>
            <w:tcW w:w="1701" w:type="dxa"/>
          </w:tcPr>
          <w:p w14:paraId="535A6DB0"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921</w:t>
            </w:r>
          </w:p>
          <w:p w14:paraId="4F2EEAD4"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0.021 (0.003; 0.039)</w:t>
            </w:r>
          </w:p>
        </w:tc>
        <w:tc>
          <w:tcPr>
            <w:tcW w:w="1978" w:type="dxa"/>
          </w:tcPr>
          <w:p w14:paraId="55F3A473"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495</w:t>
            </w:r>
          </w:p>
          <w:p w14:paraId="7EF8BD05"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0.085 (0.061; 0.110)</w:t>
            </w:r>
          </w:p>
        </w:tc>
      </w:tr>
      <w:tr w:rsidR="002045BA" w:rsidRPr="00F0251C" w14:paraId="2FA1380D" w14:textId="77777777" w:rsidTr="004A490D">
        <w:trPr>
          <w:trHeight w:val="237"/>
          <w:jc w:val="center"/>
        </w:trPr>
        <w:tc>
          <w:tcPr>
            <w:tcW w:w="4106" w:type="dxa"/>
          </w:tcPr>
          <w:p w14:paraId="506A81AF"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difference</w:t>
            </w:r>
            <w:r>
              <w:rPr>
                <w:rFonts w:ascii="Times New Roman" w:hAnsi="Times New Roman"/>
                <w:color w:val="000000"/>
                <w:sz w:val="22"/>
                <w:szCs w:val="22"/>
                <w:lang w:val="en-AU"/>
              </w:rPr>
              <w:t xml:space="preserve"> BDP/FF/GB</w:t>
            </w:r>
            <w:r w:rsidRPr="00F0251C">
              <w:rPr>
                <w:rFonts w:ascii="Times New Roman" w:hAnsi="Times New Roman"/>
                <w:color w:val="000000"/>
                <w:sz w:val="22"/>
                <w:szCs w:val="22"/>
                <w:lang w:val="en-AU"/>
              </w:rPr>
              <w:t xml:space="preserve"> vs TIO (95% CI)</w:t>
            </w:r>
          </w:p>
          <w:p w14:paraId="20FE0013"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p-value</w:t>
            </w:r>
          </w:p>
        </w:tc>
        <w:tc>
          <w:tcPr>
            <w:tcW w:w="5522" w:type="dxa"/>
            <w:gridSpan w:val="3"/>
          </w:tcPr>
          <w:p w14:paraId="60F27EF5" w14:textId="77777777" w:rsidR="00F57EE1" w:rsidRDefault="00F57EE1" w:rsidP="00D24B97">
            <w:pPr>
              <w:jc w:val="center"/>
              <w:rPr>
                <w:rFonts w:ascii="Times New Roman" w:hAnsi="Times New Roman"/>
                <w:color w:val="000000"/>
                <w:sz w:val="22"/>
                <w:szCs w:val="22"/>
                <w:lang w:val="en-AU"/>
              </w:rPr>
            </w:pPr>
          </w:p>
          <w:p w14:paraId="4B55A926" w14:textId="560034B2"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0.061 (0.037; 0.086)</w:t>
            </w:r>
          </w:p>
          <w:p w14:paraId="30470540"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&lt; 0.001</w:t>
            </w:r>
          </w:p>
        </w:tc>
      </w:tr>
      <w:tr w:rsidR="002045BA" w:rsidRPr="00F0251C" w14:paraId="155B97CC" w14:textId="77777777" w:rsidTr="004A490D">
        <w:trPr>
          <w:trHeight w:val="237"/>
          <w:jc w:val="center"/>
        </w:trPr>
        <w:tc>
          <w:tcPr>
            <w:tcW w:w="4106" w:type="dxa"/>
          </w:tcPr>
          <w:p w14:paraId="56F00F5B"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difference</w:t>
            </w:r>
            <w:r>
              <w:rPr>
                <w:rFonts w:ascii="Times New Roman" w:hAnsi="Times New Roman"/>
                <w:color w:val="000000"/>
                <w:sz w:val="22"/>
                <w:szCs w:val="22"/>
                <w:lang w:val="en-AU"/>
              </w:rPr>
              <w:t xml:space="preserve"> BDP/FF/GB</w:t>
            </w:r>
            <w:r w:rsidRPr="00F0251C">
              <w:rPr>
                <w:rFonts w:ascii="Times New Roman" w:hAnsi="Times New Roman"/>
                <w:color w:val="000000"/>
                <w:sz w:val="22"/>
                <w:szCs w:val="22"/>
                <w:lang w:val="en-AU"/>
              </w:rPr>
              <w:t xml:space="preserve"> vs BDP/FF+TIO (95% CI)</w:t>
            </w:r>
          </w:p>
          <w:p w14:paraId="5289FE95"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p-value</w:t>
            </w:r>
          </w:p>
        </w:tc>
        <w:tc>
          <w:tcPr>
            <w:tcW w:w="5522" w:type="dxa"/>
            <w:gridSpan w:val="3"/>
          </w:tcPr>
          <w:p w14:paraId="12F882E2" w14:textId="77777777" w:rsidR="002045BA" w:rsidRPr="00F0251C" w:rsidRDefault="002045BA" w:rsidP="00D24B97">
            <w:pPr>
              <w:jc w:val="center"/>
              <w:rPr>
                <w:rFonts w:ascii="Times New Roman" w:hAnsi="Times New Roman"/>
                <w:color w:val="000000"/>
                <w:sz w:val="22"/>
                <w:szCs w:val="22"/>
                <w:lang w:val="en-AU"/>
              </w:rPr>
            </w:pPr>
          </w:p>
          <w:p w14:paraId="62C1C907"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-0.003 (-0.033; 0.027)</w:t>
            </w:r>
          </w:p>
          <w:p w14:paraId="3F4A02D6"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0.852</w:t>
            </w:r>
          </w:p>
        </w:tc>
      </w:tr>
      <w:tr w:rsidR="002045BA" w:rsidRPr="00F0251C" w14:paraId="749773FA" w14:textId="77777777" w:rsidTr="004A490D">
        <w:trPr>
          <w:trHeight w:val="301"/>
          <w:jc w:val="center"/>
        </w:trPr>
        <w:tc>
          <w:tcPr>
            <w:tcW w:w="9628" w:type="dxa"/>
            <w:gridSpan w:val="4"/>
          </w:tcPr>
          <w:p w14:paraId="75DB2E98" w14:textId="77777777" w:rsidR="002045BA" w:rsidRPr="00F0251C" w:rsidRDefault="002045BA" w:rsidP="00D24B97">
            <w:pPr>
              <w:rPr>
                <w:rFonts w:ascii="Times New Roman" w:hAnsi="Times New Roman"/>
                <w:b/>
                <w:color w:val="000000"/>
                <w:sz w:val="22"/>
                <w:szCs w:val="22"/>
                <w:u w:val="single"/>
                <w:lang w:val="en-AU"/>
              </w:rPr>
            </w:pPr>
            <w:r w:rsidRPr="00F0251C">
              <w:rPr>
                <w:rFonts w:ascii="Times New Roman" w:hAnsi="Times New Roman"/>
                <w:b/>
                <w:color w:val="000000"/>
                <w:sz w:val="22"/>
                <w:szCs w:val="22"/>
                <w:u w:val="single"/>
                <w:lang w:val="en-AU"/>
              </w:rPr>
              <w:t>Secondary endpoints</w:t>
            </w:r>
          </w:p>
        </w:tc>
      </w:tr>
      <w:tr w:rsidR="002045BA" w:rsidRPr="00F0251C" w14:paraId="214D8465" w14:textId="77777777" w:rsidTr="004A490D">
        <w:trPr>
          <w:trHeight w:val="237"/>
          <w:jc w:val="center"/>
        </w:trPr>
        <w:tc>
          <w:tcPr>
            <w:tcW w:w="9628" w:type="dxa"/>
            <w:gridSpan w:val="4"/>
          </w:tcPr>
          <w:p w14:paraId="71493A46" w14:textId="77777777"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lang w:val="en-AU"/>
              </w:rPr>
              <w:t>Time to first moderate/severe COPD exacerbation</w:t>
            </w:r>
          </w:p>
        </w:tc>
      </w:tr>
      <w:tr w:rsidR="002045BA" w:rsidRPr="00F0251C" w14:paraId="04796942" w14:textId="77777777" w:rsidTr="004A490D">
        <w:trPr>
          <w:trHeight w:val="237"/>
          <w:jc w:val="center"/>
        </w:trPr>
        <w:tc>
          <w:tcPr>
            <w:tcW w:w="4106" w:type="dxa"/>
          </w:tcPr>
          <w:p w14:paraId="35DCDF00"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Hazard ratio</w:t>
            </w:r>
            <w:r>
              <w:rPr>
                <w:rFonts w:ascii="Times New Roman" w:hAnsi="Times New Roman"/>
                <w:color w:val="000000"/>
                <w:sz w:val="22"/>
                <w:szCs w:val="22"/>
                <w:lang w:val="en-AU"/>
              </w:rPr>
              <w:t xml:space="preserve"> BDP/FF/GB</w:t>
            </w:r>
            <w:r w:rsidRPr="00F0251C">
              <w:rPr>
                <w:rFonts w:ascii="Times New Roman" w:hAnsi="Times New Roman"/>
                <w:color w:val="000000"/>
                <w:sz w:val="22"/>
                <w:szCs w:val="22"/>
                <w:lang w:val="en-AU"/>
              </w:rPr>
              <w:t xml:space="preserve"> vs TIO (95% CI)</w:t>
            </w:r>
          </w:p>
          <w:p w14:paraId="7563C156" w14:textId="4141D8F4" w:rsidR="002045BA" w:rsidRPr="00F0251C" w:rsidRDefault="002045BA" w:rsidP="00D24B97">
            <w:pPr>
              <w:rPr>
                <w:rFonts w:ascii="Times New Roman" w:hAnsi="Times New Roman"/>
                <w:color w:val="000000"/>
                <w:sz w:val="22"/>
                <w:szCs w:val="22"/>
                <w:lang w:val="en-AU"/>
              </w:rPr>
            </w:pPr>
          </w:p>
        </w:tc>
        <w:tc>
          <w:tcPr>
            <w:tcW w:w="5522" w:type="dxa"/>
            <w:gridSpan w:val="3"/>
          </w:tcPr>
          <w:p w14:paraId="0EFD053E"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0.836 (0.723; 0.966)</w:t>
            </w:r>
          </w:p>
          <w:p w14:paraId="1BBEDEE3" w14:textId="162CD153" w:rsidR="002045BA" w:rsidRPr="00F0251C" w:rsidRDefault="002045BA" w:rsidP="00D24B97">
            <w:pPr>
              <w:jc w:val="center"/>
              <w:rPr>
                <w:rFonts w:ascii="Times New Roman" w:hAnsi="Times New Roman"/>
                <w:color w:val="000000"/>
                <w:sz w:val="22"/>
                <w:szCs w:val="22"/>
                <w:lang w:val="en-AU"/>
              </w:rPr>
            </w:pPr>
          </w:p>
        </w:tc>
      </w:tr>
      <w:tr w:rsidR="002045BA" w:rsidRPr="00F0251C" w14:paraId="2B735C1B" w14:textId="77777777" w:rsidTr="004A490D">
        <w:trPr>
          <w:trHeight w:val="237"/>
          <w:jc w:val="center"/>
        </w:trPr>
        <w:tc>
          <w:tcPr>
            <w:tcW w:w="4106" w:type="dxa"/>
          </w:tcPr>
          <w:p w14:paraId="40C7C4B2"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Hazard ratio</w:t>
            </w:r>
            <w:r>
              <w:rPr>
                <w:rFonts w:ascii="Times New Roman" w:hAnsi="Times New Roman"/>
                <w:color w:val="000000"/>
                <w:sz w:val="22"/>
                <w:szCs w:val="22"/>
                <w:lang w:val="en-AU"/>
              </w:rPr>
              <w:t xml:space="preserve"> BDP/FF/GB</w:t>
            </w:r>
            <w:r w:rsidRPr="00F0251C">
              <w:rPr>
                <w:rFonts w:ascii="Times New Roman" w:hAnsi="Times New Roman"/>
                <w:color w:val="000000"/>
                <w:sz w:val="22"/>
                <w:szCs w:val="22"/>
                <w:lang w:val="en-AU"/>
              </w:rPr>
              <w:t xml:space="preserve"> vs BDP/FF+TIO (95% CI)</w:t>
            </w:r>
          </w:p>
          <w:p w14:paraId="4AD1B196" w14:textId="506717F8" w:rsidR="002045BA" w:rsidRPr="00F0251C" w:rsidRDefault="002045BA" w:rsidP="00D24B97">
            <w:pPr>
              <w:rPr>
                <w:rFonts w:ascii="Times New Roman" w:hAnsi="Times New Roman"/>
                <w:color w:val="000000"/>
                <w:sz w:val="22"/>
                <w:szCs w:val="22"/>
                <w:lang w:val="en-AU"/>
              </w:rPr>
            </w:pPr>
          </w:p>
        </w:tc>
        <w:tc>
          <w:tcPr>
            <w:tcW w:w="5522" w:type="dxa"/>
            <w:gridSpan w:val="3"/>
          </w:tcPr>
          <w:p w14:paraId="6996A7EC" w14:textId="77777777" w:rsidR="002045BA" w:rsidRPr="00F0251C" w:rsidRDefault="002045BA" w:rsidP="00D24B97">
            <w:pPr>
              <w:jc w:val="center"/>
              <w:rPr>
                <w:rFonts w:ascii="Times New Roman" w:hAnsi="Times New Roman"/>
                <w:color w:val="000000"/>
                <w:sz w:val="22"/>
                <w:szCs w:val="22"/>
                <w:lang w:val="en-AU"/>
              </w:rPr>
            </w:pPr>
          </w:p>
          <w:p w14:paraId="53B5002B"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1.055 (0.877; 1.269)</w:t>
            </w:r>
          </w:p>
          <w:p w14:paraId="61D45FFD" w14:textId="1E0F757D" w:rsidR="002045BA" w:rsidRPr="00F0251C" w:rsidRDefault="002045BA" w:rsidP="00D24B97">
            <w:pPr>
              <w:jc w:val="center"/>
              <w:rPr>
                <w:rFonts w:ascii="Times New Roman" w:hAnsi="Times New Roman"/>
                <w:color w:val="000000"/>
                <w:sz w:val="22"/>
                <w:szCs w:val="22"/>
                <w:lang w:val="en-AU"/>
              </w:rPr>
            </w:pPr>
          </w:p>
        </w:tc>
      </w:tr>
      <w:tr w:rsidR="002045BA" w:rsidRPr="00F0251C" w14:paraId="5C36BC76" w14:textId="77777777" w:rsidTr="004A490D">
        <w:trPr>
          <w:trHeight w:val="237"/>
          <w:jc w:val="center"/>
        </w:trPr>
        <w:tc>
          <w:tcPr>
            <w:tcW w:w="9628" w:type="dxa"/>
            <w:gridSpan w:val="4"/>
          </w:tcPr>
          <w:p w14:paraId="03A14091" w14:textId="77777777"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lang w:val="en-AU"/>
              </w:rPr>
              <w:t>FEV</w:t>
            </w:r>
            <w:r w:rsidRPr="00F0251C">
              <w:rPr>
                <w:rFonts w:ascii="Times New Roman" w:hAnsi="Times New Roman"/>
                <w:b/>
                <w:color w:val="000000"/>
                <w:sz w:val="22"/>
                <w:szCs w:val="22"/>
                <w:vertAlign w:val="subscript"/>
                <w:lang w:val="en-AU"/>
              </w:rPr>
              <w:t>1</w:t>
            </w:r>
            <w:r w:rsidRPr="00F0251C">
              <w:rPr>
                <w:rFonts w:ascii="Times New Roman" w:hAnsi="Times New Roman"/>
                <w:b/>
                <w:color w:val="000000"/>
                <w:sz w:val="22"/>
                <w:szCs w:val="22"/>
                <w:lang w:val="en-AU"/>
              </w:rPr>
              <w:t xml:space="preserve"> responders</w:t>
            </w:r>
            <w:r w:rsidRPr="00F0251C">
              <w:rPr>
                <w:rFonts w:ascii="Times New Roman" w:hAnsi="Times New Roman"/>
                <w:b/>
                <w:color w:val="000000"/>
                <w:sz w:val="22"/>
                <w:szCs w:val="22"/>
                <w:vertAlign w:val="superscript"/>
                <w:lang w:val="en-AU"/>
              </w:rPr>
              <w:t>a</w:t>
            </w:r>
            <w:r w:rsidRPr="00F0251C">
              <w:rPr>
                <w:rFonts w:ascii="Times New Roman" w:hAnsi="Times New Roman"/>
                <w:b/>
                <w:color w:val="000000"/>
                <w:sz w:val="22"/>
                <w:szCs w:val="22"/>
                <w:lang w:val="en-AU"/>
              </w:rPr>
              <w:t xml:space="preserve"> at Week 52</w:t>
            </w:r>
          </w:p>
        </w:tc>
      </w:tr>
      <w:tr w:rsidR="002045BA" w:rsidRPr="00F0251C" w14:paraId="2DADBE3E" w14:textId="77777777" w:rsidTr="004A490D">
        <w:trPr>
          <w:trHeight w:val="237"/>
          <w:jc w:val="center"/>
        </w:trPr>
        <w:tc>
          <w:tcPr>
            <w:tcW w:w="4106" w:type="dxa"/>
          </w:tcPr>
          <w:p w14:paraId="3AE8E724"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Number of responders (%)</w:t>
            </w:r>
          </w:p>
        </w:tc>
        <w:tc>
          <w:tcPr>
            <w:tcW w:w="1843" w:type="dxa"/>
          </w:tcPr>
          <w:p w14:paraId="13F8159D"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408 (37.9%)</w:t>
            </w:r>
          </w:p>
        </w:tc>
        <w:tc>
          <w:tcPr>
            <w:tcW w:w="1701" w:type="dxa"/>
          </w:tcPr>
          <w:p w14:paraId="2F61F117"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295 (27.5%)</w:t>
            </w:r>
          </w:p>
        </w:tc>
        <w:tc>
          <w:tcPr>
            <w:tcW w:w="1978" w:type="dxa"/>
          </w:tcPr>
          <w:p w14:paraId="5B6ADD04"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210 (39.0%)</w:t>
            </w:r>
          </w:p>
        </w:tc>
      </w:tr>
      <w:tr w:rsidR="002045BA" w:rsidRPr="00F0251C" w14:paraId="0C1D8FE7" w14:textId="77777777" w:rsidTr="004A490D">
        <w:trPr>
          <w:trHeight w:val="237"/>
          <w:jc w:val="center"/>
        </w:trPr>
        <w:tc>
          <w:tcPr>
            <w:tcW w:w="4106" w:type="dxa"/>
          </w:tcPr>
          <w:p w14:paraId="7D68178D"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Odds ratio</w:t>
            </w:r>
            <w:r>
              <w:rPr>
                <w:rFonts w:ascii="Times New Roman" w:hAnsi="Times New Roman"/>
                <w:color w:val="000000"/>
                <w:sz w:val="22"/>
                <w:szCs w:val="22"/>
                <w:lang w:val="en-AU"/>
              </w:rPr>
              <w:t xml:space="preserve"> BDP/FF/GB</w:t>
            </w:r>
            <w:r w:rsidRPr="00F0251C">
              <w:rPr>
                <w:rFonts w:ascii="Times New Roman" w:hAnsi="Times New Roman"/>
                <w:color w:val="000000"/>
                <w:sz w:val="22"/>
                <w:szCs w:val="22"/>
                <w:lang w:val="en-AU"/>
              </w:rPr>
              <w:t xml:space="preserve"> vs TIO (95% CI)</w:t>
            </w:r>
          </w:p>
          <w:p w14:paraId="1D5C83EC" w14:textId="521B0191" w:rsidR="002045BA" w:rsidRPr="00F0251C" w:rsidRDefault="002045BA" w:rsidP="00D24B97">
            <w:pPr>
              <w:rPr>
                <w:rFonts w:ascii="Times New Roman" w:hAnsi="Times New Roman"/>
                <w:color w:val="000000"/>
                <w:sz w:val="22"/>
                <w:szCs w:val="22"/>
                <w:lang w:val="en-AU"/>
              </w:rPr>
            </w:pPr>
          </w:p>
        </w:tc>
        <w:tc>
          <w:tcPr>
            <w:tcW w:w="5522" w:type="dxa"/>
            <w:gridSpan w:val="3"/>
          </w:tcPr>
          <w:p w14:paraId="013DA66A"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1.62 (1.35, 1.95)</w:t>
            </w:r>
          </w:p>
          <w:p w14:paraId="3525F465" w14:textId="71180A9D" w:rsidR="002045BA" w:rsidRPr="00F0251C" w:rsidRDefault="002045BA" w:rsidP="00D24B97">
            <w:pPr>
              <w:jc w:val="center"/>
              <w:rPr>
                <w:rFonts w:ascii="Times New Roman" w:hAnsi="Times New Roman"/>
                <w:color w:val="000000"/>
                <w:sz w:val="22"/>
                <w:szCs w:val="22"/>
                <w:lang w:val="en-AU"/>
              </w:rPr>
            </w:pPr>
          </w:p>
        </w:tc>
      </w:tr>
      <w:tr w:rsidR="002045BA" w:rsidRPr="00F0251C" w14:paraId="22C6D9A1" w14:textId="77777777" w:rsidTr="004A490D">
        <w:trPr>
          <w:trHeight w:val="237"/>
          <w:jc w:val="center"/>
        </w:trPr>
        <w:tc>
          <w:tcPr>
            <w:tcW w:w="4106" w:type="dxa"/>
          </w:tcPr>
          <w:p w14:paraId="65263B4A"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Odds ratio</w:t>
            </w:r>
            <w:r>
              <w:rPr>
                <w:rFonts w:ascii="Times New Roman" w:hAnsi="Times New Roman"/>
                <w:color w:val="000000"/>
                <w:sz w:val="22"/>
                <w:szCs w:val="22"/>
                <w:lang w:val="en-AU"/>
              </w:rPr>
              <w:t xml:space="preserve"> BDP/FF/GB</w:t>
            </w:r>
            <w:r w:rsidRPr="00F0251C">
              <w:rPr>
                <w:rFonts w:ascii="Times New Roman" w:hAnsi="Times New Roman"/>
                <w:color w:val="000000"/>
                <w:sz w:val="22"/>
                <w:szCs w:val="22"/>
                <w:lang w:val="en-AU"/>
              </w:rPr>
              <w:t xml:space="preserve"> vs BDP/FF+TIO (95% CI)</w:t>
            </w:r>
          </w:p>
          <w:p w14:paraId="06BD6815" w14:textId="425C1B4D" w:rsidR="002045BA" w:rsidRPr="00F0251C" w:rsidRDefault="002045BA" w:rsidP="00D24B97">
            <w:pPr>
              <w:rPr>
                <w:rFonts w:ascii="Times New Roman" w:hAnsi="Times New Roman"/>
                <w:color w:val="000000"/>
                <w:sz w:val="22"/>
                <w:szCs w:val="22"/>
                <w:lang w:val="en-AU"/>
              </w:rPr>
            </w:pPr>
          </w:p>
        </w:tc>
        <w:tc>
          <w:tcPr>
            <w:tcW w:w="5522" w:type="dxa"/>
            <w:gridSpan w:val="3"/>
          </w:tcPr>
          <w:p w14:paraId="7FE3D8DE"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0.95 (0.76; 1.18)</w:t>
            </w:r>
          </w:p>
          <w:p w14:paraId="6303C5C4" w14:textId="629032F6" w:rsidR="002045BA" w:rsidRPr="00F0251C" w:rsidRDefault="002045BA" w:rsidP="00D24B97">
            <w:pPr>
              <w:jc w:val="center"/>
              <w:rPr>
                <w:rFonts w:ascii="Times New Roman" w:hAnsi="Times New Roman"/>
                <w:color w:val="000000"/>
                <w:sz w:val="22"/>
                <w:szCs w:val="22"/>
                <w:lang w:val="en-AU"/>
              </w:rPr>
            </w:pPr>
          </w:p>
        </w:tc>
      </w:tr>
      <w:tr w:rsidR="002045BA" w:rsidRPr="00F0251C" w14:paraId="0AF9EFFE" w14:textId="77777777" w:rsidTr="004A490D">
        <w:trPr>
          <w:trHeight w:val="206"/>
          <w:jc w:val="center"/>
        </w:trPr>
        <w:tc>
          <w:tcPr>
            <w:tcW w:w="7650" w:type="dxa"/>
            <w:gridSpan w:val="3"/>
          </w:tcPr>
          <w:p w14:paraId="4197BEC5" w14:textId="77777777"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lang w:val="en-AU"/>
              </w:rPr>
              <w:t>Change from baseline in SGRQ total score at Week 52</w:t>
            </w:r>
          </w:p>
        </w:tc>
        <w:tc>
          <w:tcPr>
            <w:tcW w:w="1978" w:type="dxa"/>
          </w:tcPr>
          <w:p w14:paraId="757E57C4" w14:textId="77777777" w:rsidR="002045BA" w:rsidRPr="00F0251C" w:rsidRDefault="002045BA" w:rsidP="00D24B97">
            <w:pPr>
              <w:rPr>
                <w:rFonts w:ascii="Times New Roman" w:hAnsi="Times New Roman"/>
                <w:color w:val="000000"/>
                <w:sz w:val="22"/>
                <w:szCs w:val="22"/>
                <w:lang w:val="en-AU"/>
              </w:rPr>
            </w:pPr>
          </w:p>
        </w:tc>
      </w:tr>
      <w:tr w:rsidR="002045BA" w:rsidRPr="00F0251C" w14:paraId="7F675606" w14:textId="77777777" w:rsidTr="004A490D">
        <w:trPr>
          <w:trHeight w:val="248"/>
          <w:jc w:val="center"/>
        </w:trPr>
        <w:tc>
          <w:tcPr>
            <w:tcW w:w="4106" w:type="dxa"/>
          </w:tcPr>
          <w:p w14:paraId="3178AB6E"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n</w:t>
            </w:r>
          </w:p>
          <w:p w14:paraId="7D5571B9"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(95% CI)</w:t>
            </w:r>
          </w:p>
        </w:tc>
        <w:tc>
          <w:tcPr>
            <w:tcW w:w="1843" w:type="dxa"/>
          </w:tcPr>
          <w:p w14:paraId="51F8D372"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899</w:t>
            </w:r>
          </w:p>
          <w:p w14:paraId="51D4A563"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-5.74 (-6.60; -4.88)</w:t>
            </w:r>
          </w:p>
        </w:tc>
        <w:tc>
          <w:tcPr>
            <w:tcW w:w="1701" w:type="dxa"/>
          </w:tcPr>
          <w:p w14:paraId="65D9B329"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860</w:t>
            </w:r>
          </w:p>
          <w:p w14:paraId="6BBB10D2"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-4.14 (-5.01; -3.27)</w:t>
            </w:r>
          </w:p>
        </w:tc>
        <w:tc>
          <w:tcPr>
            <w:tcW w:w="1978" w:type="dxa"/>
          </w:tcPr>
          <w:p w14:paraId="02813BD5"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463</w:t>
            </w:r>
          </w:p>
          <w:p w14:paraId="32E11174"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-7.32 (-8.51; -6.12)</w:t>
            </w:r>
          </w:p>
        </w:tc>
      </w:tr>
      <w:tr w:rsidR="002045BA" w:rsidRPr="00F0251C" w14:paraId="3CA26012" w14:textId="77777777" w:rsidTr="004A490D">
        <w:trPr>
          <w:trHeight w:val="237"/>
          <w:jc w:val="center"/>
        </w:trPr>
        <w:tc>
          <w:tcPr>
            <w:tcW w:w="4106" w:type="dxa"/>
          </w:tcPr>
          <w:p w14:paraId="3A5C0E94" w14:textId="044CD5F9"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lastRenderedPageBreak/>
              <w:t>Adjusted mean difference</w:t>
            </w:r>
            <w:r>
              <w:rPr>
                <w:rFonts w:ascii="Times New Roman" w:hAnsi="Times New Roman"/>
                <w:color w:val="000000"/>
                <w:sz w:val="22"/>
                <w:szCs w:val="22"/>
                <w:lang w:val="en-AU"/>
              </w:rPr>
              <w:t xml:space="preserve"> BDP/FF/GB</w:t>
            </w:r>
            <w:r w:rsidRPr="00F0251C">
              <w:rPr>
                <w:rFonts w:ascii="Times New Roman" w:hAnsi="Times New Roman"/>
                <w:color w:val="000000"/>
                <w:sz w:val="22"/>
                <w:szCs w:val="22"/>
                <w:lang w:val="en-AU"/>
              </w:rPr>
              <w:t xml:space="preserve"> vs TIO (95% CI) </w:t>
            </w:r>
          </w:p>
        </w:tc>
        <w:tc>
          <w:tcPr>
            <w:tcW w:w="5522" w:type="dxa"/>
            <w:gridSpan w:val="3"/>
          </w:tcPr>
          <w:p w14:paraId="78A81AE7" w14:textId="77777777" w:rsidR="002045BA" w:rsidRPr="00F0251C" w:rsidRDefault="002045BA" w:rsidP="00D24B97">
            <w:pPr>
              <w:jc w:val="center"/>
              <w:rPr>
                <w:rFonts w:ascii="Times New Roman" w:hAnsi="Times New Roman"/>
                <w:color w:val="000000"/>
                <w:sz w:val="22"/>
                <w:szCs w:val="22"/>
                <w:lang w:val="en-AU"/>
              </w:rPr>
            </w:pPr>
          </w:p>
          <w:p w14:paraId="641D19A2"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-1.60 (-2.82; -0.38)</w:t>
            </w:r>
          </w:p>
          <w:p w14:paraId="4B6D56A9" w14:textId="12B95A12" w:rsidR="002045BA" w:rsidRPr="00F0251C" w:rsidRDefault="002045BA" w:rsidP="00D24B97">
            <w:pPr>
              <w:jc w:val="center"/>
              <w:rPr>
                <w:rFonts w:ascii="Times New Roman" w:hAnsi="Times New Roman"/>
                <w:color w:val="000000"/>
                <w:sz w:val="22"/>
                <w:szCs w:val="22"/>
                <w:lang w:val="en-AU"/>
              </w:rPr>
            </w:pPr>
          </w:p>
        </w:tc>
      </w:tr>
      <w:tr w:rsidR="002045BA" w:rsidRPr="00F0251C" w14:paraId="71E86A17" w14:textId="77777777" w:rsidTr="004A490D">
        <w:trPr>
          <w:trHeight w:val="237"/>
          <w:jc w:val="center"/>
        </w:trPr>
        <w:tc>
          <w:tcPr>
            <w:tcW w:w="4106" w:type="dxa"/>
          </w:tcPr>
          <w:p w14:paraId="594E6946" w14:textId="6C584561"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difference</w:t>
            </w:r>
            <w:r>
              <w:rPr>
                <w:rFonts w:ascii="Times New Roman" w:hAnsi="Times New Roman"/>
                <w:color w:val="000000"/>
                <w:sz w:val="22"/>
                <w:szCs w:val="22"/>
                <w:lang w:val="en-AU"/>
              </w:rPr>
              <w:t xml:space="preserve"> BDP/FF/GB</w:t>
            </w:r>
            <w:r w:rsidRPr="00F0251C">
              <w:rPr>
                <w:rFonts w:ascii="Times New Roman" w:hAnsi="Times New Roman"/>
                <w:color w:val="000000"/>
                <w:sz w:val="22"/>
                <w:szCs w:val="22"/>
                <w:lang w:val="en-AU"/>
              </w:rPr>
              <w:t xml:space="preserve"> vs BDP/FF+TIO (95% CI)</w:t>
            </w:r>
          </w:p>
        </w:tc>
        <w:tc>
          <w:tcPr>
            <w:tcW w:w="5522" w:type="dxa"/>
            <w:gridSpan w:val="3"/>
          </w:tcPr>
          <w:p w14:paraId="30298590" w14:textId="77777777" w:rsidR="002045BA" w:rsidRPr="00F0251C" w:rsidRDefault="002045BA" w:rsidP="00D24B97">
            <w:pPr>
              <w:jc w:val="center"/>
              <w:rPr>
                <w:rFonts w:ascii="Times New Roman" w:hAnsi="Times New Roman"/>
                <w:color w:val="000000"/>
                <w:sz w:val="22"/>
                <w:szCs w:val="22"/>
                <w:lang w:val="en-AU"/>
              </w:rPr>
            </w:pPr>
          </w:p>
          <w:p w14:paraId="43F5A4B4"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1.57 (0.10; 3.05)</w:t>
            </w:r>
          </w:p>
          <w:p w14:paraId="41BC5A7E" w14:textId="116A7EDF" w:rsidR="002045BA" w:rsidRPr="00F0251C" w:rsidRDefault="002045BA" w:rsidP="00D24B97">
            <w:pPr>
              <w:jc w:val="center"/>
              <w:rPr>
                <w:rFonts w:ascii="Times New Roman" w:hAnsi="Times New Roman"/>
                <w:color w:val="000000"/>
                <w:sz w:val="22"/>
                <w:szCs w:val="22"/>
                <w:lang w:val="en-AU"/>
              </w:rPr>
            </w:pPr>
          </w:p>
        </w:tc>
      </w:tr>
      <w:tr w:rsidR="002045BA" w:rsidRPr="00F0251C" w14:paraId="3EC12E15" w14:textId="77777777" w:rsidTr="004A490D">
        <w:trPr>
          <w:trHeight w:val="237"/>
          <w:jc w:val="center"/>
        </w:trPr>
        <w:tc>
          <w:tcPr>
            <w:tcW w:w="7650" w:type="dxa"/>
            <w:gridSpan w:val="3"/>
          </w:tcPr>
          <w:p w14:paraId="7C3AD7C8" w14:textId="77777777" w:rsidR="002045BA" w:rsidRPr="00F0251C" w:rsidRDefault="002045BA" w:rsidP="00D24B97">
            <w:pPr>
              <w:rPr>
                <w:rFonts w:ascii="Times New Roman" w:hAnsi="Times New Roman"/>
                <w:b/>
                <w:color w:val="000000"/>
                <w:sz w:val="22"/>
                <w:szCs w:val="22"/>
                <w:lang w:val="en-AU"/>
              </w:rPr>
            </w:pPr>
            <w:r w:rsidRPr="00F0251C">
              <w:rPr>
                <w:rFonts w:ascii="Times New Roman" w:hAnsi="Times New Roman"/>
                <w:b/>
                <w:color w:val="000000"/>
                <w:sz w:val="22"/>
                <w:szCs w:val="22"/>
                <w:lang w:val="en-AU"/>
              </w:rPr>
              <w:t>SGRQ total score responders</w:t>
            </w:r>
            <w:r w:rsidRPr="00F0251C">
              <w:rPr>
                <w:rFonts w:ascii="Times New Roman" w:hAnsi="Times New Roman"/>
                <w:b/>
                <w:color w:val="000000"/>
                <w:sz w:val="22"/>
                <w:szCs w:val="22"/>
                <w:vertAlign w:val="superscript"/>
                <w:lang w:val="en-AU"/>
              </w:rPr>
              <w:t>b</w:t>
            </w:r>
            <w:r w:rsidRPr="00F0251C">
              <w:rPr>
                <w:rFonts w:ascii="Times New Roman" w:hAnsi="Times New Roman"/>
                <w:b/>
                <w:color w:val="000000"/>
                <w:sz w:val="22"/>
                <w:szCs w:val="22"/>
                <w:lang w:val="en-AU"/>
              </w:rPr>
              <w:t xml:space="preserve"> at Week 52</w:t>
            </w:r>
          </w:p>
        </w:tc>
        <w:tc>
          <w:tcPr>
            <w:tcW w:w="1978" w:type="dxa"/>
          </w:tcPr>
          <w:p w14:paraId="7875155B" w14:textId="77777777" w:rsidR="002045BA" w:rsidRPr="00F0251C" w:rsidRDefault="002045BA" w:rsidP="00D24B97">
            <w:pPr>
              <w:rPr>
                <w:rFonts w:ascii="Times New Roman" w:hAnsi="Times New Roman"/>
                <w:color w:val="000000"/>
                <w:sz w:val="22"/>
                <w:szCs w:val="22"/>
                <w:lang w:val="en-AU"/>
              </w:rPr>
            </w:pPr>
          </w:p>
        </w:tc>
      </w:tr>
      <w:tr w:rsidR="002045BA" w:rsidRPr="00F0251C" w14:paraId="1D56D619" w14:textId="77777777" w:rsidTr="004A490D">
        <w:trPr>
          <w:trHeight w:val="237"/>
          <w:jc w:val="center"/>
        </w:trPr>
        <w:tc>
          <w:tcPr>
            <w:tcW w:w="4106" w:type="dxa"/>
          </w:tcPr>
          <w:p w14:paraId="1411B65F"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Number of responders (%)</w:t>
            </w:r>
          </w:p>
        </w:tc>
        <w:tc>
          <w:tcPr>
            <w:tcW w:w="1843" w:type="dxa"/>
          </w:tcPr>
          <w:p w14:paraId="068E0CB8"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494 (45.9)</w:t>
            </w:r>
          </w:p>
        </w:tc>
        <w:tc>
          <w:tcPr>
            <w:tcW w:w="1701" w:type="dxa"/>
          </w:tcPr>
          <w:p w14:paraId="128A96C9"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423 (39.4)</w:t>
            </w:r>
          </w:p>
        </w:tc>
        <w:tc>
          <w:tcPr>
            <w:tcW w:w="1978" w:type="dxa"/>
          </w:tcPr>
          <w:p w14:paraId="69C74960"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254 (47.2)</w:t>
            </w:r>
          </w:p>
        </w:tc>
      </w:tr>
      <w:tr w:rsidR="002045BA" w:rsidRPr="00F0251C" w14:paraId="4AF8C60D" w14:textId="77777777" w:rsidTr="004A490D">
        <w:trPr>
          <w:trHeight w:val="237"/>
          <w:jc w:val="center"/>
        </w:trPr>
        <w:tc>
          <w:tcPr>
            <w:tcW w:w="4106" w:type="dxa"/>
          </w:tcPr>
          <w:p w14:paraId="276037FA"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Odds ratio</w:t>
            </w:r>
            <w:r>
              <w:rPr>
                <w:rFonts w:ascii="Times New Roman" w:hAnsi="Times New Roman"/>
                <w:color w:val="000000"/>
                <w:sz w:val="22"/>
                <w:szCs w:val="22"/>
                <w:lang w:val="en-AU"/>
              </w:rPr>
              <w:t xml:space="preserve"> BDP/FF/GB</w:t>
            </w:r>
            <w:r w:rsidRPr="00F0251C">
              <w:rPr>
                <w:rFonts w:ascii="Times New Roman" w:hAnsi="Times New Roman"/>
                <w:color w:val="000000"/>
                <w:sz w:val="22"/>
                <w:szCs w:val="22"/>
                <w:lang w:val="en-AU"/>
              </w:rPr>
              <w:t xml:space="preserve"> vs TIO (95% CI)</w:t>
            </w:r>
          </w:p>
          <w:p w14:paraId="315042D2" w14:textId="3D91E264" w:rsidR="002045BA" w:rsidRPr="00F0251C" w:rsidRDefault="002045BA" w:rsidP="00D24B97">
            <w:pPr>
              <w:rPr>
                <w:rFonts w:ascii="Times New Roman" w:hAnsi="Times New Roman"/>
                <w:color w:val="000000"/>
                <w:sz w:val="22"/>
                <w:szCs w:val="22"/>
                <w:lang w:val="en-AU"/>
              </w:rPr>
            </w:pPr>
          </w:p>
        </w:tc>
        <w:tc>
          <w:tcPr>
            <w:tcW w:w="5522" w:type="dxa"/>
            <w:gridSpan w:val="3"/>
          </w:tcPr>
          <w:p w14:paraId="6F203353"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1.33 (1.11; 1.59)</w:t>
            </w:r>
          </w:p>
          <w:p w14:paraId="415DEA78" w14:textId="20A6E4B5" w:rsidR="002045BA" w:rsidRPr="00F0251C" w:rsidRDefault="002045BA" w:rsidP="00D24B97">
            <w:pPr>
              <w:jc w:val="center"/>
              <w:rPr>
                <w:rFonts w:ascii="Times New Roman" w:hAnsi="Times New Roman"/>
                <w:color w:val="000000"/>
                <w:sz w:val="22"/>
                <w:szCs w:val="22"/>
                <w:lang w:val="en-AU"/>
              </w:rPr>
            </w:pPr>
          </w:p>
        </w:tc>
      </w:tr>
      <w:tr w:rsidR="002045BA" w:rsidRPr="00F0251C" w14:paraId="0309FE33" w14:textId="77777777" w:rsidTr="004A490D">
        <w:trPr>
          <w:trHeight w:val="237"/>
          <w:jc w:val="center"/>
        </w:trPr>
        <w:tc>
          <w:tcPr>
            <w:tcW w:w="4106" w:type="dxa"/>
          </w:tcPr>
          <w:p w14:paraId="44D2AD00"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Odds ratio</w:t>
            </w:r>
            <w:r>
              <w:rPr>
                <w:rFonts w:ascii="Times New Roman" w:hAnsi="Times New Roman"/>
                <w:color w:val="000000"/>
                <w:sz w:val="22"/>
                <w:szCs w:val="22"/>
                <w:lang w:val="en-AU"/>
              </w:rPr>
              <w:t xml:space="preserve"> BDP/FF/GB</w:t>
            </w:r>
            <w:r w:rsidRPr="00F0251C">
              <w:rPr>
                <w:rFonts w:ascii="Times New Roman" w:hAnsi="Times New Roman"/>
                <w:color w:val="000000"/>
                <w:sz w:val="22"/>
                <w:szCs w:val="22"/>
                <w:lang w:val="en-AU"/>
              </w:rPr>
              <w:t xml:space="preserve"> vs BDP/FF+TIO (95% CI)</w:t>
            </w:r>
          </w:p>
          <w:p w14:paraId="6143AF64" w14:textId="3DA0A715" w:rsidR="002045BA" w:rsidRPr="00F0251C" w:rsidRDefault="002045BA" w:rsidP="00D24B97">
            <w:pPr>
              <w:rPr>
                <w:rFonts w:ascii="Times New Roman" w:hAnsi="Times New Roman"/>
                <w:color w:val="000000"/>
                <w:sz w:val="22"/>
                <w:szCs w:val="22"/>
                <w:lang w:val="en-AU"/>
              </w:rPr>
            </w:pPr>
          </w:p>
        </w:tc>
        <w:tc>
          <w:tcPr>
            <w:tcW w:w="5522" w:type="dxa"/>
            <w:gridSpan w:val="3"/>
          </w:tcPr>
          <w:p w14:paraId="7CAC79B9" w14:textId="77777777" w:rsidR="002045BA" w:rsidRPr="00F0251C" w:rsidRDefault="002045BA" w:rsidP="00D24B97">
            <w:pPr>
              <w:jc w:val="center"/>
              <w:rPr>
                <w:rFonts w:ascii="Times New Roman" w:hAnsi="Times New Roman"/>
                <w:color w:val="000000"/>
                <w:sz w:val="22"/>
                <w:szCs w:val="22"/>
                <w:lang w:val="en-AU"/>
              </w:rPr>
            </w:pPr>
          </w:p>
          <w:p w14:paraId="7FC6ABB5"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0.91 (0.73; 1.13)</w:t>
            </w:r>
          </w:p>
          <w:p w14:paraId="03B6488D" w14:textId="5736945D" w:rsidR="002045BA" w:rsidRPr="00F0251C" w:rsidRDefault="002045BA" w:rsidP="00D24B97">
            <w:pPr>
              <w:jc w:val="center"/>
              <w:rPr>
                <w:rFonts w:ascii="Times New Roman" w:hAnsi="Times New Roman"/>
                <w:color w:val="000000"/>
                <w:sz w:val="22"/>
                <w:szCs w:val="22"/>
                <w:lang w:val="en-AU"/>
              </w:rPr>
            </w:pPr>
          </w:p>
        </w:tc>
      </w:tr>
      <w:tr w:rsidR="002045BA" w:rsidRPr="00F0251C" w14:paraId="600AED83" w14:textId="77777777" w:rsidTr="004A490D">
        <w:trPr>
          <w:trHeight w:val="237"/>
          <w:jc w:val="center"/>
        </w:trPr>
        <w:tc>
          <w:tcPr>
            <w:tcW w:w="9628" w:type="dxa"/>
            <w:gridSpan w:val="4"/>
          </w:tcPr>
          <w:p w14:paraId="3169AE1D"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 xml:space="preserve">BDP= </w:t>
            </w:r>
            <w:proofErr w:type="spellStart"/>
            <w:r w:rsidRPr="00F0251C">
              <w:rPr>
                <w:rFonts w:ascii="Times New Roman" w:hAnsi="Times New Roman"/>
                <w:color w:val="000000"/>
                <w:sz w:val="22"/>
                <w:szCs w:val="22"/>
                <w:lang w:val="en-AU"/>
              </w:rPr>
              <w:t>beclomethasone</w:t>
            </w:r>
            <w:proofErr w:type="spellEnd"/>
            <w:r w:rsidRPr="00F0251C">
              <w:rPr>
                <w:rFonts w:ascii="Times New Roman" w:hAnsi="Times New Roman"/>
                <w:color w:val="000000"/>
                <w:sz w:val="22"/>
                <w:szCs w:val="22"/>
                <w:lang w:val="en-AU"/>
              </w:rPr>
              <w:t xml:space="preserve"> </w:t>
            </w:r>
            <w:proofErr w:type="spellStart"/>
            <w:r w:rsidRPr="00F0251C">
              <w:rPr>
                <w:rFonts w:ascii="Times New Roman" w:hAnsi="Times New Roman"/>
                <w:color w:val="000000"/>
                <w:sz w:val="22"/>
                <w:szCs w:val="22"/>
                <w:lang w:val="en-AU"/>
              </w:rPr>
              <w:t>diproprionate</w:t>
            </w:r>
            <w:proofErr w:type="spellEnd"/>
            <w:r w:rsidRPr="00F0251C">
              <w:rPr>
                <w:rFonts w:ascii="Times New Roman" w:hAnsi="Times New Roman"/>
                <w:color w:val="000000"/>
                <w:sz w:val="22"/>
                <w:szCs w:val="22"/>
                <w:lang w:val="en-AU"/>
              </w:rPr>
              <w:t>; CAT= COPD assessment test; COPD= chronic obstructive pulmonary disease; FEV</w:t>
            </w:r>
            <w:r w:rsidRPr="00F0251C">
              <w:rPr>
                <w:rFonts w:ascii="Times New Roman" w:hAnsi="Times New Roman"/>
                <w:color w:val="000000"/>
                <w:sz w:val="22"/>
                <w:szCs w:val="22"/>
                <w:vertAlign w:val="subscript"/>
                <w:lang w:val="en-AU"/>
              </w:rPr>
              <w:t>1</w:t>
            </w:r>
            <w:r w:rsidRPr="00F0251C">
              <w:rPr>
                <w:rFonts w:ascii="Times New Roman" w:hAnsi="Times New Roman"/>
                <w:color w:val="000000"/>
                <w:sz w:val="22"/>
                <w:szCs w:val="22"/>
                <w:lang w:val="en-AU"/>
              </w:rPr>
              <w:t>= forced expiratory volume in 1 second; FF= formoterol fumarate; GB= glycopyrronium bromide; n= number of patients with available data; N= Number of patients in the ITT population; SGRQ= St. George’s respiratory questionnaire; TIO= tiotropium.</w:t>
            </w:r>
          </w:p>
          <w:p w14:paraId="3E49623C" w14:textId="6BFD4C5A"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vertAlign w:val="superscript"/>
                <w:lang w:val="en-AU"/>
              </w:rPr>
              <w:t>a</w:t>
            </w:r>
            <w:r w:rsidRPr="00F0251C">
              <w:rPr>
                <w:rFonts w:ascii="Times New Roman" w:hAnsi="Times New Roman"/>
                <w:color w:val="000000"/>
                <w:sz w:val="22"/>
                <w:szCs w:val="22"/>
                <w:lang w:val="en-AU"/>
              </w:rPr>
              <w:t xml:space="preserve"> FEV</w:t>
            </w:r>
            <w:r w:rsidRPr="00F0251C">
              <w:rPr>
                <w:rFonts w:ascii="Times New Roman" w:hAnsi="Times New Roman"/>
                <w:color w:val="000000"/>
                <w:sz w:val="22"/>
                <w:szCs w:val="22"/>
                <w:vertAlign w:val="subscript"/>
                <w:lang w:val="en-AU"/>
              </w:rPr>
              <w:t>1</w:t>
            </w:r>
            <w:r w:rsidRPr="00F0251C">
              <w:rPr>
                <w:rFonts w:ascii="Times New Roman" w:hAnsi="Times New Roman"/>
                <w:color w:val="000000"/>
                <w:sz w:val="22"/>
                <w:szCs w:val="22"/>
                <w:lang w:val="en-AU"/>
              </w:rPr>
              <w:t xml:space="preserve"> response = Change from baseline in pre-dose morning FEV</w:t>
            </w:r>
            <w:r w:rsidRPr="00F0251C">
              <w:rPr>
                <w:rFonts w:ascii="Times New Roman" w:hAnsi="Times New Roman"/>
                <w:color w:val="000000"/>
                <w:sz w:val="22"/>
                <w:szCs w:val="22"/>
                <w:vertAlign w:val="subscript"/>
                <w:lang w:val="en-AU"/>
              </w:rPr>
              <w:t>1</w:t>
            </w:r>
            <w:r w:rsidRPr="00F0251C">
              <w:rPr>
                <w:rFonts w:ascii="Times New Roman" w:hAnsi="Times New Roman"/>
                <w:color w:val="000000"/>
                <w:sz w:val="22"/>
                <w:szCs w:val="22"/>
                <w:lang w:val="en-AU"/>
              </w:rPr>
              <w:t xml:space="preserve"> </w:t>
            </w:r>
            <w:r w:rsidR="004E5D2B">
              <w:rPr>
                <w:noProof/>
                <w:sz w:val="24"/>
                <w:szCs w:val="24"/>
                <w:lang w:val="en-AU"/>
              </w:rPr>
              <w:sym w:font="Symbol" w:char="F0B3"/>
            </w:r>
            <w:r w:rsidRPr="00F0251C">
              <w:rPr>
                <w:rFonts w:ascii="Times New Roman" w:hAnsi="Times New Roman"/>
                <w:color w:val="000000"/>
                <w:sz w:val="22"/>
                <w:szCs w:val="22"/>
                <w:lang w:val="en-AU"/>
              </w:rPr>
              <w:t xml:space="preserve"> 0.100 L</w:t>
            </w:r>
          </w:p>
          <w:p w14:paraId="204A5E28"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vertAlign w:val="superscript"/>
                <w:lang w:val="en-AU"/>
              </w:rPr>
              <w:t>b</w:t>
            </w:r>
            <w:r w:rsidRPr="00F0251C">
              <w:rPr>
                <w:rFonts w:ascii="Times New Roman" w:hAnsi="Times New Roman"/>
                <w:color w:val="000000"/>
                <w:sz w:val="22"/>
                <w:szCs w:val="22"/>
                <w:lang w:val="en-AU"/>
              </w:rPr>
              <w:t xml:space="preserve"> SGRQ total score response = Change from baseline in total score ≤ -4</w:t>
            </w:r>
          </w:p>
        </w:tc>
      </w:tr>
    </w:tbl>
    <w:p w14:paraId="4E3CF466" w14:textId="7E920584" w:rsidR="009B3F0E" w:rsidRPr="00F0251C" w:rsidRDefault="009B3F0E" w:rsidP="000102EA">
      <w:pPr>
        <w:pStyle w:val="NoSpacing"/>
        <w:ind w:left="284"/>
        <w:rPr>
          <w:rFonts w:eastAsia="Calibri"/>
          <w:sz w:val="24"/>
          <w:szCs w:val="24"/>
          <w:lang w:val="en-AU" w:eastAsia="en-US"/>
        </w:rPr>
      </w:pPr>
    </w:p>
    <w:p w14:paraId="7591B3C8" w14:textId="77777777" w:rsidR="002045BA" w:rsidRPr="00F0251C" w:rsidRDefault="002045BA" w:rsidP="002045BA">
      <w:pPr>
        <w:pStyle w:val="NoSpacing"/>
        <w:ind w:left="360"/>
        <w:rPr>
          <w:b/>
          <w:bCs/>
          <w:sz w:val="24"/>
          <w:szCs w:val="24"/>
          <w:lang w:val="en-AU"/>
        </w:rPr>
      </w:pPr>
      <w:r w:rsidRPr="00F0251C">
        <w:rPr>
          <w:b/>
          <w:bCs/>
          <w:sz w:val="24"/>
          <w:szCs w:val="24"/>
          <w:lang w:val="en-AU"/>
        </w:rPr>
        <w:t>Study 3 (CCD-05993AA1-08, TRIBUTE)</w:t>
      </w:r>
    </w:p>
    <w:p w14:paraId="71AAEB07" w14:textId="77777777" w:rsidR="002045BA" w:rsidRPr="00F0251C" w:rsidRDefault="002045BA" w:rsidP="002045BA">
      <w:pPr>
        <w:pStyle w:val="NoSpacing"/>
        <w:ind w:left="360"/>
        <w:rPr>
          <w:sz w:val="24"/>
          <w:szCs w:val="24"/>
          <w:lang w:val="en-AU"/>
        </w:rPr>
      </w:pPr>
      <w:r w:rsidRPr="009B3F0E">
        <w:rPr>
          <w:sz w:val="24"/>
          <w:szCs w:val="24"/>
          <w:lang w:val="en-AU"/>
        </w:rPr>
        <w:t xml:space="preserve">The efficacy of the single-inhaler fixed triple combination of beclomethasone dipropionate, formoterol, glycopyrronium bromide (BDP/FF/GB 100/6/12.5 micrograms) </w:t>
      </w:r>
      <w:r>
        <w:rPr>
          <w:sz w:val="24"/>
          <w:szCs w:val="24"/>
          <w:lang w:val="en-AU"/>
        </w:rPr>
        <w:t xml:space="preserve">pMDI </w:t>
      </w:r>
      <w:r w:rsidRPr="00F0251C">
        <w:rPr>
          <w:sz w:val="24"/>
          <w:szCs w:val="24"/>
          <w:lang w:val="en-AU"/>
        </w:rPr>
        <w:t>administered as a two inhalations twice-daily treatment in patients with a clinical diagnosis of COPD has been evaluated in this 52-week active-controlled study compared to the fixed combination indacaterol/glycopyrronium (IND/GLY 85/43 micrograms)</w:t>
      </w:r>
      <w:r w:rsidRPr="00F0251C">
        <w:rPr>
          <w:rFonts w:eastAsia="Calibri"/>
          <w:sz w:val="24"/>
          <w:szCs w:val="24"/>
          <w:lang w:val="en-AU" w:eastAsia="en-US"/>
        </w:rPr>
        <w:t xml:space="preserve"> inhalation powder once-daily.</w:t>
      </w:r>
    </w:p>
    <w:p w14:paraId="4507509F" w14:textId="77777777" w:rsidR="002045BA" w:rsidRPr="00F0251C" w:rsidRDefault="002045BA" w:rsidP="002045BA">
      <w:pPr>
        <w:pStyle w:val="NoSpacing"/>
        <w:ind w:left="360"/>
        <w:rPr>
          <w:sz w:val="24"/>
          <w:szCs w:val="24"/>
          <w:lang w:val="en-AU"/>
        </w:rPr>
      </w:pPr>
    </w:p>
    <w:p w14:paraId="44ACBEF3" w14:textId="77777777" w:rsidR="002045BA" w:rsidRPr="00F0251C" w:rsidRDefault="002045BA" w:rsidP="002045BA">
      <w:pPr>
        <w:pStyle w:val="NoSpacing"/>
        <w:ind w:left="360"/>
        <w:rPr>
          <w:sz w:val="24"/>
          <w:szCs w:val="24"/>
          <w:lang w:val="en-AU"/>
        </w:rPr>
      </w:pPr>
      <w:r w:rsidRPr="00F0251C">
        <w:rPr>
          <w:sz w:val="24"/>
          <w:szCs w:val="24"/>
          <w:lang w:val="en-AU"/>
        </w:rPr>
        <w:t>At screening, the mean post-bronchodilator FEV</w:t>
      </w:r>
      <w:r w:rsidRPr="00F0251C">
        <w:rPr>
          <w:sz w:val="24"/>
          <w:szCs w:val="24"/>
          <w:vertAlign w:val="subscript"/>
          <w:lang w:val="en-AU"/>
        </w:rPr>
        <w:t>1</w:t>
      </w:r>
      <w:r w:rsidRPr="00F0251C">
        <w:rPr>
          <w:sz w:val="24"/>
          <w:szCs w:val="24"/>
          <w:lang w:val="en-AU"/>
        </w:rPr>
        <w:t xml:space="preserve"> was 36.4% predicted, and the mean reversibility was 8.58%. The mean CAT score was 21.2. In the year prior to study entry, 80.8% of the patients had one moderate or severe COPD exacerbation, while 19.2% of the patients experienced more than one exacerbation.</w:t>
      </w:r>
    </w:p>
    <w:p w14:paraId="32264C4A" w14:textId="77777777" w:rsidR="002045BA" w:rsidRPr="00F0251C" w:rsidRDefault="002045BA" w:rsidP="002045BA">
      <w:pPr>
        <w:pStyle w:val="NoSpacing"/>
        <w:ind w:left="360"/>
        <w:rPr>
          <w:sz w:val="24"/>
          <w:szCs w:val="24"/>
          <w:lang w:val="en-AU"/>
        </w:rPr>
      </w:pPr>
    </w:p>
    <w:p w14:paraId="02498ED3" w14:textId="154A2AAD" w:rsidR="002045BA" w:rsidRPr="00F0251C" w:rsidRDefault="002045BA" w:rsidP="002045BA">
      <w:pPr>
        <w:pStyle w:val="NoSpacing"/>
        <w:ind w:left="360"/>
        <w:rPr>
          <w:sz w:val="24"/>
          <w:szCs w:val="24"/>
          <w:lang w:val="en-AU"/>
        </w:rPr>
      </w:pPr>
      <w:r>
        <w:rPr>
          <w:rFonts w:eastAsia="Calibri"/>
          <w:sz w:val="24"/>
          <w:szCs w:val="24"/>
          <w:lang w:val="en-AU" w:eastAsia="en-US"/>
        </w:rPr>
        <w:t>BDP/FF/GB</w:t>
      </w:r>
      <w:r w:rsidRPr="00F0251C">
        <w:rPr>
          <w:rFonts w:eastAsia="Calibri"/>
          <w:sz w:val="24"/>
          <w:szCs w:val="24"/>
          <w:lang w:val="en-AU" w:eastAsia="en-US"/>
        </w:rPr>
        <w:t xml:space="preserve"> </w:t>
      </w:r>
      <w:r w:rsidRPr="00F0251C">
        <w:rPr>
          <w:sz w:val="24"/>
          <w:szCs w:val="24"/>
          <w:lang w:val="en-AU"/>
        </w:rPr>
        <w:t>demonstrated a statistically significant reduction in the annual rate of moderate/severe exacerbations (i.e. requiring treatment with antibiotics or corticosteroids or hospitalisation) compared with IND/GLY (primary endpoint)</w:t>
      </w:r>
      <w:r w:rsidR="00F33A50">
        <w:rPr>
          <w:sz w:val="24"/>
          <w:szCs w:val="24"/>
          <w:lang w:val="en-AU"/>
        </w:rPr>
        <w:t xml:space="preserve"> (see Table 6)</w:t>
      </w:r>
      <w:r w:rsidRPr="00F0251C">
        <w:rPr>
          <w:sz w:val="24"/>
          <w:szCs w:val="24"/>
          <w:lang w:val="en-AU"/>
        </w:rPr>
        <w:t>. Time to first moderate/severe COPD exacerbation, as well as the analyses of moderate and severe COPD exacerbations (considered separately) showed a trend toward a delay in time to the first event and a reduction of the rate of exacerbation.</w:t>
      </w:r>
    </w:p>
    <w:p w14:paraId="5AF8E342" w14:textId="77777777" w:rsidR="002045BA" w:rsidRPr="00F0251C" w:rsidRDefault="002045BA" w:rsidP="002045BA">
      <w:pPr>
        <w:pStyle w:val="NoSpacing"/>
        <w:ind w:left="360"/>
        <w:rPr>
          <w:sz w:val="24"/>
          <w:szCs w:val="24"/>
          <w:lang w:val="en-AU"/>
        </w:rPr>
      </w:pPr>
    </w:p>
    <w:p w14:paraId="19333412" w14:textId="65B7DDE8" w:rsidR="002045BA" w:rsidRDefault="002045BA" w:rsidP="002045BA">
      <w:pPr>
        <w:pStyle w:val="NoSpacing"/>
        <w:ind w:left="360"/>
        <w:rPr>
          <w:sz w:val="24"/>
          <w:szCs w:val="24"/>
          <w:lang w:val="en-AU"/>
        </w:rPr>
      </w:pPr>
      <w:r>
        <w:rPr>
          <w:rFonts w:eastAsia="Calibri"/>
          <w:sz w:val="24"/>
          <w:szCs w:val="24"/>
          <w:lang w:val="en-AU" w:eastAsia="en-US"/>
        </w:rPr>
        <w:t>BFP/FF/GB</w:t>
      </w:r>
      <w:r w:rsidRPr="00F0251C">
        <w:rPr>
          <w:rFonts w:eastAsia="Calibri"/>
          <w:sz w:val="24"/>
          <w:szCs w:val="24"/>
          <w:lang w:val="en-AU" w:eastAsia="en-US"/>
        </w:rPr>
        <w:t xml:space="preserve"> </w:t>
      </w:r>
      <w:r w:rsidRPr="00F0251C">
        <w:rPr>
          <w:sz w:val="24"/>
          <w:szCs w:val="24"/>
          <w:lang w:val="en-AU"/>
        </w:rPr>
        <w:t>improved average pre-dose FEV</w:t>
      </w:r>
      <w:r w:rsidRPr="00F0251C">
        <w:rPr>
          <w:sz w:val="24"/>
          <w:szCs w:val="24"/>
          <w:vertAlign w:val="subscript"/>
          <w:lang w:val="en-AU"/>
        </w:rPr>
        <w:t>1</w:t>
      </w:r>
      <w:r w:rsidRPr="00F0251C">
        <w:rPr>
          <w:sz w:val="24"/>
          <w:szCs w:val="24"/>
          <w:lang w:val="en-AU"/>
        </w:rPr>
        <w:t xml:space="preserve"> over the 52-week treatment period compared to IND/GLY. A similar improvement</w:t>
      </w:r>
      <w:r w:rsidR="00F57EE1">
        <w:rPr>
          <w:sz w:val="24"/>
          <w:szCs w:val="24"/>
          <w:lang w:val="en-AU"/>
        </w:rPr>
        <w:t xml:space="preserve"> </w:t>
      </w:r>
      <w:r w:rsidRPr="00F0251C">
        <w:rPr>
          <w:sz w:val="24"/>
          <w:szCs w:val="24"/>
          <w:lang w:val="en-AU"/>
        </w:rPr>
        <w:t>was observed at Week 52</w:t>
      </w:r>
      <w:r w:rsidR="00C92EF8">
        <w:rPr>
          <w:sz w:val="24"/>
          <w:szCs w:val="24"/>
          <w:lang w:val="en-AU"/>
        </w:rPr>
        <w:t xml:space="preserve"> (data not shown)</w:t>
      </w:r>
      <w:r w:rsidR="00DD40B4">
        <w:rPr>
          <w:sz w:val="24"/>
          <w:szCs w:val="24"/>
          <w:lang w:val="en-AU"/>
        </w:rPr>
        <w:t>.</w:t>
      </w:r>
    </w:p>
    <w:p w14:paraId="33CBE4FE" w14:textId="77777777" w:rsidR="00DD40B4" w:rsidRPr="00F0251C" w:rsidRDefault="00DD40B4" w:rsidP="002045BA">
      <w:pPr>
        <w:pStyle w:val="NoSpacing"/>
        <w:ind w:left="360"/>
        <w:rPr>
          <w:sz w:val="24"/>
          <w:szCs w:val="24"/>
          <w:lang w:val="en-AU"/>
        </w:rPr>
      </w:pPr>
    </w:p>
    <w:p w14:paraId="5C615FE4" w14:textId="35FB080B" w:rsidR="002045BA" w:rsidRPr="00F0251C" w:rsidRDefault="002045BA" w:rsidP="002045BA">
      <w:pPr>
        <w:pStyle w:val="NoSpacing"/>
        <w:ind w:left="360"/>
        <w:rPr>
          <w:sz w:val="24"/>
          <w:szCs w:val="24"/>
          <w:lang w:val="en-AU"/>
        </w:rPr>
      </w:pPr>
      <w:r w:rsidRPr="00F0251C">
        <w:rPr>
          <w:sz w:val="24"/>
          <w:szCs w:val="24"/>
          <w:lang w:val="en-AU"/>
        </w:rPr>
        <w:t xml:space="preserve">Treatment with </w:t>
      </w:r>
      <w:r>
        <w:rPr>
          <w:rFonts w:eastAsia="Calibri"/>
          <w:sz w:val="24"/>
          <w:szCs w:val="24"/>
          <w:lang w:val="en-AU" w:eastAsia="en-US"/>
        </w:rPr>
        <w:t>BDP/FF/GB</w:t>
      </w:r>
      <w:r w:rsidRPr="00F0251C">
        <w:rPr>
          <w:rFonts w:eastAsia="Calibri"/>
          <w:sz w:val="24"/>
          <w:szCs w:val="24"/>
          <w:lang w:val="en-AU" w:eastAsia="en-US"/>
        </w:rPr>
        <w:t xml:space="preserve"> </w:t>
      </w:r>
      <w:r w:rsidRPr="00F0251C">
        <w:rPr>
          <w:sz w:val="24"/>
          <w:szCs w:val="24"/>
          <w:lang w:val="en-AU"/>
        </w:rPr>
        <w:t>showed a</w:t>
      </w:r>
      <w:r w:rsidR="00F57EE1">
        <w:rPr>
          <w:sz w:val="24"/>
          <w:szCs w:val="24"/>
          <w:lang w:val="en-AU"/>
        </w:rPr>
        <w:t>n</w:t>
      </w:r>
      <w:r w:rsidRPr="00F0251C">
        <w:rPr>
          <w:sz w:val="24"/>
          <w:szCs w:val="24"/>
          <w:lang w:val="en-AU"/>
        </w:rPr>
        <w:t xml:space="preserve"> improvement compared with IND/GLY in </w:t>
      </w:r>
      <w:r w:rsidR="00F57EE1">
        <w:rPr>
          <w:sz w:val="24"/>
          <w:szCs w:val="24"/>
          <w:lang w:val="en-AU"/>
        </w:rPr>
        <w:t>h</w:t>
      </w:r>
      <w:r w:rsidRPr="00F0251C">
        <w:rPr>
          <w:sz w:val="24"/>
          <w:szCs w:val="24"/>
          <w:lang w:val="en-AU"/>
        </w:rPr>
        <w:t>ealth-</w:t>
      </w:r>
      <w:r w:rsidR="00F57EE1">
        <w:rPr>
          <w:sz w:val="24"/>
          <w:szCs w:val="24"/>
          <w:lang w:val="en-AU"/>
        </w:rPr>
        <w:t>r</w:t>
      </w:r>
      <w:r w:rsidR="00F57EE1" w:rsidRPr="00F0251C">
        <w:rPr>
          <w:sz w:val="24"/>
          <w:szCs w:val="24"/>
          <w:lang w:val="en-AU"/>
        </w:rPr>
        <w:t xml:space="preserve">elated </w:t>
      </w:r>
      <w:r w:rsidR="00F57EE1">
        <w:rPr>
          <w:sz w:val="24"/>
          <w:szCs w:val="24"/>
          <w:lang w:val="en-AU"/>
        </w:rPr>
        <w:t>q</w:t>
      </w:r>
      <w:r w:rsidR="00F57EE1" w:rsidRPr="00F0251C">
        <w:rPr>
          <w:sz w:val="24"/>
          <w:szCs w:val="24"/>
          <w:lang w:val="en-AU"/>
        </w:rPr>
        <w:t xml:space="preserve">uality </w:t>
      </w:r>
      <w:r w:rsidRPr="00F0251C">
        <w:rPr>
          <w:sz w:val="24"/>
          <w:szCs w:val="24"/>
          <w:lang w:val="en-AU"/>
        </w:rPr>
        <w:t xml:space="preserve">of </w:t>
      </w:r>
      <w:r w:rsidR="00F57EE1">
        <w:rPr>
          <w:sz w:val="24"/>
          <w:szCs w:val="24"/>
          <w:lang w:val="en-AU"/>
        </w:rPr>
        <w:t>l</w:t>
      </w:r>
      <w:r w:rsidR="00F57EE1" w:rsidRPr="00F0251C">
        <w:rPr>
          <w:sz w:val="24"/>
          <w:szCs w:val="24"/>
          <w:lang w:val="en-AU"/>
        </w:rPr>
        <w:t xml:space="preserve">ife </w:t>
      </w:r>
      <w:r w:rsidRPr="00F0251C">
        <w:rPr>
          <w:sz w:val="24"/>
          <w:szCs w:val="24"/>
          <w:lang w:val="en-AU"/>
        </w:rPr>
        <w:t>measured by the SGRQ total score at Week 52.</w:t>
      </w:r>
    </w:p>
    <w:p w14:paraId="1EA8A75D" w14:textId="77777777" w:rsidR="002045BA" w:rsidRPr="00F0251C" w:rsidRDefault="002045BA" w:rsidP="002045BA">
      <w:pPr>
        <w:pStyle w:val="NoSpacing"/>
        <w:ind w:left="360"/>
        <w:rPr>
          <w:sz w:val="24"/>
          <w:szCs w:val="24"/>
          <w:lang w:val="en-AU"/>
        </w:rPr>
      </w:pPr>
    </w:p>
    <w:p w14:paraId="47296617" w14:textId="52F1A2F2" w:rsidR="002045BA" w:rsidRPr="00F0251C" w:rsidRDefault="002045BA" w:rsidP="002045BA">
      <w:pPr>
        <w:pStyle w:val="NoSpacing"/>
        <w:ind w:left="360"/>
        <w:rPr>
          <w:sz w:val="24"/>
          <w:szCs w:val="24"/>
          <w:lang w:val="en-AU"/>
        </w:rPr>
      </w:pPr>
      <w:r w:rsidRPr="00F0251C">
        <w:rPr>
          <w:sz w:val="24"/>
          <w:szCs w:val="24"/>
          <w:lang w:val="en-AU"/>
        </w:rPr>
        <w:t xml:space="preserve">The lung function and </w:t>
      </w:r>
      <w:r w:rsidR="00F57EE1">
        <w:rPr>
          <w:sz w:val="24"/>
          <w:szCs w:val="24"/>
          <w:lang w:val="en-AU"/>
        </w:rPr>
        <w:t>SGRQ total score</w:t>
      </w:r>
      <w:r w:rsidR="00F57EE1" w:rsidRPr="00F0251C">
        <w:rPr>
          <w:sz w:val="24"/>
          <w:szCs w:val="24"/>
          <w:lang w:val="en-AU"/>
        </w:rPr>
        <w:t xml:space="preserve"> </w:t>
      </w:r>
      <w:r w:rsidRPr="00F0251C">
        <w:rPr>
          <w:sz w:val="24"/>
          <w:szCs w:val="24"/>
          <w:lang w:val="en-AU"/>
        </w:rPr>
        <w:t>outcomes at Week 26 were consistent with the results observed at Week 52 (</w:t>
      </w:r>
      <w:r w:rsidR="00873266">
        <w:rPr>
          <w:sz w:val="24"/>
          <w:szCs w:val="24"/>
          <w:lang w:val="en-AU"/>
        </w:rPr>
        <w:t>data not shown</w:t>
      </w:r>
      <w:r w:rsidRPr="00F0251C">
        <w:rPr>
          <w:sz w:val="24"/>
          <w:szCs w:val="24"/>
          <w:lang w:val="en-AU"/>
        </w:rPr>
        <w:t>).</w:t>
      </w:r>
    </w:p>
    <w:p w14:paraId="1A3E48E4" w14:textId="77777777" w:rsidR="002045BA" w:rsidRPr="00F0251C" w:rsidRDefault="002045BA" w:rsidP="002045BA">
      <w:pPr>
        <w:pStyle w:val="NoSpacing"/>
        <w:rPr>
          <w:lang w:val="en-AU"/>
        </w:rPr>
      </w:pPr>
    </w:p>
    <w:p w14:paraId="627EFFB5" w14:textId="77777777" w:rsidR="002045BA" w:rsidRPr="00F0251C" w:rsidRDefault="002045BA" w:rsidP="002045BA">
      <w:pPr>
        <w:ind w:firstLine="284"/>
        <w:rPr>
          <w:b/>
          <w:bCs/>
          <w:sz w:val="24"/>
          <w:szCs w:val="24"/>
          <w:lang w:val="en-AU"/>
        </w:rPr>
      </w:pPr>
      <w:r w:rsidRPr="00F0251C">
        <w:rPr>
          <w:b/>
          <w:bCs/>
          <w:sz w:val="24"/>
          <w:szCs w:val="24"/>
          <w:lang w:val="en-AU"/>
        </w:rPr>
        <w:lastRenderedPageBreak/>
        <w:t>Table 6: Key efficacy endpoints, ITT population (Study CCD-05993AA1-08, TRIBUTE)</w:t>
      </w:r>
    </w:p>
    <w:tbl>
      <w:tblPr>
        <w:tblStyle w:val="Grigliatabella2"/>
        <w:tblW w:w="0" w:type="auto"/>
        <w:jc w:val="center"/>
        <w:tblLook w:val="04A0" w:firstRow="1" w:lastRow="0" w:firstColumn="1" w:lastColumn="0" w:noHBand="0" w:noVBand="1"/>
      </w:tblPr>
      <w:tblGrid>
        <w:gridCol w:w="3397"/>
        <w:gridCol w:w="3198"/>
        <w:gridCol w:w="3033"/>
      </w:tblGrid>
      <w:tr w:rsidR="002045BA" w:rsidRPr="00F0251C" w14:paraId="5A1ABE0A" w14:textId="77777777" w:rsidTr="004A490D">
        <w:trPr>
          <w:trHeight w:val="276"/>
          <w:jc w:val="center"/>
        </w:trPr>
        <w:tc>
          <w:tcPr>
            <w:tcW w:w="3397" w:type="dxa"/>
            <w:vMerge w:val="restart"/>
          </w:tcPr>
          <w:p w14:paraId="02D97381" w14:textId="77777777" w:rsidR="002045BA" w:rsidRPr="00F0251C" w:rsidRDefault="002045BA" w:rsidP="00D24B97">
            <w:pPr>
              <w:rPr>
                <w:rFonts w:ascii="Times New Roman" w:hAnsi="Times New Roman"/>
                <w:color w:val="000000"/>
                <w:sz w:val="22"/>
                <w:szCs w:val="22"/>
                <w:lang w:val="en-AU"/>
              </w:rPr>
            </w:pPr>
          </w:p>
        </w:tc>
        <w:tc>
          <w:tcPr>
            <w:tcW w:w="3198" w:type="dxa"/>
            <w:vMerge w:val="restart"/>
          </w:tcPr>
          <w:p w14:paraId="6B30BFAD" w14:textId="77777777" w:rsidR="002045BA" w:rsidRPr="00A30CE5" w:rsidRDefault="002045BA" w:rsidP="00D24B97">
            <w:pPr>
              <w:rPr>
                <w:rFonts w:ascii="Times New Roman" w:hAnsi="Times New Roman"/>
                <w:color w:val="000000"/>
                <w:sz w:val="22"/>
                <w:szCs w:val="22"/>
                <w:lang w:val="pt-BR"/>
              </w:rPr>
            </w:pPr>
            <w:r w:rsidRPr="00A30CE5">
              <w:rPr>
                <w:color w:val="000000"/>
                <w:sz w:val="22"/>
                <w:szCs w:val="22"/>
                <w:lang w:val="pt-BR"/>
              </w:rPr>
              <w:t xml:space="preserve">BDP/FF/GB 100/6/12.5 mcg </w:t>
            </w:r>
          </w:p>
          <w:p w14:paraId="4836494F" w14:textId="77777777" w:rsidR="002045BA" w:rsidRPr="00A30CE5" w:rsidRDefault="002045BA" w:rsidP="00D24B97">
            <w:pPr>
              <w:rPr>
                <w:rFonts w:ascii="Times New Roman" w:hAnsi="Times New Roman"/>
                <w:color w:val="000000"/>
                <w:sz w:val="22"/>
                <w:szCs w:val="22"/>
                <w:lang w:val="pt-BR"/>
              </w:rPr>
            </w:pPr>
            <w:r w:rsidRPr="00A30CE5">
              <w:rPr>
                <w:color w:val="000000"/>
                <w:sz w:val="22"/>
                <w:szCs w:val="22"/>
                <w:lang w:val="pt-BR"/>
              </w:rPr>
              <w:t>(n = 764)</w:t>
            </w:r>
          </w:p>
        </w:tc>
        <w:tc>
          <w:tcPr>
            <w:tcW w:w="3033" w:type="dxa"/>
            <w:vMerge w:val="restart"/>
          </w:tcPr>
          <w:p w14:paraId="65A73709"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 xml:space="preserve">IND/GLY 85/43 mcg </w:t>
            </w:r>
          </w:p>
          <w:p w14:paraId="5AF73E38"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(n = 768)</w:t>
            </w:r>
          </w:p>
        </w:tc>
      </w:tr>
      <w:tr w:rsidR="002045BA" w:rsidRPr="00F0251C" w14:paraId="5AF865CF" w14:textId="77777777" w:rsidTr="004A490D">
        <w:trPr>
          <w:trHeight w:val="276"/>
          <w:jc w:val="center"/>
        </w:trPr>
        <w:tc>
          <w:tcPr>
            <w:tcW w:w="3397" w:type="dxa"/>
            <w:vMerge/>
          </w:tcPr>
          <w:p w14:paraId="4EF95B5A" w14:textId="77777777" w:rsidR="002045BA" w:rsidRPr="00F0251C" w:rsidRDefault="002045BA" w:rsidP="00D24B97">
            <w:pPr>
              <w:rPr>
                <w:rFonts w:ascii="Times New Roman" w:hAnsi="Times New Roman"/>
                <w:color w:val="000000"/>
                <w:sz w:val="22"/>
                <w:szCs w:val="22"/>
                <w:lang w:val="en-AU"/>
              </w:rPr>
            </w:pPr>
          </w:p>
        </w:tc>
        <w:tc>
          <w:tcPr>
            <w:tcW w:w="3198" w:type="dxa"/>
            <w:vMerge/>
          </w:tcPr>
          <w:p w14:paraId="4F325DBE" w14:textId="77777777" w:rsidR="002045BA" w:rsidRPr="00F0251C" w:rsidRDefault="002045BA" w:rsidP="00D24B97">
            <w:pPr>
              <w:rPr>
                <w:rFonts w:ascii="Times New Roman" w:hAnsi="Times New Roman"/>
                <w:color w:val="000000"/>
                <w:sz w:val="22"/>
                <w:szCs w:val="22"/>
                <w:lang w:val="en-AU"/>
              </w:rPr>
            </w:pPr>
          </w:p>
        </w:tc>
        <w:tc>
          <w:tcPr>
            <w:tcW w:w="3033" w:type="dxa"/>
            <w:vMerge/>
          </w:tcPr>
          <w:p w14:paraId="5A4317E4" w14:textId="77777777" w:rsidR="002045BA" w:rsidRPr="00F0251C" w:rsidRDefault="002045BA" w:rsidP="00D24B97">
            <w:pPr>
              <w:rPr>
                <w:rFonts w:ascii="Times New Roman" w:hAnsi="Times New Roman"/>
                <w:color w:val="000000"/>
                <w:sz w:val="22"/>
                <w:szCs w:val="22"/>
                <w:lang w:val="en-AU"/>
              </w:rPr>
            </w:pPr>
          </w:p>
        </w:tc>
      </w:tr>
      <w:tr w:rsidR="002045BA" w:rsidRPr="00F0251C" w14:paraId="2B9BD42C" w14:textId="77777777" w:rsidTr="004A490D">
        <w:trPr>
          <w:trHeight w:val="302"/>
          <w:jc w:val="center"/>
        </w:trPr>
        <w:tc>
          <w:tcPr>
            <w:tcW w:w="9628" w:type="dxa"/>
            <w:gridSpan w:val="3"/>
          </w:tcPr>
          <w:p w14:paraId="0666AA31" w14:textId="77777777" w:rsidR="002045BA" w:rsidRPr="00F0251C" w:rsidRDefault="002045BA" w:rsidP="00D24B97">
            <w:pPr>
              <w:rPr>
                <w:rFonts w:ascii="Times New Roman" w:hAnsi="Times New Roman"/>
                <w:color w:val="000000"/>
                <w:sz w:val="22"/>
                <w:szCs w:val="22"/>
                <w:u w:val="single"/>
                <w:lang w:val="en-AU"/>
              </w:rPr>
            </w:pPr>
            <w:r w:rsidRPr="004A490D">
              <w:rPr>
                <w:b/>
                <w:color w:val="000000"/>
                <w:sz w:val="22"/>
                <w:szCs w:val="22"/>
                <w:u w:val="single"/>
                <w:lang w:val="en-AU"/>
              </w:rPr>
              <w:t>Primary endpoint</w:t>
            </w:r>
          </w:p>
        </w:tc>
      </w:tr>
      <w:tr w:rsidR="002045BA" w:rsidRPr="00F0251C" w14:paraId="45FD3290" w14:textId="77777777" w:rsidTr="004A490D">
        <w:trPr>
          <w:trHeight w:val="237"/>
          <w:jc w:val="center"/>
        </w:trPr>
        <w:tc>
          <w:tcPr>
            <w:tcW w:w="9628" w:type="dxa"/>
            <w:gridSpan w:val="3"/>
          </w:tcPr>
          <w:p w14:paraId="14276292" w14:textId="77777777" w:rsidR="002045BA" w:rsidRPr="004A490D" w:rsidRDefault="002045BA" w:rsidP="00D24B97">
            <w:pPr>
              <w:rPr>
                <w:rFonts w:ascii="Times New Roman" w:hAnsi="Times New Roman"/>
                <w:b/>
                <w:color w:val="000000"/>
                <w:sz w:val="22"/>
                <w:szCs w:val="22"/>
                <w:lang w:val="en-AU"/>
              </w:rPr>
            </w:pPr>
            <w:r w:rsidRPr="004A490D">
              <w:rPr>
                <w:b/>
                <w:color w:val="000000"/>
                <w:sz w:val="22"/>
                <w:szCs w:val="22"/>
                <w:lang w:val="en-AU"/>
              </w:rPr>
              <w:t>Moderate/severe COPD exacerbation rate</w:t>
            </w:r>
          </w:p>
        </w:tc>
      </w:tr>
      <w:tr w:rsidR="002045BA" w:rsidRPr="00F0251C" w14:paraId="7A2BD263" w14:textId="77777777" w:rsidTr="004A490D">
        <w:trPr>
          <w:trHeight w:val="237"/>
          <w:jc w:val="center"/>
        </w:trPr>
        <w:tc>
          <w:tcPr>
            <w:tcW w:w="3397" w:type="dxa"/>
          </w:tcPr>
          <w:p w14:paraId="1D8988A5"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exacerbation rate per patient per year (95% CI)</w:t>
            </w:r>
          </w:p>
        </w:tc>
        <w:tc>
          <w:tcPr>
            <w:tcW w:w="3198" w:type="dxa"/>
          </w:tcPr>
          <w:p w14:paraId="404BDC9C"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0.504 (0.447; 0.569)</w:t>
            </w:r>
          </w:p>
        </w:tc>
        <w:tc>
          <w:tcPr>
            <w:tcW w:w="3033" w:type="dxa"/>
          </w:tcPr>
          <w:p w14:paraId="395B2F21"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0.595 (0.530; 0.668)</w:t>
            </w:r>
          </w:p>
        </w:tc>
      </w:tr>
      <w:tr w:rsidR="002045BA" w:rsidRPr="00F0251C" w14:paraId="73ABF6D7" w14:textId="77777777" w:rsidTr="004A490D">
        <w:trPr>
          <w:trHeight w:val="237"/>
          <w:jc w:val="center"/>
        </w:trPr>
        <w:tc>
          <w:tcPr>
            <w:tcW w:w="3397" w:type="dxa"/>
          </w:tcPr>
          <w:p w14:paraId="7E331227"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rate ratio (95% CI)</w:t>
            </w:r>
          </w:p>
          <w:p w14:paraId="084C5B7B"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p-value</w:t>
            </w:r>
          </w:p>
        </w:tc>
        <w:tc>
          <w:tcPr>
            <w:tcW w:w="6231" w:type="dxa"/>
            <w:gridSpan w:val="2"/>
          </w:tcPr>
          <w:p w14:paraId="745E3427"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0.848 (0.723; 0.995)</w:t>
            </w:r>
          </w:p>
          <w:p w14:paraId="5D03BE64"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0.043</w:t>
            </w:r>
          </w:p>
        </w:tc>
      </w:tr>
      <w:tr w:rsidR="002045BA" w:rsidRPr="00F0251C" w14:paraId="7E506ADC" w14:textId="77777777" w:rsidTr="004A490D">
        <w:trPr>
          <w:trHeight w:val="206"/>
          <w:jc w:val="center"/>
        </w:trPr>
        <w:tc>
          <w:tcPr>
            <w:tcW w:w="9628" w:type="dxa"/>
            <w:gridSpan w:val="3"/>
          </w:tcPr>
          <w:p w14:paraId="27298141" w14:textId="77777777" w:rsidR="002045BA" w:rsidRPr="004A490D" w:rsidRDefault="002045BA" w:rsidP="00D24B97">
            <w:pPr>
              <w:rPr>
                <w:rFonts w:ascii="Times New Roman" w:hAnsi="Times New Roman"/>
                <w:b/>
                <w:color w:val="000000"/>
                <w:sz w:val="22"/>
                <w:szCs w:val="22"/>
                <w:lang w:val="en-AU"/>
              </w:rPr>
            </w:pPr>
            <w:r w:rsidRPr="004A490D">
              <w:rPr>
                <w:b/>
                <w:color w:val="000000"/>
                <w:sz w:val="22"/>
                <w:szCs w:val="22"/>
                <w:u w:val="single"/>
                <w:lang w:val="en-AU"/>
              </w:rPr>
              <w:t>Secondary endpoints</w:t>
            </w:r>
          </w:p>
        </w:tc>
      </w:tr>
      <w:tr w:rsidR="002045BA" w:rsidRPr="00F0251C" w14:paraId="6C50AE18" w14:textId="77777777" w:rsidTr="004A490D">
        <w:trPr>
          <w:trHeight w:val="206"/>
          <w:jc w:val="center"/>
        </w:trPr>
        <w:tc>
          <w:tcPr>
            <w:tcW w:w="9628" w:type="dxa"/>
            <w:gridSpan w:val="3"/>
          </w:tcPr>
          <w:p w14:paraId="6E20685D" w14:textId="77777777" w:rsidR="002045BA" w:rsidRPr="004A490D" w:rsidRDefault="002045BA" w:rsidP="00D24B97">
            <w:pPr>
              <w:rPr>
                <w:rFonts w:ascii="Times New Roman" w:hAnsi="Times New Roman"/>
                <w:b/>
                <w:color w:val="000000"/>
                <w:sz w:val="22"/>
                <w:szCs w:val="22"/>
                <w:lang w:val="en-AU"/>
              </w:rPr>
            </w:pPr>
            <w:r w:rsidRPr="004A490D">
              <w:rPr>
                <w:b/>
                <w:color w:val="000000"/>
                <w:sz w:val="22"/>
                <w:szCs w:val="22"/>
                <w:lang w:val="en-AU"/>
              </w:rPr>
              <w:t>Time to first moderate/severe COPD exacerbation</w:t>
            </w:r>
          </w:p>
        </w:tc>
      </w:tr>
      <w:tr w:rsidR="002045BA" w:rsidRPr="00F0251C" w14:paraId="59A3280A" w14:textId="77777777" w:rsidTr="004A490D">
        <w:trPr>
          <w:trHeight w:val="248"/>
          <w:jc w:val="center"/>
        </w:trPr>
        <w:tc>
          <w:tcPr>
            <w:tcW w:w="3397" w:type="dxa"/>
          </w:tcPr>
          <w:p w14:paraId="6E33C7BA"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Hazard ratio (95% CI)</w:t>
            </w:r>
          </w:p>
          <w:p w14:paraId="538211E5" w14:textId="43F91DAD" w:rsidR="002045BA" w:rsidRPr="00F0251C" w:rsidRDefault="002045BA" w:rsidP="00D24B97">
            <w:pPr>
              <w:rPr>
                <w:rFonts w:ascii="Times New Roman" w:hAnsi="Times New Roman"/>
                <w:color w:val="000000"/>
                <w:sz w:val="22"/>
                <w:szCs w:val="22"/>
                <w:lang w:val="en-AU"/>
              </w:rPr>
            </w:pPr>
          </w:p>
        </w:tc>
        <w:tc>
          <w:tcPr>
            <w:tcW w:w="6231" w:type="dxa"/>
            <w:gridSpan w:val="2"/>
          </w:tcPr>
          <w:p w14:paraId="3FF56A9D"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0.901 (0.763; 1.064)</w:t>
            </w:r>
          </w:p>
          <w:p w14:paraId="4507DC81" w14:textId="46F442CD" w:rsidR="002045BA" w:rsidRPr="00F0251C" w:rsidRDefault="002045BA" w:rsidP="00D24B97">
            <w:pPr>
              <w:jc w:val="center"/>
              <w:rPr>
                <w:rFonts w:ascii="Times New Roman" w:hAnsi="Times New Roman"/>
                <w:color w:val="000000"/>
                <w:sz w:val="22"/>
                <w:szCs w:val="22"/>
                <w:lang w:val="en-AU"/>
              </w:rPr>
            </w:pPr>
          </w:p>
        </w:tc>
      </w:tr>
      <w:tr w:rsidR="002045BA" w:rsidRPr="00F0251C" w14:paraId="1E3FF0D7" w14:textId="77777777" w:rsidTr="004A490D">
        <w:trPr>
          <w:trHeight w:val="206"/>
          <w:jc w:val="center"/>
        </w:trPr>
        <w:tc>
          <w:tcPr>
            <w:tcW w:w="9628" w:type="dxa"/>
            <w:gridSpan w:val="3"/>
          </w:tcPr>
          <w:p w14:paraId="2C6AF4D9" w14:textId="77777777" w:rsidR="002045BA" w:rsidRPr="004A490D" w:rsidRDefault="002045BA" w:rsidP="00D24B97">
            <w:pPr>
              <w:rPr>
                <w:rFonts w:ascii="Times New Roman" w:hAnsi="Times New Roman"/>
                <w:b/>
                <w:color w:val="000000"/>
                <w:sz w:val="22"/>
                <w:szCs w:val="22"/>
                <w:lang w:val="en-AU"/>
              </w:rPr>
            </w:pPr>
            <w:r w:rsidRPr="004A490D">
              <w:rPr>
                <w:b/>
                <w:color w:val="000000"/>
                <w:sz w:val="22"/>
                <w:szCs w:val="22"/>
                <w:lang w:val="en-AU"/>
              </w:rPr>
              <w:t>Change from baseline in SGRQ total score at Week 52</w:t>
            </w:r>
          </w:p>
        </w:tc>
      </w:tr>
      <w:tr w:rsidR="002045BA" w:rsidRPr="00F0251C" w14:paraId="2F70B5D1" w14:textId="77777777" w:rsidTr="004A490D">
        <w:trPr>
          <w:trHeight w:val="248"/>
          <w:jc w:val="center"/>
        </w:trPr>
        <w:tc>
          <w:tcPr>
            <w:tcW w:w="3397" w:type="dxa"/>
          </w:tcPr>
          <w:p w14:paraId="160730F0"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n</w:t>
            </w:r>
          </w:p>
          <w:p w14:paraId="2CED2FF2"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(95% CI)</w:t>
            </w:r>
          </w:p>
        </w:tc>
        <w:tc>
          <w:tcPr>
            <w:tcW w:w="3198" w:type="dxa"/>
          </w:tcPr>
          <w:p w14:paraId="225518B4"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667</w:t>
            </w:r>
          </w:p>
          <w:p w14:paraId="35A1774D"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-3.49 (-4.36; -2.63)</w:t>
            </w:r>
          </w:p>
        </w:tc>
        <w:tc>
          <w:tcPr>
            <w:tcW w:w="3033" w:type="dxa"/>
          </w:tcPr>
          <w:p w14:paraId="0E6A8A82"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654</w:t>
            </w:r>
          </w:p>
          <w:p w14:paraId="28506649"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-1.85 (-2.72; -0.98)</w:t>
            </w:r>
          </w:p>
        </w:tc>
      </w:tr>
      <w:tr w:rsidR="002045BA" w:rsidRPr="00F0251C" w14:paraId="3219564F" w14:textId="77777777" w:rsidTr="004A490D">
        <w:trPr>
          <w:trHeight w:val="237"/>
          <w:jc w:val="center"/>
        </w:trPr>
        <w:tc>
          <w:tcPr>
            <w:tcW w:w="3397" w:type="dxa"/>
          </w:tcPr>
          <w:p w14:paraId="11FBEEB7" w14:textId="77777777" w:rsidR="002045BA" w:rsidRPr="00F0251C" w:rsidRDefault="002045BA" w:rsidP="00D24B97">
            <w:pPr>
              <w:rPr>
                <w:rFonts w:ascii="Times New Roman" w:hAnsi="Times New Roman"/>
                <w:color w:val="000000"/>
                <w:sz w:val="22"/>
                <w:szCs w:val="22"/>
                <w:lang w:val="en-AU"/>
              </w:rPr>
            </w:pPr>
            <w:r w:rsidRPr="00F0251C">
              <w:rPr>
                <w:rFonts w:ascii="Times New Roman" w:hAnsi="Times New Roman"/>
                <w:color w:val="000000"/>
                <w:sz w:val="22"/>
                <w:szCs w:val="22"/>
                <w:lang w:val="en-AU"/>
              </w:rPr>
              <w:t>Adjusted mean difference (95% CI)</w:t>
            </w:r>
          </w:p>
          <w:p w14:paraId="0901A984" w14:textId="2A09D812" w:rsidR="002045BA" w:rsidRPr="00F0251C" w:rsidRDefault="002045BA" w:rsidP="00D24B97">
            <w:pPr>
              <w:rPr>
                <w:rFonts w:ascii="Times New Roman" w:hAnsi="Times New Roman"/>
                <w:color w:val="000000"/>
                <w:sz w:val="22"/>
                <w:szCs w:val="22"/>
                <w:lang w:val="en-AU"/>
              </w:rPr>
            </w:pPr>
          </w:p>
        </w:tc>
        <w:tc>
          <w:tcPr>
            <w:tcW w:w="6231" w:type="dxa"/>
            <w:gridSpan w:val="2"/>
          </w:tcPr>
          <w:p w14:paraId="1FD0E7ED" w14:textId="77777777" w:rsidR="002045BA" w:rsidRPr="00F0251C" w:rsidRDefault="002045BA" w:rsidP="00D24B97">
            <w:pPr>
              <w:jc w:val="center"/>
              <w:rPr>
                <w:rFonts w:ascii="Times New Roman" w:hAnsi="Times New Roman"/>
                <w:sz w:val="22"/>
                <w:szCs w:val="22"/>
                <w:lang w:val="en-AU" w:eastAsia="en-US"/>
              </w:rPr>
            </w:pPr>
            <w:r w:rsidRPr="00F0251C">
              <w:rPr>
                <w:rFonts w:ascii="Times New Roman" w:hAnsi="Times New Roman"/>
                <w:sz w:val="22"/>
                <w:szCs w:val="22"/>
                <w:lang w:val="en-AU" w:eastAsia="en-US"/>
              </w:rPr>
              <w:t>-1.64 (-2.87; -0.42)</w:t>
            </w:r>
          </w:p>
          <w:p w14:paraId="2C5E20B4" w14:textId="56B2FCE2" w:rsidR="002045BA" w:rsidRPr="00F0251C" w:rsidRDefault="002045BA" w:rsidP="00D24B97">
            <w:pPr>
              <w:jc w:val="center"/>
              <w:rPr>
                <w:rFonts w:ascii="Times New Roman" w:hAnsi="Times New Roman"/>
                <w:color w:val="000000"/>
                <w:sz w:val="22"/>
                <w:szCs w:val="22"/>
                <w:lang w:val="en-AU"/>
              </w:rPr>
            </w:pPr>
          </w:p>
        </w:tc>
      </w:tr>
      <w:tr w:rsidR="002045BA" w:rsidRPr="00F0251C" w14:paraId="0C9DFDF5" w14:textId="77777777" w:rsidTr="004A490D">
        <w:trPr>
          <w:trHeight w:val="237"/>
          <w:jc w:val="center"/>
        </w:trPr>
        <w:tc>
          <w:tcPr>
            <w:tcW w:w="9628" w:type="dxa"/>
            <w:gridSpan w:val="3"/>
          </w:tcPr>
          <w:p w14:paraId="3832CC3C" w14:textId="77777777" w:rsidR="002045BA" w:rsidRPr="00F0251C" w:rsidRDefault="002045BA" w:rsidP="00D24B97">
            <w:pPr>
              <w:jc w:val="center"/>
              <w:rPr>
                <w:rFonts w:ascii="Times New Roman" w:hAnsi="Times New Roman"/>
                <w:color w:val="000000"/>
                <w:sz w:val="22"/>
                <w:szCs w:val="22"/>
                <w:lang w:val="en-AU"/>
              </w:rPr>
            </w:pPr>
            <w:r w:rsidRPr="00F0251C">
              <w:rPr>
                <w:rFonts w:ascii="Times New Roman" w:hAnsi="Times New Roman"/>
                <w:color w:val="000000"/>
                <w:sz w:val="22"/>
                <w:szCs w:val="22"/>
                <w:lang w:val="en-AU"/>
              </w:rPr>
              <w:t>BDP= beclomethasone dipropionate; COPD= chronic obstructive pulmonary disease; FEV</w:t>
            </w:r>
            <w:r w:rsidRPr="00F0251C">
              <w:rPr>
                <w:rFonts w:ascii="Times New Roman" w:hAnsi="Times New Roman"/>
                <w:color w:val="000000"/>
                <w:sz w:val="22"/>
                <w:szCs w:val="22"/>
                <w:vertAlign w:val="subscript"/>
                <w:lang w:val="en-AU"/>
              </w:rPr>
              <w:t>1</w:t>
            </w:r>
            <w:r w:rsidRPr="00F0251C">
              <w:rPr>
                <w:rFonts w:ascii="Times New Roman" w:hAnsi="Times New Roman"/>
                <w:color w:val="000000"/>
                <w:sz w:val="22"/>
                <w:szCs w:val="22"/>
                <w:lang w:val="en-AU"/>
              </w:rPr>
              <w:t>= forced expiratory volume in 1 second; FF= formoterol fumarate; GB= glycopyrronium bromide; n= number of patients with available data; IND= indacaterol; N= Number of patients in the ITT population; SGRQ= St. George’s respiratory questionnaire.</w:t>
            </w:r>
          </w:p>
          <w:p w14:paraId="05CFB6A1" w14:textId="13C61FDD" w:rsidR="002045BA" w:rsidRPr="00F0251C" w:rsidRDefault="002045BA" w:rsidP="00D24B97">
            <w:pPr>
              <w:jc w:val="center"/>
              <w:rPr>
                <w:rFonts w:ascii="Times New Roman" w:hAnsi="Times New Roman"/>
                <w:color w:val="000000"/>
                <w:sz w:val="22"/>
                <w:szCs w:val="22"/>
                <w:lang w:val="en-AU"/>
              </w:rPr>
            </w:pPr>
          </w:p>
        </w:tc>
      </w:tr>
    </w:tbl>
    <w:p w14:paraId="05C8F764" w14:textId="09C76F87" w:rsidR="000102EA" w:rsidRPr="00F0251C" w:rsidRDefault="000102EA" w:rsidP="000D1FB0">
      <w:pPr>
        <w:ind w:left="284"/>
        <w:rPr>
          <w:sz w:val="24"/>
          <w:szCs w:val="24"/>
          <w:u w:val="single"/>
          <w:lang w:val="en-AU"/>
        </w:rPr>
      </w:pPr>
    </w:p>
    <w:p w14:paraId="35632041" w14:textId="77777777" w:rsidR="008F7A50" w:rsidRPr="00F0251C" w:rsidRDefault="008F7A50" w:rsidP="008F7A50">
      <w:pPr>
        <w:pStyle w:val="NoSpacing"/>
        <w:ind w:left="284"/>
        <w:rPr>
          <w:rFonts w:eastAsia="Calibri"/>
          <w:b/>
          <w:bCs/>
          <w:sz w:val="24"/>
          <w:szCs w:val="24"/>
          <w:lang w:val="en-AU" w:eastAsia="en-US"/>
        </w:rPr>
      </w:pPr>
      <w:r w:rsidRPr="00F0251C">
        <w:rPr>
          <w:rFonts w:eastAsia="Calibri"/>
          <w:b/>
          <w:bCs/>
          <w:sz w:val="24"/>
          <w:szCs w:val="24"/>
          <w:lang w:val="en-AU" w:eastAsia="en-US"/>
        </w:rPr>
        <w:t>Study 4 (CCD-05993AA1-07, TRISTAR)</w:t>
      </w:r>
    </w:p>
    <w:p w14:paraId="36D9253F" w14:textId="673DD0AD" w:rsidR="008F7A50" w:rsidRPr="00F0251C" w:rsidRDefault="008F7A50" w:rsidP="008F7A50">
      <w:pPr>
        <w:pStyle w:val="NoSpacing"/>
        <w:ind w:left="284"/>
        <w:rPr>
          <w:rFonts w:eastAsia="Calibri"/>
          <w:sz w:val="24"/>
          <w:szCs w:val="24"/>
          <w:lang w:val="en-AU" w:eastAsia="en-US"/>
        </w:rPr>
      </w:pPr>
      <w:r w:rsidRPr="00F0251C">
        <w:rPr>
          <w:rFonts w:eastAsia="Calibri"/>
          <w:sz w:val="24"/>
          <w:szCs w:val="24"/>
          <w:lang w:val="en-AU" w:eastAsia="en-US"/>
        </w:rPr>
        <w:t xml:space="preserve">The effect on health-related quality of life of </w:t>
      </w:r>
      <w:r w:rsidRPr="009B3F0E">
        <w:rPr>
          <w:sz w:val="24"/>
          <w:szCs w:val="24"/>
          <w:lang w:val="en-AU"/>
        </w:rPr>
        <w:t xml:space="preserve">the single-inhaler fixed triple combination of beclomethasone dipropionate, formoterol, glycopyrronium bromide (BDP/FF/GB 100/6/12.5 micrograms) </w:t>
      </w:r>
      <w:r>
        <w:rPr>
          <w:sz w:val="24"/>
          <w:szCs w:val="24"/>
          <w:lang w:val="en-AU"/>
        </w:rPr>
        <w:t xml:space="preserve">pMDI </w:t>
      </w:r>
      <w:r w:rsidRPr="00F0251C">
        <w:rPr>
          <w:rFonts w:eastAsia="Calibri"/>
          <w:sz w:val="24"/>
          <w:szCs w:val="24"/>
          <w:lang w:val="en-AU" w:eastAsia="en-US"/>
        </w:rPr>
        <w:t>administered as a two inhalations twice-daily treatment in patients with a clinical diagnosis of COPD has been evaluated in this multicentre, randomi</w:t>
      </w:r>
      <w:r>
        <w:rPr>
          <w:rFonts w:eastAsia="Calibri"/>
          <w:sz w:val="24"/>
          <w:szCs w:val="24"/>
          <w:lang w:val="en-AU" w:eastAsia="en-US"/>
        </w:rPr>
        <w:t>s</w:t>
      </w:r>
      <w:r w:rsidRPr="00F0251C">
        <w:rPr>
          <w:rFonts w:eastAsia="Calibri"/>
          <w:sz w:val="24"/>
          <w:szCs w:val="24"/>
          <w:lang w:val="en-AU" w:eastAsia="en-US"/>
        </w:rPr>
        <w:t>ed, open-label, parallel group</w:t>
      </w:r>
      <w:r>
        <w:rPr>
          <w:rFonts w:eastAsia="Calibri"/>
          <w:sz w:val="24"/>
          <w:szCs w:val="24"/>
          <w:lang w:val="en-AU" w:eastAsia="en-US"/>
        </w:rPr>
        <w:t xml:space="preserve">, </w:t>
      </w:r>
      <w:r w:rsidRPr="00F0251C">
        <w:rPr>
          <w:rFonts w:eastAsia="Calibri"/>
          <w:sz w:val="24"/>
          <w:szCs w:val="24"/>
          <w:lang w:val="en-AU" w:eastAsia="en-US"/>
        </w:rPr>
        <w:t>26-week active-controlled study compared to a two-inhaler triple therapy with the fixed combination of fluticasone furoate, vilanterol (FLU/VI 92/22 micrograms) inhalation powder, pre-dispensed once-daily and tiotropium (TIO 18 micrograms) inhalation powder hard capsule once-daily.</w:t>
      </w:r>
    </w:p>
    <w:p w14:paraId="4376AE3D" w14:textId="77777777" w:rsidR="008F7A50" w:rsidRPr="00F0251C" w:rsidRDefault="008F7A50" w:rsidP="008F7A50">
      <w:pPr>
        <w:pStyle w:val="NoSpacing"/>
        <w:ind w:left="284"/>
        <w:rPr>
          <w:rFonts w:eastAsia="Calibri"/>
          <w:sz w:val="24"/>
          <w:szCs w:val="24"/>
          <w:lang w:val="en-AU" w:eastAsia="en-US"/>
        </w:rPr>
      </w:pPr>
    </w:p>
    <w:p w14:paraId="3B073785" w14:textId="77777777" w:rsidR="008F7A50" w:rsidRPr="00F0251C" w:rsidRDefault="008F7A50" w:rsidP="008F7A50">
      <w:pPr>
        <w:pStyle w:val="NoSpacing"/>
        <w:ind w:left="284"/>
        <w:rPr>
          <w:rFonts w:eastAsia="Calibri"/>
          <w:sz w:val="24"/>
          <w:szCs w:val="24"/>
          <w:lang w:val="en-AU" w:eastAsia="en-US"/>
        </w:rPr>
      </w:pPr>
      <w:r w:rsidRPr="00F0251C">
        <w:rPr>
          <w:rFonts w:eastAsia="Calibri"/>
          <w:sz w:val="24"/>
          <w:szCs w:val="24"/>
          <w:lang w:val="en-AU" w:eastAsia="en-US"/>
        </w:rPr>
        <w:t>At screening, the mean post-bronchodilator FEV</w:t>
      </w:r>
      <w:r w:rsidRPr="00F0251C">
        <w:rPr>
          <w:rFonts w:eastAsia="Calibri"/>
          <w:sz w:val="24"/>
          <w:szCs w:val="24"/>
          <w:vertAlign w:val="subscript"/>
          <w:lang w:val="en-AU" w:eastAsia="en-US"/>
        </w:rPr>
        <w:t>1</w:t>
      </w:r>
      <w:r w:rsidRPr="00F0251C">
        <w:rPr>
          <w:rFonts w:eastAsia="Calibri"/>
          <w:sz w:val="24"/>
          <w:szCs w:val="24"/>
          <w:lang w:val="en-AU" w:eastAsia="en-US"/>
        </w:rPr>
        <w:t xml:space="preserve"> was 36.3% predicted, the mean reversibility was 7.27%, and the mean CAT score was 22.8. In the year prior to study entry, 84.1% of the patients had one moderate or severe COPD exacerbation, while 15.9% of the patients had experienced more than one exacerbation.</w:t>
      </w:r>
    </w:p>
    <w:p w14:paraId="1EE9CF99" w14:textId="77777777" w:rsidR="008F7A50" w:rsidRPr="00F0251C" w:rsidRDefault="008F7A50" w:rsidP="008F7A50">
      <w:pPr>
        <w:pStyle w:val="NoSpacing"/>
        <w:ind w:left="284"/>
        <w:rPr>
          <w:rFonts w:eastAsia="Calibri"/>
          <w:sz w:val="24"/>
          <w:szCs w:val="24"/>
          <w:lang w:val="en-AU" w:eastAsia="en-US"/>
        </w:rPr>
      </w:pPr>
    </w:p>
    <w:p w14:paraId="173DF452" w14:textId="4D162926" w:rsidR="00DD40B4" w:rsidRDefault="008F7A50" w:rsidP="008F7A50">
      <w:pPr>
        <w:pStyle w:val="NoSpacing"/>
        <w:ind w:left="284"/>
        <w:rPr>
          <w:rFonts w:eastAsia="Calibri"/>
          <w:sz w:val="24"/>
          <w:szCs w:val="24"/>
          <w:lang w:val="en-AU" w:eastAsia="en-US"/>
        </w:rPr>
      </w:pPr>
      <w:r>
        <w:rPr>
          <w:rFonts w:eastAsia="Calibri"/>
          <w:sz w:val="24"/>
          <w:szCs w:val="24"/>
          <w:lang w:val="en-AU" w:eastAsia="en-US"/>
        </w:rPr>
        <w:t>BDP/FF/GB</w:t>
      </w:r>
      <w:r w:rsidRPr="00F0251C">
        <w:rPr>
          <w:rFonts w:eastAsia="Calibri"/>
          <w:sz w:val="24"/>
          <w:szCs w:val="24"/>
          <w:lang w:val="en-AU" w:eastAsia="en-US"/>
        </w:rPr>
        <w:t xml:space="preserve"> was non-inferior to FLU/VI+TIO at Week 26 in health-related quality of life measured by the St. George’s Respiratory Questionnaire (SGRQ) total score, with the upper limit of the 95% CI for the adjusted mean difference between treatments being below the non-inferiority margin of 4 units (primary endpoint). The responder analysis on the same outcome showed similar results.</w:t>
      </w:r>
    </w:p>
    <w:p w14:paraId="5EACF237" w14:textId="77777777" w:rsidR="008F7A50" w:rsidRPr="00F0251C" w:rsidRDefault="008F7A50" w:rsidP="008F7A50">
      <w:pPr>
        <w:pStyle w:val="NoSpacing"/>
        <w:ind w:left="284"/>
        <w:rPr>
          <w:rFonts w:eastAsia="Calibri"/>
          <w:sz w:val="24"/>
          <w:szCs w:val="24"/>
          <w:lang w:val="en-AU" w:eastAsia="en-US"/>
        </w:rPr>
      </w:pPr>
    </w:p>
    <w:p w14:paraId="14F3F922" w14:textId="7D0DB535" w:rsidR="008F7A50" w:rsidRPr="00F0251C" w:rsidRDefault="008F7A50" w:rsidP="008F7A50">
      <w:pPr>
        <w:pStyle w:val="NoSpacing"/>
        <w:ind w:left="284"/>
        <w:rPr>
          <w:rFonts w:eastAsia="Calibri"/>
          <w:sz w:val="24"/>
          <w:szCs w:val="24"/>
          <w:lang w:val="en-AU" w:eastAsia="en-US"/>
        </w:rPr>
      </w:pPr>
      <w:r w:rsidRPr="00F0251C">
        <w:rPr>
          <w:rFonts w:eastAsia="Calibri"/>
          <w:sz w:val="24"/>
          <w:szCs w:val="24"/>
          <w:lang w:val="en-AU" w:eastAsia="en-US"/>
        </w:rPr>
        <w:t xml:space="preserve">No relevant differences were observed in the </w:t>
      </w:r>
      <w:r w:rsidR="005C168F">
        <w:rPr>
          <w:rFonts w:eastAsia="Calibri"/>
          <w:sz w:val="24"/>
          <w:szCs w:val="24"/>
          <w:lang w:val="en-AU" w:eastAsia="en-US"/>
        </w:rPr>
        <w:t xml:space="preserve">secondary endpoints </w:t>
      </w:r>
      <w:r w:rsidRPr="00755E6D">
        <w:rPr>
          <w:rFonts w:eastAsia="Calibri"/>
          <w:sz w:val="24"/>
          <w:szCs w:val="24"/>
          <w:lang w:val="en-AU" w:eastAsia="en-US"/>
        </w:rPr>
        <w:t>(see Table 7).</w:t>
      </w:r>
    </w:p>
    <w:p w14:paraId="6EA94D0A" w14:textId="77777777" w:rsidR="008F7A50" w:rsidRPr="00F0251C" w:rsidRDefault="008F7A50" w:rsidP="008F7A50">
      <w:pPr>
        <w:pStyle w:val="NoSpacing"/>
        <w:ind w:left="284"/>
        <w:rPr>
          <w:rFonts w:eastAsia="Calibri"/>
          <w:sz w:val="24"/>
          <w:szCs w:val="24"/>
          <w:lang w:val="en-AU" w:eastAsia="en-US"/>
        </w:rPr>
      </w:pPr>
    </w:p>
    <w:p w14:paraId="720FB944" w14:textId="77777777" w:rsidR="004E5D2B" w:rsidRDefault="004E5D2B" w:rsidP="008F7A50">
      <w:pPr>
        <w:spacing w:line="259" w:lineRule="auto"/>
        <w:ind w:left="108" w:firstLine="176"/>
        <w:rPr>
          <w:rFonts w:eastAsia="Calibri"/>
          <w:b/>
          <w:bCs/>
          <w:sz w:val="24"/>
          <w:szCs w:val="24"/>
          <w:lang w:val="en-AU" w:eastAsia="en-US"/>
        </w:rPr>
      </w:pPr>
    </w:p>
    <w:p w14:paraId="6FFD619B" w14:textId="518B8F92" w:rsidR="008F7A50" w:rsidRDefault="008F7A50" w:rsidP="008F7A50">
      <w:pPr>
        <w:spacing w:line="259" w:lineRule="auto"/>
        <w:ind w:left="108" w:firstLine="176"/>
        <w:rPr>
          <w:rFonts w:eastAsia="Calibri"/>
          <w:b/>
          <w:bCs/>
          <w:sz w:val="24"/>
          <w:szCs w:val="24"/>
          <w:lang w:val="en-AU" w:eastAsia="en-US"/>
        </w:rPr>
      </w:pPr>
      <w:r w:rsidRPr="00F0251C">
        <w:rPr>
          <w:rFonts w:eastAsia="Calibri"/>
          <w:b/>
          <w:bCs/>
          <w:sz w:val="24"/>
          <w:szCs w:val="24"/>
          <w:lang w:val="en-AU" w:eastAsia="en-US"/>
        </w:rPr>
        <w:lastRenderedPageBreak/>
        <w:t>Table 7: Key efficacy endpoints, ITT population (Study CCD-05993AA1-07, TRISTAR)</w:t>
      </w:r>
    </w:p>
    <w:tbl>
      <w:tblPr>
        <w:tblStyle w:val="TableGrid"/>
        <w:tblW w:w="0" w:type="auto"/>
        <w:jc w:val="center"/>
        <w:tblLook w:val="04A0" w:firstRow="1" w:lastRow="0" w:firstColumn="1" w:lastColumn="0" w:noHBand="0" w:noVBand="1"/>
      </w:tblPr>
      <w:tblGrid>
        <w:gridCol w:w="3681"/>
        <w:gridCol w:w="2953"/>
        <w:gridCol w:w="2994"/>
      </w:tblGrid>
      <w:tr w:rsidR="0033069E" w:rsidRPr="00CE4166" w14:paraId="1D03CE36" w14:textId="77777777" w:rsidTr="004A490D">
        <w:trPr>
          <w:trHeight w:val="276"/>
          <w:jc w:val="center"/>
        </w:trPr>
        <w:tc>
          <w:tcPr>
            <w:tcW w:w="3681" w:type="dxa"/>
            <w:vMerge w:val="restart"/>
          </w:tcPr>
          <w:p w14:paraId="381D80DB" w14:textId="77777777" w:rsidR="0033069E" w:rsidRPr="00F0251C" w:rsidRDefault="0033069E" w:rsidP="00055327">
            <w:pPr>
              <w:rPr>
                <w:rFonts w:ascii="Times New Roman" w:hAnsi="Times New Roman"/>
                <w:color w:val="000000"/>
                <w:sz w:val="24"/>
                <w:szCs w:val="24"/>
                <w:lang w:val="en-AU"/>
              </w:rPr>
            </w:pPr>
          </w:p>
        </w:tc>
        <w:tc>
          <w:tcPr>
            <w:tcW w:w="2953" w:type="dxa"/>
            <w:vMerge w:val="restart"/>
          </w:tcPr>
          <w:p w14:paraId="5EE51A63" w14:textId="77777777" w:rsidR="0033069E" w:rsidRPr="00A30CE5" w:rsidRDefault="0033069E" w:rsidP="00055327">
            <w:pPr>
              <w:rPr>
                <w:rFonts w:ascii="Times New Roman" w:hAnsi="Times New Roman"/>
                <w:color w:val="000000"/>
                <w:sz w:val="24"/>
                <w:szCs w:val="24"/>
                <w:lang w:val="pt-BR"/>
              </w:rPr>
            </w:pPr>
            <w:r w:rsidRPr="00A30CE5">
              <w:rPr>
                <w:color w:val="000000"/>
                <w:sz w:val="24"/>
                <w:szCs w:val="24"/>
                <w:lang w:val="pt-BR"/>
              </w:rPr>
              <w:t xml:space="preserve">BDP/FF/GB 100/6/12.5 mcg </w:t>
            </w:r>
          </w:p>
          <w:p w14:paraId="16323716" w14:textId="77777777" w:rsidR="0033069E" w:rsidRPr="00A30CE5" w:rsidRDefault="0033069E" w:rsidP="00055327">
            <w:pPr>
              <w:rPr>
                <w:rFonts w:ascii="Times New Roman" w:hAnsi="Times New Roman"/>
                <w:color w:val="000000"/>
                <w:sz w:val="24"/>
                <w:szCs w:val="24"/>
                <w:lang w:val="pt-BR"/>
              </w:rPr>
            </w:pPr>
            <w:r w:rsidRPr="00A30CE5">
              <w:rPr>
                <w:color w:val="000000"/>
                <w:sz w:val="24"/>
                <w:szCs w:val="24"/>
                <w:lang w:val="pt-BR"/>
              </w:rPr>
              <w:t>(n = 577)</w:t>
            </w:r>
          </w:p>
        </w:tc>
        <w:tc>
          <w:tcPr>
            <w:tcW w:w="2994" w:type="dxa"/>
            <w:vMerge w:val="restart"/>
          </w:tcPr>
          <w:p w14:paraId="1F7808C8" w14:textId="77777777" w:rsidR="0033069E" w:rsidRPr="00A30CE5" w:rsidRDefault="0033069E" w:rsidP="00055327">
            <w:pPr>
              <w:rPr>
                <w:rFonts w:ascii="Times New Roman" w:hAnsi="Times New Roman"/>
                <w:color w:val="000000"/>
                <w:sz w:val="24"/>
                <w:szCs w:val="24"/>
                <w:lang w:val="pt-BR"/>
              </w:rPr>
            </w:pPr>
            <w:r w:rsidRPr="00A30CE5">
              <w:rPr>
                <w:color w:val="000000"/>
                <w:sz w:val="24"/>
                <w:szCs w:val="24"/>
                <w:lang w:val="pt-BR"/>
              </w:rPr>
              <w:t>FLU/VI 92/22 mcg + TIO 18 mcg</w:t>
            </w:r>
          </w:p>
          <w:p w14:paraId="5AF5A690" w14:textId="77777777" w:rsidR="0033069E" w:rsidRPr="00A30CE5" w:rsidRDefault="0033069E" w:rsidP="00055327">
            <w:pPr>
              <w:rPr>
                <w:rFonts w:ascii="Times New Roman" w:hAnsi="Times New Roman"/>
                <w:color w:val="000000"/>
                <w:sz w:val="24"/>
                <w:szCs w:val="24"/>
                <w:lang w:val="pt-BR"/>
              </w:rPr>
            </w:pPr>
            <w:r w:rsidRPr="00A30CE5">
              <w:rPr>
                <w:color w:val="000000"/>
                <w:sz w:val="24"/>
                <w:szCs w:val="24"/>
                <w:lang w:val="pt-BR"/>
              </w:rPr>
              <w:t>(n = 579)</w:t>
            </w:r>
          </w:p>
        </w:tc>
      </w:tr>
      <w:tr w:rsidR="0033069E" w:rsidRPr="00CE4166" w14:paraId="4EDF5B77" w14:textId="77777777" w:rsidTr="004A490D">
        <w:trPr>
          <w:trHeight w:val="276"/>
          <w:jc w:val="center"/>
        </w:trPr>
        <w:tc>
          <w:tcPr>
            <w:tcW w:w="3681" w:type="dxa"/>
            <w:vMerge/>
          </w:tcPr>
          <w:p w14:paraId="360AB6AC" w14:textId="77777777" w:rsidR="0033069E" w:rsidRPr="00A30CE5" w:rsidRDefault="0033069E" w:rsidP="00055327">
            <w:pPr>
              <w:rPr>
                <w:rFonts w:ascii="Times New Roman" w:hAnsi="Times New Roman"/>
                <w:color w:val="000000"/>
                <w:sz w:val="24"/>
                <w:szCs w:val="24"/>
                <w:lang w:val="pt-BR"/>
              </w:rPr>
            </w:pPr>
          </w:p>
        </w:tc>
        <w:tc>
          <w:tcPr>
            <w:tcW w:w="2953" w:type="dxa"/>
            <w:vMerge/>
          </w:tcPr>
          <w:p w14:paraId="540EC225" w14:textId="77777777" w:rsidR="0033069E" w:rsidRPr="00A30CE5" w:rsidRDefault="0033069E" w:rsidP="00055327">
            <w:pPr>
              <w:rPr>
                <w:rFonts w:ascii="Times New Roman" w:hAnsi="Times New Roman"/>
                <w:color w:val="000000"/>
                <w:sz w:val="24"/>
                <w:szCs w:val="24"/>
                <w:lang w:val="pt-BR"/>
              </w:rPr>
            </w:pPr>
          </w:p>
        </w:tc>
        <w:tc>
          <w:tcPr>
            <w:tcW w:w="2994" w:type="dxa"/>
            <w:vMerge/>
          </w:tcPr>
          <w:p w14:paraId="553AE13A" w14:textId="77777777" w:rsidR="0033069E" w:rsidRPr="00A30CE5" w:rsidRDefault="0033069E" w:rsidP="00055327">
            <w:pPr>
              <w:rPr>
                <w:rFonts w:ascii="Times New Roman" w:hAnsi="Times New Roman"/>
                <w:color w:val="000000"/>
                <w:sz w:val="24"/>
                <w:szCs w:val="24"/>
                <w:lang w:val="pt-BR"/>
              </w:rPr>
            </w:pPr>
          </w:p>
        </w:tc>
      </w:tr>
      <w:tr w:rsidR="0033069E" w:rsidRPr="00F0251C" w14:paraId="3CDBFD47" w14:textId="77777777" w:rsidTr="005C168F">
        <w:trPr>
          <w:trHeight w:val="302"/>
          <w:jc w:val="center"/>
        </w:trPr>
        <w:tc>
          <w:tcPr>
            <w:tcW w:w="9628" w:type="dxa"/>
            <w:gridSpan w:val="3"/>
          </w:tcPr>
          <w:p w14:paraId="69C4C58F" w14:textId="77777777" w:rsidR="0033069E" w:rsidRPr="004A490D" w:rsidRDefault="0033069E" w:rsidP="00055327">
            <w:pPr>
              <w:rPr>
                <w:rFonts w:ascii="Times New Roman" w:hAnsi="Times New Roman"/>
                <w:b/>
                <w:color w:val="000000"/>
                <w:sz w:val="24"/>
                <w:szCs w:val="24"/>
                <w:u w:val="single"/>
                <w:lang w:val="en-AU"/>
              </w:rPr>
            </w:pPr>
            <w:r w:rsidRPr="004A490D">
              <w:rPr>
                <w:b/>
                <w:color w:val="000000"/>
                <w:sz w:val="24"/>
                <w:szCs w:val="24"/>
                <w:u w:val="single"/>
                <w:lang w:val="en-AU"/>
              </w:rPr>
              <w:t>Primary endpoint</w:t>
            </w:r>
          </w:p>
        </w:tc>
      </w:tr>
      <w:tr w:rsidR="0033069E" w:rsidRPr="00F0251C" w14:paraId="6628563A" w14:textId="77777777" w:rsidTr="005C168F">
        <w:trPr>
          <w:trHeight w:val="237"/>
          <w:jc w:val="center"/>
        </w:trPr>
        <w:tc>
          <w:tcPr>
            <w:tcW w:w="9628" w:type="dxa"/>
            <w:gridSpan w:val="3"/>
          </w:tcPr>
          <w:p w14:paraId="5E907012" w14:textId="77777777" w:rsidR="0033069E" w:rsidRPr="004A490D" w:rsidRDefault="0033069E" w:rsidP="00055327">
            <w:pPr>
              <w:rPr>
                <w:rFonts w:ascii="Times New Roman" w:hAnsi="Times New Roman"/>
                <w:b/>
                <w:color w:val="000000"/>
                <w:sz w:val="24"/>
                <w:szCs w:val="24"/>
                <w:lang w:val="en-AU"/>
              </w:rPr>
            </w:pPr>
            <w:r w:rsidRPr="004A490D">
              <w:rPr>
                <w:b/>
                <w:color w:val="000000"/>
                <w:sz w:val="24"/>
                <w:szCs w:val="24"/>
                <w:lang w:val="en-AU"/>
              </w:rPr>
              <w:t>Change from baseline in SGRQ total score at Week 26</w:t>
            </w:r>
          </w:p>
        </w:tc>
      </w:tr>
      <w:tr w:rsidR="0033069E" w:rsidRPr="00F0251C" w14:paraId="0781FAB5" w14:textId="77777777" w:rsidTr="004A490D">
        <w:trPr>
          <w:trHeight w:val="237"/>
          <w:jc w:val="center"/>
        </w:trPr>
        <w:tc>
          <w:tcPr>
            <w:tcW w:w="3681" w:type="dxa"/>
          </w:tcPr>
          <w:p w14:paraId="3480DA4B" w14:textId="77777777" w:rsidR="0033069E" w:rsidRPr="00F0251C" w:rsidRDefault="0033069E" w:rsidP="00055327">
            <w:pPr>
              <w:rPr>
                <w:rFonts w:ascii="Times New Roman" w:hAnsi="Times New Roman"/>
                <w:color w:val="000000"/>
                <w:sz w:val="24"/>
                <w:szCs w:val="24"/>
                <w:lang w:val="en-AU"/>
              </w:rPr>
            </w:pPr>
            <w:r w:rsidRPr="00F0251C">
              <w:rPr>
                <w:rFonts w:ascii="Times New Roman" w:hAnsi="Times New Roman"/>
                <w:color w:val="000000"/>
                <w:sz w:val="24"/>
                <w:szCs w:val="24"/>
                <w:lang w:val="en-AU"/>
              </w:rPr>
              <w:t>n</w:t>
            </w:r>
          </w:p>
          <w:p w14:paraId="4E434650" w14:textId="77777777" w:rsidR="0033069E" w:rsidRPr="00F0251C" w:rsidRDefault="0033069E" w:rsidP="00055327">
            <w:pPr>
              <w:rPr>
                <w:rFonts w:ascii="Times New Roman" w:hAnsi="Times New Roman"/>
                <w:color w:val="000000"/>
                <w:sz w:val="24"/>
                <w:szCs w:val="24"/>
                <w:lang w:val="en-AU"/>
              </w:rPr>
            </w:pPr>
            <w:r w:rsidRPr="00F0251C">
              <w:rPr>
                <w:rFonts w:ascii="Times New Roman" w:hAnsi="Times New Roman"/>
                <w:color w:val="000000"/>
                <w:sz w:val="24"/>
                <w:szCs w:val="24"/>
                <w:lang w:val="en-AU"/>
              </w:rPr>
              <w:t>Adjusted mean (95% CI)</w:t>
            </w:r>
          </w:p>
        </w:tc>
        <w:tc>
          <w:tcPr>
            <w:tcW w:w="2953" w:type="dxa"/>
          </w:tcPr>
          <w:p w14:paraId="05ED4774"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553</w:t>
            </w:r>
          </w:p>
          <w:p w14:paraId="7ADADF31"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sz w:val="24"/>
                <w:szCs w:val="24"/>
                <w:lang w:val="en-AU" w:eastAsia="en-US"/>
              </w:rPr>
              <w:t>-6.77 (-7.91; -5.64)</w:t>
            </w:r>
          </w:p>
        </w:tc>
        <w:tc>
          <w:tcPr>
            <w:tcW w:w="2994" w:type="dxa"/>
          </w:tcPr>
          <w:p w14:paraId="39B14187"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553</w:t>
            </w:r>
          </w:p>
          <w:p w14:paraId="602BB314"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sz w:val="24"/>
                <w:szCs w:val="24"/>
                <w:lang w:val="en-AU" w:eastAsia="en-US"/>
              </w:rPr>
              <w:t>-7.82 (-8.95; -6.68)</w:t>
            </w:r>
          </w:p>
        </w:tc>
      </w:tr>
      <w:tr w:rsidR="0033069E" w:rsidRPr="00F0251C" w14:paraId="445509F0" w14:textId="77777777" w:rsidTr="004A490D">
        <w:trPr>
          <w:trHeight w:val="237"/>
          <w:jc w:val="center"/>
        </w:trPr>
        <w:tc>
          <w:tcPr>
            <w:tcW w:w="3681" w:type="dxa"/>
          </w:tcPr>
          <w:p w14:paraId="207BAF92" w14:textId="77777777" w:rsidR="0033069E" w:rsidRPr="00F0251C" w:rsidRDefault="0033069E" w:rsidP="00055327">
            <w:pPr>
              <w:rPr>
                <w:rFonts w:ascii="Times New Roman" w:hAnsi="Times New Roman"/>
                <w:color w:val="000000"/>
                <w:sz w:val="24"/>
                <w:szCs w:val="24"/>
                <w:lang w:val="en-AU"/>
              </w:rPr>
            </w:pPr>
            <w:r w:rsidRPr="00F0251C">
              <w:rPr>
                <w:rFonts w:ascii="Times New Roman" w:hAnsi="Times New Roman"/>
                <w:color w:val="000000"/>
                <w:sz w:val="24"/>
                <w:szCs w:val="24"/>
                <w:lang w:val="en-AU"/>
              </w:rPr>
              <w:t>Adjusted mean difference (95% CI)</w:t>
            </w:r>
          </w:p>
          <w:p w14:paraId="440B4842" w14:textId="77777777" w:rsidR="0033069E" w:rsidRPr="00F0251C" w:rsidRDefault="0033069E" w:rsidP="00055327">
            <w:pPr>
              <w:rPr>
                <w:rFonts w:ascii="Times New Roman" w:hAnsi="Times New Roman"/>
                <w:color w:val="000000"/>
                <w:sz w:val="24"/>
                <w:szCs w:val="24"/>
                <w:lang w:val="en-AU"/>
              </w:rPr>
            </w:pPr>
            <w:r w:rsidRPr="00F0251C">
              <w:rPr>
                <w:rFonts w:ascii="Times New Roman" w:hAnsi="Times New Roman"/>
                <w:color w:val="000000"/>
                <w:sz w:val="24"/>
                <w:szCs w:val="24"/>
                <w:lang w:val="en-AU"/>
              </w:rPr>
              <w:t xml:space="preserve">p-value </w:t>
            </w:r>
          </w:p>
        </w:tc>
        <w:tc>
          <w:tcPr>
            <w:tcW w:w="5947" w:type="dxa"/>
            <w:gridSpan w:val="2"/>
          </w:tcPr>
          <w:p w14:paraId="7FDFEC1B" w14:textId="77777777" w:rsidR="0033069E" w:rsidRPr="00F0251C" w:rsidRDefault="0033069E" w:rsidP="00055327">
            <w:pPr>
              <w:jc w:val="center"/>
              <w:rPr>
                <w:rFonts w:ascii="Times New Roman" w:hAnsi="Times New Roman"/>
                <w:sz w:val="24"/>
                <w:szCs w:val="24"/>
                <w:lang w:val="en-AU" w:eastAsia="en-US"/>
              </w:rPr>
            </w:pPr>
            <w:r w:rsidRPr="00F0251C">
              <w:rPr>
                <w:rFonts w:ascii="Times New Roman" w:hAnsi="Times New Roman"/>
                <w:sz w:val="24"/>
                <w:szCs w:val="24"/>
                <w:lang w:val="en-AU" w:eastAsia="en-US"/>
              </w:rPr>
              <w:t>1.04 (-0.56; 2.65)</w:t>
            </w:r>
          </w:p>
          <w:p w14:paraId="4C71C9BC"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0.204</w:t>
            </w:r>
          </w:p>
        </w:tc>
      </w:tr>
      <w:tr w:rsidR="0033069E" w:rsidRPr="00F0251C" w14:paraId="5F89841A" w14:textId="77777777" w:rsidTr="005C168F">
        <w:trPr>
          <w:trHeight w:val="206"/>
          <w:jc w:val="center"/>
        </w:trPr>
        <w:tc>
          <w:tcPr>
            <w:tcW w:w="9628" w:type="dxa"/>
            <w:gridSpan w:val="3"/>
          </w:tcPr>
          <w:p w14:paraId="0D6B1176" w14:textId="77777777" w:rsidR="0033069E" w:rsidRPr="004A490D" w:rsidRDefault="0033069E" w:rsidP="00055327">
            <w:pPr>
              <w:rPr>
                <w:rFonts w:ascii="Times New Roman" w:hAnsi="Times New Roman"/>
                <w:b/>
                <w:color w:val="000000"/>
                <w:sz w:val="24"/>
                <w:szCs w:val="24"/>
                <w:lang w:val="en-AU"/>
              </w:rPr>
            </w:pPr>
            <w:r w:rsidRPr="004A490D">
              <w:rPr>
                <w:b/>
                <w:color w:val="000000"/>
                <w:sz w:val="24"/>
                <w:szCs w:val="24"/>
                <w:u w:val="single"/>
                <w:lang w:val="en-AU"/>
              </w:rPr>
              <w:t>Secondary endpoints</w:t>
            </w:r>
          </w:p>
        </w:tc>
      </w:tr>
      <w:tr w:rsidR="0033069E" w:rsidRPr="00F0251C" w14:paraId="7510055D" w14:textId="77777777" w:rsidTr="005C168F">
        <w:trPr>
          <w:trHeight w:val="237"/>
          <w:jc w:val="center"/>
        </w:trPr>
        <w:tc>
          <w:tcPr>
            <w:tcW w:w="9628" w:type="dxa"/>
            <w:gridSpan w:val="3"/>
          </w:tcPr>
          <w:p w14:paraId="399DC80A" w14:textId="77777777" w:rsidR="0033069E" w:rsidRPr="004A490D" w:rsidRDefault="0033069E" w:rsidP="00055327">
            <w:pPr>
              <w:rPr>
                <w:rFonts w:ascii="Times New Roman" w:hAnsi="Times New Roman"/>
                <w:b/>
                <w:color w:val="000000"/>
                <w:sz w:val="24"/>
                <w:szCs w:val="24"/>
                <w:lang w:val="en-AU"/>
              </w:rPr>
            </w:pPr>
            <w:r w:rsidRPr="004A490D">
              <w:rPr>
                <w:b/>
                <w:color w:val="000000"/>
                <w:sz w:val="24"/>
                <w:szCs w:val="24"/>
                <w:lang w:val="en-AU"/>
              </w:rPr>
              <w:t>SGRQ total score responders</w:t>
            </w:r>
            <w:r w:rsidRPr="004A490D">
              <w:rPr>
                <w:b/>
                <w:color w:val="000000"/>
                <w:sz w:val="24"/>
                <w:szCs w:val="24"/>
                <w:vertAlign w:val="superscript"/>
                <w:lang w:val="en-AU"/>
              </w:rPr>
              <w:t>a</w:t>
            </w:r>
            <w:r w:rsidRPr="004A490D">
              <w:rPr>
                <w:b/>
                <w:color w:val="000000"/>
                <w:sz w:val="24"/>
                <w:szCs w:val="24"/>
                <w:lang w:val="en-AU"/>
              </w:rPr>
              <w:t xml:space="preserve"> at Week 26</w:t>
            </w:r>
          </w:p>
        </w:tc>
      </w:tr>
      <w:tr w:rsidR="0033069E" w:rsidRPr="00F0251C" w14:paraId="1BD5DB88" w14:textId="77777777" w:rsidTr="004A490D">
        <w:trPr>
          <w:trHeight w:val="237"/>
          <w:jc w:val="center"/>
        </w:trPr>
        <w:tc>
          <w:tcPr>
            <w:tcW w:w="3681" w:type="dxa"/>
          </w:tcPr>
          <w:p w14:paraId="02AAC9E8" w14:textId="77777777" w:rsidR="0033069E" w:rsidRPr="00F0251C" w:rsidRDefault="0033069E" w:rsidP="00055327">
            <w:pPr>
              <w:rPr>
                <w:rFonts w:ascii="Times New Roman" w:hAnsi="Times New Roman"/>
                <w:color w:val="000000"/>
                <w:sz w:val="24"/>
                <w:szCs w:val="24"/>
                <w:lang w:val="en-AU"/>
              </w:rPr>
            </w:pPr>
            <w:r w:rsidRPr="00F0251C">
              <w:rPr>
                <w:rFonts w:ascii="Times New Roman" w:hAnsi="Times New Roman"/>
                <w:color w:val="000000"/>
                <w:sz w:val="24"/>
                <w:szCs w:val="24"/>
                <w:lang w:val="en-AU"/>
              </w:rPr>
              <w:t>Number of responders (%)</w:t>
            </w:r>
          </w:p>
        </w:tc>
        <w:tc>
          <w:tcPr>
            <w:tcW w:w="2953" w:type="dxa"/>
          </w:tcPr>
          <w:p w14:paraId="6D108C57"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295 (51.1%)</w:t>
            </w:r>
          </w:p>
        </w:tc>
        <w:tc>
          <w:tcPr>
            <w:tcW w:w="2994" w:type="dxa"/>
          </w:tcPr>
          <w:p w14:paraId="2EE4D541"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307 (53.0%)</w:t>
            </w:r>
          </w:p>
        </w:tc>
      </w:tr>
      <w:tr w:rsidR="0033069E" w:rsidRPr="00F0251C" w14:paraId="5BD5B066" w14:textId="77777777" w:rsidTr="004A490D">
        <w:trPr>
          <w:trHeight w:val="237"/>
          <w:jc w:val="center"/>
        </w:trPr>
        <w:tc>
          <w:tcPr>
            <w:tcW w:w="3681" w:type="dxa"/>
          </w:tcPr>
          <w:p w14:paraId="7653BDBB" w14:textId="77777777" w:rsidR="0033069E" w:rsidRPr="00F0251C" w:rsidRDefault="0033069E" w:rsidP="00055327">
            <w:pPr>
              <w:rPr>
                <w:rFonts w:ascii="Times New Roman" w:hAnsi="Times New Roman"/>
                <w:color w:val="000000"/>
                <w:sz w:val="24"/>
                <w:szCs w:val="24"/>
                <w:lang w:val="en-AU"/>
              </w:rPr>
            </w:pPr>
            <w:r w:rsidRPr="00F0251C">
              <w:rPr>
                <w:rFonts w:ascii="Times New Roman" w:hAnsi="Times New Roman"/>
                <w:color w:val="000000"/>
                <w:sz w:val="24"/>
                <w:szCs w:val="24"/>
                <w:lang w:val="en-AU"/>
              </w:rPr>
              <w:t>Odds ratio (95% CI)</w:t>
            </w:r>
          </w:p>
          <w:p w14:paraId="05A29A29" w14:textId="11EDAC04" w:rsidR="0033069E" w:rsidRPr="00F0251C" w:rsidRDefault="0033069E" w:rsidP="00055327">
            <w:pPr>
              <w:rPr>
                <w:rFonts w:ascii="Times New Roman" w:hAnsi="Times New Roman"/>
                <w:color w:val="000000"/>
                <w:sz w:val="24"/>
                <w:szCs w:val="24"/>
                <w:lang w:val="en-AU"/>
              </w:rPr>
            </w:pPr>
          </w:p>
        </w:tc>
        <w:tc>
          <w:tcPr>
            <w:tcW w:w="5947" w:type="dxa"/>
            <w:gridSpan w:val="2"/>
          </w:tcPr>
          <w:p w14:paraId="4A00C7AC"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0.926 (0.728; 1.176)</w:t>
            </w:r>
          </w:p>
          <w:p w14:paraId="1AF8F4D8" w14:textId="65ECCF5F" w:rsidR="0033069E" w:rsidRPr="00F0251C" w:rsidRDefault="0033069E" w:rsidP="00055327">
            <w:pPr>
              <w:jc w:val="center"/>
              <w:rPr>
                <w:rFonts w:ascii="Times New Roman" w:hAnsi="Times New Roman"/>
                <w:color w:val="000000"/>
                <w:sz w:val="24"/>
                <w:szCs w:val="24"/>
                <w:lang w:val="en-AU"/>
              </w:rPr>
            </w:pPr>
          </w:p>
        </w:tc>
      </w:tr>
      <w:tr w:rsidR="0033069E" w:rsidRPr="00F0251C" w14:paraId="512775F9" w14:textId="77777777" w:rsidTr="005C168F">
        <w:trPr>
          <w:trHeight w:val="237"/>
          <w:jc w:val="center"/>
        </w:trPr>
        <w:tc>
          <w:tcPr>
            <w:tcW w:w="9628" w:type="dxa"/>
            <w:gridSpan w:val="3"/>
          </w:tcPr>
          <w:p w14:paraId="2FDD2028" w14:textId="77777777" w:rsidR="0033069E" w:rsidRPr="004A490D" w:rsidRDefault="0033069E" w:rsidP="00055327">
            <w:pPr>
              <w:rPr>
                <w:rFonts w:ascii="Times New Roman" w:hAnsi="Times New Roman"/>
                <w:b/>
                <w:color w:val="000000"/>
                <w:sz w:val="24"/>
                <w:szCs w:val="24"/>
                <w:lang w:val="en-AU"/>
              </w:rPr>
            </w:pPr>
            <w:r w:rsidRPr="004A490D">
              <w:rPr>
                <w:b/>
                <w:color w:val="000000"/>
                <w:sz w:val="24"/>
                <w:szCs w:val="24"/>
                <w:lang w:val="en-AU"/>
              </w:rPr>
              <w:t>Moderate/severe COPD exacerbation rate</w:t>
            </w:r>
          </w:p>
        </w:tc>
      </w:tr>
      <w:tr w:rsidR="0033069E" w:rsidRPr="00F0251C" w14:paraId="1243C153" w14:textId="77777777" w:rsidTr="004A490D">
        <w:trPr>
          <w:trHeight w:val="237"/>
          <w:jc w:val="center"/>
        </w:trPr>
        <w:tc>
          <w:tcPr>
            <w:tcW w:w="3681" w:type="dxa"/>
          </w:tcPr>
          <w:p w14:paraId="71E5AA52" w14:textId="77777777" w:rsidR="0033069E" w:rsidRPr="00F0251C" w:rsidRDefault="0033069E" w:rsidP="00055327">
            <w:pPr>
              <w:rPr>
                <w:rFonts w:ascii="Times New Roman" w:hAnsi="Times New Roman"/>
                <w:color w:val="000000"/>
                <w:sz w:val="24"/>
                <w:szCs w:val="24"/>
                <w:lang w:val="en-AU"/>
              </w:rPr>
            </w:pPr>
            <w:r w:rsidRPr="00F0251C">
              <w:rPr>
                <w:rFonts w:ascii="Times New Roman" w:hAnsi="Times New Roman"/>
                <w:color w:val="000000"/>
                <w:sz w:val="24"/>
                <w:szCs w:val="24"/>
                <w:lang w:val="en-AU"/>
              </w:rPr>
              <w:t>Adjusted exacerbation rate per patient per year (95% CI)</w:t>
            </w:r>
          </w:p>
        </w:tc>
        <w:tc>
          <w:tcPr>
            <w:tcW w:w="2953" w:type="dxa"/>
          </w:tcPr>
          <w:p w14:paraId="12C3F5F7"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0.418 (0.346; 0.506)</w:t>
            </w:r>
          </w:p>
        </w:tc>
        <w:tc>
          <w:tcPr>
            <w:tcW w:w="2994" w:type="dxa"/>
          </w:tcPr>
          <w:p w14:paraId="02BFC70C"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0.385 (0.316; 0.468)</w:t>
            </w:r>
          </w:p>
        </w:tc>
      </w:tr>
      <w:tr w:rsidR="0033069E" w:rsidRPr="00F0251C" w14:paraId="4C50E241" w14:textId="77777777" w:rsidTr="004A490D">
        <w:trPr>
          <w:trHeight w:val="237"/>
          <w:jc w:val="center"/>
        </w:trPr>
        <w:tc>
          <w:tcPr>
            <w:tcW w:w="3681" w:type="dxa"/>
          </w:tcPr>
          <w:p w14:paraId="4C5C35D7" w14:textId="77777777" w:rsidR="0033069E" w:rsidRPr="00F0251C" w:rsidRDefault="0033069E" w:rsidP="00055327">
            <w:pPr>
              <w:rPr>
                <w:rFonts w:ascii="Times New Roman" w:hAnsi="Times New Roman"/>
                <w:color w:val="000000"/>
                <w:sz w:val="24"/>
                <w:szCs w:val="24"/>
                <w:lang w:val="en-AU"/>
              </w:rPr>
            </w:pPr>
            <w:r w:rsidRPr="00F0251C">
              <w:rPr>
                <w:rFonts w:ascii="Times New Roman" w:hAnsi="Times New Roman"/>
                <w:color w:val="000000"/>
                <w:sz w:val="24"/>
                <w:szCs w:val="24"/>
                <w:lang w:val="en-AU"/>
              </w:rPr>
              <w:t>Adjusted rate ratio (95% CI)</w:t>
            </w:r>
          </w:p>
          <w:p w14:paraId="088A5BCA" w14:textId="48DC5903" w:rsidR="0033069E" w:rsidRPr="00F0251C" w:rsidRDefault="0033069E" w:rsidP="00055327">
            <w:pPr>
              <w:rPr>
                <w:rFonts w:ascii="Times New Roman" w:hAnsi="Times New Roman"/>
                <w:color w:val="000000"/>
                <w:sz w:val="24"/>
                <w:szCs w:val="24"/>
                <w:lang w:val="en-AU"/>
              </w:rPr>
            </w:pPr>
          </w:p>
        </w:tc>
        <w:tc>
          <w:tcPr>
            <w:tcW w:w="5947" w:type="dxa"/>
            <w:gridSpan w:val="2"/>
          </w:tcPr>
          <w:p w14:paraId="3EF01053"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1.086 (0.842; 1.402)</w:t>
            </w:r>
          </w:p>
          <w:p w14:paraId="1AAF25FC" w14:textId="484F9856" w:rsidR="0033069E" w:rsidRPr="00F0251C" w:rsidRDefault="0033069E" w:rsidP="00055327">
            <w:pPr>
              <w:jc w:val="center"/>
              <w:rPr>
                <w:rFonts w:ascii="Times New Roman" w:hAnsi="Times New Roman"/>
                <w:color w:val="000000"/>
                <w:sz w:val="24"/>
                <w:szCs w:val="24"/>
                <w:lang w:val="en-AU"/>
              </w:rPr>
            </w:pPr>
          </w:p>
        </w:tc>
      </w:tr>
      <w:tr w:rsidR="0033069E" w:rsidRPr="00F0251C" w14:paraId="0BF34E02" w14:textId="77777777" w:rsidTr="005C168F">
        <w:trPr>
          <w:trHeight w:val="237"/>
          <w:jc w:val="center"/>
        </w:trPr>
        <w:tc>
          <w:tcPr>
            <w:tcW w:w="9628" w:type="dxa"/>
            <w:gridSpan w:val="3"/>
          </w:tcPr>
          <w:p w14:paraId="5604A9CF" w14:textId="77777777" w:rsidR="0033069E" w:rsidRPr="004A490D" w:rsidRDefault="0033069E" w:rsidP="00055327">
            <w:pPr>
              <w:rPr>
                <w:rFonts w:ascii="Times New Roman" w:hAnsi="Times New Roman"/>
                <w:b/>
                <w:color w:val="000000"/>
                <w:sz w:val="24"/>
                <w:szCs w:val="24"/>
                <w:lang w:val="en-AU"/>
              </w:rPr>
            </w:pPr>
            <w:r w:rsidRPr="004A490D">
              <w:rPr>
                <w:b/>
                <w:color w:val="000000"/>
                <w:sz w:val="24"/>
                <w:szCs w:val="24"/>
                <w:lang w:val="en-AU"/>
              </w:rPr>
              <w:t>Change from baseline in pre-dose morning FEV</w:t>
            </w:r>
            <w:r w:rsidRPr="004A490D">
              <w:rPr>
                <w:b/>
                <w:color w:val="000000"/>
                <w:sz w:val="24"/>
                <w:szCs w:val="24"/>
                <w:vertAlign w:val="subscript"/>
                <w:lang w:val="en-AU"/>
              </w:rPr>
              <w:t>1</w:t>
            </w:r>
            <w:r w:rsidRPr="004A490D">
              <w:rPr>
                <w:b/>
                <w:color w:val="000000"/>
                <w:sz w:val="24"/>
                <w:szCs w:val="24"/>
                <w:lang w:val="en-AU"/>
              </w:rPr>
              <w:t xml:space="preserve"> (L) at Week 26 (L)</w:t>
            </w:r>
          </w:p>
        </w:tc>
      </w:tr>
      <w:tr w:rsidR="0033069E" w:rsidRPr="00F0251C" w14:paraId="0508AF27" w14:textId="77777777" w:rsidTr="004A490D">
        <w:trPr>
          <w:trHeight w:val="237"/>
          <w:jc w:val="center"/>
        </w:trPr>
        <w:tc>
          <w:tcPr>
            <w:tcW w:w="3681" w:type="dxa"/>
          </w:tcPr>
          <w:p w14:paraId="1004541C" w14:textId="77777777" w:rsidR="0033069E" w:rsidRPr="00F0251C" w:rsidRDefault="0033069E" w:rsidP="00055327">
            <w:pPr>
              <w:rPr>
                <w:rFonts w:ascii="Times New Roman" w:hAnsi="Times New Roman"/>
                <w:color w:val="000000"/>
                <w:sz w:val="24"/>
                <w:szCs w:val="24"/>
                <w:lang w:val="en-AU"/>
              </w:rPr>
            </w:pPr>
            <w:r w:rsidRPr="00F0251C">
              <w:rPr>
                <w:rFonts w:ascii="Times New Roman" w:hAnsi="Times New Roman"/>
                <w:color w:val="000000"/>
                <w:sz w:val="24"/>
                <w:szCs w:val="24"/>
                <w:lang w:val="en-AU"/>
              </w:rPr>
              <w:t>n</w:t>
            </w:r>
          </w:p>
          <w:p w14:paraId="111B5E30" w14:textId="77777777" w:rsidR="0033069E" w:rsidRPr="00F0251C" w:rsidRDefault="0033069E" w:rsidP="00055327">
            <w:pPr>
              <w:rPr>
                <w:rFonts w:ascii="Times New Roman" w:hAnsi="Times New Roman"/>
                <w:color w:val="000000"/>
                <w:sz w:val="24"/>
                <w:szCs w:val="24"/>
                <w:lang w:val="en-AU"/>
              </w:rPr>
            </w:pPr>
            <w:r w:rsidRPr="00F0251C">
              <w:rPr>
                <w:rFonts w:ascii="Times New Roman" w:hAnsi="Times New Roman"/>
                <w:color w:val="000000"/>
                <w:sz w:val="24"/>
                <w:szCs w:val="24"/>
                <w:lang w:val="en-AU"/>
              </w:rPr>
              <w:t>Adjusted mean (95% CI)</w:t>
            </w:r>
          </w:p>
        </w:tc>
        <w:tc>
          <w:tcPr>
            <w:tcW w:w="2953" w:type="dxa"/>
          </w:tcPr>
          <w:p w14:paraId="61F90AC3"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553</w:t>
            </w:r>
          </w:p>
          <w:p w14:paraId="2A1EC4F1"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0.057 (0.036; 0.077)</w:t>
            </w:r>
          </w:p>
        </w:tc>
        <w:tc>
          <w:tcPr>
            <w:tcW w:w="2994" w:type="dxa"/>
          </w:tcPr>
          <w:p w14:paraId="79760CD1"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548</w:t>
            </w:r>
          </w:p>
          <w:p w14:paraId="40D6A1C4"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0.105 (0.085; 0.125)</w:t>
            </w:r>
          </w:p>
        </w:tc>
      </w:tr>
      <w:tr w:rsidR="0033069E" w:rsidRPr="00F0251C" w14:paraId="6DD685CB" w14:textId="77777777" w:rsidTr="004A490D">
        <w:trPr>
          <w:trHeight w:val="237"/>
          <w:jc w:val="center"/>
        </w:trPr>
        <w:tc>
          <w:tcPr>
            <w:tcW w:w="3681" w:type="dxa"/>
          </w:tcPr>
          <w:p w14:paraId="39342191" w14:textId="77777777" w:rsidR="0033069E" w:rsidRPr="00F0251C" w:rsidRDefault="0033069E" w:rsidP="00055327">
            <w:pPr>
              <w:rPr>
                <w:rFonts w:ascii="Times New Roman" w:hAnsi="Times New Roman"/>
                <w:color w:val="000000"/>
                <w:sz w:val="24"/>
                <w:szCs w:val="24"/>
                <w:lang w:val="en-AU"/>
              </w:rPr>
            </w:pPr>
            <w:r w:rsidRPr="00F0251C">
              <w:rPr>
                <w:rFonts w:ascii="Times New Roman" w:hAnsi="Times New Roman"/>
                <w:color w:val="000000"/>
                <w:sz w:val="24"/>
                <w:szCs w:val="24"/>
                <w:lang w:val="en-AU"/>
              </w:rPr>
              <w:t>Adjusted mean difference (95% CI)</w:t>
            </w:r>
          </w:p>
          <w:p w14:paraId="1FF88C92" w14:textId="309409B0" w:rsidR="0033069E" w:rsidRPr="00F0251C" w:rsidRDefault="0033069E" w:rsidP="00055327">
            <w:pPr>
              <w:rPr>
                <w:rFonts w:ascii="Times New Roman" w:hAnsi="Times New Roman"/>
                <w:color w:val="000000"/>
                <w:sz w:val="24"/>
                <w:szCs w:val="24"/>
                <w:lang w:val="en-AU"/>
              </w:rPr>
            </w:pPr>
          </w:p>
        </w:tc>
        <w:tc>
          <w:tcPr>
            <w:tcW w:w="5947" w:type="dxa"/>
            <w:gridSpan w:val="2"/>
          </w:tcPr>
          <w:p w14:paraId="1D358F2A" w14:textId="77777777" w:rsidR="0033069E" w:rsidRPr="00F0251C" w:rsidRDefault="0033069E" w:rsidP="00055327">
            <w:pPr>
              <w:jc w:val="center"/>
              <w:rPr>
                <w:rFonts w:ascii="Times New Roman" w:hAnsi="Times New Roman"/>
                <w:sz w:val="24"/>
                <w:szCs w:val="24"/>
                <w:lang w:val="en-AU" w:eastAsia="en-US"/>
              </w:rPr>
            </w:pPr>
            <w:r w:rsidRPr="00F0251C">
              <w:rPr>
                <w:rFonts w:ascii="Times New Roman" w:hAnsi="Times New Roman"/>
                <w:sz w:val="24"/>
                <w:szCs w:val="24"/>
                <w:lang w:val="en-AU" w:eastAsia="en-US"/>
              </w:rPr>
              <w:t>-0.048 (-0.077; -0.020)</w:t>
            </w:r>
          </w:p>
          <w:p w14:paraId="2AC1F4BB" w14:textId="3A4474BD" w:rsidR="0033069E" w:rsidRPr="00F0251C" w:rsidRDefault="0033069E" w:rsidP="00055327">
            <w:pPr>
              <w:jc w:val="center"/>
              <w:rPr>
                <w:rFonts w:ascii="Times New Roman" w:hAnsi="Times New Roman"/>
                <w:color w:val="000000"/>
                <w:sz w:val="24"/>
                <w:szCs w:val="24"/>
                <w:lang w:val="en-AU"/>
              </w:rPr>
            </w:pPr>
          </w:p>
        </w:tc>
      </w:tr>
      <w:tr w:rsidR="005C168F" w:rsidRPr="00F0251C" w14:paraId="2877AE34" w14:textId="77777777" w:rsidTr="00BB3BFC">
        <w:trPr>
          <w:trHeight w:val="237"/>
          <w:jc w:val="center"/>
        </w:trPr>
        <w:tc>
          <w:tcPr>
            <w:tcW w:w="9628" w:type="dxa"/>
            <w:gridSpan w:val="3"/>
          </w:tcPr>
          <w:p w14:paraId="4F91D3D0" w14:textId="611A9A4D" w:rsidR="005C168F" w:rsidRPr="00F0251C" w:rsidRDefault="005C168F" w:rsidP="00055327">
            <w:pPr>
              <w:rPr>
                <w:rFonts w:ascii="Times New Roman" w:hAnsi="Times New Roman"/>
                <w:color w:val="000000"/>
                <w:sz w:val="24"/>
                <w:szCs w:val="24"/>
                <w:lang w:val="en-AU"/>
              </w:rPr>
            </w:pPr>
            <w:r w:rsidRPr="004A490D">
              <w:rPr>
                <w:b/>
                <w:color w:val="000000"/>
                <w:sz w:val="24"/>
                <w:szCs w:val="24"/>
                <w:lang w:val="en-AU"/>
              </w:rPr>
              <w:t>FEV</w:t>
            </w:r>
            <w:r w:rsidRPr="004A490D">
              <w:rPr>
                <w:b/>
                <w:color w:val="000000"/>
                <w:sz w:val="24"/>
                <w:szCs w:val="24"/>
                <w:vertAlign w:val="subscript"/>
                <w:lang w:val="en-AU"/>
              </w:rPr>
              <w:t>1</w:t>
            </w:r>
            <w:r w:rsidRPr="004A490D">
              <w:rPr>
                <w:b/>
                <w:color w:val="000000"/>
                <w:sz w:val="24"/>
                <w:szCs w:val="24"/>
                <w:lang w:val="en-AU"/>
              </w:rPr>
              <w:t xml:space="preserve"> responders</w:t>
            </w:r>
            <w:r w:rsidRPr="004A490D">
              <w:rPr>
                <w:b/>
                <w:color w:val="000000"/>
                <w:sz w:val="24"/>
                <w:szCs w:val="24"/>
                <w:vertAlign w:val="superscript"/>
                <w:lang w:val="en-AU"/>
              </w:rPr>
              <w:t>b</w:t>
            </w:r>
            <w:r w:rsidRPr="004A490D">
              <w:rPr>
                <w:b/>
                <w:color w:val="000000"/>
                <w:sz w:val="24"/>
                <w:szCs w:val="24"/>
                <w:lang w:val="en-AU"/>
              </w:rPr>
              <w:t xml:space="preserve"> at Week 26</w:t>
            </w:r>
          </w:p>
        </w:tc>
      </w:tr>
      <w:tr w:rsidR="0033069E" w:rsidRPr="00F0251C" w14:paraId="57D9B0A4" w14:textId="77777777" w:rsidTr="004A490D">
        <w:trPr>
          <w:trHeight w:val="237"/>
          <w:jc w:val="center"/>
        </w:trPr>
        <w:tc>
          <w:tcPr>
            <w:tcW w:w="3681" w:type="dxa"/>
          </w:tcPr>
          <w:p w14:paraId="1262B9FD" w14:textId="77777777" w:rsidR="0033069E" w:rsidRPr="00F0251C" w:rsidRDefault="0033069E" w:rsidP="00055327">
            <w:pPr>
              <w:rPr>
                <w:rFonts w:ascii="Times New Roman" w:hAnsi="Times New Roman"/>
                <w:color w:val="000000"/>
                <w:sz w:val="24"/>
                <w:szCs w:val="24"/>
                <w:lang w:val="en-AU"/>
              </w:rPr>
            </w:pPr>
            <w:r w:rsidRPr="00F0251C">
              <w:rPr>
                <w:rFonts w:ascii="Times New Roman" w:hAnsi="Times New Roman"/>
                <w:color w:val="000000"/>
                <w:sz w:val="24"/>
                <w:szCs w:val="24"/>
                <w:lang w:val="en-AU"/>
              </w:rPr>
              <w:t>Number of responders (%)</w:t>
            </w:r>
          </w:p>
        </w:tc>
        <w:tc>
          <w:tcPr>
            <w:tcW w:w="2953" w:type="dxa"/>
          </w:tcPr>
          <w:p w14:paraId="7085E21E"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211 (36.6%)</w:t>
            </w:r>
          </w:p>
        </w:tc>
        <w:tc>
          <w:tcPr>
            <w:tcW w:w="2994" w:type="dxa"/>
          </w:tcPr>
          <w:p w14:paraId="5B40967A"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248 (42.8%)</w:t>
            </w:r>
          </w:p>
        </w:tc>
      </w:tr>
      <w:tr w:rsidR="0033069E" w:rsidRPr="00F0251C" w14:paraId="0032D662" w14:textId="77777777" w:rsidTr="004A490D">
        <w:trPr>
          <w:trHeight w:val="237"/>
          <w:jc w:val="center"/>
        </w:trPr>
        <w:tc>
          <w:tcPr>
            <w:tcW w:w="3681" w:type="dxa"/>
          </w:tcPr>
          <w:p w14:paraId="555A7A1D" w14:textId="77777777" w:rsidR="0033069E" w:rsidRPr="00F0251C" w:rsidRDefault="0033069E" w:rsidP="00055327">
            <w:pPr>
              <w:rPr>
                <w:rFonts w:ascii="Times New Roman" w:hAnsi="Times New Roman"/>
                <w:color w:val="000000"/>
                <w:sz w:val="24"/>
                <w:szCs w:val="24"/>
                <w:lang w:val="en-AU"/>
              </w:rPr>
            </w:pPr>
            <w:r w:rsidRPr="00F0251C">
              <w:rPr>
                <w:rFonts w:ascii="Times New Roman" w:hAnsi="Times New Roman"/>
                <w:color w:val="000000"/>
                <w:sz w:val="24"/>
                <w:szCs w:val="24"/>
                <w:lang w:val="en-AU"/>
              </w:rPr>
              <w:t>Odds ratio (95% CI)</w:t>
            </w:r>
          </w:p>
          <w:p w14:paraId="0B0B9204" w14:textId="6F3F3B4B" w:rsidR="0033069E" w:rsidRPr="00F0251C" w:rsidRDefault="0033069E" w:rsidP="00055327">
            <w:pPr>
              <w:rPr>
                <w:rFonts w:ascii="Times New Roman" w:hAnsi="Times New Roman"/>
                <w:color w:val="000000"/>
                <w:sz w:val="24"/>
                <w:szCs w:val="24"/>
                <w:lang w:val="en-AU"/>
              </w:rPr>
            </w:pPr>
          </w:p>
        </w:tc>
        <w:tc>
          <w:tcPr>
            <w:tcW w:w="5947" w:type="dxa"/>
            <w:gridSpan w:val="2"/>
          </w:tcPr>
          <w:p w14:paraId="55ED5102"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0.75 (0.59; 0.95)</w:t>
            </w:r>
          </w:p>
          <w:p w14:paraId="0C49A45A" w14:textId="67D294C5" w:rsidR="0033069E" w:rsidRPr="00F0251C" w:rsidRDefault="0033069E" w:rsidP="00055327">
            <w:pPr>
              <w:jc w:val="center"/>
              <w:rPr>
                <w:rFonts w:ascii="Times New Roman" w:hAnsi="Times New Roman"/>
                <w:color w:val="000000"/>
                <w:sz w:val="24"/>
                <w:szCs w:val="24"/>
                <w:lang w:val="en-AU"/>
              </w:rPr>
            </w:pPr>
          </w:p>
        </w:tc>
      </w:tr>
      <w:tr w:rsidR="0033069E" w:rsidRPr="00F0251C" w14:paraId="3F088075" w14:textId="77777777" w:rsidTr="005C168F">
        <w:trPr>
          <w:trHeight w:val="237"/>
          <w:jc w:val="center"/>
        </w:trPr>
        <w:tc>
          <w:tcPr>
            <w:tcW w:w="9628" w:type="dxa"/>
            <w:gridSpan w:val="3"/>
          </w:tcPr>
          <w:p w14:paraId="39571E3B"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lang w:val="en-AU"/>
              </w:rPr>
              <w:t>BDP= beclomethasone dipropionate; COPD= chronic obstructive pulmonary disease; FEV</w:t>
            </w:r>
            <w:r w:rsidRPr="00F0251C">
              <w:rPr>
                <w:rFonts w:ascii="Times New Roman" w:hAnsi="Times New Roman"/>
                <w:color w:val="000000"/>
                <w:sz w:val="24"/>
                <w:szCs w:val="24"/>
                <w:vertAlign w:val="subscript"/>
                <w:lang w:val="en-AU"/>
              </w:rPr>
              <w:t>1</w:t>
            </w:r>
            <w:r w:rsidRPr="00F0251C">
              <w:rPr>
                <w:rFonts w:ascii="Times New Roman" w:hAnsi="Times New Roman"/>
                <w:color w:val="000000"/>
                <w:sz w:val="24"/>
                <w:szCs w:val="24"/>
                <w:lang w:val="en-AU"/>
              </w:rPr>
              <w:t>= forced expiratory volume in 1 second; FF= formoterol fumarate; FLU= fluticasone; GB= glycopyrronium bromide; n= number of patients with available data; N= Number of patients in the ITT population; SGRQ= St. George’s respiratory questionnaire; VI= vilanterol.</w:t>
            </w:r>
          </w:p>
          <w:p w14:paraId="5E2F92DA" w14:textId="77777777" w:rsidR="0033069E" w:rsidRPr="00F0251C" w:rsidRDefault="0033069E" w:rsidP="00055327">
            <w:pPr>
              <w:jc w:val="center"/>
              <w:rPr>
                <w:rFonts w:ascii="Times New Roman" w:hAnsi="Times New Roman"/>
                <w:color w:val="000000"/>
                <w:sz w:val="24"/>
                <w:szCs w:val="24"/>
                <w:lang w:val="en-AU"/>
              </w:rPr>
            </w:pPr>
            <w:r w:rsidRPr="00F0251C">
              <w:rPr>
                <w:rFonts w:ascii="Times New Roman" w:hAnsi="Times New Roman"/>
                <w:color w:val="000000"/>
                <w:sz w:val="24"/>
                <w:szCs w:val="24"/>
                <w:vertAlign w:val="superscript"/>
                <w:lang w:val="en-AU"/>
              </w:rPr>
              <w:t>a</w:t>
            </w:r>
            <w:r w:rsidRPr="00F0251C">
              <w:rPr>
                <w:rFonts w:ascii="Times New Roman" w:hAnsi="Times New Roman"/>
                <w:color w:val="000000"/>
                <w:sz w:val="24"/>
                <w:szCs w:val="24"/>
                <w:lang w:val="en-AU"/>
              </w:rPr>
              <w:t xml:space="preserve"> SGRQ total score response = Change from baseline in total score ≤ -4</w:t>
            </w:r>
          </w:p>
          <w:p w14:paraId="6221A01E" w14:textId="77777777" w:rsidR="0033069E" w:rsidRPr="00F0251C" w:rsidRDefault="0033069E" w:rsidP="00055327">
            <w:pPr>
              <w:jc w:val="center"/>
              <w:rPr>
                <w:rFonts w:ascii="Times New Roman" w:hAnsi="Times New Roman"/>
                <w:color w:val="000000"/>
                <w:sz w:val="24"/>
                <w:szCs w:val="24"/>
                <w:lang w:val="en-AU"/>
              </w:rPr>
            </w:pPr>
          </w:p>
        </w:tc>
      </w:tr>
    </w:tbl>
    <w:p w14:paraId="2A1B68B3" w14:textId="12B30628" w:rsidR="00ED7D92" w:rsidRPr="00D24B97" w:rsidRDefault="00ED7D92" w:rsidP="008F7A50">
      <w:pPr>
        <w:spacing w:line="259" w:lineRule="auto"/>
        <w:ind w:left="108" w:firstLine="176"/>
        <w:rPr>
          <w:rFonts w:eastAsia="Calibri"/>
          <w:b/>
          <w:bCs/>
          <w:sz w:val="24"/>
          <w:szCs w:val="24"/>
          <w:lang w:val="en-AU" w:eastAsia="en-US"/>
        </w:rPr>
      </w:pPr>
    </w:p>
    <w:p w14:paraId="4528DB3D" w14:textId="693A74FC" w:rsidR="000C49CD" w:rsidRPr="00F0251C" w:rsidRDefault="00A62F07" w:rsidP="001E27D5">
      <w:pPr>
        <w:pStyle w:val="Heading2"/>
        <w:jc w:val="left"/>
        <w:rPr>
          <w:noProof/>
          <w:sz w:val="24"/>
          <w:szCs w:val="24"/>
          <w:lang w:val="en-AU"/>
        </w:rPr>
      </w:pPr>
      <w:bookmarkStart w:id="14" w:name="_5.2_PHARMACOKINETIC_PROPERTIES"/>
      <w:bookmarkEnd w:id="12"/>
      <w:bookmarkEnd w:id="14"/>
      <w:r w:rsidRPr="00F0251C">
        <w:rPr>
          <w:smallCaps/>
          <w:noProof/>
          <w:sz w:val="24"/>
          <w:szCs w:val="24"/>
          <w:lang w:val="en-AU"/>
        </w:rPr>
        <w:t>5.2</w:t>
      </w:r>
      <w:r w:rsidR="004B1DF7" w:rsidRPr="00F0251C">
        <w:rPr>
          <w:smallCaps/>
          <w:noProof/>
          <w:sz w:val="24"/>
          <w:szCs w:val="24"/>
          <w:lang w:val="en-AU"/>
        </w:rPr>
        <w:t xml:space="preserve"> </w:t>
      </w:r>
      <w:r w:rsidRPr="00F0251C">
        <w:rPr>
          <w:noProof/>
          <w:sz w:val="24"/>
          <w:szCs w:val="24"/>
          <w:lang w:val="en-AU"/>
        </w:rPr>
        <w:t>PHARMACOKINETIC PROPERTIES</w:t>
      </w:r>
    </w:p>
    <w:p w14:paraId="63E8F6CE" w14:textId="7DB823F2" w:rsidR="001B7052" w:rsidRPr="00F0251C" w:rsidRDefault="001B7052" w:rsidP="001B7052">
      <w:pPr>
        <w:pStyle w:val="NoSpacing"/>
        <w:ind w:left="360"/>
        <w:rPr>
          <w:noProof/>
          <w:sz w:val="24"/>
          <w:szCs w:val="24"/>
          <w:lang w:val="en-AU"/>
        </w:rPr>
      </w:pPr>
      <w:r w:rsidRPr="00F0251C">
        <w:rPr>
          <w:noProof/>
          <w:sz w:val="24"/>
          <w:szCs w:val="24"/>
          <w:lang w:val="en-AU"/>
        </w:rPr>
        <w:t xml:space="preserve">The systemic exposure to beclometasone dipropionate, formoterol and glycopyrronium has been investigated in a pharmacokinetic study conducted in healthy subjects. The study compared data obtained after treatment with a single dose of </w:t>
      </w:r>
      <w:r w:rsidR="000D1FB0" w:rsidRPr="00F0251C">
        <w:rPr>
          <w:noProof/>
          <w:sz w:val="24"/>
          <w:szCs w:val="24"/>
          <w:lang w:val="en-AU"/>
        </w:rPr>
        <w:t>TRIMBOW</w:t>
      </w:r>
      <w:r w:rsidRPr="00F0251C">
        <w:rPr>
          <w:noProof/>
          <w:sz w:val="24"/>
          <w:szCs w:val="24"/>
          <w:lang w:val="en-AU"/>
        </w:rPr>
        <w:t xml:space="preserve"> (4 inhalations of 100/6/25 micrograms, a non marketed formulation containing twice the approved strength of glycopyrronium) or a single dose of the extemporary combination of beclometasone dipropionate/formoterol (4 inhalations of 100/6 micrograms) plus glycopyrronium (4 inhalations of 25 micrograms). The maximum plasma concentration and systemic exposure of beclometasone dipropionate main active metabolite (beclometasone 17 monopropionate) and formoterol were similar after administration of the fixed or extemporary combination. For </w:t>
      </w:r>
      <w:r w:rsidRPr="00F0251C">
        <w:rPr>
          <w:noProof/>
          <w:sz w:val="24"/>
          <w:szCs w:val="24"/>
          <w:lang w:val="en-AU"/>
        </w:rPr>
        <w:lastRenderedPageBreak/>
        <w:t xml:space="preserve">glycopyrronium, the maximum plasma concentration was similar after administration of the fixed or extemporary combination, while the systemic exposure was slightly higher after administration of </w:t>
      </w:r>
      <w:r w:rsidR="000D1FB0" w:rsidRPr="00F0251C">
        <w:rPr>
          <w:noProof/>
          <w:sz w:val="24"/>
          <w:szCs w:val="24"/>
          <w:lang w:val="en-AU"/>
        </w:rPr>
        <w:t>TRIMBOW</w:t>
      </w:r>
      <w:r w:rsidRPr="00F0251C">
        <w:rPr>
          <w:noProof/>
          <w:sz w:val="24"/>
          <w:szCs w:val="24"/>
          <w:lang w:val="en-AU"/>
        </w:rPr>
        <w:t xml:space="preserve"> than with the extemporary combination. This study also investigated the potential pharmacokinetic interaction between the active components of </w:t>
      </w:r>
      <w:r w:rsidR="000D1FB0" w:rsidRPr="00F0251C">
        <w:rPr>
          <w:noProof/>
          <w:sz w:val="24"/>
          <w:szCs w:val="24"/>
          <w:lang w:val="en-AU"/>
        </w:rPr>
        <w:t>TRIMBOW</w:t>
      </w:r>
      <w:r w:rsidRPr="00F0251C">
        <w:rPr>
          <w:noProof/>
          <w:sz w:val="24"/>
          <w:szCs w:val="24"/>
          <w:lang w:val="en-AU"/>
        </w:rPr>
        <w:t xml:space="preserve"> by comparing the pharmacokinetic data obtained after a single dose of the extemporary combination or after a single dose of the single components beclometasone dipropionate/formoterol or glycopyrronium. There was no clear evidence of pharmacokinetic interaction, however the extemporary combination showed formoterol and glycopyrronium levels transiently slightly higher immediately after dosing compared with the single components. It is noted that single component glycopyrronium, formulated as pressurised metered dose inhaler, which was used in the PK studies, is not available on the market. </w:t>
      </w:r>
    </w:p>
    <w:p w14:paraId="7B513A0A" w14:textId="77777777" w:rsidR="001B7052" w:rsidRPr="00F0251C" w:rsidRDefault="001B7052" w:rsidP="001B7052">
      <w:pPr>
        <w:pStyle w:val="NoSpacing"/>
        <w:ind w:left="360"/>
        <w:rPr>
          <w:noProof/>
          <w:sz w:val="24"/>
          <w:szCs w:val="24"/>
          <w:lang w:val="en-AU"/>
        </w:rPr>
      </w:pPr>
    </w:p>
    <w:p w14:paraId="762C7F7A" w14:textId="77777777" w:rsidR="001B7052" w:rsidRPr="00F0251C" w:rsidRDefault="001B7052" w:rsidP="001B7052">
      <w:pPr>
        <w:pStyle w:val="NoSpacing"/>
        <w:ind w:left="360"/>
        <w:rPr>
          <w:noProof/>
          <w:sz w:val="24"/>
          <w:szCs w:val="24"/>
          <w:lang w:val="en-AU"/>
        </w:rPr>
      </w:pPr>
      <w:r w:rsidRPr="00F0251C">
        <w:rPr>
          <w:noProof/>
          <w:sz w:val="24"/>
          <w:szCs w:val="24"/>
          <w:lang w:val="en-AU"/>
        </w:rPr>
        <w:t>A comparison across studies showed that the pharmacokinetics of beclometasone 17 monopropionate, formoterol and glycopyrronium is similar in COPD patients and in healthy subjects.</w:t>
      </w:r>
    </w:p>
    <w:p w14:paraId="24235040" w14:textId="77777777" w:rsidR="001B7052" w:rsidRPr="00F0251C" w:rsidRDefault="001B7052" w:rsidP="001B7052">
      <w:pPr>
        <w:pStyle w:val="NoSpacing"/>
        <w:ind w:left="360"/>
        <w:rPr>
          <w:noProof/>
          <w:sz w:val="24"/>
          <w:szCs w:val="24"/>
          <w:lang w:val="en-AU"/>
        </w:rPr>
      </w:pPr>
    </w:p>
    <w:p w14:paraId="79CA747F" w14:textId="77777777" w:rsidR="001B7052" w:rsidRPr="00F0251C" w:rsidRDefault="001B7052" w:rsidP="001B7052">
      <w:pPr>
        <w:pStyle w:val="NoSpacing"/>
        <w:ind w:left="360"/>
        <w:rPr>
          <w:b/>
          <w:noProof/>
          <w:sz w:val="24"/>
          <w:szCs w:val="24"/>
          <w:lang w:val="en-AU"/>
        </w:rPr>
      </w:pPr>
      <w:r w:rsidRPr="00F0251C">
        <w:rPr>
          <w:b/>
          <w:noProof/>
          <w:sz w:val="24"/>
          <w:szCs w:val="24"/>
          <w:lang w:val="en-AU"/>
        </w:rPr>
        <w:t>Effect of a spacer</w:t>
      </w:r>
    </w:p>
    <w:p w14:paraId="66E436C1" w14:textId="1C4802C3" w:rsidR="001B7052" w:rsidRPr="00F0251C" w:rsidRDefault="001B7052" w:rsidP="001B7052">
      <w:pPr>
        <w:pStyle w:val="NoSpacing"/>
        <w:ind w:left="360"/>
        <w:rPr>
          <w:noProof/>
          <w:sz w:val="24"/>
          <w:szCs w:val="24"/>
          <w:lang w:val="en-AU"/>
        </w:rPr>
      </w:pPr>
      <w:r w:rsidRPr="00F0251C">
        <w:rPr>
          <w:noProof/>
          <w:sz w:val="24"/>
          <w:szCs w:val="24"/>
          <w:lang w:val="en-AU"/>
        </w:rPr>
        <w:t xml:space="preserve">The use of </w:t>
      </w:r>
      <w:r w:rsidR="000D1FB0" w:rsidRPr="00F0251C">
        <w:rPr>
          <w:noProof/>
          <w:sz w:val="24"/>
          <w:szCs w:val="24"/>
          <w:lang w:val="en-AU"/>
        </w:rPr>
        <w:t>TRIMBOW</w:t>
      </w:r>
      <w:r w:rsidRPr="00F0251C">
        <w:rPr>
          <w:noProof/>
          <w:sz w:val="24"/>
          <w:szCs w:val="24"/>
          <w:lang w:val="en-AU"/>
        </w:rPr>
        <w:t xml:space="preserve"> with the AeroChamber Plus spacer in COPD patients increased the lung delivery of beclometasone 17 monopropionate, formoterol and glycopyrronium (maximum plasma concentration increased by 15%, 58% and 60% respectively). The total systemic exposure (as measured by AUC</w:t>
      </w:r>
      <w:r w:rsidRPr="00F0251C">
        <w:rPr>
          <w:noProof/>
          <w:sz w:val="24"/>
          <w:szCs w:val="24"/>
          <w:vertAlign w:val="subscript"/>
          <w:lang w:val="en-AU"/>
        </w:rPr>
        <w:t>0</w:t>
      </w:r>
      <w:r w:rsidR="0087612D" w:rsidRPr="00F0251C">
        <w:rPr>
          <w:noProof/>
          <w:sz w:val="24"/>
          <w:szCs w:val="24"/>
          <w:vertAlign w:val="subscript"/>
          <w:lang w:val="en-AU"/>
        </w:rPr>
        <w:t>-</w:t>
      </w:r>
      <w:r w:rsidRPr="00F0251C">
        <w:rPr>
          <w:noProof/>
          <w:sz w:val="24"/>
          <w:szCs w:val="24"/>
          <w:vertAlign w:val="subscript"/>
          <w:lang w:val="en-AU"/>
        </w:rPr>
        <w:t>t</w:t>
      </w:r>
      <w:r w:rsidRPr="00F0251C">
        <w:rPr>
          <w:noProof/>
          <w:sz w:val="24"/>
          <w:szCs w:val="24"/>
          <w:lang w:val="en-AU"/>
        </w:rPr>
        <w:t xml:space="preserve">) was slightly reduced for beclometasone 17 monopropionate (by 37%) and formoterol (by 24%), while it was increased for glycopyrronium (by 45%). See also section </w:t>
      </w:r>
      <w:hyperlink w:anchor="_4.4_SPECIAL_WARNINGS" w:history="1">
        <w:r w:rsidRPr="00F0251C">
          <w:rPr>
            <w:rStyle w:val="Hyperlink"/>
            <w:noProof/>
            <w:sz w:val="24"/>
            <w:szCs w:val="24"/>
            <w:lang w:val="en-AU"/>
          </w:rPr>
          <w:t>4.4</w:t>
        </w:r>
        <w:r w:rsidR="003155FC" w:rsidRPr="00F0251C">
          <w:rPr>
            <w:rStyle w:val="Hyperlink"/>
            <w:noProof/>
            <w:sz w:val="24"/>
            <w:szCs w:val="24"/>
            <w:lang w:val="en-AU"/>
          </w:rPr>
          <w:t xml:space="preserve"> SPECIAL WARNINGS AND PRECAUTIONS FOR USE</w:t>
        </w:r>
      </w:hyperlink>
      <w:r w:rsidRPr="00F0251C">
        <w:rPr>
          <w:noProof/>
          <w:sz w:val="24"/>
          <w:szCs w:val="24"/>
          <w:lang w:val="en-AU"/>
        </w:rPr>
        <w:t>.</w:t>
      </w:r>
    </w:p>
    <w:p w14:paraId="5C156573" w14:textId="77777777" w:rsidR="001B7052" w:rsidRPr="00F0251C" w:rsidRDefault="001B7052" w:rsidP="001B7052">
      <w:pPr>
        <w:pStyle w:val="NoSpacing"/>
        <w:ind w:left="360"/>
        <w:rPr>
          <w:noProof/>
          <w:sz w:val="24"/>
          <w:szCs w:val="24"/>
          <w:lang w:val="en-AU"/>
        </w:rPr>
      </w:pPr>
    </w:p>
    <w:p w14:paraId="3BE1D6BA" w14:textId="77777777" w:rsidR="001B7052" w:rsidRPr="00F0251C" w:rsidRDefault="001B7052" w:rsidP="001B7052">
      <w:pPr>
        <w:pStyle w:val="NoSpacing"/>
        <w:ind w:left="360"/>
        <w:rPr>
          <w:b/>
          <w:noProof/>
          <w:sz w:val="24"/>
          <w:szCs w:val="24"/>
          <w:lang w:val="en-AU"/>
        </w:rPr>
      </w:pPr>
      <w:r w:rsidRPr="00F0251C">
        <w:rPr>
          <w:b/>
          <w:noProof/>
          <w:sz w:val="24"/>
          <w:szCs w:val="24"/>
          <w:lang w:val="en-AU"/>
        </w:rPr>
        <w:t>Effect of renal impairment</w:t>
      </w:r>
    </w:p>
    <w:p w14:paraId="7236992F" w14:textId="119EB275" w:rsidR="00275BD8" w:rsidRPr="00F0251C" w:rsidRDefault="001B7052" w:rsidP="001B7052">
      <w:pPr>
        <w:pStyle w:val="NoSpacing"/>
        <w:ind w:left="360"/>
        <w:rPr>
          <w:noProof/>
          <w:sz w:val="24"/>
          <w:szCs w:val="24"/>
          <w:lang w:val="en-AU"/>
        </w:rPr>
      </w:pPr>
      <w:r w:rsidRPr="00F0251C">
        <w:rPr>
          <w:noProof/>
          <w:sz w:val="24"/>
          <w:szCs w:val="24"/>
          <w:lang w:val="en-AU"/>
        </w:rPr>
        <w:t>Systemic exposure (AUC</w:t>
      </w:r>
      <w:r w:rsidR="0087612D" w:rsidRPr="00F0251C">
        <w:rPr>
          <w:noProof/>
          <w:sz w:val="24"/>
          <w:szCs w:val="24"/>
          <w:vertAlign w:val="subscript"/>
          <w:lang w:val="en-AU"/>
        </w:rPr>
        <w:t>0-t</w:t>
      </w:r>
      <w:r w:rsidRPr="00F0251C">
        <w:rPr>
          <w:noProof/>
          <w:sz w:val="24"/>
          <w:szCs w:val="24"/>
          <w:lang w:val="en-AU"/>
        </w:rPr>
        <w:t>) to beclometasone dipropionate, to its metabolite beclometasone 17 monopropionate and to formoterol was not affected by mild to severe renal impairment. For glycopyrronium, there was no impact in subjects with mild and moderate renal impairment. However, an increase in total systemic exposure of up to 2.5</w:t>
      </w:r>
      <w:r w:rsidR="00891532" w:rsidRPr="00F0251C">
        <w:rPr>
          <w:noProof/>
          <w:sz w:val="24"/>
          <w:szCs w:val="24"/>
          <w:lang w:val="en-AU"/>
        </w:rPr>
        <w:t>-</w:t>
      </w:r>
      <w:r w:rsidRPr="00F0251C">
        <w:rPr>
          <w:noProof/>
          <w:sz w:val="24"/>
          <w:szCs w:val="24"/>
          <w:lang w:val="en-AU"/>
        </w:rPr>
        <w:t>fold was observed in subjects with severe renal impairment (glomerular filtration rate below 30 mL/min/1.73 m</w:t>
      </w:r>
      <w:r w:rsidRPr="00F0251C">
        <w:rPr>
          <w:noProof/>
          <w:sz w:val="24"/>
          <w:szCs w:val="24"/>
          <w:vertAlign w:val="superscript"/>
          <w:lang w:val="en-AU"/>
        </w:rPr>
        <w:t>2</w:t>
      </w:r>
      <w:r w:rsidRPr="00F0251C">
        <w:rPr>
          <w:noProof/>
          <w:sz w:val="24"/>
          <w:szCs w:val="24"/>
          <w:lang w:val="en-AU"/>
        </w:rPr>
        <w:t xml:space="preserve">), as a consequence of a significant reduction of the amount excreted in urine (approximately 90% reduction of glycopyrronium renal clearance). Simulations performed with a pharmacokinetic model showed that even when covariates had extreme values (body weight less than 40 kg and concomitant glomerular filtration rate below 27 mL/min/1.73 m²), exposure to </w:t>
      </w:r>
      <w:r w:rsidR="000D1FB0" w:rsidRPr="00F0251C">
        <w:rPr>
          <w:noProof/>
          <w:sz w:val="24"/>
          <w:szCs w:val="24"/>
          <w:lang w:val="en-AU"/>
        </w:rPr>
        <w:t>TRIMBOW</w:t>
      </w:r>
      <w:r w:rsidRPr="00F0251C">
        <w:rPr>
          <w:noProof/>
          <w:sz w:val="24"/>
          <w:szCs w:val="24"/>
          <w:lang w:val="en-AU"/>
        </w:rPr>
        <w:t xml:space="preserve"> active substances remains in approximately a 2.5</w:t>
      </w:r>
      <w:r w:rsidR="00891532" w:rsidRPr="00F0251C">
        <w:rPr>
          <w:noProof/>
          <w:sz w:val="24"/>
          <w:szCs w:val="24"/>
          <w:lang w:val="en-AU"/>
        </w:rPr>
        <w:t>-</w:t>
      </w:r>
      <w:r w:rsidRPr="00F0251C">
        <w:rPr>
          <w:noProof/>
          <w:sz w:val="24"/>
          <w:szCs w:val="24"/>
          <w:lang w:val="en-AU"/>
        </w:rPr>
        <w:t>fold range compared to the exposure in a typical patient with median covariate values.</w:t>
      </w:r>
    </w:p>
    <w:p w14:paraId="4612E848" w14:textId="77777777" w:rsidR="001B7052" w:rsidRPr="00F0251C" w:rsidRDefault="001B7052" w:rsidP="001B7052">
      <w:pPr>
        <w:pStyle w:val="NoSpacing"/>
        <w:ind w:left="360"/>
        <w:rPr>
          <w:noProof/>
          <w:sz w:val="24"/>
          <w:szCs w:val="24"/>
          <w:lang w:val="en-AU"/>
        </w:rPr>
      </w:pPr>
    </w:p>
    <w:p w14:paraId="339F8FDE" w14:textId="04E5D881" w:rsidR="000C49CD" w:rsidRPr="00F0251C" w:rsidRDefault="00BD2FBB" w:rsidP="00BA1633">
      <w:pPr>
        <w:pStyle w:val="NoSpacing"/>
        <w:ind w:left="360"/>
        <w:rPr>
          <w:b/>
          <w:noProof/>
          <w:sz w:val="24"/>
          <w:szCs w:val="24"/>
          <w:u w:val="single"/>
          <w:lang w:val="en-AU"/>
        </w:rPr>
      </w:pPr>
      <w:r w:rsidRPr="00F0251C">
        <w:rPr>
          <w:b/>
          <w:noProof/>
          <w:sz w:val="24"/>
          <w:szCs w:val="24"/>
          <w:u w:val="single"/>
          <w:lang w:val="en-AU"/>
        </w:rPr>
        <w:t>B</w:t>
      </w:r>
      <w:r w:rsidR="002C286A" w:rsidRPr="00F0251C">
        <w:rPr>
          <w:b/>
          <w:noProof/>
          <w:sz w:val="24"/>
          <w:szCs w:val="24"/>
          <w:u w:val="single"/>
          <w:lang w:val="en-AU"/>
        </w:rPr>
        <w:t>ECLOMET</w:t>
      </w:r>
      <w:r w:rsidR="00F057AC" w:rsidRPr="00F0251C">
        <w:rPr>
          <w:b/>
          <w:noProof/>
          <w:sz w:val="24"/>
          <w:szCs w:val="24"/>
          <w:u w:val="single"/>
          <w:lang w:val="en-AU"/>
        </w:rPr>
        <w:t>ASONE</w:t>
      </w:r>
      <w:r w:rsidRPr="00F0251C">
        <w:rPr>
          <w:b/>
          <w:noProof/>
          <w:sz w:val="24"/>
          <w:szCs w:val="24"/>
          <w:u w:val="single"/>
          <w:lang w:val="en-AU"/>
        </w:rPr>
        <w:t xml:space="preserve"> DIPROPIONATE </w:t>
      </w:r>
    </w:p>
    <w:p w14:paraId="0B5F11CA" w14:textId="4B85DEBE" w:rsidR="006441C4" w:rsidRPr="00F0251C" w:rsidRDefault="0087612D" w:rsidP="00BA1633">
      <w:pPr>
        <w:pStyle w:val="NoSpacing"/>
        <w:ind w:left="360"/>
        <w:rPr>
          <w:sz w:val="24"/>
          <w:szCs w:val="24"/>
          <w:lang w:val="en-AU"/>
        </w:rPr>
      </w:pPr>
      <w:r w:rsidRPr="00F0251C">
        <w:rPr>
          <w:snapToGrid w:val="0"/>
          <w:sz w:val="24"/>
          <w:szCs w:val="24"/>
          <w:lang w:val="en-AU"/>
        </w:rPr>
        <w:t>Beclometasone dipropionate is a pro-drug with weak glucocorticoid receptor binding affinity that is hydrolysed via esterase enzymes to an active metabolite beclometasone 17 monopropionate which has a more potent topical anti-inflammatory activity compared with the pro-drug beclometasone dipropionate</w:t>
      </w:r>
      <w:r w:rsidR="006441C4" w:rsidRPr="00F0251C">
        <w:rPr>
          <w:sz w:val="24"/>
          <w:szCs w:val="24"/>
          <w:lang w:val="en-AU"/>
        </w:rPr>
        <w:t>.</w:t>
      </w:r>
    </w:p>
    <w:p w14:paraId="593A3990" w14:textId="77777777" w:rsidR="00BA1633" w:rsidRPr="00F0251C" w:rsidRDefault="00BA1633" w:rsidP="00BA1633">
      <w:pPr>
        <w:pStyle w:val="NoSpacing"/>
        <w:ind w:left="360"/>
        <w:rPr>
          <w:noProof/>
          <w:sz w:val="24"/>
          <w:szCs w:val="24"/>
          <w:lang w:val="en-AU"/>
        </w:rPr>
      </w:pPr>
    </w:p>
    <w:p w14:paraId="29BF3895" w14:textId="77777777" w:rsidR="000C49CD" w:rsidRPr="00F0251C" w:rsidRDefault="00BD2FBB" w:rsidP="00BA1633">
      <w:pPr>
        <w:pStyle w:val="NoSpacing"/>
        <w:ind w:left="360"/>
        <w:rPr>
          <w:b/>
          <w:noProof/>
          <w:sz w:val="24"/>
          <w:szCs w:val="24"/>
          <w:lang w:val="en-AU"/>
        </w:rPr>
      </w:pPr>
      <w:r w:rsidRPr="00F0251C">
        <w:rPr>
          <w:b/>
          <w:noProof/>
          <w:sz w:val="24"/>
          <w:szCs w:val="24"/>
          <w:lang w:val="en-AU"/>
        </w:rPr>
        <w:t xml:space="preserve">Absorption, distribution and metabolism </w:t>
      </w:r>
    </w:p>
    <w:p w14:paraId="3E526D7F" w14:textId="5E3B8982" w:rsidR="000C49CD" w:rsidRPr="00F0251C" w:rsidRDefault="0087612D" w:rsidP="00BA1633">
      <w:pPr>
        <w:pStyle w:val="NoSpacing"/>
        <w:ind w:left="360"/>
        <w:rPr>
          <w:noProof/>
          <w:sz w:val="24"/>
          <w:szCs w:val="24"/>
          <w:lang w:val="en-AU"/>
        </w:rPr>
      </w:pPr>
      <w:r w:rsidRPr="00F0251C">
        <w:rPr>
          <w:noProof/>
          <w:sz w:val="24"/>
          <w:szCs w:val="24"/>
          <w:lang w:val="en-AU"/>
        </w:rPr>
        <w:t xml:space="preserve">Inhaled beclometasone dipropionate is rapidly absorbed through the lungs; prior to absorption there is extensive conversion to beclometasone 17 monopropionate via esterase enzymes that are found in most tissues. The systemic availability of the active metabolite arises from lung </w:t>
      </w:r>
      <w:r w:rsidRPr="00F0251C">
        <w:rPr>
          <w:noProof/>
          <w:sz w:val="24"/>
          <w:szCs w:val="24"/>
          <w:lang w:val="en-AU"/>
        </w:rPr>
        <w:lastRenderedPageBreak/>
        <w:t>(36%) and from gastrointestinal absorption of the swallowed dose. The bioavailability of swallowed beclometasone dipropionate is negligible; however, pre-systemic conversion to beclometasone 17 monopropionate results in 41% of the dose being absorbed as the active metabolite. There is an approximately linear increase in systemic exposure with increasing inhaled dose. The absolute bioavailability following inhalation is approximately 2% and 62% of the nominal dose for unchanged beclometasone dipropionate and beclometasone 17 monopropionate respectively. Following intravenous dosing, the disposition of beclometasone dipropionate and its active metabolite is characterised by high plasma clearance (150 and 120 L/h respectively), with a small volume of distribution at steady state for beclometasone dipropionate (20 L) and larger tissue distribution for its active metabolite (424 L). Plasma protein binding is moderately high.</w:t>
      </w:r>
    </w:p>
    <w:p w14:paraId="72A6F896" w14:textId="1F42F5C6" w:rsidR="0087612D" w:rsidRDefault="0087612D" w:rsidP="00BA1633">
      <w:pPr>
        <w:pStyle w:val="NoSpacing"/>
        <w:ind w:left="360"/>
        <w:rPr>
          <w:noProof/>
          <w:sz w:val="24"/>
          <w:szCs w:val="24"/>
          <w:lang w:val="en-AU"/>
        </w:rPr>
      </w:pPr>
    </w:p>
    <w:p w14:paraId="66DB7AA1" w14:textId="77777777" w:rsidR="0023788B" w:rsidRPr="00F0251C" w:rsidRDefault="0023788B" w:rsidP="00BA1633">
      <w:pPr>
        <w:pStyle w:val="NoSpacing"/>
        <w:ind w:left="360"/>
        <w:rPr>
          <w:noProof/>
          <w:sz w:val="24"/>
          <w:szCs w:val="24"/>
          <w:lang w:val="en-AU"/>
        </w:rPr>
      </w:pPr>
    </w:p>
    <w:p w14:paraId="7B3F75E1" w14:textId="667469B9" w:rsidR="005843E4" w:rsidRPr="00F0251C" w:rsidRDefault="0087612D" w:rsidP="00BA1633">
      <w:pPr>
        <w:pStyle w:val="NoSpacing"/>
        <w:ind w:left="360"/>
        <w:rPr>
          <w:b/>
          <w:noProof/>
          <w:sz w:val="24"/>
          <w:szCs w:val="24"/>
          <w:lang w:val="en-AU"/>
        </w:rPr>
      </w:pPr>
      <w:r w:rsidRPr="00F0251C">
        <w:rPr>
          <w:b/>
          <w:noProof/>
          <w:sz w:val="24"/>
          <w:szCs w:val="24"/>
          <w:lang w:val="en-AU"/>
        </w:rPr>
        <w:t>Excretion</w:t>
      </w:r>
    </w:p>
    <w:p w14:paraId="50488CBF" w14:textId="3E4C38D8" w:rsidR="00B7024F" w:rsidRPr="00F0251C" w:rsidRDefault="0087612D" w:rsidP="00BA1633">
      <w:pPr>
        <w:pStyle w:val="NoSpacing"/>
        <w:ind w:left="360"/>
        <w:rPr>
          <w:snapToGrid w:val="0"/>
          <w:sz w:val="24"/>
          <w:szCs w:val="24"/>
          <w:lang w:val="en-AU"/>
        </w:rPr>
      </w:pPr>
      <w:r w:rsidRPr="00F0251C">
        <w:rPr>
          <w:snapToGrid w:val="0"/>
          <w:sz w:val="24"/>
          <w:szCs w:val="24"/>
          <w:lang w:val="en-AU"/>
        </w:rPr>
        <w:t>Faecal excretion is the major route of beclometasone dipropionate elimination mainly as polar metabolites. The renal excretion of beclometasone dipropionate and its metabolites is negligible. The terminal elimination half-lives are 0.5 hours and 2.7 hours for beclometasone dipropionate and beclometasone 17 monopropionate</w:t>
      </w:r>
      <w:r w:rsidR="001D0176">
        <w:rPr>
          <w:snapToGrid w:val="0"/>
          <w:sz w:val="24"/>
          <w:szCs w:val="24"/>
          <w:lang w:val="en-AU"/>
        </w:rPr>
        <w:t>,</w:t>
      </w:r>
      <w:r w:rsidRPr="00F0251C">
        <w:rPr>
          <w:snapToGrid w:val="0"/>
          <w:sz w:val="24"/>
          <w:szCs w:val="24"/>
          <w:lang w:val="en-AU"/>
        </w:rPr>
        <w:t xml:space="preserve"> respectively.</w:t>
      </w:r>
    </w:p>
    <w:p w14:paraId="7D3C4058" w14:textId="77777777" w:rsidR="0087612D" w:rsidRPr="00F0251C" w:rsidRDefault="0087612D" w:rsidP="00BA1633">
      <w:pPr>
        <w:pStyle w:val="NoSpacing"/>
        <w:ind w:left="360"/>
        <w:rPr>
          <w:noProof/>
          <w:sz w:val="24"/>
          <w:szCs w:val="24"/>
          <w:u w:val="single"/>
          <w:lang w:val="en-AU"/>
        </w:rPr>
      </w:pPr>
    </w:p>
    <w:p w14:paraId="28DA565A" w14:textId="77777777" w:rsidR="0087612D" w:rsidRPr="00F0251C" w:rsidRDefault="0087612D" w:rsidP="0087612D">
      <w:pPr>
        <w:pStyle w:val="NoSpacing"/>
        <w:ind w:left="360"/>
        <w:rPr>
          <w:snapToGrid w:val="0"/>
          <w:sz w:val="24"/>
          <w:szCs w:val="24"/>
          <w:u w:val="single"/>
          <w:lang w:val="en-AU"/>
        </w:rPr>
      </w:pPr>
      <w:r w:rsidRPr="00F0251C">
        <w:rPr>
          <w:snapToGrid w:val="0"/>
          <w:sz w:val="24"/>
          <w:szCs w:val="24"/>
          <w:u w:val="single"/>
          <w:lang w:val="en-AU"/>
        </w:rPr>
        <w:t>Patients with hepatic impairment</w:t>
      </w:r>
    </w:p>
    <w:p w14:paraId="2FB5E97E" w14:textId="605582CC" w:rsidR="000C49CD" w:rsidRPr="00F0251C" w:rsidRDefault="0087612D" w:rsidP="0087612D">
      <w:pPr>
        <w:pStyle w:val="NoSpacing"/>
        <w:ind w:left="360"/>
        <w:rPr>
          <w:snapToGrid w:val="0"/>
          <w:sz w:val="24"/>
          <w:szCs w:val="24"/>
          <w:lang w:val="en-AU"/>
        </w:rPr>
      </w:pPr>
      <w:r w:rsidRPr="00F0251C">
        <w:rPr>
          <w:snapToGrid w:val="0"/>
          <w:sz w:val="24"/>
          <w:szCs w:val="24"/>
          <w:lang w:val="en-AU"/>
        </w:rPr>
        <w:t>The pharmacokinetics of beclometasone dipropionate in patients with hepatic impairment has not been studied, however, as beclometasone dipropionate undergoes a very rapid metabolism via esterase enzymes present in intestinal fluid, serum, lungs and liver to form the more polar products beclometasone 21 monopropionate, beclometasone 17 monopropionate and beclometasone, hepatic impairment is not expected to modify the pharmacokinetics and safety profile of beclometasone dipropionate.</w:t>
      </w:r>
    </w:p>
    <w:p w14:paraId="70CB4137" w14:textId="77777777" w:rsidR="00B7024F" w:rsidRPr="00F0251C" w:rsidRDefault="00B7024F" w:rsidP="00BA1633">
      <w:pPr>
        <w:pStyle w:val="NoSpacing"/>
        <w:ind w:left="360"/>
        <w:rPr>
          <w:snapToGrid w:val="0"/>
          <w:sz w:val="24"/>
          <w:szCs w:val="24"/>
          <w:lang w:val="en-AU"/>
        </w:rPr>
      </w:pPr>
    </w:p>
    <w:p w14:paraId="05236195" w14:textId="42F4CC2E" w:rsidR="000C49CD" w:rsidRPr="00F0251C" w:rsidRDefault="00BD2FBB" w:rsidP="00BA1633">
      <w:pPr>
        <w:pStyle w:val="NoSpacing"/>
        <w:ind w:left="360"/>
        <w:rPr>
          <w:b/>
          <w:noProof/>
          <w:sz w:val="24"/>
          <w:szCs w:val="24"/>
          <w:u w:val="single"/>
          <w:lang w:val="en-AU"/>
        </w:rPr>
      </w:pPr>
      <w:r w:rsidRPr="00F0251C">
        <w:rPr>
          <w:b/>
          <w:noProof/>
          <w:sz w:val="24"/>
          <w:szCs w:val="24"/>
          <w:u w:val="single"/>
          <w:lang w:val="en-AU"/>
        </w:rPr>
        <w:t>FORMOTEROL</w:t>
      </w:r>
    </w:p>
    <w:p w14:paraId="39634428" w14:textId="32711959" w:rsidR="000C49CD" w:rsidRPr="00F0251C" w:rsidRDefault="00F60D14" w:rsidP="00BA1633">
      <w:pPr>
        <w:pStyle w:val="NoSpacing"/>
        <w:ind w:left="360"/>
        <w:rPr>
          <w:b/>
          <w:noProof/>
          <w:sz w:val="24"/>
          <w:szCs w:val="24"/>
          <w:lang w:val="en-AU"/>
        </w:rPr>
      </w:pPr>
      <w:r w:rsidRPr="00F0251C">
        <w:rPr>
          <w:b/>
          <w:noProof/>
          <w:sz w:val="24"/>
          <w:szCs w:val="24"/>
          <w:lang w:val="en-AU"/>
        </w:rPr>
        <w:t xml:space="preserve">Absorption and distribution </w:t>
      </w:r>
    </w:p>
    <w:p w14:paraId="4F6A5E3A" w14:textId="18B35241" w:rsidR="000C49CD" w:rsidRPr="00F0251C" w:rsidRDefault="0087612D" w:rsidP="00BA1633">
      <w:pPr>
        <w:pStyle w:val="NoSpacing"/>
        <w:ind w:left="360"/>
        <w:rPr>
          <w:sz w:val="24"/>
          <w:szCs w:val="24"/>
          <w:lang w:val="en-AU"/>
        </w:rPr>
      </w:pPr>
      <w:r w:rsidRPr="00F0251C">
        <w:rPr>
          <w:sz w:val="24"/>
          <w:szCs w:val="24"/>
          <w:lang w:val="en-AU"/>
        </w:rPr>
        <w:t>Following inhalation, formoterol is absorbed from both the lung and the gastrointestinal tract. The fraction of an inhaled dose that is swallowed after administration with a metered dose inhaler may range between 60% and 90%. At least 65% of the fraction that is swallowed is absorbed from the gastrointestinal tract. Peak plasma concentrations of the unchanged active substance occur within 0.5 to 1 hours after oral administration. Plasma protein binding of formoterol is 61-64% with 34% bound to albumin. There was no saturation of binding in the concentration range attained with therapeutic doses. The elimination half-life determined after oral administration is 2-3 hours. Absorption of formoterol is linear following inhalation of 12 to 96 micrograms of formoterol.</w:t>
      </w:r>
    </w:p>
    <w:p w14:paraId="1CC6F249" w14:textId="77777777" w:rsidR="0087612D" w:rsidRPr="00F0251C" w:rsidRDefault="0087612D" w:rsidP="00BA1633">
      <w:pPr>
        <w:pStyle w:val="NoSpacing"/>
        <w:ind w:left="360"/>
        <w:rPr>
          <w:sz w:val="24"/>
          <w:szCs w:val="24"/>
          <w:lang w:val="en-AU"/>
        </w:rPr>
      </w:pPr>
    </w:p>
    <w:p w14:paraId="3EADC969" w14:textId="77777777" w:rsidR="000C49CD" w:rsidRPr="00F0251C" w:rsidRDefault="00F60D14" w:rsidP="00BA1633">
      <w:pPr>
        <w:pStyle w:val="NoSpacing"/>
        <w:ind w:left="360"/>
        <w:rPr>
          <w:b/>
          <w:sz w:val="24"/>
          <w:szCs w:val="24"/>
          <w:lang w:val="en-AU"/>
        </w:rPr>
      </w:pPr>
      <w:r w:rsidRPr="00F0251C">
        <w:rPr>
          <w:b/>
          <w:sz w:val="24"/>
          <w:szCs w:val="24"/>
          <w:lang w:val="en-AU"/>
        </w:rPr>
        <w:t>Metabolism</w:t>
      </w:r>
    </w:p>
    <w:p w14:paraId="2E98BB10" w14:textId="299D0F8F" w:rsidR="000C49CD" w:rsidRPr="00F0251C" w:rsidRDefault="0087612D" w:rsidP="00BA1633">
      <w:pPr>
        <w:pStyle w:val="NoSpacing"/>
        <w:ind w:left="360"/>
        <w:rPr>
          <w:sz w:val="24"/>
          <w:szCs w:val="24"/>
          <w:lang w:val="en-AU"/>
        </w:rPr>
      </w:pPr>
      <w:r w:rsidRPr="00F0251C">
        <w:rPr>
          <w:sz w:val="24"/>
          <w:szCs w:val="24"/>
          <w:lang w:val="en-AU"/>
        </w:rPr>
        <w:t>Formoterol is widely metabolised</w:t>
      </w:r>
      <w:r w:rsidR="004B7044">
        <w:rPr>
          <w:sz w:val="24"/>
          <w:szCs w:val="24"/>
          <w:lang w:val="en-AU"/>
        </w:rPr>
        <w:t>,</w:t>
      </w:r>
      <w:r w:rsidRPr="00F0251C">
        <w:rPr>
          <w:sz w:val="24"/>
          <w:szCs w:val="24"/>
          <w:lang w:val="en-AU"/>
        </w:rPr>
        <w:t xml:space="preserve"> and the prominent pathway involves direct conjugation at the phenolic hydroxyl group. Glucuronide acid conjugate is inactive. The second major pathway involves O-demethylation followed by conjugation at the phenolic 2'-hydroxyl group. Cytochrome P450 isoenzymes CYP2D6, CYP2C19 and CYP2C9 are involved in the O-demethylation of formoterol. Liver appears to be the primary site of metabolism. Formoterol does not inhibit CYP450 enzymes at therapeutically relevant concentrations.</w:t>
      </w:r>
    </w:p>
    <w:p w14:paraId="3DD6A82F" w14:textId="77777777" w:rsidR="0087612D" w:rsidRPr="00F0251C" w:rsidRDefault="0087612D" w:rsidP="00BA1633">
      <w:pPr>
        <w:pStyle w:val="NoSpacing"/>
        <w:ind w:left="360"/>
        <w:rPr>
          <w:sz w:val="24"/>
          <w:szCs w:val="24"/>
          <w:lang w:val="en-AU"/>
        </w:rPr>
      </w:pPr>
    </w:p>
    <w:p w14:paraId="344D2A75" w14:textId="0C84A335" w:rsidR="000C49CD" w:rsidRPr="00F0251C" w:rsidRDefault="0087612D" w:rsidP="00BA1633">
      <w:pPr>
        <w:pStyle w:val="NoSpacing"/>
        <w:ind w:left="360"/>
        <w:rPr>
          <w:b/>
          <w:bCs/>
          <w:sz w:val="24"/>
          <w:szCs w:val="24"/>
          <w:lang w:val="en-AU"/>
        </w:rPr>
      </w:pPr>
      <w:r w:rsidRPr="00F0251C">
        <w:rPr>
          <w:b/>
          <w:sz w:val="24"/>
          <w:szCs w:val="24"/>
          <w:lang w:val="en-AU"/>
        </w:rPr>
        <w:lastRenderedPageBreak/>
        <w:t>Excretion</w:t>
      </w:r>
    </w:p>
    <w:p w14:paraId="17AFBFAC" w14:textId="4A354BA8" w:rsidR="0087612D" w:rsidRPr="00F0251C" w:rsidRDefault="0087612D" w:rsidP="0087612D">
      <w:pPr>
        <w:pStyle w:val="NoSpacing"/>
        <w:ind w:left="360"/>
        <w:rPr>
          <w:sz w:val="24"/>
          <w:szCs w:val="24"/>
          <w:lang w:val="en-AU"/>
        </w:rPr>
      </w:pPr>
      <w:r w:rsidRPr="00F0251C">
        <w:rPr>
          <w:sz w:val="24"/>
          <w:szCs w:val="24"/>
          <w:lang w:val="en-AU"/>
        </w:rPr>
        <w:t>The cumulative urinary excretion of formoterol after single inhalation from a dry powder inhaler increased linearly in the 12 96 micrograms dose range. On average, 8% and 25% of the dose was excreted as unchanged and total formoterol, respectively. Based on plasma concentrations measured following inhalation of a single 120 micrograms dose by 12 healthy subjects, the mean terminal elimination half-life was determined to be 10 hours. The (R,R)- and (S,S)-enantiomers represented about 40% and 60% of unchanged active substance excreted in the urine, respectively. The relative proportion of the two enantiomers remained constant over the dose range studied and there was no evidence of relative accumulation of one enantiomer over the other after repeated dosing. After oral administration (40 to 80 micrograms), 6% to 10% of the dose was recovered in urine as unchanged active substance in healthy subjects; up to 8% of the dose was recovered as the glucuronide. A total 67% of an oral dose of formoterol is excreted in urine (mainly as metabolites) and the remainder in the faeces. The renal clearance of formoterol is 150 mL/min.</w:t>
      </w:r>
    </w:p>
    <w:p w14:paraId="6E460474" w14:textId="77777777" w:rsidR="0023788B" w:rsidRPr="00F0251C" w:rsidRDefault="0023788B" w:rsidP="004B7044">
      <w:pPr>
        <w:pStyle w:val="NoSpacing"/>
        <w:rPr>
          <w:sz w:val="24"/>
          <w:szCs w:val="24"/>
          <w:lang w:val="en-AU"/>
        </w:rPr>
      </w:pPr>
    </w:p>
    <w:p w14:paraId="08F3719A" w14:textId="77777777" w:rsidR="0087612D" w:rsidRPr="00F0251C" w:rsidRDefault="0087612D" w:rsidP="0087612D">
      <w:pPr>
        <w:pStyle w:val="NoSpacing"/>
        <w:ind w:left="360"/>
        <w:rPr>
          <w:sz w:val="24"/>
          <w:szCs w:val="24"/>
          <w:u w:val="single"/>
          <w:lang w:val="en-AU"/>
        </w:rPr>
      </w:pPr>
      <w:r w:rsidRPr="00F0251C">
        <w:rPr>
          <w:sz w:val="24"/>
          <w:szCs w:val="24"/>
          <w:u w:val="single"/>
          <w:lang w:val="en-AU"/>
        </w:rPr>
        <w:t>Patients with hepatic impairment</w:t>
      </w:r>
    </w:p>
    <w:p w14:paraId="60D98998" w14:textId="76A53601" w:rsidR="000C49CD" w:rsidRPr="00F0251C" w:rsidRDefault="0087612D" w:rsidP="0087612D">
      <w:pPr>
        <w:pStyle w:val="NoSpacing"/>
        <w:ind w:left="360"/>
        <w:rPr>
          <w:sz w:val="24"/>
          <w:szCs w:val="24"/>
          <w:lang w:val="en-AU"/>
        </w:rPr>
      </w:pPr>
      <w:r w:rsidRPr="00F0251C">
        <w:rPr>
          <w:sz w:val="24"/>
          <w:szCs w:val="24"/>
          <w:lang w:val="en-AU"/>
        </w:rPr>
        <w:t>The pharmacokinetics of formoterol has not been studied in patients with hepatic impairment; however, as formoterol is primarily eliminated via hepatic metabolism, an increased exposure can be expected in patients with severe hepatic impairment.</w:t>
      </w:r>
    </w:p>
    <w:p w14:paraId="4365178C" w14:textId="184520CA" w:rsidR="0087612D" w:rsidRPr="00F0251C" w:rsidRDefault="0087612D" w:rsidP="0087612D">
      <w:pPr>
        <w:pStyle w:val="NoSpacing"/>
        <w:ind w:left="360"/>
        <w:rPr>
          <w:noProof/>
          <w:sz w:val="24"/>
          <w:szCs w:val="24"/>
          <w:lang w:val="en-AU"/>
        </w:rPr>
      </w:pPr>
    </w:p>
    <w:p w14:paraId="6D538257" w14:textId="29FD4417" w:rsidR="0087612D" w:rsidRPr="00F0251C" w:rsidRDefault="0087612D" w:rsidP="0087612D">
      <w:pPr>
        <w:pStyle w:val="NoSpacing"/>
        <w:ind w:left="360"/>
        <w:rPr>
          <w:b/>
          <w:noProof/>
          <w:sz w:val="24"/>
          <w:szCs w:val="24"/>
          <w:u w:val="single"/>
          <w:lang w:val="en-AU"/>
        </w:rPr>
      </w:pPr>
      <w:r w:rsidRPr="00F0251C">
        <w:rPr>
          <w:b/>
          <w:noProof/>
          <w:sz w:val="24"/>
          <w:szCs w:val="24"/>
          <w:u w:val="single"/>
          <w:lang w:val="en-AU"/>
        </w:rPr>
        <w:t xml:space="preserve">GLYCOPYRRONIUM </w:t>
      </w:r>
    </w:p>
    <w:p w14:paraId="4B79B9D8" w14:textId="302A35E4" w:rsidR="0087612D" w:rsidRPr="00F0251C" w:rsidRDefault="0087612D" w:rsidP="0087612D">
      <w:pPr>
        <w:pStyle w:val="NoSpacing"/>
        <w:ind w:left="360"/>
        <w:rPr>
          <w:b/>
          <w:noProof/>
          <w:sz w:val="24"/>
          <w:szCs w:val="24"/>
          <w:lang w:val="en-AU"/>
        </w:rPr>
      </w:pPr>
      <w:r w:rsidRPr="00F0251C">
        <w:rPr>
          <w:b/>
          <w:noProof/>
          <w:sz w:val="24"/>
          <w:szCs w:val="24"/>
          <w:lang w:val="en-AU"/>
        </w:rPr>
        <w:t>Absorption and distribution</w:t>
      </w:r>
    </w:p>
    <w:p w14:paraId="584ADDE1" w14:textId="152EEC9B" w:rsidR="0087612D" w:rsidRPr="00F0251C" w:rsidRDefault="0087612D" w:rsidP="0087612D">
      <w:pPr>
        <w:pStyle w:val="NoSpacing"/>
        <w:ind w:left="360"/>
        <w:rPr>
          <w:noProof/>
          <w:sz w:val="24"/>
          <w:szCs w:val="24"/>
          <w:lang w:val="en-AU"/>
        </w:rPr>
      </w:pPr>
      <w:r w:rsidRPr="00F0251C">
        <w:rPr>
          <w:noProof/>
          <w:sz w:val="24"/>
          <w:szCs w:val="24"/>
          <w:lang w:val="en-AU"/>
        </w:rPr>
        <w:t xml:space="preserve">Glycopyrronium has a quaternary ammonium structure which limits its passage across biological membranes and produces slow, variable and incomplete gastrointestinal absorption. Following glycopyrronium inhalation, the lung bioavailability was 10.5% (with activated charcoal ingestion) while the absolute bioavailability was 12.8% (without activated charcoal ingestion) confirming the limited gastrointestinal absorption and indicating that more than 80% of glycopyrronium systemic exposure was from lung absorption. After repeated inhalation of twice daily doses ranging from 12.5 to 50 micrograms via pressurised metered dose inhaler in COPD patients, glycopyrronium showed linear pharmacokinetics with little systemic accumulation at steady state (median accumulation ratio 2.2 2.5).  The apparent volume of distribution (Vz) of inhaled glycopyrronium was increased compared to intravenous (i.v.) infusion (6420 L versus 323 L), reflecting the slower elimination after inhalation. </w:t>
      </w:r>
    </w:p>
    <w:p w14:paraId="4B2EDDF3" w14:textId="77777777" w:rsidR="0087612D" w:rsidRPr="00F0251C" w:rsidRDefault="0087612D" w:rsidP="0087612D">
      <w:pPr>
        <w:pStyle w:val="NoSpacing"/>
        <w:ind w:left="360"/>
        <w:rPr>
          <w:noProof/>
          <w:sz w:val="24"/>
          <w:szCs w:val="24"/>
          <w:lang w:val="en-AU"/>
        </w:rPr>
      </w:pPr>
    </w:p>
    <w:p w14:paraId="60058B9E" w14:textId="558EA7A8" w:rsidR="0087612D" w:rsidRPr="00F0251C" w:rsidRDefault="0087612D" w:rsidP="0087612D">
      <w:pPr>
        <w:pStyle w:val="NoSpacing"/>
        <w:ind w:left="360"/>
        <w:rPr>
          <w:b/>
          <w:noProof/>
          <w:sz w:val="24"/>
          <w:szCs w:val="24"/>
          <w:lang w:val="en-AU"/>
        </w:rPr>
      </w:pPr>
      <w:r w:rsidRPr="00F0251C">
        <w:rPr>
          <w:b/>
          <w:noProof/>
          <w:sz w:val="24"/>
          <w:szCs w:val="24"/>
          <w:lang w:val="en-AU"/>
        </w:rPr>
        <w:t>Metabolism</w:t>
      </w:r>
    </w:p>
    <w:p w14:paraId="4FCA0C28" w14:textId="4A6B1FB8" w:rsidR="0087612D" w:rsidRPr="00F0251C" w:rsidRDefault="0087612D" w:rsidP="0087612D">
      <w:pPr>
        <w:pStyle w:val="NoSpacing"/>
        <w:ind w:left="360"/>
        <w:rPr>
          <w:noProof/>
          <w:sz w:val="24"/>
          <w:szCs w:val="24"/>
          <w:lang w:val="en-AU"/>
        </w:rPr>
      </w:pPr>
      <w:r w:rsidRPr="00F0251C">
        <w:rPr>
          <w:noProof/>
          <w:sz w:val="24"/>
          <w:szCs w:val="24"/>
          <w:lang w:val="en-AU"/>
        </w:rPr>
        <w:t>The metabolic pattern of glycopyrronium in vitro (humans, dogs, rats, mice and rabbits liver microsomes and hepatocytes) was similar among species and the main metabolic reaction was the hydroxylation on the phenyl or ciclopentyl rings. CYP2D6 was found to be the only enzyme responsible for glycopyrronium metabolism.</w:t>
      </w:r>
    </w:p>
    <w:p w14:paraId="1541399E" w14:textId="77777777" w:rsidR="0087612D" w:rsidRPr="00F0251C" w:rsidRDefault="0087612D" w:rsidP="0087612D">
      <w:pPr>
        <w:pStyle w:val="NoSpacing"/>
        <w:ind w:left="360"/>
        <w:rPr>
          <w:noProof/>
          <w:sz w:val="24"/>
          <w:szCs w:val="24"/>
          <w:lang w:val="en-AU"/>
        </w:rPr>
      </w:pPr>
    </w:p>
    <w:p w14:paraId="024C2923" w14:textId="624B6101" w:rsidR="0087612D" w:rsidRPr="00F0251C" w:rsidRDefault="0087612D" w:rsidP="0087612D">
      <w:pPr>
        <w:pStyle w:val="NoSpacing"/>
        <w:ind w:left="360"/>
        <w:rPr>
          <w:b/>
          <w:noProof/>
          <w:sz w:val="24"/>
          <w:szCs w:val="24"/>
          <w:lang w:val="en-AU"/>
        </w:rPr>
      </w:pPr>
      <w:r w:rsidRPr="00F0251C">
        <w:rPr>
          <w:b/>
          <w:noProof/>
          <w:sz w:val="24"/>
          <w:szCs w:val="24"/>
          <w:lang w:val="en-AU"/>
        </w:rPr>
        <w:t>Excretion</w:t>
      </w:r>
    </w:p>
    <w:p w14:paraId="2F07B170" w14:textId="1ED0F341" w:rsidR="0087612D" w:rsidRPr="00F0251C" w:rsidRDefault="0087612D" w:rsidP="0087612D">
      <w:pPr>
        <w:pStyle w:val="NoSpacing"/>
        <w:ind w:left="360"/>
        <w:rPr>
          <w:noProof/>
          <w:sz w:val="24"/>
          <w:szCs w:val="24"/>
          <w:lang w:val="en-AU"/>
        </w:rPr>
      </w:pPr>
      <w:r w:rsidRPr="00F0251C">
        <w:rPr>
          <w:noProof/>
          <w:sz w:val="24"/>
          <w:szCs w:val="24"/>
          <w:lang w:val="en-AU"/>
        </w:rPr>
        <w:t xml:space="preserve">The mean elimination half-life of glycopyrronium in healthy volunteers was approximately 6 hours after i.v. injection while after inhalation in COPD patients it ranged from 5 to 12 hours at steady state. After a glycopyrronium single i.v. injection, 40% of the dose was excreted in the urine within 24 hours. In COPD patients receiving repeated twice daily administration of inhaled glycopyrronium, the fraction of the dose excreted in urine ranged from 13.0% to 14.5% </w:t>
      </w:r>
      <w:r w:rsidRPr="00F0251C">
        <w:rPr>
          <w:noProof/>
          <w:sz w:val="24"/>
          <w:szCs w:val="24"/>
          <w:lang w:val="en-AU"/>
        </w:rPr>
        <w:lastRenderedPageBreak/>
        <w:t>at steady state. Mean renal clearance was similar across the range of doses tested and after single and repeated inhalation (range 281 396 mL/min).</w:t>
      </w:r>
    </w:p>
    <w:p w14:paraId="5E5DB49A" w14:textId="77777777" w:rsidR="0087612D" w:rsidRPr="00F0251C" w:rsidRDefault="0087612D" w:rsidP="0087612D">
      <w:pPr>
        <w:pStyle w:val="NoSpacing"/>
        <w:ind w:left="360"/>
        <w:rPr>
          <w:noProof/>
          <w:sz w:val="24"/>
          <w:szCs w:val="24"/>
          <w:lang w:val="en-AU"/>
        </w:rPr>
      </w:pPr>
    </w:p>
    <w:p w14:paraId="148079FE" w14:textId="77777777" w:rsidR="000C49CD" w:rsidRPr="00F0251C" w:rsidRDefault="00B7024F" w:rsidP="001E27D5">
      <w:pPr>
        <w:pStyle w:val="Heading2"/>
        <w:jc w:val="left"/>
        <w:rPr>
          <w:noProof/>
          <w:sz w:val="24"/>
          <w:szCs w:val="24"/>
          <w:lang w:val="en-AU"/>
        </w:rPr>
      </w:pPr>
      <w:bookmarkStart w:id="15" w:name="_5.3_PRECLINICAL_SAFETY"/>
      <w:bookmarkEnd w:id="15"/>
      <w:r w:rsidRPr="00F0251C">
        <w:rPr>
          <w:smallCaps/>
          <w:noProof/>
          <w:sz w:val="24"/>
          <w:szCs w:val="24"/>
          <w:lang w:val="en-AU"/>
        </w:rPr>
        <w:t>5.3</w:t>
      </w:r>
      <w:r w:rsidR="004B1DF7" w:rsidRPr="00F0251C">
        <w:rPr>
          <w:smallCaps/>
          <w:noProof/>
          <w:sz w:val="24"/>
          <w:szCs w:val="24"/>
          <w:lang w:val="en-AU"/>
        </w:rPr>
        <w:t xml:space="preserve"> </w:t>
      </w:r>
      <w:r w:rsidRPr="00F0251C">
        <w:rPr>
          <w:noProof/>
          <w:sz w:val="24"/>
          <w:szCs w:val="24"/>
          <w:lang w:val="en-AU"/>
        </w:rPr>
        <w:t>PRECLINICAL SAFETY DATA</w:t>
      </w:r>
    </w:p>
    <w:p w14:paraId="0AA0FA02" w14:textId="77777777" w:rsidR="00C0044F" w:rsidRPr="00F0251C" w:rsidRDefault="004B1DF7" w:rsidP="004B1DF7">
      <w:pPr>
        <w:pStyle w:val="NoSpacing"/>
        <w:ind w:left="360"/>
        <w:rPr>
          <w:b/>
          <w:noProof/>
          <w:sz w:val="24"/>
          <w:szCs w:val="24"/>
          <w:lang w:val="en-AU"/>
        </w:rPr>
      </w:pPr>
      <w:r w:rsidRPr="00F0251C">
        <w:rPr>
          <w:b/>
          <w:noProof/>
          <w:sz w:val="24"/>
          <w:szCs w:val="24"/>
          <w:lang w:val="en-AU"/>
        </w:rPr>
        <w:t>GENOTOXICITY</w:t>
      </w:r>
    </w:p>
    <w:p w14:paraId="2F956821" w14:textId="67F39DB5" w:rsidR="006769FE" w:rsidRDefault="0038634C" w:rsidP="004B1DF7">
      <w:pPr>
        <w:pStyle w:val="NoSpacing"/>
        <w:ind w:left="360"/>
        <w:rPr>
          <w:sz w:val="24"/>
          <w:szCs w:val="24"/>
          <w:lang w:val="en-AU"/>
        </w:rPr>
      </w:pPr>
      <w:r w:rsidRPr="0038634C">
        <w:rPr>
          <w:sz w:val="24"/>
          <w:szCs w:val="24"/>
          <w:lang w:val="en-AU"/>
        </w:rPr>
        <w:t xml:space="preserve">Individually, beclometasone dipropionate, formoterol fumarate and glycopyrronium bromide were devoid of genotoxic activity in assays for bacterial mutagenicity, chromosomal aberrations in vitro (human lymphocytes) and in vivo </w:t>
      </w:r>
      <w:proofErr w:type="spellStart"/>
      <w:r w:rsidRPr="0038634C">
        <w:rPr>
          <w:sz w:val="24"/>
          <w:szCs w:val="24"/>
          <w:lang w:val="en-AU"/>
        </w:rPr>
        <w:t>clastogenicity</w:t>
      </w:r>
      <w:proofErr w:type="spellEnd"/>
      <w:r w:rsidRPr="0038634C">
        <w:rPr>
          <w:sz w:val="24"/>
          <w:szCs w:val="24"/>
          <w:lang w:val="en-AU"/>
        </w:rPr>
        <w:t xml:space="preserve"> (rat bone marrow micronucleus test).</w:t>
      </w:r>
    </w:p>
    <w:p w14:paraId="07F61F4B" w14:textId="77777777" w:rsidR="00407F89" w:rsidRPr="00F0251C" w:rsidRDefault="00407F89" w:rsidP="004B1DF7">
      <w:pPr>
        <w:pStyle w:val="NoSpacing"/>
        <w:ind w:left="360"/>
        <w:rPr>
          <w:noProof/>
          <w:sz w:val="24"/>
          <w:szCs w:val="24"/>
          <w:lang w:val="en-AU"/>
        </w:rPr>
      </w:pPr>
    </w:p>
    <w:p w14:paraId="45A56215" w14:textId="240337C3" w:rsidR="00C0044F" w:rsidRPr="00F0251C" w:rsidRDefault="004B1DF7" w:rsidP="004B1DF7">
      <w:pPr>
        <w:pStyle w:val="NoSpacing"/>
        <w:ind w:left="360"/>
        <w:rPr>
          <w:b/>
          <w:noProof/>
          <w:sz w:val="24"/>
          <w:szCs w:val="24"/>
          <w:lang w:val="en-AU"/>
        </w:rPr>
      </w:pPr>
      <w:r w:rsidRPr="00F0251C">
        <w:rPr>
          <w:b/>
          <w:noProof/>
          <w:sz w:val="24"/>
          <w:szCs w:val="24"/>
          <w:lang w:val="en-AU"/>
        </w:rPr>
        <w:t>CARCINOGENICITY</w:t>
      </w:r>
    </w:p>
    <w:p w14:paraId="46C5BCC9" w14:textId="32A3AD9D" w:rsidR="000C49CD" w:rsidRDefault="006769FE" w:rsidP="004B1DF7">
      <w:pPr>
        <w:pStyle w:val="NoSpacing"/>
        <w:ind w:left="360"/>
        <w:rPr>
          <w:sz w:val="24"/>
          <w:szCs w:val="24"/>
          <w:lang w:val="en-AU"/>
        </w:rPr>
      </w:pPr>
      <w:r w:rsidRPr="00F0251C">
        <w:rPr>
          <w:sz w:val="24"/>
          <w:szCs w:val="24"/>
          <w:lang w:val="en-AU"/>
        </w:rPr>
        <w:t xml:space="preserve">Carcinogenicity studies have not been performed with </w:t>
      </w:r>
      <w:r w:rsidR="0038634C" w:rsidRPr="00674057">
        <w:rPr>
          <w:sz w:val="24"/>
          <w:szCs w:val="24"/>
          <w:lang w:val="en-AU"/>
        </w:rPr>
        <w:t>beclometasone dipropionate, formoterol fumarate and glycopyrronium bromide in combination</w:t>
      </w:r>
      <w:r w:rsidRPr="00F0251C">
        <w:rPr>
          <w:sz w:val="24"/>
          <w:szCs w:val="24"/>
          <w:lang w:val="en-AU"/>
        </w:rPr>
        <w:t xml:space="preserve">. </w:t>
      </w:r>
      <w:r w:rsidR="0038634C">
        <w:rPr>
          <w:sz w:val="24"/>
          <w:szCs w:val="24"/>
          <w:lang w:val="en-AU"/>
        </w:rPr>
        <w:t xml:space="preserve"> Data for the individual active components are descri</w:t>
      </w:r>
      <w:r w:rsidR="008B4CAC">
        <w:rPr>
          <w:sz w:val="24"/>
          <w:szCs w:val="24"/>
          <w:lang w:val="en-AU"/>
        </w:rPr>
        <w:t>b</w:t>
      </w:r>
      <w:r w:rsidR="0038634C">
        <w:rPr>
          <w:sz w:val="24"/>
          <w:szCs w:val="24"/>
          <w:lang w:val="en-AU"/>
        </w:rPr>
        <w:t>ed below</w:t>
      </w:r>
      <w:r w:rsidR="008B4CAC">
        <w:rPr>
          <w:sz w:val="24"/>
          <w:szCs w:val="24"/>
          <w:lang w:val="en-AU"/>
        </w:rPr>
        <w:t>:</w:t>
      </w:r>
    </w:p>
    <w:p w14:paraId="31328A61" w14:textId="7AF379E9" w:rsidR="008B4CAC" w:rsidRDefault="008B4CAC" w:rsidP="004B1DF7">
      <w:pPr>
        <w:pStyle w:val="NoSpacing"/>
        <w:ind w:left="360"/>
        <w:rPr>
          <w:sz w:val="24"/>
          <w:szCs w:val="24"/>
          <w:lang w:val="en-AU"/>
        </w:rPr>
      </w:pPr>
    </w:p>
    <w:p w14:paraId="36743627" w14:textId="77777777" w:rsidR="008B4CAC" w:rsidRPr="00674057" w:rsidRDefault="008B4CAC" w:rsidP="004B1DF7">
      <w:pPr>
        <w:pStyle w:val="NoSpacing"/>
        <w:ind w:left="360"/>
        <w:rPr>
          <w:sz w:val="24"/>
          <w:szCs w:val="24"/>
          <w:lang w:val="en-AU"/>
        </w:rPr>
      </w:pPr>
      <w:r w:rsidRPr="00674057">
        <w:rPr>
          <w:sz w:val="24"/>
          <w:szCs w:val="24"/>
          <w:lang w:val="en-AU"/>
        </w:rPr>
        <w:t xml:space="preserve">Beclometasone dipropionate: The potential carcinogenicity of beclometasone dipropionate has not been adequately investigated in animal studies. Other glucocorticoids (budesonide, prednisolone and triamcinolone acetate) have been shown to increase the incidence of hepatocellular tumours in rats by a non-genotoxic mechanism. </w:t>
      </w:r>
    </w:p>
    <w:p w14:paraId="0E37F036" w14:textId="77777777" w:rsidR="008B4CAC" w:rsidRPr="00674057" w:rsidRDefault="008B4CAC" w:rsidP="004B1DF7">
      <w:pPr>
        <w:pStyle w:val="NoSpacing"/>
        <w:ind w:left="360"/>
        <w:rPr>
          <w:sz w:val="24"/>
          <w:szCs w:val="24"/>
          <w:lang w:val="en-AU"/>
        </w:rPr>
      </w:pPr>
    </w:p>
    <w:p w14:paraId="10AFF8CE" w14:textId="391A3B4D" w:rsidR="008B4CAC" w:rsidRPr="00674057" w:rsidRDefault="008B4CAC" w:rsidP="004B1DF7">
      <w:pPr>
        <w:pStyle w:val="NoSpacing"/>
        <w:ind w:left="360"/>
        <w:rPr>
          <w:sz w:val="24"/>
          <w:szCs w:val="24"/>
          <w:lang w:val="en-AU"/>
        </w:rPr>
      </w:pPr>
      <w:r w:rsidRPr="00674057">
        <w:rPr>
          <w:sz w:val="24"/>
          <w:szCs w:val="24"/>
          <w:lang w:val="en-AU"/>
        </w:rPr>
        <w:t>Formoterol fumarate: In 2-year studies in mice and rats, treatment with formoterol fumarate, given via the diet or drinking water at very high doses, was associated with increases in several tumour types. In mice, these included hepatocellular adenoma and carcinomas (</w:t>
      </w:r>
      <w:r w:rsidR="004E5D2B">
        <w:rPr>
          <w:noProof/>
          <w:sz w:val="24"/>
          <w:szCs w:val="24"/>
          <w:lang w:val="en-AU"/>
        </w:rPr>
        <w:sym w:font="Symbol" w:char="F0B3"/>
      </w:r>
      <w:r w:rsidRPr="00674057">
        <w:rPr>
          <w:sz w:val="24"/>
          <w:szCs w:val="24"/>
          <w:lang w:val="en-AU"/>
        </w:rPr>
        <w:t>2 mg/kg/day), leiomyomas and leiomyosarcomas in the female reproductive tract (</w:t>
      </w:r>
      <w:r w:rsidR="004E5D2B">
        <w:rPr>
          <w:noProof/>
          <w:sz w:val="24"/>
          <w:szCs w:val="24"/>
          <w:lang w:val="en-AU"/>
        </w:rPr>
        <w:sym w:font="Symbol" w:char="F0B3"/>
      </w:r>
      <w:r w:rsidRPr="00674057">
        <w:rPr>
          <w:sz w:val="24"/>
          <w:szCs w:val="24"/>
          <w:lang w:val="en-AU"/>
        </w:rPr>
        <w:t>2 mg/kg/day) and adrenal subcapsular cell tumours (</w:t>
      </w:r>
      <w:r w:rsidR="004E5D2B">
        <w:rPr>
          <w:noProof/>
          <w:sz w:val="24"/>
          <w:szCs w:val="24"/>
          <w:lang w:val="en-AU"/>
        </w:rPr>
        <w:sym w:font="Symbol" w:char="F0B3"/>
      </w:r>
      <w:r w:rsidRPr="00674057">
        <w:rPr>
          <w:sz w:val="24"/>
          <w:szCs w:val="24"/>
          <w:lang w:val="en-AU"/>
        </w:rPr>
        <w:t>66 mg/kg/day). In rats, treatment was associated with benign granulosa/theca cell tumours in the ovaries (</w:t>
      </w:r>
      <w:r w:rsidR="004E5D2B">
        <w:rPr>
          <w:noProof/>
          <w:sz w:val="24"/>
          <w:szCs w:val="24"/>
          <w:lang w:val="en-AU"/>
        </w:rPr>
        <w:sym w:font="Symbol" w:char="F0B3"/>
      </w:r>
      <w:r w:rsidRPr="00674057">
        <w:rPr>
          <w:sz w:val="24"/>
          <w:szCs w:val="24"/>
          <w:lang w:val="en-AU"/>
        </w:rPr>
        <w:t xml:space="preserve">0.5 mg/kg/day), </w:t>
      </w:r>
      <w:proofErr w:type="spellStart"/>
      <w:r w:rsidRPr="00674057">
        <w:rPr>
          <w:sz w:val="24"/>
          <w:szCs w:val="24"/>
          <w:lang w:val="en-AU"/>
        </w:rPr>
        <w:t>mesovarian</w:t>
      </w:r>
      <w:proofErr w:type="spellEnd"/>
      <w:r w:rsidRPr="00674057">
        <w:rPr>
          <w:sz w:val="24"/>
          <w:szCs w:val="24"/>
          <w:lang w:val="en-AU"/>
        </w:rPr>
        <w:t xml:space="preserve"> </w:t>
      </w:r>
      <w:proofErr w:type="spellStart"/>
      <w:r w:rsidRPr="00674057">
        <w:rPr>
          <w:sz w:val="24"/>
          <w:szCs w:val="24"/>
          <w:lang w:val="en-AU"/>
        </w:rPr>
        <w:t>leiomyomas</w:t>
      </w:r>
      <w:proofErr w:type="spellEnd"/>
      <w:r w:rsidRPr="00674057">
        <w:rPr>
          <w:sz w:val="24"/>
          <w:szCs w:val="24"/>
          <w:lang w:val="en-AU"/>
        </w:rPr>
        <w:t xml:space="preserve"> (</w:t>
      </w:r>
      <w:r w:rsidR="004E5D2B">
        <w:rPr>
          <w:noProof/>
          <w:sz w:val="24"/>
          <w:szCs w:val="24"/>
          <w:lang w:val="en-AU"/>
        </w:rPr>
        <w:sym w:font="Symbol" w:char="F0B3"/>
      </w:r>
      <w:r w:rsidRPr="00674057">
        <w:rPr>
          <w:sz w:val="24"/>
          <w:szCs w:val="24"/>
          <w:lang w:val="en-AU"/>
        </w:rPr>
        <w:t>18 mg/kg/day), mammary adenocarcinomas (</w:t>
      </w:r>
      <w:r w:rsidR="004E5D2B">
        <w:rPr>
          <w:noProof/>
          <w:sz w:val="24"/>
          <w:szCs w:val="24"/>
          <w:lang w:val="en-AU"/>
        </w:rPr>
        <w:sym w:font="Symbol" w:char="F0B3"/>
      </w:r>
      <w:r w:rsidRPr="00674057">
        <w:rPr>
          <w:sz w:val="24"/>
          <w:szCs w:val="24"/>
          <w:lang w:val="en-AU"/>
        </w:rPr>
        <w:t xml:space="preserve">36 mg/kg/day) and thyroid C-cell neoplasms (46 mg/kg/day). A </w:t>
      </w:r>
      <w:proofErr w:type="spellStart"/>
      <w:r w:rsidRPr="00674057">
        <w:rPr>
          <w:sz w:val="24"/>
          <w:szCs w:val="24"/>
          <w:lang w:val="en-AU"/>
        </w:rPr>
        <w:t>mesovarian</w:t>
      </w:r>
      <w:proofErr w:type="spellEnd"/>
      <w:r w:rsidRPr="00674057">
        <w:rPr>
          <w:sz w:val="24"/>
          <w:szCs w:val="24"/>
          <w:lang w:val="en-AU"/>
        </w:rPr>
        <w:t xml:space="preserve"> leiomyoma was also observed in a female rat dosed by inhalation at 130 μg/kg/day for two years (almost 60 times the maximum recommended human dose for TRIMBOW, adjusted for body surface area). Mammary adenocarcinomas, smooth muscle tumours in the female reproductive tract and effects on the ovary have been reported in rats and mice treated with other β2-adrenergic agonists and are likely to be secondary to prolonged stimulation of β2-adrenoceptors in these tissues. </w:t>
      </w:r>
    </w:p>
    <w:p w14:paraId="7D61D62A" w14:textId="77777777" w:rsidR="008B4CAC" w:rsidRPr="00674057" w:rsidRDefault="008B4CAC" w:rsidP="004B1DF7">
      <w:pPr>
        <w:pStyle w:val="NoSpacing"/>
        <w:ind w:left="360"/>
        <w:rPr>
          <w:sz w:val="24"/>
          <w:szCs w:val="24"/>
          <w:lang w:val="en-AU"/>
        </w:rPr>
      </w:pPr>
    </w:p>
    <w:p w14:paraId="6998D534" w14:textId="49E8A72A" w:rsidR="008B4CAC" w:rsidRPr="00F0251C" w:rsidRDefault="008B4CAC" w:rsidP="004B1DF7">
      <w:pPr>
        <w:pStyle w:val="NoSpacing"/>
        <w:ind w:left="360"/>
        <w:rPr>
          <w:sz w:val="24"/>
          <w:szCs w:val="24"/>
          <w:lang w:val="en-AU"/>
        </w:rPr>
      </w:pPr>
      <w:r w:rsidRPr="00674057">
        <w:rPr>
          <w:sz w:val="24"/>
          <w:szCs w:val="24"/>
          <w:lang w:val="en-AU"/>
        </w:rPr>
        <w:t>Glycopyrronium bromide: No carcinogenic activity was observed for glycopyrronium bromide in a 26-week oral study in transgenic (rasH2) mice and a 2-year inhalational study in rats. The highest dose levels employed (150 mg/kg/day in mice and 447 μg/kg/day in rats) yielded systemic exposure (plasma AUC) levels to glycopyrronium approximately 70–320 times higher in mice and 140 times higher in rats than in humans at the maximum recommended clinical dose of TRIMBOW.”</w:t>
      </w:r>
    </w:p>
    <w:p w14:paraId="0E71A147" w14:textId="77777777" w:rsidR="006769FE" w:rsidRPr="00F0251C" w:rsidRDefault="006769FE" w:rsidP="004B1DF7">
      <w:pPr>
        <w:pStyle w:val="NoSpacing"/>
        <w:ind w:left="360"/>
        <w:rPr>
          <w:strike/>
          <w:noProof/>
          <w:sz w:val="24"/>
          <w:szCs w:val="24"/>
          <w:lang w:val="en-AU"/>
        </w:rPr>
      </w:pPr>
    </w:p>
    <w:p w14:paraId="2AE852CC" w14:textId="7EEA07DE" w:rsidR="000C49CD" w:rsidRPr="00F0251C" w:rsidRDefault="000C49CD" w:rsidP="000D1FB0">
      <w:pPr>
        <w:pStyle w:val="Heading1"/>
        <w:numPr>
          <w:ilvl w:val="0"/>
          <w:numId w:val="6"/>
        </w:numPr>
        <w:rPr>
          <w:rFonts w:ascii="Times New Roman" w:hAnsi="Times New Roman"/>
          <w:noProof/>
          <w:sz w:val="24"/>
          <w:szCs w:val="24"/>
          <w:lang w:val="en-AU"/>
        </w:rPr>
      </w:pPr>
      <w:r w:rsidRPr="00F0251C">
        <w:rPr>
          <w:rFonts w:ascii="Times New Roman" w:hAnsi="Times New Roman"/>
          <w:noProof/>
          <w:sz w:val="24"/>
          <w:szCs w:val="24"/>
          <w:lang w:val="en-AU"/>
        </w:rPr>
        <w:t>PHARMACEUTICAL PARTICULARS</w:t>
      </w:r>
    </w:p>
    <w:p w14:paraId="0E8E481B" w14:textId="77777777" w:rsidR="008F7A50" w:rsidRPr="006A391D" w:rsidRDefault="008F7A50" w:rsidP="006A391D">
      <w:pPr>
        <w:pStyle w:val="NoSpacing"/>
        <w:ind w:left="360"/>
        <w:rPr>
          <w:noProof/>
          <w:sz w:val="24"/>
          <w:szCs w:val="24"/>
          <w:lang w:val="en-AU"/>
        </w:rPr>
      </w:pPr>
      <w:bookmarkStart w:id="16" w:name="_6.1_LIST_OF"/>
      <w:bookmarkEnd w:id="16"/>
    </w:p>
    <w:p w14:paraId="2DBD258A" w14:textId="619E3CC5" w:rsidR="000C49CD" w:rsidRPr="00F0251C" w:rsidRDefault="003649D5" w:rsidP="001E27D5">
      <w:pPr>
        <w:pStyle w:val="Heading2"/>
        <w:jc w:val="left"/>
        <w:rPr>
          <w:noProof/>
          <w:sz w:val="24"/>
          <w:szCs w:val="24"/>
          <w:lang w:val="en-AU"/>
        </w:rPr>
      </w:pPr>
      <w:r w:rsidRPr="00F0251C">
        <w:rPr>
          <w:smallCaps/>
          <w:noProof/>
          <w:sz w:val="24"/>
          <w:szCs w:val="24"/>
          <w:lang w:val="en-AU"/>
        </w:rPr>
        <w:t>6.1</w:t>
      </w:r>
      <w:r w:rsidR="004B1DF7" w:rsidRPr="00F0251C">
        <w:rPr>
          <w:smallCaps/>
          <w:noProof/>
          <w:sz w:val="24"/>
          <w:szCs w:val="24"/>
          <w:lang w:val="en-AU"/>
        </w:rPr>
        <w:t xml:space="preserve"> </w:t>
      </w:r>
      <w:r w:rsidRPr="00F0251C">
        <w:rPr>
          <w:noProof/>
          <w:sz w:val="24"/>
          <w:szCs w:val="24"/>
          <w:lang w:val="en-AU"/>
        </w:rPr>
        <w:t>LIST OF EXCIPIENTS</w:t>
      </w:r>
    </w:p>
    <w:p w14:paraId="0ACE7026" w14:textId="1C23C0D7" w:rsidR="006769FE" w:rsidRPr="00F0251C" w:rsidRDefault="006769FE" w:rsidP="006769FE">
      <w:pPr>
        <w:pStyle w:val="NoSpacing"/>
        <w:ind w:left="360"/>
        <w:rPr>
          <w:noProof/>
          <w:sz w:val="24"/>
          <w:szCs w:val="24"/>
          <w:lang w:val="en-AU"/>
        </w:rPr>
      </w:pPr>
      <w:r w:rsidRPr="00F0251C">
        <w:rPr>
          <w:noProof/>
          <w:sz w:val="24"/>
          <w:szCs w:val="24"/>
          <w:lang w:val="en-AU"/>
        </w:rPr>
        <w:t xml:space="preserve">Ethanol </w:t>
      </w:r>
      <w:r w:rsidR="00D84E2F" w:rsidRPr="00F0251C">
        <w:rPr>
          <w:noProof/>
          <w:sz w:val="24"/>
          <w:szCs w:val="24"/>
          <w:lang w:val="en-AU"/>
        </w:rPr>
        <w:t>absolute</w:t>
      </w:r>
    </w:p>
    <w:p w14:paraId="2CB109AB" w14:textId="77777777" w:rsidR="006769FE" w:rsidRPr="00F0251C" w:rsidRDefault="006769FE" w:rsidP="006769FE">
      <w:pPr>
        <w:pStyle w:val="NoSpacing"/>
        <w:ind w:left="360"/>
        <w:rPr>
          <w:noProof/>
          <w:sz w:val="24"/>
          <w:szCs w:val="24"/>
          <w:lang w:val="en-AU"/>
        </w:rPr>
      </w:pPr>
      <w:r w:rsidRPr="00F0251C">
        <w:rPr>
          <w:noProof/>
          <w:sz w:val="24"/>
          <w:szCs w:val="24"/>
          <w:lang w:val="en-AU"/>
        </w:rPr>
        <w:t>Hydrochloric acid</w:t>
      </w:r>
    </w:p>
    <w:p w14:paraId="6CC9E146" w14:textId="2DAA4D5B" w:rsidR="000C49CD" w:rsidRPr="00F0251C" w:rsidRDefault="006769FE" w:rsidP="006769FE">
      <w:pPr>
        <w:pStyle w:val="NoSpacing"/>
        <w:ind w:left="360"/>
        <w:rPr>
          <w:noProof/>
          <w:sz w:val="24"/>
          <w:szCs w:val="24"/>
          <w:lang w:val="en-AU"/>
        </w:rPr>
      </w:pPr>
      <w:r w:rsidRPr="00F0251C">
        <w:rPr>
          <w:noProof/>
          <w:sz w:val="24"/>
          <w:szCs w:val="24"/>
          <w:lang w:val="en-AU"/>
        </w:rPr>
        <w:lastRenderedPageBreak/>
        <w:t>Norflurane (propellant)</w:t>
      </w:r>
    </w:p>
    <w:p w14:paraId="79665693" w14:textId="77777777" w:rsidR="006769FE" w:rsidRPr="00F0251C" w:rsidRDefault="006769FE" w:rsidP="006769FE">
      <w:pPr>
        <w:pStyle w:val="NoSpacing"/>
        <w:ind w:left="360"/>
        <w:rPr>
          <w:noProof/>
          <w:sz w:val="24"/>
          <w:szCs w:val="24"/>
          <w:lang w:val="en-AU"/>
        </w:rPr>
      </w:pPr>
    </w:p>
    <w:p w14:paraId="17D41E76" w14:textId="57ABE23E" w:rsidR="000C49CD" w:rsidRPr="00F0251C" w:rsidRDefault="003649D5" w:rsidP="001E27D5">
      <w:pPr>
        <w:pStyle w:val="Heading2"/>
        <w:jc w:val="left"/>
        <w:rPr>
          <w:noProof/>
          <w:sz w:val="24"/>
          <w:szCs w:val="24"/>
          <w:lang w:val="en-AU"/>
        </w:rPr>
      </w:pPr>
      <w:r w:rsidRPr="00F0251C">
        <w:rPr>
          <w:smallCaps/>
          <w:noProof/>
          <w:sz w:val="24"/>
          <w:szCs w:val="24"/>
          <w:lang w:val="en-AU"/>
        </w:rPr>
        <w:t>6.2</w:t>
      </w:r>
      <w:r w:rsidR="004B1DF7" w:rsidRPr="00F0251C">
        <w:rPr>
          <w:smallCaps/>
          <w:noProof/>
          <w:sz w:val="24"/>
          <w:szCs w:val="24"/>
          <w:lang w:val="en-AU"/>
        </w:rPr>
        <w:t xml:space="preserve"> </w:t>
      </w:r>
      <w:r w:rsidRPr="00F0251C">
        <w:rPr>
          <w:noProof/>
          <w:sz w:val="24"/>
          <w:szCs w:val="24"/>
          <w:lang w:val="en-AU"/>
        </w:rPr>
        <w:t>INCOMPATIBILITIES</w:t>
      </w:r>
    </w:p>
    <w:p w14:paraId="3FA15B3A" w14:textId="77777777" w:rsidR="000C49CD" w:rsidRPr="00F0251C" w:rsidRDefault="000C49CD" w:rsidP="007F3CAD">
      <w:pPr>
        <w:pStyle w:val="NoSpacing"/>
        <w:ind w:left="360"/>
        <w:rPr>
          <w:noProof/>
          <w:sz w:val="24"/>
          <w:szCs w:val="24"/>
          <w:lang w:val="en-AU"/>
        </w:rPr>
      </w:pPr>
      <w:r w:rsidRPr="00F0251C">
        <w:rPr>
          <w:noProof/>
          <w:sz w:val="24"/>
          <w:szCs w:val="24"/>
          <w:lang w:val="en-AU"/>
        </w:rPr>
        <w:t>Not applicable.</w:t>
      </w:r>
    </w:p>
    <w:p w14:paraId="2C35890D" w14:textId="77777777" w:rsidR="000C49CD" w:rsidRPr="00F0251C" w:rsidRDefault="000C49CD" w:rsidP="007F3CAD">
      <w:pPr>
        <w:pStyle w:val="NoSpacing"/>
        <w:ind w:left="360"/>
        <w:rPr>
          <w:noProof/>
          <w:sz w:val="24"/>
          <w:szCs w:val="24"/>
          <w:lang w:val="en-AU"/>
        </w:rPr>
      </w:pPr>
    </w:p>
    <w:p w14:paraId="1CD78E6B" w14:textId="77777777" w:rsidR="000C49CD" w:rsidRPr="00F0251C" w:rsidRDefault="003649D5" w:rsidP="001E27D5">
      <w:pPr>
        <w:pStyle w:val="Heading2"/>
        <w:jc w:val="left"/>
        <w:rPr>
          <w:noProof/>
          <w:sz w:val="24"/>
          <w:szCs w:val="24"/>
          <w:lang w:val="en-AU"/>
        </w:rPr>
      </w:pPr>
      <w:r w:rsidRPr="00F0251C">
        <w:rPr>
          <w:smallCaps/>
          <w:noProof/>
          <w:sz w:val="24"/>
          <w:szCs w:val="24"/>
          <w:lang w:val="en-AU"/>
        </w:rPr>
        <w:t>6.3</w:t>
      </w:r>
      <w:r w:rsidR="004B1DF7" w:rsidRPr="00F0251C">
        <w:rPr>
          <w:smallCaps/>
          <w:noProof/>
          <w:sz w:val="24"/>
          <w:szCs w:val="24"/>
          <w:lang w:val="en-AU"/>
        </w:rPr>
        <w:t xml:space="preserve"> </w:t>
      </w:r>
      <w:r w:rsidRPr="00F0251C">
        <w:rPr>
          <w:noProof/>
          <w:sz w:val="24"/>
          <w:szCs w:val="24"/>
          <w:lang w:val="en-AU"/>
        </w:rPr>
        <w:t>SHELF LIFE</w:t>
      </w:r>
    </w:p>
    <w:p w14:paraId="403DE732" w14:textId="70B73A90" w:rsidR="00FC531F" w:rsidRPr="00796DFB" w:rsidRDefault="0077355B" w:rsidP="007F3CAD">
      <w:pPr>
        <w:pStyle w:val="NoSpacing"/>
        <w:ind w:left="360"/>
        <w:rPr>
          <w:noProof/>
          <w:sz w:val="24"/>
          <w:szCs w:val="24"/>
          <w:lang w:val="en-AU"/>
        </w:rPr>
      </w:pPr>
      <w:r w:rsidRPr="00796DFB">
        <w:rPr>
          <w:noProof/>
          <w:sz w:val="24"/>
          <w:szCs w:val="24"/>
          <w:lang w:val="en-AU"/>
        </w:rPr>
        <w:t>In Australia, information on the shelf life can be found on the public summary of the Australian Register of Therapeutic Goods (ARTG). The expiry date can be found on the packaging.</w:t>
      </w:r>
    </w:p>
    <w:p w14:paraId="746FC787" w14:textId="77777777" w:rsidR="00C66EB5" w:rsidRPr="00F0251C" w:rsidRDefault="00C66EB5" w:rsidP="00FC531F">
      <w:pPr>
        <w:pStyle w:val="NoSpacing"/>
        <w:rPr>
          <w:noProof/>
          <w:sz w:val="24"/>
          <w:szCs w:val="24"/>
          <w:lang w:val="en-AU"/>
        </w:rPr>
      </w:pPr>
    </w:p>
    <w:p w14:paraId="7F466AE5" w14:textId="77777777" w:rsidR="000C49CD" w:rsidRPr="00F0251C" w:rsidRDefault="003649D5" w:rsidP="001E27D5">
      <w:pPr>
        <w:pStyle w:val="Heading2"/>
        <w:jc w:val="left"/>
        <w:rPr>
          <w:noProof/>
          <w:sz w:val="24"/>
          <w:szCs w:val="24"/>
          <w:lang w:val="en-AU"/>
        </w:rPr>
      </w:pPr>
      <w:r w:rsidRPr="00F0251C">
        <w:rPr>
          <w:smallCaps/>
          <w:noProof/>
          <w:sz w:val="24"/>
          <w:szCs w:val="24"/>
          <w:lang w:val="en-AU"/>
        </w:rPr>
        <w:t>6.4</w:t>
      </w:r>
      <w:r w:rsidR="004B1DF7" w:rsidRPr="00F0251C">
        <w:rPr>
          <w:smallCaps/>
          <w:noProof/>
          <w:sz w:val="24"/>
          <w:szCs w:val="24"/>
          <w:lang w:val="en-AU"/>
        </w:rPr>
        <w:t xml:space="preserve"> </w:t>
      </w:r>
      <w:r w:rsidRPr="00F0251C">
        <w:rPr>
          <w:noProof/>
          <w:sz w:val="24"/>
          <w:szCs w:val="24"/>
          <w:lang w:val="en-AU"/>
        </w:rPr>
        <w:t>SPECIAL PRECAUTIONS FOR STORAGE</w:t>
      </w:r>
    </w:p>
    <w:p w14:paraId="4B7FBFE9" w14:textId="6DF5DAC0" w:rsidR="000C49CD" w:rsidRPr="00F0251C" w:rsidRDefault="000C49CD" w:rsidP="007F3CAD">
      <w:pPr>
        <w:pStyle w:val="NoSpacing"/>
        <w:ind w:left="360"/>
        <w:rPr>
          <w:noProof/>
          <w:sz w:val="24"/>
          <w:szCs w:val="24"/>
          <w:lang w:val="en-AU"/>
        </w:rPr>
      </w:pPr>
      <w:r w:rsidRPr="00F0251C">
        <w:rPr>
          <w:noProof/>
          <w:sz w:val="24"/>
          <w:szCs w:val="24"/>
          <w:u w:val="single"/>
          <w:lang w:val="en-AU"/>
        </w:rPr>
        <w:t>Prior to dispensing</w:t>
      </w:r>
      <w:r w:rsidRPr="00F0251C">
        <w:rPr>
          <w:noProof/>
          <w:sz w:val="24"/>
          <w:szCs w:val="24"/>
          <w:lang w:val="en-AU"/>
        </w:rPr>
        <w:t>:</w:t>
      </w:r>
    </w:p>
    <w:p w14:paraId="7EF23D0F" w14:textId="4B7BAE57" w:rsidR="000C49CD" w:rsidRPr="00F0251C" w:rsidRDefault="000C49CD" w:rsidP="007F3CAD">
      <w:pPr>
        <w:pStyle w:val="NoSpacing"/>
        <w:ind w:left="360"/>
        <w:rPr>
          <w:noProof/>
          <w:sz w:val="24"/>
          <w:szCs w:val="24"/>
          <w:lang w:val="en-AU"/>
        </w:rPr>
      </w:pPr>
      <w:r w:rsidRPr="00F0251C">
        <w:rPr>
          <w:noProof/>
          <w:sz w:val="24"/>
          <w:szCs w:val="24"/>
          <w:lang w:val="en-AU"/>
        </w:rPr>
        <w:t xml:space="preserve">Store </w:t>
      </w:r>
      <w:r w:rsidR="009F0317" w:rsidRPr="00F0251C">
        <w:rPr>
          <w:noProof/>
          <w:sz w:val="24"/>
          <w:szCs w:val="24"/>
          <w:lang w:val="en-AU"/>
        </w:rPr>
        <w:t>in a refrigerator (</w:t>
      </w:r>
      <w:r w:rsidRPr="00F0251C">
        <w:rPr>
          <w:noProof/>
          <w:sz w:val="24"/>
          <w:szCs w:val="24"/>
          <w:lang w:val="en-AU"/>
        </w:rPr>
        <w:t>2-8°C</w:t>
      </w:r>
      <w:r w:rsidR="009F0317" w:rsidRPr="00F0251C">
        <w:rPr>
          <w:noProof/>
          <w:sz w:val="24"/>
          <w:szCs w:val="24"/>
          <w:lang w:val="en-AU"/>
        </w:rPr>
        <w:t>)</w:t>
      </w:r>
      <w:r w:rsidR="0077355B">
        <w:rPr>
          <w:noProof/>
          <w:sz w:val="24"/>
          <w:szCs w:val="24"/>
          <w:lang w:val="en-AU"/>
        </w:rPr>
        <w:t xml:space="preserve"> for a maximum of 18 months</w:t>
      </w:r>
      <w:r w:rsidRPr="00F0251C">
        <w:rPr>
          <w:noProof/>
          <w:sz w:val="24"/>
          <w:szCs w:val="24"/>
          <w:lang w:val="en-AU"/>
        </w:rPr>
        <w:t>.</w:t>
      </w:r>
      <w:r w:rsidR="00055327">
        <w:rPr>
          <w:noProof/>
          <w:sz w:val="24"/>
          <w:szCs w:val="24"/>
          <w:lang w:val="en-AU"/>
        </w:rPr>
        <w:t xml:space="preserve"> Do Not Freeze.</w:t>
      </w:r>
    </w:p>
    <w:p w14:paraId="56970E84" w14:textId="77777777" w:rsidR="00796DFB" w:rsidRPr="00F0251C" w:rsidRDefault="00796DFB" w:rsidP="007F3CAD">
      <w:pPr>
        <w:pStyle w:val="NoSpacing"/>
        <w:ind w:left="360"/>
        <w:rPr>
          <w:noProof/>
          <w:sz w:val="24"/>
          <w:szCs w:val="24"/>
          <w:lang w:val="en-AU"/>
        </w:rPr>
      </w:pPr>
    </w:p>
    <w:p w14:paraId="39D739E5" w14:textId="77777777" w:rsidR="000C49CD" w:rsidRPr="00F0251C" w:rsidRDefault="000C49CD" w:rsidP="007F3CAD">
      <w:pPr>
        <w:pStyle w:val="NoSpacing"/>
        <w:ind w:left="360"/>
        <w:rPr>
          <w:noProof/>
          <w:sz w:val="24"/>
          <w:szCs w:val="24"/>
          <w:u w:val="single"/>
          <w:lang w:val="en-AU"/>
        </w:rPr>
      </w:pPr>
      <w:r w:rsidRPr="00F0251C">
        <w:rPr>
          <w:noProof/>
          <w:sz w:val="24"/>
          <w:szCs w:val="24"/>
          <w:u w:val="single"/>
          <w:lang w:val="en-AU"/>
        </w:rPr>
        <w:t>After dispensing:</w:t>
      </w:r>
    </w:p>
    <w:p w14:paraId="10D4DB2A" w14:textId="5248E147" w:rsidR="000C49CD" w:rsidRPr="00F0251C" w:rsidRDefault="003649D5" w:rsidP="007F3CAD">
      <w:pPr>
        <w:pStyle w:val="NoSpacing"/>
        <w:ind w:left="360"/>
        <w:rPr>
          <w:noProof/>
          <w:sz w:val="24"/>
          <w:szCs w:val="24"/>
          <w:lang w:val="en-AU"/>
        </w:rPr>
      </w:pPr>
      <w:r w:rsidRPr="00F0251C">
        <w:rPr>
          <w:noProof/>
          <w:sz w:val="24"/>
          <w:szCs w:val="24"/>
          <w:lang w:val="en-AU"/>
        </w:rPr>
        <w:t>S</w:t>
      </w:r>
      <w:r w:rsidR="000C49CD" w:rsidRPr="00F0251C">
        <w:rPr>
          <w:noProof/>
          <w:sz w:val="24"/>
          <w:szCs w:val="24"/>
          <w:lang w:val="en-AU"/>
        </w:rPr>
        <w:t xml:space="preserve">tore </w:t>
      </w:r>
      <w:r w:rsidRPr="00F0251C">
        <w:rPr>
          <w:noProof/>
          <w:sz w:val="24"/>
          <w:szCs w:val="24"/>
          <w:lang w:val="en-AU"/>
        </w:rPr>
        <w:t>below</w:t>
      </w:r>
      <w:r w:rsidR="000C49CD" w:rsidRPr="00F0251C">
        <w:rPr>
          <w:noProof/>
          <w:sz w:val="24"/>
          <w:szCs w:val="24"/>
          <w:lang w:val="en-AU"/>
        </w:rPr>
        <w:t xml:space="preserve"> </w:t>
      </w:r>
      <w:r w:rsidR="00055327">
        <w:rPr>
          <w:noProof/>
          <w:sz w:val="24"/>
          <w:szCs w:val="24"/>
          <w:lang w:val="en-AU"/>
        </w:rPr>
        <w:t>30</w:t>
      </w:r>
      <w:r w:rsidR="000C49CD" w:rsidRPr="00F0251C">
        <w:rPr>
          <w:noProof/>
          <w:sz w:val="24"/>
          <w:szCs w:val="24"/>
          <w:lang w:val="en-AU"/>
        </w:rPr>
        <w:t xml:space="preserve">°C (for a maximum of </w:t>
      </w:r>
      <w:r w:rsidR="00933FF6">
        <w:rPr>
          <w:noProof/>
          <w:sz w:val="24"/>
          <w:szCs w:val="24"/>
          <w:lang w:val="en-AU"/>
        </w:rPr>
        <w:t>2</w:t>
      </w:r>
      <w:r w:rsidR="00CC4420" w:rsidRPr="00F0251C">
        <w:rPr>
          <w:noProof/>
          <w:sz w:val="24"/>
          <w:szCs w:val="24"/>
          <w:lang w:val="en-AU"/>
        </w:rPr>
        <w:t xml:space="preserve"> </w:t>
      </w:r>
      <w:r w:rsidR="000C49CD" w:rsidRPr="00F0251C">
        <w:rPr>
          <w:noProof/>
          <w:sz w:val="24"/>
          <w:szCs w:val="24"/>
          <w:lang w:val="en-AU"/>
        </w:rPr>
        <w:t>months).</w:t>
      </w:r>
    </w:p>
    <w:p w14:paraId="29937E94" w14:textId="77777777" w:rsidR="000C49CD" w:rsidRPr="00F0251C" w:rsidRDefault="000C49CD" w:rsidP="00FC531F">
      <w:pPr>
        <w:pStyle w:val="NoSpacing"/>
        <w:rPr>
          <w:noProof/>
          <w:sz w:val="24"/>
          <w:szCs w:val="24"/>
          <w:lang w:val="en-AU"/>
        </w:rPr>
      </w:pPr>
    </w:p>
    <w:p w14:paraId="1A6BBE3F" w14:textId="77777777" w:rsidR="000C49CD" w:rsidRPr="00F0251C" w:rsidRDefault="003649D5" w:rsidP="001E27D5">
      <w:pPr>
        <w:pStyle w:val="Heading2"/>
        <w:jc w:val="left"/>
        <w:rPr>
          <w:noProof/>
          <w:sz w:val="24"/>
          <w:szCs w:val="24"/>
          <w:lang w:val="en-AU"/>
        </w:rPr>
      </w:pPr>
      <w:r w:rsidRPr="00F0251C">
        <w:rPr>
          <w:smallCaps/>
          <w:noProof/>
          <w:sz w:val="24"/>
          <w:szCs w:val="24"/>
          <w:lang w:val="en-AU"/>
        </w:rPr>
        <w:t>6.5</w:t>
      </w:r>
      <w:r w:rsidR="004B1DF7" w:rsidRPr="00F0251C">
        <w:rPr>
          <w:smallCaps/>
          <w:noProof/>
          <w:sz w:val="24"/>
          <w:szCs w:val="24"/>
          <w:lang w:val="en-AU"/>
        </w:rPr>
        <w:t xml:space="preserve"> </w:t>
      </w:r>
      <w:r w:rsidRPr="00F0251C">
        <w:rPr>
          <w:noProof/>
          <w:sz w:val="24"/>
          <w:szCs w:val="24"/>
          <w:lang w:val="en-AU"/>
        </w:rPr>
        <w:t>NATURE AND CONTENTS OF CONTAINER</w:t>
      </w:r>
    </w:p>
    <w:p w14:paraId="644D445A" w14:textId="290C4F2F" w:rsidR="00FC531F" w:rsidRPr="00F0251C" w:rsidRDefault="00FC531F" w:rsidP="00FC531F">
      <w:pPr>
        <w:pStyle w:val="NoSpacing"/>
        <w:ind w:left="360"/>
        <w:rPr>
          <w:noProof/>
          <w:sz w:val="24"/>
          <w:szCs w:val="24"/>
          <w:lang w:val="en-AU"/>
        </w:rPr>
      </w:pPr>
      <w:r w:rsidRPr="00F0251C">
        <w:rPr>
          <w:noProof/>
          <w:sz w:val="24"/>
          <w:szCs w:val="24"/>
          <w:lang w:val="en-AU"/>
        </w:rPr>
        <w:t>Pressurised container (coated aluminium), with a metering valve. The pressurised container is inserted in a polypropylene inhaler which incorporates a mouthpiece and a dose counter (120 actuations per pressurised container) and is provided with a polypropylene mouthpiece cap.</w:t>
      </w:r>
    </w:p>
    <w:p w14:paraId="4A869EFD" w14:textId="77777777" w:rsidR="00A467CD" w:rsidRPr="00F0251C" w:rsidRDefault="00A467CD" w:rsidP="00FC531F">
      <w:pPr>
        <w:pStyle w:val="NoSpacing"/>
        <w:ind w:left="360"/>
        <w:rPr>
          <w:noProof/>
          <w:sz w:val="24"/>
          <w:szCs w:val="24"/>
          <w:lang w:val="en-AU"/>
        </w:rPr>
      </w:pPr>
    </w:p>
    <w:p w14:paraId="298E1E10" w14:textId="77777777" w:rsidR="004C70FA" w:rsidRPr="00F0251C" w:rsidRDefault="000C49CD" w:rsidP="00F057AC">
      <w:pPr>
        <w:pStyle w:val="NoSpacing"/>
        <w:ind w:left="360"/>
        <w:rPr>
          <w:noProof/>
          <w:sz w:val="24"/>
          <w:szCs w:val="24"/>
          <w:lang w:val="en-AU"/>
        </w:rPr>
      </w:pPr>
      <w:r w:rsidRPr="00F0251C">
        <w:rPr>
          <w:noProof/>
          <w:sz w:val="24"/>
          <w:szCs w:val="24"/>
          <w:lang w:val="en-AU"/>
        </w:rPr>
        <w:t xml:space="preserve">Each </w:t>
      </w:r>
      <w:r w:rsidR="00D652CD" w:rsidRPr="00F0251C">
        <w:rPr>
          <w:noProof/>
          <w:sz w:val="24"/>
          <w:szCs w:val="24"/>
          <w:lang w:val="en-AU"/>
        </w:rPr>
        <w:t>pack contains</w:t>
      </w:r>
      <w:r w:rsidR="00F057AC" w:rsidRPr="00F0251C">
        <w:rPr>
          <w:noProof/>
          <w:sz w:val="24"/>
          <w:szCs w:val="24"/>
          <w:lang w:val="en-AU"/>
        </w:rPr>
        <w:t xml:space="preserve"> one</w:t>
      </w:r>
      <w:r w:rsidR="00D652CD" w:rsidRPr="00F0251C">
        <w:rPr>
          <w:noProof/>
          <w:sz w:val="24"/>
          <w:szCs w:val="24"/>
          <w:lang w:val="en-AU"/>
        </w:rPr>
        <w:t xml:space="preserve"> </w:t>
      </w:r>
      <w:r w:rsidR="0034611E" w:rsidRPr="00F0251C">
        <w:rPr>
          <w:noProof/>
          <w:sz w:val="24"/>
          <w:szCs w:val="24"/>
          <w:lang w:val="en-AU"/>
        </w:rPr>
        <w:t xml:space="preserve">pressurised </w:t>
      </w:r>
      <w:r w:rsidRPr="00F0251C">
        <w:rPr>
          <w:noProof/>
          <w:sz w:val="24"/>
          <w:szCs w:val="24"/>
          <w:lang w:val="en-AU"/>
        </w:rPr>
        <w:t xml:space="preserve">container </w:t>
      </w:r>
      <w:r w:rsidR="00D652CD" w:rsidRPr="00F0251C">
        <w:rPr>
          <w:noProof/>
          <w:sz w:val="24"/>
          <w:szCs w:val="24"/>
          <w:lang w:val="en-AU"/>
        </w:rPr>
        <w:t xml:space="preserve">which </w:t>
      </w:r>
      <w:r w:rsidRPr="00F0251C">
        <w:rPr>
          <w:noProof/>
          <w:sz w:val="24"/>
          <w:szCs w:val="24"/>
          <w:lang w:val="en-AU"/>
        </w:rPr>
        <w:t>provides 120 actuations</w:t>
      </w:r>
      <w:r w:rsidR="00F057AC" w:rsidRPr="00F0251C">
        <w:rPr>
          <w:noProof/>
          <w:sz w:val="24"/>
          <w:szCs w:val="24"/>
          <w:lang w:val="en-AU"/>
        </w:rPr>
        <w:t>.</w:t>
      </w:r>
    </w:p>
    <w:p w14:paraId="4C241099" w14:textId="77777777" w:rsidR="003649D5" w:rsidRPr="00F0251C" w:rsidRDefault="003649D5" w:rsidP="007F3CAD">
      <w:pPr>
        <w:pStyle w:val="NoSpacing"/>
        <w:ind w:left="360"/>
        <w:rPr>
          <w:noProof/>
          <w:sz w:val="24"/>
          <w:szCs w:val="24"/>
          <w:lang w:val="en-AU"/>
        </w:rPr>
      </w:pPr>
    </w:p>
    <w:p w14:paraId="1E9D8DAF" w14:textId="77777777" w:rsidR="000C49CD" w:rsidRPr="00F0251C" w:rsidRDefault="003649D5" w:rsidP="001E27D5">
      <w:pPr>
        <w:pStyle w:val="Heading2"/>
        <w:jc w:val="left"/>
        <w:rPr>
          <w:i/>
          <w:noProof/>
          <w:sz w:val="24"/>
          <w:szCs w:val="24"/>
          <w:u w:val="single"/>
          <w:lang w:val="en-AU"/>
        </w:rPr>
      </w:pPr>
      <w:r w:rsidRPr="00F0251C">
        <w:rPr>
          <w:smallCaps/>
          <w:noProof/>
          <w:sz w:val="24"/>
          <w:szCs w:val="24"/>
          <w:lang w:val="en-AU"/>
        </w:rPr>
        <w:t>6.6</w:t>
      </w:r>
      <w:r w:rsidR="004B1DF7" w:rsidRPr="00F0251C">
        <w:rPr>
          <w:smallCaps/>
          <w:noProof/>
          <w:sz w:val="24"/>
          <w:szCs w:val="24"/>
          <w:lang w:val="en-AU"/>
        </w:rPr>
        <w:t xml:space="preserve"> </w:t>
      </w:r>
      <w:r w:rsidRPr="00F0251C">
        <w:rPr>
          <w:noProof/>
          <w:sz w:val="24"/>
          <w:szCs w:val="24"/>
          <w:lang w:val="en-AU"/>
        </w:rPr>
        <w:t>SPECIAL PRECAUTIONS FOR DISPOSAL</w:t>
      </w:r>
    </w:p>
    <w:p w14:paraId="30143441" w14:textId="21E39B5F" w:rsidR="00FC531F" w:rsidRPr="00F0251C" w:rsidRDefault="00FC531F" w:rsidP="00FC531F">
      <w:pPr>
        <w:pStyle w:val="NoSpacing"/>
        <w:ind w:left="360"/>
        <w:rPr>
          <w:noProof/>
          <w:sz w:val="24"/>
          <w:szCs w:val="24"/>
          <w:u w:val="single"/>
          <w:lang w:val="en-AU"/>
        </w:rPr>
      </w:pPr>
      <w:r w:rsidRPr="00F0251C">
        <w:rPr>
          <w:noProof/>
          <w:sz w:val="24"/>
          <w:szCs w:val="24"/>
          <w:u w:val="single"/>
          <w:lang w:val="en-AU"/>
        </w:rPr>
        <w:t>For pharmacists:</w:t>
      </w:r>
    </w:p>
    <w:p w14:paraId="21A42FBA" w14:textId="77777777" w:rsidR="00D433F5" w:rsidRPr="00F0251C" w:rsidRDefault="00D433F5" w:rsidP="00FC531F">
      <w:pPr>
        <w:pStyle w:val="NoSpacing"/>
        <w:ind w:left="360"/>
        <w:rPr>
          <w:noProof/>
          <w:sz w:val="24"/>
          <w:szCs w:val="24"/>
          <w:lang w:val="en-AU"/>
        </w:rPr>
      </w:pPr>
    </w:p>
    <w:p w14:paraId="138F97C4" w14:textId="3EE99274" w:rsidR="00FC531F" w:rsidRPr="00F0251C" w:rsidRDefault="00FC531F" w:rsidP="00FC531F">
      <w:pPr>
        <w:pStyle w:val="NoSpacing"/>
        <w:ind w:left="360"/>
        <w:rPr>
          <w:noProof/>
          <w:sz w:val="24"/>
          <w:szCs w:val="24"/>
          <w:lang w:val="en-AU"/>
        </w:rPr>
      </w:pPr>
      <w:r w:rsidRPr="00F0251C">
        <w:rPr>
          <w:noProof/>
          <w:sz w:val="24"/>
          <w:szCs w:val="24"/>
          <w:lang w:val="en-AU"/>
        </w:rPr>
        <w:t>Enter the date of dispensing to the patient on the pack.</w:t>
      </w:r>
    </w:p>
    <w:p w14:paraId="6CBC03E6" w14:textId="77777777" w:rsidR="003649D5" w:rsidRPr="00F0251C" w:rsidRDefault="003649D5" w:rsidP="00FC531F">
      <w:pPr>
        <w:pStyle w:val="NoSpacing"/>
        <w:rPr>
          <w:noProof/>
          <w:sz w:val="24"/>
          <w:szCs w:val="24"/>
          <w:lang w:val="en-AU"/>
        </w:rPr>
      </w:pPr>
    </w:p>
    <w:p w14:paraId="03EE7A28" w14:textId="547AD8A1" w:rsidR="000C49CD" w:rsidRPr="00F0251C" w:rsidRDefault="003649D5" w:rsidP="007F3CAD">
      <w:pPr>
        <w:pStyle w:val="NoSpacing"/>
        <w:ind w:left="360"/>
        <w:rPr>
          <w:noProof/>
          <w:sz w:val="24"/>
          <w:szCs w:val="24"/>
          <w:lang w:val="en-AU"/>
        </w:rPr>
      </w:pPr>
      <w:r w:rsidRPr="00F0251C">
        <w:rPr>
          <w:noProof/>
          <w:sz w:val="24"/>
          <w:szCs w:val="24"/>
          <w:lang w:val="en-AU"/>
        </w:rPr>
        <w:t>In Australia, any unused medicine or waste material should be disposed of in accordance with local requirements</w:t>
      </w:r>
      <w:r w:rsidR="005835D0" w:rsidRPr="00F0251C">
        <w:rPr>
          <w:noProof/>
          <w:sz w:val="24"/>
          <w:szCs w:val="24"/>
          <w:lang w:val="en-AU"/>
        </w:rPr>
        <w:t>.</w:t>
      </w:r>
    </w:p>
    <w:p w14:paraId="6ED0FDB6" w14:textId="0F6DF94A" w:rsidR="003649D5" w:rsidRPr="00F0251C" w:rsidRDefault="003649D5" w:rsidP="005835D0">
      <w:pPr>
        <w:pStyle w:val="NoSpacing"/>
        <w:rPr>
          <w:noProof/>
          <w:sz w:val="24"/>
          <w:szCs w:val="24"/>
          <w:lang w:val="en-AU"/>
        </w:rPr>
      </w:pPr>
    </w:p>
    <w:p w14:paraId="62A21D43" w14:textId="65F48BB0" w:rsidR="003649D5" w:rsidRPr="00F0251C" w:rsidRDefault="00D254FE" w:rsidP="001E27D5">
      <w:pPr>
        <w:pStyle w:val="Heading2"/>
        <w:jc w:val="left"/>
        <w:rPr>
          <w:i/>
          <w:noProof/>
          <w:sz w:val="24"/>
          <w:szCs w:val="24"/>
          <w:u w:val="single"/>
          <w:lang w:val="en-AU"/>
        </w:rPr>
      </w:pPr>
      <w:r w:rsidRPr="00F0251C">
        <w:rPr>
          <w:noProof/>
          <w:sz w:val="24"/>
          <w:szCs w:val="24"/>
          <w:lang w:val="en-AU" w:eastAsia="en-AU"/>
        </w:rPr>
        <w:drawing>
          <wp:anchor distT="0" distB="0" distL="114300" distR="114300" simplePos="0" relativeHeight="251657216" behindDoc="1" locked="0" layoutInCell="1" allowOverlap="1" wp14:anchorId="30CFB1CE" wp14:editId="19A58344">
            <wp:simplePos x="0" y="0"/>
            <wp:positionH relativeFrom="column">
              <wp:posOffset>333375</wp:posOffset>
            </wp:positionH>
            <wp:positionV relativeFrom="paragraph">
              <wp:posOffset>351790</wp:posOffset>
            </wp:positionV>
            <wp:extent cx="2354580" cy="160718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13789" t="37411" r="64549" b="36360"/>
                    <a:stretch>
                      <a:fillRect/>
                    </a:stretch>
                  </pic:blipFill>
                  <pic:spPr bwMode="auto">
                    <a:xfrm>
                      <a:off x="0" y="0"/>
                      <a:ext cx="2354580" cy="1607185"/>
                    </a:xfrm>
                    <a:prstGeom prst="rect">
                      <a:avLst/>
                    </a:prstGeom>
                    <a:noFill/>
                  </pic:spPr>
                </pic:pic>
              </a:graphicData>
            </a:graphic>
            <wp14:sizeRelH relativeFrom="page">
              <wp14:pctWidth>0</wp14:pctWidth>
            </wp14:sizeRelH>
            <wp14:sizeRelV relativeFrom="page">
              <wp14:pctHeight>0</wp14:pctHeight>
            </wp14:sizeRelV>
          </wp:anchor>
        </w:drawing>
      </w:r>
      <w:r w:rsidR="003649D5" w:rsidRPr="00F0251C">
        <w:rPr>
          <w:smallCaps/>
          <w:noProof/>
          <w:sz w:val="24"/>
          <w:szCs w:val="24"/>
          <w:lang w:val="en-AU"/>
        </w:rPr>
        <w:t>6.7</w:t>
      </w:r>
      <w:r w:rsidR="004B1DF7" w:rsidRPr="00F0251C">
        <w:rPr>
          <w:smallCaps/>
          <w:noProof/>
          <w:sz w:val="24"/>
          <w:szCs w:val="24"/>
          <w:lang w:val="en-AU"/>
        </w:rPr>
        <w:t xml:space="preserve"> </w:t>
      </w:r>
      <w:r w:rsidR="003649D5" w:rsidRPr="00F0251C">
        <w:rPr>
          <w:noProof/>
          <w:sz w:val="24"/>
          <w:szCs w:val="24"/>
          <w:lang w:val="en-AU"/>
        </w:rPr>
        <w:t>PHYSICOCHEMICAL PROPERTIES</w:t>
      </w:r>
    </w:p>
    <w:p w14:paraId="00496DC8" w14:textId="719FC716" w:rsidR="003649D5" w:rsidRPr="00F0251C" w:rsidRDefault="000007E4" w:rsidP="007F3CAD">
      <w:pPr>
        <w:pStyle w:val="NoSpacing"/>
        <w:ind w:left="360"/>
        <w:rPr>
          <w:b/>
          <w:noProof/>
          <w:sz w:val="24"/>
          <w:szCs w:val="24"/>
          <w:lang w:val="en-AU"/>
        </w:rPr>
      </w:pPr>
      <w:r>
        <w:rPr>
          <w:noProof/>
          <w:lang w:val="en-AU" w:eastAsia="en-AU"/>
        </w:rPr>
        <w:drawing>
          <wp:anchor distT="0" distB="0" distL="114300" distR="114300" simplePos="0" relativeHeight="251659264" behindDoc="0" locked="0" layoutInCell="1" allowOverlap="1" wp14:anchorId="2A80BF13" wp14:editId="1C7B5658">
            <wp:simplePos x="0" y="0"/>
            <wp:positionH relativeFrom="column">
              <wp:posOffset>3333750</wp:posOffset>
            </wp:positionH>
            <wp:positionV relativeFrom="paragraph">
              <wp:posOffset>352425</wp:posOffset>
            </wp:positionV>
            <wp:extent cx="2743200" cy="137160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49D5" w:rsidRPr="00F0251C">
        <w:rPr>
          <w:b/>
          <w:noProof/>
          <w:sz w:val="24"/>
          <w:szCs w:val="24"/>
          <w:lang w:val="en-AU"/>
        </w:rPr>
        <w:t>Chemical structure</w:t>
      </w:r>
    </w:p>
    <w:p w14:paraId="300E2643" w14:textId="77777777" w:rsidR="00055327" w:rsidRDefault="00055327" w:rsidP="00BD2FBB">
      <w:pPr>
        <w:pStyle w:val="NoSpacing"/>
        <w:ind w:left="1080"/>
        <w:rPr>
          <w:noProof/>
          <w:sz w:val="24"/>
          <w:szCs w:val="24"/>
          <w:lang w:val="en-AU"/>
        </w:rPr>
      </w:pPr>
    </w:p>
    <w:p w14:paraId="7434DD81" w14:textId="59687850" w:rsidR="00080E07" w:rsidRPr="00F0251C" w:rsidRDefault="007C2C75" w:rsidP="00BD2FBB">
      <w:pPr>
        <w:pStyle w:val="NoSpacing"/>
        <w:ind w:left="1080"/>
        <w:rPr>
          <w:noProof/>
          <w:sz w:val="24"/>
          <w:szCs w:val="24"/>
          <w:lang w:val="en-AU"/>
        </w:rPr>
      </w:pPr>
      <w:r w:rsidRPr="00F0251C">
        <w:rPr>
          <w:noProof/>
          <w:sz w:val="24"/>
          <w:szCs w:val="24"/>
          <w:lang w:val="en-AU"/>
        </w:rPr>
        <w:t>B</w:t>
      </w:r>
      <w:r w:rsidR="002C286A" w:rsidRPr="00F0251C">
        <w:rPr>
          <w:noProof/>
          <w:sz w:val="24"/>
          <w:szCs w:val="24"/>
          <w:lang w:val="en-AU"/>
        </w:rPr>
        <w:t>eclomet</w:t>
      </w:r>
      <w:r w:rsidR="00F057AC" w:rsidRPr="00F0251C">
        <w:rPr>
          <w:noProof/>
          <w:sz w:val="24"/>
          <w:szCs w:val="24"/>
          <w:lang w:val="en-AU"/>
        </w:rPr>
        <w:t>asone</w:t>
      </w:r>
      <w:r w:rsidRPr="00F0251C">
        <w:rPr>
          <w:noProof/>
          <w:sz w:val="24"/>
          <w:szCs w:val="24"/>
          <w:lang w:val="en-AU"/>
        </w:rPr>
        <w:t xml:space="preserve"> dipropionate</w:t>
      </w:r>
      <w:r w:rsidRPr="00F0251C">
        <w:rPr>
          <w:noProof/>
          <w:sz w:val="24"/>
          <w:szCs w:val="24"/>
          <w:lang w:val="en-AU"/>
        </w:rPr>
        <w:tab/>
      </w:r>
      <w:r w:rsidRPr="00F0251C">
        <w:rPr>
          <w:noProof/>
          <w:sz w:val="24"/>
          <w:szCs w:val="24"/>
          <w:lang w:val="en-AU"/>
        </w:rPr>
        <w:tab/>
      </w:r>
      <w:r w:rsidRPr="000007E4">
        <w:rPr>
          <w:noProof/>
          <w:sz w:val="24"/>
          <w:szCs w:val="24"/>
          <w:lang w:val="en-AU"/>
        </w:rPr>
        <w:t>Formoterol</w:t>
      </w:r>
      <w:r w:rsidR="00EF0C12">
        <w:rPr>
          <w:noProof/>
          <w:sz w:val="24"/>
          <w:szCs w:val="24"/>
          <w:lang w:val="en-AU"/>
        </w:rPr>
        <w:t xml:space="preserve"> (</w:t>
      </w:r>
      <w:r w:rsidR="00EF0C12" w:rsidRPr="00EF0C12">
        <w:rPr>
          <w:noProof/>
          <w:sz w:val="24"/>
          <w:szCs w:val="24"/>
          <w:lang w:val="en-AU"/>
        </w:rPr>
        <w:t>eformoterol</w:t>
      </w:r>
      <w:r w:rsidR="00EF0C12">
        <w:rPr>
          <w:noProof/>
          <w:sz w:val="24"/>
          <w:szCs w:val="24"/>
          <w:lang w:val="en-AU"/>
        </w:rPr>
        <w:t>)</w:t>
      </w:r>
      <w:r w:rsidRPr="00F0251C">
        <w:rPr>
          <w:noProof/>
          <w:sz w:val="24"/>
          <w:szCs w:val="24"/>
          <w:lang w:val="en-AU"/>
        </w:rPr>
        <w:t xml:space="preserve"> fumarate dihydrate</w:t>
      </w:r>
    </w:p>
    <w:p w14:paraId="2B229560" w14:textId="27429A0F" w:rsidR="007C2C75" w:rsidRPr="00F0251C" w:rsidRDefault="007C2C75" w:rsidP="007F3CAD">
      <w:pPr>
        <w:pStyle w:val="NoSpacing"/>
        <w:ind w:left="360"/>
        <w:rPr>
          <w:noProof/>
          <w:sz w:val="24"/>
          <w:szCs w:val="24"/>
          <w:lang w:val="en-AU"/>
        </w:rPr>
      </w:pPr>
    </w:p>
    <w:p w14:paraId="411CEDC4" w14:textId="4B7AB8FA" w:rsidR="0096629D" w:rsidRPr="00F0251C" w:rsidRDefault="002261DC" w:rsidP="007F3CAD">
      <w:pPr>
        <w:pStyle w:val="NoSpacing"/>
        <w:ind w:left="360"/>
        <w:rPr>
          <w:noProof/>
          <w:sz w:val="24"/>
          <w:szCs w:val="24"/>
          <w:lang w:val="en-AU"/>
        </w:rPr>
      </w:pPr>
      <w:r>
        <w:rPr>
          <w:noProof/>
          <w:lang w:val="en-AU" w:eastAsia="en-AU"/>
        </w:rPr>
        <w:lastRenderedPageBreak/>
        <w:drawing>
          <wp:inline distT="0" distB="0" distL="0" distR="0" wp14:anchorId="3E172F7A" wp14:editId="1A85414D">
            <wp:extent cx="1457325" cy="199401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68796" t="35905" r="19183" b="34854"/>
                    <a:stretch/>
                  </pic:blipFill>
                  <pic:spPr bwMode="auto">
                    <a:xfrm>
                      <a:off x="0" y="0"/>
                      <a:ext cx="1489695" cy="2038307"/>
                    </a:xfrm>
                    <a:prstGeom prst="rect">
                      <a:avLst/>
                    </a:prstGeom>
                    <a:ln>
                      <a:noFill/>
                    </a:ln>
                    <a:extLst>
                      <a:ext uri="{53640926-AAD7-44D8-BBD7-CCE9431645EC}">
                        <a14:shadowObscured xmlns:a14="http://schemas.microsoft.com/office/drawing/2010/main"/>
                      </a:ext>
                    </a:extLst>
                  </pic:spPr>
                </pic:pic>
              </a:graphicData>
            </a:graphic>
          </wp:inline>
        </w:drawing>
      </w:r>
    </w:p>
    <w:p w14:paraId="26092AB3" w14:textId="77777777" w:rsidR="00055327" w:rsidRDefault="00055327" w:rsidP="0096629D">
      <w:pPr>
        <w:pStyle w:val="NoSpacing"/>
        <w:ind w:left="1080"/>
        <w:rPr>
          <w:noProof/>
          <w:sz w:val="24"/>
          <w:szCs w:val="24"/>
          <w:lang w:val="en-AU"/>
        </w:rPr>
      </w:pPr>
    </w:p>
    <w:p w14:paraId="580F34E7" w14:textId="1251CDA2" w:rsidR="00680119" w:rsidRPr="00F0251C" w:rsidRDefault="0096629D" w:rsidP="00EF0C12">
      <w:pPr>
        <w:pStyle w:val="NoSpacing"/>
        <w:rPr>
          <w:noProof/>
          <w:sz w:val="24"/>
          <w:szCs w:val="24"/>
          <w:lang w:val="en-AU"/>
        </w:rPr>
      </w:pPr>
      <w:r w:rsidRPr="002261DC">
        <w:rPr>
          <w:noProof/>
          <w:sz w:val="24"/>
          <w:szCs w:val="24"/>
          <w:lang w:val="en-AU"/>
        </w:rPr>
        <w:t>G</w:t>
      </w:r>
      <w:r w:rsidR="00680119" w:rsidRPr="002261DC">
        <w:rPr>
          <w:noProof/>
          <w:sz w:val="24"/>
          <w:szCs w:val="24"/>
          <w:lang w:val="en-AU"/>
        </w:rPr>
        <w:t>lycopyrronium</w:t>
      </w:r>
      <w:r w:rsidR="00055327">
        <w:rPr>
          <w:noProof/>
          <w:sz w:val="24"/>
          <w:szCs w:val="24"/>
          <w:lang w:val="en-AU"/>
        </w:rPr>
        <w:t xml:space="preserve"> bromide</w:t>
      </w:r>
      <w:r w:rsidR="00EF0C12">
        <w:rPr>
          <w:noProof/>
          <w:sz w:val="24"/>
          <w:szCs w:val="24"/>
          <w:lang w:val="en-AU"/>
        </w:rPr>
        <w:t xml:space="preserve"> (glycopyrrolate)</w:t>
      </w:r>
    </w:p>
    <w:p w14:paraId="2FAB1B8E" w14:textId="77777777" w:rsidR="00680119" w:rsidRPr="00F0251C" w:rsidRDefault="00680119" w:rsidP="007F3CAD">
      <w:pPr>
        <w:pStyle w:val="NoSpacing"/>
        <w:ind w:left="360"/>
        <w:rPr>
          <w:noProof/>
          <w:sz w:val="24"/>
          <w:szCs w:val="24"/>
          <w:lang w:val="en-AU"/>
        </w:rPr>
      </w:pPr>
    </w:p>
    <w:p w14:paraId="0E7F19C7" w14:textId="77777777" w:rsidR="003649D5" w:rsidRPr="00F0251C" w:rsidRDefault="003649D5" w:rsidP="007F3CAD">
      <w:pPr>
        <w:pStyle w:val="NoSpacing"/>
        <w:ind w:left="360"/>
        <w:rPr>
          <w:b/>
          <w:noProof/>
          <w:sz w:val="24"/>
          <w:szCs w:val="24"/>
          <w:lang w:val="en-AU"/>
        </w:rPr>
      </w:pPr>
      <w:r w:rsidRPr="00F0251C">
        <w:rPr>
          <w:b/>
          <w:noProof/>
          <w:sz w:val="24"/>
          <w:szCs w:val="24"/>
          <w:lang w:val="en-AU"/>
        </w:rPr>
        <w:t>CAS number</w:t>
      </w:r>
    </w:p>
    <w:p w14:paraId="3D0CAC4D" w14:textId="4A1B58A1" w:rsidR="003649D5" w:rsidRPr="00F0251C" w:rsidRDefault="003649D5" w:rsidP="007F3CAD">
      <w:pPr>
        <w:pStyle w:val="NoSpacing"/>
        <w:ind w:left="360"/>
        <w:rPr>
          <w:noProof/>
          <w:sz w:val="24"/>
          <w:szCs w:val="24"/>
          <w:lang w:val="en-AU"/>
        </w:rPr>
      </w:pPr>
      <w:r w:rsidRPr="00F0251C">
        <w:rPr>
          <w:noProof/>
          <w:sz w:val="24"/>
          <w:szCs w:val="24"/>
          <w:lang w:val="en-AU"/>
        </w:rPr>
        <w:t>B</w:t>
      </w:r>
      <w:r w:rsidR="002C286A" w:rsidRPr="00F0251C">
        <w:rPr>
          <w:noProof/>
          <w:sz w:val="24"/>
          <w:szCs w:val="24"/>
          <w:lang w:val="en-AU"/>
        </w:rPr>
        <w:t>eclomet</w:t>
      </w:r>
      <w:r w:rsidR="00F057AC" w:rsidRPr="00F0251C">
        <w:rPr>
          <w:noProof/>
          <w:sz w:val="24"/>
          <w:szCs w:val="24"/>
          <w:lang w:val="en-AU"/>
        </w:rPr>
        <w:t>asone</w:t>
      </w:r>
      <w:r w:rsidRPr="00F0251C">
        <w:rPr>
          <w:noProof/>
          <w:sz w:val="24"/>
          <w:szCs w:val="24"/>
          <w:lang w:val="en-AU"/>
        </w:rPr>
        <w:t xml:space="preserve"> dipropionate</w:t>
      </w:r>
      <w:r w:rsidR="00013146" w:rsidRPr="00F0251C">
        <w:rPr>
          <w:noProof/>
          <w:sz w:val="24"/>
          <w:szCs w:val="24"/>
          <w:lang w:val="en-AU"/>
        </w:rPr>
        <w:t>: 5534-09-8</w:t>
      </w:r>
    </w:p>
    <w:p w14:paraId="2A3AEAFA" w14:textId="36AF385F" w:rsidR="003649D5" w:rsidRPr="00F0251C" w:rsidRDefault="007C2C75" w:rsidP="007F3CAD">
      <w:pPr>
        <w:pStyle w:val="NoSpacing"/>
        <w:ind w:left="360"/>
        <w:rPr>
          <w:noProof/>
          <w:sz w:val="24"/>
          <w:szCs w:val="24"/>
          <w:lang w:val="en-AU"/>
        </w:rPr>
      </w:pPr>
      <w:r w:rsidRPr="00F0251C">
        <w:rPr>
          <w:noProof/>
          <w:sz w:val="24"/>
          <w:szCs w:val="24"/>
          <w:lang w:val="en-AU"/>
        </w:rPr>
        <w:t>Formoterol fumarate dihydrate</w:t>
      </w:r>
      <w:r w:rsidR="00013146" w:rsidRPr="00F0251C">
        <w:rPr>
          <w:noProof/>
          <w:sz w:val="24"/>
          <w:szCs w:val="24"/>
          <w:lang w:val="en-AU"/>
        </w:rPr>
        <w:t>: 183814-30-4</w:t>
      </w:r>
    </w:p>
    <w:p w14:paraId="1653F89B" w14:textId="63C6F2B7" w:rsidR="0096629D" w:rsidRPr="00F0251C" w:rsidRDefault="0096629D" w:rsidP="0096629D">
      <w:pPr>
        <w:pStyle w:val="NoSpacing"/>
        <w:ind w:left="360"/>
        <w:rPr>
          <w:noProof/>
          <w:sz w:val="24"/>
          <w:szCs w:val="24"/>
          <w:lang w:val="en-AU"/>
        </w:rPr>
      </w:pPr>
      <w:r w:rsidRPr="00F0251C">
        <w:rPr>
          <w:noProof/>
          <w:sz w:val="24"/>
          <w:szCs w:val="24"/>
          <w:lang w:val="en-AU"/>
        </w:rPr>
        <w:t xml:space="preserve">Glycopyrronium: </w:t>
      </w:r>
      <w:bookmarkStart w:id="17" w:name="_Hlk34299742"/>
      <w:r w:rsidRPr="00F0251C">
        <w:rPr>
          <w:noProof/>
          <w:sz w:val="24"/>
          <w:szCs w:val="24"/>
          <w:lang w:val="en-AU"/>
        </w:rPr>
        <w:t>596-51-0</w:t>
      </w:r>
      <w:bookmarkEnd w:id="17"/>
    </w:p>
    <w:p w14:paraId="3C1E7E77" w14:textId="77777777" w:rsidR="0096629D" w:rsidRPr="00F0251C" w:rsidRDefault="0096629D" w:rsidP="0096629D">
      <w:pPr>
        <w:pStyle w:val="NoSpacing"/>
        <w:ind w:left="360"/>
        <w:rPr>
          <w:noProof/>
          <w:sz w:val="24"/>
          <w:szCs w:val="24"/>
          <w:lang w:val="en-AU"/>
        </w:rPr>
      </w:pPr>
    </w:p>
    <w:p w14:paraId="307678E5" w14:textId="77777777" w:rsidR="00013146" w:rsidRPr="00F0251C" w:rsidRDefault="00013146" w:rsidP="000D1FB0">
      <w:pPr>
        <w:pStyle w:val="Heading1"/>
        <w:numPr>
          <w:ilvl w:val="0"/>
          <w:numId w:val="6"/>
        </w:numPr>
        <w:rPr>
          <w:rFonts w:ascii="Times New Roman" w:hAnsi="Times New Roman"/>
          <w:noProof/>
          <w:sz w:val="24"/>
          <w:szCs w:val="24"/>
          <w:lang w:val="en-AU"/>
        </w:rPr>
      </w:pPr>
      <w:r w:rsidRPr="00F0251C">
        <w:rPr>
          <w:rFonts w:ascii="Times New Roman" w:hAnsi="Times New Roman"/>
          <w:noProof/>
          <w:sz w:val="24"/>
          <w:szCs w:val="24"/>
          <w:lang w:val="en-AU"/>
        </w:rPr>
        <w:t>MEDICINE SCHEDULE (POISONS STANDARD)</w:t>
      </w:r>
    </w:p>
    <w:p w14:paraId="4C08C8E0" w14:textId="51925AB3" w:rsidR="00013146" w:rsidRPr="00F0251C" w:rsidRDefault="00013146" w:rsidP="007F3CAD">
      <w:pPr>
        <w:pStyle w:val="NoSpacing"/>
        <w:ind w:left="360"/>
        <w:rPr>
          <w:noProof/>
          <w:sz w:val="24"/>
          <w:szCs w:val="24"/>
          <w:lang w:val="en-AU"/>
        </w:rPr>
      </w:pPr>
      <w:r w:rsidRPr="00F0251C">
        <w:rPr>
          <w:noProof/>
          <w:sz w:val="24"/>
          <w:szCs w:val="24"/>
          <w:lang w:val="en-AU"/>
        </w:rPr>
        <w:t>Schedule 4</w:t>
      </w:r>
      <w:r w:rsidR="00CE4DFD">
        <w:rPr>
          <w:noProof/>
          <w:sz w:val="24"/>
          <w:szCs w:val="24"/>
          <w:lang w:val="en-AU"/>
        </w:rPr>
        <w:t xml:space="preserve"> (</w:t>
      </w:r>
      <w:r w:rsidR="009154AD">
        <w:rPr>
          <w:noProof/>
          <w:sz w:val="24"/>
          <w:szCs w:val="24"/>
          <w:lang w:val="en-AU"/>
        </w:rPr>
        <w:t>P</w:t>
      </w:r>
      <w:r w:rsidR="00CE4DFD">
        <w:rPr>
          <w:noProof/>
          <w:sz w:val="24"/>
          <w:szCs w:val="24"/>
          <w:lang w:val="en-AU"/>
        </w:rPr>
        <w:t>rescript</w:t>
      </w:r>
      <w:r w:rsidR="009154AD">
        <w:rPr>
          <w:noProof/>
          <w:sz w:val="24"/>
          <w:szCs w:val="24"/>
          <w:lang w:val="en-AU"/>
        </w:rPr>
        <w:t>ion only medicine)</w:t>
      </w:r>
    </w:p>
    <w:p w14:paraId="2DF7A5E1" w14:textId="77777777" w:rsidR="005835D0" w:rsidRPr="00F0251C" w:rsidRDefault="005835D0" w:rsidP="007F3CAD">
      <w:pPr>
        <w:pStyle w:val="NoSpacing"/>
        <w:ind w:left="360"/>
        <w:rPr>
          <w:noProof/>
          <w:sz w:val="24"/>
          <w:szCs w:val="24"/>
          <w:lang w:val="en-AU"/>
        </w:rPr>
      </w:pPr>
    </w:p>
    <w:p w14:paraId="451ED9A0" w14:textId="77777777" w:rsidR="000C49CD" w:rsidRPr="00F0251C" w:rsidRDefault="00013146" w:rsidP="000D1FB0">
      <w:pPr>
        <w:pStyle w:val="Heading1"/>
        <w:numPr>
          <w:ilvl w:val="0"/>
          <w:numId w:val="6"/>
        </w:numPr>
        <w:rPr>
          <w:rFonts w:ascii="Times New Roman" w:hAnsi="Times New Roman"/>
          <w:noProof/>
          <w:sz w:val="24"/>
          <w:szCs w:val="24"/>
          <w:lang w:val="en-AU"/>
        </w:rPr>
      </w:pPr>
      <w:r w:rsidRPr="00F0251C">
        <w:rPr>
          <w:rFonts w:ascii="Times New Roman" w:hAnsi="Times New Roman"/>
          <w:noProof/>
          <w:sz w:val="24"/>
          <w:szCs w:val="24"/>
          <w:lang w:val="en-AU"/>
        </w:rPr>
        <w:t>SPONSOR</w:t>
      </w:r>
    </w:p>
    <w:p w14:paraId="4B8FBA92" w14:textId="45DF95C4" w:rsidR="000C49CD" w:rsidRPr="00F0251C" w:rsidRDefault="00013146" w:rsidP="00BD2FBB">
      <w:pPr>
        <w:pStyle w:val="NoSpacing"/>
        <w:ind w:left="360"/>
        <w:rPr>
          <w:noProof/>
          <w:sz w:val="24"/>
          <w:szCs w:val="24"/>
          <w:lang w:val="en-AU"/>
        </w:rPr>
      </w:pPr>
      <w:r w:rsidRPr="00F0251C">
        <w:rPr>
          <w:noProof/>
          <w:sz w:val="24"/>
          <w:szCs w:val="24"/>
          <w:lang w:val="en-AU"/>
        </w:rPr>
        <w:t>Emerge Health Pty Ltd</w:t>
      </w:r>
    </w:p>
    <w:p w14:paraId="63F55F02" w14:textId="77777777" w:rsidR="00013146" w:rsidRPr="00F0251C" w:rsidRDefault="00013146" w:rsidP="00BD2FBB">
      <w:pPr>
        <w:pStyle w:val="NoSpacing"/>
        <w:ind w:left="360"/>
        <w:rPr>
          <w:noProof/>
          <w:sz w:val="24"/>
          <w:szCs w:val="24"/>
          <w:lang w:val="en-AU"/>
        </w:rPr>
      </w:pPr>
      <w:r w:rsidRPr="00F0251C">
        <w:rPr>
          <w:noProof/>
          <w:sz w:val="24"/>
          <w:szCs w:val="24"/>
          <w:lang w:val="en-AU"/>
        </w:rPr>
        <w:t>Suite 3, 22 Gillman Street,</w:t>
      </w:r>
    </w:p>
    <w:p w14:paraId="574AC61D" w14:textId="77777777" w:rsidR="00013146" w:rsidRPr="00F0251C" w:rsidRDefault="00013146" w:rsidP="00BD2FBB">
      <w:pPr>
        <w:pStyle w:val="NoSpacing"/>
        <w:ind w:left="360"/>
        <w:rPr>
          <w:noProof/>
          <w:sz w:val="24"/>
          <w:szCs w:val="24"/>
          <w:lang w:val="en-AU"/>
        </w:rPr>
      </w:pPr>
      <w:r w:rsidRPr="00F0251C">
        <w:rPr>
          <w:noProof/>
          <w:sz w:val="24"/>
          <w:szCs w:val="24"/>
          <w:lang w:val="en-AU"/>
        </w:rPr>
        <w:t>Hawthorn East, VIC. 3123</w:t>
      </w:r>
    </w:p>
    <w:p w14:paraId="6A9F2012" w14:textId="77777777" w:rsidR="00013146" w:rsidRPr="00F0251C" w:rsidRDefault="00013146" w:rsidP="00BD2FBB">
      <w:pPr>
        <w:pStyle w:val="NoSpacing"/>
        <w:ind w:left="360"/>
        <w:rPr>
          <w:noProof/>
          <w:sz w:val="24"/>
          <w:szCs w:val="24"/>
          <w:lang w:val="en-AU"/>
        </w:rPr>
      </w:pPr>
      <w:r w:rsidRPr="00F0251C">
        <w:rPr>
          <w:noProof/>
          <w:sz w:val="24"/>
          <w:szCs w:val="24"/>
          <w:lang w:val="en-AU"/>
        </w:rPr>
        <w:t>T: +61 3 9077 4468</w:t>
      </w:r>
    </w:p>
    <w:p w14:paraId="6C95D0C5" w14:textId="65C6EEF3" w:rsidR="005835D0" w:rsidRPr="00F0251C" w:rsidRDefault="00013146" w:rsidP="005835D0">
      <w:pPr>
        <w:pStyle w:val="NoSpacing"/>
        <w:ind w:left="360"/>
        <w:rPr>
          <w:noProof/>
          <w:sz w:val="24"/>
          <w:szCs w:val="24"/>
          <w:lang w:val="en-AU"/>
        </w:rPr>
      </w:pPr>
      <w:r w:rsidRPr="00F0251C">
        <w:rPr>
          <w:noProof/>
          <w:sz w:val="24"/>
          <w:szCs w:val="24"/>
          <w:lang w:val="en-AU"/>
        </w:rPr>
        <w:t xml:space="preserve">E: </w:t>
      </w:r>
      <w:hyperlink r:id="rId16" w:history="1">
        <w:r w:rsidR="00FC531F" w:rsidRPr="00F0251C">
          <w:rPr>
            <w:rStyle w:val="Hyperlink"/>
            <w:noProof/>
            <w:sz w:val="24"/>
            <w:szCs w:val="24"/>
            <w:lang w:val="en-AU"/>
          </w:rPr>
          <w:t>customerservice@emergehealth.com.au</w:t>
        </w:r>
      </w:hyperlink>
    </w:p>
    <w:p w14:paraId="5E829CBD" w14:textId="77777777" w:rsidR="00B96F15" w:rsidRPr="00F0251C" w:rsidRDefault="00013146" w:rsidP="000D1FB0">
      <w:pPr>
        <w:pStyle w:val="Heading1"/>
        <w:numPr>
          <w:ilvl w:val="0"/>
          <w:numId w:val="6"/>
        </w:numPr>
        <w:rPr>
          <w:rFonts w:ascii="Times New Roman" w:hAnsi="Times New Roman"/>
          <w:noProof/>
          <w:sz w:val="24"/>
          <w:szCs w:val="24"/>
          <w:lang w:val="en-AU"/>
        </w:rPr>
      </w:pPr>
      <w:r w:rsidRPr="00F0251C">
        <w:rPr>
          <w:rFonts w:ascii="Times New Roman" w:hAnsi="Times New Roman"/>
          <w:noProof/>
          <w:sz w:val="24"/>
          <w:szCs w:val="24"/>
          <w:lang w:val="en-AU"/>
        </w:rPr>
        <w:t>DATE OF FIRST APPROVAL</w:t>
      </w:r>
    </w:p>
    <w:p w14:paraId="0BD6E1BA" w14:textId="4E6E172E" w:rsidR="005835D0" w:rsidRPr="00F0251C" w:rsidRDefault="006A391D" w:rsidP="00BD2FBB">
      <w:pPr>
        <w:pStyle w:val="NoSpacing"/>
        <w:ind w:left="360"/>
        <w:rPr>
          <w:noProof/>
          <w:sz w:val="24"/>
          <w:szCs w:val="24"/>
          <w:lang w:val="en-AU"/>
        </w:rPr>
      </w:pPr>
      <w:r>
        <w:rPr>
          <w:noProof/>
          <w:sz w:val="24"/>
          <w:szCs w:val="24"/>
          <w:lang w:val="en-AU"/>
        </w:rPr>
        <w:t>24 June 2020</w:t>
      </w:r>
    </w:p>
    <w:p w14:paraId="7C3ED0AF" w14:textId="36703FD6" w:rsidR="006D5D49" w:rsidRPr="00F0251C" w:rsidRDefault="006D5D49" w:rsidP="006D5D49">
      <w:pPr>
        <w:pStyle w:val="Heading1"/>
        <w:numPr>
          <w:ilvl w:val="0"/>
          <w:numId w:val="6"/>
        </w:numPr>
        <w:rPr>
          <w:rFonts w:ascii="Times New Roman" w:hAnsi="Times New Roman"/>
          <w:noProof/>
          <w:sz w:val="24"/>
          <w:szCs w:val="24"/>
          <w:lang w:val="en-AU"/>
        </w:rPr>
      </w:pPr>
      <w:r w:rsidRPr="00F0251C">
        <w:rPr>
          <w:rFonts w:ascii="Times New Roman" w:hAnsi="Times New Roman"/>
          <w:noProof/>
          <w:sz w:val="24"/>
          <w:szCs w:val="24"/>
          <w:lang w:val="en-AU"/>
        </w:rPr>
        <w:t>DATE OF REVISION</w:t>
      </w:r>
    </w:p>
    <w:p w14:paraId="785FD070" w14:textId="77777777" w:rsidR="006A391D" w:rsidRPr="00F0251C" w:rsidRDefault="006A391D" w:rsidP="006A391D">
      <w:pPr>
        <w:pStyle w:val="NoSpacing"/>
        <w:ind w:left="360"/>
        <w:rPr>
          <w:noProof/>
          <w:sz w:val="24"/>
          <w:szCs w:val="24"/>
          <w:lang w:val="en-AU"/>
        </w:rPr>
      </w:pPr>
      <w:r>
        <w:rPr>
          <w:noProof/>
          <w:sz w:val="24"/>
          <w:szCs w:val="24"/>
          <w:lang w:val="en-AU"/>
        </w:rPr>
        <w:t>24 June 2020</w:t>
      </w:r>
    </w:p>
    <w:p w14:paraId="51258C34" w14:textId="77777777" w:rsidR="006D5D49" w:rsidRPr="00F0251C" w:rsidRDefault="006D5D49" w:rsidP="006D5D49">
      <w:pPr>
        <w:pStyle w:val="Heading1"/>
        <w:rPr>
          <w:rFonts w:ascii="Times New Roman" w:hAnsi="Times New Roman"/>
          <w:noProof/>
          <w:sz w:val="24"/>
          <w:szCs w:val="24"/>
          <w:lang w:val="en-AU"/>
        </w:rPr>
      </w:pPr>
      <w:r w:rsidRPr="00F0251C">
        <w:rPr>
          <w:rFonts w:ascii="Times New Roman" w:hAnsi="Times New Roman"/>
          <w:noProof/>
          <w:sz w:val="24"/>
          <w:szCs w:val="24"/>
          <w:lang w:val="en-AU"/>
        </w:rPr>
        <w:t>SUMMARY TABLE OF CHANGES</w:t>
      </w:r>
    </w:p>
    <w:tbl>
      <w:tblPr>
        <w:tblStyle w:val="TableGrid"/>
        <w:tblW w:w="0" w:type="auto"/>
        <w:tblLook w:val="04A0" w:firstRow="1" w:lastRow="0" w:firstColumn="1" w:lastColumn="0" w:noHBand="0" w:noVBand="1"/>
      </w:tblPr>
      <w:tblGrid>
        <w:gridCol w:w="2549"/>
        <w:gridCol w:w="7079"/>
      </w:tblGrid>
      <w:tr w:rsidR="006D5D49" w:rsidRPr="00F0251C" w14:paraId="18CE6A0F" w14:textId="77777777" w:rsidTr="0094041C">
        <w:tc>
          <w:tcPr>
            <w:tcW w:w="2689" w:type="dxa"/>
          </w:tcPr>
          <w:p w14:paraId="28807D0F" w14:textId="77777777" w:rsidR="006D5D49" w:rsidRPr="00F0251C" w:rsidRDefault="006D5D49" w:rsidP="0094041C">
            <w:pPr>
              <w:pStyle w:val="NoSpacing"/>
              <w:jc w:val="center"/>
              <w:rPr>
                <w:b/>
                <w:bCs/>
                <w:sz w:val="24"/>
                <w:szCs w:val="24"/>
                <w:lang w:val="en-AU"/>
              </w:rPr>
            </w:pPr>
            <w:r w:rsidRPr="00F0251C">
              <w:rPr>
                <w:b/>
                <w:bCs/>
                <w:sz w:val="24"/>
                <w:szCs w:val="24"/>
                <w:lang w:val="en-AU"/>
              </w:rPr>
              <w:t>Section changed</w:t>
            </w:r>
          </w:p>
        </w:tc>
        <w:tc>
          <w:tcPr>
            <w:tcW w:w="7613" w:type="dxa"/>
          </w:tcPr>
          <w:p w14:paraId="644A7DF1" w14:textId="77777777" w:rsidR="006D5D49" w:rsidRPr="00F0251C" w:rsidRDefault="006D5D49" w:rsidP="0094041C">
            <w:pPr>
              <w:pStyle w:val="NoSpacing"/>
              <w:jc w:val="center"/>
              <w:rPr>
                <w:b/>
                <w:bCs/>
                <w:sz w:val="24"/>
                <w:szCs w:val="24"/>
                <w:lang w:val="en-AU"/>
              </w:rPr>
            </w:pPr>
            <w:r w:rsidRPr="00F0251C">
              <w:rPr>
                <w:b/>
                <w:bCs/>
                <w:sz w:val="24"/>
                <w:szCs w:val="24"/>
                <w:lang w:val="en-AU"/>
              </w:rPr>
              <w:t>Summary of new information</w:t>
            </w:r>
          </w:p>
        </w:tc>
      </w:tr>
      <w:tr w:rsidR="006D5D49" w:rsidRPr="00F0251C" w14:paraId="5963A7B5" w14:textId="77777777" w:rsidTr="0094041C">
        <w:tc>
          <w:tcPr>
            <w:tcW w:w="2689" w:type="dxa"/>
          </w:tcPr>
          <w:p w14:paraId="41C77D51" w14:textId="77777777" w:rsidR="006D5D49" w:rsidRPr="00F0251C" w:rsidRDefault="006D5D49" w:rsidP="0094041C">
            <w:pPr>
              <w:pStyle w:val="NoSpacing"/>
              <w:rPr>
                <w:sz w:val="24"/>
                <w:szCs w:val="24"/>
                <w:lang w:val="en-AU"/>
              </w:rPr>
            </w:pPr>
          </w:p>
        </w:tc>
        <w:tc>
          <w:tcPr>
            <w:tcW w:w="7613" w:type="dxa"/>
          </w:tcPr>
          <w:p w14:paraId="1D1F6B4A" w14:textId="77777777" w:rsidR="006D5D49" w:rsidRPr="00F0251C" w:rsidRDefault="006D5D49" w:rsidP="0094041C">
            <w:pPr>
              <w:pStyle w:val="NoSpacing"/>
              <w:rPr>
                <w:sz w:val="24"/>
                <w:szCs w:val="24"/>
                <w:lang w:val="en-AU"/>
              </w:rPr>
            </w:pPr>
          </w:p>
        </w:tc>
      </w:tr>
      <w:tr w:rsidR="006D5D49" w:rsidRPr="00F0251C" w14:paraId="0FB485F0" w14:textId="77777777" w:rsidTr="0094041C">
        <w:tc>
          <w:tcPr>
            <w:tcW w:w="2689" w:type="dxa"/>
          </w:tcPr>
          <w:p w14:paraId="5F25C2F0" w14:textId="77777777" w:rsidR="006D5D49" w:rsidRPr="00F0251C" w:rsidRDefault="006D5D49" w:rsidP="0094041C">
            <w:pPr>
              <w:pStyle w:val="NoSpacing"/>
              <w:rPr>
                <w:sz w:val="24"/>
                <w:szCs w:val="24"/>
                <w:lang w:val="en-AU"/>
              </w:rPr>
            </w:pPr>
          </w:p>
        </w:tc>
        <w:tc>
          <w:tcPr>
            <w:tcW w:w="7613" w:type="dxa"/>
          </w:tcPr>
          <w:p w14:paraId="46B45883" w14:textId="77777777" w:rsidR="006D5D49" w:rsidRPr="00F0251C" w:rsidRDefault="006D5D49" w:rsidP="0094041C">
            <w:pPr>
              <w:pStyle w:val="NoSpacing"/>
              <w:rPr>
                <w:sz w:val="24"/>
                <w:szCs w:val="24"/>
                <w:lang w:val="en-AU"/>
              </w:rPr>
            </w:pPr>
          </w:p>
        </w:tc>
      </w:tr>
      <w:tr w:rsidR="006D5D49" w:rsidRPr="00F0251C" w14:paraId="192CCED6" w14:textId="77777777" w:rsidTr="0094041C">
        <w:tc>
          <w:tcPr>
            <w:tcW w:w="2689" w:type="dxa"/>
          </w:tcPr>
          <w:p w14:paraId="1B8314B1" w14:textId="77777777" w:rsidR="006D5D49" w:rsidRPr="00F0251C" w:rsidRDefault="006D5D49" w:rsidP="0094041C">
            <w:pPr>
              <w:pStyle w:val="NoSpacing"/>
              <w:rPr>
                <w:sz w:val="24"/>
                <w:szCs w:val="24"/>
                <w:lang w:val="en-AU"/>
              </w:rPr>
            </w:pPr>
          </w:p>
        </w:tc>
        <w:tc>
          <w:tcPr>
            <w:tcW w:w="7613" w:type="dxa"/>
          </w:tcPr>
          <w:p w14:paraId="0EBD8F3D" w14:textId="77777777" w:rsidR="006D5D49" w:rsidRPr="00F0251C" w:rsidRDefault="006D5D49" w:rsidP="0094041C">
            <w:pPr>
              <w:pStyle w:val="NoSpacing"/>
              <w:rPr>
                <w:sz w:val="24"/>
                <w:szCs w:val="24"/>
                <w:lang w:val="en-AU"/>
              </w:rPr>
            </w:pPr>
          </w:p>
        </w:tc>
      </w:tr>
    </w:tbl>
    <w:p w14:paraId="098CF0D8" w14:textId="402E7404" w:rsidR="006D5D49" w:rsidRPr="006A391D" w:rsidRDefault="006D5D49" w:rsidP="006A391D"/>
    <w:p w14:paraId="482BAEDD" w14:textId="77777777" w:rsidR="006D5D49" w:rsidRPr="006A391D" w:rsidRDefault="006D5D49" w:rsidP="006A391D"/>
    <w:p w14:paraId="05D29F88" w14:textId="77777777" w:rsidR="006D5D49" w:rsidRPr="006A391D" w:rsidRDefault="006D5D49" w:rsidP="006A391D"/>
    <w:sectPr w:rsidR="006D5D49" w:rsidRPr="006A391D" w:rsidSect="00A30CE5">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304" w:left="1134"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4ABB9" w14:textId="77777777" w:rsidR="00AC3A5E" w:rsidRDefault="00AC3A5E">
      <w:r>
        <w:separator/>
      </w:r>
    </w:p>
  </w:endnote>
  <w:endnote w:type="continuationSeparator" w:id="0">
    <w:p w14:paraId="3555E373" w14:textId="77777777" w:rsidR="00AC3A5E" w:rsidRDefault="00AC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6DAB" w14:textId="77777777" w:rsidR="004E5D2B" w:rsidRDefault="004E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F0B1F" w14:textId="65B4905A" w:rsidR="004076BD" w:rsidRPr="00AF0424" w:rsidRDefault="004076BD" w:rsidP="00AF0424">
    <w:pPr>
      <w:pStyle w:val="Footer"/>
      <w:pBdr>
        <w:top w:val="single" w:sz="4" w:space="1" w:color="auto"/>
      </w:pBdr>
      <w:rPr>
        <w:rFonts w:ascii="Times New Roman" w:hAnsi="Times New Roman"/>
        <w:szCs w:val="22"/>
      </w:rPr>
    </w:pPr>
    <w:r>
      <w:rPr>
        <w:rFonts w:ascii="Times New Roman" w:hAnsi="Times New Roman"/>
        <w:szCs w:val="22"/>
      </w:rPr>
      <w:t>TRIMBOW</w:t>
    </w:r>
    <w:r w:rsidRPr="00AF0424">
      <w:rPr>
        <w:rFonts w:ascii="Times New Roman" w:hAnsi="Times New Roman"/>
        <w:szCs w:val="22"/>
      </w:rPr>
      <w:t xml:space="preserve"> PI </w:t>
    </w:r>
    <w:r w:rsidR="006A391D">
      <w:rPr>
        <w:rFonts w:ascii="Times New Roman" w:hAnsi="Times New Roman"/>
        <w:szCs w:val="22"/>
      </w:rPr>
      <w:t>v</w:t>
    </w:r>
    <w:r>
      <w:rPr>
        <w:rFonts w:ascii="Times New Roman" w:hAnsi="Times New Roman"/>
        <w:szCs w:val="22"/>
      </w:rPr>
      <w:t>6</w:t>
    </w:r>
    <w:r w:rsidRPr="00AF0424">
      <w:rPr>
        <w:rFonts w:ascii="Times New Roman" w:hAnsi="Times New Roman"/>
        <w:szCs w:val="22"/>
      </w:rPr>
      <w:t>.0</w:t>
    </w:r>
    <w:r>
      <w:rPr>
        <w:rFonts w:ascii="Times New Roman" w:hAnsi="Times New Roman"/>
        <w:szCs w:val="22"/>
      </w:rPr>
      <w:tab/>
    </w:r>
    <w:r>
      <w:rPr>
        <w:rFonts w:ascii="Times New Roman" w:hAnsi="Times New Roman"/>
        <w:szCs w:val="22"/>
      </w:rPr>
      <w:tab/>
    </w:r>
    <w:r w:rsidRPr="00AF0424">
      <w:rPr>
        <w:rFonts w:ascii="Times New Roman" w:hAnsi="Times New Roman"/>
        <w:szCs w:val="22"/>
      </w:rPr>
      <w:tab/>
    </w:r>
    <w:r w:rsidRPr="00AF0424">
      <w:rPr>
        <w:rFonts w:ascii="Times New Roman" w:hAnsi="Times New Roman"/>
        <w:szCs w:val="22"/>
      </w:rPr>
      <w:fldChar w:fldCharType="begin"/>
    </w:r>
    <w:r w:rsidRPr="00AF0424">
      <w:rPr>
        <w:rFonts w:ascii="Times New Roman" w:hAnsi="Times New Roman"/>
        <w:szCs w:val="22"/>
      </w:rPr>
      <w:instrText xml:space="preserve"> PAGE   \* MERGEFORMAT </w:instrText>
    </w:r>
    <w:r w:rsidRPr="00AF0424">
      <w:rPr>
        <w:rFonts w:ascii="Times New Roman" w:hAnsi="Times New Roman"/>
        <w:szCs w:val="22"/>
      </w:rPr>
      <w:fldChar w:fldCharType="separate"/>
    </w:r>
    <w:r w:rsidR="00F55156">
      <w:rPr>
        <w:rFonts w:ascii="Times New Roman" w:hAnsi="Times New Roman"/>
        <w:noProof/>
        <w:szCs w:val="22"/>
      </w:rPr>
      <w:t>1</w:t>
    </w:r>
    <w:r w:rsidRPr="00AF0424">
      <w:rPr>
        <w:rFonts w:ascii="Times New Roman" w:hAnsi="Times New Roman"/>
        <w:noProof/>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A54EE" w14:textId="77777777" w:rsidR="004E5D2B" w:rsidRDefault="004E5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179E7" w14:textId="77777777" w:rsidR="00AC3A5E" w:rsidRDefault="00AC3A5E">
      <w:r>
        <w:separator/>
      </w:r>
    </w:p>
  </w:footnote>
  <w:footnote w:type="continuationSeparator" w:id="0">
    <w:p w14:paraId="373E213E" w14:textId="77777777" w:rsidR="00AC3A5E" w:rsidRDefault="00AC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1F11" w14:textId="77777777" w:rsidR="004E5D2B" w:rsidRDefault="004E5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4E5D2B" w:rsidRPr="000B2145" w14:paraId="6078FB0B" w14:textId="77777777" w:rsidTr="00057CFB">
      <w:trPr>
        <w:trHeight w:val="590"/>
      </w:trPr>
      <w:tc>
        <w:tcPr>
          <w:tcW w:w="8720" w:type="dxa"/>
          <w:shd w:val="clear" w:color="auto" w:fill="E4F2E0"/>
        </w:tcPr>
        <w:p w14:paraId="2220D430" w14:textId="77777777" w:rsidR="004E5D2B" w:rsidRPr="000B2145" w:rsidRDefault="004E5D2B" w:rsidP="004E5D2B">
          <w:pPr>
            <w:pStyle w:val="Footer"/>
            <w:rPr>
              <w:b/>
              <w:sz w:val="18"/>
              <w:szCs w:val="18"/>
            </w:rPr>
          </w:pPr>
          <w:r w:rsidRPr="00EA0C3C">
            <w:rPr>
              <w:b/>
              <w:sz w:val="18"/>
              <w:szCs w:val="18"/>
            </w:rPr>
            <w:t>Attachment 1:</w:t>
          </w:r>
          <w:r>
            <w:rPr>
              <w:b/>
              <w:sz w:val="18"/>
              <w:szCs w:val="18"/>
            </w:rPr>
            <w:t xml:space="preserve"> </w:t>
          </w:r>
          <w:r w:rsidRPr="006C1DDB">
            <w:rPr>
              <w:b/>
              <w:sz w:val="18"/>
              <w:szCs w:val="18"/>
            </w:rPr>
            <w:t xml:space="preserve">AusPAR - </w:t>
          </w:r>
          <w:proofErr w:type="spellStart"/>
          <w:r w:rsidRPr="006C1DDB">
            <w:rPr>
              <w:b/>
              <w:sz w:val="18"/>
              <w:szCs w:val="18"/>
            </w:rPr>
            <w:t>Trimbow</w:t>
          </w:r>
          <w:proofErr w:type="spellEnd"/>
          <w:r w:rsidRPr="006C1DDB">
            <w:rPr>
              <w:b/>
              <w:sz w:val="18"/>
              <w:szCs w:val="18"/>
            </w:rPr>
            <w:t xml:space="preserve"> – </w:t>
          </w:r>
          <w:proofErr w:type="spellStart"/>
          <w:r w:rsidRPr="006C1DDB">
            <w:rPr>
              <w:b/>
              <w:sz w:val="18"/>
              <w:szCs w:val="18"/>
            </w:rPr>
            <w:t>beclometasone</w:t>
          </w:r>
          <w:proofErr w:type="spellEnd"/>
          <w:r w:rsidRPr="006C1DDB">
            <w:rPr>
              <w:b/>
              <w:sz w:val="18"/>
              <w:szCs w:val="18"/>
            </w:rPr>
            <w:t xml:space="preserve"> dipropionate/formoterol fumarate/</w:t>
          </w:r>
          <w:proofErr w:type="spellStart"/>
          <w:r w:rsidRPr="006C1DDB">
            <w:rPr>
              <w:b/>
              <w:sz w:val="18"/>
              <w:szCs w:val="18"/>
            </w:rPr>
            <w:t>glycopyrronium</w:t>
          </w:r>
          <w:proofErr w:type="spellEnd"/>
          <w:r w:rsidRPr="006C1DDB">
            <w:rPr>
              <w:b/>
              <w:sz w:val="18"/>
              <w:szCs w:val="18"/>
            </w:rPr>
            <w:t xml:space="preserve"> bromide – Emerge Health Pty Ltd - PM-2019-00405-1-5</w:t>
          </w:r>
          <w:r>
            <w:rPr>
              <w:b/>
              <w:sz w:val="18"/>
              <w:szCs w:val="18"/>
            </w:rPr>
            <w:t xml:space="preserve"> </w:t>
          </w:r>
          <w:r w:rsidRPr="006C1DDB">
            <w:rPr>
              <w:b/>
              <w:sz w:val="18"/>
              <w:szCs w:val="18"/>
            </w:rPr>
            <w:t>FINAL 2 November 2020</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3B054F09" w14:textId="79531A14" w:rsidR="004076BD" w:rsidRPr="00484474" w:rsidRDefault="004076BD" w:rsidP="006D67DC">
    <w:pPr>
      <w:pStyle w:val="Header"/>
      <w:pBdr>
        <w:bottom w:val="none" w:sz="0" w:space="0" w:color="auto"/>
      </w:pBdr>
      <w:rPr>
        <w:lang w:val="en-AU"/>
      </w:rPr>
    </w:pPr>
    <w:r>
      <w:rPr>
        <w:lang w:val="en-AU"/>
      </w:rPr>
      <w:t>TRIMBOW Product Information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9C88" w14:textId="77777777" w:rsidR="004E5D2B" w:rsidRDefault="004E5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856"/>
    <w:multiLevelType w:val="multilevel"/>
    <w:tmpl w:val="5E72A8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02327A"/>
    <w:multiLevelType w:val="hybridMultilevel"/>
    <w:tmpl w:val="567426F0"/>
    <w:lvl w:ilvl="0" w:tplc="0AA0D928">
      <w:numFmt w:val="bullet"/>
      <w:lvlText w:val=""/>
      <w:lvlJc w:val="left"/>
      <w:pPr>
        <w:ind w:left="720" w:hanging="360"/>
      </w:pPr>
      <w:rPr>
        <w:rFonts w:ascii="Symbol" w:eastAsia="Times New Roman" w:hAnsi="Symbol" w:cs="Times New Roman"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C36E33"/>
    <w:multiLevelType w:val="hybridMultilevel"/>
    <w:tmpl w:val="1BC4B44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B0191F"/>
    <w:multiLevelType w:val="multilevel"/>
    <w:tmpl w:val="57E45DD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5B657F"/>
    <w:multiLevelType w:val="hybridMultilevel"/>
    <w:tmpl w:val="0F1ADB26"/>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E157B04"/>
    <w:multiLevelType w:val="hybridMultilevel"/>
    <w:tmpl w:val="5180FC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6801D9"/>
    <w:multiLevelType w:val="multilevel"/>
    <w:tmpl w:val="E3EED68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4"/>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AE"/>
    <w:rsid w:val="000007E4"/>
    <w:rsid w:val="000010BD"/>
    <w:rsid w:val="00002493"/>
    <w:rsid w:val="000036EA"/>
    <w:rsid w:val="00006A7F"/>
    <w:rsid w:val="000102EA"/>
    <w:rsid w:val="00013146"/>
    <w:rsid w:val="00013E00"/>
    <w:rsid w:val="00015016"/>
    <w:rsid w:val="0001687A"/>
    <w:rsid w:val="000205A1"/>
    <w:rsid w:val="00022F63"/>
    <w:rsid w:val="00023744"/>
    <w:rsid w:val="00027BDF"/>
    <w:rsid w:val="000336AF"/>
    <w:rsid w:val="00040328"/>
    <w:rsid w:val="000411B9"/>
    <w:rsid w:val="00045408"/>
    <w:rsid w:val="0004758E"/>
    <w:rsid w:val="00055327"/>
    <w:rsid w:val="000561A7"/>
    <w:rsid w:val="0005672D"/>
    <w:rsid w:val="00063994"/>
    <w:rsid w:val="000665F9"/>
    <w:rsid w:val="00066DFC"/>
    <w:rsid w:val="00067D1E"/>
    <w:rsid w:val="00073BE7"/>
    <w:rsid w:val="00074BED"/>
    <w:rsid w:val="00080E07"/>
    <w:rsid w:val="00085662"/>
    <w:rsid w:val="000872F9"/>
    <w:rsid w:val="000A01E6"/>
    <w:rsid w:val="000A3F1D"/>
    <w:rsid w:val="000A4384"/>
    <w:rsid w:val="000A5CFA"/>
    <w:rsid w:val="000B1919"/>
    <w:rsid w:val="000B5E62"/>
    <w:rsid w:val="000C262B"/>
    <w:rsid w:val="000C49CD"/>
    <w:rsid w:val="000C616B"/>
    <w:rsid w:val="000D06CD"/>
    <w:rsid w:val="000D0C4A"/>
    <w:rsid w:val="000D18F3"/>
    <w:rsid w:val="000D1B22"/>
    <w:rsid w:val="000D1FB0"/>
    <w:rsid w:val="000D234B"/>
    <w:rsid w:val="000D2597"/>
    <w:rsid w:val="000D2F54"/>
    <w:rsid w:val="000D31F5"/>
    <w:rsid w:val="000D34D0"/>
    <w:rsid w:val="000D4898"/>
    <w:rsid w:val="000E264A"/>
    <w:rsid w:val="000E35AC"/>
    <w:rsid w:val="000E6543"/>
    <w:rsid w:val="000E71E1"/>
    <w:rsid w:val="000F33BD"/>
    <w:rsid w:val="000F587A"/>
    <w:rsid w:val="000F7DAE"/>
    <w:rsid w:val="00112CCD"/>
    <w:rsid w:val="00113427"/>
    <w:rsid w:val="001205A3"/>
    <w:rsid w:val="001217A1"/>
    <w:rsid w:val="0012224F"/>
    <w:rsid w:val="0012238B"/>
    <w:rsid w:val="00123C41"/>
    <w:rsid w:val="00126755"/>
    <w:rsid w:val="001314B5"/>
    <w:rsid w:val="00131957"/>
    <w:rsid w:val="00136484"/>
    <w:rsid w:val="001372B8"/>
    <w:rsid w:val="00137C5B"/>
    <w:rsid w:val="00141010"/>
    <w:rsid w:val="001420BE"/>
    <w:rsid w:val="0014214B"/>
    <w:rsid w:val="00144DB5"/>
    <w:rsid w:val="00144EF4"/>
    <w:rsid w:val="0014738D"/>
    <w:rsid w:val="00150986"/>
    <w:rsid w:val="00154CED"/>
    <w:rsid w:val="00155734"/>
    <w:rsid w:val="00156AFA"/>
    <w:rsid w:val="0015780D"/>
    <w:rsid w:val="00163DF3"/>
    <w:rsid w:val="001646D8"/>
    <w:rsid w:val="00166C32"/>
    <w:rsid w:val="00167498"/>
    <w:rsid w:val="00170AE2"/>
    <w:rsid w:val="00176A7F"/>
    <w:rsid w:val="001803CF"/>
    <w:rsid w:val="00182E62"/>
    <w:rsid w:val="001923B6"/>
    <w:rsid w:val="00194EC2"/>
    <w:rsid w:val="001A1F44"/>
    <w:rsid w:val="001A34C8"/>
    <w:rsid w:val="001A500C"/>
    <w:rsid w:val="001A5471"/>
    <w:rsid w:val="001B22C3"/>
    <w:rsid w:val="001B36DD"/>
    <w:rsid w:val="001B6214"/>
    <w:rsid w:val="001B7052"/>
    <w:rsid w:val="001C541A"/>
    <w:rsid w:val="001D0176"/>
    <w:rsid w:val="001D15E5"/>
    <w:rsid w:val="001D18F8"/>
    <w:rsid w:val="001D31DF"/>
    <w:rsid w:val="001D5A39"/>
    <w:rsid w:val="001D5A99"/>
    <w:rsid w:val="001E129B"/>
    <w:rsid w:val="001E15B5"/>
    <w:rsid w:val="001E27D5"/>
    <w:rsid w:val="001F1848"/>
    <w:rsid w:val="001F29D6"/>
    <w:rsid w:val="001F4B0C"/>
    <w:rsid w:val="0020075A"/>
    <w:rsid w:val="002009DA"/>
    <w:rsid w:val="002021EA"/>
    <w:rsid w:val="002045BA"/>
    <w:rsid w:val="00206056"/>
    <w:rsid w:val="002108F6"/>
    <w:rsid w:val="00211928"/>
    <w:rsid w:val="00211ADC"/>
    <w:rsid w:val="002241AD"/>
    <w:rsid w:val="00224B5A"/>
    <w:rsid w:val="00224E9F"/>
    <w:rsid w:val="002261DC"/>
    <w:rsid w:val="00226DA2"/>
    <w:rsid w:val="00230C3E"/>
    <w:rsid w:val="00234E3C"/>
    <w:rsid w:val="002354E7"/>
    <w:rsid w:val="00237625"/>
    <w:rsid w:val="00237738"/>
    <w:rsid w:val="0023788B"/>
    <w:rsid w:val="00242FAE"/>
    <w:rsid w:val="00247725"/>
    <w:rsid w:val="00250494"/>
    <w:rsid w:val="00257BF2"/>
    <w:rsid w:val="00264AE0"/>
    <w:rsid w:val="00265D59"/>
    <w:rsid w:val="00266DE6"/>
    <w:rsid w:val="00267F69"/>
    <w:rsid w:val="00271C3F"/>
    <w:rsid w:val="00275BD8"/>
    <w:rsid w:val="00276C7A"/>
    <w:rsid w:val="002773DE"/>
    <w:rsid w:val="00277728"/>
    <w:rsid w:val="00277E08"/>
    <w:rsid w:val="002836C1"/>
    <w:rsid w:val="00283D7F"/>
    <w:rsid w:val="00284EE9"/>
    <w:rsid w:val="00294B31"/>
    <w:rsid w:val="00296816"/>
    <w:rsid w:val="00297C31"/>
    <w:rsid w:val="002A0A35"/>
    <w:rsid w:val="002A2A57"/>
    <w:rsid w:val="002A4A3F"/>
    <w:rsid w:val="002A5FE4"/>
    <w:rsid w:val="002A6BDC"/>
    <w:rsid w:val="002A7391"/>
    <w:rsid w:val="002A7D86"/>
    <w:rsid w:val="002B5F8F"/>
    <w:rsid w:val="002B659D"/>
    <w:rsid w:val="002B6E88"/>
    <w:rsid w:val="002C0B45"/>
    <w:rsid w:val="002C13E9"/>
    <w:rsid w:val="002C167A"/>
    <w:rsid w:val="002C2271"/>
    <w:rsid w:val="002C286A"/>
    <w:rsid w:val="002C3C96"/>
    <w:rsid w:val="002C70EB"/>
    <w:rsid w:val="002D0321"/>
    <w:rsid w:val="002D0895"/>
    <w:rsid w:val="002D1610"/>
    <w:rsid w:val="002D1DB2"/>
    <w:rsid w:val="002D3C83"/>
    <w:rsid w:val="002D7BEF"/>
    <w:rsid w:val="002E0909"/>
    <w:rsid w:val="002E2ECD"/>
    <w:rsid w:val="002E44E5"/>
    <w:rsid w:val="002E4E6E"/>
    <w:rsid w:val="002E6708"/>
    <w:rsid w:val="002E7348"/>
    <w:rsid w:val="002F26EF"/>
    <w:rsid w:val="002F38A1"/>
    <w:rsid w:val="002F44F0"/>
    <w:rsid w:val="002F7E27"/>
    <w:rsid w:val="0030033E"/>
    <w:rsid w:val="003036ED"/>
    <w:rsid w:val="00303ABE"/>
    <w:rsid w:val="003050AD"/>
    <w:rsid w:val="00307AA9"/>
    <w:rsid w:val="003155FC"/>
    <w:rsid w:val="003162AC"/>
    <w:rsid w:val="00320C5E"/>
    <w:rsid w:val="00324639"/>
    <w:rsid w:val="00326CD1"/>
    <w:rsid w:val="00330626"/>
    <w:rsid w:val="0033069E"/>
    <w:rsid w:val="0033430E"/>
    <w:rsid w:val="003406FB"/>
    <w:rsid w:val="003413F9"/>
    <w:rsid w:val="0034487A"/>
    <w:rsid w:val="003455E7"/>
    <w:rsid w:val="0034611E"/>
    <w:rsid w:val="0034627E"/>
    <w:rsid w:val="003471FD"/>
    <w:rsid w:val="00350B68"/>
    <w:rsid w:val="00354786"/>
    <w:rsid w:val="003560E1"/>
    <w:rsid w:val="00360DE7"/>
    <w:rsid w:val="00362409"/>
    <w:rsid w:val="003630EC"/>
    <w:rsid w:val="0036371D"/>
    <w:rsid w:val="00363E78"/>
    <w:rsid w:val="003649D5"/>
    <w:rsid w:val="00375A6D"/>
    <w:rsid w:val="00375FF1"/>
    <w:rsid w:val="003838CC"/>
    <w:rsid w:val="0038591D"/>
    <w:rsid w:val="0038634C"/>
    <w:rsid w:val="00386F61"/>
    <w:rsid w:val="0039648E"/>
    <w:rsid w:val="003A00F7"/>
    <w:rsid w:val="003A1645"/>
    <w:rsid w:val="003A63EA"/>
    <w:rsid w:val="003A6F9F"/>
    <w:rsid w:val="003A7FA3"/>
    <w:rsid w:val="003B1BC1"/>
    <w:rsid w:val="003B2A24"/>
    <w:rsid w:val="003B45A4"/>
    <w:rsid w:val="003C27C2"/>
    <w:rsid w:val="003D059F"/>
    <w:rsid w:val="003D1D85"/>
    <w:rsid w:val="003D370A"/>
    <w:rsid w:val="003D4067"/>
    <w:rsid w:val="003D4CDF"/>
    <w:rsid w:val="003D67AE"/>
    <w:rsid w:val="003E356B"/>
    <w:rsid w:val="003E5B18"/>
    <w:rsid w:val="003F0D02"/>
    <w:rsid w:val="003F32FC"/>
    <w:rsid w:val="0040363E"/>
    <w:rsid w:val="004076BD"/>
    <w:rsid w:val="00407F89"/>
    <w:rsid w:val="00414876"/>
    <w:rsid w:val="004155FB"/>
    <w:rsid w:val="00416B31"/>
    <w:rsid w:val="00420FAE"/>
    <w:rsid w:val="00424BDA"/>
    <w:rsid w:val="00430202"/>
    <w:rsid w:val="004334E6"/>
    <w:rsid w:val="00436209"/>
    <w:rsid w:val="0043642C"/>
    <w:rsid w:val="004370B8"/>
    <w:rsid w:val="00437F43"/>
    <w:rsid w:val="00441213"/>
    <w:rsid w:val="0044286C"/>
    <w:rsid w:val="004444E7"/>
    <w:rsid w:val="00444FA8"/>
    <w:rsid w:val="004465A5"/>
    <w:rsid w:val="00454DFF"/>
    <w:rsid w:val="00455D4F"/>
    <w:rsid w:val="00456B03"/>
    <w:rsid w:val="00461677"/>
    <w:rsid w:val="00463016"/>
    <w:rsid w:val="004713B2"/>
    <w:rsid w:val="004726D2"/>
    <w:rsid w:val="00472C14"/>
    <w:rsid w:val="00474334"/>
    <w:rsid w:val="00480C5C"/>
    <w:rsid w:val="00481F08"/>
    <w:rsid w:val="0048200F"/>
    <w:rsid w:val="00482609"/>
    <w:rsid w:val="004828B5"/>
    <w:rsid w:val="00484474"/>
    <w:rsid w:val="00484FE5"/>
    <w:rsid w:val="00485D60"/>
    <w:rsid w:val="004A34A7"/>
    <w:rsid w:val="004A490D"/>
    <w:rsid w:val="004A6E41"/>
    <w:rsid w:val="004A70FE"/>
    <w:rsid w:val="004B1DF7"/>
    <w:rsid w:val="004B26A9"/>
    <w:rsid w:val="004B303C"/>
    <w:rsid w:val="004B7044"/>
    <w:rsid w:val="004B7E54"/>
    <w:rsid w:val="004C370E"/>
    <w:rsid w:val="004C6339"/>
    <w:rsid w:val="004C6F41"/>
    <w:rsid w:val="004C70FA"/>
    <w:rsid w:val="004D2210"/>
    <w:rsid w:val="004D47D2"/>
    <w:rsid w:val="004D4DC9"/>
    <w:rsid w:val="004D533A"/>
    <w:rsid w:val="004D5B69"/>
    <w:rsid w:val="004E2B8C"/>
    <w:rsid w:val="004E5D2B"/>
    <w:rsid w:val="004E68AF"/>
    <w:rsid w:val="004E7180"/>
    <w:rsid w:val="004F0867"/>
    <w:rsid w:val="0050117B"/>
    <w:rsid w:val="00501AB7"/>
    <w:rsid w:val="00501C68"/>
    <w:rsid w:val="00503C0D"/>
    <w:rsid w:val="0050603B"/>
    <w:rsid w:val="00506F3D"/>
    <w:rsid w:val="00513B37"/>
    <w:rsid w:val="005145EE"/>
    <w:rsid w:val="00523F5C"/>
    <w:rsid w:val="0052712C"/>
    <w:rsid w:val="00533D20"/>
    <w:rsid w:val="005405AA"/>
    <w:rsid w:val="00540C8C"/>
    <w:rsid w:val="00553B47"/>
    <w:rsid w:val="005551D7"/>
    <w:rsid w:val="005567C1"/>
    <w:rsid w:val="005610F8"/>
    <w:rsid w:val="0056525C"/>
    <w:rsid w:val="005659C4"/>
    <w:rsid w:val="005703D1"/>
    <w:rsid w:val="005835D0"/>
    <w:rsid w:val="0058362A"/>
    <w:rsid w:val="005843E4"/>
    <w:rsid w:val="00586571"/>
    <w:rsid w:val="005900B3"/>
    <w:rsid w:val="00592206"/>
    <w:rsid w:val="005958F5"/>
    <w:rsid w:val="00596C3C"/>
    <w:rsid w:val="005977F8"/>
    <w:rsid w:val="005A59AA"/>
    <w:rsid w:val="005A66AC"/>
    <w:rsid w:val="005A6A51"/>
    <w:rsid w:val="005A775A"/>
    <w:rsid w:val="005B133D"/>
    <w:rsid w:val="005B357A"/>
    <w:rsid w:val="005B4BB8"/>
    <w:rsid w:val="005C0126"/>
    <w:rsid w:val="005C0882"/>
    <w:rsid w:val="005C099A"/>
    <w:rsid w:val="005C168F"/>
    <w:rsid w:val="005D4514"/>
    <w:rsid w:val="005D6856"/>
    <w:rsid w:val="005F0595"/>
    <w:rsid w:val="005F16EB"/>
    <w:rsid w:val="00600EEE"/>
    <w:rsid w:val="006039FF"/>
    <w:rsid w:val="00607239"/>
    <w:rsid w:val="006074C8"/>
    <w:rsid w:val="00610C7E"/>
    <w:rsid w:val="00614FC2"/>
    <w:rsid w:val="00615F5F"/>
    <w:rsid w:val="00616D9E"/>
    <w:rsid w:val="006222F0"/>
    <w:rsid w:val="006232E9"/>
    <w:rsid w:val="0062574C"/>
    <w:rsid w:val="00632416"/>
    <w:rsid w:val="006357CE"/>
    <w:rsid w:val="00635906"/>
    <w:rsid w:val="00637E94"/>
    <w:rsid w:val="00641E9D"/>
    <w:rsid w:val="00642B7E"/>
    <w:rsid w:val="00643D0A"/>
    <w:rsid w:val="006441C4"/>
    <w:rsid w:val="006468AC"/>
    <w:rsid w:val="00653C7E"/>
    <w:rsid w:val="00654E0C"/>
    <w:rsid w:val="00655728"/>
    <w:rsid w:val="0066545F"/>
    <w:rsid w:val="006676A9"/>
    <w:rsid w:val="00670E58"/>
    <w:rsid w:val="00671986"/>
    <w:rsid w:val="00674057"/>
    <w:rsid w:val="006769FE"/>
    <w:rsid w:val="00676FF3"/>
    <w:rsid w:val="0067783B"/>
    <w:rsid w:val="006800DF"/>
    <w:rsid w:val="00680119"/>
    <w:rsid w:val="00682F42"/>
    <w:rsid w:val="00684D54"/>
    <w:rsid w:val="00690C71"/>
    <w:rsid w:val="006919D9"/>
    <w:rsid w:val="00695E9C"/>
    <w:rsid w:val="0069610A"/>
    <w:rsid w:val="006A04FB"/>
    <w:rsid w:val="006A19AC"/>
    <w:rsid w:val="006A391D"/>
    <w:rsid w:val="006A4DB8"/>
    <w:rsid w:val="006A61C7"/>
    <w:rsid w:val="006A660C"/>
    <w:rsid w:val="006A6912"/>
    <w:rsid w:val="006B0EB2"/>
    <w:rsid w:val="006B34A9"/>
    <w:rsid w:val="006B61F6"/>
    <w:rsid w:val="006C389F"/>
    <w:rsid w:val="006C3B31"/>
    <w:rsid w:val="006C3E51"/>
    <w:rsid w:val="006C46B3"/>
    <w:rsid w:val="006C68A0"/>
    <w:rsid w:val="006D06A4"/>
    <w:rsid w:val="006D2E22"/>
    <w:rsid w:val="006D5286"/>
    <w:rsid w:val="006D5D49"/>
    <w:rsid w:val="006D67DC"/>
    <w:rsid w:val="006E00D8"/>
    <w:rsid w:val="006E087F"/>
    <w:rsid w:val="006E2044"/>
    <w:rsid w:val="006E2C0D"/>
    <w:rsid w:val="006E6686"/>
    <w:rsid w:val="006F0B94"/>
    <w:rsid w:val="006F145E"/>
    <w:rsid w:val="006F5482"/>
    <w:rsid w:val="006F67E9"/>
    <w:rsid w:val="006F687C"/>
    <w:rsid w:val="006F6880"/>
    <w:rsid w:val="006F7AF6"/>
    <w:rsid w:val="00700A50"/>
    <w:rsid w:val="0070483D"/>
    <w:rsid w:val="007063AB"/>
    <w:rsid w:val="007064CB"/>
    <w:rsid w:val="007065A6"/>
    <w:rsid w:val="0071037F"/>
    <w:rsid w:val="007122C9"/>
    <w:rsid w:val="0071280F"/>
    <w:rsid w:val="007156D0"/>
    <w:rsid w:val="00723B2D"/>
    <w:rsid w:val="0072472D"/>
    <w:rsid w:val="00725411"/>
    <w:rsid w:val="00730667"/>
    <w:rsid w:val="007338CC"/>
    <w:rsid w:val="00736D62"/>
    <w:rsid w:val="007378F7"/>
    <w:rsid w:val="007443FC"/>
    <w:rsid w:val="00744D71"/>
    <w:rsid w:val="00745950"/>
    <w:rsid w:val="00746A73"/>
    <w:rsid w:val="00750190"/>
    <w:rsid w:val="00751CA8"/>
    <w:rsid w:val="007520D5"/>
    <w:rsid w:val="00752FE8"/>
    <w:rsid w:val="0075336D"/>
    <w:rsid w:val="00755E6D"/>
    <w:rsid w:val="00762C2D"/>
    <w:rsid w:val="00762E23"/>
    <w:rsid w:val="007634F0"/>
    <w:rsid w:val="007669A2"/>
    <w:rsid w:val="00767D7D"/>
    <w:rsid w:val="0077005D"/>
    <w:rsid w:val="00770C9E"/>
    <w:rsid w:val="00771B2E"/>
    <w:rsid w:val="0077355B"/>
    <w:rsid w:val="00774765"/>
    <w:rsid w:val="00781A09"/>
    <w:rsid w:val="007840EA"/>
    <w:rsid w:val="00784525"/>
    <w:rsid w:val="00784D21"/>
    <w:rsid w:val="00786C38"/>
    <w:rsid w:val="00787639"/>
    <w:rsid w:val="007903C1"/>
    <w:rsid w:val="007908FB"/>
    <w:rsid w:val="00792C0E"/>
    <w:rsid w:val="00796DFB"/>
    <w:rsid w:val="007977BE"/>
    <w:rsid w:val="007A39B8"/>
    <w:rsid w:val="007A5887"/>
    <w:rsid w:val="007B008E"/>
    <w:rsid w:val="007B1083"/>
    <w:rsid w:val="007B177E"/>
    <w:rsid w:val="007B5F5A"/>
    <w:rsid w:val="007B6C83"/>
    <w:rsid w:val="007C21D4"/>
    <w:rsid w:val="007C2C75"/>
    <w:rsid w:val="007C6289"/>
    <w:rsid w:val="007D19E4"/>
    <w:rsid w:val="007D2268"/>
    <w:rsid w:val="007D2DE6"/>
    <w:rsid w:val="007E1963"/>
    <w:rsid w:val="007E4F81"/>
    <w:rsid w:val="007E5223"/>
    <w:rsid w:val="007E5393"/>
    <w:rsid w:val="007F2758"/>
    <w:rsid w:val="007F3164"/>
    <w:rsid w:val="007F3859"/>
    <w:rsid w:val="007F3868"/>
    <w:rsid w:val="007F3CAD"/>
    <w:rsid w:val="007F3D16"/>
    <w:rsid w:val="007F628B"/>
    <w:rsid w:val="007F668F"/>
    <w:rsid w:val="0080096A"/>
    <w:rsid w:val="00800BE0"/>
    <w:rsid w:val="008059ED"/>
    <w:rsid w:val="00806A20"/>
    <w:rsid w:val="0081774C"/>
    <w:rsid w:val="008228D7"/>
    <w:rsid w:val="008246A9"/>
    <w:rsid w:val="008305FE"/>
    <w:rsid w:val="00841F28"/>
    <w:rsid w:val="0084521A"/>
    <w:rsid w:val="00847155"/>
    <w:rsid w:val="00847D84"/>
    <w:rsid w:val="008536AF"/>
    <w:rsid w:val="00855656"/>
    <w:rsid w:val="008568E7"/>
    <w:rsid w:val="00860386"/>
    <w:rsid w:val="00861EFA"/>
    <w:rsid w:val="008652B1"/>
    <w:rsid w:val="00865FA7"/>
    <w:rsid w:val="008662A9"/>
    <w:rsid w:val="008670BD"/>
    <w:rsid w:val="008678C8"/>
    <w:rsid w:val="008718D8"/>
    <w:rsid w:val="00872151"/>
    <w:rsid w:val="00873266"/>
    <w:rsid w:val="00873C3B"/>
    <w:rsid w:val="00875FC3"/>
    <w:rsid w:val="0087612D"/>
    <w:rsid w:val="00876530"/>
    <w:rsid w:val="00877D24"/>
    <w:rsid w:val="00880A5C"/>
    <w:rsid w:val="00886BB5"/>
    <w:rsid w:val="00886D58"/>
    <w:rsid w:val="00886E74"/>
    <w:rsid w:val="00891532"/>
    <w:rsid w:val="008917BB"/>
    <w:rsid w:val="008972FD"/>
    <w:rsid w:val="008A1F6A"/>
    <w:rsid w:val="008A3549"/>
    <w:rsid w:val="008A3BD0"/>
    <w:rsid w:val="008A4347"/>
    <w:rsid w:val="008A44FA"/>
    <w:rsid w:val="008A49C3"/>
    <w:rsid w:val="008A4FC7"/>
    <w:rsid w:val="008B2A43"/>
    <w:rsid w:val="008B486A"/>
    <w:rsid w:val="008B4CAC"/>
    <w:rsid w:val="008B7F5D"/>
    <w:rsid w:val="008C0936"/>
    <w:rsid w:val="008C367E"/>
    <w:rsid w:val="008C3C47"/>
    <w:rsid w:val="008C5729"/>
    <w:rsid w:val="008D15E2"/>
    <w:rsid w:val="008D26A7"/>
    <w:rsid w:val="008D4731"/>
    <w:rsid w:val="008E4661"/>
    <w:rsid w:val="008E589A"/>
    <w:rsid w:val="008F0BF7"/>
    <w:rsid w:val="008F1EA4"/>
    <w:rsid w:val="008F41E2"/>
    <w:rsid w:val="008F7A50"/>
    <w:rsid w:val="009003FC"/>
    <w:rsid w:val="00900455"/>
    <w:rsid w:val="00901E02"/>
    <w:rsid w:val="00902926"/>
    <w:rsid w:val="009039F1"/>
    <w:rsid w:val="00907420"/>
    <w:rsid w:val="00907E48"/>
    <w:rsid w:val="009154AD"/>
    <w:rsid w:val="00920E83"/>
    <w:rsid w:val="00920F65"/>
    <w:rsid w:val="0092332E"/>
    <w:rsid w:val="009270E8"/>
    <w:rsid w:val="00927B27"/>
    <w:rsid w:val="00927B54"/>
    <w:rsid w:val="0093244F"/>
    <w:rsid w:val="00933FF6"/>
    <w:rsid w:val="00937B67"/>
    <w:rsid w:val="0094041C"/>
    <w:rsid w:val="00943ADC"/>
    <w:rsid w:val="00946ED8"/>
    <w:rsid w:val="00950761"/>
    <w:rsid w:val="00951686"/>
    <w:rsid w:val="0095220E"/>
    <w:rsid w:val="00954188"/>
    <w:rsid w:val="00955937"/>
    <w:rsid w:val="00955EB7"/>
    <w:rsid w:val="009565C0"/>
    <w:rsid w:val="0096001E"/>
    <w:rsid w:val="009641B1"/>
    <w:rsid w:val="0096629D"/>
    <w:rsid w:val="009669FD"/>
    <w:rsid w:val="00970B9C"/>
    <w:rsid w:val="009746A7"/>
    <w:rsid w:val="00974B10"/>
    <w:rsid w:val="00980543"/>
    <w:rsid w:val="00980837"/>
    <w:rsid w:val="00982BE1"/>
    <w:rsid w:val="009843E5"/>
    <w:rsid w:val="0098641D"/>
    <w:rsid w:val="0098753F"/>
    <w:rsid w:val="00990761"/>
    <w:rsid w:val="009A206E"/>
    <w:rsid w:val="009A3811"/>
    <w:rsid w:val="009A3F6E"/>
    <w:rsid w:val="009A621C"/>
    <w:rsid w:val="009A6878"/>
    <w:rsid w:val="009B3F0E"/>
    <w:rsid w:val="009B5C18"/>
    <w:rsid w:val="009B72D9"/>
    <w:rsid w:val="009C0B29"/>
    <w:rsid w:val="009C19F9"/>
    <w:rsid w:val="009C543F"/>
    <w:rsid w:val="009D116F"/>
    <w:rsid w:val="009D1DE6"/>
    <w:rsid w:val="009D2776"/>
    <w:rsid w:val="009D6BD5"/>
    <w:rsid w:val="009E30CB"/>
    <w:rsid w:val="009E494A"/>
    <w:rsid w:val="009E4DD6"/>
    <w:rsid w:val="009E77DD"/>
    <w:rsid w:val="009E7DC0"/>
    <w:rsid w:val="009F0317"/>
    <w:rsid w:val="009F3BE5"/>
    <w:rsid w:val="009F56A3"/>
    <w:rsid w:val="009F621C"/>
    <w:rsid w:val="00A023D2"/>
    <w:rsid w:val="00A03D1B"/>
    <w:rsid w:val="00A11306"/>
    <w:rsid w:val="00A137C8"/>
    <w:rsid w:val="00A17A2B"/>
    <w:rsid w:val="00A25102"/>
    <w:rsid w:val="00A30A8D"/>
    <w:rsid w:val="00A30CE5"/>
    <w:rsid w:val="00A33648"/>
    <w:rsid w:val="00A33CA2"/>
    <w:rsid w:val="00A3498F"/>
    <w:rsid w:val="00A365C4"/>
    <w:rsid w:val="00A36624"/>
    <w:rsid w:val="00A37953"/>
    <w:rsid w:val="00A40F55"/>
    <w:rsid w:val="00A41529"/>
    <w:rsid w:val="00A417A8"/>
    <w:rsid w:val="00A4441C"/>
    <w:rsid w:val="00A467CD"/>
    <w:rsid w:val="00A47704"/>
    <w:rsid w:val="00A47BCE"/>
    <w:rsid w:val="00A625F6"/>
    <w:rsid w:val="00A62F07"/>
    <w:rsid w:val="00A660C0"/>
    <w:rsid w:val="00A6648B"/>
    <w:rsid w:val="00A7014B"/>
    <w:rsid w:val="00A7473D"/>
    <w:rsid w:val="00A76E74"/>
    <w:rsid w:val="00A772C7"/>
    <w:rsid w:val="00A77549"/>
    <w:rsid w:val="00A8186E"/>
    <w:rsid w:val="00A83BD6"/>
    <w:rsid w:val="00A85DE4"/>
    <w:rsid w:val="00A90279"/>
    <w:rsid w:val="00A93CA8"/>
    <w:rsid w:val="00A9712D"/>
    <w:rsid w:val="00AA15E7"/>
    <w:rsid w:val="00AA2268"/>
    <w:rsid w:val="00AA42A3"/>
    <w:rsid w:val="00AA6245"/>
    <w:rsid w:val="00AB03EE"/>
    <w:rsid w:val="00AB0F02"/>
    <w:rsid w:val="00AB675C"/>
    <w:rsid w:val="00AC10E8"/>
    <w:rsid w:val="00AC223A"/>
    <w:rsid w:val="00AC3A5E"/>
    <w:rsid w:val="00AC4637"/>
    <w:rsid w:val="00AC495D"/>
    <w:rsid w:val="00AC49A8"/>
    <w:rsid w:val="00AC51AD"/>
    <w:rsid w:val="00AC6384"/>
    <w:rsid w:val="00AC6F7F"/>
    <w:rsid w:val="00AC71BD"/>
    <w:rsid w:val="00AC740C"/>
    <w:rsid w:val="00AC7B64"/>
    <w:rsid w:val="00AD25AC"/>
    <w:rsid w:val="00AD481D"/>
    <w:rsid w:val="00AD5941"/>
    <w:rsid w:val="00AD77EB"/>
    <w:rsid w:val="00AD7C51"/>
    <w:rsid w:val="00AE6E16"/>
    <w:rsid w:val="00AE79DA"/>
    <w:rsid w:val="00AF0424"/>
    <w:rsid w:val="00AF09B1"/>
    <w:rsid w:val="00AF530B"/>
    <w:rsid w:val="00AF7243"/>
    <w:rsid w:val="00AF72C2"/>
    <w:rsid w:val="00AF7777"/>
    <w:rsid w:val="00B0052A"/>
    <w:rsid w:val="00B04F0E"/>
    <w:rsid w:val="00B129D0"/>
    <w:rsid w:val="00B147AE"/>
    <w:rsid w:val="00B15995"/>
    <w:rsid w:val="00B2080E"/>
    <w:rsid w:val="00B2326F"/>
    <w:rsid w:val="00B30C9E"/>
    <w:rsid w:val="00B318D2"/>
    <w:rsid w:val="00B31DDD"/>
    <w:rsid w:val="00B34980"/>
    <w:rsid w:val="00B36298"/>
    <w:rsid w:val="00B42BBF"/>
    <w:rsid w:val="00B44263"/>
    <w:rsid w:val="00B44CCA"/>
    <w:rsid w:val="00B462AE"/>
    <w:rsid w:val="00B46AE8"/>
    <w:rsid w:val="00B46D39"/>
    <w:rsid w:val="00B506BA"/>
    <w:rsid w:val="00B51F81"/>
    <w:rsid w:val="00B52DB7"/>
    <w:rsid w:val="00B558E5"/>
    <w:rsid w:val="00B56B35"/>
    <w:rsid w:val="00B624C9"/>
    <w:rsid w:val="00B63C25"/>
    <w:rsid w:val="00B658BB"/>
    <w:rsid w:val="00B66052"/>
    <w:rsid w:val="00B7024F"/>
    <w:rsid w:val="00B72281"/>
    <w:rsid w:val="00B72972"/>
    <w:rsid w:val="00B73C40"/>
    <w:rsid w:val="00B73C8D"/>
    <w:rsid w:val="00B75515"/>
    <w:rsid w:val="00B80C98"/>
    <w:rsid w:val="00B862B8"/>
    <w:rsid w:val="00B8698D"/>
    <w:rsid w:val="00B87CBB"/>
    <w:rsid w:val="00B921ED"/>
    <w:rsid w:val="00B93C16"/>
    <w:rsid w:val="00B96F15"/>
    <w:rsid w:val="00BA0747"/>
    <w:rsid w:val="00BA1633"/>
    <w:rsid w:val="00BA1E9D"/>
    <w:rsid w:val="00BA2503"/>
    <w:rsid w:val="00BA36CB"/>
    <w:rsid w:val="00BA5B49"/>
    <w:rsid w:val="00BB2000"/>
    <w:rsid w:val="00BB3BFC"/>
    <w:rsid w:val="00BB5DAC"/>
    <w:rsid w:val="00BC1160"/>
    <w:rsid w:val="00BC2722"/>
    <w:rsid w:val="00BC42DF"/>
    <w:rsid w:val="00BC43D5"/>
    <w:rsid w:val="00BD15BD"/>
    <w:rsid w:val="00BD1B7F"/>
    <w:rsid w:val="00BD2FBB"/>
    <w:rsid w:val="00BD56C9"/>
    <w:rsid w:val="00BE0F3C"/>
    <w:rsid w:val="00BE5CD5"/>
    <w:rsid w:val="00BE6071"/>
    <w:rsid w:val="00BE7533"/>
    <w:rsid w:val="00BE7D29"/>
    <w:rsid w:val="00BF6317"/>
    <w:rsid w:val="00BF76D2"/>
    <w:rsid w:val="00C0044F"/>
    <w:rsid w:val="00C00826"/>
    <w:rsid w:val="00C0640C"/>
    <w:rsid w:val="00C06930"/>
    <w:rsid w:val="00C072C0"/>
    <w:rsid w:val="00C100E4"/>
    <w:rsid w:val="00C10F54"/>
    <w:rsid w:val="00C117E5"/>
    <w:rsid w:val="00C220B2"/>
    <w:rsid w:val="00C22F4F"/>
    <w:rsid w:val="00C3008D"/>
    <w:rsid w:val="00C3356D"/>
    <w:rsid w:val="00C34090"/>
    <w:rsid w:val="00C35A6E"/>
    <w:rsid w:val="00C36AD7"/>
    <w:rsid w:val="00C40AA4"/>
    <w:rsid w:val="00C410AF"/>
    <w:rsid w:val="00C4744C"/>
    <w:rsid w:val="00C47E54"/>
    <w:rsid w:val="00C502AB"/>
    <w:rsid w:val="00C50B07"/>
    <w:rsid w:val="00C52A9F"/>
    <w:rsid w:val="00C548DF"/>
    <w:rsid w:val="00C6076A"/>
    <w:rsid w:val="00C657B7"/>
    <w:rsid w:val="00C66EB5"/>
    <w:rsid w:val="00C67D41"/>
    <w:rsid w:val="00C70176"/>
    <w:rsid w:val="00C71D13"/>
    <w:rsid w:val="00C7314D"/>
    <w:rsid w:val="00C7551D"/>
    <w:rsid w:val="00C75FAB"/>
    <w:rsid w:val="00C76DCD"/>
    <w:rsid w:val="00C773E6"/>
    <w:rsid w:val="00C92EF8"/>
    <w:rsid w:val="00C92F81"/>
    <w:rsid w:val="00C9328A"/>
    <w:rsid w:val="00C936F1"/>
    <w:rsid w:val="00C93D23"/>
    <w:rsid w:val="00C95B55"/>
    <w:rsid w:val="00CA1C4E"/>
    <w:rsid w:val="00CA1CBF"/>
    <w:rsid w:val="00CA5EC9"/>
    <w:rsid w:val="00CA79F3"/>
    <w:rsid w:val="00CB1E3C"/>
    <w:rsid w:val="00CB468F"/>
    <w:rsid w:val="00CB66E7"/>
    <w:rsid w:val="00CC4420"/>
    <w:rsid w:val="00CC4EA0"/>
    <w:rsid w:val="00CD2151"/>
    <w:rsid w:val="00CD2957"/>
    <w:rsid w:val="00CD30B9"/>
    <w:rsid w:val="00CD494E"/>
    <w:rsid w:val="00CD6031"/>
    <w:rsid w:val="00CD6A4B"/>
    <w:rsid w:val="00CE280A"/>
    <w:rsid w:val="00CE2982"/>
    <w:rsid w:val="00CE2B6B"/>
    <w:rsid w:val="00CE3DFD"/>
    <w:rsid w:val="00CE4166"/>
    <w:rsid w:val="00CE4DFD"/>
    <w:rsid w:val="00CE5994"/>
    <w:rsid w:val="00CE6E36"/>
    <w:rsid w:val="00CE748B"/>
    <w:rsid w:val="00CF0CFE"/>
    <w:rsid w:val="00CF4812"/>
    <w:rsid w:val="00D00E20"/>
    <w:rsid w:val="00D01AF0"/>
    <w:rsid w:val="00D026CD"/>
    <w:rsid w:val="00D045BE"/>
    <w:rsid w:val="00D06763"/>
    <w:rsid w:val="00D101A2"/>
    <w:rsid w:val="00D20E3F"/>
    <w:rsid w:val="00D21087"/>
    <w:rsid w:val="00D23648"/>
    <w:rsid w:val="00D23A32"/>
    <w:rsid w:val="00D2433B"/>
    <w:rsid w:val="00D24B97"/>
    <w:rsid w:val="00D254FE"/>
    <w:rsid w:val="00D312BF"/>
    <w:rsid w:val="00D33A68"/>
    <w:rsid w:val="00D350A9"/>
    <w:rsid w:val="00D3797C"/>
    <w:rsid w:val="00D37B45"/>
    <w:rsid w:val="00D40AFE"/>
    <w:rsid w:val="00D433F5"/>
    <w:rsid w:val="00D44C56"/>
    <w:rsid w:val="00D45D75"/>
    <w:rsid w:val="00D47A39"/>
    <w:rsid w:val="00D54225"/>
    <w:rsid w:val="00D54329"/>
    <w:rsid w:val="00D54435"/>
    <w:rsid w:val="00D569F5"/>
    <w:rsid w:val="00D60FFE"/>
    <w:rsid w:val="00D631DD"/>
    <w:rsid w:val="00D652CD"/>
    <w:rsid w:val="00D81197"/>
    <w:rsid w:val="00D81781"/>
    <w:rsid w:val="00D82E2C"/>
    <w:rsid w:val="00D83930"/>
    <w:rsid w:val="00D84E2F"/>
    <w:rsid w:val="00D86478"/>
    <w:rsid w:val="00D92378"/>
    <w:rsid w:val="00D94063"/>
    <w:rsid w:val="00D9596F"/>
    <w:rsid w:val="00D959DE"/>
    <w:rsid w:val="00D97B1A"/>
    <w:rsid w:val="00DA5A5E"/>
    <w:rsid w:val="00DA7E50"/>
    <w:rsid w:val="00DB1313"/>
    <w:rsid w:val="00DB2DD8"/>
    <w:rsid w:val="00DC2305"/>
    <w:rsid w:val="00DC246A"/>
    <w:rsid w:val="00DC3C8A"/>
    <w:rsid w:val="00DC3CA0"/>
    <w:rsid w:val="00DC7C97"/>
    <w:rsid w:val="00DD40B4"/>
    <w:rsid w:val="00DD5063"/>
    <w:rsid w:val="00DD597B"/>
    <w:rsid w:val="00DE2DDE"/>
    <w:rsid w:val="00DE627A"/>
    <w:rsid w:val="00DE6701"/>
    <w:rsid w:val="00DE6C5E"/>
    <w:rsid w:val="00DF290B"/>
    <w:rsid w:val="00DF4443"/>
    <w:rsid w:val="00DF4E51"/>
    <w:rsid w:val="00DF5A2A"/>
    <w:rsid w:val="00DF6B37"/>
    <w:rsid w:val="00DF75EE"/>
    <w:rsid w:val="00E0471E"/>
    <w:rsid w:val="00E052E7"/>
    <w:rsid w:val="00E10255"/>
    <w:rsid w:val="00E12298"/>
    <w:rsid w:val="00E1419C"/>
    <w:rsid w:val="00E14E51"/>
    <w:rsid w:val="00E15303"/>
    <w:rsid w:val="00E15A31"/>
    <w:rsid w:val="00E177D3"/>
    <w:rsid w:val="00E21D62"/>
    <w:rsid w:val="00E236E9"/>
    <w:rsid w:val="00E25306"/>
    <w:rsid w:val="00E2631F"/>
    <w:rsid w:val="00E26C42"/>
    <w:rsid w:val="00E318C1"/>
    <w:rsid w:val="00E34E92"/>
    <w:rsid w:val="00E36E44"/>
    <w:rsid w:val="00E36E9C"/>
    <w:rsid w:val="00E403D2"/>
    <w:rsid w:val="00E4088B"/>
    <w:rsid w:val="00E416C9"/>
    <w:rsid w:val="00E41D83"/>
    <w:rsid w:val="00E42520"/>
    <w:rsid w:val="00E432FD"/>
    <w:rsid w:val="00E456F9"/>
    <w:rsid w:val="00E474D2"/>
    <w:rsid w:val="00E5189E"/>
    <w:rsid w:val="00E55634"/>
    <w:rsid w:val="00E60DD1"/>
    <w:rsid w:val="00E63113"/>
    <w:rsid w:val="00E701BE"/>
    <w:rsid w:val="00E70C46"/>
    <w:rsid w:val="00E72DE8"/>
    <w:rsid w:val="00E761B2"/>
    <w:rsid w:val="00E76803"/>
    <w:rsid w:val="00E77C36"/>
    <w:rsid w:val="00E9005B"/>
    <w:rsid w:val="00E90836"/>
    <w:rsid w:val="00E9366A"/>
    <w:rsid w:val="00EA148D"/>
    <w:rsid w:val="00EA43D1"/>
    <w:rsid w:val="00EA7578"/>
    <w:rsid w:val="00EB2362"/>
    <w:rsid w:val="00EB24E8"/>
    <w:rsid w:val="00EC110F"/>
    <w:rsid w:val="00EC4488"/>
    <w:rsid w:val="00EC519C"/>
    <w:rsid w:val="00EC523D"/>
    <w:rsid w:val="00EC66F8"/>
    <w:rsid w:val="00EC7368"/>
    <w:rsid w:val="00ED31CB"/>
    <w:rsid w:val="00ED446D"/>
    <w:rsid w:val="00ED6439"/>
    <w:rsid w:val="00ED7D92"/>
    <w:rsid w:val="00EE30AF"/>
    <w:rsid w:val="00EE34F5"/>
    <w:rsid w:val="00EE55DF"/>
    <w:rsid w:val="00EE72EF"/>
    <w:rsid w:val="00EF0C12"/>
    <w:rsid w:val="00F00559"/>
    <w:rsid w:val="00F0251C"/>
    <w:rsid w:val="00F03C1F"/>
    <w:rsid w:val="00F057AC"/>
    <w:rsid w:val="00F116A0"/>
    <w:rsid w:val="00F14068"/>
    <w:rsid w:val="00F15B4F"/>
    <w:rsid w:val="00F178CC"/>
    <w:rsid w:val="00F213F5"/>
    <w:rsid w:val="00F2181E"/>
    <w:rsid w:val="00F223F7"/>
    <w:rsid w:val="00F26719"/>
    <w:rsid w:val="00F26CAE"/>
    <w:rsid w:val="00F33A50"/>
    <w:rsid w:val="00F34C9B"/>
    <w:rsid w:val="00F37883"/>
    <w:rsid w:val="00F4533C"/>
    <w:rsid w:val="00F454D6"/>
    <w:rsid w:val="00F517D7"/>
    <w:rsid w:val="00F5470E"/>
    <w:rsid w:val="00F54A78"/>
    <w:rsid w:val="00F55156"/>
    <w:rsid w:val="00F5556D"/>
    <w:rsid w:val="00F5708D"/>
    <w:rsid w:val="00F57EE1"/>
    <w:rsid w:val="00F60635"/>
    <w:rsid w:val="00F60D14"/>
    <w:rsid w:val="00F62DC1"/>
    <w:rsid w:val="00F64024"/>
    <w:rsid w:val="00F65A65"/>
    <w:rsid w:val="00F65AC8"/>
    <w:rsid w:val="00F66091"/>
    <w:rsid w:val="00F70C22"/>
    <w:rsid w:val="00F71278"/>
    <w:rsid w:val="00F73D40"/>
    <w:rsid w:val="00F75F21"/>
    <w:rsid w:val="00F766FB"/>
    <w:rsid w:val="00F7780C"/>
    <w:rsid w:val="00F81402"/>
    <w:rsid w:val="00F81688"/>
    <w:rsid w:val="00F826AE"/>
    <w:rsid w:val="00F84170"/>
    <w:rsid w:val="00F84339"/>
    <w:rsid w:val="00F84EB7"/>
    <w:rsid w:val="00F85C8B"/>
    <w:rsid w:val="00F87765"/>
    <w:rsid w:val="00F9013F"/>
    <w:rsid w:val="00F91ECA"/>
    <w:rsid w:val="00F94051"/>
    <w:rsid w:val="00F94298"/>
    <w:rsid w:val="00F94FE5"/>
    <w:rsid w:val="00FA03CA"/>
    <w:rsid w:val="00FA3C62"/>
    <w:rsid w:val="00FA50E6"/>
    <w:rsid w:val="00FA5964"/>
    <w:rsid w:val="00FA59E3"/>
    <w:rsid w:val="00FB148F"/>
    <w:rsid w:val="00FB2DD3"/>
    <w:rsid w:val="00FB2EC2"/>
    <w:rsid w:val="00FC52DE"/>
    <w:rsid w:val="00FC531F"/>
    <w:rsid w:val="00FC75D1"/>
    <w:rsid w:val="00FD6A2F"/>
    <w:rsid w:val="00FD7D20"/>
    <w:rsid w:val="00FE0085"/>
    <w:rsid w:val="00FE1E95"/>
    <w:rsid w:val="00FE297C"/>
    <w:rsid w:val="00FE2987"/>
    <w:rsid w:val="00FE5250"/>
    <w:rsid w:val="00FE703E"/>
    <w:rsid w:val="00FF0124"/>
    <w:rsid w:val="00FF25D0"/>
    <w:rsid w:val="00FF71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8C2411"/>
  <w15:chartTrackingRefBased/>
  <w15:docId w15:val="{83273CF6-F8A0-4A4E-ACE7-83339468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it-IT"/>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b/>
      <w:caps/>
      <w:sz w:val="40"/>
      <w:lang w:val="en-GB"/>
    </w:rPr>
  </w:style>
  <w:style w:type="paragraph" w:styleId="Heading3">
    <w:name w:val="heading 3"/>
    <w:basedOn w:val="Normal"/>
    <w:next w:val="Normal"/>
    <w:link w:val="Heading3Char"/>
    <w:uiPriority w:val="9"/>
    <w:unhideWhenUsed/>
    <w:qFormat/>
    <w:rsid w:val="00506F3D"/>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75336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lang w:val="en-GB"/>
    </w:rPr>
  </w:style>
  <w:style w:type="character" w:styleId="Emphasis">
    <w:name w:val="Emphasis"/>
    <w:qFormat/>
    <w:rPr>
      <w:i/>
      <w:iCs/>
    </w:rPr>
  </w:style>
  <w:style w:type="character" w:styleId="PageNumber">
    <w:name w:val="page number"/>
    <w:basedOn w:val="DefaultParagraphFont"/>
  </w:style>
  <w:style w:type="paragraph" w:customStyle="1" w:styleId="hd">
    <w:name w:val="hd"/>
    <w:basedOn w:val="Normal"/>
    <w:pPr>
      <w:tabs>
        <w:tab w:val="left" w:pos="737"/>
      </w:tabs>
      <w:spacing w:before="120" w:after="60"/>
      <w:jc w:val="center"/>
    </w:pPr>
    <w:rPr>
      <w:rFonts w:ascii="Century Schoolbook" w:hAnsi="Century Schoolbook"/>
      <w:b/>
      <w:smallCaps/>
      <w:sz w:val="28"/>
      <w:lang w:val="en-GB"/>
    </w:rPr>
  </w:style>
  <w:style w:type="paragraph" w:styleId="Header">
    <w:name w:val="header"/>
    <w:basedOn w:val="Normal"/>
    <w:link w:val="HeaderChar"/>
    <w:uiPriority w:val="99"/>
    <w:pPr>
      <w:pBdr>
        <w:bottom w:val="single" w:sz="6" w:space="2" w:color="auto"/>
      </w:pBdr>
      <w:tabs>
        <w:tab w:val="left" w:pos="709"/>
        <w:tab w:val="left" w:pos="737"/>
        <w:tab w:val="left" w:pos="1134"/>
        <w:tab w:val="center" w:pos="4320"/>
        <w:tab w:val="right" w:pos="8640"/>
      </w:tabs>
      <w:spacing w:before="120" w:after="180"/>
      <w:jc w:val="both"/>
    </w:pPr>
    <w:rPr>
      <w:sz w:val="22"/>
      <w:lang w:val="en-GB"/>
    </w:rPr>
  </w:style>
  <w:style w:type="paragraph" w:styleId="Footer">
    <w:name w:val="footer"/>
    <w:basedOn w:val="Normal"/>
    <w:link w:val="FooterChar"/>
    <w:pPr>
      <w:tabs>
        <w:tab w:val="left" w:pos="709"/>
        <w:tab w:val="left" w:pos="737"/>
        <w:tab w:val="left" w:pos="1134"/>
        <w:tab w:val="center" w:pos="4320"/>
        <w:tab w:val="right" w:pos="8640"/>
      </w:tabs>
      <w:spacing w:before="120"/>
      <w:jc w:val="both"/>
    </w:pPr>
    <w:rPr>
      <w:rFonts w:ascii="Century Schoolbook" w:hAnsi="Century Schoolbook"/>
      <w:sz w:val="22"/>
      <w:lang w:val="en-GB"/>
    </w:rPr>
  </w:style>
  <w:style w:type="paragraph" w:styleId="BodyText2">
    <w:name w:val="Body Text 2"/>
    <w:basedOn w:val="Normal"/>
    <w:pPr>
      <w:jc w:val="center"/>
    </w:pPr>
    <w:rPr>
      <w:b/>
      <w:caps/>
      <w:sz w:val="40"/>
      <w:lang w:val="en-GB"/>
    </w:rPr>
  </w:style>
  <w:style w:type="paragraph" w:styleId="BodyText3">
    <w:name w:val="Body Text 3"/>
    <w:basedOn w:val="Normal"/>
    <w:rPr>
      <w:b/>
      <w:sz w:val="40"/>
    </w:rPr>
  </w:style>
  <w:style w:type="paragraph" w:styleId="NormalWeb">
    <w:name w:val="Normal (Web)"/>
    <w:basedOn w:val="Normal"/>
    <w:pPr>
      <w:spacing w:before="100" w:beforeAutospacing="1" w:after="100" w:afterAutospacing="1"/>
    </w:pPr>
    <w:rPr>
      <w:sz w:val="24"/>
      <w:szCs w:val="24"/>
      <w:lang w:val="it-IT"/>
    </w:rPr>
  </w:style>
  <w:style w:type="character" w:styleId="Hyperlink">
    <w:name w:val="Hyperlink"/>
    <w:uiPriority w:val="99"/>
    <w:rPr>
      <w:color w:val="0000FF"/>
      <w:u w:val="single"/>
    </w:rPr>
  </w:style>
  <w:style w:type="paragraph" w:styleId="BodyTextIndent">
    <w:name w:val="Body Text Indent"/>
    <w:basedOn w:val="Normal"/>
    <w:pPr>
      <w:spacing w:after="60"/>
      <w:ind w:left="567"/>
      <w:jc w:val="both"/>
    </w:pPr>
    <w:rPr>
      <w:i/>
      <w:sz w:val="24"/>
      <w:lang w:val="en-GB"/>
    </w:rPr>
  </w:style>
  <w:style w:type="paragraph" w:styleId="BodyTextIndent2">
    <w:name w:val="Body Text Indent 2"/>
    <w:basedOn w:val="Normal"/>
    <w:pPr>
      <w:ind w:left="284"/>
      <w:jc w:val="both"/>
    </w:pPr>
    <w:rPr>
      <w:color w:val="FF0000"/>
      <w:sz w:val="22"/>
    </w:rPr>
  </w:style>
  <w:style w:type="paragraph" w:styleId="BodyTextIndent3">
    <w:name w:val="Body Text Indent 3"/>
    <w:basedOn w:val="Normal"/>
    <w:pPr>
      <w:ind w:left="284" w:hanging="284"/>
      <w:jc w:val="both"/>
    </w:pPr>
    <w:rPr>
      <w:noProof/>
      <w:sz w:val="22"/>
    </w:rPr>
  </w:style>
  <w:style w:type="paragraph" w:customStyle="1" w:styleId="WfxFaxNum">
    <w:name w:val="WfxFaxNum"/>
    <w:basedOn w:val="Normal"/>
    <w:pPr>
      <w:jc w:val="both"/>
    </w:pPr>
    <w:rPr>
      <w:sz w:val="24"/>
      <w:lang w:val="en-GB"/>
    </w:rPr>
  </w:style>
  <w:style w:type="paragraph" w:styleId="Title">
    <w:name w:val="Title"/>
    <w:basedOn w:val="Normal"/>
    <w:link w:val="TitleChar"/>
    <w:uiPriority w:val="10"/>
    <w:qFormat/>
    <w:pPr>
      <w:jc w:val="center"/>
    </w:pPr>
    <w:rPr>
      <w:b/>
      <w:color w:val="FF0000"/>
      <w:sz w:val="72"/>
      <w:lang w:val="en-GB"/>
    </w:rPr>
  </w:style>
  <w:style w:type="paragraph" w:customStyle="1" w:styleId="Testofumetto1">
    <w:name w:val="Testo fumetto1"/>
    <w:basedOn w:val="Normal"/>
    <w:semiHidden/>
    <w:rPr>
      <w:rFonts w:ascii="Tahoma" w:hAnsi="Tahoma" w:cs="Tahoma"/>
      <w:sz w:val="16"/>
      <w:szCs w:val="16"/>
    </w:rPr>
  </w:style>
  <w:style w:type="paragraph" w:customStyle="1" w:styleId="TEXT3">
    <w:name w:val="TEXT3"/>
    <w:basedOn w:val="Normal"/>
    <w:pPr>
      <w:tabs>
        <w:tab w:val="left" w:pos="426"/>
      </w:tabs>
      <w:spacing w:after="120"/>
      <w:jc w:val="both"/>
    </w:pPr>
    <w:rPr>
      <w:snapToGrid w:val="0"/>
      <w:sz w:val="24"/>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uiPriority w:val="99"/>
    <w:semiHidden/>
    <w:rPr>
      <w:b/>
      <w:bCs/>
    </w:rPr>
  </w:style>
  <w:style w:type="paragraph" w:customStyle="1" w:styleId="Default">
    <w:name w:val="Default"/>
    <w:rsid w:val="00792C0E"/>
    <w:pPr>
      <w:autoSpaceDE w:val="0"/>
      <w:autoSpaceDN w:val="0"/>
      <w:adjustRightInd w:val="0"/>
    </w:pPr>
    <w:rPr>
      <w:color w:val="000000"/>
      <w:sz w:val="24"/>
      <w:szCs w:val="24"/>
      <w:lang w:val="it-IT" w:eastAsia="it-IT"/>
    </w:rPr>
  </w:style>
  <w:style w:type="character" w:customStyle="1" w:styleId="Heading6Char">
    <w:name w:val="Heading 6 Char"/>
    <w:link w:val="Heading6"/>
    <w:semiHidden/>
    <w:rsid w:val="0075336D"/>
    <w:rPr>
      <w:rFonts w:ascii="Calibri" w:eastAsia="Times New Roman" w:hAnsi="Calibri" w:cs="Times New Roman"/>
      <w:b/>
      <w:bCs/>
      <w:sz w:val="22"/>
      <w:szCs w:val="22"/>
      <w:lang w:val="en-US" w:eastAsia="it-IT"/>
    </w:rPr>
  </w:style>
  <w:style w:type="paragraph" w:styleId="NoSpacing">
    <w:name w:val="No Spacing"/>
    <w:uiPriority w:val="1"/>
    <w:qFormat/>
    <w:rsid w:val="00E36E44"/>
    <w:rPr>
      <w:lang w:val="en-US" w:eastAsia="it-IT"/>
    </w:rPr>
  </w:style>
  <w:style w:type="character" w:customStyle="1" w:styleId="UnresolvedMention">
    <w:name w:val="Unresolved Mention"/>
    <w:uiPriority w:val="99"/>
    <w:semiHidden/>
    <w:unhideWhenUsed/>
    <w:rsid w:val="007A39B8"/>
    <w:rPr>
      <w:color w:val="808080"/>
      <w:shd w:val="clear" w:color="auto" w:fill="E6E6E6"/>
    </w:rPr>
  </w:style>
  <w:style w:type="character" w:customStyle="1" w:styleId="FooterChar">
    <w:name w:val="Footer Char"/>
    <w:link w:val="Footer"/>
    <w:rsid w:val="006D67DC"/>
    <w:rPr>
      <w:rFonts w:ascii="Century Schoolbook" w:hAnsi="Century Schoolbook"/>
      <w:sz w:val="22"/>
      <w:lang w:val="en-GB" w:eastAsia="it-IT"/>
    </w:rPr>
  </w:style>
  <w:style w:type="character" w:customStyle="1" w:styleId="Heading3Char">
    <w:name w:val="Heading 3 Char"/>
    <w:link w:val="Heading3"/>
    <w:uiPriority w:val="9"/>
    <w:rsid w:val="00506F3D"/>
    <w:rPr>
      <w:rFonts w:ascii="Calibri Light" w:eastAsia="Times New Roman" w:hAnsi="Calibri Light" w:cs="Times New Roman"/>
      <w:b/>
      <w:bCs/>
      <w:sz w:val="26"/>
      <w:szCs w:val="26"/>
      <w:lang w:val="en-US" w:eastAsia="it-IT"/>
    </w:rPr>
  </w:style>
  <w:style w:type="paragraph" w:customStyle="1" w:styleId="Normale1">
    <w:name w:val="Normale1"/>
    <w:qFormat/>
    <w:rsid w:val="00474334"/>
    <w:rPr>
      <w:sz w:val="24"/>
      <w:szCs w:val="24"/>
      <w:lang w:val="fr-FR" w:eastAsia="fr-FR"/>
    </w:rPr>
  </w:style>
  <w:style w:type="table" w:customStyle="1" w:styleId="Tabellanormale1">
    <w:name w:val="Tabella normale1"/>
    <w:uiPriority w:val="99"/>
    <w:semiHidden/>
    <w:unhideWhenUsed/>
    <w:rsid w:val="00474334"/>
    <w:tblPr>
      <w:tblInd w:w="0" w:type="dxa"/>
      <w:tblCellMar>
        <w:top w:w="0" w:type="dxa"/>
        <w:left w:w="108" w:type="dxa"/>
        <w:bottom w:w="0" w:type="dxa"/>
        <w:right w:w="108" w:type="dxa"/>
      </w:tblCellMar>
    </w:tblPr>
  </w:style>
  <w:style w:type="numbering" w:customStyle="1" w:styleId="Nessunelenco1">
    <w:name w:val="Nessun elenco1"/>
    <w:next w:val="NoList"/>
    <w:uiPriority w:val="99"/>
    <w:semiHidden/>
    <w:unhideWhenUsed/>
    <w:rsid w:val="00CA1CBF"/>
  </w:style>
  <w:style w:type="character" w:customStyle="1" w:styleId="Heading1Char">
    <w:name w:val="Heading 1 Char"/>
    <w:basedOn w:val="DefaultParagraphFont"/>
    <w:link w:val="Heading1"/>
    <w:uiPriority w:val="9"/>
    <w:rsid w:val="00CA1CBF"/>
    <w:rPr>
      <w:rFonts w:ascii="Arial" w:hAnsi="Arial"/>
      <w:b/>
      <w:kern w:val="28"/>
      <w:sz w:val="28"/>
      <w:lang w:val="en-US" w:eastAsia="it-IT"/>
    </w:rPr>
  </w:style>
  <w:style w:type="character" w:customStyle="1" w:styleId="Heading2Char">
    <w:name w:val="Heading 2 Char"/>
    <w:basedOn w:val="DefaultParagraphFont"/>
    <w:link w:val="Heading2"/>
    <w:uiPriority w:val="9"/>
    <w:rsid w:val="00CA1CBF"/>
    <w:rPr>
      <w:b/>
      <w:caps/>
      <w:sz w:val="40"/>
      <w:lang w:val="en-GB" w:eastAsia="it-IT"/>
    </w:rPr>
  </w:style>
  <w:style w:type="paragraph" w:styleId="Caption">
    <w:name w:val="caption"/>
    <w:basedOn w:val="Normal"/>
    <w:next w:val="Normal"/>
    <w:link w:val="CaptionChar"/>
    <w:unhideWhenUsed/>
    <w:qFormat/>
    <w:rsid w:val="00CA1CBF"/>
    <w:pPr>
      <w:spacing w:after="200"/>
    </w:pPr>
    <w:rPr>
      <w:rFonts w:ascii="Calibri" w:hAnsi="Calibri"/>
      <w:b/>
      <w:bCs/>
      <w:color w:val="4F81BD"/>
      <w:sz w:val="18"/>
      <w:szCs w:val="18"/>
      <w:lang w:val="fr-FR" w:eastAsia="en-US"/>
    </w:rPr>
  </w:style>
  <w:style w:type="character" w:customStyle="1" w:styleId="BalloonTextChar">
    <w:name w:val="Balloon Text Char"/>
    <w:basedOn w:val="DefaultParagraphFont"/>
    <w:link w:val="BalloonText"/>
    <w:uiPriority w:val="99"/>
    <w:semiHidden/>
    <w:rsid w:val="00CA1CBF"/>
    <w:rPr>
      <w:rFonts w:ascii="Tahoma" w:hAnsi="Tahoma" w:cs="Tahoma"/>
      <w:sz w:val="16"/>
      <w:szCs w:val="16"/>
      <w:lang w:val="en-US" w:eastAsia="it-IT"/>
    </w:rPr>
  </w:style>
  <w:style w:type="paragraph" w:styleId="ListParagraph">
    <w:name w:val="List Paragraph"/>
    <w:basedOn w:val="Normal"/>
    <w:link w:val="ListParagraphChar"/>
    <w:uiPriority w:val="34"/>
    <w:qFormat/>
    <w:rsid w:val="00CA1CBF"/>
    <w:pPr>
      <w:spacing w:after="200" w:line="276" w:lineRule="auto"/>
      <w:ind w:left="720"/>
      <w:contextualSpacing/>
    </w:pPr>
    <w:rPr>
      <w:rFonts w:ascii="Calibri" w:hAnsi="Calibri"/>
      <w:sz w:val="22"/>
      <w:szCs w:val="22"/>
      <w:lang w:val="fr-FR" w:eastAsia="en-US"/>
    </w:rPr>
  </w:style>
  <w:style w:type="table" w:styleId="TableGrid">
    <w:name w:val="Table Grid"/>
    <w:basedOn w:val="TableNormal"/>
    <w:uiPriority w:val="59"/>
    <w:rsid w:val="00CA1CBF"/>
    <w:rPr>
      <w:rFonts w:ascii="Times" w:hAnsi="Times"/>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A1CBF"/>
    <w:rPr>
      <w:sz w:val="22"/>
      <w:lang w:val="en-GB" w:eastAsia="it-IT"/>
    </w:rPr>
  </w:style>
  <w:style w:type="character" w:customStyle="1" w:styleId="TitleChar">
    <w:name w:val="Title Char"/>
    <w:basedOn w:val="DefaultParagraphFont"/>
    <w:link w:val="Title"/>
    <w:uiPriority w:val="10"/>
    <w:rsid w:val="00CA1CBF"/>
    <w:rPr>
      <w:b/>
      <w:color w:val="FF0000"/>
      <w:sz w:val="72"/>
      <w:lang w:val="en-GB" w:eastAsia="it-IT"/>
    </w:rPr>
  </w:style>
  <w:style w:type="character" w:customStyle="1" w:styleId="CommentTextChar">
    <w:name w:val="Comment Text Char"/>
    <w:basedOn w:val="DefaultParagraphFont"/>
    <w:link w:val="CommentText"/>
    <w:rsid w:val="00CA1CBF"/>
    <w:rPr>
      <w:lang w:val="en-US" w:eastAsia="it-IT"/>
    </w:rPr>
  </w:style>
  <w:style w:type="character" w:customStyle="1" w:styleId="CommentSubjectChar">
    <w:name w:val="Comment Subject Char"/>
    <w:basedOn w:val="CommentTextChar"/>
    <w:link w:val="CommentSubject"/>
    <w:uiPriority w:val="99"/>
    <w:semiHidden/>
    <w:rsid w:val="00CA1CBF"/>
    <w:rPr>
      <w:b/>
      <w:bCs/>
      <w:lang w:val="en-US" w:eastAsia="it-IT"/>
    </w:rPr>
  </w:style>
  <w:style w:type="character" w:customStyle="1" w:styleId="UnresolvedMention1">
    <w:name w:val="Unresolved Mention1"/>
    <w:basedOn w:val="DefaultParagraphFont"/>
    <w:uiPriority w:val="99"/>
    <w:semiHidden/>
    <w:unhideWhenUsed/>
    <w:rsid w:val="00CA1CBF"/>
    <w:rPr>
      <w:color w:val="605E5C"/>
      <w:shd w:val="clear" w:color="auto" w:fill="E1DFDD"/>
    </w:rPr>
  </w:style>
  <w:style w:type="character" w:customStyle="1" w:styleId="Collegamentovisitato1">
    <w:name w:val="Collegamento visitato1"/>
    <w:basedOn w:val="DefaultParagraphFont"/>
    <w:uiPriority w:val="99"/>
    <w:semiHidden/>
    <w:unhideWhenUsed/>
    <w:rsid w:val="00CA1CBF"/>
    <w:rPr>
      <w:color w:val="954F72"/>
      <w:u w:val="single"/>
    </w:rPr>
  </w:style>
  <w:style w:type="character" w:customStyle="1" w:styleId="ilfuvd">
    <w:name w:val="ilfuvd"/>
    <w:basedOn w:val="DefaultParagraphFont"/>
    <w:rsid w:val="00CA1CBF"/>
  </w:style>
  <w:style w:type="character" w:styleId="Strong">
    <w:name w:val="Strong"/>
    <w:basedOn w:val="DefaultParagraphFont"/>
    <w:uiPriority w:val="22"/>
    <w:qFormat/>
    <w:rsid w:val="00CA1CBF"/>
    <w:rPr>
      <w:b/>
      <w:bCs/>
    </w:rPr>
  </w:style>
  <w:style w:type="character" w:customStyle="1" w:styleId="list-group-item3">
    <w:name w:val="list-group-item3"/>
    <w:basedOn w:val="DefaultParagraphFont"/>
    <w:rsid w:val="00CA1CBF"/>
    <w:rPr>
      <w:vanish w:val="0"/>
      <w:webHidden w:val="0"/>
      <w:bdr w:val="none" w:sz="0" w:space="0" w:color="auto" w:frame="1"/>
      <w:shd w:val="clear" w:color="auto" w:fill="FFFFFF"/>
      <w:specVanish w:val="0"/>
    </w:rPr>
  </w:style>
  <w:style w:type="character" w:customStyle="1" w:styleId="sr-only1">
    <w:name w:val="sr-only1"/>
    <w:basedOn w:val="DefaultParagraphFont"/>
    <w:rsid w:val="00CA1CBF"/>
    <w:rPr>
      <w:bdr w:val="none" w:sz="0" w:space="0" w:color="auto" w:frame="1"/>
    </w:rPr>
  </w:style>
  <w:style w:type="paragraph" w:customStyle="1" w:styleId="InstructionText">
    <w:name w:val="Instruction Text"/>
    <w:link w:val="InstructionTextCarattere"/>
    <w:rsid w:val="00CA1CBF"/>
    <w:pPr>
      <w:jc w:val="both"/>
    </w:pPr>
    <w:rPr>
      <w:i/>
      <w:vanish/>
      <w:color w:val="0000FF"/>
      <w:sz w:val="24"/>
      <w:szCs w:val="24"/>
      <w:lang w:val="it-IT" w:eastAsia="it-IT"/>
    </w:rPr>
  </w:style>
  <w:style w:type="character" w:customStyle="1" w:styleId="InstructionTextCarattere">
    <w:name w:val="Instruction Text Carattere"/>
    <w:link w:val="InstructionText"/>
    <w:rsid w:val="00CA1CBF"/>
    <w:rPr>
      <w:i/>
      <w:vanish/>
      <w:color w:val="0000FF"/>
      <w:sz w:val="24"/>
      <w:szCs w:val="24"/>
      <w:lang w:val="it-IT" w:eastAsia="it-IT"/>
    </w:rPr>
  </w:style>
  <w:style w:type="numbering" w:customStyle="1" w:styleId="Nessunelenco11">
    <w:name w:val="Nessun elenco11"/>
    <w:next w:val="NoList"/>
    <w:uiPriority w:val="99"/>
    <w:semiHidden/>
    <w:unhideWhenUsed/>
    <w:rsid w:val="00CA1CBF"/>
  </w:style>
  <w:style w:type="paragraph" w:customStyle="1" w:styleId="ListBulleted">
    <w:name w:val="List Bulleted"/>
    <w:basedOn w:val="Normal"/>
    <w:rsid w:val="00CA1CBF"/>
    <w:pPr>
      <w:keepLines/>
      <w:numPr>
        <w:numId w:val="3"/>
      </w:numPr>
      <w:adjustRightInd w:val="0"/>
      <w:spacing w:before="120" w:after="120" w:line="300" w:lineRule="auto"/>
      <w:jc w:val="both"/>
    </w:pPr>
    <w:rPr>
      <w:rFonts w:eastAsia="SimSun"/>
      <w:kern w:val="24"/>
      <w:sz w:val="24"/>
      <w:szCs w:val="24"/>
      <w:lang w:val="en-GB" w:eastAsia="zh-CN"/>
    </w:rPr>
  </w:style>
  <w:style w:type="character" w:customStyle="1" w:styleId="CaptionChar">
    <w:name w:val="Caption Char"/>
    <w:link w:val="Caption"/>
    <w:rsid w:val="00CA1CBF"/>
    <w:rPr>
      <w:rFonts w:ascii="Calibri" w:hAnsi="Calibri"/>
      <w:b/>
      <w:bCs/>
      <w:color w:val="4F81BD"/>
      <w:sz w:val="18"/>
      <w:szCs w:val="18"/>
      <w:lang w:val="fr-FR" w:eastAsia="en-US"/>
    </w:rPr>
  </w:style>
  <w:style w:type="paragraph" w:customStyle="1" w:styleId="Tableau">
    <w:name w:val="Tableau"/>
    <w:link w:val="TableauCar"/>
    <w:rsid w:val="00CA1CBF"/>
    <w:pPr>
      <w:keepNext/>
      <w:spacing w:before="20"/>
      <w:jc w:val="both"/>
    </w:pPr>
    <w:rPr>
      <w:noProof/>
      <w:lang w:val="en-GB" w:eastAsia="en-US"/>
    </w:rPr>
  </w:style>
  <w:style w:type="character" w:customStyle="1" w:styleId="TableauCar">
    <w:name w:val="Tableau Car"/>
    <w:link w:val="Tableau"/>
    <w:rsid w:val="00CA1CBF"/>
    <w:rPr>
      <w:noProof/>
      <w:lang w:val="en-GB" w:eastAsia="en-US"/>
    </w:rPr>
  </w:style>
  <w:style w:type="table" w:customStyle="1" w:styleId="Grigliatabella1">
    <w:name w:val="Griglia tabella1"/>
    <w:basedOn w:val="TableNormal"/>
    <w:next w:val="TableGrid"/>
    <w:uiPriority w:val="39"/>
    <w:rsid w:val="00CA1CBF"/>
    <w:rPr>
      <w:rFonts w:ascii="Calibri" w:eastAsia="Calibri" w:hAnsi="Calibr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ext">
    <w:name w:val="Document Text"/>
    <w:basedOn w:val="Normal"/>
    <w:rsid w:val="00CA1CBF"/>
    <w:pPr>
      <w:spacing w:after="240" w:line="300" w:lineRule="auto"/>
    </w:pPr>
    <w:rPr>
      <w:kern w:val="24"/>
      <w:sz w:val="24"/>
      <w:szCs w:val="24"/>
      <w:lang w:val="en-GB" w:eastAsia="en-US"/>
    </w:rPr>
  </w:style>
  <w:style w:type="paragraph" w:styleId="FootnoteText">
    <w:name w:val="footnote text"/>
    <w:basedOn w:val="Normal"/>
    <w:link w:val="FootnoteTextChar"/>
    <w:uiPriority w:val="99"/>
    <w:unhideWhenUsed/>
    <w:rsid w:val="00CA1CBF"/>
    <w:pPr>
      <w:suppressAutoHyphens/>
      <w:jc w:val="both"/>
    </w:pPr>
    <w:rPr>
      <w:lang w:val="en-GB" w:eastAsia="fr-FR"/>
    </w:rPr>
  </w:style>
  <w:style w:type="character" w:customStyle="1" w:styleId="FootnoteTextChar">
    <w:name w:val="Footnote Text Char"/>
    <w:basedOn w:val="DefaultParagraphFont"/>
    <w:link w:val="FootnoteText"/>
    <w:uiPriority w:val="99"/>
    <w:rsid w:val="00CA1CBF"/>
    <w:rPr>
      <w:lang w:val="en-GB" w:eastAsia="fr-FR"/>
    </w:rPr>
  </w:style>
  <w:style w:type="character" w:styleId="FootnoteReference">
    <w:name w:val="footnote reference"/>
    <w:basedOn w:val="DefaultParagraphFont"/>
    <w:uiPriority w:val="99"/>
    <w:unhideWhenUsed/>
    <w:rsid w:val="00CA1CBF"/>
    <w:rPr>
      <w:vertAlign w:val="superscript"/>
    </w:rPr>
  </w:style>
  <w:style w:type="character" w:customStyle="1" w:styleId="corpodeltestoistruzioniCarattere">
    <w:name w:val="corpo del testo istruzioni Carattere"/>
    <w:rsid w:val="00CA1CBF"/>
    <w:rPr>
      <w:i/>
      <w:color w:val="3366FF"/>
      <w:sz w:val="24"/>
      <w:lang w:val="en-GB" w:eastAsia="it-IT" w:bidi="ar-SA"/>
    </w:rPr>
  </w:style>
  <w:style w:type="paragraph" w:customStyle="1" w:styleId="ListParagraph1">
    <w:name w:val="List Paragraph1"/>
    <w:basedOn w:val="Normal"/>
    <w:uiPriority w:val="99"/>
    <w:rsid w:val="00CA1CBF"/>
    <w:pPr>
      <w:ind w:left="720"/>
      <w:contextualSpacing/>
    </w:pPr>
    <w:rPr>
      <w:sz w:val="22"/>
      <w:lang w:val="en-GB" w:eastAsia="en-US"/>
    </w:rPr>
  </w:style>
  <w:style w:type="character" w:customStyle="1" w:styleId="ListParagraphChar">
    <w:name w:val="List Paragraph Char"/>
    <w:link w:val="ListParagraph"/>
    <w:uiPriority w:val="34"/>
    <w:locked/>
    <w:rsid w:val="00CA1CBF"/>
    <w:rPr>
      <w:rFonts w:ascii="Calibri" w:hAnsi="Calibri"/>
      <w:sz w:val="22"/>
      <w:szCs w:val="22"/>
      <w:lang w:val="fr-FR" w:eastAsia="en-US"/>
    </w:rPr>
  </w:style>
  <w:style w:type="paragraph" w:styleId="Revision">
    <w:name w:val="Revision"/>
    <w:hidden/>
    <w:uiPriority w:val="99"/>
    <w:semiHidden/>
    <w:rsid w:val="00CA1CBF"/>
    <w:rPr>
      <w:sz w:val="24"/>
      <w:szCs w:val="24"/>
      <w:lang w:val="en-GB" w:eastAsia="fr-FR"/>
    </w:rPr>
  </w:style>
  <w:style w:type="paragraph" w:customStyle="1" w:styleId="paragraph">
    <w:name w:val="paragraph"/>
    <w:basedOn w:val="Normal"/>
    <w:rsid w:val="00CA1CBF"/>
    <w:pPr>
      <w:spacing w:before="100" w:beforeAutospacing="1" w:after="100" w:afterAutospacing="1"/>
    </w:pPr>
    <w:rPr>
      <w:sz w:val="24"/>
      <w:szCs w:val="24"/>
      <w:lang w:val="it-IT"/>
    </w:rPr>
  </w:style>
  <w:style w:type="character" w:customStyle="1" w:styleId="normaltextrun">
    <w:name w:val="normaltextrun"/>
    <w:basedOn w:val="DefaultParagraphFont"/>
    <w:rsid w:val="00CA1CBF"/>
  </w:style>
  <w:style w:type="character" w:customStyle="1" w:styleId="eop">
    <w:name w:val="eop"/>
    <w:basedOn w:val="DefaultParagraphFont"/>
    <w:rsid w:val="00CA1CBF"/>
  </w:style>
  <w:style w:type="character" w:customStyle="1" w:styleId="spellingerror">
    <w:name w:val="spellingerror"/>
    <w:basedOn w:val="DefaultParagraphFont"/>
    <w:rsid w:val="00CA1CBF"/>
  </w:style>
  <w:style w:type="character" w:styleId="FollowedHyperlink">
    <w:name w:val="FollowedHyperlink"/>
    <w:basedOn w:val="DefaultParagraphFont"/>
    <w:rsid w:val="00CA1CBF"/>
    <w:rPr>
      <w:color w:val="954F72" w:themeColor="followedHyperlink"/>
      <w:u w:val="single"/>
    </w:rPr>
  </w:style>
  <w:style w:type="table" w:customStyle="1" w:styleId="Grigliatabella2">
    <w:name w:val="Griglia tabella2"/>
    <w:basedOn w:val="TableNormal"/>
    <w:next w:val="TableGrid"/>
    <w:uiPriority w:val="39"/>
    <w:rsid w:val="006B34A9"/>
    <w:rPr>
      <w:rFonts w:ascii="Times" w:hAnsi="Times"/>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ustomerservice@emergehealth.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E1F0AEA8E400C4D90BDE099EE4A0DA9" ma:contentTypeVersion="71" ma:contentTypeDescription="Creare un nuovo documento." ma:contentTypeScope="" ma:versionID="b8187e16f52daba563635e98329d5c8d">
  <xsd:schema xmlns:xsd="http://www.w3.org/2001/XMLSchema" xmlns:xs="http://www.w3.org/2001/XMLSchema" xmlns:p="http://schemas.microsoft.com/office/2006/metadata/properties" xmlns:ns2="http://schemas.microsoft.com/sharepoint/v3/fields" targetNamespace="http://schemas.microsoft.com/office/2006/metadata/properties" ma:root="true" ma:fieldsID="b208548fd45f5f73668287d2fa421436" ns2:_="">
    <xsd:import namespace="http://schemas.microsoft.com/sharepoint/v3/fields"/>
    <xsd:element name="properties">
      <xsd:complexType>
        <xsd:sequence>
          <xsd:element name="documentManagement">
            <xsd:complexType>
              <xsd:all>
                <xsd:element ref="ns2:_Contributor" minOccurs="0"/>
                <xsd:element ref="ns2:_Coverage" minOccurs="0"/>
                <xsd:element ref="ns2:_DCDateCreated" minOccurs="0"/>
                <xsd:element ref="ns2:_DCDateModified" minOccurs="0"/>
                <xsd:element ref="ns2:ImageCreateDate" minOccurs="0"/>
                <xsd:element ref="ns2:_Format" minOccurs="0"/>
                <xsd:element ref="ns2:_LastPrinted" minOccurs="0"/>
                <xsd:element ref="ns2:_Publisher" minOccurs="0"/>
                <xsd:element ref="ns2:_Relation" minOccurs="0"/>
                <xsd:element ref="ns2:_Identifier" minOccurs="0"/>
                <xsd:element ref="ns2:_ResourceType" minOccurs="0"/>
                <xsd:element ref="ns2:_Revision" minOccurs="0"/>
                <xsd:element ref="ns2:_RightsManagement" minOccurs="0"/>
                <xsd:element ref="ns2:_Source" minOccurs="0"/>
                <xsd:element ref="ns2:_Status" minOccurs="0"/>
                <xsd:element ref="ns2: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7" nillable="true" ma:displayName="Collaboratore" ma:description="Una o più persone o organizzazioni che hanno collaborato per la risorsa" ma:internalName="_Contributor" ma:readOnly="false">
      <xsd:simpleType>
        <xsd:restriction base="dms:Note">
          <xsd:maxLength value="255"/>
        </xsd:restriction>
      </xsd:simpleType>
    </xsd:element>
    <xsd:element name="_Coverage" ma:index="8" nillable="true" ma:displayName="Ambito" ma:description="Estensione o copertura" ma:internalName="_Coverage" ma:readOnly="false">
      <xsd:simpleType>
        <xsd:restriction base="dms:Text"/>
      </xsd:simpleType>
    </xsd:element>
    <xsd:element name="_DCDateCreated" ma:index="9" nillable="true" ma:displayName="Data creazione" ma:description="Data di creazione della risorsa" ma:format="DateTime" ma:internalName="_DCDateCreated" ma:readOnly="false">
      <xsd:simpleType>
        <xsd:restriction base="dms:DateTime"/>
      </xsd:simpleType>
    </xsd:element>
    <xsd:element name="_DCDateModified" ma:index="10" nillable="true" ma:displayName="Data modifica" ma:description="Data dell'ultima modifica della risorsa" ma:format="DateTime" ma:internalName="_DCDateModified" ma:readOnly="false">
      <xsd:simpleType>
        <xsd:restriction base="dms:DateTime"/>
      </xsd:simpleType>
    </xsd:element>
    <xsd:element name="ImageCreateDate" ma:index="11" nillable="true" ma:displayName="Data creazione immagine" ma:description="" ma:format="DateTime" ma:hidden="true" ma:internalName="ImageCreateDate" ma:readOnly="false">
      <xsd:simpleType>
        <xsd:restriction base="dms:DateTime"/>
      </xsd:simpleType>
    </xsd:element>
    <xsd:element name="_Format" ma:index="12" nillable="true" ma:displayName="Formato" ma:description="Tipo di supporto, formato del file o dimensioni" ma:internalName="_Format" ma:readOnly="false">
      <xsd:simpleType>
        <xsd:restriction base="dms:Text"/>
      </xsd:simpleType>
    </xsd:element>
    <xsd:element name="_LastPrinted" ma:index="14" nillable="true" ma:displayName="Ultima stampa" ma:format="DateTime" ma:internalName="_LastPrinted" ma:readOnly="false">
      <xsd:simpleType>
        <xsd:restriction base="dms:DateTime"/>
      </xsd:simpleType>
    </xsd:element>
    <xsd:element name="_Publisher" ma:index="15" nillable="true" ma:displayName="Editore" ma:description="Persona, organizzazione o servizio che ha pubblicato la risorsa" ma:internalName="_Publisher" ma:readOnly="false">
      <xsd:simpleType>
        <xsd:restriction base="dms:Text"/>
      </xsd:simpleType>
    </xsd:element>
    <xsd:element name="_Relation" ma:index="16" nillable="true" ma:displayName="Relazioni" ma:description="Riferimenti a risorse correlate" ma:internalName="_Relation" ma:readOnly="false">
      <xsd:simpleType>
        <xsd:restriction base="dms:Note">
          <xsd:maxLength value="255"/>
        </xsd:restriction>
      </xsd:simpleType>
    </xsd:element>
    <xsd:element name="_Identifier" ma:index="17" nillable="true" ma:displayName="Identificatore risorsa" ma:description="Stringa o numero di identificazione, in genere conforme a un sistema formale di identificazione" ma:internalName="_Identifier" ma:readOnly="false">
      <xsd:simpleType>
        <xsd:restriction base="dms:Text"/>
      </xsd:simpleType>
    </xsd:element>
    <xsd:element name="_ResourceType" ma:index="18" nillable="true" ma:displayName="Tipo risorsa" ma:description="Insieme di categorie, funzioni, generi o livelli di aggregazione" ma:internalName="_ResourceType" ma:readOnly="false">
      <xsd:simpleType>
        <xsd:restriction base="dms:Text"/>
      </xsd:simpleType>
    </xsd:element>
    <xsd:element name="_Revision" ma:index="19" nillable="true" ma:displayName="Revisione" ma:internalName="_Revision" ma:readOnly="false">
      <xsd:simpleType>
        <xsd:restriction base="dms:Text"/>
      </xsd:simpleType>
    </xsd:element>
    <xsd:element name="_RightsManagement" ma:index="20" nillable="true" ma:displayName="Gestione diritti" ma:description="Informazioni sui diritti disponibili per la risorsa" ma:internalName="_RightsManagement" ma:readOnly="false">
      <xsd:simpleType>
        <xsd:restriction base="dms:Note">
          <xsd:maxLength value="255"/>
        </xsd:restriction>
      </xsd:simpleType>
    </xsd:element>
    <xsd:element name="_Source" ma:index="21" nillable="true" ma:displayName="Origine" ma:description="Riferimenti alle risorse da cui è stata derivata la risorsa" ma:internalName="_Source" ma:readOnly="false">
      <xsd:simpleType>
        <xsd:restriction base="dms:Note">
          <xsd:maxLength value="255"/>
        </xsd:restriction>
      </xsd:simpleType>
    </xsd:element>
    <xsd:element name="_Status" ma:index="22" nillable="true" ma:displayName="Stato" ma:default="Non iniziato" ma:format="Dropdown" ma:internalName="_Status" ma:readOnly="false">
      <xsd:simpleType>
        <xsd:union memberTypes="dms:Text">
          <xsd:simpleType>
            <xsd:restriction base="dms:Choice">
              <xsd:enumeration value="Non iniziato"/>
              <xsd:enumeration value="Bozza"/>
              <xsd:enumeration value="Rivisto"/>
              <xsd:enumeration value="Pianificato"/>
              <xsd:enumeration value="Pubblicato"/>
              <xsd:enumeration value="Finale"/>
              <xsd:enumeration value="Scaduto"/>
            </xsd:restriction>
          </xsd:simpleType>
        </xsd:union>
      </xsd:simpleType>
    </xsd:element>
    <xsd:element name="_Version" ma:index="24" nillable="true" ma:displayName="Version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e"/>
        <xsd:element ref="dcterms:created" minOccurs="0" maxOccurs="1"/>
        <xsd:element ref="dc:identifier" minOccurs="0" maxOccurs="1"/>
        <xsd:element name="contentType" minOccurs="0" maxOccurs="1" type="xsd:string" ma:index="28" ma:displayName="Content Type"/>
        <xsd:element ref="dc:title" minOccurs="0" maxOccurs="1" ma:index="3" ma:displayName="_title"/>
        <xsd:element ref="dc:subject" minOccurs="0" maxOccurs="1" ma:index="23" ma:displayName="Oggetto"/>
        <xsd:element ref="dc:description" minOccurs="0" maxOccurs="1" ma:index="6" ma:displayName="Commenti"/>
        <xsd:element name="keywords" minOccurs="0" maxOccurs="1" type="xsd:string" ma:index="13" ma:displayName="Parole chiave"/>
        <xsd:element ref="dc:language" minOccurs="0" maxOccurs="1"/>
        <xsd:element name="category" minOccurs="0" maxOccurs="1" type="xsd:string" ma:index="5" ma:displayName="Categoria"/>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o"/>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ImageCreateDate xmlns="http://schemas.microsoft.com/sharepoint/v3/fields" xsi:nil="true"/>
    <_Version xmlns="http://schemas.microsoft.com/sharepoint/v3/fields" xsi:nil="true"/>
    <_DCDateModified xmlns="http://schemas.microsoft.com/sharepoint/v3/fields" xsi:nil="true"/>
    <_LastPrinted xmlns="http://schemas.microsoft.com/sharepoint/v3/fields" xsi:nil="true"/>
    <_Publisher xmlns="http://schemas.microsoft.com/sharepoint/v3/fields" xsi:nil="true"/>
    <_Status xmlns="http://schemas.microsoft.com/sharepoint/v3/fields">Non iniziato</_Status>
    <_Relation xmlns="http://schemas.microsoft.com/sharepoint/v3/fields" xsi:nil="true"/>
    <_Revision xmlns="http://schemas.microsoft.com/sharepoint/v3/fields" xsi:nil="true"/>
    <_Contributor xmlns="http://schemas.microsoft.com/sharepoint/v3/fields" xsi:nil="true"/>
    <_Format xmlns="http://schemas.microsoft.com/sharepoint/v3/fields" xsi:nil="true"/>
    <_Coverage xmlns="http://schemas.microsoft.com/sharepoint/v3/fields" xsi:nil="true"/>
    <_Identifier xmlns="http://schemas.microsoft.com/sharepoint/v3/fields" xsi:nil="true"/>
    <_ResourceType xmlns="http://schemas.microsoft.com/sharepoint/v3/fields" xsi:nil="true"/>
    <_RightsManagement xmlns="http://schemas.microsoft.com/sharepoint/v3/fields" xsi:nil="true"/>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54E2F-F870-423D-9FEB-41AFCDB1DA31}">
  <ds:schemaRefs>
    <ds:schemaRef ds:uri="http://schemas.microsoft.com/sharepoint/v3/contenttype/forms"/>
  </ds:schemaRefs>
</ds:datastoreItem>
</file>

<file path=customXml/itemProps2.xml><?xml version="1.0" encoding="utf-8"?>
<ds:datastoreItem xmlns:ds="http://schemas.openxmlformats.org/officeDocument/2006/customXml" ds:itemID="{45EE704C-1EC5-4DA2-BBA2-861B6A53C3A5}">
  <ds:schemaRefs>
    <ds:schemaRef ds:uri="http://schemas.microsoft.com/office/2006/metadata/longProperties"/>
  </ds:schemaRefs>
</ds:datastoreItem>
</file>

<file path=customXml/itemProps3.xml><?xml version="1.0" encoding="utf-8"?>
<ds:datastoreItem xmlns:ds="http://schemas.openxmlformats.org/officeDocument/2006/customXml" ds:itemID="{CEF59CBB-B884-4546-8443-7B7231C9F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1192D-106B-4F51-B6C4-825E343CF0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D87041E4-CCB6-4AC8-A62B-495903B5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27</Pages>
  <Words>8942</Words>
  <Characters>56117</Characters>
  <Application>Microsoft Office Word</Application>
  <DocSecurity>0</DocSecurity>
  <Lines>1650</Lines>
  <Paragraphs>879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Attachment: Product Information for Beclometasone dipropionate/ formoterol fumarate/ glycopyrronium bromide</vt:lpstr>
      <vt:lpstr>The present CTD application requests authorisation of a formoterol fumarate pressurised (non-CFC, HFA-134a propelled) inhalati</vt:lpstr>
    </vt:vector>
  </TitlesOfParts>
  <Company>Chiesi Australia Pty Ltd</Company>
  <LinksUpToDate>false</LinksUpToDate>
  <CharactersWithSpaces>64180</CharactersWithSpaces>
  <SharedDoc>false</SharedDoc>
  <HLinks>
    <vt:vector size="12" baseType="variant">
      <vt:variant>
        <vt:i4>7667728</vt:i4>
      </vt:variant>
      <vt:variant>
        <vt:i4>15</vt:i4>
      </vt:variant>
      <vt:variant>
        <vt:i4>0</vt:i4>
      </vt:variant>
      <vt:variant>
        <vt:i4>5</vt:i4>
      </vt:variant>
      <vt:variant>
        <vt:lpwstr>mailto:customerservice@emergehealth.com.au</vt:lpwstr>
      </vt:variant>
      <vt:variant>
        <vt:lpwstr/>
      </vt:variant>
      <vt:variant>
        <vt:i4>5898317</vt:i4>
      </vt:variant>
      <vt:variant>
        <vt:i4>12</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Beclometasone dipropionate/ formoterol fumarate/ glycopyrronium bromide</dc:title>
  <dc:subject>prescription medicines</dc:subject>
  <dc:creator>Chiesi Australia Pty Ltd</dc:creator>
  <cp:keywords/>
  <dc:description/>
  <cp:lastPrinted>2020-10-12T23:43:00Z</cp:lastPrinted>
  <dcterms:created xsi:type="dcterms:W3CDTF">2020-11-12T01:17:00Z</dcterms:created>
  <dcterms:modified xsi:type="dcterms:W3CDTF">2020-11-12T04:16:00Z</dcterms:modified>
</cp:coreProperties>
</file>