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tblGrid>
      <w:tr w:rsidR="008E7846" w:rsidRPr="00487162" w:rsidTr="00BB180A">
        <w:trPr>
          <w:trHeight w:val="1863"/>
        </w:trPr>
        <w:tc>
          <w:tcPr>
            <w:tcW w:w="5495" w:type="dxa"/>
            <w:tcBorders>
              <w:top w:val="nil"/>
              <w:left w:val="nil"/>
              <w:bottom w:val="nil"/>
              <w:right w:val="nil"/>
            </w:tcBorders>
          </w:tcPr>
          <w:p w:rsidR="008E7846" w:rsidRPr="0017078F" w:rsidRDefault="00090F41" w:rsidP="0017078F">
            <w:pPr>
              <w:rPr>
                <w:rFonts w:ascii="Arial" w:hAnsi="Arial" w:cs="Arial"/>
                <w:b/>
                <w:color w:val="002C47"/>
                <w:sz w:val="36"/>
                <w:szCs w:val="36"/>
              </w:rPr>
            </w:pPr>
            <w:r>
              <w:rPr>
                <w:rFonts w:ascii="Arial" w:hAnsi="Arial" w:cs="Arial"/>
                <w:b/>
                <w:color w:val="002C47"/>
                <w:sz w:val="36"/>
                <w:szCs w:val="36"/>
              </w:rPr>
              <w:t xml:space="preserve">Date of CER: </w:t>
            </w:r>
            <w:r w:rsidR="00BB180A">
              <w:rPr>
                <w:rFonts w:ascii="Arial" w:hAnsi="Arial" w:cs="Arial"/>
                <w:b/>
                <w:color w:val="002C47"/>
                <w:sz w:val="36"/>
                <w:szCs w:val="36"/>
              </w:rPr>
              <w:t>February 2013</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rsidTr="00E07F15">
        <w:trPr>
          <w:trHeight w:val="1548"/>
        </w:trPr>
        <w:tc>
          <w:tcPr>
            <w:tcW w:w="9079" w:type="dxa"/>
          </w:tcPr>
          <w:p w:rsidR="0032583B" w:rsidRPr="00A964D1" w:rsidRDefault="00E07F15" w:rsidP="00A964D1">
            <w:pPr>
              <w:pStyle w:val="Title"/>
              <w:rPr>
                <w:color w:val="FFFFFF"/>
              </w:rPr>
            </w:pPr>
            <w:proofErr w:type="spellStart"/>
            <w:r>
              <w:rPr>
                <w:color w:val="FFFFFF"/>
              </w:rPr>
              <w:t>AusPAR</w:t>
            </w:r>
            <w:proofErr w:type="spellEnd"/>
            <w:r>
              <w:rPr>
                <w:color w:val="FFFFFF"/>
              </w:rPr>
              <w:t xml:space="preserve"> Attachment 2</w:t>
            </w:r>
          </w:p>
        </w:tc>
      </w:tr>
      <w:tr w:rsidR="00E07F15" w:rsidRPr="00A964D1" w:rsidTr="00E07F15">
        <w:trPr>
          <w:trHeight w:val="868"/>
        </w:trPr>
        <w:tc>
          <w:tcPr>
            <w:tcW w:w="9079" w:type="dxa"/>
          </w:tcPr>
          <w:p w:rsidR="00E07F15" w:rsidRPr="00A964D1" w:rsidRDefault="00E07F15" w:rsidP="00C0471D">
            <w:pPr>
              <w:pStyle w:val="Title"/>
              <w:rPr>
                <w:color w:val="FFFFFF"/>
              </w:rPr>
            </w:pPr>
            <w:r>
              <w:rPr>
                <w:color w:val="FFFFFF"/>
              </w:rPr>
              <w:t>Extract from the Clinical Evaluation Report</w:t>
            </w:r>
            <w:r w:rsidR="00C0471D">
              <w:rPr>
                <w:color w:val="FFFFFF"/>
              </w:rPr>
              <w:t xml:space="preserve"> for </w:t>
            </w:r>
            <w:proofErr w:type="spellStart"/>
            <w:r w:rsidR="00C0471D">
              <w:rPr>
                <w:color w:val="FFFFFF"/>
              </w:rPr>
              <w:t>b</w:t>
            </w:r>
            <w:r w:rsidR="00C0471D" w:rsidRPr="00C0471D">
              <w:rPr>
                <w:color w:val="FFFFFF"/>
              </w:rPr>
              <w:t>esifloxacin</w:t>
            </w:r>
            <w:proofErr w:type="spellEnd"/>
            <w:r w:rsidR="00C0471D" w:rsidRPr="00C0471D">
              <w:rPr>
                <w:color w:val="FFFFFF"/>
              </w:rPr>
              <w:t xml:space="preserve"> hydrochloride</w:t>
            </w:r>
          </w:p>
        </w:tc>
      </w:tr>
      <w:tr w:rsidR="00E07F15" w:rsidRPr="00B64760" w:rsidTr="00E07F15">
        <w:tc>
          <w:tcPr>
            <w:tcW w:w="9079" w:type="dxa"/>
          </w:tcPr>
          <w:p w:rsidR="00E07F15" w:rsidRPr="008E7846" w:rsidRDefault="008C7F4D" w:rsidP="00E07F15">
            <w:pPr>
              <w:pStyle w:val="Subtitle"/>
              <w:rPr>
                <w:color w:val="FFFFFF"/>
              </w:rPr>
            </w:pPr>
            <w:r>
              <w:rPr>
                <w:color w:val="FFFFFF"/>
              </w:rPr>
              <w:t xml:space="preserve">Proprietary Product Name: </w:t>
            </w:r>
            <w:proofErr w:type="spellStart"/>
            <w:r>
              <w:rPr>
                <w:color w:val="FFFFFF"/>
              </w:rPr>
              <w:t>Besivance</w:t>
            </w:r>
            <w:proofErr w:type="spellEnd"/>
          </w:p>
        </w:tc>
      </w:tr>
      <w:tr w:rsidR="00E07F15" w:rsidRPr="00B64760" w:rsidTr="00E07F15">
        <w:trPr>
          <w:trHeight w:val="486"/>
        </w:trPr>
        <w:tc>
          <w:tcPr>
            <w:tcW w:w="9079" w:type="dxa"/>
          </w:tcPr>
          <w:p w:rsidR="00E07F15" w:rsidRPr="008E7846" w:rsidRDefault="00354498" w:rsidP="00E07F15">
            <w:pPr>
              <w:pStyle w:val="Subtitle"/>
              <w:rPr>
                <w:color w:val="FFFFFF"/>
              </w:rPr>
            </w:pPr>
            <w:r>
              <w:rPr>
                <w:color w:val="FFFFFF"/>
              </w:rPr>
              <w:t xml:space="preserve">Sponsor: </w:t>
            </w:r>
            <w:r w:rsidRPr="00354498">
              <w:rPr>
                <w:color w:val="FFFFFF"/>
              </w:rPr>
              <w:t>Bausch &amp; Lomb (Australia) Pty Ltd</w:t>
            </w:r>
          </w:p>
        </w:tc>
      </w:tr>
    </w:tbl>
    <w:p w:rsidR="008E7846" w:rsidRPr="001F6CBA" w:rsidRDefault="008E7846" w:rsidP="008E7846">
      <w:pPr>
        <w:pStyle w:val="NonTOCHeading2"/>
      </w:pPr>
      <w:r>
        <w:br w:type="page"/>
      </w:r>
      <w:r w:rsidRPr="001F6CBA">
        <w:lastRenderedPageBreak/>
        <w:t>About the Therapeutic Goods Administration (TGA)</w:t>
      </w:r>
    </w:p>
    <w:p w:rsidR="008E7846" w:rsidRDefault="008E7846" w:rsidP="008E7846">
      <w:pPr>
        <w:pStyle w:val="ListBullet"/>
        <w:numPr>
          <w:ilvl w:val="0"/>
          <w:numId w:val="3"/>
        </w:numPr>
        <w:ind w:left="357" w:hanging="357"/>
      </w:pPr>
      <w:r>
        <w:t xml:space="preserve">The Therapeutic Goods Administration (TGA) is </w:t>
      </w:r>
      <w:r w:rsidR="00E624A5">
        <w:t xml:space="preserve">part </w:t>
      </w:r>
      <w:r>
        <w:t>of the Australian</w:t>
      </w:r>
      <w:r w:rsidR="00A329E6">
        <w:t xml:space="preserve"> Government Department of Health</w:t>
      </w:r>
      <w:r>
        <w:t xml:space="preserve">, and is responsible for regulating medicines and medical </w:t>
      </w:r>
      <w:proofErr w:type="gramStart"/>
      <w:r>
        <w:t>devices</w:t>
      </w:r>
      <w:proofErr w:type="gramEnd"/>
      <w:r>
        <w:t>.</w:t>
      </w:r>
    </w:p>
    <w:p w:rsidR="008E7846" w:rsidRDefault="00C811C0"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8E7846">
        <w:t xml:space="preserve"> (the Act), applying a risk management approach designed to ensure therapeutic goods supplied in Australia meet acceptable standards of quality, safety and efficacy (performance), when necessary.</w:t>
      </w:r>
    </w:p>
    <w:p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rsidR="008E7846" w:rsidRDefault="008E7846" w:rsidP="008E7846">
      <w:pPr>
        <w:pStyle w:val="ListBullet"/>
        <w:numPr>
          <w:ilvl w:val="0"/>
          <w:numId w:val="3"/>
        </w:numPr>
        <w:ind w:left="357" w:hanging="357"/>
      </w:pPr>
      <w:r>
        <w:t>To report a problem with a medicine or medical device, please see the information on the TGA website</w:t>
      </w:r>
      <w:r w:rsidR="00112F56">
        <w:t xml:space="preserve"> &lt;</w:t>
      </w:r>
      <w:hyperlink r:id="rId9" w:history="1">
        <w:r w:rsidR="007E6E27" w:rsidRPr="00607888">
          <w:rPr>
            <w:rStyle w:val="Hyperlink"/>
          </w:rPr>
          <w:t>http://www.tga.gov.au</w:t>
        </w:r>
      </w:hyperlink>
      <w:r w:rsidR="00112F56">
        <w:t>&gt;</w:t>
      </w:r>
      <w:r>
        <w:t>.</w:t>
      </w:r>
    </w:p>
    <w:p w:rsidR="0017078F" w:rsidRPr="001F6CBA" w:rsidRDefault="0017078F" w:rsidP="0017078F">
      <w:pPr>
        <w:pStyle w:val="NonTOCHeading2"/>
      </w:pPr>
      <w:r w:rsidRPr="001F6CBA">
        <w:t xml:space="preserve">About the </w:t>
      </w:r>
      <w:r w:rsidRPr="0017078F">
        <w:t>Extract</w:t>
      </w:r>
      <w:r>
        <w:t xml:space="preserve"> from the Clinical Evaluation Report</w:t>
      </w:r>
    </w:p>
    <w:p w:rsidR="0017078F" w:rsidRDefault="003D0A3B" w:rsidP="0017078F">
      <w:pPr>
        <w:pStyle w:val="ListBullet"/>
      </w:pPr>
      <w:r w:rsidRPr="003D0A3B">
        <w:t>This document provides a more detailed evaluation of the clinical findings, extracted from the Clinical Evaluation Report (CER) prepared by the TGA. This extract does not include sections from the CER regarding product documentation or post market activities.</w:t>
      </w:r>
    </w:p>
    <w:p w:rsidR="003D0A3B" w:rsidRDefault="003D0A3B" w:rsidP="003D0A3B">
      <w:pPr>
        <w:pStyle w:val="ListBullet"/>
      </w:pPr>
      <w:r w:rsidRPr="003D0A3B">
        <w:t>T</w:t>
      </w:r>
      <w:r w:rsidR="00074B1E">
        <w:t xml:space="preserve">he words [Information redacted] indicate </w:t>
      </w:r>
      <w:r w:rsidRPr="003D0A3B">
        <w:t>confidential information has been deleted.</w:t>
      </w:r>
    </w:p>
    <w:p w:rsidR="0017078F" w:rsidRDefault="003D0A3B" w:rsidP="0017078F">
      <w:pPr>
        <w:pStyle w:val="ListBullet"/>
      </w:pPr>
      <w:r w:rsidRPr="003D0A3B">
        <w:t>For the most recent Product Information (PI), please refer to the TGA website</w:t>
      </w:r>
      <w:r>
        <w:t xml:space="preserve"> </w:t>
      </w:r>
      <w:r w:rsidR="00B1425E" w:rsidRPr="00B1425E">
        <w:t>&lt;</w:t>
      </w:r>
      <w:hyperlink r:id="rId10" w:history="1">
        <w:r w:rsidR="00B1425E" w:rsidRPr="00B1425E">
          <w:rPr>
            <w:rStyle w:val="Hyperlink"/>
          </w:rPr>
          <w:t>http://www.tga.gov.au/hp/information-medicines-pi.htm</w:t>
        </w:r>
      </w:hyperlink>
      <w:r w:rsidR="0017078F">
        <w:t>&gt;.</w:t>
      </w:r>
    </w:p>
    <w:p w:rsidR="00924482" w:rsidRPr="00DF1D7F" w:rsidRDefault="00924482" w:rsidP="0017078F">
      <w:pPr>
        <w:pStyle w:val="LegalSubheading"/>
        <w:spacing w:before="432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6C7F6A">
        <w:rPr>
          <w:rFonts w:cs="Arial"/>
          <w:lang w:val="en-GB"/>
        </w:rPr>
        <w:t>3</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11"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default" r:id="rId12"/>
          <w:footerReference w:type="default" r:id="rId13"/>
          <w:headerReference w:type="first" r:id="rId14"/>
          <w:pgSz w:w="11906" w:h="16838" w:code="9"/>
          <w:pgMar w:top="426" w:right="1701" w:bottom="0" w:left="1701" w:header="907" w:footer="142" w:gutter="0"/>
          <w:pgNumType w:fmt="lowerRoman" w:start="1"/>
          <w:cols w:space="708"/>
          <w:titlePg/>
          <w:docGrid w:linePitch="360"/>
        </w:sectPr>
      </w:pPr>
    </w:p>
    <w:p w:rsidR="0089635C" w:rsidRPr="0089635C" w:rsidRDefault="0089635C" w:rsidP="0010788A">
      <w:pPr>
        <w:pStyle w:val="Contents"/>
      </w:pPr>
      <w:bookmarkStart w:id="0" w:name="_Toc196046425"/>
      <w:bookmarkStart w:id="1" w:name="_Toc247691501"/>
      <w:r w:rsidRPr="0010788A">
        <w:lastRenderedPageBreak/>
        <w:t>Contents</w:t>
      </w:r>
    </w:p>
    <w:p w:rsidR="00B458CD" w:rsidRDefault="004924E0">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382908442" w:history="1">
        <w:r w:rsidR="00B458CD" w:rsidRPr="009E28DF">
          <w:rPr>
            <w:rStyle w:val="Hyperlink"/>
            <w:noProof/>
          </w:rPr>
          <w:t>List of abbreviations</w:t>
        </w:r>
        <w:r w:rsidR="00B458CD">
          <w:rPr>
            <w:noProof/>
            <w:webHidden/>
          </w:rPr>
          <w:tab/>
        </w:r>
        <w:r w:rsidR="00B458CD">
          <w:rPr>
            <w:noProof/>
            <w:webHidden/>
          </w:rPr>
          <w:fldChar w:fldCharType="begin"/>
        </w:r>
        <w:r w:rsidR="00B458CD">
          <w:rPr>
            <w:noProof/>
            <w:webHidden/>
          </w:rPr>
          <w:instrText xml:space="preserve"> PAGEREF _Toc382908442 \h </w:instrText>
        </w:r>
        <w:r w:rsidR="00B458CD">
          <w:rPr>
            <w:noProof/>
            <w:webHidden/>
          </w:rPr>
        </w:r>
        <w:r w:rsidR="00B458CD">
          <w:rPr>
            <w:noProof/>
            <w:webHidden/>
          </w:rPr>
          <w:fldChar w:fldCharType="separate"/>
        </w:r>
        <w:r w:rsidR="00B458CD">
          <w:rPr>
            <w:noProof/>
            <w:webHidden/>
          </w:rPr>
          <w:t>4</w:t>
        </w:r>
        <w:r w:rsidR="00B458CD">
          <w:rPr>
            <w:noProof/>
            <w:webHidden/>
          </w:rPr>
          <w:fldChar w:fldCharType="end"/>
        </w:r>
      </w:hyperlink>
    </w:p>
    <w:p w:rsidR="00B458CD" w:rsidRDefault="00B458CD">
      <w:pPr>
        <w:pStyle w:val="TOC2"/>
        <w:tabs>
          <w:tab w:val="left" w:pos="1100"/>
        </w:tabs>
        <w:rPr>
          <w:rFonts w:asciiTheme="minorHAnsi" w:eastAsiaTheme="minorEastAsia" w:hAnsiTheme="minorHAnsi" w:cstheme="minorBidi"/>
          <w:b w:val="0"/>
          <w:noProof/>
          <w:sz w:val="22"/>
          <w:lang w:eastAsia="en-AU"/>
        </w:rPr>
      </w:pPr>
      <w:hyperlink w:anchor="_Toc382908443" w:history="1">
        <w:r w:rsidRPr="009E28DF">
          <w:rPr>
            <w:rStyle w:val="Hyperlink"/>
            <w:noProof/>
            <w:lang w:eastAsia="en-AU"/>
          </w:rPr>
          <w:t>1.</w:t>
        </w:r>
        <w:r>
          <w:rPr>
            <w:rFonts w:asciiTheme="minorHAnsi" w:eastAsiaTheme="minorEastAsia" w:hAnsiTheme="minorHAnsi" w:cstheme="minorBidi"/>
            <w:b w:val="0"/>
            <w:noProof/>
            <w:sz w:val="22"/>
            <w:lang w:eastAsia="en-AU"/>
          </w:rPr>
          <w:tab/>
        </w:r>
        <w:r w:rsidRPr="009E28DF">
          <w:rPr>
            <w:rStyle w:val="Hyperlink"/>
            <w:noProof/>
            <w:lang w:eastAsia="en-AU"/>
          </w:rPr>
          <w:t>Clinical rationale</w:t>
        </w:r>
        <w:r>
          <w:rPr>
            <w:noProof/>
            <w:webHidden/>
          </w:rPr>
          <w:tab/>
        </w:r>
        <w:r>
          <w:rPr>
            <w:noProof/>
            <w:webHidden/>
          </w:rPr>
          <w:fldChar w:fldCharType="begin"/>
        </w:r>
        <w:r>
          <w:rPr>
            <w:noProof/>
            <w:webHidden/>
          </w:rPr>
          <w:instrText xml:space="preserve"> PAGEREF _Toc382908443 \h </w:instrText>
        </w:r>
        <w:r>
          <w:rPr>
            <w:noProof/>
            <w:webHidden/>
          </w:rPr>
        </w:r>
        <w:r>
          <w:rPr>
            <w:noProof/>
            <w:webHidden/>
          </w:rPr>
          <w:fldChar w:fldCharType="separate"/>
        </w:r>
        <w:r>
          <w:rPr>
            <w:noProof/>
            <w:webHidden/>
          </w:rPr>
          <w:t>6</w:t>
        </w:r>
        <w:r>
          <w:rPr>
            <w:noProof/>
            <w:webHidden/>
          </w:rPr>
          <w:fldChar w:fldCharType="end"/>
        </w:r>
      </w:hyperlink>
    </w:p>
    <w:p w:rsidR="00B458CD" w:rsidRDefault="00B458CD">
      <w:pPr>
        <w:pStyle w:val="TOC2"/>
        <w:tabs>
          <w:tab w:val="left" w:pos="1100"/>
        </w:tabs>
        <w:rPr>
          <w:rFonts w:asciiTheme="minorHAnsi" w:eastAsiaTheme="minorEastAsia" w:hAnsiTheme="minorHAnsi" w:cstheme="minorBidi"/>
          <w:b w:val="0"/>
          <w:noProof/>
          <w:sz w:val="22"/>
          <w:lang w:eastAsia="en-AU"/>
        </w:rPr>
      </w:pPr>
      <w:hyperlink w:anchor="_Toc382908444" w:history="1">
        <w:r w:rsidRPr="009E28DF">
          <w:rPr>
            <w:rStyle w:val="Hyperlink"/>
            <w:noProof/>
            <w:lang w:eastAsia="en-AU"/>
          </w:rPr>
          <w:t>2.</w:t>
        </w:r>
        <w:r>
          <w:rPr>
            <w:rFonts w:asciiTheme="minorHAnsi" w:eastAsiaTheme="minorEastAsia" w:hAnsiTheme="minorHAnsi" w:cstheme="minorBidi"/>
            <w:b w:val="0"/>
            <w:noProof/>
            <w:sz w:val="22"/>
            <w:lang w:eastAsia="en-AU"/>
          </w:rPr>
          <w:tab/>
        </w:r>
        <w:r w:rsidRPr="009E28DF">
          <w:rPr>
            <w:rStyle w:val="Hyperlink"/>
            <w:noProof/>
            <w:lang w:eastAsia="en-AU"/>
          </w:rPr>
          <w:t xml:space="preserve">Contents of </w:t>
        </w:r>
        <w:r w:rsidRPr="009E28DF">
          <w:rPr>
            <w:rStyle w:val="Hyperlink"/>
            <w:noProof/>
          </w:rPr>
          <w:t>the</w:t>
        </w:r>
        <w:r w:rsidRPr="009E28DF">
          <w:rPr>
            <w:rStyle w:val="Hyperlink"/>
            <w:noProof/>
            <w:lang w:eastAsia="en-AU"/>
          </w:rPr>
          <w:t xml:space="preserve"> clinical dossier</w:t>
        </w:r>
        <w:r>
          <w:rPr>
            <w:noProof/>
            <w:webHidden/>
          </w:rPr>
          <w:tab/>
        </w:r>
        <w:r>
          <w:rPr>
            <w:noProof/>
            <w:webHidden/>
          </w:rPr>
          <w:fldChar w:fldCharType="begin"/>
        </w:r>
        <w:r>
          <w:rPr>
            <w:noProof/>
            <w:webHidden/>
          </w:rPr>
          <w:instrText xml:space="preserve"> PAGEREF _Toc382908444 \h </w:instrText>
        </w:r>
        <w:r>
          <w:rPr>
            <w:noProof/>
            <w:webHidden/>
          </w:rPr>
        </w:r>
        <w:r>
          <w:rPr>
            <w:noProof/>
            <w:webHidden/>
          </w:rPr>
          <w:fldChar w:fldCharType="separate"/>
        </w:r>
        <w:r>
          <w:rPr>
            <w:noProof/>
            <w:webHidden/>
          </w:rPr>
          <w:t>7</w:t>
        </w:r>
        <w:r>
          <w:rPr>
            <w:noProof/>
            <w:webHidden/>
          </w:rPr>
          <w:fldChar w:fldCharType="end"/>
        </w:r>
      </w:hyperlink>
    </w:p>
    <w:p w:rsidR="00B458CD" w:rsidRDefault="00B458CD">
      <w:pPr>
        <w:pStyle w:val="TOC3"/>
        <w:tabs>
          <w:tab w:val="left" w:pos="1760"/>
        </w:tabs>
        <w:rPr>
          <w:rFonts w:asciiTheme="minorHAnsi" w:eastAsiaTheme="minorEastAsia" w:hAnsiTheme="minorHAnsi" w:cstheme="minorBidi"/>
          <w:noProof/>
          <w:lang w:eastAsia="en-AU"/>
        </w:rPr>
      </w:pPr>
      <w:hyperlink w:anchor="_Toc382908445" w:history="1">
        <w:r w:rsidRPr="009E28DF">
          <w:rPr>
            <w:rStyle w:val="Hyperlink"/>
            <w:noProof/>
          </w:rPr>
          <w:t>2.1.</w:t>
        </w:r>
        <w:r>
          <w:rPr>
            <w:rFonts w:asciiTheme="minorHAnsi" w:eastAsiaTheme="minorEastAsia" w:hAnsiTheme="minorHAnsi" w:cstheme="minorBidi"/>
            <w:noProof/>
            <w:lang w:eastAsia="en-AU"/>
          </w:rPr>
          <w:tab/>
        </w:r>
        <w:r w:rsidRPr="009E28DF">
          <w:rPr>
            <w:rStyle w:val="Hyperlink"/>
            <w:noProof/>
          </w:rPr>
          <w:t>Scope of the clinical dossier</w:t>
        </w:r>
        <w:r>
          <w:rPr>
            <w:noProof/>
            <w:webHidden/>
          </w:rPr>
          <w:tab/>
        </w:r>
        <w:r>
          <w:rPr>
            <w:noProof/>
            <w:webHidden/>
          </w:rPr>
          <w:fldChar w:fldCharType="begin"/>
        </w:r>
        <w:r>
          <w:rPr>
            <w:noProof/>
            <w:webHidden/>
          </w:rPr>
          <w:instrText xml:space="preserve"> PAGEREF _Toc382908445 \h </w:instrText>
        </w:r>
        <w:r>
          <w:rPr>
            <w:noProof/>
            <w:webHidden/>
          </w:rPr>
        </w:r>
        <w:r>
          <w:rPr>
            <w:noProof/>
            <w:webHidden/>
          </w:rPr>
          <w:fldChar w:fldCharType="separate"/>
        </w:r>
        <w:r>
          <w:rPr>
            <w:noProof/>
            <w:webHidden/>
          </w:rPr>
          <w:t>7</w:t>
        </w:r>
        <w:r>
          <w:rPr>
            <w:noProof/>
            <w:webHidden/>
          </w:rPr>
          <w:fldChar w:fldCharType="end"/>
        </w:r>
      </w:hyperlink>
    </w:p>
    <w:p w:rsidR="00B458CD" w:rsidRDefault="00B458CD">
      <w:pPr>
        <w:pStyle w:val="TOC3"/>
        <w:tabs>
          <w:tab w:val="left" w:pos="1760"/>
        </w:tabs>
        <w:rPr>
          <w:rFonts w:asciiTheme="minorHAnsi" w:eastAsiaTheme="minorEastAsia" w:hAnsiTheme="minorHAnsi" w:cstheme="minorBidi"/>
          <w:noProof/>
          <w:lang w:eastAsia="en-AU"/>
        </w:rPr>
      </w:pPr>
      <w:hyperlink w:anchor="_Toc382908446" w:history="1">
        <w:r w:rsidRPr="009E28DF">
          <w:rPr>
            <w:rStyle w:val="Hyperlink"/>
            <w:noProof/>
          </w:rPr>
          <w:t>2.2.</w:t>
        </w:r>
        <w:r>
          <w:rPr>
            <w:rFonts w:asciiTheme="minorHAnsi" w:eastAsiaTheme="minorEastAsia" w:hAnsiTheme="minorHAnsi" w:cstheme="minorBidi"/>
            <w:noProof/>
            <w:lang w:eastAsia="en-AU"/>
          </w:rPr>
          <w:tab/>
        </w:r>
        <w:r w:rsidRPr="009E28DF">
          <w:rPr>
            <w:rStyle w:val="Hyperlink"/>
            <w:noProof/>
          </w:rPr>
          <w:t>Paediatric data</w:t>
        </w:r>
        <w:r>
          <w:rPr>
            <w:noProof/>
            <w:webHidden/>
          </w:rPr>
          <w:tab/>
        </w:r>
        <w:r>
          <w:rPr>
            <w:noProof/>
            <w:webHidden/>
          </w:rPr>
          <w:fldChar w:fldCharType="begin"/>
        </w:r>
        <w:r>
          <w:rPr>
            <w:noProof/>
            <w:webHidden/>
          </w:rPr>
          <w:instrText xml:space="preserve"> PAGEREF _Toc382908446 \h </w:instrText>
        </w:r>
        <w:r>
          <w:rPr>
            <w:noProof/>
            <w:webHidden/>
          </w:rPr>
        </w:r>
        <w:r>
          <w:rPr>
            <w:noProof/>
            <w:webHidden/>
          </w:rPr>
          <w:fldChar w:fldCharType="separate"/>
        </w:r>
        <w:r>
          <w:rPr>
            <w:noProof/>
            <w:webHidden/>
          </w:rPr>
          <w:t>7</w:t>
        </w:r>
        <w:r>
          <w:rPr>
            <w:noProof/>
            <w:webHidden/>
          </w:rPr>
          <w:fldChar w:fldCharType="end"/>
        </w:r>
      </w:hyperlink>
    </w:p>
    <w:p w:rsidR="00B458CD" w:rsidRDefault="00B458CD">
      <w:pPr>
        <w:pStyle w:val="TOC3"/>
        <w:tabs>
          <w:tab w:val="left" w:pos="1760"/>
        </w:tabs>
        <w:rPr>
          <w:rFonts w:asciiTheme="minorHAnsi" w:eastAsiaTheme="minorEastAsia" w:hAnsiTheme="minorHAnsi" w:cstheme="minorBidi"/>
          <w:noProof/>
          <w:lang w:eastAsia="en-AU"/>
        </w:rPr>
      </w:pPr>
      <w:hyperlink w:anchor="_Toc382908447" w:history="1">
        <w:r w:rsidRPr="009E28DF">
          <w:rPr>
            <w:rStyle w:val="Hyperlink"/>
            <w:noProof/>
          </w:rPr>
          <w:t>2.3.</w:t>
        </w:r>
        <w:r>
          <w:rPr>
            <w:rFonts w:asciiTheme="minorHAnsi" w:eastAsiaTheme="minorEastAsia" w:hAnsiTheme="minorHAnsi" w:cstheme="minorBidi"/>
            <w:noProof/>
            <w:lang w:eastAsia="en-AU"/>
          </w:rPr>
          <w:tab/>
        </w:r>
        <w:r w:rsidRPr="009E28DF">
          <w:rPr>
            <w:rStyle w:val="Hyperlink"/>
            <w:noProof/>
          </w:rPr>
          <w:t>Good clinical practice</w:t>
        </w:r>
        <w:r>
          <w:rPr>
            <w:noProof/>
            <w:webHidden/>
          </w:rPr>
          <w:tab/>
        </w:r>
        <w:r>
          <w:rPr>
            <w:noProof/>
            <w:webHidden/>
          </w:rPr>
          <w:fldChar w:fldCharType="begin"/>
        </w:r>
        <w:r>
          <w:rPr>
            <w:noProof/>
            <w:webHidden/>
          </w:rPr>
          <w:instrText xml:space="preserve"> PAGEREF _Toc382908447 \h </w:instrText>
        </w:r>
        <w:r>
          <w:rPr>
            <w:noProof/>
            <w:webHidden/>
          </w:rPr>
        </w:r>
        <w:r>
          <w:rPr>
            <w:noProof/>
            <w:webHidden/>
          </w:rPr>
          <w:fldChar w:fldCharType="separate"/>
        </w:r>
        <w:r>
          <w:rPr>
            <w:noProof/>
            <w:webHidden/>
          </w:rPr>
          <w:t>8</w:t>
        </w:r>
        <w:r>
          <w:rPr>
            <w:noProof/>
            <w:webHidden/>
          </w:rPr>
          <w:fldChar w:fldCharType="end"/>
        </w:r>
      </w:hyperlink>
    </w:p>
    <w:p w:rsidR="00B458CD" w:rsidRDefault="00B458CD">
      <w:pPr>
        <w:pStyle w:val="TOC2"/>
        <w:tabs>
          <w:tab w:val="left" w:pos="1100"/>
        </w:tabs>
        <w:rPr>
          <w:rFonts w:asciiTheme="minorHAnsi" w:eastAsiaTheme="minorEastAsia" w:hAnsiTheme="minorHAnsi" w:cstheme="minorBidi"/>
          <w:b w:val="0"/>
          <w:noProof/>
          <w:sz w:val="22"/>
          <w:lang w:eastAsia="en-AU"/>
        </w:rPr>
      </w:pPr>
      <w:hyperlink w:anchor="_Toc382908448" w:history="1">
        <w:r w:rsidRPr="009E28DF">
          <w:rPr>
            <w:rStyle w:val="Hyperlink"/>
            <w:noProof/>
          </w:rPr>
          <w:t>3.</w:t>
        </w:r>
        <w:r>
          <w:rPr>
            <w:rFonts w:asciiTheme="minorHAnsi" w:eastAsiaTheme="minorEastAsia" w:hAnsiTheme="minorHAnsi" w:cstheme="minorBidi"/>
            <w:b w:val="0"/>
            <w:noProof/>
            <w:sz w:val="22"/>
            <w:lang w:eastAsia="en-AU"/>
          </w:rPr>
          <w:tab/>
        </w:r>
        <w:r w:rsidRPr="009E28DF">
          <w:rPr>
            <w:rStyle w:val="Hyperlink"/>
            <w:noProof/>
          </w:rPr>
          <w:t>Pharmacokinetics</w:t>
        </w:r>
        <w:r>
          <w:rPr>
            <w:noProof/>
            <w:webHidden/>
          </w:rPr>
          <w:tab/>
        </w:r>
        <w:r>
          <w:rPr>
            <w:noProof/>
            <w:webHidden/>
          </w:rPr>
          <w:fldChar w:fldCharType="begin"/>
        </w:r>
        <w:r>
          <w:rPr>
            <w:noProof/>
            <w:webHidden/>
          </w:rPr>
          <w:instrText xml:space="preserve"> PAGEREF _Toc382908448 \h </w:instrText>
        </w:r>
        <w:r>
          <w:rPr>
            <w:noProof/>
            <w:webHidden/>
          </w:rPr>
        </w:r>
        <w:r>
          <w:rPr>
            <w:noProof/>
            <w:webHidden/>
          </w:rPr>
          <w:fldChar w:fldCharType="separate"/>
        </w:r>
        <w:r>
          <w:rPr>
            <w:noProof/>
            <w:webHidden/>
          </w:rPr>
          <w:t>8</w:t>
        </w:r>
        <w:r>
          <w:rPr>
            <w:noProof/>
            <w:webHidden/>
          </w:rPr>
          <w:fldChar w:fldCharType="end"/>
        </w:r>
      </w:hyperlink>
    </w:p>
    <w:p w:rsidR="00B458CD" w:rsidRDefault="00B458CD">
      <w:pPr>
        <w:pStyle w:val="TOC3"/>
        <w:tabs>
          <w:tab w:val="left" w:pos="1760"/>
        </w:tabs>
        <w:rPr>
          <w:rFonts w:asciiTheme="minorHAnsi" w:eastAsiaTheme="minorEastAsia" w:hAnsiTheme="minorHAnsi" w:cstheme="minorBidi"/>
          <w:noProof/>
          <w:lang w:eastAsia="en-AU"/>
        </w:rPr>
      </w:pPr>
      <w:hyperlink w:anchor="_Toc382908449" w:history="1">
        <w:r w:rsidRPr="009E28DF">
          <w:rPr>
            <w:rStyle w:val="Hyperlink"/>
            <w:noProof/>
          </w:rPr>
          <w:t>3.1.</w:t>
        </w:r>
        <w:r>
          <w:rPr>
            <w:rFonts w:asciiTheme="minorHAnsi" w:eastAsiaTheme="minorEastAsia" w:hAnsiTheme="minorHAnsi" w:cstheme="minorBidi"/>
            <w:noProof/>
            <w:lang w:eastAsia="en-AU"/>
          </w:rPr>
          <w:tab/>
        </w:r>
        <w:r w:rsidRPr="009E28DF">
          <w:rPr>
            <w:rStyle w:val="Hyperlink"/>
            <w:noProof/>
          </w:rPr>
          <w:t>Studies providing pharmacokinetic data</w:t>
        </w:r>
        <w:r>
          <w:rPr>
            <w:noProof/>
            <w:webHidden/>
          </w:rPr>
          <w:tab/>
        </w:r>
        <w:r>
          <w:rPr>
            <w:noProof/>
            <w:webHidden/>
          </w:rPr>
          <w:fldChar w:fldCharType="begin"/>
        </w:r>
        <w:r>
          <w:rPr>
            <w:noProof/>
            <w:webHidden/>
          </w:rPr>
          <w:instrText xml:space="preserve"> PAGEREF _Toc382908449 \h </w:instrText>
        </w:r>
        <w:r>
          <w:rPr>
            <w:noProof/>
            <w:webHidden/>
          </w:rPr>
        </w:r>
        <w:r>
          <w:rPr>
            <w:noProof/>
            <w:webHidden/>
          </w:rPr>
          <w:fldChar w:fldCharType="separate"/>
        </w:r>
        <w:r>
          <w:rPr>
            <w:noProof/>
            <w:webHidden/>
          </w:rPr>
          <w:t>9</w:t>
        </w:r>
        <w:r>
          <w:rPr>
            <w:noProof/>
            <w:webHidden/>
          </w:rPr>
          <w:fldChar w:fldCharType="end"/>
        </w:r>
      </w:hyperlink>
    </w:p>
    <w:p w:rsidR="00B458CD" w:rsidRDefault="00B458CD">
      <w:pPr>
        <w:pStyle w:val="TOC3"/>
        <w:tabs>
          <w:tab w:val="left" w:pos="1760"/>
        </w:tabs>
        <w:rPr>
          <w:rFonts w:asciiTheme="minorHAnsi" w:eastAsiaTheme="minorEastAsia" w:hAnsiTheme="minorHAnsi" w:cstheme="minorBidi"/>
          <w:noProof/>
          <w:lang w:eastAsia="en-AU"/>
        </w:rPr>
      </w:pPr>
      <w:hyperlink w:anchor="_Toc382908450" w:history="1">
        <w:r w:rsidRPr="009E28DF">
          <w:rPr>
            <w:rStyle w:val="Hyperlink"/>
            <w:noProof/>
          </w:rPr>
          <w:t>3.2.</w:t>
        </w:r>
        <w:r>
          <w:rPr>
            <w:rFonts w:asciiTheme="minorHAnsi" w:eastAsiaTheme="minorEastAsia" w:hAnsiTheme="minorHAnsi" w:cstheme="minorBidi"/>
            <w:noProof/>
            <w:lang w:eastAsia="en-AU"/>
          </w:rPr>
          <w:tab/>
        </w:r>
        <w:r w:rsidRPr="009E28DF">
          <w:rPr>
            <w:rStyle w:val="Hyperlink"/>
            <w:noProof/>
          </w:rPr>
          <w:t>Summary of pharmacokinetics</w:t>
        </w:r>
        <w:r>
          <w:rPr>
            <w:noProof/>
            <w:webHidden/>
          </w:rPr>
          <w:tab/>
        </w:r>
        <w:r>
          <w:rPr>
            <w:noProof/>
            <w:webHidden/>
          </w:rPr>
          <w:fldChar w:fldCharType="begin"/>
        </w:r>
        <w:r>
          <w:rPr>
            <w:noProof/>
            <w:webHidden/>
          </w:rPr>
          <w:instrText xml:space="preserve"> PAGEREF _Toc382908450 \h </w:instrText>
        </w:r>
        <w:r>
          <w:rPr>
            <w:noProof/>
            <w:webHidden/>
          </w:rPr>
        </w:r>
        <w:r>
          <w:rPr>
            <w:noProof/>
            <w:webHidden/>
          </w:rPr>
          <w:fldChar w:fldCharType="separate"/>
        </w:r>
        <w:r>
          <w:rPr>
            <w:noProof/>
            <w:webHidden/>
          </w:rPr>
          <w:t>9</w:t>
        </w:r>
        <w:r>
          <w:rPr>
            <w:noProof/>
            <w:webHidden/>
          </w:rPr>
          <w:fldChar w:fldCharType="end"/>
        </w:r>
      </w:hyperlink>
    </w:p>
    <w:p w:rsidR="00B458CD" w:rsidRDefault="00B458CD">
      <w:pPr>
        <w:pStyle w:val="TOC3"/>
        <w:tabs>
          <w:tab w:val="left" w:pos="1760"/>
        </w:tabs>
        <w:rPr>
          <w:rFonts w:asciiTheme="minorHAnsi" w:eastAsiaTheme="minorEastAsia" w:hAnsiTheme="minorHAnsi" w:cstheme="minorBidi"/>
          <w:noProof/>
          <w:lang w:eastAsia="en-AU"/>
        </w:rPr>
      </w:pPr>
      <w:hyperlink w:anchor="_Toc382908451" w:history="1">
        <w:r w:rsidRPr="009E28DF">
          <w:rPr>
            <w:rStyle w:val="Hyperlink"/>
            <w:noProof/>
          </w:rPr>
          <w:t>3.3.</w:t>
        </w:r>
        <w:r>
          <w:rPr>
            <w:rFonts w:asciiTheme="minorHAnsi" w:eastAsiaTheme="minorEastAsia" w:hAnsiTheme="minorHAnsi" w:cstheme="minorBidi"/>
            <w:noProof/>
            <w:lang w:eastAsia="en-AU"/>
          </w:rPr>
          <w:tab/>
        </w:r>
        <w:r w:rsidRPr="009E28DF">
          <w:rPr>
            <w:rStyle w:val="Hyperlink"/>
            <w:noProof/>
          </w:rPr>
          <w:t>Evaluator’s overall conclusions on pharmacokinetics</w:t>
        </w:r>
        <w:r>
          <w:rPr>
            <w:noProof/>
            <w:webHidden/>
          </w:rPr>
          <w:tab/>
        </w:r>
        <w:r>
          <w:rPr>
            <w:noProof/>
            <w:webHidden/>
          </w:rPr>
          <w:fldChar w:fldCharType="begin"/>
        </w:r>
        <w:r>
          <w:rPr>
            <w:noProof/>
            <w:webHidden/>
          </w:rPr>
          <w:instrText xml:space="preserve"> PAGEREF _Toc382908451 \h </w:instrText>
        </w:r>
        <w:r>
          <w:rPr>
            <w:noProof/>
            <w:webHidden/>
          </w:rPr>
        </w:r>
        <w:r>
          <w:rPr>
            <w:noProof/>
            <w:webHidden/>
          </w:rPr>
          <w:fldChar w:fldCharType="separate"/>
        </w:r>
        <w:r>
          <w:rPr>
            <w:noProof/>
            <w:webHidden/>
          </w:rPr>
          <w:t>13</w:t>
        </w:r>
        <w:r>
          <w:rPr>
            <w:noProof/>
            <w:webHidden/>
          </w:rPr>
          <w:fldChar w:fldCharType="end"/>
        </w:r>
      </w:hyperlink>
    </w:p>
    <w:p w:rsidR="00B458CD" w:rsidRDefault="00B458CD">
      <w:pPr>
        <w:pStyle w:val="TOC2"/>
        <w:tabs>
          <w:tab w:val="left" w:pos="1100"/>
        </w:tabs>
        <w:rPr>
          <w:rFonts w:asciiTheme="minorHAnsi" w:eastAsiaTheme="minorEastAsia" w:hAnsiTheme="minorHAnsi" w:cstheme="minorBidi"/>
          <w:b w:val="0"/>
          <w:noProof/>
          <w:sz w:val="22"/>
          <w:lang w:eastAsia="en-AU"/>
        </w:rPr>
      </w:pPr>
      <w:hyperlink w:anchor="_Toc382908452" w:history="1">
        <w:r w:rsidRPr="009E28DF">
          <w:rPr>
            <w:rStyle w:val="Hyperlink"/>
            <w:noProof/>
          </w:rPr>
          <w:t>4.</w:t>
        </w:r>
        <w:r>
          <w:rPr>
            <w:rFonts w:asciiTheme="minorHAnsi" w:eastAsiaTheme="minorEastAsia" w:hAnsiTheme="minorHAnsi" w:cstheme="minorBidi"/>
            <w:b w:val="0"/>
            <w:noProof/>
            <w:sz w:val="22"/>
            <w:lang w:eastAsia="en-AU"/>
          </w:rPr>
          <w:tab/>
        </w:r>
        <w:r w:rsidRPr="009E28DF">
          <w:rPr>
            <w:rStyle w:val="Hyperlink"/>
            <w:noProof/>
          </w:rPr>
          <w:t>Pharmacodynamics</w:t>
        </w:r>
        <w:r>
          <w:rPr>
            <w:noProof/>
            <w:webHidden/>
          </w:rPr>
          <w:tab/>
        </w:r>
        <w:r>
          <w:rPr>
            <w:noProof/>
            <w:webHidden/>
          </w:rPr>
          <w:fldChar w:fldCharType="begin"/>
        </w:r>
        <w:r>
          <w:rPr>
            <w:noProof/>
            <w:webHidden/>
          </w:rPr>
          <w:instrText xml:space="preserve"> PAGEREF _Toc382908452 \h </w:instrText>
        </w:r>
        <w:r>
          <w:rPr>
            <w:noProof/>
            <w:webHidden/>
          </w:rPr>
        </w:r>
        <w:r>
          <w:rPr>
            <w:noProof/>
            <w:webHidden/>
          </w:rPr>
          <w:fldChar w:fldCharType="separate"/>
        </w:r>
        <w:r>
          <w:rPr>
            <w:noProof/>
            <w:webHidden/>
          </w:rPr>
          <w:t>13</w:t>
        </w:r>
        <w:r>
          <w:rPr>
            <w:noProof/>
            <w:webHidden/>
          </w:rPr>
          <w:fldChar w:fldCharType="end"/>
        </w:r>
      </w:hyperlink>
    </w:p>
    <w:p w:rsidR="00B458CD" w:rsidRDefault="00B458CD">
      <w:pPr>
        <w:pStyle w:val="TOC3"/>
        <w:tabs>
          <w:tab w:val="left" w:pos="1760"/>
        </w:tabs>
        <w:rPr>
          <w:rFonts w:asciiTheme="minorHAnsi" w:eastAsiaTheme="minorEastAsia" w:hAnsiTheme="minorHAnsi" w:cstheme="minorBidi"/>
          <w:noProof/>
          <w:lang w:eastAsia="en-AU"/>
        </w:rPr>
      </w:pPr>
      <w:hyperlink w:anchor="_Toc382908453" w:history="1">
        <w:r w:rsidRPr="009E28DF">
          <w:rPr>
            <w:rStyle w:val="Hyperlink"/>
            <w:noProof/>
          </w:rPr>
          <w:t>4.1.</w:t>
        </w:r>
        <w:r>
          <w:rPr>
            <w:rFonts w:asciiTheme="minorHAnsi" w:eastAsiaTheme="minorEastAsia" w:hAnsiTheme="minorHAnsi" w:cstheme="minorBidi"/>
            <w:noProof/>
            <w:lang w:eastAsia="en-AU"/>
          </w:rPr>
          <w:tab/>
        </w:r>
        <w:r w:rsidRPr="009E28DF">
          <w:rPr>
            <w:rStyle w:val="Hyperlink"/>
            <w:noProof/>
          </w:rPr>
          <w:t>Studies providing pharmacodynamic data</w:t>
        </w:r>
        <w:r>
          <w:rPr>
            <w:noProof/>
            <w:webHidden/>
          </w:rPr>
          <w:tab/>
        </w:r>
        <w:r>
          <w:rPr>
            <w:noProof/>
            <w:webHidden/>
          </w:rPr>
          <w:fldChar w:fldCharType="begin"/>
        </w:r>
        <w:r>
          <w:rPr>
            <w:noProof/>
            <w:webHidden/>
          </w:rPr>
          <w:instrText xml:space="preserve"> PAGEREF _Toc382908453 \h </w:instrText>
        </w:r>
        <w:r>
          <w:rPr>
            <w:noProof/>
            <w:webHidden/>
          </w:rPr>
        </w:r>
        <w:r>
          <w:rPr>
            <w:noProof/>
            <w:webHidden/>
          </w:rPr>
          <w:fldChar w:fldCharType="separate"/>
        </w:r>
        <w:r>
          <w:rPr>
            <w:noProof/>
            <w:webHidden/>
          </w:rPr>
          <w:t>14</w:t>
        </w:r>
        <w:r>
          <w:rPr>
            <w:noProof/>
            <w:webHidden/>
          </w:rPr>
          <w:fldChar w:fldCharType="end"/>
        </w:r>
      </w:hyperlink>
    </w:p>
    <w:p w:rsidR="00B458CD" w:rsidRDefault="00B458CD">
      <w:pPr>
        <w:pStyle w:val="TOC3"/>
        <w:tabs>
          <w:tab w:val="left" w:pos="1760"/>
        </w:tabs>
        <w:rPr>
          <w:rFonts w:asciiTheme="minorHAnsi" w:eastAsiaTheme="minorEastAsia" w:hAnsiTheme="minorHAnsi" w:cstheme="minorBidi"/>
          <w:noProof/>
          <w:lang w:eastAsia="en-AU"/>
        </w:rPr>
      </w:pPr>
      <w:hyperlink w:anchor="_Toc382908454" w:history="1">
        <w:r w:rsidRPr="009E28DF">
          <w:rPr>
            <w:rStyle w:val="Hyperlink"/>
            <w:noProof/>
          </w:rPr>
          <w:t>4.2.</w:t>
        </w:r>
        <w:r>
          <w:rPr>
            <w:rFonts w:asciiTheme="minorHAnsi" w:eastAsiaTheme="minorEastAsia" w:hAnsiTheme="minorHAnsi" w:cstheme="minorBidi"/>
            <w:noProof/>
            <w:lang w:eastAsia="en-AU"/>
          </w:rPr>
          <w:tab/>
        </w:r>
        <w:r w:rsidRPr="009E28DF">
          <w:rPr>
            <w:rStyle w:val="Hyperlink"/>
            <w:noProof/>
          </w:rPr>
          <w:t>Summary of pharmacodynamics</w:t>
        </w:r>
        <w:r>
          <w:rPr>
            <w:noProof/>
            <w:webHidden/>
          </w:rPr>
          <w:tab/>
        </w:r>
        <w:r>
          <w:rPr>
            <w:noProof/>
            <w:webHidden/>
          </w:rPr>
          <w:fldChar w:fldCharType="begin"/>
        </w:r>
        <w:r>
          <w:rPr>
            <w:noProof/>
            <w:webHidden/>
          </w:rPr>
          <w:instrText xml:space="preserve"> PAGEREF _Toc382908454 \h </w:instrText>
        </w:r>
        <w:r>
          <w:rPr>
            <w:noProof/>
            <w:webHidden/>
          </w:rPr>
        </w:r>
        <w:r>
          <w:rPr>
            <w:noProof/>
            <w:webHidden/>
          </w:rPr>
          <w:fldChar w:fldCharType="separate"/>
        </w:r>
        <w:r>
          <w:rPr>
            <w:noProof/>
            <w:webHidden/>
          </w:rPr>
          <w:t>14</w:t>
        </w:r>
        <w:r>
          <w:rPr>
            <w:noProof/>
            <w:webHidden/>
          </w:rPr>
          <w:fldChar w:fldCharType="end"/>
        </w:r>
      </w:hyperlink>
    </w:p>
    <w:p w:rsidR="00B458CD" w:rsidRDefault="00B458CD">
      <w:pPr>
        <w:pStyle w:val="TOC3"/>
        <w:tabs>
          <w:tab w:val="left" w:pos="1760"/>
        </w:tabs>
        <w:rPr>
          <w:rFonts w:asciiTheme="minorHAnsi" w:eastAsiaTheme="minorEastAsia" w:hAnsiTheme="minorHAnsi" w:cstheme="minorBidi"/>
          <w:noProof/>
          <w:lang w:eastAsia="en-AU"/>
        </w:rPr>
      </w:pPr>
      <w:hyperlink w:anchor="_Toc382908455" w:history="1">
        <w:r w:rsidRPr="009E28DF">
          <w:rPr>
            <w:rStyle w:val="Hyperlink"/>
            <w:noProof/>
          </w:rPr>
          <w:t>4.3.</w:t>
        </w:r>
        <w:r>
          <w:rPr>
            <w:rFonts w:asciiTheme="minorHAnsi" w:eastAsiaTheme="minorEastAsia" w:hAnsiTheme="minorHAnsi" w:cstheme="minorBidi"/>
            <w:noProof/>
            <w:lang w:eastAsia="en-AU"/>
          </w:rPr>
          <w:tab/>
        </w:r>
        <w:r w:rsidRPr="009E28DF">
          <w:rPr>
            <w:rStyle w:val="Hyperlink"/>
            <w:noProof/>
          </w:rPr>
          <w:t>Evaluator’s overall conclusions on pharmacodynamics</w:t>
        </w:r>
        <w:r>
          <w:rPr>
            <w:noProof/>
            <w:webHidden/>
          </w:rPr>
          <w:tab/>
        </w:r>
        <w:r>
          <w:rPr>
            <w:noProof/>
            <w:webHidden/>
          </w:rPr>
          <w:fldChar w:fldCharType="begin"/>
        </w:r>
        <w:r>
          <w:rPr>
            <w:noProof/>
            <w:webHidden/>
          </w:rPr>
          <w:instrText xml:space="preserve"> PAGEREF _Toc382908455 \h </w:instrText>
        </w:r>
        <w:r>
          <w:rPr>
            <w:noProof/>
            <w:webHidden/>
          </w:rPr>
        </w:r>
        <w:r>
          <w:rPr>
            <w:noProof/>
            <w:webHidden/>
          </w:rPr>
          <w:fldChar w:fldCharType="separate"/>
        </w:r>
        <w:r>
          <w:rPr>
            <w:noProof/>
            <w:webHidden/>
          </w:rPr>
          <w:t>18</w:t>
        </w:r>
        <w:r>
          <w:rPr>
            <w:noProof/>
            <w:webHidden/>
          </w:rPr>
          <w:fldChar w:fldCharType="end"/>
        </w:r>
      </w:hyperlink>
    </w:p>
    <w:p w:rsidR="00B458CD" w:rsidRDefault="00B458CD">
      <w:pPr>
        <w:pStyle w:val="TOC2"/>
        <w:tabs>
          <w:tab w:val="left" w:pos="1100"/>
        </w:tabs>
        <w:rPr>
          <w:rFonts w:asciiTheme="minorHAnsi" w:eastAsiaTheme="minorEastAsia" w:hAnsiTheme="minorHAnsi" w:cstheme="minorBidi"/>
          <w:b w:val="0"/>
          <w:noProof/>
          <w:sz w:val="22"/>
          <w:lang w:eastAsia="en-AU"/>
        </w:rPr>
      </w:pPr>
      <w:hyperlink w:anchor="_Toc382908456" w:history="1">
        <w:r w:rsidRPr="009E28DF">
          <w:rPr>
            <w:rStyle w:val="Hyperlink"/>
            <w:noProof/>
          </w:rPr>
          <w:t>5.</w:t>
        </w:r>
        <w:r>
          <w:rPr>
            <w:rFonts w:asciiTheme="minorHAnsi" w:eastAsiaTheme="minorEastAsia" w:hAnsiTheme="minorHAnsi" w:cstheme="minorBidi"/>
            <w:b w:val="0"/>
            <w:noProof/>
            <w:sz w:val="22"/>
            <w:lang w:eastAsia="en-AU"/>
          </w:rPr>
          <w:tab/>
        </w:r>
        <w:r w:rsidRPr="009E28DF">
          <w:rPr>
            <w:rStyle w:val="Hyperlink"/>
            <w:noProof/>
          </w:rPr>
          <w:t>Dosage selection for the pivotal studies</w:t>
        </w:r>
        <w:r>
          <w:rPr>
            <w:noProof/>
            <w:webHidden/>
          </w:rPr>
          <w:tab/>
        </w:r>
        <w:r>
          <w:rPr>
            <w:noProof/>
            <w:webHidden/>
          </w:rPr>
          <w:fldChar w:fldCharType="begin"/>
        </w:r>
        <w:r>
          <w:rPr>
            <w:noProof/>
            <w:webHidden/>
          </w:rPr>
          <w:instrText xml:space="preserve"> PAGEREF _Toc382908456 \h </w:instrText>
        </w:r>
        <w:r>
          <w:rPr>
            <w:noProof/>
            <w:webHidden/>
          </w:rPr>
        </w:r>
        <w:r>
          <w:rPr>
            <w:noProof/>
            <w:webHidden/>
          </w:rPr>
          <w:fldChar w:fldCharType="separate"/>
        </w:r>
        <w:r>
          <w:rPr>
            <w:noProof/>
            <w:webHidden/>
          </w:rPr>
          <w:t>19</w:t>
        </w:r>
        <w:r>
          <w:rPr>
            <w:noProof/>
            <w:webHidden/>
          </w:rPr>
          <w:fldChar w:fldCharType="end"/>
        </w:r>
      </w:hyperlink>
    </w:p>
    <w:p w:rsidR="00B458CD" w:rsidRDefault="00B458CD">
      <w:pPr>
        <w:pStyle w:val="TOC2"/>
        <w:tabs>
          <w:tab w:val="left" w:pos="1100"/>
        </w:tabs>
        <w:rPr>
          <w:rFonts w:asciiTheme="minorHAnsi" w:eastAsiaTheme="minorEastAsia" w:hAnsiTheme="minorHAnsi" w:cstheme="minorBidi"/>
          <w:b w:val="0"/>
          <w:noProof/>
          <w:sz w:val="22"/>
          <w:lang w:eastAsia="en-AU"/>
        </w:rPr>
      </w:pPr>
      <w:hyperlink w:anchor="_Toc382908457" w:history="1">
        <w:r w:rsidRPr="009E28DF">
          <w:rPr>
            <w:rStyle w:val="Hyperlink"/>
            <w:noProof/>
          </w:rPr>
          <w:t>6.</w:t>
        </w:r>
        <w:r>
          <w:rPr>
            <w:rFonts w:asciiTheme="minorHAnsi" w:eastAsiaTheme="minorEastAsia" w:hAnsiTheme="minorHAnsi" w:cstheme="minorBidi"/>
            <w:b w:val="0"/>
            <w:noProof/>
            <w:sz w:val="22"/>
            <w:lang w:eastAsia="en-AU"/>
          </w:rPr>
          <w:tab/>
        </w:r>
        <w:r w:rsidRPr="009E28DF">
          <w:rPr>
            <w:rStyle w:val="Hyperlink"/>
            <w:noProof/>
          </w:rPr>
          <w:t>Clinical efficacy</w:t>
        </w:r>
        <w:r>
          <w:rPr>
            <w:noProof/>
            <w:webHidden/>
          </w:rPr>
          <w:tab/>
        </w:r>
        <w:r>
          <w:rPr>
            <w:noProof/>
            <w:webHidden/>
          </w:rPr>
          <w:fldChar w:fldCharType="begin"/>
        </w:r>
        <w:r>
          <w:rPr>
            <w:noProof/>
            <w:webHidden/>
          </w:rPr>
          <w:instrText xml:space="preserve"> PAGEREF _Toc382908457 \h </w:instrText>
        </w:r>
        <w:r>
          <w:rPr>
            <w:noProof/>
            <w:webHidden/>
          </w:rPr>
        </w:r>
        <w:r>
          <w:rPr>
            <w:noProof/>
            <w:webHidden/>
          </w:rPr>
          <w:fldChar w:fldCharType="separate"/>
        </w:r>
        <w:r>
          <w:rPr>
            <w:noProof/>
            <w:webHidden/>
          </w:rPr>
          <w:t>19</w:t>
        </w:r>
        <w:r>
          <w:rPr>
            <w:noProof/>
            <w:webHidden/>
          </w:rPr>
          <w:fldChar w:fldCharType="end"/>
        </w:r>
      </w:hyperlink>
    </w:p>
    <w:p w:rsidR="00B458CD" w:rsidRDefault="00B458CD">
      <w:pPr>
        <w:pStyle w:val="TOC3"/>
        <w:tabs>
          <w:tab w:val="left" w:pos="1760"/>
        </w:tabs>
        <w:rPr>
          <w:rFonts w:asciiTheme="minorHAnsi" w:eastAsiaTheme="minorEastAsia" w:hAnsiTheme="minorHAnsi" w:cstheme="minorBidi"/>
          <w:noProof/>
          <w:lang w:eastAsia="en-AU"/>
        </w:rPr>
      </w:pPr>
      <w:hyperlink w:anchor="_Toc382908458" w:history="1">
        <w:r w:rsidRPr="009E28DF">
          <w:rPr>
            <w:rStyle w:val="Hyperlink"/>
            <w:noProof/>
          </w:rPr>
          <w:t>6.1.</w:t>
        </w:r>
        <w:r>
          <w:rPr>
            <w:rFonts w:asciiTheme="minorHAnsi" w:eastAsiaTheme="minorEastAsia" w:hAnsiTheme="minorHAnsi" w:cstheme="minorBidi"/>
            <w:noProof/>
            <w:lang w:eastAsia="en-AU"/>
          </w:rPr>
          <w:tab/>
        </w:r>
        <w:r w:rsidRPr="009E28DF">
          <w:rPr>
            <w:rStyle w:val="Hyperlink"/>
            <w:noProof/>
          </w:rPr>
          <w:t>Eye examination</w:t>
        </w:r>
        <w:r>
          <w:rPr>
            <w:noProof/>
            <w:webHidden/>
          </w:rPr>
          <w:tab/>
        </w:r>
        <w:r>
          <w:rPr>
            <w:noProof/>
            <w:webHidden/>
          </w:rPr>
          <w:fldChar w:fldCharType="begin"/>
        </w:r>
        <w:r>
          <w:rPr>
            <w:noProof/>
            <w:webHidden/>
          </w:rPr>
          <w:instrText xml:space="preserve"> PAGEREF _Toc382908458 \h </w:instrText>
        </w:r>
        <w:r>
          <w:rPr>
            <w:noProof/>
            <w:webHidden/>
          </w:rPr>
        </w:r>
        <w:r>
          <w:rPr>
            <w:noProof/>
            <w:webHidden/>
          </w:rPr>
          <w:fldChar w:fldCharType="separate"/>
        </w:r>
        <w:r>
          <w:rPr>
            <w:noProof/>
            <w:webHidden/>
          </w:rPr>
          <w:t>19</w:t>
        </w:r>
        <w:r>
          <w:rPr>
            <w:noProof/>
            <w:webHidden/>
          </w:rPr>
          <w:fldChar w:fldCharType="end"/>
        </w:r>
      </w:hyperlink>
    </w:p>
    <w:p w:rsidR="00B458CD" w:rsidRDefault="00B458CD">
      <w:pPr>
        <w:pStyle w:val="TOC3"/>
        <w:tabs>
          <w:tab w:val="left" w:pos="1760"/>
        </w:tabs>
        <w:rPr>
          <w:rFonts w:asciiTheme="minorHAnsi" w:eastAsiaTheme="minorEastAsia" w:hAnsiTheme="minorHAnsi" w:cstheme="minorBidi"/>
          <w:noProof/>
          <w:lang w:eastAsia="en-AU"/>
        </w:rPr>
      </w:pPr>
      <w:hyperlink w:anchor="_Toc382908459" w:history="1">
        <w:r w:rsidRPr="009E28DF">
          <w:rPr>
            <w:rStyle w:val="Hyperlink"/>
            <w:noProof/>
          </w:rPr>
          <w:t>6.2.</w:t>
        </w:r>
        <w:r>
          <w:rPr>
            <w:rFonts w:asciiTheme="minorHAnsi" w:eastAsiaTheme="minorEastAsia" w:hAnsiTheme="minorHAnsi" w:cstheme="minorBidi"/>
            <w:noProof/>
            <w:lang w:eastAsia="en-AU"/>
          </w:rPr>
          <w:tab/>
        </w:r>
        <w:r w:rsidRPr="009E28DF">
          <w:rPr>
            <w:rStyle w:val="Hyperlink"/>
            <w:noProof/>
          </w:rPr>
          <w:t>Pivotal efficacy studies: Besivance for the treatment of bacterial conjunctivitis in adults and children (1 year or older)</w:t>
        </w:r>
        <w:r>
          <w:rPr>
            <w:noProof/>
            <w:webHidden/>
          </w:rPr>
          <w:tab/>
        </w:r>
        <w:r>
          <w:rPr>
            <w:noProof/>
            <w:webHidden/>
          </w:rPr>
          <w:fldChar w:fldCharType="begin"/>
        </w:r>
        <w:r>
          <w:rPr>
            <w:noProof/>
            <w:webHidden/>
          </w:rPr>
          <w:instrText xml:space="preserve"> PAGEREF _Toc382908459 \h </w:instrText>
        </w:r>
        <w:r>
          <w:rPr>
            <w:noProof/>
            <w:webHidden/>
          </w:rPr>
        </w:r>
        <w:r>
          <w:rPr>
            <w:noProof/>
            <w:webHidden/>
          </w:rPr>
          <w:fldChar w:fldCharType="separate"/>
        </w:r>
        <w:r>
          <w:rPr>
            <w:noProof/>
            <w:webHidden/>
          </w:rPr>
          <w:t>21</w:t>
        </w:r>
        <w:r>
          <w:rPr>
            <w:noProof/>
            <w:webHidden/>
          </w:rPr>
          <w:fldChar w:fldCharType="end"/>
        </w:r>
      </w:hyperlink>
    </w:p>
    <w:p w:rsidR="00B458CD" w:rsidRDefault="00B458CD">
      <w:pPr>
        <w:pStyle w:val="TOC3"/>
        <w:tabs>
          <w:tab w:val="left" w:pos="1760"/>
        </w:tabs>
        <w:rPr>
          <w:rFonts w:asciiTheme="minorHAnsi" w:eastAsiaTheme="minorEastAsia" w:hAnsiTheme="minorHAnsi" w:cstheme="minorBidi"/>
          <w:noProof/>
          <w:lang w:eastAsia="en-AU"/>
        </w:rPr>
      </w:pPr>
      <w:hyperlink w:anchor="_Toc382908460" w:history="1">
        <w:r w:rsidRPr="009E28DF">
          <w:rPr>
            <w:rStyle w:val="Hyperlink"/>
            <w:noProof/>
          </w:rPr>
          <w:t>6.3.</w:t>
        </w:r>
        <w:r>
          <w:rPr>
            <w:rFonts w:asciiTheme="minorHAnsi" w:eastAsiaTheme="minorEastAsia" w:hAnsiTheme="minorHAnsi" w:cstheme="minorBidi"/>
            <w:noProof/>
            <w:lang w:eastAsia="en-AU"/>
          </w:rPr>
          <w:tab/>
        </w:r>
        <w:r w:rsidRPr="009E28DF">
          <w:rPr>
            <w:rStyle w:val="Hyperlink"/>
            <w:noProof/>
          </w:rPr>
          <w:t>Analyses performed across trials (pooled &amp; meta analyses)</w:t>
        </w:r>
        <w:r>
          <w:rPr>
            <w:noProof/>
            <w:webHidden/>
          </w:rPr>
          <w:tab/>
        </w:r>
        <w:r>
          <w:rPr>
            <w:noProof/>
            <w:webHidden/>
          </w:rPr>
          <w:fldChar w:fldCharType="begin"/>
        </w:r>
        <w:r>
          <w:rPr>
            <w:noProof/>
            <w:webHidden/>
          </w:rPr>
          <w:instrText xml:space="preserve"> PAGEREF _Toc382908460 \h </w:instrText>
        </w:r>
        <w:r>
          <w:rPr>
            <w:noProof/>
            <w:webHidden/>
          </w:rPr>
        </w:r>
        <w:r>
          <w:rPr>
            <w:noProof/>
            <w:webHidden/>
          </w:rPr>
          <w:fldChar w:fldCharType="separate"/>
        </w:r>
        <w:r>
          <w:rPr>
            <w:noProof/>
            <w:webHidden/>
          </w:rPr>
          <w:t>21</w:t>
        </w:r>
        <w:r>
          <w:rPr>
            <w:noProof/>
            <w:webHidden/>
          </w:rPr>
          <w:fldChar w:fldCharType="end"/>
        </w:r>
      </w:hyperlink>
    </w:p>
    <w:p w:rsidR="00B458CD" w:rsidRDefault="00B458CD">
      <w:pPr>
        <w:pStyle w:val="TOC3"/>
        <w:tabs>
          <w:tab w:val="left" w:pos="1760"/>
        </w:tabs>
        <w:rPr>
          <w:rFonts w:asciiTheme="minorHAnsi" w:eastAsiaTheme="minorEastAsia" w:hAnsiTheme="minorHAnsi" w:cstheme="minorBidi"/>
          <w:noProof/>
          <w:lang w:eastAsia="en-AU"/>
        </w:rPr>
      </w:pPr>
      <w:hyperlink w:anchor="_Toc382908461" w:history="1">
        <w:r w:rsidRPr="009E28DF">
          <w:rPr>
            <w:rStyle w:val="Hyperlink"/>
            <w:noProof/>
          </w:rPr>
          <w:t>6.4.</w:t>
        </w:r>
        <w:r>
          <w:rPr>
            <w:rFonts w:asciiTheme="minorHAnsi" w:eastAsiaTheme="minorEastAsia" w:hAnsiTheme="minorHAnsi" w:cstheme="minorBidi"/>
            <w:noProof/>
            <w:lang w:eastAsia="en-AU"/>
          </w:rPr>
          <w:tab/>
        </w:r>
        <w:r w:rsidRPr="009E28DF">
          <w:rPr>
            <w:rStyle w:val="Hyperlink"/>
            <w:noProof/>
          </w:rPr>
          <w:t>Evaluator’s conclusions on clinical efficacy for besivance</w:t>
        </w:r>
        <w:r>
          <w:rPr>
            <w:noProof/>
            <w:webHidden/>
          </w:rPr>
          <w:tab/>
        </w:r>
        <w:r>
          <w:rPr>
            <w:noProof/>
            <w:webHidden/>
          </w:rPr>
          <w:fldChar w:fldCharType="begin"/>
        </w:r>
        <w:r>
          <w:rPr>
            <w:noProof/>
            <w:webHidden/>
          </w:rPr>
          <w:instrText xml:space="preserve"> PAGEREF _Toc382908461 \h </w:instrText>
        </w:r>
        <w:r>
          <w:rPr>
            <w:noProof/>
            <w:webHidden/>
          </w:rPr>
        </w:r>
        <w:r>
          <w:rPr>
            <w:noProof/>
            <w:webHidden/>
          </w:rPr>
          <w:fldChar w:fldCharType="separate"/>
        </w:r>
        <w:r>
          <w:rPr>
            <w:noProof/>
            <w:webHidden/>
          </w:rPr>
          <w:t>23</w:t>
        </w:r>
        <w:r>
          <w:rPr>
            <w:noProof/>
            <w:webHidden/>
          </w:rPr>
          <w:fldChar w:fldCharType="end"/>
        </w:r>
      </w:hyperlink>
    </w:p>
    <w:p w:rsidR="00B458CD" w:rsidRDefault="00B458CD">
      <w:pPr>
        <w:pStyle w:val="TOC2"/>
        <w:tabs>
          <w:tab w:val="left" w:pos="1100"/>
        </w:tabs>
        <w:rPr>
          <w:rFonts w:asciiTheme="minorHAnsi" w:eastAsiaTheme="minorEastAsia" w:hAnsiTheme="minorHAnsi" w:cstheme="minorBidi"/>
          <w:b w:val="0"/>
          <w:noProof/>
          <w:sz w:val="22"/>
          <w:lang w:eastAsia="en-AU"/>
        </w:rPr>
      </w:pPr>
      <w:hyperlink w:anchor="_Toc382908462" w:history="1">
        <w:r w:rsidRPr="009E28DF">
          <w:rPr>
            <w:rStyle w:val="Hyperlink"/>
            <w:noProof/>
          </w:rPr>
          <w:t>7.</w:t>
        </w:r>
        <w:r>
          <w:rPr>
            <w:rFonts w:asciiTheme="minorHAnsi" w:eastAsiaTheme="minorEastAsia" w:hAnsiTheme="minorHAnsi" w:cstheme="minorBidi"/>
            <w:b w:val="0"/>
            <w:noProof/>
            <w:sz w:val="22"/>
            <w:lang w:eastAsia="en-AU"/>
          </w:rPr>
          <w:tab/>
        </w:r>
        <w:r w:rsidRPr="009E28DF">
          <w:rPr>
            <w:rStyle w:val="Hyperlink"/>
            <w:noProof/>
          </w:rPr>
          <w:t>Clinical safety</w:t>
        </w:r>
        <w:r>
          <w:rPr>
            <w:noProof/>
            <w:webHidden/>
          </w:rPr>
          <w:tab/>
        </w:r>
        <w:r>
          <w:rPr>
            <w:noProof/>
            <w:webHidden/>
          </w:rPr>
          <w:fldChar w:fldCharType="begin"/>
        </w:r>
        <w:r>
          <w:rPr>
            <w:noProof/>
            <w:webHidden/>
          </w:rPr>
          <w:instrText xml:space="preserve"> PAGEREF _Toc382908462 \h </w:instrText>
        </w:r>
        <w:r>
          <w:rPr>
            <w:noProof/>
            <w:webHidden/>
          </w:rPr>
        </w:r>
        <w:r>
          <w:rPr>
            <w:noProof/>
            <w:webHidden/>
          </w:rPr>
          <w:fldChar w:fldCharType="separate"/>
        </w:r>
        <w:r>
          <w:rPr>
            <w:noProof/>
            <w:webHidden/>
          </w:rPr>
          <w:t>24</w:t>
        </w:r>
        <w:r>
          <w:rPr>
            <w:noProof/>
            <w:webHidden/>
          </w:rPr>
          <w:fldChar w:fldCharType="end"/>
        </w:r>
      </w:hyperlink>
    </w:p>
    <w:p w:rsidR="00B458CD" w:rsidRDefault="00B458CD">
      <w:pPr>
        <w:pStyle w:val="TOC3"/>
        <w:tabs>
          <w:tab w:val="left" w:pos="1760"/>
        </w:tabs>
        <w:rPr>
          <w:rFonts w:asciiTheme="minorHAnsi" w:eastAsiaTheme="minorEastAsia" w:hAnsiTheme="minorHAnsi" w:cstheme="minorBidi"/>
          <w:noProof/>
          <w:lang w:eastAsia="en-AU"/>
        </w:rPr>
      </w:pPr>
      <w:hyperlink w:anchor="_Toc382908463" w:history="1">
        <w:r w:rsidRPr="009E28DF">
          <w:rPr>
            <w:rStyle w:val="Hyperlink"/>
            <w:noProof/>
          </w:rPr>
          <w:t>7.1.</w:t>
        </w:r>
        <w:r>
          <w:rPr>
            <w:rFonts w:asciiTheme="minorHAnsi" w:eastAsiaTheme="minorEastAsia" w:hAnsiTheme="minorHAnsi" w:cstheme="minorBidi"/>
            <w:noProof/>
            <w:lang w:eastAsia="en-AU"/>
          </w:rPr>
          <w:tab/>
        </w:r>
        <w:r w:rsidRPr="009E28DF">
          <w:rPr>
            <w:rStyle w:val="Hyperlink"/>
            <w:noProof/>
          </w:rPr>
          <w:t>Studies providing evaluable safety data</w:t>
        </w:r>
        <w:r>
          <w:rPr>
            <w:noProof/>
            <w:webHidden/>
          </w:rPr>
          <w:tab/>
        </w:r>
        <w:r>
          <w:rPr>
            <w:noProof/>
            <w:webHidden/>
          </w:rPr>
          <w:fldChar w:fldCharType="begin"/>
        </w:r>
        <w:r>
          <w:rPr>
            <w:noProof/>
            <w:webHidden/>
          </w:rPr>
          <w:instrText xml:space="preserve"> PAGEREF _Toc382908463 \h </w:instrText>
        </w:r>
        <w:r>
          <w:rPr>
            <w:noProof/>
            <w:webHidden/>
          </w:rPr>
        </w:r>
        <w:r>
          <w:rPr>
            <w:noProof/>
            <w:webHidden/>
          </w:rPr>
          <w:fldChar w:fldCharType="separate"/>
        </w:r>
        <w:r>
          <w:rPr>
            <w:noProof/>
            <w:webHidden/>
          </w:rPr>
          <w:t>24</w:t>
        </w:r>
        <w:r>
          <w:rPr>
            <w:noProof/>
            <w:webHidden/>
          </w:rPr>
          <w:fldChar w:fldCharType="end"/>
        </w:r>
      </w:hyperlink>
    </w:p>
    <w:p w:rsidR="00B458CD" w:rsidRDefault="00B458CD">
      <w:pPr>
        <w:pStyle w:val="TOC3"/>
        <w:tabs>
          <w:tab w:val="left" w:pos="1760"/>
        </w:tabs>
        <w:rPr>
          <w:rFonts w:asciiTheme="minorHAnsi" w:eastAsiaTheme="minorEastAsia" w:hAnsiTheme="minorHAnsi" w:cstheme="minorBidi"/>
          <w:noProof/>
          <w:lang w:eastAsia="en-AU"/>
        </w:rPr>
      </w:pPr>
      <w:hyperlink w:anchor="_Toc382908464" w:history="1">
        <w:r w:rsidRPr="009E28DF">
          <w:rPr>
            <w:rStyle w:val="Hyperlink"/>
            <w:noProof/>
          </w:rPr>
          <w:t>7.2.</w:t>
        </w:r>
        <w:r>
          <w:rPr>
            <w:rFonts w:asciiTheme="minorHAnsi" w:eastAsiaTheme="minorEastAsia" w:hAnsiTheme="minorHAnsi" w:cstheme="minorBidi"/>
            <w:noProof/>
            <w:lang w:eastAsia="en-AU"/>
          </w:rPr>
          <w:tab/>
        </w:r>
        <w:r w:rsidRPr="009E28DF">
          <w:rPr>
            <w:rStyle w:val="Hyperlink"/>
            <w:noProof/>
          </w:rPr>
          <w:t>Pivotal studies that assessed safety as a primary outcome</w:t>
        </w:r>
        <w:r>
          <w:rPr>
            <w:noProof/>
            <w:webHidden/>
          </w:rPr>
          <w:tab/>
        </w:r>
        <w:r>
          <w:rPr>
            <w:noProof/>
            <w:webHidden/>
          </w:rPr>
          <w:fldChar w:fldCharType="begin"/>
        </w:r>
        <w:r>
          <w:rPr>
            <w:noProof/>
            <w:webHidden/>
          </w:rPr>
          <w:instrText xml:space="preserve"> PAGEREF _Toc382908464 \h </w:instrText>
        </w:r>
        <w:r>
          <w:rPr>
            <w:noProof/>
            <w:webHidden/>
          </w:rPr>
        </w:r>
        <w:r>
          <w:rPr>
            <w:noProof/>
            <w:webHidden/>
          </w:rPr>
          <w:fldChar w:fldCharType="separate"/>
        </w:r>
        <w:r>
          <w:rPr>
            <w:noProof/>
            <w:webHidden/>
          </w:rPr>
          <w:t>24</w:t>
        </w:r>
        <w:r>
          <w:rPr>
            <w:noProof/>
            <w:webHidden/>
          </w:rPr>
          <w:fldChar w:fldCharType="end"/>
        </w:r>
      </w:hyperlink>
    </w:p>
    <w:p w:rsidR="00B458CD" w:rsidRDefault="00B458CD">
      <w:pPr>
        <w:pStyle w:val="TOC3"/>
        <w:tabs>
          <w:tab w:val="left" w:pos="1760"/>
        </w:tabs>
        <w:rPr>
          <w:rFonts w:asciiTheme="minorHAnsi" w:eastAsiaTheme="minorEastAsia" w:hAnsiTheme="minorHAnsi" w:cstheme="minorBidi"/>
          <w:noProof/>
          <w:lang w:eastAsia="en-AU"/>
        </w:rPr>
      </w:pPr>
      <w:hyperlink w:anchor="_Toc382908465" w:history="1">
        <w:r w:rsidRPr="009E28DF">
          <w:rPr>
            <w:rStyle w:val="Hyperlink"/>
            <w:noProof/>
          </w:rPr>
          <w:t>7.3.</w:t>
        </w:r>
        <w:r>
          <w:rPr>
            <w:rFonts w:asciiTheme="minorHAnsi" w:eastAsiaTheme="minorEastAsia" w:hAnsiTheme="minorHAnsi" w:cstheme="minorBidi"/>
            <w:noProof/>
            <w:lang w:eastAsia="en-AU"/>
          </w:rPr>
          <w:tab/>
        </w:r>
        <w:r w:rsidRPr="009E28DF">
          <w:rPr>
            <w:rStyle w:val="Hyperlink"/>
            <w:noProof/>
          </w:rPr>
          <w:t>Patient exposure</w:t>
        </w:r>
        <w:r>
          <w:rPr>
            <w:noProof/>
            <w:webHidden/>
          </w:rPr>
          <w:tab/>
        </w:r>
        <w:r>
          <w:rPr>
            <w:noProof/>
            <w:webHidden/>
          </w:rPr>
          <w:fldChar w:fldCharType="begin"/>
        </w:r>
        <w:r>
          <w:rPr>
            <w:noProof/>
            <w:webHidden/>
          </w:rPr>
          <w:instrText xml:space="preserve"> PAGEREF _Toc382908465 \h </w:instrText>
        </w:r>
        <w:r>
          <w:rPr>
            <w:noProof/>
            <w:webHidden/>
          </w:rPr>
        </w:r>
        <w:r>
          <w:rPr>
            <w:noProof/>
            <w:webHidden/>
          </w:rPr>
          <w:fldChar w:fldCharType="separate"/>
        </w:r>
        <w:r>
          <w:rPr>
            <w:noProof/>
            <w:webHidden/>
          </w:rPr>
          <w:t>24</w:t>
        </w:r>
        <w:r>
          <w:rPr>
            <w:noProof/>
            <w:webHidden/>
          </w:rPr>
          <w:fldChar w:fldCharType="end"/>
        </w:r>
      </w:hyperlink>
    </w:p>
    <w:p w:rsidR="00B458CD" w:rsidRDefault="00B458CD">
      <w:pPr>
        <w:pStyle w:val="TOC3"/>
        <w:tabs>
          <w:tab w:val="left" w:pos="1760"/>
        </w:tabs>
        <w:rPr>
          <w:rFonts w:asciiTheme="minorHAnsi" w:eastAsiaTheme="minorEastAsia" w:hAnsiTheme="minorHAnsi" w:cstheme="minorBidi"/>
          <w:noProof/>
          <w:lang w:eastAsia="en-AU"/>
        </w:rPr>
      </w:pPr>
      <w:hyperlink w:anchor="_Toc382908466" w:history="1">
        <w:r w:rsidRPr="009E28DF">
          <w:rPr>
            <w:rStyle w:val="Hyperlink"/>
            <w:noProof/>
          </w:rPr>
          <w:t>7.4.</w:t>
        </w:r>
        <w:r>
          <w:rPr>
            <w:rFonts w:asciiTheme="minorHAnsi" w:eastAsiaTheme="minorEastAsia" w:hAnsiTheme="minorHAnsi" w:cstheme="minorBidi"/>
            <w:noProof/>
            <w:lang w:eastAsia="en-AU"/>
          </w:rPr>
          <w:tab/>
        </w:r>
        <w:r w:rsidRPr="009E28DF">
          <w:rPr>
            <w:rStyle w:val="Hyperlink"/>
            <w:noProof/>
          </w:rPr>
          <w:t>Adverse events</w:t>
        </w:r>
        <w:r>
          <w:rPr>
            <w:noProof/>
            <w:webHidden/>
          </w:rPr>
          <w:tab/>
        </w:r>
        <w:r>
          <w:rPr>
            <w:noProof/>
            <w:webHidden/>
          </w:rPr>
          <w:fldChar w:fldCharType="begin"/>
        </w:r>
        <w:r>
          <w:rPr>
            <w:noProof/>
            <w:webHidden/>
          </w:rPr>
          <w:instrText xml:space="preserve"> PAGEREF _Toc382908466 \h </w:instrText>
        </w:r>
        <w:r>
          <w:rPr>
            <w:noProof/>
            <w:webHidden/>
          </w:rPr>
        </w:r>
        <w:r>
          <w:rPr>
            <w:noProof/>
            <w:webHidden/>
          </w:rPr>
          <w:fldChar w:fldCharType="separate"/>
        </w:r>
        <w:r>
          <w:rPr>
            <w:noProof/>
            <w:webHidden/>
          </w:rPr>
          <w:t>24</w:t>
        </w:r>
        <w:r>
          <w:rPr>
            <w:noProof/>
            <w:webHidden/>
          </w:rPr>
          <w:fldChar w:fldCharType="end"/>
        </w:r>
      </w:hyperlink>
    </w:p>
    <w:p w:rsidR="00B458CD" w:rsidRDefault="00B458CD">
      <w:pPr>
        <w:pStyle w:val="TOC3"/>
        <w:tabs>
          <w:tab w:val="left" w:pos="1760"/>
        </w:tabs>
        <w:rPr>
          <w:rFonts w:asciiTheme="minorHAnsi" w:eastAsiaTheme="minorEastAsia" w:hAnsiTheme="minorHAnsi" w:cstheme="minorBidi"/>
          <w:noProof/>
          <w:lang w:eastAsia="en-AU"/>
        </w:rPr>
      </w:pPr>
      <w:hyperlink w:anchor="_Toc382908467" w:history="1">
        <w:r w:rsidRPr="009E28DF">
          <w:rPr>
            <w:rStyle w:val="Hyperlink"/>
            <w:noProof/>
          </w:rPr>
          <w:t>7.5.</w:t>
        </w:r>
        <w:r>
          <w:rPr>
            <w:rFonts w:asciiTheme="minorHAnsi" w:eastAsiaTheme="minorEastAsia" w:hAnsiTheme="minorHAnsi" w:cstheme="minorBidi"/>
            <w:noProof/>
            <w:lang w:eastAsia="en-AU"/>
          </w:rPr>
          <w:tab/>
        </w:r>
        <w:r w:rsidRPr="009E28DF">
          <w:rPr>
            <w:rStyle w:val="Hyperlink"/>
            <w:noProof/>
          </w:rPr>
          <w:t>Laboratory tests</w:t>
        </w:r>
        <w:r>
          <w:rPr>
            <w:noProof/>
            <w:webHidden/>
          </w:rPr>
          <w:tab/>
        </w:r>
        <w:r>
          <w:rPr>
            <w:noProof/>
            <w:webHidden/>
          </w:rPr>
          <w:fldChar w:fldCharType="begin"/>
        </w:r>
        <w:r>
          <w:rPr>
            <w:noProof/>
            <w:webHidden/>
          </w:rPr>
          <w:instrText xml:space="preserve"> PAGEREF _Toc382908467 \h </w:instrText>
        </w:r>
        <w:r>
          <w:rPr>
            <w:noProof/>
            <w:webHidden/>
          </w:rPr>
        </w:r>
        <w:r>
          <w:rPr>
            <w:noProof/>
            <w:webHidden/>
          </w:rPr>
          <w:fldChar w:fldCharType="separate"/>
        </w:r>
        <w:r>
          <w:rPr>
            <w:noProof/>
            <w:webHidden/>
          </w:rPr>
          <w:t>27</w:t>
        </w:r>
        <w:r>
          <w:rPr>
            <w:noProof/>
            <w:webHidden/>
          </w:rPr>
          <w:fldChar w:fldCharType="end"/>
        </w:r>
      </w:hyperlink>
    </w:p>
    <w:p w:rsidR="00B458CD" w:rsidRDefault="00B458CD">
      <w:pPr>
        <w:pStyle w:val="TOC3"/>
        <w:tabs>
          <w:tab w:val="left" w:pos="1760"/>
        </w:tabs>
        <w:rPr>
          <w:rFonts w:asciiTheme="minorHAnsi" w:eastAsiaTheme="minorEastAsia" w:hAnsiTheme="minorHAnsi" w:cstheme="minorBidi"/>
          <w:noProof/>
          <w:lang w:eastAsia="en-AU"/>
        </w:rPr>
      </w:pPr>
      <w:hyperlink w:anchor="_Toc382908468" w:history="1">
        <w:r w:rsidRPr="009E28DF">
          <w:rPr>
            <w:rStyle w:val="Hyperlink"/>
            <w:noProof/>
          </w:rPr>
          <w:t>7.6.</w:t>
        </w:r>
        <w:r>
          <w:rPr>
            <w:rFonts w:asciiTheme="minorHAnsi" w:eastAsiaTheme="minorEastAsia" w:hAnsiTheme="minorHAnsi" w:cstheme="minorBidi"/>
            <w:noProof/>
            <w:lang w:eastAsia="en-AU"/>
          </w:rPr>
          <w:tab/>
        </w:r>
        <w:r w:rsidRPr="009E28DF">
          <w:rPr>
            <w:rStyle w:val="Hyperlink"/>
            <w:noProof/>
          </w:rPr>
          <w:t>Post-marketing experience</w:t>
        </w:r>
        <w:r>
          <w:rPr>
            <w:noProof/>
            <w:webHidden/>
          </w:rPr>
          <w:tab/>
        </w:r>
        <w:r>
          <w:rPr>
            <w:noProof/>
            <w:webHidden/>
          </w:rPr>
          <w:fldChar w:fldCharType="begin"/>
        </w:r>
        <w:r>
          <w:rPr>
            <w:noProof/>
            <w:webHidden/>
          </w:rPr>
          <w:instrText xml:space="preserve"> PAGEREF _Toc382908468 \h </w:instrText>
        </w:r>
        <w:r>
          <w:rPr>
            <w:noProof/>
            <w:webHidden/>
          </w:rPr>
        </w:r>
        <w:r>
          <w:rPr>
            <w:noProof/>
            <w:webHidden/>
          </w:rPr>
          <w:fldChar w:fldCharType="separate"/>
        </w:r>
        <w:r>
          <w:rPr>
            <w:noProof/>
            <w:webHidden/>
          </w:rPr>
          <w:t>28</w:t>
        </w:r>
        <w:r>
          <w:rPr>
            <w:noProof/>
            <w:webHidden/>
          </w:rPr>
          <w:fldChar w:fldCharType="end"/>
        </w:r>
      </w:hyperlink>
    </w:p>
    <w:p w:rsidR="00B458CD" w:rsidRDefault="00B458CD">
      <w:pPr>
        <w:pStyle w:val="TOC3"/>
        <w:tabs>
          <w:tab w:val="left" w:pos="1760"/>
        </w:tabs>
        <w:rPr>
          <w:rFonts w:asciiTheme="minorHAnsi" w:eastAsiaTheme="minorEastAsia" w:hAnsiTheme="minorHAnsi" w:cstheme="minorBidi"/>
          <w:noProof/>
          <w:lang w:eastAsia="en-AU"/>
        </w:rPr>
      </w:pPr>
      <w:hyperlink w:anchor="_Toc382908469" w:history="1">
        <w:r w:rsidRPr="009E28DF">
          <w:rPr>
            <w:rStyle w:val="Hyperlink"/>
            <w:noProof/>
          </w:rPr>
          <w:t>7.7.</w:t>
        </w:r>
        <w:r>
          <w:rPr>
            <w:rFonts w:asciiTheme="minorHAnsi" w:eastAsiaTheme="minorEastAsia" w:hAnsiTheme="minorHAnsi" w:cstheme="minorBidi"/>
            <w:noProof/>
            <w:lang w:eastAsia="en-AU"/>
          </w:rPr>
          <w:tab/>
        </w:r>
        <w:r w:rsidRPr="009E28DF">
          <w:rPr>
            <w:rStyle w:val="Hyperlink"/>
            <w:noProof/>
          </w:rPr>
          <w:t>Safety issues with the potential for major regulatory impact</w:t>
        </w:r>
        <w:r>
          <w:rPr>
            <w:noProof/>
            <w:webHidden/>
          </w:rPr>
          <w:tab/>
        </w:r>
        <w:r>
          <w:rPr>
            <w:noProof/>
            <w:webHidden/>
          </w:rPr>
          <w:fldChar w:fldCharType="begin"/>
        </w:r>
        <w:r>
          <w:rPr>
            <w:noProof/>
            <w:webHidden/>
          </w:rPr>
          <w:instrText xml:space="preserve"> PAGEREF _Toc382908469 \h </w:instrText>
        </w:r>
        <w:r>
          <w:rPr>
            <w:noProof/>
            <w:webHidden/>
          </w:rPr>
        </w:r>
        <w:r>
          <w:rPr>
            <w:noProof/>
            <w:webHidden/>
          </w:rPr>
          <w:fldChar w:fldCharType="separate"/>
        </w:r>
        <w:r>
          <w:rPr>
            <w:noProof/>
            <w:webHidden/>
          </w:rPr>
          <w:t>29</w:t>
        </w:r>
        <w:r>
          <w:rPr>
            <w:noProof/>
            <w:webHidden/>
          </w:rPr>
          <w:fldChar w:fldCharType="end"/>
        </w:r>
      </w:hyperlink>
    </w:p>
    <w:p w:rsidR="00B458CD" w:rsidRDefault="00B458CD">
      <w:pPr>
        <w:pStyle w:val="TOC3"/>
        <w:tabs>
          <w:tab w:val="left" w:pos="1760"/>
        </w:tabs>
        <w:rPr>
          <w:rFonts w:asciiTheme="minorHAnsi" w:eastAsiaTheme="minorEastAsia" w:hAnsiTheme="minorHAnsi" w:cstheme="minorBidi"/>
          <w:noProof/>
          <w:lang w:eastAsia="en-AU"/>
        </w:rPr>
      </w:pPr>
      <w:hyperlink w:anchor="_Toc382908470" w:history="1">
        <w:r w:rsidRPr="009E28DF">
          <w:rPr>
            <w:rStyle w:val="Hyperlink"/>
            <w:noProof/>
          </w:rPr>
          <w:t>7.8.</w:t>
        </w:r>
        <w:r>
          <w:rPr>
            <w:rFonts w:asciiTheme="minorHAnsi" w:eastAsiaTheme="minorEastAsia" w:hAnsiTheme="minorHAnsi" w:cstheme="minorBidi"/>
            <w:noProof/>
            <w:lang w:eastAsia="en-AU"/>
          </w:rPr>
          <w:tab/>
        </w:r>
        <w:r w:rsidRPr="009E28DF">
          <w:rPr>
            <w:rStyle w:val="Hyperlink"/>
            <w:noProof/>
          </w:rPr>
          <w:t>Other safety issues</w:t>
        </w:r>
        <w:r>
          <w:rPr>
            <w:noProof/>
            <w:webHidden/>
          </w:rPr>
          <w:tab/>
        </w:r>
        <w:r>
          <w:rPr>
            <w:noProof/>
            <w:webHidden/>
          </w:rPr>
          <w:fldChar w:fldCharType="begin"/>
        </w:r>
        <w:r>
          <w:rPr>
            <w:noProof/>
            <w:webHidden/>
          </w:rPr>
          <w:instrText xml:space="preserve"> PAGEREF _Toc382908470 \h </w:instrText>
        </w:r>
        <w:r>
          <w:rPr>
            <w:noProof/>
            <w:webHidden/>
          </w:rPr>
        </w:r>
        <w:r>
          <w:rPr>
            <w:noProof/>
            <w:webHidden/>
          </w:rPr>
          <w:fldChar w:fldCharType="separate"/>
        </w:r>
        <w:r>
          <w:rPr>
            <w:noProof/>
            <w:webHidden/>
          </w:rPr>
          <w:t>29</w:t>
        </w:r>
        <w:r>
          <w:rPr>
            <w:noProof/>
            <w:webHidden/>
          </w:rPr>
          <w:fldChar w:fldCharType="end"/>
        </w:r>
      </w:hyperlink>
    </w:p>
    <w:p w:rsidR="00B458CD" w:rsidRDefault="00B458CD">
      <w:pPr>
        <w:pStyle w:val="TOC3"/>
        <w:tabs>
          <w:tab w:val="left" w:pos="1760"/>
        </w:tabs>
        <w:rPr>
          <w:rFonts w:asciiTheme="minorHAnsi" w:eastAsiaTheme="minorEastAsia" w:hAnsiTheme="minorHAnsi" w:cstheme="minorBidi"/>
          <w:noProof/>
          <w:lang w:eastAsia="en-AU"/>
        </w:rPr>
      </w:pPr>
      <w:hyperlink w:anchor="_Toc382908471" w:history="1">
        <w:r w:rsidRPr="009E28DF">
          <w:rPr>
            <w:rStyle w:val="Hyperlink"/>
            <w:noProof/>
          </w:rPr>
          <w:t>7.9.</w:t>
        </w:r>
        <w:r>
          <w:rPr>
            <w:rFonts w:asciiTheme="minorHAnsi" w:eastAsiaTheme="minorEastAsia" w:hAnsiTheme="minorHAnsi" w:cstheme="minorBidi"/>
            <w:noProof/>
            <w:lang w:eastAsia="en-AU"/>
          </w:rPr>
          <w:tab/>
        </w:r>
        <w:r w:rsidRPr="009E28DF">
          <w:rPr>
            <w:rStyle w:val="Hyperlink"/>
            <w:noProof/>
          </w:rPr>
          <w:t>Evaluator’s overall conclusions on clinical safety</w:t>
        </w:r>
        <w:r>
          <w:rPr>
            <w:noProof/>
            <w:webHidden/>
          </w:rPr>
          <w:tab/>
        </w:r>
        <w:r>
          <w:rPr>
            <w:noProof/>
            <w:webHidden/>
          </w:rPr>
          <w:fldChar w:fldCharType="begin"/>
        </w:r>
        <w:r>
          <w:rPr>
            <w:noProof/>
            <w:webHidden/>
          </w:rPr>
          <w:instrText xml:space="preserve"> PAGEREF _Toc382908471 \h </w:instrText>
        </w:r>
        <w:r>
          <w:rPr>
            <w:noProof/>
            <w:webHidden/>
          </w:rPr>
        </w:r>
        <w:r>
          <w:rPr>
            <w:noProof/>
            <w:webHidden/>
          </w:rPr>
          <w:fldChar w:fldCharType="separate"/>
        </w:r>
        <w:r>
          <w:rPr>
            <w:noProof/>
            <w:webHidden/>
          </w:rPr>
          <w:t>29</w:t>
        </w:r>
        <w:r>
          <w:rPr>
            <w:noProof/>
            <w:webHidden/>
          </w:rPr>
          <w:fldChar w:fldCharType="end"/>
        </w:r>
      </w:hyperlink>
    </w:p>
    <w:p w:rsidR="00B458CD" w:rsidRDefault="00B458CD">
      <w:pPr>
        <w:pStyle w:val="TOC2"/>
        <w:tabs>
          <w:tab w:val="left" w:pos="1100"/>
        </w:tabs>
        <w:rPr>
          <w:rFonts w:asciiTheme="minorHAnsi" w:eastAsiaTheme="minorEastAsia" w:hAnsiTheme="minorHAnsi" w:cstheme="minorBidi"/>
          <w:b w:val="0"/>
          <w:noProof/>
          <w:sz w:val="22"/>
          <w:lang w:eastAsia="en-AU"/>
        </w:rPr>
      </w:pPr>
      <w:hyperlink w:anchor="_Toc382908472" w:history="1">
        <w:r w:rsidRPr="009E28DF">
          <w:rPr>
            <w:rStyle w:val="Hyperlink"/>
            <w:noProof/>
          </w:rPr>
          <w:t>8.</w:t>
        </w:r>
        <w:r>
          <w:rPr>
            <w:rFonts w:asciiTheme="minorHAnsi" w:eastAsiaTheme="minorEastAsia" w:hAnsiTheme="minorHAnsi" w:cstheme="minorBidi"/>
            <w:b w:val="0"/>
            <w:noProof/>
            <w:sz w:val="22"/>
            <w:lang w:eastAsia="en-AU"/>
          </w:rPr>
          <w:tab/>
        </w:r>
        <w:r w:rsidRPr="009E28DF">
          <w:rPr>
            <w:rStyle w:val="Hyperlink"/>
            <w:noProof/>
          </w:rPr>
          <w:t>First round benefit-risk assessment</w:t>
        </w:r>
        <w:r>
          <w:rPr>
            <w:noProof/>
            <w:webHidden/>
          </w:rPr>
          <w:tab/>
        </w:r>
        <w:r>
          <w:rPr>
            <w:noProof/>
            <w:webHidden/>
          </w:rPr>
          <w:fldChar w:fldCharType="begin"/>
        </w:r>
        <w:r>
          <w:rPr>
            <w:noProof/>
            <w:webHidden/>
          </w:rPr>
          <w:instrText xml:space="preserve"> PAGEREF _Toc382908472 \h </w:instrText>
        </w:r>
        <w:r>
          <w:rPr>
            <w:noProof/>
            <w:webHidden/>
          </w:rPr>
        </w:r>
        <w:r>
          <w:rPr>
            <w:noProof/>
            <w:webHidden/>
          </w:rPr>
          <w:fldChar w:fldCharType="separate"/>
        </w:r>
        <w:r>
          <w:rPr>
            <w:noProof/>
            <w:webHidden/>
          </w:rPr>
          <w:t>29</w:t>
        </w:r>
        <w:r>
          <w:rPr>
            <w:noProof/>
            <w:webHidden/>
          </w:rPr>
          <w:fldChar w:fldCharType="end"/>
        </w:r>
      </w:hyperlink>
    </w:p>
    <w:p w:rsidR="00B458CD" w:rsidRDefault="00B458CD">
      <w:pPr>
        <w:pStyle w:val="TOC3"/>
        <w:tabs>
          <w:tab w:val="left" w:pos="1760"/>
        </w:tabs>
        <w:rPr>
          <w:rFonts w:asciiTheme="minorHAnsi" w:eastAsiaTheme="minorEastAsia" w:hAnsiTheme="minorHAnsi" w:cstheme="minorBidi"/>
          <w:noProof/>
          <w:lang w:eastAsia="en-AU"/>
        </w:rPr>
      </w:pPr>
      <w:hyperlink w:anchor="_Toc382908473" w:history="1">
        <w:r w:rsidRPr="009E28DF">
          <w:rPr>
            <w:rStyle w:val="Hyperlink"/>
            <w:noProof/>
          </w:rPr>
          <w:t>8.1.</w:t>
        </w:r>
        <w:r>
          <w:rPr>
            <w:rFonts w:asciiTheme="minorHAnsi" w:eastAsiaTheme="minorEastAsia" w:hAnsiTheme="minorHAnsi" w:cstheme="minorBidi"/>
            <w:noProof/>
            <w:lang w:eastAsia="en-AU"/>
          </w:rPr>
          <w:tab/>
        </w:r>
        <w:r w:rsidRPr="009E28DF">
          <w:rPr>
            <w:rStyle w:val="Hyperlink"/>
            <w:noProof/>
          </w:rPr>
          <w:t>First round assessment of benefits</w:t>
        </w:r>
        <w:r>
          <w:rPr>
            <w:noProof/>
            <w:webHidden/>
          </w:rPr>
          <w:tab/>
        </w:r>
        <w:r>
          <w:rPr>
            <w:noProof/>
            <w:webHidden/>
          </w:rPr>
          <w:fldChar w:fldCharType="begin"/>
        </w:r>
        <w:r>
          <w:rPr>
            <w:noProof/>
            <w:webHidden/>
          </w:rPr>
          <w:instrText xml:space="preserve"> PAGEREF _Toc382908473 \h </w:instrText>
        </w:r>
        <w:r>
          <w:rPr>
            <w:noProof/>
            <w:webHidden/>
          </w:rPr>
        </w:r>
        <w:r>
          <w:rPr>
            <w:noProof/>
            <w:webHidden/>
          </w:rPr>
          <w:fldChar w:fldCharType="separate"/>
        </w:r>
        <w:r>
          <w:rPr>
            <w:noProof/>
            <w:webHidden/>
          </w:rPr>
          <w:t>30</w:t>
        </w:r>
        <w:r>
          <w:rPr>
            <w:noProof/>
            <w:webHidden/>
          </w:rPr>
          <w:fldChar w:fldCharType="end"/>
        </w:r>
      </w:hyperlink>
    </w:p>
    <w:p w:rsidR="00B458CD" w:rsidRDefault="00B458CD">
      <w:pPr>
        <w:pStyle w:val="TOC3"/>
        <w:tabs>
          <w:tab w:val="left" w:pos="1760"/>
        </w:tabs>
        <w:rPr>
          <w:rFonts w:asciiTheme="minorHAnsi" w:eastAsiaTheme="minorEastAsia" w:hAnsiTheme="minorHAnsi" w:cstheme="minorBidi"/>
          <w:noProof/>
          <w:lang w:eastAsia="en-AU"/>
        </w:rPr>
      </w:pPr>
      <w:hyperlink w:anchor="_Toc382908474" w:history="1">
        <w:r w:rsidRPr="009E28DF">
          <w:rPr>
            <w:rStyle w:val="Hyperlink"/>
            <w:noProof/>
          </w:rPr>
          <w:t>8.2.</w:t>
        </w:r>
        <w:r>
          <w:rPr>
            <w:rFonts w:asciiTheme="minorHAnsi" w:eastAsiaTheme="minorEastAsia" w:hAnsiTheme="minorHAnsi" w:cstheme="minorBidi"/>
            <w:noProof/>
            <w:lang w:eastAsia="en-AU"/>
          </w:rPr>
          <w:tab/>
        </w:r>
        <w:r w:rsidRPr="009E28DF">
          <w:rPr>
            <w:rStyle w:val="Hyperlink"/>
            <w:noProof/>
          </w:rPr>
          <w:t>First round assessment of risks</w:t>
        </w:r>
        <w:r>
          <w:rPr>
            <w:noProof/>
            <w:webHidden/>
          </w:rPr>
          <w:tab/>
        </w:r>
        <w:r>
          <w:rPr>
            <w:noProof/>
            <w:webHidden/>
          </w:rPr>
          <w:fldChar w:fldCharType="begin"/>
        </w:r>
        <w:r>
          <w:rPr>
            <w:noProof/>
            <w:webHidden/>
          </w:rPr>
          <w:instrText xml:space="preserve"> PAGEREF _Toc382908474 \h </w:instrText>
        </w:r>
        <w:r>
          <w:rPr>
            <w:noProof/>
            <w:webHidden/>
          </w:rPr>
        </w:r>
        <w:r>
          <w:rPr>
            <w:noProof/>
            <w:webHidden/>
          </w:rPr>
          <w:fldChar w:fldCharType="separate"/>
        </w:r>
        <w:r>
          <w:rPr>
            <w:noProof/>
            <w:webHidden/>
          </w:rPr>
          <w:t>30</w:t>
        </w:r>
        <w:r>
          <w:rPr>
            <w:noProof/>
            <w:webHidden/>
          </w:rPr>
          <w:fldChar w:fldCharType="end"/>
        </w:r>
      </w:hyperlink>
    </w:p>
    <w:p w:rsidR="00B458CD" w:rsidRDefault="00B458CD">
      <w:pPr>
        <w:pStyle w:val="TOC3"/>
        <w:tabs>
          <w:tab w:val="left" w:pos="1760"/>
        </w:tabs>
        <w:rPr>
          <w:rFonts w:asciiTheme="minorHAnsi" w:eastAsiaTheme="minorEastAsia" w:hAnsiTheme="minorHAnsi" w:cstheme="minorBidi"/>
          <w:noProof/>
          <w:lang w:eastAsia="en-AU"/>
        </w:rPr>
      </w:pPr>
      <w:hyperlink w:anchor="_Toc382908475" w:history="1">
        <w:r w:rsidRPr="009E28DF">
          <w:rPr>
            <w:rStyle w:val="Hyperlink"/>
            <w:noProof/>
          </w:rPr>
          <w:t>8.3.</w:t>
        </w:r>
        <w:r>
          <w:rPr>
            <w:rFonts w:asciiTheme="minorHAnsi" w:eastAsiaTheme="minorEastAsia" w:hAnsiTheme="minorHAnsi" w:cstheme="minorBidi"/>
            <w:noProof/>
            <w:lang w:eastAsia="en-AU"/>
          </w:rPr>
          <w:tab/>
        </w:r>
        <w:r w:rsidRPr="009E28DF">
          <w:rPr>
            <w:rStyle w:val="Hyperlink"/>
            <w:noProof/>
          </w:rPr>
          <w:t>First round assessment of benefit-risk balance</w:t>
        </w:r>
        <w:r>
          <w:rPr>
            <w:noProof/>
            <w:webHidden/>
          </w:rPr>
          <w:tab/>
        </w:r>
        <w:r>
          <w:rPr>
            <w:noProof/>
            <w:webHidden/>
          </w:rPr>
          <w:fldChar w:fldCharType="begin"/>
        </w:r>
        <w:r>
          <w:rPr>
            <w:noProof/>
            <w:webHidden/>
          </w:rPr>
          <w:instrText xml:space="preserve"> PAGEREF _Toc382908475 \h </w:instrText>
        </w:r>
        <w:r>
          <w:rPr>
            <w:noProof/>
            <w:webHidden/>
          </w:rPr>
        </w:r>
        <w:r>
          <w:rPr>
            <w:noProof/>
            <w:webHidden/>
          </w:rPr>
          <w:fldChar w:fldCharType="separate"/>
        </w:r>
        <w:r>
          <w:rPr>
            <w:noProof/>
            <w:webHidden/>
          </w:rPr>
          <w:t>30</w:t>
        </w:r>
        <w:r>
          <w:rPr>
            <w:noProof/>
            <w:webHidden/>
          </w:rPr>
          <w:fldChar w:fldCharType="end"/>
        </w:r>
      </w:hyperlink>
    </w:p>
    <w:p w:rsidR="00B458CD" w:rsidRDefault="00B458CD">
      <w:pPr>
        <w:pStyle w:val="TOC2"/>
        <w:tabs>
          <w:tab w:val="left" w:pos="1100"/>
        </w:tabs>
        <w:rPr>
          <w:rFonts w:asciiTheme="minorHAnsi" w:eastAsiaTheme="minorEastAsia" w:hAnsiTheme="minorHAnsi" w:cstheme="minorBidi"/>
          <w:b w:val="0"/>
          <w:noProof/>
          <w:sz w:val="22"/>
          <w:lang w:eastAsia="en-AU"/>
        </w:rPr>
      </w:pPr>
      <w:hyperlink w:anchor="_Toc382908476" w:history="1">
        <w:r w:rsidRPr="009E28DF">
          <w:rPr>
            <w:rStyle w:val="Hyperlink"/>
            <w:noProof/>
          </w:rPr>
          <w:t>9.</w:t>
        </w:r>
        <w:r>
          <w:rPr>
            <w:rFonts w:asciiTheme="minorHAnsi" w:eastAsiaTheme="minorEastAsia" w:hAnsiTheme="minorHAnsi" w:cstheme="minorBidi"/>
            <w:b w:val="0"/>
            <w:noProof/>
            <w:sz w:val="22"/>
            <w:lang w:eastAsia="en-AU"/>
          </w:rPr>
          <w:tab/>
        </w:r>
        <w:r w:rsidRPr="009E28DF">
          <w:rPr>
            <w:rStyle w:val="Hyperlink"/>
            <w:noProof/>
          </w:rPr>
          <w:t>First round recommendation regarding authorisation</w:t>
        </w:r>
        <w:r>
          <w:rPr>
            <w:noProof/>
            <w:webHidden/>
          </w:rPr>
          <w:tab/>
        </w:r>
        <w:r>
          <w:rPr>
            <w:noProof/>
            <w:webHidden/>
          </w:rPr>
          <w:fldChar w:fldCharType="begin"/>
        </w:r>
        <w:r>
          <w:rPr>
            <w:noProof/>
            <w:webHidden/>
          </w:rPr>
          <w:instrText xml:space="preserve"> PAGEREF _Toc382908476 \h </w:instrText>
        </w:r>
        <w:r>
          <w:rPr>
            <w:noProof/>
            <w:webHidden/>
          </w:rPr>
        </w:r>
        <w:r>
          <w:rPr>
            <w:noProof/>
            <w:webHidden/>
          </w:rPr>
          <w:fldChar w:fldCharType="separate"/>
        </w:r>
        <w:r>
          <w:rPr>
            <w:noProof/>
            <w:webHidden/>
          </w:rPr>
          <w:t>30</w:t>
        </w:r>
        <w:r>
          <w:rPr>
            <w:noProof/>
            <w:webHidden/>
          </w:rPr>
          <w:fldChar w:fldCharType="end"/>
        </w:r>
      </w:hyperlink>
    </w:p>
    <w:p w:rsidR="00B458CD" w:rsidRDefault="00B458CD">
      <w:pPr>
        <w:pStyle w:val="TOC2"/>
        <w:tabs>
          <w:tab w:val="left" w:pos="1320"/>
        </w:tabs>
        <w:rPr>
          <w:rFonts w:asciiTheme="minorHAnsi" w:eastAsiaTheme="minorEastAsia" w:hAnsiTheme="minorHAnsi" w:cstheme="minorBidi"/>
          <w:b w:val="0"/>
          <w:noProof/>
          <w:sz w:val="22"/>
          <w:lang w:eastAsia="en-AU"/>
        </w:rPr>
      </w:pPr>
      <w:hyperlink w:anchor="_Toc382908477" w:history="1">
        <w:r w:rsidRPr="009E28DF">
          <w:rPr>
            <w:rStyle w:val="Hyperlink"/>
            <w:noProof/>
          </w:rPr>
          <w:t>10.</w:t>
        </w:r>
        <w:r>
          <w:rPr>
            <w:rFonts w:asciiTheme="minorHAnsi" w:eastAsiaTheme="minorEastAsia" w:hAnsiTheme="minorHAnsi" w:cstheme="minorBidi"/>
            <w:b w:val="0"/>
            <w:noProof/>
            <w:sz w:val="22"/>
            <w:lang w:eastAsia="en-AU"/>
          </w:rPr>
          <w:tab/>
        </w:r>
        <w:r w:rsidRPr="009E28DF">
          <w:rPr>
            <w:rStyle w:val="Hyperlink"/>
            <w:noProof/>
          </w:rPr>
          <w:t>Clinical questions</w:t>
        </w:r>
        <w:r>
          <w:rPr>
            <w:noProof/>
            <w:webHidden/>
          </w:rPr>
          <w:tab/>
        </w:r>
        <w:r>
          <w:rPr>
            <w:noProof/>
            <w:webHidden/>
          </w:rPr>
          <w:fldChar w:fldCharType="begin"/>
        </w:r>
        <w:r>
          <w:rPr>
            <w:noProof/>
            <w:webHidden/>
          </w:rPr>
          <w:instrText xml:space="preserve"> PAGEREF _Toc382908477 \h </w:instrText>
        </w:r>
        <w:r>
          <w:rPr>
            <w:noProof/>
            <w:webHidden/>
          </w:rPr>
        </w:r>
        <w:r>
          <w:rPr>
            <w:noProof/>
            <w:webHidden/>
          </w:rPr>
          <w:fldChar w:fldCharType="separate"/>
        </w:r>
        <w:r>
          <w:rPr>
            <w:noProof/>
            <w:webHidden/>
          </w:rPr>
          <w:t>31</w:t>
        </w:r>
        <w:r>
          <w:rPr>
            <w:noProof/>
            <w:webHidden/>
          </w:rPr>
          <w:fldChar w:fldCharType="end"/>
        </w:r>
      </w:hyperlink>
    </w:p>
    <w:p w:rsidR="003A7F6C" w:rsidRPr="00B811C6" w:rsidRDefault="00B458CD" w:rsidP="00B458CD">
      <w:pPr>
        <w:pStyle w:val="TOC2"/>
        <w:tabs>
          <w:tab w:val="left" w:pos="1320"/>
        </w:tabs>
      </w:pPr>
      <w:hyperlink w:anchor="_Toc382908478" w:history="1">
        <w:r w:rsidRPr="009E28DF">
          <w:rPr>
            <w:rStyle w:val="Hyperlink"/>
            <w:noProof/>
          </w:rPr>
          <w:t>11.</w:t>
        </w:r>
        <w:r>
          <w:rPr>
            <w:rFonts w:asciiTheme="minorHAnsi" w:eastAsiaTheme="minorEastAsia" w:hAnsiTheme="minorHAnsi" w:cstheme="minorBidi"/>
            <w:b w:val="0"/>
            <w:noProof/>
            <w:sz w:val="22"/>
            <w:lang w:eastAsia="en-AU"/>
          </w:rPr>
          <w:tab/>
        </w:r>
        <w:r w:rsidRPr="009E28DF">
          <w:rPr>
            <w:rStyle w:val="Hyperlink"/>
            <w:noProof/>
          </w:rPr>
          <w:t>References</w:t>
        </w:r>
        <w:r>
          <w:rPr>
            <w:noProof/>
            <w:webHidden/>
          </w:rPr>
          <w:tab/>
        </w:r>
        <w:r>
          <w:rPr>
            <w:noProof/>
            <w:webHidden/>
          </w:rPr>
          <w:fldChar w:fldCharType="begin"/>
        </w:r>
        <w:r>
          <w:rPr>
            <w:noProof/>
            <w:webHidden/>
          </w:rPr>
          <w:instrText xml:space="preserve"> PAGEREF _Toc382908478 \h </w:instrText>
        </w:r>
        <w:r>
          <w:rPr>
            <w:noProof/>
            <w:webHidden/>
          </w:rPr>
        </w:r>
        <w:r>
          <w:rPr>
            <w:noProof/>
            <w:webHidden/>
          </w:rPr>
          <w:fldChar w:fldCharType="separate"/>
        </w:r>
        <w:r>
          <w:rPr>
            <w:noProof/>
            <w:webHidden/>
          </w:rPr>
          <w:t>31</w:t>
        </w:r>
        <w:r>
          <w:rPr>
            <w:noProof/>
            <w:webHidden/>
          </w:rPr>
          <w:fldChar w:fldCharType="end"/>
        </w:r>
      </w:hyperlink>
      <w:r w:rsidR="004924E0">
        <w:fldChar w:fldCharType="end"/>
      </w:r>
      <w:bookmarkStart w:id="2" w:name="_Toc314842482"/>
      <w:bookmarkStart w:id="3" w:name="_GoBack"/>
      <w:bookmarkEnd w:id="3"/>
    </w:p>
    <w:p w:rsidR="00586F98" w:rsidRDefault="00586F98" w:rsidP="006C7F6A">
      <w:pPr>
        <w:pStyle w:val="Heading2"/>
        <w:numPr>
          <w:ilvl w:val="0"/>
          <w:numId w:val="0"/>
        </w:numPr>
      </w:pPr>
      <w:bookmarkStart w:id="4" w:name="_Toc351716269"/>
      <w:bookmarkStart w:id="5" w:name="_Toc351718881"/>
      <w:bookmarkStart w:id="6" w:name="_Toc355338616"/>
      <w:bookmarkStart w:id="7" w:name="_Toc382908442"/>
      <w:r>
        <w:t>List of abbreviations</w:t>
      </w:r>
      <w:bookmarkEnd w:id="4"/>
      <w:bookmarkEnd w:id="5"/>
      <w:bookmarkEnd w:id="6"/>
      <w:bookmarkEnd w:id="7"/>
    </w:p>
    <w:tbl>
      <w:tblPr>
        <w:tblStyle w:val="TableTGAblue"/>
        <w:tblW w:w="0" w:type="auto"/>
        <w:tblLook w:val="0620" w:firstRow="1" w:lastRow="0" w:firstColumn="0" w:lastColumn="0" w:noHBand="1" w:noVBand="1"/>
      </w:tblPr>
      <w:tblGrid>
        <w:gridCol w:w="1890"/>
        <w:gridCol w:w="6911"/>
      </w:tblGrid>
      <w:tr w:rsidR="00586F98" w:rsidTr="006C7F6A">
        <w:trPr>
          <w:cnfStyle w:val="100000000000" w:firstRow="1" w:lastRow="0" w:firstColumn="0" w:lastColumn="0" w:oddVBand="0" w:evenVBand="0" w:oddHBand="0" w:evenHBand="0" w:firstRowFirstColumn="0" w:firstRowLastColumn="0" w:lastRowFirstColumn="0" w:lastRowLastColumn="0"/>
          <w:tblHeader/>
        </w:trPr>
        <w:tc>
          <w:tcPr>
            <w:tcW w:w="1890" w:type="dxa"/>
          </w:tcPr>
          <w:p w:rsidR="00586F98" w:rsidRPr="00534E7C" w:rsidRDefault="00586F98" w:rsidP="006C7F6A">
            <w:pPr>
              <w:ind w:left="0" w:right="0"/>
              <w:rPr>
                <w:b w:val="0"/>
                <w:lang w:eastAsia="en-AU"/>
              </w:rPr>
            </w:pPr>
            <w:r w:rsidRPr="00534E7C">
              <w:rPr>
                <w:lang w:eastAsia="en-AU"/>
              </w:rPr>
              <w:t>Abbreviation</w:t>
            </w:r>
          </w:p>
        </w:tc>
        <w:tc>
          <w:tcPr>
            <w:tcW w:w="6911" w:type="dxa"/>
          </w:tcPr>
          <w:p w:rsidR="00586F98" w:rsidRPr="00534E7C" w:rsidRDefault="00586F98" w:rsidP="006C7F6A">
            <w:pPr>
              <w:ind w:left="0" w:right="0"/>
              <w:rPr>
                <w:b w:val="0"/>
                <w:lang w:eastAsia="en-AU"/>
              </w:rPr>
            </w:pPr>
            <w:r w:rsidRPr="00534E7C">
              <w:rPr>
                <w:lang w:eastAsia="en-AU"/>
              </w:rPr>
              <w:t>Meaning</w:t>
            </w:r>
          </w:p>
        </w:tc>
      </w:tr>
      <w:tr w:rsidR="001057FB" w:rsidRPr="001057FB" w:rsidTr="006C7F6A">
        <w:tc>
          <w:tcPr>
            <w:tcW w:w="1890" w:type="dxa"/>
          </w:tcPr>
          <w:p w:rsidR="001057FB" w:rsidRPr="001057FB" w:rsidRDefault="001057FB" w:rsidP="006C7F6A">
            <w:pPr>
              <w:ind w:left="0" w:right="0"/>
              <w:rPr>
                <w:lang w:eastAsia="en-AU"/>
              </w:rPr>
            </w:pPr>
            <w:r w:rsidRPr="001057FB">
              <w:t>AE</w:t>
            </w:r>
          </w:p>
        </w:tc>
        <w:tc>
          <w:tcPr>
            <w:tcW w:w="6911" w:type="dxa"/>
          </w:tcPr>
          <w:p w:rsidR="001057FB" w:rsidRPr="001057FB" w:rsidRDefault="001057FB" w:rsidP="006C7F6A">
            <w:pPr>
              <w:ind w:left="0" w:right="0"/>
              <w:rPr>
                <w:lang w:eastAsia="en-AU"/>
              </w:rPr>
            </w:pPr>
            <w:r w:rsidRPr="001057FB">
              <w:t>Adverse event</w:t>
            </w:r>
          </w:p>
        </w:tc>
      </w:tr>
      <w:tr w:rsidR="001057FB" w:rsidRPr="001057FB" w:rsidTr="006C7F6A">
        <w:tc>
          <w:tcPr>
            <w:tcW w:w="1890" w:type="dxa"/>
          </w:tcPr>
          <w:p w:rsidR="001057FB" w:rsidRPr="001057FB" w:rsidRDefault="001057FB" w:rsidP="006C7F6A">
            <w:pPr>
              <w:ind w:left="0" w:right="0"/>
              <w:rPr>
                <w:lang w:eastAsia="en-AU"/>
              </w:rPr>
            </w:pPr>
            <w:r w:rsidRPr="001057FB">
              <w:t>AST</w:t>
            </w:r>
          </w:p>
        </w:tc>
        <w:tc>
          <w:tcPr>
            <w:tcW w:w="6911" w:type="dxa"/>
          </w:tcPr>
          <w:p w:rsidR="001057FB" w:rsidRPr="001057FB" w:rsidRDefault="001057FB" w:rsidP="006C7F6A">
            <w:pPr>
              <w:ind w:left="0" w:right="0"/>
            </w:pPr>
            <w:r w:rsidRPr="001057FB">
              <w:t>antimicrobial susceptibility test</w:t>
            </w:r>
          </w:p>
        </w:tc>
      </w:tr>
      <w:tr w:rsidR="001057FB" w:rsidRPr="001057FB" w:rsidTr="006C7F6A">
        <w:tc>
          <w:tcPr>
            <w:tcW w:w="1890" w:type="dxa"/>
          </w:tcPr>
          <w:p w:rsidR="001057FB" w:rsidRPr="001057FB" w:rsidRDefault="001057FB" w:rsidP="006C7F6A">
            <w:pPr>
              <w:ind w:left="0" w:right="0"/>
            </w:pPr>
            <w:r w:rsidRPr="001057FB">
              <w:t>ATCC</w:t>
            </w:r>
          </w:p>
        </w:tc>
        <w:tc>
          <w:tcPr>
            <w:tcW w:w="6911" w:type="dxa"/>
          </w:tcPr>
          <w:p w:rsidR="001057FB" w:rsidRPr="001057FB" w:rsidRDefault="001057FB" w:rsidP="006C7F6A">
            <w:pPr>
              <w:ind w:left="0" w:right="0"/>
            </w:pPr>
            <w:r w:rsidRPr="001057FB">
              <w:t>American Type Culture Collection</w:t>
            </w:r>
          </w:p>
        </w:tc>
      </w:tr>
      <w:tr w:rsidR="001057FB" w:rsidRPr="001057FB" w:rsidTr="006C7F6A">
        <w:tc>
          <w:tcPr>
            <w:tcW w:w="1890" w:type="dxa"/>
          </w:tcPr>
          <w:p w:rsidR="001057FB" w:rsidRPr="001057FB" w:rsidRDefault="001057FB" w:rsidP="006C7F6A">
            <w:pPr>
              <w:ind w:left="0" w:right="0"/>
            </w:pPr>
            <w:r w:rsidRPr="001057FB">
              <w:t xml:space="preserve">AUC </w:t>
            </w:r>
          </w:p>
        </w:tc>
        <w:tc>
          <w:tcPr>
            <w:tcW w:w="6911" w:type="dxa"/>
          </w:tcPr>
          <w:p w:rsidR="001057FB" w:rsidRPr="001057FB" w:rsidRDefault="001057FB" w:rsidP="006C7F6A">
            <w:pPr>
              <w:ind w:left="0" w:right="0"/>
              <w:rPr>
                <w:highlight w:val="yellow"/>
              </w:rPr>
            </w:pPr>
            <w:r w:rsidRPr="001057FB">
              <w:t>Area under the Curve</w:t>
            </w:r>
          </w:p>
        </w:tc>
      </w:tr>
      <w:tr w:rsidR="001057FB" w:rsidRPr="001057FB" w:rsidTr="006C7F6A">
        <w:tc>
          <w:tcPr>
            <w:tcW w:w="1890" w:type="dxa"/>
          </w:tcPr>
          <w:p w:rsidR="001057FB" w:rsidRPr="008564D1" w:rsidRDefault="001057FB" w:rsidP="006C7F6A">
            <w:pPr>
              <w:ind w:left="0" w:right="0"/>
            </w:pPr>
            <w:r w:rsidRPr="001057FB">
              <w:t xml:space="preserve">AUC24 </w:t>
            </w:r>
          </w:p>
        </w:tc>
        <w:tc>
          <w:tcPr>
            <w:tcW w:w="6911" w:type="dxa"/>
          </w:tcPr>
          <w:p w:rsidR="001057FB" w:rsidRPr="001057FB" w:rsidRDefault="001057FB" w:rsidP="006C7F6A">
            <w:pPr>
              <w:ind w:left="0" w:right="0"/>
              <w:rPr>
                <w:highlight w:val="yellow"/>
              </w:rPr>
            </w:pPr>
            <w:r w:rsidRPr="001057FB">
              <w:t>Area under the concentration-time curve from 0-24 h</w:t>
            </w:r>
          </w:p>
        </w:tc>
      </w:tr>
      <w:tr w:rsidR="001057FB" w:rsidRPr="001057FB" w:rsidTr="006C7F6A">
        <w:tc>
          <w:tcPr>
            <w:tcW w:w="1890" w:type="dxa"/>
          </w:tcPr>
          <w:p w:rsidR="001057FB" w:rsidRPr="001057FB" w:rsidRDefault="001057FB" w:rsidP="006C7F6A">
            <w:pPr>
              <w:ind w:left="0" w:right="0"/>
            </w:pPr>
            <w:r w:rsidRPr="001057FB">
              <w:t>BAK</w:t>
            </w:r>
          </w:p>
        </w:tc>
        <w:tc>
          <w:tcPr>
            <w:tcW w:w="6911" w:type="dxa"/>
          </w:tcPr>
          <w:p w:rsidR="001057FB" w:rsidRPr="001057FB" w:rsidRDefault="001057FB" w:rsidP="006C7F6A">
            <w:pPr>
              <w:ind w:left="0" w:right="0"/>
            </w:pPr>
            <w:proofErr w:type="spellStart"/>
            <w:r w:rsidRPr="001057FB">
              <w:t>benzalkonium</w:t>
            </w:r>
            <w:proofErr w:type="spellEnd"/>
            <w:r w:rsidRPr="001057FB">
              <w:t xml:space="preserve"> chloride</w:t>
            </w:r>
          </w:p>
        </w:tc>
      </w:tr>
      <w:tr w:rsidR="001057FB" w:rsidRPr="001057FB" w:rsidTr="006C7F6A">
        <w:tc>
          <w:tcPr>
            <w:tcW w:w="1890" w:type="dxa"/>
          </w:tcPr>
          <w:p w:rsidR="001057FB" w:rsidRPr="001057FB" w:rsidRDefault="001057FB" w:rsidP="006C7F6A">
            <w:pPr>
              <w:ind w:left="0" w:right="0"/>
              <w:rPr>
                <w:highlight w:val="yellow"/>
              </w:rPr>
            </w:pPr>
            <w:proofErr w:type="spellStart"/>
            <w:r w:rsidRPr="001057FB">
              <w:t>besifloxacin</w:t>
            </w:r>
            <w:proofErr w:type="spellEnd"/>
          </w:p>
        </w:tc>
        <w:tc>
          <w:tcPr>
            <w:tcW w:w="6911" w:type="dxa"/>
          </w:tcPr>
          <w:p w:rsidR="001057FB" w:rsidRPr="001057FB" w:rsidRDefault="001057FB" w:rsidP="006C7F6A">
            <w:pPr>
              <w:ind w:left="0" w:right="0"/>
            </w:pPr>
            <w:r w:rsidRPr="001057FB">
              <w:t xml:space="preserve">Free base form of </w:t>
            </w:r>
            <w:proofErr w:type="spellStart"/>
            <w:r w:rsidRPr="001057FB">
              <w:t>besifloxacin</w:t>
            </w:r>
            <w:proofErr w:type="spellEnd"/>
            <w:r w:rsidRPr="001057FB">
              <w:t xml:space="preserve"> hydrochloride</w:t>
            </w:r>
          </w:p>
        </w:tc>
      </w:tr>
      <w:tr w:rsidR="001057FB" w:rsidRPr="001057FB" w:rsidTr="006C7F6A">
        <w:tc>
          <w:tcPr>
            <w:tcW w:w="1890" w:type="dxa"/>
          </w:tcPr>
          <w:p w:rsidR="001057FB" w:rsidRPr="001057FB" w:rsidRDefault="001057FB" w:rsidP="006C7F6A">
            <w:pPr>
              <w:ind w:left="0" w:right="0"/>
            </w:pPr>
            <w:proofErr w:type="spellStart"/>
            <w:r w:rsidRPr="001057FB">
              <w:t>Besifloxacin</w:t>
            </w:r>
            <w:proofErr w:type="spellEnd"/>
            <w:r w:rsidR="008564D1">
              <w:t xml:space="preserve"> </w:t>
            </w:r>
            <w:r w:rsidRPr="001057FB">
              <w:t>hydrochloride</w:t>
            </w:r>
          </w:p>
        </w:tc>
        <w:tc>
          <w:tcPr>
            <w:tcW w:w="6911" w:type="dxa"/>
          </w:tcPr>
          <w:p w:rsidR="001057FB" w:rsidRPr="001057FB" w:rsidRDefault="001057FB" w:rsidP="006C7F6A">
            <w:pPr>
              <w:ind w:left="0" w:right="0"/>
            </w:pPr>
            <w:r w:rsidRPr="001057FB">
              <w:t xml:space="preserve">Hydrochloride salt form of </w:t>
            </w:r>
            <w:proofErr w:type="spellStart"/>
            <w:r w:rsidRPr="001057FB">
              <w:t>besifloxacin</w:t>
            </w:r>
            <w:proofErr w:type="spellEnd"/>
          </w:p>
        </w:tc>
      </w:tr>
      <w:tr w:rsidR="001057FB" w:rsidRPr="001057FB" w:rsidTr="006C7F6A">
        <w:tc>
          <w:tcPr>
            <w:tcW w:w="1890" w:type="dxa"/>
          </w:tcPr>
          <w:p w:rsidR="001057FB" w:rsidRPr="006C0B24" w:rsidRDefault="001057FB" w:rsidP="006C7F6A">
            <w:pPr>
              <w:ind w:left="0" w:right="0"/>
            </w:pPr>
            <w:proofErr w:type="spellStart"/>
            <w:r w:rsidRPr="006C0B24">
              <w:t>Besifloxacin</w:t>
            </w:r>
            <w:proofErr w:type="spellEnd"/>
            <w:r w:rsidRPr="006C0B24">
              <w:t xml:space="preserve"> ophthalmic suspension</w:t>
            </w:r>
          </w:p>
        </w:tc>
        <w:tc>
          <w:tcPr>
            <w:tcW w:w="6911" w:type="dxa"/>
          </w:tcPr>
          <w:p w:rsidR="001057FB" w:rsidRPr="001057FB" w:rsidRDefault="001057FB" w:rsidP="006C7F6A">
            <w:pPr>
              <w:ind w:left="0" w:right="0"/>
            </w:pPr>
            <w:proofErr w:type="spellStart"/>
            <w:r w:rsidRPr="001057FB">
              <w:t>Besifloxacin</w:t>
            </w:r>
            <w:proofErr w:type="spellEnd"/>
            <w:r w:rsidRPr="001057FB">
              <w:t xml:space="preserve"> hydrochloride ophthalmic suspension, 0.6% as base</w:t>
            </w:r>
          </w:p>
        </w:tc>
      </w:tr>
      <w:tr w:rsidR="001057FB" w:rsidRPr="001057FB" w:rsidTr="006C7F6A">
        <w:tc>
          <w:tcPr>
            <w:tcW w:w="1890" w:type="dxa"/>
          </w:tcPr>
          <w:p w:rsidR="001057FB" w:rsidRPr="006C0B24" w:rsidRDefault="001057FB" w:rsidP="006C7F6A">
            <w:pPr>
              <w:ind w:left="0" w:right="0"/>
            </w:pPr>
            <w:r w:rsidRPr="006C0B24">
              <w:t xml:space="preserve">BID </w:t>
            </w:r>
          </w:p>
        </w:tc>
        <w:tc>
          <w:tcPr>
            <w:tcW w:w="6911" w:type="dxa"/>
          </w:tcPr>
          <w:p w:rsidR="001057FB" w:rsidRPr="001057FB" w:rsidRDefault="001057FB" w:rsidP="006C7F6A">
            <w:pPr>
              <w:ind w:left="0" w:right="0"/>
              <w:rPr>
                <w:highlight w:val="yellow"/>
              </w:rPr>
            </w:pPr>
            <w:r w:rsidRPr="001057FB">
              <w:t>Two times daily</w:t>
            </w:r>
          </w:p>
        </w:tc>
      </w:tr>
      <w:tr w:rsidR="001057FB" w:rsidRPr="001057FB" w:rsidTr="006C7F6A">
        <w:tc>
          <w:tcPr>
            <w:tcW w:w="1890" w:type="dxa"/>
          </w:tcPr>
          <w:p w:rsidR="001057FB" w:rsidRPr="006C0B24" w:rsidRDefault="001057FB" w:rsidP="006C7F6A">
            <w:pPr>
              <w:ind w:left="0" w:right="0"/>
            </w:pPr>
            <w:r w:rsidRPr="006C0B24">
              <w:t xml:space="preserve">CFR </w:t>
            </w:r>
          </w:p>
        </w:tc>
        <w:tc>
          <w:tcPr>
            <w:tcW w:w="6911" w:type="dxa"/>
          </w:tcPr>
          <w:p w:rsidR="001057FB" w:rsidRPr="001057FB" w:rsidRDefault="001057FB" w:rsidP="006C7F6A">
            <w:pPr>
              <w:ind w:left="0" w:right="0"/>
              <w:rPr>
                <w:highlight w:val="yellow"/>
              </w:rPr>
            </w:pPr>
            <w:r w:rsidRPr="001057FB">
              <w:t>Code of federal regulations</w:t>
            </w:r>
          </w:p>
        </w:tc>
      </w:tr>
      <w:tr w:rsidR="001057FB" w:rsidRPr="001057FB" w:rsidTr="006C7F6A">
        <w:tc>
          <w:tcPr>
            <w:tcW w:w="1890" w:type="dxa"/>
          </w:tcPr>
          <w:p w:rsidR="001057FB" w:rsidRPr="006C0B24" w:rsidRDefault="001057FB" w:rsidP="006C7F6A">
            <w:pPr>
              <w:ind w:left="0" w:right="0"/>
            </w:pPr>
            <w:r w:rsidRPr="006C0B24">
              <w:t xml:space="preserve">CFU </w:t>
            </w:r>
          </w:p>
        </w:tc>
        <w:tc>
          <w:tcPr>
            <w:tcW w:w="6911" w:type="dxa"/>
          </w:tcPr>
          <w:p w:rsidR="001057FB" w:rsidRPr="001057FB" w:rsidRDefault="001057FB" w:rsidP="006C7F6A">
            <w:pPr>
              <w:ind w:left="0" w:right="0"/>
              <w:rPr>
                <w:highlight w:val="yellow"/>
              </w:rPr>
            </w:pPr>
            <w:r w:rsidRPr="001057FB">
              <w:t>Colony forming units</w:t>
            </w:r>
          </w:p>
        </w:tc>
      </w:tr>
      <w:tr w:rsidR="001057FB" w:rsidRPr="001057FB" w:rsidTr="006C7F6A">
        <w:tc>
          <w:tcPr>
            <w:tcW w:w="1890" w:type="dxa"/>
          </w:tcPr>
          <w:p w:rsidR="001057FB" w:rsidRPr="006C0B24" w:rsidRDefault="001057FB" w:rsidP="006C7F6A">
            <w:pPr>
              <w:ind w:left="0" w:right="0"/>
            </w:pPr>
            <w:r w:rsidRPr="006C0B24">
              <w:t xml:space="preserve">CI </w:t>
            </w:r>
          </w:p>
        </w:tc>
        <w:tc>
          <w:tcPr>
            <w:tcW w:w="6911" w:type="dxa"/>
          </w:tcPr>
          <w:p w:rsidR="001057FB" w:rsidRPr="001057FB" w:rsidRDefault="001057FB" w:rsidP="006C7F6A">
            <w:pPr>
              <w:ind w:left="0" w:right="0"/>
              <w:rPr>
                <w:highlight w:val="yellow"/>
              </w:rPr>
            </w:pPr>
            <w:r w:rsidRPr="001057FB">
              <w:t>Confidence interval</w:t>
            </w:r>
          </w:p>
        </w:tc>
      </w:tr>
      <w:tr w:rsidR="001057FB" w:rsidRPr="001057FB" w:rsidTr="006C7F6A">
        <w:tc>
          <w:tcPr>
            <w:tcW w:w="1890" w:type="dxa"/>
          </w:tcPr>
          <w:p w:rsidR="001057FB" w:rsidRPr="006C0B24" w:rsidRDefault="001057FB" w:rsidP="006C7F6A">
            <w:pPr>
              <w:ind w:left="0" w:right="0"/>
            </w:pPr>
            <w:r w:rsidRPr="006C0B24">
              <w:t xml:space="preserve">CLSI </w:t>
            </w:r>
          </w:p>
        </w:tc>
        <w:tc>
          <w:tcPr>
            <w:tcW w:w="6911" w:type="dxa"/>
          </w:tcPr>
          <w:p w:rsidR="001057FB" w:rsidRPr="001057FB" w:rsidRDefault="001057FB" w:rsidP="006C7F6A">
            <w:pPr>
              <w:ind w:left="0" w:right="0"/>
              <w:rPr>
                <w:highlight w:val="yellow"/>
              </w:rPr>
            </w:pPr>
            <w:r w:rsidRPr="001057FB">
              <w:t>Clinical and Laboratory Standards Institute</w:t>
            </w:r>
          </w:p>
        </w:tc>
      </w:tr>
      <w:tr w:rsidR="001057FB" w:rsidRPr="001057FB" w:rsidTr="006C7F6A">
        <w:tc>
          <w:tcPr>
            <w:tcW w:w="1890" w:type="dxa"/>
          </w:tcPr>
          <w:p w:rsidR="001057FB" w:rsidRPr="006C0B24" w:rsidRDefault="001057FB" w:rsidP="006C7F6A">
            <w:pPr>
              <w:ind w:left="0" w:right="0"/>
            </w:pPr>
            <w:proofErr w:type="spellStart"/>
            <w:r w:rsidRPr="006C0B24">
              <w:t>C</w:t>
            </w:r>
            <w:r w:rsidRPr="006C0B24">
              <w:rPr>
                <w:vertAlign w:val="subscript"/>
              </w:rPr>
              <w:t>max</w:t>
            </w:r>
            <w:proofErr w:type="spellEnd"/>
            <w:r w:rsidRPr="006C0B24">
              <w:rPr>
                <w:vertAlign w:val="subscript"/>
              </w:rPr>
              <w:t xml:space="preserve"> </w:t>
            </w:r>
          </w:p>
        </w:tc>
        <w:tc>
          <w:tcPr>
            <w:tcW w:w="6911" w:type="dxa"/>
          </w:tcPr>
          <w:p w:rsidR="001057FB" w:rsidRPr="001057FB" w:rsidRDefault="001057FB" w:rsidP="006C7F6A">
            <w:pPr>
              <w:ind w:left="0" w:right="0"/>
              <w:rPr>
                <w:highlight w:val="yellow"/>
              </w:rPr>
            </w:pPr>
            <w:r w:rsidRPr="001057FB">
              <w:t xml:space="preserve">Maximal observed </w:t>
            </w:r>
            <w:proofErr w:type="spellStart"/>
            <w:r w:rsidRPr="001057FB">
              <w:t>besifloxacin</w:t>
            </w:r>
            <w:proofErr w:type="spellEnd"/>
            <w:r w:rsidRPr="001057FB">
              <w:t xml:space="preserve"> concentration</w:t>
            </w:r>
          </w:p>
        </w:tc>
      </w:tr>
      <w:tr w:rsidR="001057FB" w:rsidRPr="001057FB" w:rsidTr="006C7F6A">
        <w:tc>
          <w:tcPr>
            <w:tcW w:w="1890" w:type="dxa"/>
          </w:tcPr>
          <w:p w:rsidR="001057FB" w:rsidRPr="006C0B24" w:rsidRDefault="001057FB" w:rsidP="006C7F6A">
            <w:pPr>
              <w:ind w:left="0" w:right="0"/>
            </w:pPr>
            <w:r w:rsidRPr="006C0B24">
              <w:t xml:space="preserve">CMH </w:t>
            </w:r>
          </w:p>
        </w:tc>
        <w:tc>
          <w:tcPr>
            <w:tcW w:w="6911" w:type="dxa"/>
          </w:tcPr>
          <w:p w:rsidR="001057FB" w:rsidRPr="001057FB" w:rsidRDefault="001057FB" w:rsidP="006C7F6A">
            <w:pPr>
              <w:ind w:left="0" w:right="0"/>
              <w:rPr>
                <w:highlight w:val="yellow"/>
              </w:rPr>
            </w:pPr>
            <w:r w:rsidRPr="001057FB">
              <w:t>Cochran-Mantel-</w:t>
            </w:r>
            <w:proofErr w:type="spellStart"/>
            <w:r w:rsidRPr="001057FB">
              <w:t>Haenszel</w:t>
            </w:r>
            <w:proofErr w:type="spellEnd"/>
          </w:p>
        </w:tc>
      </w:tr>
      <w:tr w:rsidR="001057FB" w:rsidRPr="001057FB" w:rsidTr="006C7F6A">
        <w:tc>
          <w:tcPr>
            <w:tcW w:w="1890" w:type="dxa"/>
          </w:tcPr>
          <w:p w:rsidR="001057FB" w:rsidRPr="006C0B24" w:rsidRDefault="001057FB" w:rsidP="006C7F6A">
            <w:pPr>
              <w:ind w:left="0" w:right="0"/>
            </w:pPr>
            <w:r w:rsidRPr="006C0B24">
              <w:t xml:space="preserve">CMI </w:t>
            </w:r>
          </w:p>
        </w:tc>
        <w:tc>
          <w:tcPr>
            <w:tcW w:w="6911" w:type="dxa"/>
          </w:tcPr>
          <w:p w:rsidR="001057FB" w:rsidRPr="001057FB" w:rsidRDefault="001057FB" w:rsidP="006C7F6A">
            <w:pPr>
              <w:ind w:left="0" w:right="0"/>
              <w:rPr>
                <w:highlight w:val="yellow"/>
              </w:rPr>
            </w:pPr>
            <w:r w:rsidRPr="001057FB">
              <w:t>Clinical Microbiology Institute</w:t>
            </w:r>
          </w:p>
        </w:tc>
      </w:tr>
      <w:tr w:rsidR="001057FB" w:rsidRPr="001057FB" w:rsidTr="006C7F6A">
        <w:tc>
          <w:tcPr>
            <w:tcW w:w="1890" w:type="dxa"/>
          </w:tcPr>
          <w:p w:rsidR="001057FB" w:rsidRPr="006C0B24" w:rsidRDefault="001057FB" w:rsidP="006C7F6A">
            <w:pPr>
              <w:ind w:left="0" w:right="0"/>
            </w:pPr>
            <w:r w:rsidRPr="006C0B24">
              <w:t xml:space="preserve">DNA </w:t>
            </w:r>
          </w:p>
        </w:tc>
        <w:tc>
          <w:tcPr>
            <w:tcW w:w="6911" w:type="dxa"/>
          </w:tcPr>
          <w:p w:rsidR="001057FB" w:rsidRPr="001057FB" w:rsidRDefault="001057FB" w:rsidP="006C7F6A">
            <w:pPr>
              <w:ind w:left="0" w:right="0"/>
            </w:pPr>
            <w:r w:rsidRPr="001057FB">
              <w:t>Deoxyribonucleic acid</w:t>
            </w:r>
          </w:p>
        </w:tc>
      </w:tr>
      <w:tr w:rsidR="001057FB" w:rsidRPr="001057FB" w:rsidTr="006C7F6A">
        <w:tc>
          <w:tcPr>
            <w:tcW w:w="1890" w:type="dxa"/>
          </w:tcPr>
          <w:p w:rsidR="001057FB" w:rsidRPr="006C0B24" w:rsidRDefault="001057FB" w:rsidP="006C7F6A">
            <w:pPr>
              <w:ind w:left="0" w:right="0"/>
            </w:pPr>
            <w:r w:rsidRPr="006C0B24">
              <w:t>EOP2</w:t>
            </w:r>
          </w:p>
        </w:tc>
        <w:tc>
          <w:tcPr>
            <w:tcW w:w="6911" w:type="dxa"/>
          </w:tcPr>
          <w:p w:rsidR="001057FB" w:rsidRPr="001057FB" w:rsidRDefault="001057FB" w:rsidP="006C7F6A">
            <w:pPr>
              <w:ind w:left="0" w:right="0"/>
            </w:pPr>
            <w:r w:rsidRPr="001057FB">
              <w:t>End of phase 2</w:t>
            </w:r>
          </w:p>
        </w:tc>
      </w:tr>
      <w:tr w:rsidR="001057FB" w:rsidRPr="001057FB" w:rsidTr="006C7F6A">
        <w:tc>
          <w:tcPr>
            <w:tcW w:w="1890" w:type="dxa"/>
          </w:tcPr>
          <w:p w:rsidR="001057FB" w:rsidRPr="006C0B24" w:rsidRDefault="001057FB" w:rsidP="006C7F6A">
            <w:pPr>
              <w:ind w:left="0" w:right="0"/>
            </w:pPr>
            <w:r w:rsidRPr="006C0B24">
              <w:lastRenderedPageBreak/>
              <w:t>FDA</w:t>
            </w:r>
          </w:p>
        </w:tc>
        <w:tc>
          <w:tcPr>
            <w:tcW w:w="6911" w:type="dxa"/>
          </w:tcPr>
          <w:p w:rsidR="001057FB" w:rsidRPr="001057FB" w:rsidRDefault="001057FB" w:rsidP="006C7F6A">
            <w:pPr>
              <w:ind w:left="0" w:right="0"/>
            </w:pPr>
            <w:r w:rsidRPr="001057FB">
              <w:t>US Food and Drug Administration</w:t>
            </w:r>
          </w:p>
        </w:tc>
      </w:tr>
      <w:tr w:rsidR="001057FB" w:rsidRPr="001057FB" w:rsidTr="006C7F6A">
        <w:tc>
          <w:tcPr>
            <w:tcW w:w="1890" w:type="dxa"/>
          </w:tcPr>
          <w:p w:rsidR="001057FB" w:rsidRPr="006C0B24" w:rsidRDefault="001057FB" w:rsidP="006C7F6A">
            <w:pPr>
              <w:ind w:left="0" w:right="0"/>
            </w:pPr>
            <w:r w:rsidRPr="006C0B24">
              <w:t xml:space="preserve">GI </w:t>
            </w:r>
          </w:p>
        </w:tc>
        <w:tc>
          <w:tcPr>
            <w:tcW w:w="6911" w:type="dxa"/>
          </w:tcPr>
          <w:p w:rsidR="001057FB" w:rsidRPr="001057FB" w:rsidRDefault="001057FB" w:rsidP="006C7F6A">
            <w:pPr>
              <w:ind w:left="0" w:right="0"/>
            </w:pPr>
            <w:r w:rsidRPr="001057FB">
              <w:t>Gastrointestinal</w:t>
            </w:r>
          </w:p>
        </w:tc>
      </w:tr>
      <w:tr w:rsidR="001057FB" w:rsidRPr="001057FB" w:rsidTr="006C7F6A">
        <w:tc>
          <w:tcPr>
            <w:tcW w:w="1890" w:type="dxa"/>
          </w:tcPr>
          <w:p w:rsidR="001057FB" w:rsidRPr="006C0B24" w:rsidRDefault="001057FB" w:rsidP="006C7F6A">
            <w:pPr>
              <w:ind w:left="0" w:right="0"/>
            </w:pPr>
            <w:r w:rsidRPr="006C0B24">
              <w:t xml:space="preserve">h </w:t>
            </w:r>
          </w:p>
        </w:tc>
        <w:tc>
          <w:tcPr>
            <w:tcW w:w="6911" w:type="dxa"/>
          </w:tcPr>
          <w:p w:rsidR="001057FB" w:rsidRPr="001057FB" w:rsidRDefault="001057FB" w:rsidP="006C7F6A">
            <w:pPr>
              <w:ind w:left="0" w:right="0"/>
            </w:pPr>
            <w:r w:rsidRPr="001057FB">
              <w:t>Hours</w:t>
            </w:r>
          </w:p>
        </w:tc>
      </w:tr>
      <w:tr w:rsidR="001057FB" w:rsidRPr="001057FB" w:rsidTr="006C7F6A">
        <w:tc>
          <w:tcPr>
            <w:tcW w:w="1890" w:type="dxa"/>
          </w:tcPr>
          <w:p w:rsidR="001057FB" w:rsidRPr="006C0B24" w:rsidRDefault="001057FB" w:rsidP="006C7F6A">
            <w:pPr>
              <w:ind w:left="0" w:right="0"/>
            </w:pPr>
            <w:proofErr w:type="spellStart"/>
            <w:r w:rsidRPr="006C0B24">
              <w:t>Hb</w:t>
            </w:r>
            <w:proofErr w:type="spellEnd"/>
            <w:r w:rsidRPr="006C0B24">
              <w:t xml:space="preserve"> </w:t>
            </w:r>
          </w:p>
        </w:tc>
        <w:tc>
          <w:tcPr>
            <w:tcW w:w="6911" w:type="dxa"/>
          </w:tcPr>
          <w:p w:rsidR="001057FB" w:rsidRPr="001057FB" w:rsidRDefault="001057FB" w:rsidP="006C7F6A">
            <w:pPr>
              <w:ind w:left="0" w:right="0"/>
            </w:pPr>
            <w:r w:rsidRPr="001057FB">
              <w:t>Haemoglobin</w:t>
            </w:r>
          </w:p>
        </w:tc>
      </w:tr>
      <w:tr w:rsidR="001057FB" w:rsidRPr="001057FB" w:rsidTr="006C7F6A">
        <w:tc>
          <w:tcPr>
            <w:tcW w:w="1890" w:type="dxa"/>
          </w:tcPr>
          <w:p w:rsidR="001057FB" w:rsidRPr="006C0B24" w:rsidRDefault="001057FB" w:rsidP="006C7F6A">
            <w:pPr>
              <w:ind w:left="0" w:right="0"/>
            </w:pPr>
            <w:r w:rsidRPr="006C0B24">
              <w:t xml:space="preserve">HS </w:t>
            </w:r>
          </w:p>
        </w:tc>
        <w:tc>
          <w:tcPr>
            <w:tcW w:w="6911" w:type="dxa"/>
          </w:tcPr>
          <w:p w:rsidR="001057FB" w:rsidRPr="001057FB" w:rsidRDefault="001057FB" w:rsidP="006C7F6A">
            <w:pPr>
              <w:ind w:left="0" w:right="0"/>
            </w:pPr>
            <w:r w:rsidRPr="001057FB">
              <w:t>At bedtime</w:t>
            </w:r>
          </w:p>
        </w:tc>
      </w:tr>
      <w:tr w:rsidR="001057FB" w:rsidRPr="001057FB" w:rsidTr="006C7F6A">
        <w:tc>
          <w:tcPr>
            <w:tcW w:w="1890" w:type="dxa"/>
          </w:tcPr>
          <w:p w:rsidR="001057FB" w:rsidRPr="006C0B24" w:rsidRDefault="001057FB" w:rsidP="006C7F6A">
            <w:pPr>
              <w:ind w:left="0" w:right="0"/>
            </w:pPr>
            <w:r w:rsidRPr="006C0B24">
              <w:t xml:space="preserve">ICH </w:t>
            </w:r>
          </w:p>
        </w:tc>
        <w:tc>
          <w:tcPr>
            <w:tcW w:w="6911" w:type="dxa"/>
          </w:tcPr>
          <w:p w:rsidR="001057FB" w:rsidRPr="001057FB" w:rsidRDefault="001057FB" w:rsidP="006C7F6A">
            <w:pPr>
              <w:ind w:left="0" w:right="0"/>
            </w:pPr>
            <w:r w:rsidRPr="001057FB">
              <w:t>International Conference on Harmonisation</w:t>
            </w:r>
          </w:p>
        </w:tc>
      </w:tr>
      <w:tr w:rsidR="001057FB" w:rsidRPr="001057FB" w:rsidTr="006C7F6A">
        <w:tc>
          <w:tcPr>
            <w:tcW w:w="1890" w:type="dxa"/>
          </w:tcPr>
          <w:p w:rsidR="001057FB" w:rsidRPr="006C0B24" w:rsidRDefault="001057FB" w:rsidP="006C7F6A">
            <w:pPr>
              <w:ind w:left="0" w:right="0"/>
            </w:pPr>
            <w:r w:rsidRPr="006C0B24">
              <w:t>ISV-403</w:t>
            </w:r>
          </w:p>
        </w:tc>
        <w:tc>
          <w:tcPr>
            <w:tcW w:w="6911" w:type="dxa"/>
          </w:tcPr>
          <w:p w:rsidR="001057FB" w:rsidRPr="001057FB" w:rsidRDefault="001057FB" w:rsidP="006C7F6A">
            <w:pPr>
              <w:ind w:left="0" w:right="0"/>
            </w:pPr>
            <w:r w:rsidRPr="001057FB">
              <w:t xml:space="preserve">Company code for </w:t>
            </w:r>
            <w:proofErr w:type="spellStart"/>
            <w:r w:rsidRPr="001057FB">
              <w:t>besifloxacin</w:t>
            </w:r>
            <w:proofErr w:type="spellEnd"/>
            <w:r w:rsidRPr="001057FB">
              <w:t xml:space="preserve"> hydrochloride ophthalmic suspension, 0.6% as base</w:t>
            </w:r>
          </w:p>
        </w:tc>
      </w:tr>
      <w:tr w:rsidR="001057FB" w:rsidRPr="001057FB" w:rsidTr="006C7F6A">
        <w:tc>
          <w:tcPr>
            <w:tcW w:w="1890" w:type="dxa"/>
          </w:tcPr>
          <w:p w:rsidR="001057FB" w:rsidRPr="006C0B24" w:rsidRDefault="001057FB" w:rsidP="006C7F6A">
            <w:pPr>
              <w:ind w:left="0" w:right="0"/>
            </w:pPr>
            <w:r w:rsidRPr="006C0B24">
              <w:t>ITT</w:t>
            </w:r>
          </w:p>
        </w:tc>
        <w:tc>
          <w:tcPr>
            <w:tcW w:w="6911" w:type="dxa"/>
          </w:tcPr>
          <w:p w:rsidR="001057FB" w:rsidRPr="001057FB" w:rsidRDefault="001057FB" w:rsidP="006C7F6A">
            <w:pPr>
              <w:ind w:left="0" w:right="0"/>
            </w:pPr>
            <w:r w:rsidRPr="001057FB">
              <w:t>Intent to treat</w:t>
            </w:r>
          </w:p>
        </w:tc>
      </w:tr>
      <w:tr w:rsidR="001057FB" w:rsidRPr="001057FB" w:rsidTr="006C7F6A">
        <w:tc>
          <w:tcPr>
            <w:tcW w:w="1890" w:type="dxa"/>
          </w:tcPr>
          <w:p w:rsidR="001057FB" w:rsidRPr="006C0B24" w:rsidRDefault="001057FB" w:rsidP="006C7F6A">
            <w:pPr>
              <w:ind w:left="0" w:right="0"/>
            </w:pPr>
            <w:r w:rsidRPr="006C0B24">
              <w:t>ISV</w:t>
            </w:r>
          </w:p>
        </w:tc>
        <w:tc>
          <w:tcPr>
            <w:tcW w:w="6911" w:type="dxa"/>
          </w:tcPr>
          <w:p w:rsidR="001057FB" w:rsidRPr="001057FB" w:rsidRDefault="007A56E2" w:rsidP="006C7F6A">
            <w:pPr>
              <w:ind w:left="0" w:right="0"/>
            </w:pPr>
            <w:proofErr w:type="spellStart"/>
            <w:r>
              <w:t>InSite</w:t>
            </w:r>
            <w:proofErr w:type="spellEnd"/>
            <w:r>
              <w:t xml:space="preserve"> Vision </w:t>
            </w:r>
            <w:proofErr w:type="spellStart"/>
            <w:r>
              <w:t>Inc</w:t>
            </w:r>
            <w:proofErr w:type="spellEnd"/>
          </w:p>
        </w:tc>
      </w:tr>
      <w:tr w:rsidR="001057FB" w:rsidRPr="001057FB" w:rsidTr="006C7F6A">
        <w:tc>
          <w:tcPr>
            <w:tcW w:w="1890" w:type="dxa"/>
          </w:tcPr>
          <w:p w:rsidR="001057FB" w:rsidRPr="006C0B24" w:rsidRDefault="001057FB" w:rsidP="006C7F6A">
            <w:pPr>
              <w:ind w:left="0" w:right="0"/>
            </w:pPr>
            <w:r w:rsidRPr="006C0B24">
              <w:t xml:space="preserve">LC </w:t>
            </w:r>
          </w:p>
        </w:tc>
        <w:tc>
          <w:tcPr>
            <w:tcW w:w="6911" w:type="dxa"/>
          </w:tcPr>
          <w:p w:rsidR="001057FB" w:rsidRPr="001057FB" w:rsidRDefault="001057FB" w:rsidP="006C7F6A">
            <w:pPr>
              <w:ind w:left="0" w:right="0"/>
            </w:pPr>
            <w:r w:rsidRPr="001057FB">
              <w:t>Liquid chromatography</w:t>
            </w:r>
          </w:p>
        </w:tc>
      </w:tr>
      <w:tr w:rsidR="001057FB" w:rsidRPr="001057FB" w:rsidTr="006C7F6A">
        <w:tc>
          <w:tcPr>
            <w:tcW w:w="1890" w:type="dxa"/>
          </w:tcPr>
          <w:p w:rsidR="001057FB" w:rsidRPr="006C0B24" w:rsidRDefault="001057FB" w:rsidP="006C7F6A">
            <w:pPr>
              <w:ind w:left="0" w:right="0"/>
            </w:pPr>
            <w:r w:rsidRPr="006C0B24">
              <w:t xml:space="preserve">LOCF </w:t>
            </w:r>
          </w:p>
        </w:tc>
        <w:tc>
          <w:tcPr>
            <w:tcW w:w="6911" w:type="dxa"/>
          </w:tcPr>
          <w:p w:rsidR="001057FB" w:rsidRPr="001057FB" w:rsidRDefault="001057FB" w:rsidP="006C7F6A">
            <w:pPr>
              <w:ind w:left="0" w:right="0"/>
            </w:pPr>
            <w:r w:rsidRPr="001057FB">
              <w:t>Last observation carried forward</w:t>
            </w:r>
          </w:p>
        </w:tc>
      </w:tr>
      <w:tr w:rsidR="006C0B24" w:rsidRPr="001057FB" w:rsidTr="006C7F6A">
        <w:tc>
          <w:tcPr>
            <w:tcW w:w="1890" w:type="dxa"/>
          </w:tcPr>
          <w:p w:rsidR="006C0B24" w:rsidRPr="006C0B24" w:rsidRDefault="006C0B24" w:rsidP="006C7F6A">
            <w:pPr>
              <w:ind w:left="0" w:right="0"/>
              <w:rPr>
                <w:highlight w:val="yellow"/>
              </w:rPr>
            </w:pPr>
            <w:proofErr w:type="spellStart"/>
            <w:r w:rsidRPr="006C0B24">
              <w:t>logMAR</w:t>
            </w:r>
            <w:proofErr w:type="spellEnd"/>
          </w:p>
        </w:tc>
        <w:tc>
          <w:tcPr>
            <w:tcW w:w="6911" w:type="dxa"/>
          </w:tcPr>
          <w:p w:rsidR="006C0B24" w:rsidRPr="006C0B24" w:rsidRDefault="006C0B24" w:rsidP="006C7F6A">
            <w:pPr>
              <w:ind w:left="0" w:right="0"/>
              <w:rPr>
                <w:highlight w:val="yellow"/>
              </w:rPr>
            </w:pPr>
            <w:r w:rsidRPr="006C0B24">
              <w:t>Log of the minimal angle of resolution</w:t>
            </w:r>
          </w:p>
        </w:tc>
      </w:tr>
      <w:tr w:rsidR="006C0B24" w:rsidRPr="001057FB" w:rsidTr="006C7F6A">
        <w:tc>
          <w:tcPr>
            <w:tcW w:w="1890" w:type="dxa"/>
          </w:tcPr>
          <w:p w:rsidR="006C0B24" w:rsidRPr="00B06CC5" w:rsidRDefault="006C0B24" w:rsidP="006C7F6A">
            <w:pPr>
              <w:ind w:left="0" w:right="0"/>
            </w:pPr>
            <w:r w:rsidRPr="006C0B24">
              <w:t>MBC</w:t>
            </w:r>
          </w:p>
        </w:tc>
        <w:tc>
          <w:tcPr>
            <w:tcW w:w="6911" w:type="dxa"/>
          </w:tcPr>
          <w:p w:rsidR="006C0B24" w:rsidRPr="006C0B24" w:rsidRDefault="006C0B24" w:rsidP="006C7F6A">
            <w:pPr>
              <w:ind w:left="0" w:right="0"/>
              <w:rPr>
                <w:highlight w:val="yellow"/>
              </w:rPr>
            </w:pPr>
            <w:r w:rsidRPr="006C0B24">
              <w:t>Minimum bactericidal concentrations</w:t>
            </w:r>
          </w:p>
        </w:tc>
      </w:tr>
      <w:tr w:rsidR="006C0B24" w:rsidRPr="001057FB" w:rsidTr="006C7F6A">
        <w:tc>
          <w:tcPr>
            <w:tcW w:w="1890" w:type="dxa"/>
          </w:tcPr>
          <w:p w:rsidR="006C0B24" w:rsidRPr="006C0B24" w:rsidRDefault="006C0B24" w:rsidP="006C7F6A">
            <w:pPr>
              <w:ind w:left="0" w:right="0"/>
            </w:pPr>
            <w:proofErr w:type="spellStart"/>
            <w:r w:rsidRPr="006C0B24">
              <w:t>MethR</w:t>
            </w:r>
            <w:proofErr w:type="spellEnd"/>
          </w:p>
        </w:tc>
        <w:tc>
          <w:tcPr>
            <w:tcW w:w="6911" w:type="dxa"/>
          </w:tcPr>
          <w:p w:rsidR="006C0B24" w:rsidRPr="006C0B24" w:rsidRDefault="006C0B24" w:rsidP="006C7F6A">
            <w:pPr>
              <w:ind w:left="0" w:right="0"/>
            </w:pPr>
            <w:r w:rsidRPr="006C0B24">
              <w:t>methicillin resistant</w:t>
            </w:r>
          </w:p>
        </w:tc>
      </w:tr>
      <w:tr w:rsidR="006C0B24" w:rsidRPr="001057FB" w:rsidTr="006C7F6A">
        <w:tc>
          <w:tcPr>
            <w:tcW w:w="1890" w:type="dxa"/>
          </w:tcPr>
          <w:p w:rsidR="006C0B24" w:rsidRPr="006C0B24" w:rsidRDefault="006C0B24" w:rsidP="006C7F6A">
            <w:pPr>
              <w:ind w:left="0" w:right="0"/>
            </w:pPr>
            <w:proofErr w:type="spellStart"/>
            <w:r w:rsidRPr="006C0B24">
              <w:t>MethS</w:t>
            </w:r>
            <w:proofErr w:type="spellEnd"/>
          </w:p>
        </w:tc>
        <w:tc>
          <w:tcPr>
            <w:tcW w:w="6911" w:type="dxa"/>
          </w:tcPr>
          <w:p w:rsidR="006C0B24" w:rsidRPr="006C0B24" w:rsidRDefault="006C0B24" w:rsidP="006C7F6A">
            <w:pPr>
              <w:ind w:left="0" w:right="0"/>
            </w:pPr>
            <w:r w:rsidRPr="006C0B24">
              <w:t>methicillin sensitive</w:t>
            </w:r>
          </w:p>
        </w:tc>
      </w:tr>
      <w:tr w:rsidR="006C0B24" w:rsidRPr="001057FB" w:rsidTr="006C7F6A">
        <w:tc>
          <w:tcPr>
            <w:tcW w:w="1890" w:type="dxa"/>
          </w:tcPr>
          <w:p w:rsidR="006C0B24" w:rsidRPr="006C0B24" w:rsidRDefault="006C0B24" w:rsidP="006C7F6A">
            <w:pPr>
              <w:ind w:left="0" w:right="0"/>
              <w:rPr>
                <w:highlight w:val="yellow"/>
              </w:rPr>
            </w:pPr>
            <w:r w:rsidRPr="006C0B24">
              <w:t>MIC</w:t>
            </w:r>
          </w:p>
        </w:tc>
        <w:tc>
          <w:tcPr>
            <w:tcW w:w="6911" w:type="dxa"/>
          </w:tcPr>
          <w:p w:rsidR="006C0B24" w:rsidRPr="006C0B24" w:rsidRDefault="006C0B24" w:rsidP="006C7F6A">
            <w:pPr>
              <w:ind w:left="0" w:right="0"/>
            </w:pPr>
            <w:r w:rsidRPr="006C0B24">
              <w:t>Minimum inhibitory concentration</w:t>
            </w:r>
          </w:p>
        </w:tc>
      </w:tr>
      <w:tr w:rsidR="006C0B24" w:rsidRPr="001057FB" w:rsidTr="006C7F6A">
        <w:tc>
          <w:tcPr>
            <w:tcW w:w="1890" w:type="dxa"/>
          </w:tcPr>
          <w:p w:rsidR="006C0B24" w:rsidRPr="006C0B24" w:rsidRDefault="006C0B24" w:rsidP="006C7F6A">
            <w:pPr>
              <w:ind w:left="0" w:right="0"/>
              <w:rPr>
                <w:highlight w:val="yellow"/>
              </w:rPr>
            </w:pPr>
            <w:r w:rsidRPr="006C0B24">
              <w:t>MIC50</w:t>
            </w:r>
          </w:p>
        </w:tc>
        <w:tc>
          <w:tcPr>
            <w:tcW w:w="6911" w:type="dxa"/>
          </w:tcPr>
          <w:p w:rsidR="006C0B24" w:rsidRPr="006C0B24" w:rsidRDefault="006C0B24" w:rsidP="006C7F6A">
            <w:pPr>
              <w:ind w:left="0" w:right="0"/>
            </w:pPr>
            <w:r w:rsidRPr="006C0B24">
              <w:t>Minimum inhibitory concentration required to inhibit the growth of 50% of organisms</w:t>
            </w:r>
          </w:p>
        </w:tc>
      </w:tr>
      <w:tr w:rsidR="006C0B24" w:rsidRPr="001057FB" w:rsidTr="006C7F6A">
        <w:tc>
          <w:tcPr>
            <w:tcW w:w="1890" w:type="dxa"/>
          </w:tcPr>
          <w:p w:rsidR="006C0B24" w:rsidRPr="006C0B24" w:rsidRDefault="006C0B24" w:rsidP="006C7F6A">
            <w:pPr>
              <w:ind w:left="0" w:right="0"/>
              <w:rPr>
                <w:highlight w:val="yellow"/>
              </w:rPr>
            </w:pPr>
            <w:r w:rsidRPr="006C0B24">
              <w:t>MIC90</w:t>
            </w:r>
          </w:p>
        </w:tc>
        <w:tc>
          <w:tcPr>
            <w:tcW w:w="6911" w:type="dxa"/>
          </w:tcPr>
          <w:p w:rsidR="006C0B24" w:rsidRPr="006C0B24" w:rsidRDefault="006C0B24" w:rsidP="006C7F6A">
            <w:pPr>
              <w:ind w:left="0" w:right="0"/>
            </w:pPr>
            <w:r w:rsidRPr="006C0B24">
              <w:t>Minimum inhibitory concentration required to inhibit the growth of 90% of organisms</w:t>
            </w:r>
          </w:p>
        </w:tc>
      </w:tr>
      <w:tr w:rsidR="006C0B24" w:rsidRPr="001057FB" w:rsidTr="006C7F6A">
        <w:tc>
          <w:tcPr>
            <w:tcW w:w="1890" w:type="dxa"/>
          </w:tcPr>
          <w:p w:rsidR="006C0B24" w:rsidRPr="006C0B24" w:rsidRDefault="006C0B24" w:rsidP="006C7F6A">
            <w:pPr>
              <w:ind w:left="0" w:right="0"/>
              <w:rPr>
                <w:highlight w:val="yellow"/>
              </w:rPr>
            </w:pPr>
            <w:proofErr w:type="spellStart"/>
            <w:r w:rsidRPr="006C0B24">
              <w:t>mITT</w:t>
            </w:r>
            <w:proofErr w:type="spellEnd"/>
          </w:p>
        </w:tc>
        <w:tc>
          <w:tcPr>
            <w:tcW w:w="6911" w:type="dxa"/>
          </w:tcPr>
          <w:p w:rsidR="006C0B24" w:rsidRPr="006C0B24" w:rsidRDefault="006C0B24" w:rsidP="006C7F6A">
            <w:pPr>
              <w:ind w:left="0" w:right="0"/>
            </w:pPr>
            <w:r w:rsidRPr="006C0B24">
              <w:t>Modified intent to treat</w:t>
            </w:r>
          </w:p>
        </w:tc>
      </w:tr>
      <w:tr w:rsidR="006C0B24" w:rsidRPr="001057FB" w:rsidTr="006C7F6A">
        <w:tc>
          <w:tcPr>
            <w:tcW w:w="1890" w:type="dxa"/>
          </w:tcPr>
          <w:p w:rsidR="006C0B24" w:rsidRPr="006C0B24" w:rsidRDefault="006C0B24" w:rsidP="006C7F6A">
            <w:pPr>
              <w:ind w:left="0" w:right="0"/>
              <w:rPr>
                <w:highlight w:val="yellow"/>
              </w:rPr>
            </w:pPr>
            <w:r w:rsidRPr="006C0B24">
              <w:t>MPC</w:t>
            </w:r>
          </w:p>
        </w:tc>
        <w:tc>
          <w:tcPr>
            <w:tcW w:w="6911" w:type="dxa"/>
          </w:tcPr>
          <w:p w:rsidR="006C0B24" w:rsidRPr="006C0B24" w:rsidRDefault="006C0B24" w:rsidP="006C7F6A">
            <w:pPr>
              <w:ind w:left="0" w:right="0"/>
            </w:pPr>
            <w:r w:rsidRPr="006C0B24">
              <w:t>Mutant prevention concentration</w:t>
            </w:r>
          </w:p>
        </w:tc>
      </w:tr>
      <w:tr w:rsidR="006C0B24" w:rsidRPr="001057FB" w:rsidTr="006C7F6A">
        <w:tc>
          <w:tcPr>
            <w:tcW w:w="1890" w:type="dxa"/>
          </w:tcPr>
          <w:p w:rsidR="006C0B24" w:rsidRPr="006C0B24" w:rsidRDefault="006C0B24" w:rsidP="006C7F6A">
            <w:pPr>
              <w:ind w:left="0" w:right="0"/>
              <w:rPr>
                <w:highlight w:val="yellow"/>
              </w:rPr>
            </w:pPr>
            <w:r w:rsidRPr="006C0B24">
              <w:t>MS</w:t>
            </w:r>
          </w:p>
        </w:tc>
        <w:tc>
          <w:tcPr>
            <w:tcW w:w="6911" w:type="dxa"/>
          </w:tcPr>
          <w:p w:rsidR="006C0B24" w:rsidRPr="006C0B24" w:rsidRDefault="006C0B24" w:rsidP="006C7F6A">
            <w:pPr>
              <w:ind w:left="0" w:right="0"/>
            </w:pPr>
            <w:r w:rsidRPr="006C0B24">
              <w:t>Mass spectrometry</w:t>
            </w:r>
          </w:p>
        </w:tc>
      </w:tr>
      <w:tr w:rsidR="006C0B24" w:rsidRPr="001057FB" w:rsidTr="006C7F6A">
        <w:tc>
          <w:tcPr>
            <w:tcW w:w="1890" w:type="dxa"/>
          </w:tcPr>
          <w:p w:rsidR="006C0B24" w:rsidRPr="006C0B24" w:rsidRDefault="006C0B24" w:rsidP="006C7F6A">
            <w:pPr>
              <w:ind w:left="0" w:right="0"/>
              <w:rPr>
                <w:highlight w:val="yellow"/>
              </w:rPr>
            </w:pPr>
            <w:r w:rsidRPr="006C0B24">
              <w:t>NDA</w:t>
            </w:r>
          </w:p>
        </w:tc>
        <w:tc>
          <w:tcPr>
            <w:tcW w:w="6911" w:type="dxa"/>
          </w:tcPr>
          <w:p w:rsidR="006C0B24" w:rsidRPr="006C0B24" w:rsidRDefault="006C0B24" w:rsidP="006C7F6A">
            <w:pPr>
              <w:ind w:left="0" w:right="0"/>
            </w:pPr>
            <w:r w:rsidRPr="006C0B24">
              <w:t>New drug application</w:t>
            </w:r>
          </w:p>
        </w:tc>
      </w:tr>
      <w:tr w:rsidR="006C0B24" w:rsidRPr="001057FB" w:rsidTr="006C7F6A">
        <w:tc>
          <w:tcPr>
            <w:tcW w:w="1890" w:type="dxa"/>
          </w:tcPr>
          <w:p w:rsidR="006C0B24" w:rsidRPr="006C0B24" w:rsidRDefault="006C0B24" w:rsidP="006C7F6A">
            <w:pPr>
              <w:ind w:left="0" w:right="0"/>
              <w:rPr>
                <w:highlight w:val="yellow"/>
              </w:rPr>
            </w:pPr>
            <w:r w:rsidRPr="006C0B24">
              <w:t>NF</w:t>
            </w:r>
          </w:p>
        </w:tc>
        <w:tc>
          <w:tcPr>
            <w:tcW w:w="6911" w:type="dxa"/>
          </w:tcPr>
          <w:p w:rsidR="006C0B24" w:rsidRPr="006C0B24" w:rsidRDefault="006C0B24" w:rsidP="006C7F6A">
            <w:pPr>
              <w:ind w:left="0" w:right="0"/>
              <w:rPr>
                <w:highlight w:val="yellow"/>
              </w:rPr>
            </w:pPr>
            <w:r w:rsidRPr="006C0B24">
              <w:rPr>
                <w:rStyle w:val="st"/>
                <w:rFonts w:cs="Arial"/>
              </w:rPr>
              <w:t>National Formulary</w:t>
            </w:r>
          </w:p>
        </w:tc>
      </w:tr>
      <w:tr w:rsidR="006C0B24" w:rsidRPr="001057FB" w:rsidTr="006C7F6A">
        <w:tc>
          <w:tcPr>
            <w:tcW w:w="1890" w:type="dxa"/>
          </w:tcPr>
          <w:p w:rsidR="006C0B24" w:rsidRPr="006C0B24" w:rsidRDefault="006C0B24" w:rsidP="006C7F6A">
            <w:pPr>
              <w:ind w:left="0" w:right="0"/>
            </w:pPr>
            <w:r w:rsidRPr="006C0B24">
              <w:t xml:space="preserve">OD </w:t>
            </w:r>
          </w:p>
        </w:tc>
        <w:tc>
          <w:tcPr>
            <w:tcW w:w="6911" w:type="dxa"/>
          </w:tcPr>
          <w:p w:rsidR="006C0B24" w:rsidRPr="006C0B24" w:rsidRDefault="006C0B24" w:rsidP="006C7F6A">
            <w:pPr>
              <w:ind w:left="0" w:right="0"/>
              <w:rPr>
                <w:highlight w:val="yellow"/>
              </w:rPr>
            </w:pPr>
            <w:r w:rsidRPr="006C0B24">
              <w:t>Right eye</w:t>
            </w:r>
          </w:p>
        </w:tc>
      </w:tr>
      <w:tr w:rsidR="006C0B24" w:rsidRPr="001057FB" w:rsidTr="006C7F6A">
        <w:tc>
          <w:tcPr>
            <w:tcW w:w="1890" w:type="dxa"/>
          </w:tcPr>
          <w:p w:rsidR="006C0B24" w:rsidRPr="006C0B24" w:rsidRDefault="006C0B24" w:rsidP="006C7F6A">
            <w:pPr>
              <w:ind w:left="0" w:right="0"/>
              <w:rPr>
                <w:highlight w:val="yellow"/>
              </w:rPr>
            </w:pPr>
            <w:r w:rsidRPr="006C0B24">
              <w:lastRenderedPageBreak/>
              <w:t>PD</w:t>
            </w:r>
          </w:p>
        </w:tc>
        <w:tc>
          <w:tcPr>
            <w:tcW w:w="6911" w:type="dxa"/>
          </w:tcPr>
          <w:p w:rsidR="006C0B24" w:rsidRPr="006C0B24" w:rsidRDefault="006C0B24" w:rsidP="006C7F6A">
            <w:pPr>
              <w:ind w:left="0" w:right="0"/>
            </w:pPr>
            <w:r w:rsidRPr="006C0B24">
              <w:t>Pharmacodynamics</w:t>
            </w:r>
          </w:p>
        </w:tc>
      </w:tr>
      <w:tr w:rsidR="006C0B24" w:rsidRPr="001057FB" w:rsidTr="006C7F6A">
        <w:tc>
          <w:tcPr>
            <w:tcW w:w="1890" w:type="dxa"/>
          </w:tcPr>
          <w:p w:rsidR="006C0B24" w:rsidRPr="006C0B24" w:rsidRDefault="006C0B24" w:rsidP="006C7F6A">
            <w:pPr>
              <w:ind w:left="0" w:right="0"/>
            </w:pPr>
            <w:r w:rsidRPr="006C0B24">
              <w:t>PISP</w:t>
            </w:r>
          </w:p>
        </w:tc>
        <w:tc>
          <w:tcPr>
            <w:tcW w:w="6911" w:type="dxa"/>
          </w:tcPr>
          <w:p w:rsidR="006C0B24" w:rsidRPr="006C0B24" w:rsidRDefault="006C0B24" w:rsidP="006C7F6A">
            <w:pPr>
              <w:ind w:left="0" w:right="0"/>
            </w:pPr>
            <w:r w:rsidRPr="006C0B24">
              <w:t xml:space="preserve">Penicillin intermediate </w:t>
            </w:r>
            <w:r w:rsidRPr="006C0B24">
              <w:rPr>
                <w:i/>
              </w:rPr>
              <w:t xml:space="preserve">Streptococcus </w:t>
            </w:r>
            <w:proofErr w:type="spellStart"/>
            <w:r w:rsidRPr="006C0B24">
              <w:rPr>
                <w:i/>
              </w:rPr>
              <w:t>pneumoniae</w:t>
            </w:r>
            <w:proofErr w:type="spellEnd"/>
          </w:p>
        </w:tc>
      </w:tr>
      <w:tr w:rsidR="006C0B24" w:rsidRPr="001057FB" w:rsidTr="006C7F6A">
        <w:tc>
          <w:tcPr>
            <w:tcW w:w="1890" w:type="dxa"/>
          </w:tcPr>
          <w:p w:rsidR="006C0B24" w:rsidRPr="006C0B24" w:rsidRDefault="006C0B24" w:rsidP="006C7F6A">
            <w:pPr>
              <w:ind w:left="0" w:right="0"/>
            </w:pPr>
            <w:r w:rsidRPr="006C0B24">
              <w:t xml:space="preserve">PK </w:t>
            </w:r>
          </w:p>
        </w:tc>
        <w:tc>
          <w:tcPr>
            <w:tcW w:w="6911" w:type="dxa"/>
          </w:tcPr>
          <w:p w:rsidR="006C0B24" w:rsidRPr="006C0B24" w:rsidRDefault="006C0B24" w:rsidP="006C7F6A">
            <w:pPr>
              <w:ind w:left="0" w:right="0"/>
              <w:rPr>
                <w:highlight w:val="yellow"/>
              </w:rPr>
            </w:pPr>
            <w:r w:rsidRPr="006C0B24">
              <w:t>Pharmacokinetics</w:t>
            </w:r>
          </w:p>
        </w:tc>
      </w:tr>
      <w:tr w:rsidR="006C0B24" w:rsidRPr="001057FB" w:rsidTr="006C7F6A">
        <w:tc>
          <w:tcPr>
            <w:tcW w:w="1890" w:type="dxa"/>
          </w:tcPr>
          <w:p w:rsidR="006C0B24" w:rsidRPr="006C0B24" w:rsidRDefault="006C0B24" w:rsidP="006C7F6A">
            <w:pPr>
              <w:ind w:left="0" w:right="0"/>
            </w:pPr>
            <w:r w:rsidRPr="006C0B24">
              <w:t xml:space="preserve">PP </w:t>
            </w:r>
          </w:p>
        </w:tc>
        <w:tc>
          <w:tcPr>
            <w:tcW w:w="6911" w:type="dxa"/>
          </w:tcPr>
          <w:p w:rsidR="006C0B24" w:rsidRPr="006C0B24" w:rsidRDefault="006C0B24" w:rsidP="006C7F6A">
            <w:pPr>
              <w:ind w:left="0" w:right="0"/>
              <w:rPr>
                <w:highlight w:val="yellow"/>
              </w:rPr>
            </w:pPr>
            <w:r w:rsidRPr="006C0B24">
              <w:t>Per protocol</w:t>
            </w:r>
          </w:p>
        </w:tc>
      </w:tr>
      <w:tr w:rsidR="006C0B24" w:rsidRPr="001057FB" w:rsidTr="006C7F6A">
        <w:tc>
          <w:tcPr>
            <w:tcW w:w="1890" w:type="dxa"/>
          </w:tcPr>
          <w:p w:rsidR="006C0B24" w:rsidRPr="006C0B24" w:rsidRDefault="006C0B24" w:rsidP="006C7F6A">
            <w:pPr>
              <w:ind w:left="0" w:right="0"/>
            </w:pPr>
            <w:r w:rsidRPr="006C0B24">
              <w:t>PRSP</w:t>
            </w:r>
          </w:p>
        </w:tc>
        <w:tc>
          <w:tcPr>
            <w:tcW w:w="6911" w:type="dxa"/>
          </w:tcPr>
          <w:p w:rsidR="006C0B24" w:rsidRPr="006C0B24" w:rsidRDefault="006C0B24" w:rsidP="006C7F6A">
            <w:pPr>
              <w:ind w:left="0" w:right="0"/>
            </w:pPr>
            <w:r w:rsidRPr="006C0B24">
              <w:t xml:space="preserve">Penicillin resistant </w:t>
            </w:r>
            <w:r w:rsidRPr="006C0B24">
              <w:rPr>
                <w:i/>
              </w:rPr>
              <w:t xml:space="preserve">Streptococcus </w:t>
            </w:r>
            <w:proofErr w:type="spellStart"/>
            <w:r w:rsidRPr="006C0B24">
              <w:rPr>
                <w:i/>
              </w:rPr>
              <w:t>pneumoniae</w:t>
            </w:r>
            <w:proofErr w:type="spellEnd"/>
          </w:p>
        </w:tc>
      </w:tr>
      <w:tr w:rsidR="006C0B24" w:rsidRPr="001057FB" w:rsidTr="006C7F6A">
        <w:tc>
          <w:tcPr>
            <w:tcW w:w="1890" w:type="dxa"/>
          </w:tcPr>
          <w:p w:rsidR="006C0B24" w:rsidRPr="006C0B24" w:rsidRDefault="006C0B24" w:rsidP="006C7F6A">
            <w:pPr>
              <w:ind w:left="0" w:right="0"/>
            </w:pPr>
            <w:r w:rsidRPr="006C0B24">
              <w:t>PSSP</w:t>
            </w:r>
          </w:p>
        </w:tc>
        <w:tc>
          <w:tcPr>
            <w:tcW w:w="6911" w:type="dxa"/>
          </w:tcPr>
          <w:p w:rsidR="006C0B24" w:rsidRPr="006C0B24" w:rsidRDefault="006C0B24" w:rsidP="006C7F6A">
            <w:pPr>
              <w:ind w:left="0" w:right="0"/>
            </w:pPr>
            <w:r w:rsidRPr="006C0B24">
              <w:t xml:space="preserve">Penicillin sensitive </w:t>
            </w:r>
            <w:r w:rsidRPr="006C0B24">
              <w:rPr>
                <w:i/>
              </w:rPr>
              <w:t xml:space="preserve">Streptococcus </w:t>
            </w:r>
            <w:proofErr w:type="spellStart"/>
            <w:r w:rsidRPr="006C0B24">
              <w:rPr>
                <w:i/>
              </w:rPr>
              <w:t>pneumoniae</w:t>
            </w:r>
            <w:proofErr w:type="spellEnd"/>
          </w:p>
        </w:tc>
      </w:tr>
      <w:tr w:rsidR="006C0B24" w:rsidRPr="001057FB" w:rsidTr="006C7F6A">
        <w:tc>
          <w:tcPr>
            <w:tcW w:w="1890" w:type="dxa"/>
          </w:tcPr>
          <w:p w:rsidR="006C0B24" w:rsidRPr="006C0B24" w:rsidRDefault="006C0B24" w:rsidP="006C7F6A">
            <w:pPr>
              <w:ind w:left="0" w:right="0"/>
            </w:pPr>
            <w:r w:rsidRPr="006C0B24">
              <w:t xml:space="preserve">QD </w:t>
            </w:r>
          </w:p>
        </w:tc>
        <w:tc>
          <w:tcPr>
            <w:tcW w:w="6911" w:type="dxa"/>
          </w:tcPr>
          <w:p w:rsidR="006C0B24" w:rsidRPr="006C0B24" w:rsidRDefault="006C0B24" w:rsidP="006C7F6A">
            <w:pPr>
              <w:ind w:left="0" w:right="0"/>
            </w:pPr>
            <w:r w:rsidRPr="006C0B24">
              <w:t>Once daily</w:t>
            </w:r>
          </w:p>
        </w:tc>
      </w:tr>
      <w:tr w:rsidR="006C0B24" w:rsidRPr="001057FB" w:rsidTr="006C7F6A">
        <w:tc>
          <w:tcPr>
            <w:tcW w:w="1890" w:type="dxa"/>
          </w:tcPr>
          <w:p w:rsidR="006C0B24" w:rsidRPr="006C0B24" w:rsidRDefault="006C0B24" w:rsidP="006C7F6A">
            <w:pPr>
              <w:ind w:left="0" w:right="0"/>
            </w:pPr>
            <w:r w:rsidRPr="006C0B24">
              <w:t>QID</w:t>
            </w:r>
          </w:p>
        </w:tc>
        <w:tc>
          <w:tcPr>
            <w:tcW w:w="6911" w:type="dxa"/>
          </w:tcPr>
          <w:p w:rsidR="006C0B24" w:rsidRPr="006C0B24" w:rsidRDefault="006C0B24" w:rsidP="006C7F6A">
            <w:pPr>
              <w:ind w:left="0" w:right="0"/>
            </w:pPr>
            <w:r w:rsidRPr="006C0B24">
              <w:t>Four times daily</w:t>
            </w:r>
          </w:p>
        </w:tc>
      </w:tr>
      <w:tr w:rsidR="006C0B24" w:rsidRPr="001057FB" w:rsidTr="006C7F6A">
        <w:tc>
          <w:tcPr>
            <w:tcW w:w="1890" w:type="dxa"/>
          </w:tcPr>
          <w:p w:rsidR="006C0B24" w:rsidRPr="006C0B24" w:rsidRDefault="006C0B24" w:rsidP="006C7F6A">
            <w:pPr>
              <w:ind w:left="0" w:right="0"/>
            </w:pPr>
            <w:r w:rsidRPr="006C0B24">
              <w:rPr>
                <w:rFonts w:cs="Times-Roman"/>
              </w:rPr>
              <w:t>QRDR</w:t>
            </w:r>
          </w:p>
        </w:tc>
        <w:tc>
          <w:tcPr>
            <w:tcW w:w="6911" w:type="dxa"/>
          </w:tcPr>
          <w:p w:rsidR="006C0B24" w:rsidRPr="006C0B24" w:rsidRDefault="006C0B24" w:rsidP="006C7F6A">
            <w:pPr>
              <w:ind w:left="0" w:right="0"/>
            </w:pPr>
            <w:r w:rsidRPr="006C0B24">
              <w:rPr>
                <w:rFonts w:cs="Times-Roman"/>
              </w:rPr>
              <w:t>quinolone resistance-determining region</w:t>
            </w:r>
          </w:p>
        </w:tc>
      </w:tr>
      <w:tr w:rsidR="006C0B24" w:rsidRPr="001057FB" w:rsidTr="006C7F6A">
        <w:tc>
          <w:tcPr>
            <w:tcW w:w="1890" w:type="dxa"/>
          </w:tcPr>
          <w:p w:rsidR="006C0B24" w:rsidRPr="006C0B24" w:rsidRDefault="006C0B24" w:rsidP="006C7F6A">
            <w:pPr>
              <w:ind w:left="0" w:right="0"/>
            </w:pPr>
            <w:r w:rsidRPr="006C0B24">
              <w:t>SAE</w:t>
            </w:r>
          </w:p>
        </w:tc>
        <w:tc>
          <w:tcPr>
            <w:tcW w:w="6911" w:type="dxa"/>
          </w:tcPr>
          <w:p w:rsidR="006C0B24" w:rsidRPr="006C0B24" w:rsidRDefault="006C0B24" w:rsidP="006C7F6A">
            <w:pPr>
              <w:ind w:left="0" w:right="0"/>
            </w:pPr>
            <w:r w:rsidRPr="006C0B24">
              <w:t>Serious adverse event</w:t>
            </w:r>
          </w:p>
        </w:tc>
      </w:tr>
      <w:tr w:rsidR="006C0B24" w:rsidRPr="001057FB" w:rsidTr="006C7F6A">
        <w:tc>
          <w:tcPr>
            <w:tcW w:w="1890" w:type="dxa"/>
          </w:tcPr>
          <w:p w:rsidR="006C0B24" w:rsidRPr="006C0B24" w:rsidRDefault="006C0B24" w:rsidP="006C7F6A">
            <w:pPr>
              <w:ind w:left="0" w:right="0"/>
            </w:pPr>
            <w:r w:rsidRPr="006C0B24">
              <w:t xml:space="preserve">SMRC </w:t>
            </w:r>
          </w:p>
        </w:tc>
        <w:tc>
          <w:tcPr>
            <w:tcW w:w="6911" w:type="dxa"/>
          </w:tcPr>
          <w:p w:rsidR="006C0B24" w:rsidRPr="006C0B24" w:rsidRDefault="006C0B24" w:rsidP="006C7F6A">
            <w:pPr>
              <w:ind w:left="0" w:right="0"/>
            </w:pPr>
            <w:r w:rsidRPr="006C0B24">
              <w:t xml:space="preserve">Specular Microscopy Reading </w:t>
            </w:r>
            <w:proofErr w:type="spellStart"/>
            <w:r w:rsidRPr="006C0B24">
              <w:t>Center</w:t>
            </w:r>
            <w:proofErr w:type="spellEnd"/>
          </w:p>
        </w:tc>
      </w:tr>
      <w:tr w:rsidR="006C0B24" w:rsidRPr="001057FB" w:rsidTr="006C7F6A">
        <w:tc>
          <w:tcPr>
            <w:tcW w:w="1890" w:type="dxa"/>
          </w:tcPr>
          <w:p w:rsidR="006C0B24" w:rsidRPr="006C0B24" w:rsidRDefault="006C0B24" w:rsidP="006C7F6A">
            <w:pPr>
              <w:ind w:left="0" w:right="0"/>
            </w:pPr>
            <w:r w:rsidRPr="006C0B24">
              <w:t>SS734</w:t>
            </w:r>
          </w:p>
        </w:tc>
        <w:tc>
          <w:tcPr>
            <w:tcW w:w="6911" w:type="dxa"/>
          </w:tcPr>
          <w:p w:rsidR="006C0B24" w:rsidRPr="006C0B24" w:rsidRDefault="006C0B24" w:rsidP="006C7F6A">
            <w:pPr>
              <w:ind w:left="0" w:right="0"/>
            </w:pPr>
            <w:r w:rsidRPr="006C0B24">
              <w:t xml:space="preserve">Company code for </w:t>
            </w:r>
            <w:proofErr w:type="spellStart"/>
            <w:r w:rsidRPr="006C0B24">
              <w:t>besifloxacin</w:t>
            </w:r>
            <w:proofErr w:type="spellEnd"/>
            <w:r w:rsidRPr="006C0B24">
              <w:t xml:space="preserve"> hydrochloride</w:t>
            </w:r>
          </w:p>
        </w:tc>
      </w:tr>
      <w:tr w:rsidR="006C0B24" w:rsidRPr="001057FB" w:rsidTr="006C7F6A">
        <w:tc>
          <w:tcPr>
            <w:tcW w:w="1890" w:type="dxa"/>
          </w:tcPr>
          <w:p w:rsidR="006C0B24" w:rsidRPr="006C0B24" w:rsidRDefault="006C0B24" w:rsidP="006C7F6A">
            <w:pPr>
              <w:ind w:left="0" w:right="0"/>
            </w:pPr>
            <w:r w:rsidRPr="006C0B24">
              <w:t xml:space="preserve">TID or </w:t>
            </w:r>
            <w:proofErr w:type="spellStart"/>
            <w:r w:rsidRPr="006C0B24">
              <w:t>tds</w:t>
            </w:r>
            <w:proofErr w:type="spellEnd"/>
          </w:p>
        </w:tc>
        <w:tc>
          <w:tcPr>
            <w:tcW w:w="6911" w:type="dxa"/>
          </w:tcPr>
          <w:p w:rsidR="006C0B24" w:rsidRPr="006C0B24" w:rsidRDefault="006C0B24" w:rsidP="006C7F6A">
            <w:pPr>
              <w:ind w:left="0" w:right="0"/>
            </w:pPr>
            <w:r w:rsidRPr="006C0B24">
              <w:t>Three times daily</w:t>
            </w:r>
          </w:p>
        </w:tc>
      </w:tr>
      <w:tr w:rsidR="006C0B24" w:rsidRPr="001057FB" w:rsidTr="006C7F6A">
        <w:tc>
          <w:tcPr>
            <w:tcW w:w="1890" w:type="dxa"/>
          </w:tcPr>
          <w:p w:rsidR="006C0B24" w:rsidRPr="006C0B24" w:rsidRDefault="006C0B24" w:rsidP="006C7F6A">
            <w:pPr>
              <w:ind w:left="0" w:right="0"/>
            </w:pPr>
            <w:r w:rsidRPr="006C0B24">
              <w:t>URI</w:t>
            </w:r>
          </w:p>
        </w:tc>
        <w:tc>
          <w:tcPr>
            <w:tcW w:w="6911" w:type="dxa"/>
          </w:tcPr>
          <w:p w:rsidR="006C0B24" w:rsidRPr="006C0B24" w:rsidRDefault="006C0B24" w:rsidP="006C7F6A">
            <w:pPr>
              <w:ind w:left="0" w:right="0"/>
            </w:pPr>
            <w:r w:rsidRPr="006C0B24">
              <w:t>Upper respiratory infection</w:t>
            </w:r>
          </w:p>
        </w:tc>
      </w:tr>
      <w:tr w:rsidR="006C0B24" w:rsidRPr="001057FB" w:rsidTr="006C7F6A">
        <w:tc>
          <w:tcPr>
            <w:tcW w:w="1890" w:type="dxa"/>
          </w:tcPr>
          <w:p w:rsidR="006C0B24" w:rsidRPr="006C0B24" w:rsidRDefault="006C0B24" w:rsidP="006C7F6A">
            <w:pPr>
              <w:ind w:left="0" w:right="0"/>
            </w:pPr>
            <w:r w:rsidRPr="006C0B24">
              <w:t>USP</w:t>
            </w:r>
          </w:p>
        </w:tc>
        <w:tc>
          <w:tcPr>
            <w:tcW w:w="6911" w:type="dxa"/>
          </w:tcPr>
          <w:p w:rsidR="006C0B24" w:rsidRPr="006C0B24" w:rsidRDefault="006C0B24" w:rsidP="006C7F6A">
            <w:pPr>
              <w:ind w:left="0" w:right="0"/>
            </w:pPr>
            <w:r w:rsidRPr="006C0B24">
              <w:t>United States Pharmacopeia</w:t>
            </w:r>
          </w:p>
        </w:tc>
      </w:tr>
      <w:tr w:rsidR="006C0B24" w:rsidRPr="001057FB" w:rsidTr="006C7F6A">
        <w:tc>
          <w:tcPr>
            <w:tcW w:w="1890" w:type="dxa"/>
          </w:tcPr>
          <w:p w:rsidR="006C0B24" w:rsidRPr="006C0B24" w:rsidRDefault="006C0B24" w:rsidP="006C7F6A">
            <w:pPr>
              <w:ind w:left="0" w:right="0"/>
            </w:pPr>
            <w:r w:rsidRPr="006C0B24">
              <w:t>VA</w:t>
            </w:r>
          </w:p>
        </w:tc>
        <w:tc>
          <w:tcPr>
            <w:tcW w:w="6911" w:type="dxa"/>
          </w:tcPr>
          <w:p w:rsidR="006C0B24" w:rsidRPr="006C0B24" w:rsidRDefault="006C0B24" w:rsidP="006C7F6A">
            <w:pPr>
              <w:ind w:left="0" w:right="0"/>
            </w:pPr>
            <w:r w:rsidRPr="006C0B24">
              <w:t>Visual acuity</w:t>
            </w:r>
          </w:p>
        </w:tc>
      </w:tr>
    </w:tbl>
    <w:p w:rsidR="00586F98" w:rsidRDefault="00586F98" w:rsidP="006C7F6A">
      <w:pPr>
        <w:pStyle w:val="Heading2"/>
        <w:rPr>
          <w:lang w:eastAsia="en-AU"/>
        </w:rPr>
      </w:pPr>
      <w:bookmarkStart w:id="8" w:name="_Toc351718900"/>
      <w:bookmarkStart w:id="9" w:name="_Toc355338635"/>
      <w:bookmarkStart w:id="10" w:name="_Toc382908443"/>
      <w:r>
        <w:rPr>
          <w:lang w:eastAsia="en-AU"/>
        </w:rPr>
        <w:t>Clinical rationale</w:t>
      </w:r>
      <w:bookmarkEnd w:id="10"/>
    </w:p>
    <w:p w:rsidR="00516200" w:rsidRPr="00516200" w:rsidRDefault="00516200" w:rsidP="006C7F6A">
      <w:r w:rsidRPr="00516200">
        <w:t>The globe of the eye is covered by a thin, transparent, mucous membrane called the conjunctiva. The conjunctiva serves to protect the eye and facilitates eye movement by providing lubrication. Conjunctivitis is an inflammation of this lining of the eye. Bacterial conjunctivitis is a common external ocular infection that affects persons of all ages. Conjunctivitis can also be caused by viruses for example adenovirus. The condition often presents as unilateral disease and can readily spread to the fellow eye as a contagious disease. Bacterial conjunctivitis is characterized by marked</w:t>
      </w:r>
      <w:r>
        <w:t xml:space="preserve"> </w:t>
      </w:r>
      <w:r w:rsidRPr="00516200">
        <w:t xml:space="preserve">hyperaemia or redness of the eye, and mild to moderate purulent </w:t>
      </w:r>
      <w:proofErr w:type="spellStart"/>
      <w:r w:rsidRPr="00516200">
        <w:t>conjunctival</w:t>
      </w:r>
      <w:proofErr w:type="spellEnd"/>
      <w:r w:rsidRPr="00516200">
        <w:t xml:space="preserve"> discharge. Symptoms often include tearing, itching, and vague ocular irritation. The disease is generally self-limiting and usually does not cause permanent loss of vision or structural damage</w:t>
      </w:r>
      <w:r w:rsidR="00A61F2A">
        <w:t>.</w:t>
      </w:r>
      <w:r w:rsidR="00A61F2A">
        <w:rPr>
          <w:rStyle w:val="FootnoteReference"/>
        </w:rPr>
        <w:footnoteReference w:id="1"/>
      </w:r>
      <w:r w:rsidR="00EC6A34">
        <w:t xml:space="preserve"> </w:t>
      </w:r>
      <w:r w:rsidRPr="00516200">
        <w:t xml:space="preserve">Treatment with a topical broad spectrum ocular antibiotic is standard of care for this </w:t>
      </w:r>
      <w:r w:rsidRPr="00516200">
        <w:lastRenderedPageBreak/>
        <w:t>condition, the rationale is to shorten the duration of the disease, reduce contagious spread, and enhances eradication of causative gram-positive and gram-negative organ</w:t>
      </w:r>
      <w:r w:rsidR="006C7F6A">
        <w:t>isms.</w:t>
      </w:r>
    </w:p>
    <w:p w:rsidR="00516200" w:rsidRPr="00516200" w:rsidRDefault="00516200" w:rsidP="006C7F6A">
      <w:r w:rsidRPr="00516200">
        <w:t xml:space="preserve">Note that, the bacterial conjunctivitis referred to in this application does not include congenital infections collectively referred to as </w:t>
      </w:r>
      <w:proofErr w:type="spellStart"/>
      <w:r w:rsidRPr="00516200">
        <w:t>Ophthalmia</w:t>
      </w:r>
      <w:proofErr w:type="spellEnd"/>
      <w:r w:rsidRPr="00516200">
        <w:t xml:space="preserve"> </w:t>
      </w:r>
      <w:proofErr w:type="spellStart"/>
      <w:r w:rsidRPr="00516200">
        <w:t>neonatorum</w:t>
      </w:r>
      <w:proofErr w:type="spellEnd"/>
      <w:r w:rsidRPr="00516200">
        <w:t xml:space="preserve"> caused by Neisseria Gonorr</w:t>
      </w:r>
      <w:r w:rsidR="006C7F6A">
        <w:t>hoea and Chlamydia trachomatis.</w:t>
      </w:r>
    </w:p>
    <w:p w:rsidR="00516200" w:rsidRPr="00516200" w:rsidRDefault="00516200" w:rsidP="006C7F6A">
      <w:r w:rsidRPr="00516200">
        <w:t xml:space="preserve">Bacterial conjunctivitis is most commonly caused by the following organisms, many of which are normal commensals of the eyelid or </w:t>
      </w:r>
      <w:proofErr w:type="spellStart"/>
      <w:r w:rsidRPr="00516200">
        <w:t>nasopharynx</w:t>
      </w:r>
      <w:proofErr w:type="spellEnd"/>
      <w:r w:rsidRPr="00516200">
        <w:t xml:space="preserve"> i.e. Staphylococcus </w:t>
      </w:r>
      <w:proofErr w:type="spellStart"/>
      <w:r w:rsidRPr="00516200">
        <w:t>aureus</w:t>
      </w:r>
      <w:proofErr w:type="spellEnd"/>
      <w:r w:rsidRPr="00516200">
        <w:t xml:space="preserve"> and </w:t>
      </w:r>
      <w:proofErr w:type="spellStart"/>
      <w:r w:rsidRPr="00516200">
        <w:t>Haemophilus</w:t>
      </w:r>
      <w:proofErr w:type="spellEnd"/>
      <w:r w:rsidRPr="00516200">
        <w:t xml:space="preserve"> influenza</w:t>
      </w:r>
      <w:r w:rsidR="00D40352">
        <w:t>,</w:t>
      </w:r>
      <w:r w:rsidRPr="00516200">
        <w:t xml:space="preserve"> respectively.</w:t>
      </w:r>
      <w:r w:rsidR="00D40352">
        <w:rPr>
          <w:rStyle w:val="FootnoteReference"/>
        </w:rPr>
        <w:footnoteReference w:id="2"/>
      </w:r>
      <w:r w:rsidR="00293787">
        <w:t xml:space="preserve"> </w:t>
      </w:r>
      <w:r w:rsidRPr="00516200">
        <w:t xml:space="preserve">Other common pathogens include Streptococcus </w:t>
      </w:r>
      <w:proofErr w:type="spellStart"/>
      <w:r w:rsidRPr="00516200">
        <w:t>pneumoniae</w:t>
      </w:r>
      <w:proofErr w:type="spellEnd"/>
      <w:r w:rsidRPr="00516200">
        <w:t xml:space="preserve"> and Moraxella</w:t>
      </w:r>
      <w:r w:rsidR="00A51B95">
        <w:t xml:space="preserve"> </w:t>
      </w:r>
      <w:r w:rsidRPr="00516200">
        <w:t xml:space="preserve">species, but Neisseria species, </w:t>
      </w:r>
      <w:proofErr w:type="spellStart"/>
      <w:r w:rsidRPr="00516200">
        <w:t>Corynebacterium</w:t>
      </w:r>
      <w:proofErr w:type="spellEnd"/>
      <w:r w:rsidRPr="00516200">
        <w:t xml:space="preserve"> species, and other Streptococcus species</w:t>
      </w:r>
      <w:r w:rsidR="00A51B95">
        <w:t xml:space="preserve"> </w:t>
      </w:r>
      <w:r w:rsidRPr="00516200">
        <w:t>also may cause bacterial conjunctivitis. As treatment of bacterial conjunctivitis is usually based on the likely causative pathogens, it is usual to treat empirically before the culture results are known. Bacterial conjunctivitis is commonly caused by both gram positive &amp; negative organisms and as such, empiric treatment should have good activity against the likely culprits.</w:t>
      </w:r>
    </w:p>
    <w:p w:rsidR="00516200" w:rsidRPr="00516200" w:rsidRDefault="00516200" w:rsidP="006C7F6A">
      <w:r w:rsidRPr="00516200">
        <w:t>The</w:t>
      </w:r>
      <w:r w:rsidR="00A51B95">
        <w:t xml:space="preserve"> active ingredient of </w:t>
      </w:r>
      <w:proofErr w:type="spellStart"/>
      <w:r w:rsidR="00A51B95">
        <w:t>Besivance</w:t>
      </w:r>
      <w:proofErr w:type="spellEnd"/>
      <w:r w:rsidRPr="00516200">
        <w:t xml:space="preserve"> topical ophthalmic suspension is </w:t>
      </w:r>
      <w:proofErr w:type="spellStart"/>
      <w:r w:rsidRPr="00516200">
        <w:t>besifloxacin</w:t>
      </w:r>
      <w:proofErr w:type="spellEnd"/>
      <w:r w:rsidRPr="00516200">
        <w:t xml:space="preserve"> hydrochloride a </w:t>
      </w:r>
      <w:proofErr w:type="spellStart"/>
      <w:r w:rsidRPr="00516200">
        <w:t>fluoroquinolone</w:t>
      </w:r>
      <w:proofErr w:type="spellEnd"/>
      <w:r w:rsidRPr="00516200">
        <w:t xml:space="preserve"> antibiotic. Antibacterial action is achieved through the inhibition of both bacterial DNA </w:t>
      </w:r>
      <w:proofErr w:type="spellStart"/>
      <w:r w:rsidRPr="00516200">
        <w:t>gyrase</w:t>
      </w:r>
      <w:proofErr w:type="spellEnd"/>
      <w:r w:rsidRPr="00516200">
        <w:t xml:space="preserve"> and topoisomerase IV. The spectrum of activity includes all the most common gram</w:t>
      </w:r>
      <w:r w:rsidR="00F8210E">
        <w:t xml:space="preserve"> +</w:t>
      </w:r>
      <w:proofErr w:type="spellStart"/>
      <w:r w:rsidR="00F8210E">
        <w:t>ve</w:t>
      </w:r>
      <w:proofErr w:type="spellEnd"/>
      <w:r w:rsidR="00F8210E">
        <w:t xml:space="preserve"> and</w:t>
      </w:r>
      <w:r w:rsidRPr="00516200">
        <w:t xml:space="preserve"> -</w:t>
      </w:r>
      <w:proofErr w:type="spellStart"/>
      <w:r w:rsidRPr="00516200">
        <w:t>ve</w:t>
      </w:r>
      <w:proofErr w:type="spellEnd"/>
      <w:r w:rsidRPr="00516200">
        <w:t xml:space="preserve"> bacterial conjunctivitis-causing organisms. Several other quinolone topi</w:t>
      </w:r>
      <w:r w:rsidR="00D31787">
        <w:t>cal antibiotics are approved (</w:t>
      </w:r>
      <w:r w:rsidRPr="00516200">
        <w:t xml:space="preserve">not all in Australia) for this condition i.e. </w:t>
      </w:r>
      <w:proofErr w:type="spellStart"/>
      <w:r w:rsidRPr="00516200">
        <w:t>moxifloxacin</w:t>
      </w:r>
      <w:proofErr w:type="spellEnd"/>
      <w:r w:rsidRPr="00516200">
        <w:t xml:space="preserve">, ciprofloxacin, </w:t>
      </w:r>
      <w:proofErr w:type="spellStart"/>
      <w:r w:rsidRPr="00516200">
        <w:t>gatifloxacin</w:t>
      </w:r>
      <w:proofErr w:type="spellEnd"/>
      <w:r w:rsidRPr="00516200">
        <w:t xml:space="preserve">, </w:t>
      </w:r>
      <w:proofErr w:type="spellStart"/>
      <w:r w:rsidRPr="00516200">
        <w:t>ofloxacin</w:t>
      </w:r>
      <w:proofErr w:type="spellEnd"/>
      <w:r w:rsidRPr="00516200">
        <w:t xml:space="preserve">. In addition, other broad spectrum antibiotics in topical formulation i.e. azithromycin (macrolide) and tobramycin (aminoglycoside) are available. </w:t>
      </w:r>
      <w:proofErr w:type="spellStart"/>
      <w:r w:rsidRPr="00516200">
        <w:t>Besifloxacin</w:t>
      </w:r>
      <w:proofErr w:type="spellEnd"/>
      <w:r w:rsidRPr="00516200">
        <w:t xml:space="preserve"> has similar spectrum of activity and is at least as potent as the other topical quinolone antibiotics but with longer </w:t>
      </w:r>
      <w:proofErr w:type="spellStart"/>
      <w:r w:rsidRPr="00516200">
        <w:t>half life</w:t>
      </w:r>
      <w:proofErr w:type="spellEnd"/>
      <w:r w:rsidRPr="00516200">
        <w:t xml:space="preserve"> within the eye as the </w:t>
      </w:r>
      <w:proofErr w:type="spellStart"/>
      <w:r w:rsidR="008D0A29">
        <w:t>DuraSite</w:t>
      </w:r>
      <w:proofErr w:type="spellEnd"/>
      <w:r w:rsidRPr="00516200">
        <w:t xml:space="preserve"> delivery system increases retention in the eye and reduces loss caused by blinking and tearing. This means less frequent dosing (i.e. TID) than other agents. This factor is important in improving compliance with the net effect of improved efficacy and reduced risk of microbial resistance.</w:t>
      </w:r>
    </w:p>
    <w:p w:rsidR="00586F98" w:rsidRDefault="00586F98" w:rsidP="006C7F6A">
      <w:pPr>
        <w:pStyle w:val="Heading2"/>
        <w:rPr>
          <w:lang w:eastAsia="en-AU"/>
        </w:rPr>
      </w:pPr>
      <w:bookmarkStart w:id="11" w:name="_Toc382908444"/>
      <w:r>
        <w:rPr>
          <w:lang w:eastAsia="en-AU"/>
        </w:rPr>
        <w:t xml:space="preserve">Contents of </w:t>
      </w:r>
      <w:r w:rsidRPr="006C7F6A">
        <w:t>the</w:t>
      </w:r>
      <w:r>
        <w:rPr>
          <w:lang w:eastAsia="en-AU"/>
        </w:rPr>
        <w:t xml:space="preserve"> clinical dossier</w:t>
      </w:r>
      <w:bookmarkEnd w:id="8"/>
      <w:bookmarkEnd w:id="9"/>
      <w:bookmarkEnd w:id="11"/>
    </w:p>
    <w:p w:rsidR="00586F98" w:rsidRDefault="00586F98" w:rsidP="006C7F6A">
      <w:pPr>
        <w:pStyle w:val="Heading3"/>
      </w:pPr>
      <w:bookmarkStart w:id="12" w:name="_Toc382908445"/>
      <w:r>
        <w:t xml:space="preserve">Scope of the </w:t>
      </w:r>
      <w:r w:rsidRPr="006C7F6A">
        <w:t>clinical</w:t>
      </w:r>
      <w:r>
        <w:t xml:space="preserve"> dossier</w:t>
      </w:r>
      <w:bookmarkEnd w:id="12"/>
    </w:p>
    <w:p w:rsidR="00A51B95" w:rsidRPr="009D0886" w:rsidRDefault="00A51B95" w:rsidP="006C7F6A">
      <w:r w:rsidRPr="009D0886">
        <w:t>The clinical dosser documented a full clinical development program of pharmacolog</w:t>
      </w:r>
      <w:r w:rsidR="006C7F6A">
        <w:t>y, efficacy and safety studies.</w:t>
      </w:r>
    </w:p>
    <w:p w:rsidR="00A51B95" w:rsidRPr="009D0886" w:rsidRDefault="00A51B95" w:rsidP="006C7F6A">
      <w:r>
        <w:t>The clinical submission</w:t>
      </w:r>
      <w:r w:rsidRPr="009D0886">
        <w:t xml:space="preserve"> consisted of 67 double sided volumes, comprising 8 clinical pharmacology studies</w:t>
      </w:r>
      <w:r>
        <w:t xml:space="preserve"> </w:t>
      </w:r>
      <w:r w:rsidRPr="009D0886">
        <w:t>including 2 providing pharmacokinetic data (1 oc</w:t>
      </w:r>
      <w:r>
        <w:t xml:space="preserve">ular and 1 systemic PK studies), </w:t>
      </w:r>
      <w:r w:rsidRPr="009D0886">
        <w:t>3 p</w:t>
      </w:r>
      <w:r>
        <w:t xml:space="preserve">ivotal efficacy/safety studies, 3 other safety studies, </w:t>
      </w:r>
      <w:r w:rsidR="006C7F6A">
        <w:t>and relevant publications.</w:t>
      </w:r>
    </w:p>
    <w:p w:rsidR="00586F98" w:rsidRDefault="00586F98" w:rsidP="006C7F6A">
      <w:pPr>
        <w:pStyle w:val="Heading3"/>
      </w:pPr>
      <w:bookmarkStart w:id="13" w:name="_Toc382908446"/>
      <w:r>
        <w:t>Paediatric data</w:t>
      </w:r>
      <w:bookmarkEnd w:id="13"/>
    </w:p>
    <w:p w:rsidR="00586F98" w:rsidRPr="00154740" w:rsidRDefault="00154740" w:rsidP="006C7F6A">
      <w:r w:rsidRPr="00154740">
        <w:t>The submission includes paediatric efficacy and safety data although numbers of children enrolled were small, especially in those aged 1 year or older to &lt;2 years of age.</w:t>
      </w:r>
    </w:p>
    <w:p w:rsidR="00586F98" w:rsidRDefault="00586F98" w:rsidP="006C7F6A">
      <w:pPr>
        <w:pStyle w:val="Heading3"/>
      </w:pPr>
      <w:bookmarkStart w:id="14" w:name="_Toc382908447"/>
      <w:r>
        <w:lastRenderedPageBreak/>
        <w:t xml:space="preserve">Good clinical </w:t>
      </w:r>
      <w:r w:rsidRPr="006C7F6A">
        <w:t>practice</w:t>
      </w:r>
      <w:bookmarkEnd w:id="14"/>
    </w:p>
    <w:p w:rsidR="00586F98" w:rsidRPr="00154740" w:rsidRDefault="00154740" w:rsidP="006C7F6A">
      <w:r w:rsidRPr="00154740">
        <w:t>All studies were carried out by experienced investigators and in accordance with GCP guidelines. The protocols complied with the 1996 version of the Declaration of Helsinki and with the GCP guidelines in use at the study outset. Each study was reviewed and approved by an ethical review committee (ERC). Deficiencies were detected at a couple of sites and resulted in FDA inspections of 4 sites that had contributed large numbers of subjects (FDA PDUFA inspection) because of high rates of protocol violations; another 2 sites (</w:t>
      </w:r>
      <w:r w:rsidR="00C53A67">
        <w:t>[information redacted]</w:t>
      </w:r>
      <w:r w:rsidRPr="00154740">
        <w:t xml:space="preserve">) in Studies 433 and 434 underwent Cause/PDUFA inspections because these sites were terminated by the </w:t>
      </w:r>
      <w:r w:rsidR="00F74128">
        <w:t>s</w:t>
      </w:r>
      <w:r w:rsidRPr="00154740">
        <w:t>ponsor for continued ICH-GCP breaches. Overall, no harm came to subjects as consequence of protocol violations at the high enrolling sites and integrity of the safety and efficacy data was not affecte</w:t>
      </w:r>
      <w:r w:rsidR="0026657A">
        <w:t>d. When data from the early term</w:t>
      </w:r>
      <w:r w:rsidRPr="00154740">
        <w:t>inated sites was excluded, overall conclusions were not affected.</w:t>
      </w:r>
    </w:p>
    <w:p w:rsidR="00586F98" w:rsidRDefault="00586F98" w:rsidP="006C7F6A">
      <w:pPr>
        <w:pStyle w:val="Heading2"/>
      </w:pPr>
      <w:bookmarkStart w:id="15" w:name="_Toc355338639"/>
      <w:bookmarkStart w:id="16" w:name="_Toc382908448"/>
      <w:r>
        <w:t>Pharmacokinetics</w:t>
      </w:r>
      <w:bookmarkEnd w:id="15"/>
      <w:bookmarkEnd w:id="16"/>
    </w:p>
    <w:p w:rsidR="00253838" w:rsidRPr="00253838" w:rsidRDefault="00253838" w:rsidP="006C7F6A">
      <w:r w:rsidRPr="00253838">
        <w:t xml:space="preserve">The </w:t>
      </w:r>
      <w:proofErr w:type="spellStart"/>
      <w:r w:rsidRPr="00253838">
        <w:t>bioanalytical</w:t>
      </w:r>
      <w:proofErr w:type="spellEnd"/>
      <w:r w:rsidRPr="00253838">
        <w:t xml:space="preserve"> methodology utilized for the quantitation of </w:t>
      </w:r>
      <w:proofErr w:type="spellStart"/>
      <w:r w:rsidRPr="00253838">
        <w:t>besifloxacin</w:t>
      </w:r>
      <w:proofErr w:type="spellEnd"/>
      <w:r w:rsidRPr="00253838">
        <w:t xml:space="preserve"> concentrations in animal ocular tissues and plasma consisted of specific HPLC assays coupled with ultraviolet (LC/UV) or mass spectrometry (LC/MS or LC/MS/MS) detection. Validated methods were developed for the quantitation of </w:t>
      </w:r>
      <w:proofErr w:type="spellStart"/>
      <w:r w:rsidRPr="00253838">
        <w:t>besifloxacin</w:t>
      </w:r>
      <w:proofErr w:type="spellEnd"/>
      <w:r w:rsidRPr="00253838">
        <w:t xml:space="preserve"> in mouse, rat, rabbit, and dog plasma, as well as rabbit ocular tissues. All of the </w:t>
      </w:r>
      <w:proofErr w:type="spellStart"/>
      <w:r w:rsidRPr="00253838">
        <w:t>bioanalytical</w:t>
      </w:r>
      <w:proofErr w:type="spellEnd"/>
      <w:r w:rsidRPr="00253838">
        <w:t xml:space="preserve"> methods used for the determination of </w:t>
      </w:r>
      <w:proofErr w:type="spellStart"/>
      <w:r w:rsidRPr="00253838">
        <w:t>besifloxacin</w:t>
      </w:r>
      <w:proofErr w:type="spellEnd"/>
      <w:r w:rsidRPr="00253838">
        <w:t xml:space="preserve"> concentrations in various biological matrices in support of GLP toxicology studies were validated in accordance with the FDA guidance on </w:t>
      </w:r>
      <w:proofErr w:type="spellStart"/>
      <w:r w:rsidRPr="00253838">
        <w:t>bioanalytic</w:t>
      </w:r>
      <w:r w:rsidR="00B6041B">
        <w:t>al</w:t>
      </w:r>
      <w:proofErr w:type="spellEnd"/>
      <w:r w:rsidR="00B6041B">
        <w:t xml:space="preserve"> method validation</w:t>
      </w:r>
      <w:r w:rsidRPr="00253838">
        <w:t>.</w:t>
      </w:r>
      <w:r w:rsidR="00B6041B">
        <w:rPr>
          <w:rStyle w:val="FootnoteReference"/>
        </w:rPr>
        <w:footnoteReference w:id="3"/>
      </w:r>
      <w:r w:rsidRPr="00253838">
        <w:t xml:space="preserve"> Subsequently, a validated high performance LC-MS/MS method for the determination of </w:t>
      </w:r>
      <w:proofErr w:type="spellStart"/>
      <w:r w:rsidRPr="00253838">
        <w:t>besifloxacin</w:t>
      </w:r>
      <w:proofErr w:type="spellEnd"/>
      <w:r w:rsidRPr="00253838">
        <w:t xml:space="preserve"> in human tears (collected on </w:t>
      </w:r>
      <w:proofErr w:type="spellStart"/>
      <w:r w:rsidRPr="00253838">
        <w:t>Schirmer</w:t>
      </w:r>
      <w:proofErr w:type="spellEnd"/>
      <w:r w:rsidRPr="00253838">
        <w:t xml:space="preserve"> tear test strips and quantitated after elution using appropriate buffer and </w:t>
      </w:r>
      <w:proofErr w:type="spellStart"/>
      <w:r w:rsidRPr="00253838">
        <w:t>aliquoting</w:t>
      </w:r>
      <w:proofErr w:type="spellEnd"/>
      <w:r w:rsidRPr="00253838">
        <w:t>) was developed and utilised in t</w:t>
      </w:r>
      <w:r w:rsidR="006C7F6A">
        <w:t>he human trials of the agent.</w:t>
      </w:r>
    </w:p>
    <w:p w:rsidR="00253838" w:rsidRDefault="00253838" w:rsidP="006C7F6A">
      <w:r w:rsidRPr="00253838">
        <w:t xml:space="preserve">The antimicrobial spectrum of </w:t>
      </w:r>
      <w:proofErr w:type="spellStart"/>
      <w:r w:rsidRPr="00253838">
        <w:t>besifloxacin</w:t>
      </w:r>
      <w:proofErr w:type="spellEnd"/>
      <w:r w:rsidRPr="00253838">
        <w:t xml:space="preserve"> was then evaluated against a variety of clinical isolates in nine studies conducted in the US and Japan using standard CLSI reference methods. The </w:t>
      </w:r>
      <w:r w:rsidRPr="005422D8">
        <w:rPr>
          <w:i/>
        </w:rPr>
        <w:t>in vitro</w:t>
      </w:r>
      <w:r w:rsidRPr="00253838">
        <w:t xml:space="preserve"> assessment of </w:t>
      </w:r>
      <w:proofErr w:type="spellStart"/>
      <w:r w:rsidRPr="00253838">
        <w:t>besifloxacin</w:t>
      </w:r>
      <w:proofErr w:type="spellEnd"/>
      <w:r w:rsidRPr="00253838">
        <w:t xml:space="preserve"> activity focused on the target pathogens associated with bacterial conjunctivitis. </w:t>
      </w:r>
      <w:proofErr w:type="spellStart"/>
      <w:r w:rsidRPr="00253838">
        <w:t>Besifloxacin</w:t>
      </w:r>
      <w:proofErr w:type="spellEnd"/>
      <w:r w:rsidRPr="00253838">
        <w:t xml:space="preserve"> and comparator drugs were tested against a wide spectrum of aerob</w:t>
      </w:r>
      <w:r w:rsidR="009A31DE">
        <w:t>ic and anaerobic gram +</w:t>
      </w:r>
      <w:proofErr w:type="spellStart"/>
      <w:r w:rsidR="009A31DE">
        <w:t>ve</w:t>
      </w:r>
      <w:proofErr w:type="spellEnd"/>
      <w:r w:rsidR="009A31DE">
        <w:t xml:space="preserve"> &amp; -</w:t>
      </w:r>
      <w:proofErr w:type="spellStart"/>
      <w:r w:rsidR="009A31DE">
        <w:t>ve</w:t>
      </w:r>
      <w:proofErr w:type="spellEnd"/>
      <w:r w:rsidRPr="00253838">
        <w:t xml:space="preserve"> bacteria. Some studies focused specifically on isolates of ophthalmologic origin while others focused on dr</w:t>
      </w:r>
      <w:r w:rsidR="009A31DE">
        <w:t xml:space="preserve">ug resistant strains. Overall, </w:t>
      </w:r>
      <w:proofErr w:type="spellStart"/>
      <w:r w:rsidRPr="00253838">
        <w:t>besifloxacin</w:t>
      </w:r>
      <w:proofErr w:type="spellEnd"/>
      <w:r w:rsidRPr="00253838">
        <w:t xml:space="preserve"> has potent antibacterial activity against a very broad spectrum of bacteria, including all species commonly isolated from those with bacterial conjunctivitis i.e. Streptococcus sp., Staphylococcus sp., </w:t>
      </w:r>
      <w:proofErr w:type="spellStart"/>
      <w:r w:rsidRPr="00253838">
        <w:t>Haemophilus</w:t>
      </w:r>
      <w:proofErr w:type="spellEnd"/>
      <w:r w:rsidRPr="00253838">
        <w:t xml:space="preserve"> sp., </w:t>
      </w:r>
      <w:proofErr w:type="spellStart"/>
      <w:r w:rsidRPr="00253838">
        <w:t>Corynebacterium</w:t>
      </w:r>
      <w:proofErr w:type="spellEnd"/>
      <w:r w:rsidRPr="00253838">
        <w:t xml:space="preserve"> sp., and Moraxella sp. The antibacterial potency of </w:t>
      </w:r>
      <w:proofErr w:type="spellStart"/>
      <w:r w:rsidRPr="00253838">
        <w:t>besifloxacin</w:t>
      </w:r>
      <w:proofErr w:type="spellEnd"/>
      <w:r w:rsidRPr="00253838">
        <w:t xml:space="preserve"> was similar to or greater than </w:t>
      </w:r>
      <w:proofErr w:type="spellStart"/>
      <w:r w:rsidRPr="00253838">
        <w:t>fluoroquinolone</w:t>
      </w:r>
      <w:proofErr w:type="spellEnd"/>
      <w:r w:rsidRPr="00253838">
        <w:t xml:space="preserve"> and non- </w:t>
      </w:r>
      <w:proofErr w:type="spellStart"/>
      <w:r w:rsidRPr="00253838">
        <w:t>fluoroquinolone</w:t>
      </w:r>
      <w:proofErr w:type="spellEnd"/>
      <w:r w:rsidRPr="00253838">
        <w:t xml:space="preserve"> comparator </w:t>
      </w:r>
      <w:proofErr w:type="spellStart"/>
      <w:r w:rsidRPr="00253838">
        <w:t>antibacterials</w:t>
      </w:r>
      <w:proofErr w:type="spellEnd"/>
      <w:r w:rsidRPr="00253838">
        <w:t xml:space="preserve">. The PK/PD data for the relevant target conjunctivitis-causing organisms is described further </w:t>
      </w:r>
      <w:r w:rsidR="009A31DE">
        <w:t>in Table 1</w:t>
      </w:r>
      <w:r w:rsidR="006C7F6A">
        <w:t>.</w:t>
      </w:r>
    </w:p>
    <w:p w:rsidR="009A31DE" w:rsidRDefault="009A31DE" w:rsidP="00F6439F">
      <w:pPr>
        <w:pStyle w:val="TableTitle"/>
      </w:pPr>
      <w:proofErr w:type="gramStart"/>
      <w:r>
        <w:lastRenderedPageBreak/>
        <w:t>Table 1:</w:t>
      </w:r>
      <w:r w:rsidRPr="004C5C28">
        <w:t xml:space="preserve"> </w:t>
      </w:r>
      <w:r w:rsidR="00443F2C">
        <w:t xml:space="preserve">Activity of </w:t>
      </w:r>
      <w:proofErr w:type="spellStart"/>
      <w:r w:rsidR="00443F2C">
        <w:t>Besivance</w:t>
      </w:r>
      <w:proofErr w:type="spellEnd"/>
      <w:r w:rsidR="00443F2C" w:rsidRPr="00443F2C">
        <w:t xml:space="preserve"> against isolates from </w:t>
      </w:r>
      <w:proofErr w:type="spellStart"/>
      <w:r w:rsidR="00443F2C" w:rsidRPr="00443F2C">
        <w:t>Besivance</w:t>
      </w:r>
      <w:proofErr w:type="spellEnd"/>
      <w:r w:rsidR="00443F2C" w:rsidRPr="00443F2C">
        <w:t xml:space="preserve"> Clinical Studies</w:t>
      </w:r>
      <w:r>
        <w:t>.</w:t>
      </w:r>
      <w:proofErr w:type="gramEnd"/>
    </w:p>
    <w:p w:rsidR="009A31DE" w:rsidRPr="00253838" w:rsidRDefault="00367786" w:rsidP="00F6439F">
      <w:r>
        <w:rPr>
          <w:noProof/>
          <w:lang w:eastAsia="en-AU"/>
        </w:rPr>
        <w:drawing>
          <wp:inline distT="0" distB="0" distL="0" distR="0" wp14:anchorId="05B0635F" wp14:editId="5AE0EA95">
            <wp:extent cx="5727700" cy="3337560"/>
            <wp:effectExtent l="0" t="0" r="6350" b="0"/>
            <wp:docPr id="5" name="Picture 2" descr="Table 1: Activity of Besivance against isolates from Besivance Clinical Stu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ble 1: Activity of Besivance against isolates from Besivance Clinical Studie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700" cy="3337560"/>
                    </a:xfrm>
                    <a:prstGeom prst="rect">
                      <a:avLst/>
                    </a:prstGeom>
                    <a:noFill/>
                    <a:ln>
                      <a:noFill/>
                    </a:ln>
                  </pic:spPr>
                </pic:pic>
              </a:graphicData>
            </a:graphic>
          </wp:inline>
        </w:drawing>
      </w:r>
    </w:p>
    <w:p w:rsidR="00253838" w:rsidRPr="005C2B74" w:rsidRDefault="00253838" w:rsidP="00F6439F">
      <w:pPr>
        <w:pStyle w:val="Heading3"/>
      </w:pPr>
      <w:bookmarkStart w:id="17" w:name="_Ref271017296"/>
      <w:bookmarkStart w:id="18" w:name="_Ref271018924"/>
      <w:bookmarkStart w:id="19" w:name="_Ref271018934"/>
      <w:bookmarkStart w:id="20" w:name="_Toc272414614"/>
      <w:bookmarkStart w:id="21" w:name="_Toc290888464"/>
      <w:bookmarkStart w:id="22" w:name="_Toc353192453"/>
      <w:bookmarkStart w:id="23" w:name="_Toc382908449"/>
      <w:r w:rsidRPr="005C2B74">
        <w:t>Studies</w:t>
      </w:r>
      <w:bookmarkEnd w:id="17"/>
      <w:bookmarkEnd w:id="18"/>
      <w:bookmarkEnd w:id="19"/>
      <w:r w:rsidRPr="005C2B74">
        <w:t xml:space="preserve"> providing pharmacokinetic data</w:t>
      </w:r>
      <w:bookmarkEnd w:id="20"/>
      <w:bookmarkEnd w:id="21"/>
      <w:bookmarkEnd w:id="22"/>
      <w:bookmarkEnd w:id="23"/>
    </w:p>
    <w:p w:rsidR="00253838" w:rsidRPr="00253838" w:rsidRDefault="00253838" w:rsidP="00F6439F">
      <w:r w:rsidRPr="00253838">
        <w:t>None of the PK studies had deficiencies that excluded th</w:t>
      </w:r>
      <w:r w:rsidR="00F6439F">
        <w:t>eir results from consideration.</w:t>
      </w:r>
    </w:p>
    <w:p w:rsidR="00253838" w:rsidRPr="005C2B74" w:rsidRDefault="00253838" w:rsidP="00F6439F">
      <w:pPr>
        <w:pStyle w:val="Heading3"/>
      </w:pPr>
      <w:bookmarkStart w:id="24" w:name="_Ref269118175"/>
      <w:bookmarkStart w:id="25" w:name="_Toc272414616"/>
      <w:bookmarkStart w:id="26" w:name="_Toc290888465"/>
      <w:bookmarkStart w:id="27" w:name="_Toc353192454"/>
      <w:bookmarkStart w:id="28" w:name="_Toc382908450"/>
      <w:r w:rsidRPr="005C2B74">
        <w:t>Summary of pharmacokinetics</w:t>
      </w:r>
      <w:bookmarkEnd w:id="24"/>
      <w:bookmarkEnd w:id="25"/>
      <w:bookmarkEnd w:id="26"/>
      <w:bookmarkEnd w:id="27"/>
      <w:bookmarkEnd w:id="28"/>
    </w:p>
    <w:p w:rsidR="00253838" w:rsidRPr="00253838" w:rsidRDefault="00253838" w:rsidP="00F6439F">
      <w:r w:rsidRPr="00253838">
        <w:t>The information in the following summary is derive</w:t>
      </w:r>
      <w:r w:rsidR="00F6439F">
        <w:t>d from conventional PK studies.</w:t>
      </w:r>
    </w:p>
    <w:p w:rsidR="00253838" w:rsidRPr="005C2B74" w:rsidRDefault="00253838" w:rsidP="00F6439F">
      <w:pPr>
        <w:pStyle w:val="Heading4"/>
      </w:pPr>
      <w:bookmarkStart w:id="29" w:name="_Toc272414617"/>
      <w:bookmarkStart w:id="30" w:name="_Toc290888466"/>
      <w:bookmarkStart w:id="31" w:name="_Toc353192455"/>
      <w:r w:rsidRPr="005C2B74">
        <w:t>Physicochemical characteristics of the active substance</w:t>
      </w:r>
      <w:bookmarkEnd w:id="29"/>
      <w:bookmarkEnd w:id="30"/>
      <w:bookmarkEnd w:id="31"/>
    </w:p>
    <w:p w:rsidR="00253838" w:rsidRPr="00253838" w:rsidRDefault="00253838" w:rsidP="00F6439F">
      <w:r w:rsidRPr="00253838">
        <w:t xml:space="preserve">Chemical name: 3-quinolinecarboxylic acid,7-[(3R)-3-aminohexahydro-1H-azepin-1-yl]-8-chloro-1-cyclopropyl-6-fluoro-1,4- dihydro-4-oxo-, </w:t>
      </w:r>
      <w:proofErr w:type="spellStart"/>
      <w:r w:rsidRPr="00253838">
        <w:t>monohydrochloride</w:t>
      </w:r>
      <w:proofErr w:type="spellEnd"/>
      <w:r w:rsidRPr="00253838">
        <w:t>. Molecular formula: C19H21ClFN3O3</w:t>
      </w:r>
      <w:r w:rsidRPr="00253838">
        <w:sym w:font="Symbol" w:char="F0B7"/>
      </w:r>
      <w:proofErr w:type="spellStart"/>
      <w:r w:rsidRPr="00253838">
        <w:t>H</w:t>
      </w:r>
      <w:r w:rsidR="00F6439F">
        <w:t>Cl</w:t>
      </w:r>
      <w:proofErr w:type="spellEnd"/>
      <w:r w:rsidR="00F6439F">
        <w:t>; molecular weight of 430.30.</w:t>
      </w:r>
    </w:p>
    <w:p w:rsidR="00253838" w:rsidRPr="00253838" w:rsidRDefault="00253838" w:rsidP="00F6439F">
      <w:proofErr w:type="spellStart"/>
      <w:r w:rsidRPr="00253838">
        <w:t>Besifloxacin</w:t>
      </w:r>
      <w:proofErr w:type="spellEnd"/>
      <w:r w:rsidRPr="00253838">
        <w:t xml:space="preserve"> hydrochloride is a white to pale yellowish-white powder. </w:t>
      </w:r>
      <w:proofErr w:type="spellStart"/>
      <w:r w:rsidRPr="00253838">
        <w:t>Besivance</w:t>
      </w:r>
      <w:proofErr w:type="spellEnd"/>
      <w:r w:rsidRPr="00253838">
        <w:t xml:space="preserve"> 0.6% is a sterile ophthalmic suspension of </w:t>
      </w:r>
      <w:proofErr w:type="spellStart"/>
      <w:r w:rsidRPr="00253838">
        <w:t>besifloxacin</w:t>
      </w:r>
      <w:proofErr w:type="spellEnd"/>
      <w:r w:rsidRPr="00253838">
        <w:t xml:space="preserve">. This is an isotonic suspension with </w:t>
      </w:r>
      <w:proofErr w:type="spellStart"/>
      <w:r w:rsidRPr="00253838">
        <w:t>osmoloality</w:t>
      </w:r>
      <w:proofErr w:type="spellEnd"/>
      <w:r w:rsidRPr="00253838">
        <w:t xml:space="preserve"> </w:t>
      </w:r>
      <w:proofErr w:type="gramStart"/>
      <w:r w:rsidRPr="00253838">
        <w:t>of 290</w:t>
      </w:r>
      <w:r w:rsidR="0056777B">
        <w:t xml:space="preserve"> </w:t>
      </w:r>
      <w:proofErr w:type="spellStart"/>
      <w:r w:rsidR="0056777B">
        <w:t>mOsm</w:t>
      </w:r>
      <w:proofErr w:type="spellEnd"/>
      <w:r w:rsidR="0056777B">
        <w:t>/Kg.</w:t>
      </w:r>
      <w:proofErr w:type="gramEnd"/>
      <w:r w:rsidR="0056777B">
        <w:t xml:space="preserve"> Each mL of </w:t>
      </w:r>
      <w:proofErr w:type="spellStart"/>
      <w:r w:rsidR="0056777B">
        <w:t>Besivance</w:t>
      </w:r>
      <w:proofErr w:type="spellEnd"/>
      <w:r w:rsidRPr="00253838">
        <w:t xml:space="preserve"> contains 6.63mg </w:t>
      </w:r>
      <w:proofErr w:type="spellStart"/>
      <w:r w:rsidRPr="00253838">
        <w:t>besifloxacin</w:t>
      </w:r>
      <w:proofErr w:type="spellEnd"/>
      <w:r w:rsidRPr="00253838">
        <w:t xml:space="preserve"> hydrochloride equivalent to 6mg </w:t>
      </w:r>
      <w:proofErr w:type="spellStart"/>
      <w:r w:rsidRPr="00253838">
        <w:t>besifloxacin</w:t>
      </w:r>
      <w:proofErr w:type="spellEnd"/>
      <w:r w:rsidRPr="00253838">
        <w:t xml:space="preserve"> base. </w:t>
      </w:r>
      <w:proofErr w:type="spellStart"/>
      <w:r w:rsidRPr="00253838">
        <w:t>Besifloxacin</w:t>
      </w:r>
      <w:proofErr w:type="spellEnd"/>
      <w:r w:rsidRPr="00253838">
        <w:t xml:space="preserve"> may exist as the racemic mixture of the R- (+) and S- (-) isomers; the active pharmaceutical ingredient for the proposed ophthalmic product is the R-enantiomer with a limit of S-enantiomer of no more than 0.5% w/w. Both enantiomers possess antibacterial activity. The compound is an 8-chloro </w:t>
      </w:r>
      <w:proofErr w:type="spellStart"/>
      <w:r w:rsidRPr="00253838">
        <w:t>fluoroquinolone</w:t>
      </w:r>
      <w:proofErr w:type="spellEnd"/>
      <w:r w:rsidRPr="00253838">
        <w:t xml:space="preserve"> for topical use and has broad-spectrum activity against </w:t>
      </w:r>
      <w:r w:rsidR="00F6439F">
        <w:t>aerobic and anaerobic bacteria.</w:t>
      </w:r>
    </w:p>
    <w:p w:rsidR="00253838" w:rsidRPr="005C2B74" w:rsidRDefault="00253838" w:rsidP="00F6439F">
      <w:pPr>
        <w:pStyle w:val="Heading4"/>
      </w:pPr>
      <w:bookmarkStart w:id="32" w:name="_Ref271189106"/>
      <w:bookmarkStart w:id="33" w:name="_Ref271189143"/>
      <w:bookmarkStart w:id="34" w:name="_Toc272414618"/>
      <w:bookmarkStart w:id="35" w:name="_Toc290888467"/>
      <w:bookmarkStart w:id="36" w:name="_Toc353192456"/>
      <w:r w:rsidRPr="005C2B74">
        <w:t>Pharmacokinetics in healthy subjects</w:t>
      </w:r>
      <w:bookmarkEnd w:id="32"/>
      <w:bookmarkEnd w:id="33"/>
      <w:bookmarkEnd w:id="34"/>
      <w:bookmarkEnd w:id="35"/>
      <w:bookmarkEnd w:id="36"/>
    </w:p>
    <w:p w:rsidR="00253838" w:rsidRPr="00253838" w:rsidRDefault="00253838" w:rsidP="00F6439F">
      <w:r w:rsidRPr="00253838">
        <w:t xml:space="preserve">Binding of </w:t>
      </w:r>
      <w:proofErr w:type="spellStart"/>
      <w:r w:rsidRPr="00253838">
        <w:t>besifloxacin</w:t>
      </w:r>
      <w:proofErr w:type="spellEnd"/>
      <w:r w:rsidRPr="00253838">
        <w:t xml:space="preserve"> to plasma proteins is &lt;50% in humans; </w:t>
      </w:r>
      <w:proofErr w:type="spellStart"/>
      <w:r w:rsidRPr="00253838">
        <w:t>besifloxacin</w:t>
      </w:r>
      <w:proofErr w:type="spellEnd"/>
      <w:r w:rsidRPr="00253838">
        <w:t xml:space="preserve"> is not associated with extensive distribution into blood cells. </w:t>
      </w:r>
      <w:proofErr w:type="spellStart"/>
      <w:r w:rsidRPr="00253838">
        <w:t>Besifloxacin</w:t>
      </w:r>
      <w:proofErr w:type="spellEnd"/>
      <w:r w:rsidRPr="00253838">
        <w:t xml:space="preserve"> is eliminated from ocular tissues with an apparent half-life of &gt;5 h for most ocular tissues. To the extent that </w:t>
      </w:r>
      <w:proofErr w:type="spellStart"/>
      <w:r w:rsidRPr="00253838">
        <w:t>besifloxacin</w:t>
      </w:r>
      <w:proofErr w:type="spellEnd"/>
      <w:r w:rsidRPr="00253838">
        <w:t xml:space="preserve"> reaches the systemic circulation, it distributes at low levels into most tissues undergoing minimal metabolism; eliminated primarily unchanged in urine and faeces.</w:t>
      </w:r>
    </w:p>
    <w:p w:rsidR="00253838" w:rsidRPr="00253838" w:rsidRDefault="00253838" w:rsidP="00F6439F">
      <w:r w:rsidRPr="00253838">
        <w:t xml:space="preserve">Study 424, a phase 1 ocular PK study demonstrated that single dose </w:t>
      </w:r>
      <w:proofErr w:type="spellStart"/>
      <w:r w:rsidRPr="00253838">
        <w:t>besifloxacin</w:t>
      </w:r>
      <w:proofErr w:type="spellEnd"/>
      <w:r w:rsidRPr="00253838">
        <w:t xml:space="preserve"> ophthalmic suspension 0.6% afforded high </w:t>
      </w:r>
      <w:proofErr w:type="spellStart"/>
      <w:r w:rsidRPr="00253838">
        <w:t>besifloxacin</w:t>
      </w:r>
      <w:proofErr w:type="spellEnd"/>
      <w:r w:rsidRPr="00253838">
        <w:t xml:space="preserve"> levels (</w:t>
      </w:r>
      <w:proofErr w:type="spellStart"/>
      <w:r w:rsidRPr="00253838">
        <w:t>Cmax</w:t>
      </w:r>
      <w:proofErr w:type="spellEnd"/>
      <w:r w:rsidRPr="00253838">
        <w:t xml:space="preserve"> of 610 ± 540 </w:t>
      </w:r>
      <w:proofErr w:type="spellStart"/>
      <w:r w:rsidRPr="00253838">
        <w:t>μg</w:t>
      </w:r>
      <w:proofErr w:type="spellEnd"/>
      <w:r w:rsidRPr="00253838">
        <w:t xml:space="preserve">/g) in tears that were sustained above1.6 </w:t>
      </w:r>
      <w:proofErr w:type="spellStart"/>
      <w:r w:rsidRPr="00253838">
        <w:t>μg</w:t>
      </w:r>
      <w:proofErr w:type="spellEnd"/>
      <w:r w:rsidRPr="00253838">
        <w:t xml:space="preserve">/g, on average, for at least 24 h. Total exposure to </w:t>
      </w:r>
      <w:proofErr w:type="spellStart"/>
      <w:r w:rsidRPr="00253838">
        <w:t>besifloxacin</w:t>
      </w:r>
      <w:proofErr w:type="spellEnd"/>
      <w:r w:rsidRPr="00253838">
        <w:t xml:space="preserve"> in tears </w:t>
      </w:r>
      <w:r w:rsidRPr="00253838">
        <w:lastRenderedPageBreak/>
        <w:t xml:space="preserve">after single dose, based on AUC24 was 1232 </w:t>
      </w:r>
      <w:proofErr w:type="spellStart"/>
      <w:r w:rsidRPr="00253838">
        <w:t>μg</w:t>
      </w:r>
      <w:proofErr w:type="spellEnd"/>
      <w:r w:rsidRPr="00253838">
        <w:t xml:space="preserve">*h/g. Elimination of </w:t>
      </w:r>
      <w:proofErr w:type="spellStart"/>
      <w:r w:rsidRPr="00253838">
        <w:t>besifloxacin</w:t>
      </w:r>
      <w:proofErr w:type="spellEnd"/>
      <w:r w:rsidRPr="00253838">
        <w:t xml:space="preserve"> from tears occurred with an estimated half-life of 3.</w:t>
      </w:r>
      <w:r w:rsidR="0056777B">
        <w:t>4 h. Based on the observed concentratio</w:t>
      </w:r>
      <w:r w:rsidRPr="00253838">
        <w:t xml:space="preserve">n of </w:t>
      </w:r>
      <w:proofErr w:type="spellStart"/>
      <w:r w:rsidRPr="00253838">
        <w:t>besifloxacin</w:t>
      </w:r>
      <w:proofErr w:type="spellEnd"/>
      <w:r w:rsidRPr="00253838">
        <w:t xml:space="preserve"> in human tears at 24 h (1.60 </w:t>
      </w:r>
      <w:proofErr w:type="spellStart"/>
      <w:r w:rsidRPr="00253838">
        <w:t>μg</w:t>
      </w:r>
      <w:proofErr w:type="spellEnd"/>
      <w:r w:rsidRPr="00253838">
        <w:t xml:space="preserve">/g) and observed elimination rate constant (0.20 h-1), </w:t>
      </w:r>
      <w:proofErr w:type="spellStart"/>
      <w:r w:rsidRPr="00253838">
        <w:t>besifloxacin</w:t>
      </w:r>
      <w:proofErr w:type="spellEnd"/>
      <w:r w:rsidRPr="00253838">
        <w:t xml:space="preserve"> concentrations in human tears would be predicted to decrease to &lt;LLOQ of the </w:t>
      </w:r>
      <w:proofErr w:type="spellStart"/>
      <w:r w:rsidRPr="00253838">
        <w:t>bioanalytical</w:t>
      </w:r>
      <w:proofErr w:type="spellEnd"/>
      <w:r w:rsidRPr="00253838">
        <w:t xml:space="preserve"> assay (0.2 </w:t>
      </w:r>
      <w:proofErr w:type="spellStart"/>
      <w:r w:rsidRPr="00253838">
        <w:t>μg</w:t>
      </w:r>
      <w:proofErr w:type="spellEnd"/>
      <w:r w:rsidRPr="00253838">
        <w:t>/g) approximately 34 h after last dose.</w:t>
      </w:r>
    </w:p>
    <w:p w:rsidR="00253838" w:rsidRPr="005C2B74" w:rsidRDefault="00253838" w:rsidP="00F6439F">
      <w:pPr>
        <w:pStyle w:val="Heading5"/>
      </w:pPr>
      <w:bookmarkStart w:id="37" w:name="_Toc272414619"/>
      <w:bookmarkStart w:id="38" w:name="_Toc290888468"/>
      <w:bookmarkStart w:id="39" w:name="_Toc353192457"/>
      <w:r w:rsidRPr="005C2B74">
        <w:t>Absorption</w:t>
      </w:r>
      <w:bookmarkEnd w:id="37"/>
      <w:bookmarkEnd w:id="38"/>
      <w:bookmarkEnd w:id="39"/>
    </w:p>
    <w:p w:rsidR="00253838" w:rsidRPr="005C2B74" w:rsidRDefault="00253838" w:rsidP="00F6439F">
      <w:pPr>
        <w:pStyle w:val="Heading6"/>
      </w:pPr>
      <w:r w:rsidRPr="005C2B74">
        <w:t>Sites and mechanisms of absorption</w:t>
      </w:r>
    </w:p>
    <w:p w:rsidR="00253838" w:rsidRPr="00253838" w:rsidRDefault="00253838" w:rsidP="00F6439F">
      <w:r w:rsidRPr="00253838">
        <w:t xml:space="preserve">Study C-02-403-001 showed bilateral ocular administration of </w:t>
      </w:r>
      <w:proofErr w:type="spellStart"/>
      <w:r w:rsidRPr="00253838">
        <w:t>besifloxacin</w:t>
      </w:r>
      <w:proofErr w:type="spellEnd"/>
      <w:r w:rsidRPr="00253838">
        <w:t xml:space="preserve"> ophthalmic suspension (0.3% and 0.6%) QID for 7 days in healthy volunteers resulted in minimal systemic exposure. Plasma </w:t>
      </w:r>
      <w:proofErr w:type="spellStart"/>
      <w:r w:rsidRPr="00253838">
        <w:t>besifloxacin</w:t>
      </w:r>
      <w:proofErr w:type="spellEnd"/>
      <w:r w:rsidRPr="00253838">
        <w:t xml:space="preserve"> levels observ</w:t>
      </w:r>
      <w:r w:rsidR="00F6439F">
        <w:t xml:space="preserve">ed were on average &lt;0.35 </w:t>
      </w:r>
      <w:proofErr w:type="spellStart"/>
      <w:r w:rsidR="00F6439F">
        <w:t>ng</w:t>
      </w:r>
      <w:proofErr w:type="spellEnd"/>
      <w:r w:rsidR="00F6439F">
        <w:t>/</w:t>
      </w:r>
      <w:proofErr w:type="spellStart"/>
      <w:r w:rsidR="00F6439F">
        <w:t>mL.</w:t>
      </w:r>
      <w:proofErr w:type="spellEnd"/>
    </w:p>
    <w:p w:rsidR="00253838" w:rsidRPr="00253838" w:rsidRDefault="00253838" w:rsidP="00F6439F">
      <w:r w:rsidRPr="00253838">
        <w:t xml:space="preserve">Several studies have evaluated the impact of various formulation factors on ocular PK of </w:t>
      </w:r>
      <w:proofErr w:type="spellStart"/>
      <w:r w:rsidRPr="00253838">
        <w:t>besifloxacin</w:t>
      </w:r>
      <w:proofErr w:type="spellEnd"/>
      <w:r w:rsidRPr="00253838">
        <w:t xml:space="preserve">. Results demonstrate that ocular exposure to </w:t>
      </w:r>
      <w:proofErr w:type="spellStart"/>
      <w:r w:rsidRPr="00253838">
        <w:t>besifloxacin</w:t>
      </w:r>
      <w:proofErr w:type="spellEnd"/>
      <w:r w:rsidRPr="00253838">
        <w:t xml:space="preserve"> is dose-related over the range from 0.1% to 0.6%; moreover, the </w:t>
      </w:r>
      <w:proofErr w:type="spellStart"/>
      <w:r w:rsidRPr="00253838">
        <w:t>DuraSite</w:t>
      </w:r>
      <w:proofErr w:type="spellEnd"/>
      <w:r w:rsidRPr="00253838">
        <w:t xml:space="preserve"> vehicle enhances the absorption of </w:t>
      </w:r>
      <w:proofErr w:type="spellStart"/>
      <w:r w:rsidRPr="00253838">
        <w:t>besifloxacin</w:t>
      </w:r>
      <w:proofErr w:type="spellEnd"/>
      <w:r w:rsidRPr="00253838">
        <w:t xml:space="preserve"> into intact cornea following a single topical administration. Variability in the </w:t>
      </w:r>
      <w:proofErr w:type="spellStart"/>
      <w:r w:rsidRPr="00253838">
        <w:t>besifloxacin</w:t>
      </w:r>
      <w:proofErr w:type="spellEnd"/>
      <w:r w:rsidRPr="00253838">
        <w:t xml:space="preserve"> particle size in the ophthalmic suspension was </w:t>
      </w:r>
      <w:r w:rsidRPr="00253838">
        <w:rPr>
          <w:b/>
        </w:rPr>
        <w:t>not found</w:t>
      </w:r>
      <w:r w:rsidRPr="00253838">
        <w:t xml:space="preserve"> to be a critical factor in its absorption, at least over a relevant, but relatively n</w:t>
      </w:r>
      <w:r w:rsidR="00F6439F">
        <w:t>arrow, range of particle sizes.</w:t>
      </w:r>
    </w:p>
    <w:p w:rsidR="00253838" w:rsidRPr="00253838" w:rsidRDefault="00253838" w:rsidP="00F6439F">
      <w:r w:rsidRPr="00253838">
        <w:t xml:space="preserve">Although the rabbit was selected as the primary species for ocular PK studies, the ocular PK of </w:t>
      </w:r>
      <w:proofErr w:type="spellStart"/>
      <w:r w:rsidRPr="00253838">
        <w:t>besifloxacin</w:t>
      </w:r>
      <w:proofErr w:type="spellEnd"/>
      <w:r w:rsidRPr="00253838">
        <w:t xml:space="preserve"> was evaluated and found comparable in </w:t>
      </w:r>
      <w:proofErr w:type="spellStart"/>
      <w:r w:rsidRPr="00253838">
        <w:t>cynomolgus</w:t>
      </w:r>
      <w:proofErr w:type="spellEnd"/>
      <w:r w:rsidRPr="00253838">
        <w:t xml:space="preserve"> monkeys following a single topical ocular administration of 0.6%. Low systemic exposure was observed in rabbits and monkeys, with maximal concentrations of 7.6 and </w:t>
      </w:r>
      <w:proofErr w:type="gramStart"/>
      <w:r w:rsidRPr="00253838">
        <w:t xml:space="preserve">9.2 </w:t>
      </w:r>
      <w:proofErr w:type="spellStart"/>
      <w:r w:rsidRPr="00253838">
        <w:t>ng</w:t>
      </w:r>
      <w:proofErr w:type="spellEnd"/>
      <w:r w:rsidRPr="00253838">
        <w:t>/mL, respectively,</w:t>
      </w:r>
      <w:proofErr w:type="gramEnd"/>
      <w:r w:rsidRPr="00253838">
        <w:t xml:space="preserve"> after single topical instillation. Following repeated topical administration (BID and TID for 4 days)</w:t>
      </w:r>
      <w:proofErr w:type="gramStart"/>
      <w:r w:rsidRPr="00253838">
        <w:t>,</w:t>
      </w:r>
      <w:proofErr w:type="gramEnd"/>
      <w:r w:rsidRPr="00253838">
        <w:t xml:space="preserve"> ocular and systemic exposure to </w:t>
      </w:r>
      <w:proofErr w:type="spellStart"/>
      <w:r w:rsidRPr="00253838">
        <w:t>besifloxacin</w:t>
      </w:r>
      <w:proofErr w:type="spellEnd"/>
      <w:r w:rsidRPr="00253838">
        <w:t xml:space="preserve"> was similar following the last daily dose on day 1 and day 4. No substantial accumulation observed after BID or TID dosing. Results of the 424 ocular PK study in humans are detailed above.</w:t>
      </w:r>
    </w:p>
    <w:p w:rsidR="00253838" w:rsidRPr="005C2B74" w:rsidRDefault="00253838" w:rsidP="00F6439F">
      <w:pPr>
        <w:pStyle w:val="Heading5"/>
      </w:pPr>
      <w:bookmarkStart w:id="40" w:name="_Toc241374287"/>
      <w:bookmarkStart w:id="41" w:name="_Toc272414620"/>
      <w:bookmarkStart w:id="42" w:name="_Toc290888469"/>
      <w:bookmarkStart w:id="43" w:name="_Toc353192458"/>
      <w:r w:rsidRPr="005C2B74">
        <w:t>Bioavailability</w:t>
      </w:r>
      <w:bookmarkEnd w:id="40"/>
      <w:bookmarkEnd w:id="41"/>
      <w:bookmarkEnd w:id="42"/>
      <w:bookmarkEnd w:id="43"/>
    </w:p>
    <w:p w:rsidR="00253838" w:rsidRPr="00DC51E5" w:rsidRDefault="00253838" w:rsidP="00F6439F">
      <w:pPr>
        <w:pStyle w:val="Heading6"/>
      </w:pPr>
      <w:r w:rsidRPr="00DC51E5">
        <w:t>Absolute bioavailability</w:t>
      </w:r>
    </w:p>
    <w:p w:rsidR="00253838" w:rsidRPr="00253838" w:rsidRDefault="00253838" w:rsidP="00F6439F">
      <w:r w:rsidRPr="00253838">
        <w:t>No bioavailability study was included in the application. This product is for ocular use and is intended to act without systemic absorption. A fu</w:t>
      </w:r>
      <w:r>
        <w:t>ll justification was provided</w:t>
      </w:r>
      <w:r w:rsidRPr="00253838">
        <w:t>.</w:t>
      </w:r>
    </w:p>
    <w:p w:rsidR="00253838" w:rsidRPr="00253838" w:rsidRDefault="00253838" w:rsidP="00F6439F">
      <w:pPr>
        <w:pStyle w:val="Heading6"/>
      </w:pPr>
      <w:r w:rsidRPr="00253838">
        <w:t xml:space="preserve">Bioavailability relative to an oral solution or </w:t>
      </w:r>
      <w:proofErr w:type="spellStart"/>
      <w:r w:rsidRPr="00253838">
        <w:t>micronised</w:t>
      </w:r>
      <w:proofErr w:type="spellEnd"/>
      <w:r w:rsidRPr="00253838">
        <w:t xml:space="preserve"> </w:t>
      </w:r>
      <w:r w:rsidRPr="00F6439F">
        <w:t>suspension</w:t>
      </w:r>
    </w:p>
    <w:p w:rsidR="00253838" w:rsidRPr="00253838" w:rsidRDefault="00253838" w:rsidP="00F6439F">
      <w:r w:rsidRPr="00253838">
        <w:t>Not applicable, topical agent.</w:t>
      </w:r>
    </w:p>
    <w:p w:rsidR="00253838" w:rsidRPr="005C2B74" w:rsidRDefault="00253838" w:rsidP="00F6439F">
      <w:pPr>
        <w:pStyle w:val="Heading6"/>
      </w:pPr>
      <w:r w:rsidRPr="005C2B74">
        <w:t>Bioequivalence of clinical trial and market formulations</w:t>
      </w:r>
    </w:p>
    <w:p w:rsidR="00253838" w:rsidRPr="00253838" w:rsidRDefault="00902668" w:rsidP="00F6439F">
      <w:r>
        <w:t>D</w:t>
      </w:r>
      <w:r w:rsidR="00253838" w:rsidRPr="00253838">
        <w:t>etails of formulation development and t</w:t>
      </w:r>
      <w:r w:rsidR="007C2D51">
        <w:t>he commercialised product were provided.</w:t>
      </w:r>
    </w:p>
    <w:p w:rsidR="00253838" w:rsidRPr="005C2B74" w:rsidRDefault="00253838" w:rsidP="00F6439F">
      <w:pPr>
        <w:pStyle w:val="Heading6"/>
      </w:pPr>
      <w:r w:rsidRPr="005C2B74">
        <w:t>Bioequivalence of different dosage forms and strengths</w:t>
      </w:r>
    </w:p>
    <w:p w:rsidR="00253838" w:rsidRPr="005C2B74" w:rsidRDefault="00253838" w:rsidP="00F6439F">
      <w:r>
        <w:t>Not applicable.</w:t>
      </w:r>
    </w:p>
    <w:p w:rsidR="00253838" w:rsidRPr="005C2B74" w:rsidRDefault="00253838" w:rsidP="00F6439F">
      <w:pPr>
        <w:pStyle w:val="Heading6"/>
      </w:pPr>
      <w:r w:rsidRPr="005C2B74">
        <w:t>Bioequivalence to relevant registered products</w:t>
      </w:r>
    </w:p>
    <w:p w:rsidR="00253838" w:rsidRPr="00253838" w:rsidRDefault="00F6439F" w:rsidP="00F6439F">
      <w:r>
        <w:t>Not applicable.</w:t>
      </w:r>
    </w:p>
    <w:p w:rsidR="00253838" w:rsidRPr="005C2B74" w:rsidRDefault="00253838" w:rsidP="00F6439F">
      <w:pPr>
        <w:pStyle w:val="Heading6"/>
      </w:pPr>
      <w:r w:rsidRPr="005C2B74">
        <w:t>Influence of food</w:t>
      </w:r>
    </w:p>
    <w:p w:rsidR="00253838" w:rsidRDefault="00253838" w:rsidP="00F6439F">
      <w:r w:rsidRPr="005C2B74">
        <w:t>Not applicable, topical agent.</w:t>
      </w:r>
    </w:p>
    <w:p w:rsidR="00253838" w:rsidRPr="005C2B74" w:rsidRDefault="00253838" w:rsidP="00F6439F">
      <w:pPr>
        <w:pStyle w:val="Heading6"/>
      </w:pPr>
      <w:r w:rsidRPr="005C2B74">
        <w:t>Dose proportionality</w:t>
      </w:r>
    </w:p>
    <w:p w:rsidR="00253838" w:rsidRPr="00253838" w:rsidRDefault="00253838" w:rsidP="00F6439F">
      <w:r w:rsidRPr="00253838">
        <w:t>Not applicable.</w:t>
      </w:r>
    </w:p>
    <w:p w:rsidR="00253838" w:rsidRPr="005C2B74" w:rsidRDefault="00253838" w:rsidP="00F6439F">
      <w:pPr>
        <w:pStyle w:val="Heading6"/>
      </w:pPr>
      <w:r w:rsidRPr="005C2B74">
        <w:t>Bioavailability during multiple-dosing</w:t>
      </w:r>
    </w:p>
    <w:p w:rsidR="00253838" w:rsidRPr="00253838" w:rsidRDefault="00253838" w:rsidP="00F6439F">
      <w:r w:rsidRPr="00253838">
        <w:t>Not applicable.</w:t>
      </w:r>
    </w:p>
    <w:p w:rsidR="00253838" w:rsidRPr="005C2B74" w:rsidRDefault="00253838" w:rsidP="00F6439F">
      <w:pPr>
        <w:pStyle w:val="Heading6"/>
      </w:pPr>
      <w:r w:rsidRPr="005C2B74">
        <w:lastRenderedPageBreak/>
        <w:t xml:space="preserve">Effect of </w:t>
      </w:r>
      <w:r w:rsidRPr="00F6439F">
        <w:t>administration</w:t>
      </w:r>
      <w:r w:rsidRPr="005C2B74">
        <w:t xml:space="preserve"> timing</w:t>
      </w:r>
    </w:p>
    <w:p w:rsidR="00253838" w:rsidRPr="00253838" w:rsidRDefault="00253838" w:rsidP="00F6439F">
      <w:r w:rsidRPr="00253838">
        <w:t>Not applicable.</w:t>
      </w:r>
    </w:p>
    <w:p w:rsidR="00253838" w:rsidRPr="005C2B74" w:rsidRDefault="00253838" w:rsidP="00F6439F">
      <w:pPr>
        <w:pStyle w:val="Heading5"/>
      </w:pPr>
      <w:bookmarkStart w:id="44" w:name="_Toc241374288"/>
      <w:bookmarkStart w:id="45" w:name="_Toc272414621"/>
      <w:bookmarkStart w:id="46" w:name="_Toc290888470"/>
      <w:bookmarkStart w:id="47" w:name="_Toc353192459"/>
      <w:r w:rsidRPr="005C2B74">
        <w:t>Distribution</w:t>
      </w:r>
      <w:bookmarkEnd w:id="44"/>
      <w:bookmarkEnd w:id="45"/>
      <w:bookmarkEnd w:id="46"/>
      <w:bookmarkEnd w:id="47"/>
    </w:p>
    <w:p w:rsidR="00253838" w:rsidRPr="00253838" w:rsidRDefault="00253838" w:rsidP="00F6439F">
      <w:r w:rsidRPr="00253838">
        <w:t xml:space="preserve">Formal distribution and excretion studies have not been conducted in humans. Plasma concentration monitoring after multiple dosing demonstrate low systemic exposure to </w:t>
      </w:r>
      <w:proofErr w:type="spellStart"/>
      <w:r w:rsidR="005F7E47">
        <w:t>besifloxacin</w:t>
      </w:r>
      <w:proofErr w:type="spellEnd"/>
      <w:r w:rsidR="005F7E47">
        <w:t>, with maximum concentratio</w:t>
      </w:r>
      <w:r w:rsidRPr="00253838">
        <w:t xml:space="preserve">ns of &lt;0.5 </w:t>
      </w:r>
      <w:proofErr w:type="spellStart"/>
      <w:r w:rsidRPr="00253838">
        <w:t>ng</w:t>
      </w:r>
      <w:proofErr w:type="spellEnd"/>
      <w:r w:rsidRPr="00253838">
        <w:t>/</w:t>
      </w:r>
      <w:proofErr w:type="spellStart"/>
      <w:r w:rsidRPr="00253838">
        <w:t>mL.</w:t>
      </w:r>
      <w:proofErr w:type="spellEnd"/>
      <w:r w:rsidR="005422D8">
        <w:t xml:space="preserve"> </w:t>
      </w:r>
      <w:r w:rsidRPr="00253838">
        <w:t xml:space="preserve">Of note, absorption of </w:t>
      </w:r>
      <w:proofErr w:type="spellStart"/>
      <w:r w:rsidRPr="00253838">
        <w:t>besifloxacin</w:t>
      </w:r>
      <w:proofErr w:type="spellEnd"/>
      <w:r w:rsidRPr="00253838">
        <w:t xml:space="preserve"> into the systemic circulation and the distribution of </w:t>
      </w:r>
      <w:proofErr w:type="spellStart"/>
      <w:r w:rsidRPr="00253838">
        <w:t>besifloxacin</w:t>
      </w:r>
      <w:proofErr w:type="spellEnd"/>
      <w:r w:rsidRPr="00253838">
        <w:t xml:space="preserve"> into non-ocular tissues was studied following single and repeated instillations (QID for 5 days) of [14C</w:t>
      </w:r>
      <w:proofErr w:type="gramStart"/>
      <w:r w:rsidRPr="00253838">
        <w:t>]</w:t>
      </w:r>
      <w:proofErr w:type="spellStart"/>
      <w:r w:rsidRPr="00253838">
        <w:t>besifloxacin</w:t>
      </w:r>
      <w:proofErr w:type="spellEnd"/>
      <w:proofErr w:type="gramEnd"/>
      <w:r w:rsidRPr="00253838">
        <w:t xml:space="preserve"> to pigmented rabbits. Afte</w:t>
      </w:r>
      <w:r w:rsidR="00512BC9">
        <w:t>r single dose, the highest concentratio</w:t>
      </w:r>
      <w:r w:rsidRPr="00253838">
        <w:t xml:space="preserve">ns of radioactivity in the treated eye were observed in bulbar and palpebral conjunctivae, </w:t>
      </w:r>
      <w:proofErr w:type="spellStart"/>
      <w:r w:rsidRPr="00253838">
        <w:t>extraocular</w:t>
      </w:r>
      <w:proofErr w:type="spellEnd"/>
      <w:r w:rsidRPr="00253838">
        <w:t xml:space="preserve"> muscles, sclera, and cornea. For non-ocular tissues, the highest levels of radioactivity were observed in kidney, urinary bladder, and GI tract. QID administration was associated with low systemic exposure (</w:t>
      </w:r>
      <w:proofErr w:type="spellStart"/>
      <w:r w:rsidRPr="00253838">
        <w:t>Cmax</w:t>
      </w:r>
      <w:proofErr w:type="spellEnd"/>
      <w:r w:rsidRPr="00253838">
        <w:t xml:space="preserve"> &lt;0.025 </w:t>
      </w:r>
      <w:proofErr w:type="spellStart"/>
      <w:r w:rsidRPr="00253838">
        <w:t>μg</w:t>
      </w:r>
      <w:proofErr w:type="spellEnd"/>
      <w:r w:rsidRPr="00253838">
        <w:t xml:space="preserve">/g in all non-excretory organs), though exposure in most tissues was higher following QID dosing vs. single dose. The apparent increase in exposure with QID dosing was most prevalent in pigmented ocular tissues. The prolonged retention of </w:t>
      </w:r>
      <w:proofErr w:type="spellStart"/>
      <w:r w:rsidRPr="00253838">
        <w:t>besifloxacin</w:t>
      </w:r>
      <w:proofErr w:type="spellEnd"/>
      <w:r w:rsidRPr="00253838">
        <w:t xml:space="preserve"> in pigmented tissues suggested that this compound binds to melanin, a characteristic shared by other </w:t>
      </w:r>
      <w:proofErr w:type="spellStart"/>
      <w:r w:rsidRPr="00253838">
        <w:t>fluoroquinolones</w:t>
      </w:r>
      <w:proofErr w:type="spellEnd"/>
      <w:r w:rsidR="00604CC9">
        <w:t>.</w:t>
      </w:r>
      <w:r w:rsidR="00604CC9">
        <w:rPr>
          <w:rStyle w:val="FootnoteReference"/>
        </w:rPr>
        <w:footnoteReference w:id="4"/>
      </w:r>
      <w:r w:rsidR="00604CC9">
        <w:t xml:space="preserve"> </w:t>
      </w:r>
      <w:r w:rsidRPr="00253838">
        <w:t xml:space="preserve">No consistent sex-related differences in the ocular and systemic distribution of </w:t>
      </w:r>
      <w:proofErr w:type="spellStart"/>
      <w:r w:rsidRPr="00253838">
        <w:t>besifloxacin</w:t>
      </w:r>
      <w:proofErr w:type="spellEnd"/>
      <w:r w:rsidRPr="00253838">
        <w:t xml:space="preserve"> observed. The systemic distribution of </w:t>
      </w:r>
      <w:proofErr w:type="spellStart"/>
      <w:r w:rsidRPr="00253838">
        <w:t>besifloxacin</w:t>
      </w:r>
      <w:proofErr w:type="spellEnd"/>
      <w:r w:rsidRPr="00253838">
        <w:t xml:space="preserve"> was evaluated after oral administration of [14C</w:t>
      </w:r>
      <w:proofErr w:type="gramStart"/>
      <w:r w:rsidRPr="00253838">
        <w:t>]</w:t>
      </w:r>
      <w:proofErr w:type="spellStart"/>
      <w:r w:rsidRPr="00253838">
        <w:t>besifloxacin</w:t>
      </w:r>
      <w:proofErr w:type="spellEnd"/>
      <w:proofErr w:type="gramEnd"/>
      <w:r w:rsidRPr="00253838">
        <w:t xml:space="preserve"> to rats and showed </w:t>
      </w:r>
      <w:proofErr w:type="spellStart"/>
      <w:r w:rsidRPr="00253838">
        <w:t>besifloxacin</w:t>
      </w:r>
      <w:proofErr w:type="spellEnd"/>
      <w:r w:rsidRPr="00253838">
        <w:t xml:space="preserve"> is widely distributed into most tissues in </w:t>
      </w:r>
      <w:r w:rsidR="00604CC9">
        <w:t>the body, with the highest concentratio</w:t>
      </w:r>
      <w:r w:rsidRPr="00253838">
        <w:t>ns obser</w:t>
      </w:r>
      <w:r w:rsidR="00F6439F">
        <w:t>ved in excretory organs.</w:t>
      </w:r>
    </w:p>
    <w:p w:rsidR="00253838" w:rsidRPr="005C2B74" w:rsidRDefault="00253838" w:rsidP="00F6439F">
      <w:pPr>
        <w:pStyle w:val="Heading6"/>
      </w:pPr>
      <w:r w:rsidRPr="005C2B74">
        <w:t>Volume of distribution</w:t>
      </w:r>
    </w:p>
    <w:p w:rsidR="00253838" w:rsidRPr="00D927DA" w:rsidRDefault="00253838" w:rsidP="00F6439F">
      <w:r w:rsidRPr="00D927DA">
        <w:rPr>
          <w:i/>
        </w:rPr>
        <w:t>In vitro</w:t>
      </w:r>
      <w:r w:rsidR="00D1045B">
        <w:t xml:space="preserve">, </w:t>
      </w:r>
      <w:proofErr w:type="spellStart"/>
      <w:r w:rsidR="00D1045B">
        <w:t>besifloxacin</w:t>
      </w:r>
      <w:proofErr w:type="spellEnd"/>
      <w:r w:rsidR="00D1045B">
        <w:t xml:space="preserve"> is ~30-33% and ~</w:t>
      </w:r>
      <w:r w:rsidRPr="00D927DA">
        <w:t xml:space="preserve">39-44% proteins bound in rat and human plasma respectively. </w:t>
      </w:r>
      <w:proofErr w:type="spellStart"/>
      <w:r w:rsidRPr="00D927DA">
        <w:t>Besifloxacin</w:t>
      </w:r>
      <w:proofErr w:type="spellEnd"/>
      <w:r w:rsidRPr="00D927DA">
        <w:t xml:space="preserve"> was approximately evenly distributed between plasma and the cellular components of rat and human blood indicating low bind</w:t>
      </w:r>
      <w:r w:rsidR="00F6439F">
        <w:t>ing to proteins or blood cells.</w:t>
      </w:r>
    </w:p>
    <w:p w:rsidR="00253838" w:rsidRPr="005C2B74" w:rsidRDefault="00253838" w:rsidP="00F6439F">
      <w:pPr>
        <w:pStyle w:val="Heading6"/>
      </w:pPr>
      <w:r w:rsidRPr="005C2B74">
        <w:t>Plasma protein binding</w:t>
      </w:r>
    </w:p>
    <w:p w:rsidR="00253838" w:rsidRPr="00D927DA" w:rsidRDefault="00253838" w:rsidP="00F6439F">
      <w:proofErr w:type="gramStart"/>
      <w:r w:rsidRPr="00D927DA">
        <w:t>&lt;50% in rats and humans.</w:t>
      </w:r>
      <w:proofErr w:type="gramEnd"/>
      <w:r w:rsidRPr="00D927DA">
        <w:t xml:space="preserve"> However, systemic absorption of this topical antibiotic is minimal.</w:t>
      </w:r>
    </w:p>
    <w:p w:rsidR="00253838" w:rsidRPr="005C2B74" w:rsidRDefault="00253838" w:rsidP="00F6439F">
      <w:pPr>
        <w:pStyle w:val="Heading6"/>
      </w:pPr>
      <w:r w:rsidRPr="005C2B74">
        <w:t>Erythrocyte distribution</w:t>
      </w:r>
    </w:p>
    <w:p w:rsidR="00253838" w:rsidRPr="00D927DA" w:rsidRDefault="00F6439F" w:rsidP="00F6439F">
      <w:proofErr w:type="gramStart"/>
      <w:r>
        <w:t>Nil.</w:t>
      </w:r>
      <w:proofErr w:type="gramEnd"/>
    </w:p>
    <w:p w:rsidR="00253838" w:rsidRPr="005C2B74" w:rsidRDefault="00253838" w:rsidP="00F6439F">
      <w:pPr>
        <w:pStyle w:val="Heading6"/>
      </w:pPr>
      <w:r w:rsidRPr="005C2B74">
        <w:t>Tissue distribution</w:t>
      </w:r>
    </w:p>
    <w:p w:rsidR="00253838" w:rsidRPr="00D927DA" w:rsidRDefault="00253838" w:rsidP="00F6439F">
      <w:r w:rsidRPr="00D927DA">
        <w:t>Not studied in humans.</w:t>
      </w:r>
    </w:p>
    <w:p w:rsidR="00253838" w:rsidRPr="005C2B74" w:rsidRDefault="00253838" w:rsidP="00F6439F">
      <w:pPr>
        <w:pStyle w:val="Heading5"/>
      </w:pPr>
      <w:bookmarkStart w:id="48" w:name="_Toc272414622"/>
      <w:bookmarkStart w:id="49" w:name="_Toc290888471"/>
      <w:bookmarkStart w:id="50" w:name="_Toc353192460"/>
      <w:r w:rsidRPr="005C2B74">
        <w:t>Metabolism</w:t>
      </w:r>
      <w:bookmarkEnd w:id="48"/>
      <w:bookmarkEnd w:id="49"/>
      <w:bookmarkEnd w:id="50"/>
    </w:p>
    <w:p w:rsidR="00253838" w:rsidRPr="005C2B74" w:rsidRDefault="00253838" w:rsidP="00F6439F">
      <w:pPr>
        <w:pStyle w:val="Heading6"/>
      </w:pPr>
      <w:proofErr w:type="spellStart"/>
      <w:r w:rsidRPr="005C2B74">
        <w:t>Interconversion</w:t>
      </w:r>
      <w:proofErr w:type="spellEnd"/>
      <w:r w:rsidRPr="005C2B74">
        <w:t xml:space="preserve"> between enantiomers</w:t>
      </w:r>
    </w:p>
    <w:p w:rsidR="00253838" w:rsidRPr="00D927DA" w:rsidRDefault="00253838" w:rsidP="00F6439F">
      <w:r w:rsidRPr="00D927DA">
        <w:t>Not studied in humans, both enantiomers have antimicrobial activity.</w:t>
      </w:r>
    </w:p>
    <w:p w:rsidR="00253838" w:rsidRPr="005C2B74" w:rsidRDefault="00253838" w:rsidP="00F6439F">
      <w:pPr>
        <w:pStyle w:val="Heading6"/>
      </w:pPr>
      <w:r w:rsidRPr="005C2B74">
        <w:t>Sites of metabolism and mechanisms / enzyme systems involved</w:t>
      </w:r>
    </w:p>
    <w:p w:rsidR="00253838" w:rsidRPr="00D927DA" w:rsidRDefault="00253838" w:rsidP="00F6439F">
      <w:r w:rsidRPr="00D927DA">
        <w:t xml:space="preserve">Results from </w:t>
      </w:r>
      <w:r w:rsidRPr="00990BDF">
        <w:rPr>
          <w:i/>
        </w:rPr>
        <w:t>in vitro</w:t>
      </w:r>
      <w:r w:rsidRPr="00D927DA">
        <w:t xml:space="preserve"> and </w:t>
      </w:r>
      <w:r w:rsidRPr="00D927DA">
        <w:rPr>
          <w:i/>
        </w:rPr>
        <w:t>in vivo</w:t>
      </w:r>
      <w:r w:rsidRPr="00D927DA">
        <w:t xml:space="preserve"> studies demonstrate </w:t>
      </w:r>
      <w:proofErr w:type="spellStart"/>
      <w:r w:rsidRPr="00D927DA">
        <w:t>besifloxacin</w:t>
      </w:r>
      <w:proofErr w:type="spellEnd"/>
      <w:r w:rsidRPr="00D927DA">
        <w:t xml:space="preserve"> is metabolically stable, with little or no chiral </w:t>
      </w:r>
      <w:proofErr w:type="spellStart"/>
      <w:r w:rsidRPr="00D927DA">
        <w:t>interconversion</w:t>
      </w:r>
      <w:proofErr w:type="spellEnd"/>
      <w:r w:rsidRPr="00D927DA">
        <w:t xml:space="preserve"> to the (-) enantiomer. Following </w:t>
      </w:r>
      <w:r w:rsidRPr="005422D8">
        <w:rPr>
          <w:i/>
        </w:rPr>
        <w:t>in vitro</w:t>
      </w:r>
      <w:r w:rsidRPr="00D927DA">
        <w:t xml:space="preserve"> incubation with</w:t>
      </w:r>
      <w:r w:rsidR="00D927DA">
        <w:t xml:space="preserve"> </w:t>
      </w:r>
      <w:r w:rsidRPr="00D927DA">
        <w:t xml:space="preserve">hepatocytes, 8 metabolites were observed and putative structures were proposed, however, the relative amount of each metabolite was small and overall extent of metabolism very low. </w:t>
      </w:r>
      <w:r w:rsidRPr="00D927DA">
        <w:rPr>
          <w:i/>
        </w:rPr>
        <w:t>In vivo</w:t>
      </w:r>
      <w:r w:rsidRPr="00D927DA">
        <w:t xml:space="preserve">, </w:t>
      </w:r>
      <w:r w:rsidRPr="00D927DA">
        <w:rPr>
          <w:b/>
        </w:rPr>
        <w:lastRenderedPageBreak/>
        <w:t>unchanged</w:t>
      </w:r>
      <w:r w:rsidRPr="00D927DA">
        <w:t xml:space="preserve"> </w:t>
      </w:r>
      <w:proofErr w:type="spellStart"/>
      <w:r w:rsidRPr="00D927DA">
        <w:t>besifloxacin</w:t>
      </w:r>
      <w:proofErr w:type="spellEnd"/>
      <w:r w:rsidRPr="00D927DA">
        <w:t xml:space="preserve"> accounted for the majority of radioactivity in plasma, urine and faeces after oral administration to rats. Three metabolites were observed by TLC analysis in plasma and a single metabolite was observed in urine and faeces. Each metabolite accounted for &lt;10% of the radioactivity in any of the </w:t>
      </w:r>
      <w:r w:rsidRPr="006349C5">
        <w:rPr>
          <w:i/>
        </w:rPr>
        <w:t>in vivo</w:t>
      </w:r>
      <w:r w:rsidRPr="00D927DA">
        <w:t xml:space="preserve"> samples collected. Because of the very low levels of metabolites observed in nonclinical studies, monitoring of metabolites in clinical studies was deemed unnecessary.</w:t>
      </w:r>
    </w:p>
    <w:p w:rsidR="00253838" w:rsidRPr="005C2B74" w:rsidRDefault="00253838" w:rsidP="00F6439F">
      <w:pPr>
        <w:pStyle w:val="Heading6"/>
      </w:pPr>
      <w:r w:rsidRPr="005C2B74">
        <w:t>Non-</w:t>
      </w:r>
      <w:r w:rsidRPr="00F6439F">
        <w:t>renal</w:t>
      </w:r>
      <w:r w:rsidRPr="005C2B74">
        <w:t xml:space="preserve"> clearance</w:t>
      </w:r>
    </w:p>
    <w:p w:rsidR="00253838" w:rsidRPr="00D927DA" w:rsidRDefault="00253838" w:rsidP="00F6439F">
      <w:r w:rsidRPr="00D927DA">
        <w:t>Not applicable.</w:t>
      </w:r>
    </w:p>
    <w:p w:rsidR="00253838" w:rsidRPr="005C2B74" w:rsidRDefault="00253838" w:rsidP="00F6439F">
      <w:pPr>
        <w:pStyle w:val="Heading6"/>
      </w:pPr>
      <w:r w:rsidRPr="00F6439F">
        <w:t>Metabolites</w:t>
      </w:r>
      <w:r w:rsidRPr="005C2B74">
        <w:t xml:space="preserve"> identified in humans</w:t>
      </w:r>
    </w:p>
    <w:p w:rsidR="00253838" w:rsidRPr="005C2B74" w:rsidRDefault="00253838" w:rsidP="00F6439F">
      <w:pPr>
        <w:pStyle w:val="Heading7"/>
      </w:pPr>
      <w:r w:rsidRPr="00F6439F">
        <w:t>Active</w:t>
      </w:r>
      <w:r w:rsidRPr="005C2B74">
        <w:t xml:space="preserve"> metabolites</w:t>
      </w:r>
    </w:p>
    <w:p w:rsidR="00253838" w:rsidRPr="00D927DA" w:rsidRDefault="00253838" w:rsidP="00F6439F">
      <w:r w:rsidRPr="00D927DA">
        <w:t>Not studied in humans.</w:t>
      </w:r>
    </w:p>
    <w:p w:rsidR="00253838" w:rsidRPr="005C2B74" w:rsidRDefault="00253838" w:rsidP="00F6439F">
      <w:pPr>
        <w:pStyle w:val="Heading7"/>
      </w:pPr>
      <w:r w:rsidRPr="00F6439F">
        <w:t>Other</w:t>
      </w:r>
      <w:r w:rsidRPr="005C2B74">
        <w:t xml:space="preserve"> metabolites</w:t>
      </w:r>
    </w:p>
    <w:p w:rsidR="00253838" w:rsidRPr="00D927DA" w:rsidRDefault="00253838" w:rsidP="00F6439F">
      <w:r w:rsidRPr="00D927DA">
        <w:t>Not applicable.</w:t>
      </w:r>
    </w:p>
    <w:p w:rsidR="00253838" w:rsidRPr="005C2B74" w:rsidRDefault="00253838" w:rsidP="00F6439F">
      <w:pPr>
        <w:pStyle w:val="Heading6"/>
      </w:pPr>
      <w:r w:rsidRPr="00F6439F">
        <w:t>Pharmacokinetics</w:t>
      </w:r>
      <w:r w:rsidRPr="005C2B74">
        <w:t xml:space="preserve"> of metabolites</w:t>
      </w:r>
    </w:p>
    <w:p w:rsidR="00253838" w:rsidRPr="00D927DA" w:rsidRDefault="00253838" w:rsidP="00F6439F">
      <w:r w:rsidRPr="00D927DA">
        <w:t>Not studied in humans.</w:t>
      </w:r>
    </w:p>
    <w:p w:rsidR="00253838" w:rsidRPr="005C2B74" w:rsidRDefault="00253838" w:rsidP="00F6439F">
      <w:pPr>
        <w:pStyle w:val="Heading6"/>
      </w:pPr>
      <w:r w:rsidRPr="00F6439F">
        <w:t>Consequences</w:t>
      </w:r>
      <w:r w:rsidRPr="005C2B74">
        <w:t xml:space="preserve"> of genetic polymorphism</w:t>
      </w:r>
    </w:p>
    <w:p w:rsidR="00253838" w:rsidRPr="00D927DA" w:rsidRDefault="00253838" w:rsidP="00F6439F">
      <w:r w:rsidRPr="00D927DA">
        <w:t>Not applicable.</w:t>
      </w:r>
    </w:p>
    <w:p w:rsidR="00253838" w:rsidRPr="005C2B74" w:rsidRDefault="00253838" w:rsidP="00F6439F">
      <w:pPr>
        <w:pStyle w:val="Heading5"/>
      </w:pPr>
      <w:bookmarkStart w:id="51" w:name="_Toc241374289"/>
      <w:bookmarkStart w:id="52" w:name="_Toc272414623"/>
      <w:bookmarkStart w:id="53" w:name="_Toc290888472"/>
      <w:bookmarkStart w:id="54" w:name="_Toc353192461"/>
      <w:r w:rsidRPr="00F6439F">
        <w:t>E</w:t>
      </w:r>
      <w:bookmarkEnd w:id="51"/>
      <w:r w:rsidRPr="00F6439F">
        <w:t>xcretion</w:t>
      </w:r>
      <w:bookmarkEnd w:id="52"/>
      <w:bookmarkEnd w:id="53"/>
      <w:bookmarkEnd w:id="54"/>
    </w:p>
    <w:p w:rsidR="00253838" w:rsidRPr="005C2B74" w:rsidRDefault="00253838" w:rsidP="00F6439F">
      <w:pPr>
        <w:pStyle w:val="Heading6"/>
      </w:pPr>
      <w:r w:rsidRPr="00F6439F">
        <w:t>Routes</w:t>
      </w:r>
      <w:r w:rsidRPr="005C2B74">
        <w:t xml:space="preserve"> and mechanisms of excretion</w:t>
      </w:r>
    </w:p>
    <w:p w:rsidR="00253838" w:rsidRPr="00D927DA" w:rsidRDefault="00253838" w:rsidP="00F6439F">
      <w:r w:rsidRPr="00D927DA">
        <w:rPr>
          <w:b/>
        </w:rPr>
        <w:t>Not studied in humans.</w:t>
      </w:r>
      <w:r w:rsidRPr="00D927DA">
        <w:t xml:space="preserve"> Following oral administration of [14C</w:t>
      </w:r>
      <w:proofErr w:type="gramStart"/>
      <w:r w:rsidRPr="00D927DA">
        <w:t>]</w:t>
      </w:r>
      <w:proofErr w:type="spellStart"/>
      <w:r w:rsidRPr="00D927DA">
        <w:t>besifloxacin</w:t>
      </w:r>
      <w:proofErr w:type="spellEnd"/>
      <w:proofErr w:type="gramEnd"/>
      <w:r w:rsidRPr="00D927DA">
        <w:t xml:space="preserve"> to rats, 96% of the radioactive dose was recovered within 120 h after dosing, with more than 80% of the dose excreted within 24 h after dosing. </w:t>
      </w:r>
      <w:r w:rsidR="0087245D">
        <w:t>~</w:t>
      </w:r>
      <w:r w:rsidRPr="00D927DA">
        <w:t>73% of administered dose recovered in faeces; 23% of the dose recovered in the urine. In animal models the drug is largely excreted unchanged in urine and faeces.</w:t>
      </w:r>
    </w:p>
    <w:p w:rsidR="00253838" w:rsidRPr="005C2B74" w:rsidRDefault="00253838" w:rsidP="00F6439F">
      <w:pPr>
        <w:pStyle w:val="Heading6"/>
      </w:pPr>
      <w:r w:rsidRPr="005C2B74">
        <w:t>Mass balance studies</w:t>
      </w:r>
    </w:p>
    <w:p w:rsidR="00253838" w:rsidRPr="00D927DA" w:rsidRDefault="00253838" w:rsidP="00F6439F">
      <w:r w:rsidRPr="00D927DA">
        <w:t>Not applicable.</w:t>
      </w:r>
    </w:p>
    <w:p w:rsidR="00253838" w:rsidRPr="005C2B74" w:rsidRDefault="00253838" w:rsidP="00F6439F">
      <w:pPr>
        <w:pStyle w:val="Heading6"/>
      </w:pPr>
      <w:r w:rsidRPr="005C2B74">
        <w:t>Renal clearance</w:t>
      </w:r>
    </w:p>
    <w:p w:rsidR="00253838" w:rsidRPr="00D927DA" w:rsidRDefault="00253838" w:rsidP="00F6439F">
      <w:r w:rsidRPr="00D927DA">
        <w:t>Not studied.</w:t>
      </w:r>
    </w:p>
    <w:p w:rsidR="00253838" w:rsidRPr="005C2B74" w:rsidRDefault="00253838" w:rsidP="00F6439F">
      <w:pPr>
        <w:pStyle w:val="Heading6"/>
      </w:pPr>
      <w:bookmarkStart w:id="55" w:name="_Toc241374291"/>
      <w:bookmarkStart w:id="56" w:name="_Toc272414624"/>
      <w:bookmarkStart w:id="57" w:name="_Toc290888473"/>
      <w:bookmarkStart w:id="58" w:name="_Toc353192462"/>
      <w:r w:rsidRPr="005C2B74">
        <w:t>Intra- and inter-individual variability</w:t>
      </w:r>
      <w:bookmarkEnd w:id="55"/>
      <w:r w:rsidRPr="005C2B74">
        <w:t xml:space="preserve"> of pharmacokinetics</w:t>
      </w:r>
      <w:bookmarkEnd w:id="56"/>
      <w:bookmarkEnd w:id="57"/>
      <w:bookmarkEnd w:id="58"/>
    </w:p>
    <w:p w:rsidR="00253838" w:rsidRPr="00D927DA" w:rsidRDefault="00253838" w:rsidP="00F6439F">
      <w:r w:rsidRPr="00D927DA">
        <w:t>None studied.</w:t>
      </w:r>
    </w:p>
    <w:p w:rsidR="00253838" w:rsidRPr="005C2B74" w:rsidRDefault="00253838" w:rsidP="00F6439F">
      <w:pPr>
        <w:pStyle w:val="Heading4"/>
      </w:pPr>
      <w:bookmarkStart w:id="59" w:name="_Toc241374292"/>
      <w:bookmarkStart w:id="60" w:name="_Ref271189131"/>
      <w:bookmarkStart w:id="61" w:name="_Ref271189136"/>
      <w:bookmarkStart w:id="62" w:name="_Toc272414625"/>
      <w:bookmarkStart w:id="63" w:name="_Toc290888474"/>
      <w:bookmarkStart w:id="64" w:name="_Toc353192463"/>
      <w:r w:rsidRPr="00F6439F">
        <w:t>Pharmacokinetics</w:t>
      </w:r>
      <w:r w:rsidRPr="005C2B74">
        <w:t xml:space="preserve"> in the target population</w:t>
      </w:r>
      <w:bookmarkEnd w:id="59"/>
      <w:bookmarkEnd w:id="60"/>
      <w:bookmarkEnd w:id="61"/>
      <w:bookmarkEnd w:id="62"/>
      <w:bookmarkEnd w:id="63"/>
      <w:bookmarkEnd w:id="64"/>
    </w:p>
    <w:p w:rsidR="00253838" w:rsidRPr="00D927DA" w:rsidRDefault="00253838" w:rsidP="008C2D32">
      <w:r w:rsidRPr="00D927DA">
        <w:t xml:space="preserve">Plasma </w:t>
      </w:r>
      <w:proofErr w:type="spellStart"/>
      <w:r w:rsidRPr="00D927DA">
        <w:t>besifloxacin</w:t>
      </w:r>
      <w:proofErr w:type="spellEnd"/>
      <w:r w:rsidRPr="00D927DA">
        <w:t xml:space="preserve"> concentrations were measured in adults with suspected bacterial conjunctivitis (Study 478</w:t>
      </w:r>
      <w:r w:rsidR="00D927DA" w:rsidRPr="00D927DA">
        <w:t xml:space="preserve">) who received </w:t>
      </w:r>
      <w:proofErr w:type="spellStart"/>
      <w:r w:rsidR="00D927DA" w:rsidRPr="00D927DA">
        <w:t>Besivance</w:t>
      </w:r>
      <w:proofErr w:type="spellEnd"/>
      <w:r w:rsidRPr="00D927DA">
        <w:t xml:space="preserve"> bilaterally TID for 5 days with a single dose on the morning of </w:t>
      </w:r>
      <w:proofErr w:type="spellStart"/>
      <w:r w:rsidRPr="00D927DA">
        <w:t>Day</w:t>
      </w:r>
      <w:proofErr w:type="spellEnd"/>
      <w:r w:rsidRPr="00D927DA">
        <w:t xml:space="preserve"> 6 (16 doses total). Following the first and last dose, variability in plasma concentrations of </w:t>
      </w:r>
      <w:proofErr w:type="spellStart"/>
      <w:r w:rsidRPr="00D927DA">
        <w:t>besifloxacin</w:t>
      </w:r>
      <w:proofErr w:type="spellEnd"/>
      <w:r w:rsidRPr="00D927DA">
        <w:t xml:space="preserve"> between patients was large, and the maximum plasma </w:t>
      </w:r>
      <w:proofErr w:type="spellStart"/>
      <w:r w:rsidRPr="00D927DA">
        <w:t>besifloxacin</w:t>
      </w:r>
      <w:proofErr w:type="spellEnd"/>
      <w:r w:rsidRPr="00D927DA">
        <w:t xml:space="preserve"> concentration in each patient was &lt;1.3 </w:t>
      </w:r>
      <w:proofErr w:type="spellStart"/>
      <w:r w:rsidRPr="00D927DA">
        <w:t>ng</w:t>
      </w:r>
      <w:proofErr w:type="spellEnd"/>
      <w:r w:rsidRPr="00D927DA">
        <w:t>/</w:t>
      </w:r>
      <w:proofErr w:type="spellStart"/>
      <w:r w:rsidRPr="00D927DA">
        <w:t>mL.</w:t>
      </w:r>
      <w:proofErr w:type="spellEnd"/>
      <w:r w:rsidRPr="00D927DA">
        <w:t xml:space="preserve"> The mean </w:t>
      </w:r>
      <w:proofErr w:type="spellStart"/>
      <w:r w:rsidRPr="00D927DA">
        <w:t>Cmax</w:t>
      </w:r>
      <w:proofErr w:type="spellEnd"/>
      <w:r w:rsidRPr="00D927DA">
        <w:t xml:space="preserve"> of </w:t>
      </w:r>
      <w:proofErr w:type="spellStart"/>
      <w:r w:rsidRPr="00D927DA">
        <w:t>besifloxacin</w:t>
      </w:r>
      <w:proofErr w:type="spellEnd"/>
      <w:r w:rsidRPr="00D927DA">
        <w:t xml:space="preserve"> was </w:t>
      </w:r>
      <w:proofErr w:type="gramStart"/>
      <w:r w:rsidRPr="00D927DA">
        <w:t xml:space="preserve">0.37 </w:t>
      </w:r>
      <w:proofErr w:type="spellStart"/>
      <w:r w:rsidRPr="00D927DA">
        <w:t>ng</w:t>
      </w:r>
      <w:proofErr w:type="spellEnd"/>
      <w:r w:rsidRPr="00D927DA">
        <w:t>/mL on Day 1</w:t>
      </w:r>
      <w:proofErr w:type="gramEnd"/>
      <w:r w:rsidRPr="00D927DA">
        <w:t xml:space="preserve"> and 0.43 </w:t>
      </w:r>
      <w:proofErr w:type="spellStart"/>
      <w:r w:rsidRPr="00D927DA">
        <w:t>ng</w:t>
      </w:r>
      <w:proofErr w:type="spellEnd"/>
      <w:r w:rsidRPr="00D927DA">
        <w:t xml:space="preserve">/mL on Day 6 indicating only a slight accumulation of </w:t>
      </w:r>
      <w:proofErr w:type="spellStart"/>
      <w:r w:rsidRPr="00D927DA">
        <w:t>besifloxacin</w:t>
      </w:r>
      <w:proofErr w:type="spellEnd"/>
      <w:r w:rsidRPr="00D927DA">
        <w:t xml:space="preserve">. Systemic exposure was very low following topical ocular administration. There was an apparent terminal elimination half-life of approximately 6.8 h. In summary, the absorption of </w:t>
      </w:r>
      <w:proofErr w:type="spellStart"/>
      <w:r w:rsidRPr="00D927DA">
        <w:t>besifloxacin</w:t>
      </w:r>
      <w:proofErr w:type="spellEnd"/>
      <w:r w:rsidRPr="00D927DA">
        <w:t xml:space="preserve"> into the systemic circulation appears to be </w:t>
      </w:r>
      <w:proofErr w:type="gramStart"/>
      <w:r w:rsidRPr="00D927DA">
        <w:t>similar/comparable</w:t>
      </w:r>
      <w:proofErr w:type="gramEnd"/>
      <w:r w:rsidRPr="00D927DA">
        <w:t xml:space="preserve"> in healthy eyes and in eyes with clinical signs of bacterial conjunctivitis.</w:t>
      </w:r>
    </w:p>
    <w:p w:rsidR="00253838" w:rsidRPr="00D927DA" w:rsidRDefault="00253838" w:rsidP="008C2D32">
      <w:r w:rsidRPr="00D927DA">
        <w:t>Data on PK in tears during repeated dosing is not available in humans as sampling of tears was not performed in any of the multi-dose studies.</w:t>
      </w:r>
      <w:bookmarkStart w:id="65" w:name="_Toc241374293"/>
    </w:p>
    <w:p w:rsidR="00253838" w:rsidRPr="005C2B74" w:rsidRDefault="00253838" w:rsidP="008C2D32">
      <w:pPr>
        <w:pStyle w:val="Heading4"/>
      </w:pPr>
      <w:bookmarkStart w:id="66" w:name="_Toc272414626"/>
      <w:bookmarkStart w:id="67" w:name="_Toc290888475"/>
      <w:bookmarkStart w:id="68" w:name="_Toc353192464"/>
      <w:r w:rsidRPr="005C2B74">
        <w:lastRenderedPageBreak/>
        <w:t xml:space="preserve">Pharmacokinetics in other </w:t>
      </w:r>
      <w:r w:rsidRPr="008C2D32">
        <w:t>special</w:t>
      </w:r>
      <w:r w:rsidRPr="005C2B74">
        <w:t xml:space="preserve"> populations</w:t>
      </w:r>
      <w:bookmarkEnd w:id="65"/>
      <w:bookmarkEnd w:id="66"/>
      <w:bookmarkEnd w:id="67"/>
      <w:bookmarkEnd w:id="68"/>
    </w:p>
    <w:p w:rsidR="00253838" w:rsidRPr="00D927DA" w:rsidRDefault="00253838" w:rsidP="008C2D32">
      <w:r w:rsidRPr="00D927DA">
        <w:t>Not assessed.</w:t>
      </w:r>
    </w:p>
    <w:p w:rsidR="00253838" w:rsidRPr="005C2B74" w:rsidRDefault="00253838" w:rsidP="008C2D32">
      <w:pPr>
        <w:pStyle w:val="Heading5"/>
      </w:pPr>
      <w:bookmarkStart w:id="69" w:name="_Toc272414627"/>
      <w:bookmarkStart w:id="70" w:name="_Toc290888476"/>
      <w:bookmarkStart w:id="71" w:name="_Toc353192465"/>
      <w:r w:rsidRPr="005C2B74">
        <w:t xml:space="preserve">Pharmacokinetics in </w:t>
      </w:r>
      <w:r w:rsidRPr="008C2D32">
        <w:t>subjects</w:t>
      </w:r>
      <w:r w:rsidRPr="005C2B74">
        <w:t xml:space="preserve"> with impaired hepatic function</w:t>
      </w:r>
      <w:bookmarkEnd w:id="69"/>
      <w:bookmarkEnd w:id="70"/>
      <w:bookmarkEnd w:id="71"/>
    </w:p>
    <w:p w:rsidR="00253838" w:rsidRPr="00D927DA" w:rsidRDefault="00253838" w:rsidP="008C2D32">
      <w:r w:rsidRPr="00D927DA">
        <w:t>Not applicable, not studied. PK only study in healthy subjects or in otherwise healthy subjects with bacterial conjunctivitis.</w:t>
      </w:r>
    </w:p>
    <w:p w:rsidR="00253838" w:rsidRPr="005C2B74" w:rsidRDefault="00253838" w:rsidP="008C2D32">
      <w:pPr>
        <w:pStyle w:val="Heading5"/>
      </w:pPr>
      <w:bookmarkStart w:id="72" w:name="_Toc272414628"/>
      <w:bookmarkStart w:id="73" w:name="_Toc290888477"/>
      <w:bookmarkStart w:id="74" w:name="_Toc353192466"/>
      <w:r w:rsidRPr="005C2B74">
        <w:t xml:space="preserve">Pharmacokinetics in </w:t>
      </w:r>
      <w:r w:rsidRPr="008C2D32">
        <w:t>subjects</w:t>
      </w:r>
      <w:r w:rsidRPr="005C2B74">
        <w:t xml:space="preserve"> with impaired renal function</w:t>
      </w:r>
      <w:bookmarkEnd w:id="72"/>
      <w:bookmarkEnd w:id="73"/>
      <w:bookmarkEnd w:id="74"/>
    </w:p>
    <w:p w:rsidR="00253838" w:rsidRPr="00D927DA" w:rsidRDefault="00253838" w:rsidP="008C2D32">
      <w:r w:rsidRPr="00D927DA">
        <w:t>Not applicable, not studied.</w:t>
      </w:r>
    </w:p>
    <w:p w:rsidR="00253838" w:rsidRPr="005C2B74" w:rsidRDefault="00253838" w:rsidP="008C2D32">
      <w:pPr>
        <w:pStyle w:val="Heading5"/>
      </w:pPr>
      <w:bookmarkStart w:id="75" w:name="_Toc272414629"/>
      <w:bookmarkStart w:id="76" w:name="_Toc290888478"/>
      <w:bookmarkStart w:id="77" w:name="_Toc353192467"/>
      <w:r w:rsidRPr="005C2B74">
        <w:t xml:space="preserve">Pharmacokinetics </w:t>
      </w:r>
      <w:r w:rsidRPr="008C2D32">
        <w:t>according</w:t>
      </w:r>
      <w:r w:rsidRPr="005C2B74">
        <w:t xml:space="preserve"> to age</w:t>
      </w:r>
      <w:bookmarkEnd w:id="75"/>
      <w:bookmarkEnd w:id="76"/>
      <w:bookmarkEnd w:id="77"/>
    </w:p>
    <w:p w:rsidR="00253838" w:rsidRPr="00D927DA" w:rsidRDefault="00253838" w:rsidP="008C2D32">
      <w:r w:rsidRPr="00D927DA">
        <w:t>Not assessed. Note: children 1 year and older were eligible for participation in the efficacy and safety studies, 373, 433 and 434.</w:t>
      </w:r>
    </w:p>
    <w:p w:rsidR="00253838" w:rsidRPr="005C2B74" w:rsidRDefault="00253838" w:rsidP="008C2D32">
      <w:pPr>
        <w:pStyle w:val="Heading5"/>
      </w:pPr>
      <w:bookmarkStart w:id="78" w:name="_Toc272414630"/>
      <w:bookmarkStart w:id="79" w:name="_Toc290888479"/>
      <w:bookmarkStart w:id="80" w:name="_Toc353192468"/>
      <w:r w:rsidRPr="008C2D32">
        <w:t>Pharmacokinetics</w:t>
      </w:r>
      <w:r w:rsidRPr="005C2B74">
        <w:t xml:space="preserve"> related to genetic factors</w:t>
      </w:r>
      <w:bookmarkEnd w:id="78"/>
      <w:bookmarkEnd w:id="79"/>
      <w:bookmarkEnd w:id="80"/>
    </w:p>
    <w:p w:rsidR="00253838" w:rsidRPr="00D927DA" w:rsidRDefault="008C2D32" w:rsidP="008C2D32">
      <w:r>
        <w:t>Not applicable, not studied.</w:t>
      </w:r>
    </w:p>
    <w:p w:rsidR="00253838" w:rsidRPr="005C2B74" w:rsidRDefault="00253838" w:rsidP="008C2D32">
      <w:pPr>
        <w:pStyle w:val="Heading5"/>
      </w:pPr>
      <w:bookmarkStart w:id="81" w:name="_Toc272414631"/>
      <w:bookmarkStart w:id="82" w:name="_Toc290888480"/>
      <w:bookmarkStart w:id="83" w:name="_Toc353192469"/>
      <w:r w:rsidRPr="008C2D32">
        <w:t>Pharmacokinetics</w:t>
      </w:r>
      <w:r w:rsidRPr="005C2B74">
        <w:t xml:space="preserve"> </w:t>
      </w:r>
      <w:r>
        <w:t>related to ethnic factors</w:t>
      </w:r>
      <w:bookmarkEnd w:id="81"/>
      <w:bookmarkEnd w:id="82"/>
      <w:bookmarkEnd w:id="83"/>
    </w:p>
    <w:p w:rsidR="00253838" w:rsidRPr="00D927DA" w:rsidRDefault="00253838" w:rsidP="008C2D32">
      <w:r w:rsidRPr="00D927DA">
        <w:t>Not applicable, not specifically studied. The Phase III safety and efficacy study 434 included sites in Asia and hence subjects of</w:t>
      </w:r>
      <w:r w:rsidR="008C2D32">
        <w:t xml:space="preserve"> Asian ethnicity were included.</w:t>
      </w:r>
    </w:p>
    <w:p w:rsidR="00253838" w:rsidRPr="005C2B74" w:rsidRDefault="00253838" w:rsidP="008C2D32">
      <w:pPr>
        <w:pStyle w:val="Heading4"/>
      </w:pPr>
      <w:bookmarkStart w:id="84" w:name="_Toc241374294"/>
      <w:bookmarkStart w:id="85" w:name="_Toc272414632"/>
      <w:bookmarkStart w:id="86" w:name="_Toc290888481"/>
      <w:bookmarkStart w:id="87" w:name="_Toc353192470"/>
      <w:r w:rsidRPr="005C2B74">
        <w:t>Pharmacokinetic interactions</w:t>
      </w:r>
      <w:bookmarkEnd w:id="84"/>
      <w:bookmarkEnd w:id="85"/>
      <w:bookmarkEnd w:id="86"/>
      <w:bookmarkEnd w:id="87"/>
    </w:p>
    <w:p w:rsidR="00253838" w:rsidRPr="005C2B74" w:rsidRDefault="00253838" w:rsidP="008C2D32">
      <w:pPr>
        <w:pStyle w:val="Heading5"/>
      </w:pPr>
      <w:bookmarkStart w:id="88" w:name="_Toc272414633"/>
      <w:bookmarkStart w:id="89" w:name="_Toc290888482"/>
      <w:bookmarkStart w:id="90" w:name="_Toc353192471"/>
      <w:r w:rsidRPr="005C2B74">
        <w:t>Pharmacokinetic interactions demonstrated in human studies</w:t>
      </w:r>
      <w:bookmarkEnd w:id="88"/>
      <w:bookmarkEnd w:id="89"/>
      <w:bookmarkEnd w:id="90"/>
    </w:p>
    <w:p w:rsidR="00253838" w:rsidRPr="00D927DA" w:rsidRDefault="00253838" w:rsidP="008C2D32">
      <w:r w:rsidRPr="00D927DA">
        <w:t xml:space="preserve">Systemic absorption of topical </w:t>
      </w:r>
      <w:proofErr w:type="spellStart"/>
      <w:r w:rsidRPr="00D927DA">
        <w:t>besifloxacin</w:t>
      </w:r>
      <w:proofErr w:type="spellEnd"/>
      <w:r w:rsidRPr="00D927DA">
        <w:t xml:space="preserve"> is so low that potential for D-D interactions is minimal and was not studied.</w:t>
      </w:r>
    </w:p>
    <w:p w:rsidR="00253838" w:rsidRPr="005C2B74" w:rsidRDefault="00253838" w:rsidP="008C2D32">
      <w:pPr>
        <w:pStyle w:val="Heading5"/>
      </w:pPr>
      <w:bookmarkStart w:id="91" w:name="_Toc272414634"/>
      <w:bookmarkStart w:id="92" w:name="_Toc290888483"/>
      <w:bookmarkStart w:id="93" w:name="_Toc353192472"/>
      <w:r w:rsidRPr="005C2B74">
        <w:t>Clinical implications of in vitro findings</w:t>
      </w:r>
      <w:bookmarkEnd w:id="91"/>
      <w:bookmarkEnd w:id="92"/>
      <w:bookmarkEnd w:id="93"/>
    </w:p>
    <w:p w:rsidR="00253838" w:rsidRPr="00D927DA" w:rsidRDefault="008C2D32" w:rsidP="008C2D32">
      <w:proofErr w:type="gramStart"/>
      <w:r>
        <w:t>None.</w:t>
      </w:r>
      <w:proofErr w:type="gramEnd"/>
    </w:p>
    <w:p w:rsidR="00253838" w:rsidRPr="005C2B74" w:rsidRDefault="00253838" w:rsidP="008C2D32">
      <w:pPr>
        <w:pStyle w:val="Heading3"/>
      </w:pPr>
      <w:bookmarkStart w:id="94" w:name="_Toc241374296"/>
      <w:bookmarkStart w:id="95" w:name="_Ref269982040"/>
      <w:bookmarkStart w:id="96" w:name="_Ref271018704"/>
      <w:bookmarkStart w:id="97" w:name="_Ref271018755"/>
      <w:bookmarkStart w:id="98" w:name="_Toc272414635"/>
      <w:bookmarkStart w:id="99" w:name="_Toc290888484"/>
      <w:bookmarkStart w:id="100" w:name="_Toc353192473"/>
      <w:bookmarkStart w:id="101" w:name="_Toc382908451"/>
      <w:r w:rsidRPr="005C2B74">
        <w:t>Evaluator’s overall conclusions on pharmacokinetics</w:t>
      </w:r>
      <w:bookmarkEnd w:id="94"/>
      <w:bookmarkEnd w:id="95"/>
      <w:bookmarkEnd w:id="96"/>
      <w:bookmarkEnd w:id="97"/>
      <w:bookmarkEnd w:id="98"/>
      <w:bookmarkEnd w:id="99"/>
      <w:bookmarkEnd w:id="100"/>
      <w:bookmarkEnd w:id="101"/>
    </w:p>
    <w:p w:rsidR="00253838" w:rsidRPr="00030D83" w:rsidRDefault="00253838" w:rsidP="008C2D32">
      <w:r w:rsidRPr="00030D83">
        <w:t xml:space="preserve">Clinical investigation of </w:t>
      </w:r>
      <w:proofErr w:type="spellStart"/>
      <w:r w:rsidRPr="00030D83">
        <w:t>besifloxacin</w:t>
      </w:r>
      <w:proofErr w:type="spellEnd"/>
      <w:r w:rsidRPr="00030D83">
        <w:t xml:space="preserve"> hydrochloride ophthalmic suspension </w:t>
      </w:r>
      <w:r>
        <w:t>pharmacokinetics in humans has included two pivotal pharmacokinetic</w:t>
      </w:r>
      <w:r w:rsidRPr="00030D83">
        <w:t xml:space="preserve"> studies. Both these studies explored </w:t>
      </w:r>
      <w:proofErr w:type="spellStart"/>
      <w:r w:rsidRPr="00030D83">
        <w:t>besifloxacin</w:t>
      </w:r>
      <w:proofErr w:type="spellEnd"/>
      <w:r w:rsidRPr="00030D83">
        <w:t xml:space="preserve"> hydrochloride ophthalmic suspension, 0.6% as base in the healthy and inflamed eyes, showing high </w:t>
      </w:r>
      <w:proofErr w:type="spellStart"/>
      <w:r w:rsidRPr="00030D83">
        <w:t>besifloxacin</w:t>
      </w:r>
      <w:proofErr w:type="spellEnd"/>
      <w:r w:rsidRPr="00030D83">
        <w:t xml:space="preserve"> levels with very low systemic exposure. These data coupled with the safety of the 0.6% suspension (Study C-02-403-001) resulted in the 0.6% formulation moving forward int</w:t>
      </w:r>
      <w:r w:rsidR="008C2D32">
        <w:t>o further clinical development.</w:t>
      </w:r>
    </w:p>
    <w:p w:rsidR="00253838" w:rsidRPr="00030D83" w:rsidRDefault="00253838" w:rsidP="008C2D32">
      <w:r w:rsidRPr="00030D83">
        <w:t xml:space="preserve">No bioavailability study was included in the application. This product is for ocular use and is intended to act without systemic absorption. As both </w:t>
      </w:r>
      <w:r>
        <w:t>pharmacokinetics</w:t>
      </w:r>
      <w:r w:rsidRPr="00030D83">
        <w:t xml:space="preserve"> studies included in thi</w:t>
      </w:r>
      <w:r>
        <w:t>s application</w:t>
      </w:r>
      <w:r w:rsidRPr="00030D83">
        <w:t xml:space="preserve"> in the healthy eye and in the inflamed eye demonstrat</w:t>
      </w:r>
      <w:r>
        <w:t>e minimal systemic absorption, the clinical evaluator</w:t>
      </w:r>
      <w:r w:rsidRPr="00030D83">
        <w:t xml:space="preserve"> feel</w:t>
      </w:r>
      <w:r>
        <w:t>s</w:t>
      </w:r>
      <w:r w:rsidRPr="00030D83">
        <w:t xml:space="preserve"> the lack of specific bioavailability studies is justified.</w:t>
      </w:r>
    </w:p>
    <w:p w:rsidR="00586F98" w:rsidRDefault="00586F98" w:rsidP="008C2D32">
      <w:pPr>
        <w:pStyle w:val="Heading2"/>
      </w:pPr>
      <w:bookmarkStart w:id="102" w:name="_Toc382908452"/>
      <w:r w:rsidRPr="008C2D32">
        <w:t>Pharmacodynamics</w:t>
      </w:r>
      <w:bookmarkEnd w:id="102"/>
    </w:p>
    <w:p w:rsidR="0082410E" w:rsidRPr="0082410E" w:rsidRDefault="0082410E" w:rsidP="008C2D32">
      <w:r w:rsidRPr="0082410E">
        <w:t xml:space="preserve">Primary PD studies are not directly applicable to </w:t>
      </w:r>
      <w:proofErr w:type="spellStart"/>
      <w:r w:rsidRPr="0082410E">
        <w:t>antibacterials</w:t>
      </w:r>
      <w:proofErr w:type="spellEnd"/>
      <w:r w:rsidRPr="0082410E">
        <w:t>. Antibacterial agents differ from other drugs by exerting their pharmacological action on susceptible bacteria within the host and not the host itself. Summaries of Studies 373, 433 and 434 with clinical and microbiologi</w:t>
      </w:r>
      <w:r w:rsidR="006A3D1C">
        <w:t xml:space="preserve">cal response rates are included. </w:t>
      </w:r>
      <w:r w:rsidRPr="0082410E">
        <w:t xml:space="preserve">Sensitivity of isolates from subjects with positive eye cultures enrolled in these studies (as expressed by MIC) to </w:t>
      </w:r>
      <w:proofErr w:type="spellStart"/>
      <w:r w:rsidRPr="0082410E">
        <w:t>besifloxacin</w:t>
      </w:r>
      <w:proofErr w:type="spellEnd"/>
      <w:r w:rsidRPr="0082410E">
        <w:t xml:space="preserve">, other quinolones and the macrolide, azithromycin, </w:t>
      </w:r>
      <w:r w:rsidR="00662BE9">
        <w:t>are summarised in Table 1</w:t>
      </w:r>
      <w:r w:rsidRPr="0082410E">
        <w:t xml:space="preserve">. To evaluate the PK/PD relationship of </w:t>
      </w:r>
      <w:proofErr w:type="spellStart"/>
      <w:r w:rsidRPr="0082410E">
        <w:t>besifloxacin</w:t>
      </w:r>
      <w:proofErr w:type="spellEnd"/>
      <w:r w:rsidRPr="0082410E">
        <w:t xml:space="preserve">, results the ocular PK </w:t>
      </w:r>
      <w:proofErr w:type="gramStart"/>
      <w:r w:rsidRPr="0082410E">
        <w:t>study in humans were</w:t>
      </w:r>
      <w:proofErr w:type="gramEnd"/>
      <w:r w:rsidRPr="0082410E">
        <w:t xml:space="preserve"> used (Study 424), along with the </w:t>
      </w:r>
      <w:r w:rsidRPr="005422D8">
        <w:rPr>
          <w:i/>
        </w:rPr>
        <w:t xml:space="preserve">in </w:t>
      </w:r>
      <w:r w:rsidRPr="005422D8">
        <w:rPr>
          <w:i/>
        </w:rPr>
        <w:lastRenderedPageBreak/>
        <w:t>vitro</w:t>
      </w:r>
      <w:r w:rsidRPr="0082410E">
        <w:t xml:space="preserve"> MIC90 values for prevalent bacterial pathogens isolated from subjects</w:t>
      </w:r>
      <w:r w:rsidR="008C2D32">
        <w:t xml:space="preserve"> with bacterial conjunctivitis.</w:t>
      </w:r>
    </w:p>
    <w:p w:rsidR="0082410E" w:rsidRPr="0082410E" w:rsidRDefault="0082410E" w:rsidP="008C2D32">
      <w:r w:rsidRPr="0082410E">
        <w:t xml:space="preserve">Compartmental PK analysis was performed on the composite mean </w:t>
      </w:r>
      <w:proofErr w:type="spellStart"/>
      <w:r w:rsidRPr="0082410E">
        <w:t>besifloxacin</w:t>
      </w:r>
      <w:proofErr w:type="spellEnd"/>
      <w:r w:rsidRPr="0082410E">
        <w:t xml:space="preserve"> concentration versus time data and the best-fit model was used to simulate ocular concentration versus time profiles for </w:t>
      </w:r>
      <w:proofErr w:type="spellStart"/>
      <w:r w:rsidRPr="0082410E">
        <w:t>besifloxacin</w:t>
      </w:r>
      <w:proofErr w:type="spellEnd"/>
      <w:r w:rsidRPr="0082410E">
        <w:t xml:space="preserve"> with a </w:t>
      </w:r>
      <w:r w:rsidRPr="0082410E">
        <w:rPr>
          <w:b/>
        </w:rPr>
        <w:t>simulated</w:t>
      </w:r>
      <w:r w:rsidRPr="0082410E">
        <w:t xml:space="preserve"> TID dosing regimen (the proposed dosing for treatment and indeed the approved dose in several countries including USA and Canada). The simulated TID AUC24 was used to calculate AUC24/MIC90 ratios, while the observed </w:t>
      </w:r>
      <w:proofErr w:type="spellStart"/>
      <w:r w:rsidRPr="0082410E">
        <w:t>Cmax</w:t>
      </w:r>
      <w:proofErr w:type="spellEnd"/>
      <w:r w:rsidRPr="0082410E">
        <w:t xml:space="preserve"> was used to calculate the </w:t>
      </w:r>
      <w:proofErr w:type="spellStart"/>
      <w:r w:rsidRPr="0082410E">
        <w:t>Cmax</w:t>
      </w:r>
      <w:proofErr w:type="spellEnd"/>
      <w:r w:rsidRPr="0082410E">
        <w:t>/MIC90 ratios.</w:t>
      </w:r>
    </w:p>
    <w:p w:rsidR="0082410E" w:rsidRPr="0082410E" w:rsidRDefault="0082410E" w:rsidP="008C2D32">
      <w:r w:rsidRPr="0082410E">
        <w:t xml:space="preserve">An additional consideration in this analysis is the potential role of protein binding, which could effectively lower the concentration of free (unbound) </w:t>
      </w:r>
      <w:proofErr w:type="spellStart"/>
      <w:r w:rsidRPr="0082410E">
        <w:t>besifloxacin</w:t>
      </w:r>
      <w:proofErr w:type="spellEnd"/>
      <w:r w:rsidRPr="0082410E">
        <w:t xml:space="preserve">. The inhibitory effect of protein binding on antibacterial efficacy </w:t>
      </w:r>
      <w:r>
        <w:t>has been reported for β</w:t>
      </w:r>
      <w:r w:rsidRPr="0082410E">
        <w:t xml:space="preserve">-lactams; however, there is no general consensus about the role of protein binding on the antibacterial activity of </w:t>
      </w:r>
      <w:proofErr w:type="spellStart"/>
      <w:r w:rsidRPr="0082410E">
        <w:t>fluoroquinolones</w:t>
      </w:r>
      <w:proofErr w:type="spellEnd"/>
      <w:r w:rsidR="005B231A">
        <w:t>.</w:t>
      </w:r>
      <w:r w:rsidR="00FF3115">
        <w:rPr>
          <w:rStyle w:val="FootnoteReference"/>
        </w:rPr>
        <w:footnoteReference w:id="5"/>
      </w:r>
      <w:r w:rsidRPr="0082410E">
        <w:t xml:space="preserve"> Based on the fact that </w:t>
      </w:r>
      <w:proofErr w:type="spellStart"/>
      <w:r w:rsidRPr="0082410E">
        <w:t>besifloxacin</w:t>
      </w:r>
      <w:proofErr w:type="spellEnd"/>
      <w:r w:rsidRPr="0082410E">
        <w:t xml:space="preserve"> is approximately 40% bound to proteins in human plasma (similar to other </w:t>
      </w:r>
      <w:proofErr w:type="spellStart"/>
      <w:r w:rsidRPr="0082410E">
        <w:t>fluoroquinolones</w:t>
      </w:r>
      <w:proofErr w:type="spellEnd"/>
      <w:r w:rsidRPr="0082410E">
        <w:t xml:space="preserve">), and assuming a similar extent of binding to proteins in ocular tissue, the corresponding </w:t>
      </w:r>
      <w:proofErr w:type="spellStart"/>
      <w:r w:rsidRPr="0082410E">
        <w:t>Cmax</w:t>
      </w:r>
      <w:proofErr w:type="spellEnd"/>
      <w:r w:rsidRPr="0082410E">
        <w:t xml:space="preserve"> and AUC24 values for free (unbound) </w:t>
      </w:r>
      <w:proofErr w:type="spellStart"/>
      <w:r w:rsidRPr="0082410E">
        <w:t>besifloxacin</w:t>
      </w:r>
      <w:proofErr w:type="spellEnd"/>
      <w:r w:rsidRPr="0082410E">
        <w:t xml:space="preserve"> would be approximately 60% of the values determined for total (bound and free). In order to evaluate the potential theoretical maximum impact of protein binding on </w:t>
      </w:r>
      <w:proofErr w:type="spellStart"/>
      <w:r w:rsidRPr="0082410E">
        <w:t>besifloxacin</w:t>
      </w:r>
      <w:proofErr w:type="spellEnd"/>
      <w:r w:rsidRPr="0082410E">
        <w:t xml:space="preserve"> activity, </w:t>
      </w:r>
      <w:proofErr w:type="spellStart"/>
      <w:r w:rsidRPr="0082410E">
        <w:t>Cmax</w:t>
      </w:r>
      <w:proofErr w:type="spellEnd"/>
      <w:r w:rsidRPr="0082410E">
        <w:t>/MIC90 and AUC24/MIC90 ratios were calculated based on the PK estimates for total (bound a</w:t>
      </w:r>
      <w:r w:rsidR="008C2D32">
        <w:t xml:space="preserve">nd free) and free </w:t>
      </w:r>
      <w:proofErr w:type="spellStart"/>
      <w:r w:rsidR="008C2D32">
        <w:t>besifloxacin</w:t>
      </w:r>
      <w:proofErr w:type="spellEnd"/>
      <w:r w:rsidR="008C2D32">
        <w:t>.</w:t>
      </w:r>
    </w:p>
    <w:p w:rsidR="0082410E" w:rsidRPr="005C2B74" w:rsidRDefault="0082410E" w:rsidP="008C2D32">
      <w:pPr>
        <w:pStyle w:val="Heading3"/>
      </w:pPr>
      <w:bookmarkStart w:id="103" w:name="_Toc272414637"/>
      <w:bookmarkStart w:id="104" w:name="_Toc290888486"/>
      <w:bookmarkStart w:id="105" w:name="_Toc353192475"/>
      <w:bookmarkStart w:id="106" w:name="_Toc382908453"/>
      <w:r w:rsidRPr="005C2B74">
        <w:t xml:space="preserve">Studies providing </w:t>
      </w:r>
      <w:proofErr w:type="spellStart"/>
      <w:r w:rsidRPr="005C2B74">
        <w:t>pharmacodynamic</w:t>
      </w:r>
      <w:proofErr w:type="spellEnd"/>
      <w:r w:rsidRPr="005C2B74">
        <w:t xml:space="preserve"> </w:t>
      </w:r>
      <w:r w:rsidRPr="008C2D32">
        <w:t>data</w:t>
      </w:r>
      <w:bookmarkEnd w:id="103"/>
      <w:bookmarkEnd w:id="104"/>
      <w:bookmarkEnd w:id="105"/>
      <w:bookmarkEnd w:id="106"/>
    </w:p>
    <w:p w:rsidR="0082410E" w:rsidRPr="00442DE5" w:rsidRDefault="0082410E" w:rsidP="008C2D32">
      <w:r w:rsidRPr="00442DE5">
        <w:t xml:space="preserve">The relationship between the </w:t>
      </w:r>
      <w:r w:rsidR="00454509">
        <w:t>concentration</w:t>
      </w:r>
      <w:r w:rsidRPr="00442DE5">
        <w:t xml:space="preserve"> of </w:t>
      </w:r>
      <w:proofErr w:type="spellStart"/>
      <w:r w:rsidRPr="00442DE5">
        <w:t>besifloxacin</w:t>
      </w:r>
      <w:proofErr w:type="spellEnd"/>
      <w:r w:rsidRPr="00442DE5">
        <w:t xml:space="preserve"> in human tear fluid and the </w:t>
      </w:r>
      <w:r w:rsidR="003D2479">
        <w:t>concentratio</w:t>
      </w:r>
      <w:r w:rsidRPr="00442DE5">
        <w:t xml:space="preserve">n required for antimicrobial activity was quantified by calculating the ratios of </w:t>
      </w:r>
      <w:proofErr w:type="spellStart"/>
      <w:r w:rsidRPr="00442DE5">
        <w:t>Cmax</w:t>
      </w:r>
      <w:proofErr w:type="spellEnd"/>
      <w:r w:rsidRPr="00442DE5">
        <w:t xml:space="preserve">/MIC90 and AUC24/MIC90. For the purpose of calculating these PK/PD ratios, a PK model was developed based on the single-dose human tear PK data for </w:t>
      </w:r>
      <w:proofErr w:type="spellStart"/>
      <w:r w:rsidRPr="00442DE5">
        <w:t>besifloxacin</w:t>
      </w:r>
      <w:proofErr w:type="spellEnd"/>
      <w:r w:rsidRPr="00442DE5">
        <w:t xml:space="preserve">. This model was used to </w:t>
      </w:r>
      <w:r w:rsidRPr="00442DE5">
        <w:rPr>
          <w:b/>
        </w:rPr>
        <w:t>simulate</w:t>
      </w:r>
      <w:r w:rsidRPr="00442DE5">
        <w:t xml:space="preserve"> </w:t>
      </w:r>
      <w:proofErr w:type="spellStart"/>
      <w:r w:rsidRPr="00442DE5">
        <w:t>besifloxacin</w:t>
      </w:r>
      <w:proofErr w:type="spellEnd"/>
      <w:r w:rsidRPr="00442DE5">
        <w:t xml:space="preserve"> </w:t>
      </w:r>
      <w:r w:rsidR="00454509">
        <w:t>concentration</w:t>
      </w:r>
      <w:r w:rsidRPr="00442DE5">
        <w:t xml:space="preserve">s with TID dosing. Based on the observed </w:t>
      </w:r>
      <w:proofErr w:type="spellStart"/>
      <w:r w:rsidRPr="00442DE5">
        <w:t>Cmax</w:t>
      </w:r>
      <w:proofErr w:type="spellEnd"/>
      <w:r w:rsidRPr="00442DE5">
        <w:t xml:space="preserve"> for </w:t>
      </w:r>
      <w:proofErr w:type="spellStart"/>
      <w:r w:rsidRPr="00442DE5">
        <w:t>besifloxacin</w:t>
      </w:r>
      <w:proofErr w:type="spellEnd"/>
      <w:r w:rsidRPr="00442DE5">
        <w:t xml:space="preserve"> in human tears and the AUC24 for the simulated TID dosing regimen (3801 </w:t>
      </w:r>
      <w:proofErr w:type="spellStart"/>
      <w:r w:rsidRPr="00442DE5">
        <w:t>μg</w:t>
      </w:r>
      <w:proofErr w:type="spellEnd"/>
      <w:r w:rsidRPr="00442DE5">
        <w:t xml:space="preserve">*h/g), </w:t>
      </w:r>
      <w:proofErr w:type="spellStart"/>
      <w:r w:rsidRPr="00442DE5">
        <w:t>Cmax</w:t>
      </w:r>
      <w:proofErr w:type="spellEnd"/>
      <w:r w:rsidRPr="00442DE5">
        <w:t xml:space="preserve">/MIC90 and AUC24/MIC90 values were calculated using MIC90 values for several prevalent bacterial pathogens isolated from patients with bacterial conjunctivitis (S. </w:t>
      </w:r>
      <w:proofErr w:type="spellStart"/>
      <w:r w:rsidRPr="00442DE5">
        <w:t>aureus</w:t>
      </w:r>
      <w:proofErr w:type="spellEnd"/>
      <w:r w:rsidRPr="00442DE5">
        <w:t xml:space="preserve">, S. </w:t>
      </w:r>
      <w:proofErr w:type="spellStart"/>
      <w:r w:rsidRPr="00442DE5">
        <w:t>pneumoniae</w:t>
      </w:r>
      <w:proofErr w:type="spellEnd"/>
      <w:r w:rsidRPr="00442DE5">
        <w:t xml:space="preserve">, S. epidermis, and H. </w:t>
      </w:r>
      <w:proofErr w:type="spellStart"/>
      <w:r w:rsidRPr="00442DE5">
        <w:t>influenzae</w:t>
      </w:r>
      <w:proofErr w:type="spellEnd"/>
      <w:r w:rsidRPr="00442DE5">
        <w:t xml:space="preserve">). Using this approach, </w:t>
      </w:r>
      <w:proofErr w:type="spellStart"/>
      <w:r w:rsidRPr="00442DE5">
        <w:t>Cmax</w:t>
      </w:r>
      <w:proofErr w:type="spellEnd"/>
      <w:r w:rsidRPr="00442DE5">
        <w:t xml:space="preserve">/MIC90 ratios of 732 to 10167, and AUC24/MIC90 ratios of 4561 to 63350 were obtained. These PK/PD ratios are higher than the published target values associated with bacterial eradication in plasma for </w:t>
      </w:r>
      <w:proofErr w:type="spellStart"/>
      <w:r w:rsidRPr="00442DE5">
        <w:t>fluoroquinolones</w:t>
      </w:r>
      <w:proofErr w:type="spellEnd"/>
      <w:r w:rsidRPr="00442DE5">
        <w:t xml:space="preserve"> (i.e., </w:t>
      </w:r>
      <w:proofErr w:type="spellStart"/>
      <w:r w:rsidRPr="00442DE5">
        <w:t>Cmax</w:t>
      </w:r>
      <w:proofErr w:type="spellEnd"/>
      <w:r w:rsidRPr="00442DE5">
        <w:t xml:space="preserve">/MIC90 ratio of &gt;10 and AUC/MIC90 ratio of &gt;100-125), regardless of whether total </w:t>
      </w:r>
      <w:proofErr w:type="spellStart"/>
      <w:r w:rsidRPr="00442DE5">
        <w:t>besifloxacin</w:t>
      </w:r>
      <w:proofErr w:type="spellEnd"/>
      <w:r w:rsidRPr="00442DE5">
        <w:t xml:space="preserve"> (bound and free) or only unbound </w:t>
      </w:r>
      <w:proofErr w:type="spellStart"/>
      <w:r w:rsidRPr="00442DE5">
        <w:t>besifloxacin</w:t>
      </w:r>
      <w:proofErr w:type="spellEnd"/>
      <w:r w:rsidRPr="00442DE5">
        <w:t xml:space="preserve"> </w:t>
      </w:r>
      <w:r w:rsidR="00454509">
        <w:t>concentration</w:t>
      </w:r>
      <w:r w:rsidRPr="00442DE5">
        <w:t xml:space="preserve">s were considered. Taken together, these results provide a PK/PD-based rationale that supports the efficacy observed with </w:t>
      </w:r>
      <w:proofErr w:type="spellStart"/>
      <w:r w:rsidRPr="00442DE5">
        <w:t>besifloxacin</w:t>
      </w:r>
      <w:proofErr w:type="spellEnd"/>
      <w:r w:rsidRPr="00442DE5">
        <w:t xml:space="preserve"> (studies 373, 433 and 434) in the treatment of bacterial conjunctivitis.</w:t>
      </w:r>
    </w:p>
    <w:p w:rsidR="0082410E" w:rsidRPr="005C2B74" w:rsidRDefault="0082410E" w:rsidP="008C2D32">
      <w:pPr>
        <w:pStyle w:val="Heading3"/>
      </w:pPr>
      <w:bookmarkStart w:id="107" w:name="_Ref269119989"/>
      <w:bookmarkStart w:id="108" w:name="_Toc272414639"/>
      <w:bookmarkStart w:id="109" w:name="_Toc290888487"/>
      <w:bookmarkStart w:id="110" w:name="_Toc353192476"/>
      <w:bookmarkStart w:id="111" w:name="_Toc382908454"/>
      <w:r w:rsidRPr="005C2B74">
        <w:t xml:space="preserve">Summary of </w:t>
      </w:r>
      <w:r w:rsidRPr="008C2D32">
        <w:t>pharmacodynamics</w:t>
      </w:r>
      <w:bookmarkEnd w:id="107"/>
      <w:bookmarkEnd w:id="108"/>
      <w:bookmarkEnd w:id="109"/>
      <w:bookmarkEnd w:id="110"/>
      <w:bookmarkEnd w:id="111"/>
    </w:p>
    <w:p w:rsidR="0082410E" w:rsidRPr="00442DE5" w:rsidRDefault="0082410E" w:rsidP="008C2D32">
      <w:r w:rsidRPr="00442DE5">
        <w:t xml:space="preserve">The information in the following summary is derived from the pivotal efficacy Studies 373, 433 and 434. These 3 studies provided clinical isolates, the MIC of these isolates and couple this </w:t>
      </w:r>
      <w:r w:rsidRPr="00442DE5">
        <w:lastRenderedPageBreak/>
        <w:t xml:space="preserve">information with clinical response data for </w:t>
      </w:r>
      <w:proofErr w:type="spellStart"/>
      <w:r w:rsidRPr="00442DE5">
        <w:t>besifloxacin</w:t>
      </w:r>
      <w:proofErr w:type="spellEnd"/>
      <w:r w:rsidRPr="00442DE5">
        <w:t xml:space="preserve"> or comparat</w:t>
      </w:r>
      <w:r w:rsidR="008C2D32">
        <w:t>or (</w:t>
      </w:r>
      <w:proofErr w:type="spellStart"/>
      <w:r w:rsidR="008C2D32">
        <w:t>Moxifloxacin</w:t>
      </w:r>
      <w:proofErr w:type="spellEnd"/>
      <w:r w:rsidR="008C2D32">
        <w:t xml:space="preserve"> in Study 434).</w:t>
      </w:r>
    </w:p>
    <w:p w:rsidR="0082410E" w:rsidRPr="005C2B74" w:rsidRDefault="0082410E" w:rsidP="008C2D32">
      <w:pPr>
        <w:pStyle w:val="Heading4"/>
      </w:pPr>
      <w:bookmarkStart w:id="112" w:name="_Toc241374299"/>
      <w:bookmarkStart w:id="113" w:name="_Toc272414640"/>
      <w:bookmarkStart w:id="114" w:name="_Toc290888488"/>
      <w:bookmarkStart w:id="115" w:name="_Toc353192477"/>
      <w:r w:rsidRPr="005C2B74">
        <w:t>Mechanism of action</w:t>
      </w:r>
      <w:bookmarkEnd w:id="112"/>
      <w:bookmarkEnd w:id="113"/>
      <w:bookmarkEnd w:id="114"/>
      <w:bookmarkEnd w:id="115"/>
    </w:p>
    <w:p w:rsidR="0082410E" w:rsidRPr="00442DE5" w:rsidRDefault="0082410E" w:rsidP="008C2D32">
      <w:proofErr w:type="spellStart"/>
      <w:r w:rsidRPr="00442DE5">
        <w:t>Besifloxacin</w:t>
      </w:r>
      <w:proofErr w:type="spellEnd"/>
      <w:r w:rsidRPr="00442DE5">
        <w:t xml:space="preserve"> has broad-spectrum activity against aerobic, facultative, and anaerobic Gram-positive and Gram-negative bacteria due to inhibition of bacterial DNA </w:t>
      </w:r>
      <w:proofErr w:type="spellStart"/>
      <w:r w:rsidRPr="00442DE5">
        <w:t>gyrase</w:t>
      </w:r>
      <w:proofErr w:type="spellEnd"/>
      <w:r w:rsidRPr="00442DE5">
        <w:t xml:space="preserve"> and topoisomerase IV. </w:t>
      </w:r>
      <w:proofErr w:type="spellStart"/>
      <w:r w:rsidRPr="00442DE5">
        <w:t>Besifloxacin</w:t>
      </w:r>
      <w:proofErr w:type="spellEnd"/>
      <w:r w:rsidRPr="00442DE5">
        <w:t xml:space="preserve"> is bactericidal with minimum bactericidal concentrations (MBCs) generally within one dilution of the minimum inhibitory concentrations (MICs). The mechanism of action of </w:t>
      </w:r>
      <w:proofErr w:type="spellStart"/>
      <w:r w:rsidRPr="00442DE5">
        <w:t>fluoroquinolones</w:t>
      </w:r>
      <w:proofErr w:type="spellEnd"/>
      <w:r w:rsidRPr="00442DE5">
        <w:t xml:space="preserve">, including </w:t>
      </w:r>
      <w:proofErr w:type="spellStart"/>
      <w:r w:rsidRPr="00442DE5">
        <w:t>besifloxacin</w:t>
      </w:r>
      <w:proofErr w:type="spellEnd"/>
      <w:r w:rsidRPr="00442DE5">
        <w:t xml:space="preserve">, is different from that of several other antibiotic classes e.g. aminoglycoside, macrolide and β-lactams and the drug may be active against pathogens that are resistant to these </w:t>
      </w:r>
      <w:proofErr w:type="spellStart"/>
      <w:r w:rsidRPr="00442DE5">
        <w:t>antibacterials</w:t>
      </w:r>
      <w:proofErr w:type="spellEnd"/>
      <w:r w:rsidRPr="00442DE5">
        <w:t xml:space="preserve"> and vice versa. </w:t>
      </w:r>
      <w:r w:rsidRPr="005422D8">
        <w:rPr>
          <w:i/>
        </w:rPr>
        <w:t>In vitro</w:t>
      </w:r>
      <w:r w:rsidRPr="00442DE5">
        <w:t xml:space="preserve"> studies demonstrated cross-resistance between </w:t>
      </w:r>
      <w:proofErr w:type="spellStart"/>
      <w:r w:rsidRPr="00442DE5">
        <w:t>besifloxacin</w:t>
      </w:r>
      <w:proofErr w:type="spellEnd"/>
      <w:r w:rsidRPr="00442DE5">
        <w:t xml:space="preserve"> and some other </w:t>
      </w:r>
      <w:proofErr w:type="spellStart"/>
      <w:r w:rsidRPr="00442DE5">
        <w:t>fluoroquinolones</w:t>
      </w:r>
      <w:proofErr w:type="spellEnd"/>
      <w:r w:rsidRPr="00442DE5">
        <w:t xml:space="preserve">. </w:t>
      </w:r>
      <w:r w:rsidRPr="005422D8">
        <w:rPr>
          <w:i/>
        </w:rPr>
        <w:t>In vitro</w:t>
      </w:r>
      <w:r w:rsidRPr="00442DE5">
        <w:t xml:space="preserve"> resistance to </w:t>
      </w:r>
      <w:proofErr w:type="spellStart"/>
      <w:r w:rsidRPr="00442DE5">
        <w:t>besifloxacin</w:t>
      </w:r>
      <w:proofErr w:type="spellEnd"/>
      <w:r w:rsidRPr="00442DE5">
        <w:t xml:space="preserve"> develops via </w:t>
      </w:r>
      <w:r w:rsidRPr="00442DE5">
        <w:rPr>
          <w:b/>
        </w:rPr>
        <w:t>multiple-step mutations</w:t>
      </w:r>
      <w:r w:rsidRPr="00442DE5">
        <w:t xml:space="preserve"> and occurs at a general frequency of &lt;3.3 x 10</w:t>
      </w:r>
      <w:r w:rsidRPr="00442DE5">
        <w:rPr>
          <w:vertAlign w:val="superscript"/>
        </w:rPr>
        <w:t>-10</w:t>
      </w:r>
      <w:r w:rsidRPr="00442DE5">
        <w:t xml:space="preserve"> for S. </w:t>
      </w:r>
      <w:proofErr w:type="spellStart"/>
      <w:r w:rsidRPr="00442DE5">
        <w:t>aureus</w:t>
      </w:r>
      <w:proofErr w:type="spellEnd"/>
      <w:r w:rsidRPr="00442DE5">
        <w:t xml:space="preserve"> and &lt;7 x 10</w:t>
      </w:r>
      <w:r w:rsidRPr="00442DE5">
        <w:rPr>
          <w:vertAlign w:val="superscript"/>
        </w:rPr>
        <w:t>-10</w:t>
      </w:r>
      <w:r w:rsidRPr="00442DE5">
        <w:t xml:space="preserve"> for S. </w:t>
      </w:r>
      <w:proofErr w:type="spellStart"/>
      <w:r w:rsidRPr="00442DE5">
        <w:t>pneumoniae</w:t>
      </w:r>
      <w:proofErr w:type="spellEnd"/>
      <w:r w:rsidRPr="00442DE5">
        <w:t xml:space="preserve">. The concentration of </w:t>
      </w:r>
      <w:proofErr w:type="spellStart"/>
      <w:r w:rsidRPr="00442DE5">
        <w:t>besifloxacin</w:t>
      </w:r>
      <w:proofErr w:type="spellEnd"/>
      <w:r w:rsidRPr="00442DE5">
        <w:t xml:space="preserve"> in tear fluid (Study 424) exceeds the mutant prevention concentration (MPC) for S. </w:t>
      </w:r>
      <w:proofErr w:type="spellStart"/>
      <w:r w:rsidRPr="00442DE5">
        <w:t>aureus</w:t>
      </w:r>
      <w:proofErr w:type="spellEnd"/>
      <w:r w:rsidRPr="00442DE5">
        <w:t xml:space="preserve"> and S. </w:t>
      </w:r>
      <w:proofErr w:type="spellStart"/>
      <w:r w:rsidRPr="00442DE5">
        <w:t>pneumoniae</w:t>
      </w:r>
      <w:proofErr w:type="spellEnd"/>
      <w:r w:rsidRPr="00442DE5">
        <w:t>.</w:t>
      </w:r>
    </w:p>
    <w:p w:rsidR="0082410E" w:rsidRPr="005C2B74" w:rsidRDefault="0082410E" w:rsidP="008C2D32">
      <w:pPr>
        <w:pStyle w:val="Heading4"/>
      </w:pPr>
      <w:bookmarkStart w:id="116" w:name="_Toc241374300"/>
      <w:bookmarkStart w:id="117" w:name="_Toc272414641"/>
      <w:bookmarkStart w:id="118" w:name="_Toc290888489"/>
      <w:bookmarkStart w:id="119" w:name="_Toc353192478"/>
      <w:proofErr w:type="spellStart"/>
      <w:r w:rsidRPr="005C2B74">
        <w:t>Pharmacodynamic</w:t>
      </w:r>
      <w:proofErr w:type="spellEnd"/>
      <w:r w:rsidRPr="005C2B74">
        <w:t xml:space="preserve"> effects</w:t>
      </w:r>
      <w:bookmarkEnd w:id="116"/>
      <w:bookmarkEnd w:id="117"/>
      <w:bookmarkEnd w:id="118"/>
      <w:bookmarkEnd w:id="119"/>
    </w:p>
    <w:p w:rsidR="0082410E" w:rsidRPr="005C2B74" w:rsidRDefault="0082410E" w:rsidP="008C2D32">
      <w:pPr>
        <w:pStyle w:val="Heading5"/>
      </w:pPr>
      <w:bookmarkStart w:id="120" w:name="_Toc272414642"/>
      <w:bookmarkStart w:id="121" w:name="_Toc290888490"/>
      <w:bookmarkStart w:id="122" w:name="_Toc353192479"/>
      <w:r w:rsidRPr="005C2B74">
        <w:t xml:space="preserve">Primary </w:t>
      </w:r>
      <w:proofErr w:type="spellStart"/>
      <w:r w:rsidRPr="008C2D32">
        <w:t>pharmacodynamic</w:t>
      </w:r>
      <w:proofErr w:type="spellEnd"/>
      <w:r w:rsidRPr="005C2B74">
        <w:t xml:space="preserve"> effects</w:t>
      </w:r>
      <w:bookmarkEnd w:id="120"/>
      <w:bookmarkEnd w:id="121"/>
      <w:bookmarkEnd w:id="122"/>
    </w:p>
    <w:p w:rsidR="0082410E" w:rsidRPr="00442DE5" w:rsidRDefault="0082410E" w:rsidP="008C2D32">
      <w:r w:rsidRPr="00442DE5">
        <w:t xml:space="preserve">The primary PD effect is inhibition of both bacterial DNA </w:t>
      </w:r>
      <w:proofErr w:type="spellStart"/>
      <w:r w:rsidRPr="00442DE5">
        <w:t>gyrase</w:t>
      </w:r>
      <w:proofErr w:type="spellEnd"/>
      <w:r w:rsidRPr="00442DE5">
        <w:t xml:space="preserve"> and topoisomerase IV, key enzymes for many aerobic and anaerobic bacter</w:t>
      </w:r>
      <w:r w:rsidR="008C2D32">
        <w:t xml:space="preserve">ia and hence the drug is </w:t>
      </w:r>
      <w:proofErr w:type="spellStart"/>
      <w:r w:rsidR="008C2D32">
        <w:t>cidal</w:t>
      </w:r>
      <w:proofErr w:type="spellEnd"/>
      <w:r w:rsidR="008C2D32">
        <w:t>.</w:t>
      </w:r>
    </w:p>
    <w:p w:rsidR="0082410E" w:rsidRPr="005C2B74" w:rsidRDefault="0082410E" w:rsidP="008C2D32">
      <w:pPr>
        <w:pStyle w:val="Heading5"/>
      </w:pPr>
      <w:bookmarkStart w:id="123" w:name="_Toc272414643"/>
      <w:bookmarkStart w:id="124" w:name="_Toc290888491"/>
      <w:bookmarkStart w:id="125" w:name="_Toc353192480"/>
      <w:r w:rsidRPr="005C2B74">
        <w:t xml:space="preserve">Secondary </w:t>
      </w:r>
      <w:proofErr w:type="spellStart"/>
      <w:r w:rsidRPr="005C2B74">
        <w:t>pharmacodynamic</w:t>
      </w:r>
      <w:proofErr w:type="spellEnd"/>
      <w:r w:rsidRPr="005C2B74">
        <w:t xml:space="preserve"> effects</w:t>
      </w:r>
      <w:bookmarkEnd w:id="123"/>
      <w:bookmarkEnd w:id="124"/>
      <w:bookmarkEnd w:id="125"/>
    </w:p>
    <w:p w:rsidR="0082410E" w:rsidRPr="00442DE5" w:rsidRDefault="008C2D32" w:rsidP="008C2D32">
      <w:proofErr w:type="gramStart"/>
      <w:r>
        <w:t>None.</w:t>
      </w:r>
      <w:proofErr w:type="gramEnd"/>
    </w:p>
    <w:p w:rsidR="0082410E" w:rsidRPr="005C2B74" w:rsidRDefault="0082410E" w:rsidP="008C2D32">
      <w:pPr>
        <w:pStyle w:val="Heading4"/>
      </w:pPr>
      <w:bookmarkStart w:id="126" w:name="_Toc272414644"/>
      <w:bookmarkStart w:id="127" w:name="_Toc290888492"/>
      <w:bookmarkStart w:id="128" w:name="_Toc353192481"/>
      <w:r w:rsidRPr="005C2B74">
        <w:t xml:space="preserve">Time course of </w:t>
      </w:r>
      <w:proofErr w:type="spellStart"/>
      <w:r w:rsidRPr="005C2B74">
        <w:t>pharmacodynamic</w:t>
      </w:r>
      <w:proofErr w:type="spellEnd"/>
      <w:r w:rsidRPr="005C2B74">
        <w:t xml:space="preserve"> effects</w:t>
      </w:r>
      <w:bookmarkEnd w:id="126"/>
      <w:bookmarkEnd w:id="127"/>
      <w:bookmarkEnd w:id="128"/>
    </w:p>
    <w:p w:rsidR="0082410E" w:rsidRPr="00442DE5" w:rsidRDefault="0082410E" w:rsidP="008C2D32">
      <w:r w:rsidRPr="00442DE5">
        <w:t>Thes</w:t>
      </w:r>
      <w:r w:rsidR="008B1B5D">
        <w:t>e are imputed as described above.</w:t>
      </w:r>
    </w:p>
    <w:p w:rsidR="0082410E" w:rsidRPr="005C2B74" w:rsidRDefault="0082410E" w:rsidP="008C2D32">
      <w:pPr>
        <w:pStyle w:val="Heading4"/>
      </w:pPr>
      <w:bookmarkStart w:id="129" w:name="_Toc272414645"/>
      <w:bookmarkStart w:id="130" w:name="_Toc290888493"/>
      <w:bookmarkStart w:id="131" w:name="_Toc353192482"/>
      <w:r w:rsidRPr="005C2B74">
        <w:t xml:space="preserve">Relationship between </w:t>
      </w:r>
      <w:r w:rsidRPr="008C2D32">
        <w:t>drug</w:t>
      </w:r>
      <w:r w:rsidRPr="005C2B74">
        <w:t xml:space="preserve"> concentration and </w:t>
      </w:r>
      <w:proofErr w:type="spellStart"/>
      <w:r w:rsidRPr="005C2B74">
        <w:t>pharmacodynamic</w:t>
      </w:r>
      <w:proofErr w:type="spellEnd"/>
      <w:r w:rsidRPr="005C2B74">
        <w:t xml:space="preserve"> effects</w:t>
      </w:r>
      <w:bookmarkEnd w:id="129"/>
      <w:bookmarkEnd w:id="130"/>
      <w:bookmarkEnd w:id="131"/>
    </w:p>
    <w:p w:rsidR="0082410E" w:rsidRPr="00442DE5" w:rsidRDefault="0082410E" w:rsidP="00A74DCD">
      <w:r w:rsidRPr="00442DE5">
        <w:t xml:space="preserve">Topical ocular application of 0.6% </w:t>
      </w:r>
      <w:proofErr w:type="spellStart"/>
      <w:r w:rsidRPr="00442DE5">
        <w:t>besifloxacin</w:t>
      </w:r>
      <w:proofErr w:type="spellEnd"/>
      <w:r w:rsidRPr="00442DE5">
        <w:t xml:space="preserve"> ophthalmic suspension result in high therapeutic levels of </w:t>
      </w:r>
      <w:proofErr w:type="spellStart"/>
      <w:r w:rsidRPr="00442DE5">
        <w:t>besifloxacin</w:t>
      </w:r>
      <w:proofErr w:type="spellEnd"/>
      <w:r w:rsidRPr="00442DE5">
        <w:t xml:space="preserve"> in human tears, with concentrations at 24 h (1.60 ± 2.28 </w:t>
      </w:r>
      <w:proofErr w:type="spellStart"/>
      <w:r w:rsidRPr="00442DE5">
        <w:t>μg</w:t>
      </w:r>
      <w:proofErr w:type="spellEnd"/>
      <w:r w:rsidRPr="00442DE5">
        <w:t xml:space="preserve">/g) which were above the MIC90 values for prevalent ocular pathogens. </w:t>
      </w:r>
      <w:proofErr w:type="spellStart"/>
      <w:r w:rsidRPr="00442DE5">
        <w:t>Favorable</w:t>
      </w:r>
      <w:proofErr w:type="spellEnd"/>
      <w:r w:rsidRPr="00442DE5">
        <w:t xml:space="preserve"> ratios for effective and resistance-limiting levels of anti-</w:t>
      </w:r>
      <w:proofErr w:type="spellStart"/>
      <w:r w:rsidRPr="00442DE5">
        <w:t>infectives</w:t>
      </w:r>
      <w:proofErr w:type="spellEnd"/>
      <w:r w:rsidRPr="00442DE5">
        <w:t xml:space="preserve"> have been proposed to be </w:t>
      </w:r>
      <w:proofErr w:type="spellStart"/>
      <w:r w:rsidRPr="00442DE5">
        <w:t>Cmax</w:t>
      </w:r>
      <w:proofErr w:type="spellEnd"/>
      <w:r w:rsidRPr="00442DE5">
        <w:t>/MIC90 ‡10 and AUC24/MIC90 ‡30-50 for gram-positive bacteria or ‡100-125 for gram-negative bacteria</w:t>
      </w:r>
      <w:r w:rsidR="003A307B">
        <w:t>.</w:t>
      </w:r>
      <w:r w:rsidR="00294EAE">
        <w:rPr>
          <w:rStyle w:val="FootnoteReference"/>
        </w:rPr>
        <w:footnoteReference w:id="6"/>
      </w:r>
      <w:r w:rsidRPr="00442DE5">
        <w:t xml:space="preserve"> These ratios are useful for evaluating plasma concentrations and have also been proposed for evaluating tissue </w:t>
      </w:r>
      <w:r w:rsidR="00454509">
        <w:t>concentration</w:t>
      </w:r>
      <w:r w:rsidRPr="00442DE5">
        <w:t>s for</w:t>
      </w:r>
      <w:r w:rsidR="00883D04">
        <w:t xml:space="preserve"> local infections.</w:t>
      </w:r>
      <w:r w:rsidR="00EB5F94">
        <w:rPr>
          <w:rStyle w:val="FootnoteReference"/>
        </w:rPr>
        <w:footnoteReference w:id="7"/>
      </w:r>
      <w:r w:rsidR="00883D04">
        <w:t xml:space="preserve"> </w:t>
      </w:r>
      <w:r w:rsidRPr="00442DE5">
        <w:t xml:space="preserve">The predicted PK/PD ratios for </w:t>
      </w:r>
      <w:proofErr w:type="spellStart"/>
      <w:r w:rsidRPr="00442DE5">
        <w:t>besifloxacin</w:t>
      </w:r>
      <w:proofErr w:type="spellEnd"/>
      <w:r w:rsidRPr="00442DE5">
        <w:t xml:space="preserve"> with TID dosing are imputed as described above, but suggest that the </w:t>
      </w:r>
      <w:proofErr w:type="spellStart"/>
      <w:r w:rsidRPr="00442DE5">
        <w:t>Cmax</w:t>
      </w:r>
      <w:proofErr w:type="spellEnd"/>
      <w:r w:rsidRPr="00442DE5">
        <w:t xml:space="preserve">/MIC90 and AUC24/MIC90 are substantially above target values published for </w:t>
      </w:r>
      <w:proofErr w:type="spellStart"/>
      <w:r w:rsidRPr="00442DE5">
        <w:t>fluoroquinolones</w:t>
      </w:r>
      <w:proofErr w:type="spellEnd"/>
      <w:r w:rsidRPr="00442DE5">
        <w:t xml:space="preserve"> regardless of whether total </w:t>
      </w:r>
      <w:proofErr w:type="spellStart"/>
      <w:r w:rsidRPr="00442DE5">
        <w:t>besifloxacin</w:t>
      </w:r>
      <w:proofErr w:type="spellEnd"/>
      <w:r w:rsidRPr="00442DE5">
        <w:t xml:space="preserve"> concentrations or only unbound </w:t>
      </w:r>
      <w:proofErr w:type="spellStart"/>
      <w:r w:rsidRPr="00442DE5">
        <w:t>besifloxacin</w:t>
      </w:r>
      <w:proofErr w:type="spellEnd"/>
      <w:r w:rsidR="00A74DCD">
        <w:t xml:space="preserve"> concentrations are considered.</w:t>
      </w:r>
    </w:p>
    <w:p w:rsidR="0082410E" w:rsidRPr="00442DE5" w:rsidRDefault="0082410E" w:rsidP="00A74DCD">
      <w:proofErr w:type="spellStart"/>
      <w:r w:rsidRPr="00442DE5">
        <w:t>Besifloxacin</w:t>
      </w:r>
      <w:proofErr w:type="spellEnd"/>
      <w:r w:rsidRPr="00442DE5">
        <w:t xml:space="preserve"> MBCs within 1-2 dilutions of the MIC (MBC</w:t>
      </w:r>
      <w:proofErr w:type="gramStart"/>
      <w:r w:rsidRPr="00442DE5">
        <w:t>:MIC</w:t>
      </w:r>
      <w:proofErr w:type="gramEnd"/>
      <w:r w:rsidRPr="00442DE5">
        <w:t xml:space="preserve"> ratios ≤2) were observed for the majority of ocular isolates tested (S. </w:t>
      </w:r>
      <w:proofErr w:type="spellStart"/>
      <w:r w:rsidRPr="00442DE5">
        <w:t>pneumoniae</w:t>
      </w:r>
      <w:proofErr w:type="spellEnd"/>
      <w:r w:rsidRPr="00442DE5">
        <w:t xml:space="preserve">, S. </w:t>
      </w:r>
      <w:proofErr w:type="spellStart"/>
      <w:r w:rsidRPr="00442DE5">
        <w:t>epidermidis</w:t>
      </w:r>
      <w:proofErr w:type="spellEnd"/>
      <w:r w:rsidRPr="00442DE5">
        <w:t xml:space="preserve">, H. </w:t>
      </w:r>
      <w:proofErr w:type="spellStart"/>
      <w:r w:rsidRPr="00442DE5">
        <w:t>influenzae</w:t>
      </w:r>
      <w:proofErr w:type="spellEnd"/>
      <w:r w:rsidRPr="00442DE5">
        <w:t xml:space="preserve">, and S. </w:t>
      </w:r>
      <w:proofErr w:type="spellStart"/>
      <w:r w:rsidRPr="00442DE5">
        <w:t>aureus</w:t>
      </w:r>
      <w:proofErr w:type="spellEnd"/>
      <w:r w:rsidRPr="00442DE5">
        <w:t xml:space="preserve">). </w:t>
      </w:r>
      <w:proofErr w:type="spellStart"/>
      <w:r w:rsidRPr="00442DE5">
        <w:lastRenderedPageBreak/>
        <w:t>Besifloxacin</w:t>
      </w:r>
      <w:proofErr w:type="spellEnd"/>
      <w:r w:rsidRPr="00442DE5">
        <w:t xml:space="preserve"> MBCs were within 4-fold of the MIC for more than 80% of the isolates tested. Among staphylococci, equivalent </w:t>
      </w:r>
      <w:proofErr w:type="spellStart"/>
      <w:r w:rsidRPr="00442DE5">
        <w:t>besifloxacin</w:t>
      </w:r>
      <w:proofErr w:type="spellEnd"/>
      <w:r w:rsidRPr="00442DE5">
        <w:t xml:space="preserve"> MBC</w:t>
      </w:r>
      <w:proofErr w:type="gramStart"/>
      <w:r w:rsidRPr="00442DE5">
        <w:t>:MIC</w:t>
      </w:r>
      <w:proofErr w:type="gramEnd"/>
      <w:r w:rsidRPr="00442DE5">
        <w:t xml:space="preserve"> ratios were observed for both ciprofloxacin susceptible or resistant isolates, as well as for methicillin susceptible (</w:t>
      </w:r>
      <w:proofErr w:type="spellStart"/>
      <w:r w:rsidRPr="00442DE5">
        <w:t>MethS</w:t>
      </w:r>
      <w:proofErr w:type="spellEnd"/>
      <w:r w:rsidRPr="00442DE5">
        <w:t xml:space="preserve">) </w:t>
      </w:r>
      <w:r w:rsidRPr="00442DE5">
        <w:rPr>
          <w:b/>
        </w:rPr>
        <w:t>or resistant</w:t>
      </w:r>
      <w:r w:rsidRPr="00442DE5">
        <w:t xml:space="preserve"> (</w:t>
      </w:r>
      <w:proofErr w:type="spellStart"/>
      <w:r w:rsidRPr="00442DE5">
        <w:t>MethR</w:t>
      </w:r>
      <w:proofErr w:type="spellEnd"/>
      <w:r w:rsidRPr="00442DE5">
        <w:t>) isolates. The MBC</w:t>
      </w:r>
      <w:proofErr w:type="gramStart"/>
      <w:r w:rsidRPr="00442DE5">
        <w:t>:MIC</w:t>
      </w:r>
      <w:proofErr w:type="gramEnd"/>
      <w:r w:rsidRPr="00442DE5">
        <w:t xml:space="preserve"> ratios observed with </w:t>
      </w:r>
      <w:proofErr w:type="spellStart"/>
      <w:r w:rsidRPr="00442DE5">
        <w:t>besifloxacin</w:t>
      </w:r>
      <w:proofErr w:type="spellEnd"/>
      <w:r w:rsidRPr="00442DE5">
        <w:t xml:space="preserve"> were similar to or slightly lower than for comparator </w:t>
      </w:r>
      <w:proofErr w:type="spellStart"/>
      <w:r w:rsidRPr="00442DE5">
        <w:t>fluoroquinolones</w:t>
      </w:r>
      <w:proofErr w:type="spellEnd"/>
      <w:r w:rsidRPr="00442DE5">
        <w:t xml:space="preserve">. In summary, against the majority of ocular isolates tested, the MBC did not exceed 2-fold the initial MIC, </w:t>
      </w:r>
      <w:r w:rsidRPr="00442DE5">
        <w:rPr>
          <w:b/>
        </w:rPr>
        <w:t xml:space="preserve">indicating a bactericidal mode of action for </w:t>
      </w:r>
      <w:proofErr w:type="spellStart"/>
      <w:r w:rsidRPr="00442DE5">
        <w:rPr>
          <w:b/>
        </w:rPr>
        <w:t>besifloxacin</w:t>
      </w:r>
      <w:proofErr w:type="spellEnd"/>
      <w:r w:rsidRPr="00442DE5">
        <w:rPr>
          <w:b/>
        </w:rPr>
        <w:t>.</w:t>
      </w:r>
    </w:p>
    <w:p w:rsidR="0082410E" w:rsidRPr="00442DE5" w:rsidRDefault="0082410E" w:rsidP="00A74DCD">
      <w:r w:rsidRPr="00442DE5">
        <w:t xml:space="preserve">This </w:t>
      </w:r>
      <w:r w:rsidRPr="005422D8">
        <w:rPr>
          <w:i/>
        </w:rPr>
        <w:t>in vitro</w:t>
      </w:r>
      <w:r w:rsidRPr="00442DE5">
        <w:t xml:space="preserve"> antimicrobial activity of </w:t>
      </w:r>
      <w:proofErr w:type="spellStart"/>
      <w:r w:rsidRPr="00442DE5">
        <w:t>besifloxacin</w:t>
      </w:r>
      <w:proofErr w:type="spellEnd"/>
      <w:r w:rsidRPr="00442DE5">
        <w:t xml:space="preserve"> is supported by results from two </w:t>
      </w:r>
      <w:r w:rsidRPr="005422D8">
        <w:rPr>
          <w:i/>
        </w:rPr>
        <w:t>in vivo</w:t>
      </w:r>
      <w:r w:rsidRPr="00442DE5">
        <w:t xml:space="preserve"> studies conducted in animal models - staphylococcal infections and ocular inflammation in a rabbit model of </w:t>
      </w:r>
      <w:proofErr w:type="spellStart"/>
      <w:r w:rsidRPr="00442DE5">
        <w:t>endophthalmitis</w:t>
      </w:r>
      <w:proofErr w:type="spellEnd"/>
      <w:r w:rsidRPr="00442DE5">
        <w:t xml:space="preserve"> and systemic pneumococcal infections in mice. More importantly, Studies 373, 433 and 434 assessed clinical and microbiological efficacy in humans.</w:t>
      </w:r>
      <w:r w:rsidR="005422D8">
        <w:t xml:space="preserve"> </w:t>
      </w:r>
      <w:r w:rsidRPr="00442DE5">
        <w:t xml:space="preserve">In general, the US and Asian sites were similar with respect to isolates, phenotypes, and sensitivities. From a microbiological perspective, the baseline pathogen distribution was similar across the </w:t>
      </w:r>
      <w:proofErr w:type="spellStart"/>
      <w:r w:rsidRPr="00442DE5">
        <w:t>besifloxacin</w:t>
      </w:r>
      <w:proofErr w:type="spellEnd"/>
      <w:r w:rsidRPr="00442DE5">
        <w:t xml:space="preserve">, vehicle, and </w:t>
      </w:r>
      <w:proofErr w:type="spellStart"/>
      <w:r w:rsidRPr="00442DE5">
        <w:t>Vigamox</w:t>
      </w:r>
      <w:proofErr w:type="spellEnd"/>
      <w:r w:rsidRPr="00442DE5">
        <w:t xml:space="preserve"> treatment groups of all three </w:t>
      </w:r>
      <w:r w:rsidRPr="00E06E72">
        <w:t xml:space="preserve">studies. </w:t>
      </w:r>
      <w:r w:rsidR="00314DC2" w:rsidRPr="00E06E72">
        <w:t>Table 1</w:t>
      </w:r>
      <w:r w:rsidR="00314DC2">
        <w:rPr>
          <w:b/>
        </w:rPr>
        <w:t xml:space="preserve"> </w:t>
      </w:r>
      <w:r w:rsidRPr="00442DE5">
        <w:t xml:space="preserve">summarises the isolates from these studies and the MIC of the organisms to </w:t>
      </w:r>
      <w:proofErr w:type="spellStart"/>
      <w:r w:rsidRPr="00442DE5">
        <w:t>Besifloxacin</w:t>
      </w:r>
      <w:proofErr w:type="spellEnd"/>
      <w:r w:rsidRPr="00442DE5">
        <w:t xml:space="preserve">, a range of other quinolones and azithromycin. The relative frequency of organisms isolated at threshold levels or higher from these studies, H. </w:t>
      </w:r>
      <w:proofErr w:type="spellStart"/>
      <w:r w:rsidRPr="00442DE5">
        <w:t>influenzae</w:t>
      </w:r>
      <w:proofErr w:type="spellEnd"/>
      <w:r w:rsidRPr="00442DE5">
        <w:t xml:space="preserve">, S. </w:t>
      </w:r>
      <w:proofErr w:type="spellStart"/>
      <w:r w:rsidRPr="00442DE5">
        <w:t>pneumoniae</w:t>
      </w:r>
      <w:proofErr w:type="spellEnd"/>
      <w:r w:rsidRPr="00442DE5">
        <w:t xml:space="preserve">, S. </w:t>
      </w:r>
      <w:proofErr w:type="spellStart"/>
      <w:r w:rsidRPr="00442DE5">
        <w:t>aureus</w:t>
      </w:r>
      <w:proofErr w:type="spellEnd"/>
      <w:r w:rsidRPr="00442DE5">
        <w:t xml:space="preserve"> and S. </w:t>
      </w:r>
      <w:proofErr w:type="spellStart"/>
      <w:r w:rsidRPr="00442DE5">
        <w:t>epidermidis</w:t>
      </w:r>
      <w:proofErr w:type="spellEnd"/>
      <w:r w:rsidRPr="00442DE5">
        <w:t xml:space="preserve"> were similar to previous studies of bacterial conjunctivitis.</w:t>
      </w:r>
      <w:r w:rsidR="005422D8">
        <w:t xml:space="preserve"> </w:t>
      </w:r>
      <w:r w:rsidRPr="00442DE5">
        <w:t xml:space="preserve">See </w:t>
      </w:r>
      <w:r w:rsidR="007E6DEC">
        <w:t xml:space="preserve">the ‘Clinical efficacy’ section of this clinical evaluation report </w:t>
      </w:r>
      <w:r w:rsidRPr="00442DE5">
        <w:t>for more details of these studies</w:t>
      </w:r>
      <w:r w:rsidR="007E6DEC">
        <w:t xml:space="preserve">. </w:t>
      </w:r>
      <w:r w:rsidRPr="00442DE5">
        <w:t xml:space="preserve">Overall, microbiological eradication rates for </w:t>
      </w:r>
      <w:proofErr w:type="spellStart"/>
      <w:r w:rsidRPr="00442DE5">
        <w:t>besifloxacin</w:t>
      </w:r>
      <w:proofErr w:type="spellEnd"/>
      <w:r w:rsidRPr="00442DE5">
        <w:t xml:space="preserve"> ophthalmic suspension in these studies were similar to those seen when treating with topical </w:t>
      </w:r>
      <w:proofErr w:type="spellStart"/>
      <w:r w:rsidRPr="00442DE5">
        <w:t>moxifloxacin</w:t>
      </w:r>
      <w:proofErr w:type="spellEnd"/>
      <w:r w:rsidRPr="00442DE5">
        <w:t xml:space="preserve"> and s</w:t>
      </w:r>
      <w:r w:rsidR="00A74DCD">
        <w:t>uperior to the vehicle control.</w:t>
      </w:r>
    </w:p>
    <w:p w:rsidR="0082410E" w:rsidRPr="00442DE5" w:rsidRDefault="0082410E" w:rsidP="00A74DCD">
      <w:r w:rsidRPr="00442DE5">
        <w:t xml:space="preserve">In summary, a total of 1324 isolates were recovered from subjects at baseline (Visit 1) in the </w:t>
      </w:r>
      <w:proofErr w:type="spellStart"/>
      <w:r w:rsidRPr="00442DE5">
        <w:t>mITT</w:t>
      </w:r>
      <w:proofErr w:type="spellEnd"/>
      <w:r w:rsidRPr="00442DE5">
        <w:t xml:space="preserve"> as treated population species specific study eye across all treatment groups. Overall MIC50/MIC90 values for the 1324 isolates of all species were 0.06/0.25 </w:t>
      </w:r>
      <w:proofErr w:type="spellStart"/>
      <w:r w:rsidRPr="00442DE5">
        <w:t>μg</w:t>
      </w:r>
      <w:proofErr w:type="spellEnd"/>
      <w:r w:rsidRPr="00442DE5">
        <w:t xml:space="preserve">/mL for </w:t>
      </w:r>
      <w:proofErr w:type="spellStart"/>
      <w:r w:rsidRPr="00442DE5">
        <w:t>besifloxacin</w:t>
      </w:r>
      <w:proofErr w:type="spellEnd"/>
      <w:r w:rsidRPr="00442DE5">
        <w:t xml:space="preserve">. Of the 1324 bacterial isolates, 886 (66.9%) were Gram positive, while the remaining 438 (33.1%) were Gram-negative. The </w:t>
      </w:r>
      <w:proofErr w:type="spellStart"/>
      <w:r w:rsidRPr="00442DE5">
        <w:t>besifloxacin</w:t>
      </w:r>
      <w:proofErr w:type="spellEnd"/>
      <w:r w:rsidRPr="00442DE5">
        <w:t xml:space="preserve"> MIC50/MIC90 values were 0.06/0.25 </w:t>
      </w:r>
      <w:proofErr w:type="spellStart"/>
      <w:r w:rsidRPr="00442DE5">
        <w:t>μg</w:t>
      </w:r>
      <w:proofErr w:type="spellEnd"/>
      <w:r w:rsidRPr="00442DE5">
        <w:t xml:space="preserve">/mL for Gram-positive bacteria and 0.03/0.5 </w:t>
      </w:r>
      <w:proofErr w:type="spellStart"/>
      <w:r w:rsidRPr="00442DE5">
        <w:t>μg</w:t>
      </w:r>
      <w:proofErr w:type="spellEnd"/>
      <w:r w:rsidRPr="00442DE5">
        <w:t xml:space="preserve">/mL for Gram-negative bacteria. Because higher proportions of quinolone-resistant strains were present in the non-clinical studies than were recovered during </w:t>
      </w:r>
      <w:proofErr w:type="spellStart"/>
      <w:r w:rsidRPr="00442DE5">
        <w:t>besifloxacin</w:t>
      </w:r>
      <w:proofErr w:type="spellEnd"/>
      <w:r w:rsidRPr="00442DE5">
        <w:t xml:space="preserve"> clinical trials, the overall non-clinical isolate MIC90 value was 4-fold higher than the clinical MIC90 value (1 and 0.25 </w:t>
      </w:r>
      <w:proofErr w:type="spellStart"/>
      <w:r w:rsidRPr="00442DE5">
        <w:t>μg</w:t>
      </w:r>
      <w:proofErr w:type="spellEnd"/>
      <w:r w:rsidRPr="00442DE5">
        <w:t xml:space="preserve">/ml, respectively). However, </w:t>
      </w:r>
      <w:proofErr w:type="spellStart"/>
      <w:r w:rsidRPr="00442DE5">
        <w:t>besifloxacin</w:t>
      </w:r>
      <w:proofErr w:type="spellEnd"/>
      <w:r w:rsidRPr="00442DE5">
        <w:t xml:space="preserve"> MIC distributions were similar when clinical isolates were compared to only the 910 quinolone susceptible non-clinical isolates, with equivalent MIC50/MIC90 values between all clinical isolates and quinolone susceptible non-clinical isolates (0.06/0.25 and </w:t>
      </w:r>
      <w:r w:rsidR="00A74DCD">
        <w:t xml:space="preserve">0.06/0.12 </w:t>
      </w:r>
      <w:proofErr w:type="spellStart"/>
      <w:r w:rsidR="00A74DCD">
        <w:t>μg</w:t>
      </w:r>
      <w:proofErr w:type="spellEnd"/>
      <w:r w:rsidR="00A74DCD">
        <w:t>/ml, respectively).</w:t>
      </w:r>
    </w:p>
    <w:p w:rsidR="00442DE5" w:rsidRDefault="00A74DCD" w:rsidP="00A74DCD">
      <w:pPr>
        <w:pStyle w:val="Heading5"/>
      </w:pPr>
      <w:r>
        <w:t>Mechanisms of r</w:t>
      </w:r>
      <w:r w:rsidR="0082410E" w:rsidRPr="005C2B74">
        <w:t>esistance</w:t>
      </w:r>
    </w:p>
    <w:p w:rsidR="0082410E" w:rsidRPr="00442DE5" w:rsidRDefault="0082410E" w:rsidP="00A74DCD">
      <w:r w:rsidRPr="00442DE5">
        <w:t xml:space="preserve">The primary target of quinolones is bacterial DNA </w:t>
      </w:r>
      <w:proofErr w:type="spellStart"/>
      <w:r w:rsidRPr="00442DE5">
        <w:t>gyrase</w:t>
      </w:r>
      <w:proofErr w:type="spellEnd"/>
      <w:r w:rsidRPr="00442DE5">
        <w:t xml:space="preserve"> and topoisomerase IV. DNA </w:t>
      </w:r>
      <w:proofErr w:type="spellStart"/>
      <w:r w:rsidRPr="00442DE5">
        <w:t>gyrase</w:t>
      </w:r>
      <w:proofErr w:type="spellEnd"/>
      <w:r w:rsidRPr="00442DE5">
        <w:t xml:space="preserve"> is responsible for maintaining negative supercoiling of bacterial chromosomes and comprises two subunits, </w:t>
      </w:r>
      <w:proofErr w:type="spellStart"/>
      <w:r w:rsidRPr="00442DE5">
        <w:t>GyrA</w:t>
      </w:r>
      <w:proofErr w:type="spellEnd"/>
      <w:r w:rsidRPr="00442DE5">
        <w:t xml:space="preserve"> &amp; </w:t>
      </w:r>
      <w:proofErr w:type="spellStart"/>
      <w:r w:rsidRPr="00442DE5">
        <w:t>GyrB</w:t>
      </w:r>
      <w:proofErr w:type="spellEnd"/>
      <w:r w:rsidRPr="00442DE5">
        <w:t xml:space="preserve">. Topoisomerase IV is essential for </w:t>
      </w:r>
      <w:proofErr w:type="spellStart"/>
      <w:r w:rsidRPr="00442DE5">
        <w:t>decatenation</w:t>
      </w:r>
      <w:proofErr w:type="spellEnd"/>
      <w:r w:rsidRPr="00442DE5">
        <w:t xml:space="preserve"> of interlinked bacterial chromosomes after replication. Topoisomerase IV is composed of two subunits, </w:t>
      </w:r>
      <w:proofErr w:type="spellStart"/>
      <w:r w:rsidRPr="00442DE5">
        <w:t>ParC</w:t>
      </w:r>
      <w:proofErr w:type="spellEnd"/>
      <w:r w:rsidRPr="00442DE5">
        <w:t xml:space="preserve"> and </w:t>
      </w:r>
      <w:proofErr w:type="spellStart"/>
      <w:r w:rsidRPr="00442DE5">
        <w:t>ParE</w:t>
      </w:r>
      <w:proofErr w:type="spellEnd"/>
      <w:r w:rsidRPr="00442DE5">
        <w:t xml:space="preserve"> (also known as </w:t>
      </w:r>
      <w:proofErr w:type="spellStart"/>
      <w:r w:rsidRPr="00442DE5">
        <w:t>GrlA</w:t>
      </w:r>
      <w:proofErr w:type="spellEnd"/>
      <w:r w:rsidRPr="00442DE5">
        <w:t xml:space="preserve"> and </w:t>
      </w:r>
      <w:proofErr w:type="spellStart"/>
      <w:r w:rsidRPr="00442DE5">
        <w:t>GrlB</w:t>
      </w:r>
      <w:proofErr w:type="spellEnd"/>
      <w:r w:rsidRPr="00442DE5">
        <w:t xml:space="preserve">, respectively). DNA </w:t>
      </w:r>
      <w:proofErr w:type="spellStart"/>
      <w:r w:rsidRPr="00442DE5">
        <w:t>gyrase</w:t>
      </w:r>
      <w:proofErr w:type="spellEnd"/>
      <w:r w:rsidRPr="00442DE5">
        <w:t xml:space="preserve"> and topoisomerase IV are similar in sequence, structure and function. Mutations through amino acid substitutions and deletions in the genes encoding these enzymes are the primary cause of clinically relevant levels of </w:t>
      </w:r>
      <w:proofErr w:type="spellStart"/>
      <w:r w:rsidRPr="00442DE5">
        <w:t>fluoroquinolne</w:t>
      </w:r>
      <w:proofErr w:type="spellEnd"/>
      <w:r w:rsidRPr="00442DE5">
        <w:t xml:space="preserve"> resistance in S. </w:t>
      </w:r>
      <w:proofErr w:type="spellStart"/>
      <w:r w:rsidRPr="00442DE5">
        <w:t>aureus</w:t>
      </w:r>
      <w:proofErr w:type="spellEnd"/>
      <w:r w:rsidRPr="00442DE5">
        <w:t xml:space="preserve">. Mutations that confer high-level </w:t>
      </w:r>
      <w:proofErr w:type="spellStart"/>
      <w:r w:rsidRPr="00442DE5">
        <w:t>fluoroquinolone</w:t>
      </w:r>
      <w:proofErr w:type="spellEnd"/>
      <w:r w:rsidRPr="00442DE5">
        <w:t xml:space="preserve"> resistance are frequently found in the quinolone resistance-determining region (QRDR). The addition of a </w:t>
      </w:r>
      <w:proofErr w:type="spellStart"/>
      <w:r w:rsidRPr="00442DE5">
        <w:t>fluoroquinolone</w:t>
      </w:r>
      <w:proofErr w:type="spellEnd"/>
      <w:r w:rsidRPr="00442DE5">
        <w:t xml:space="preserve"> traps the drug, the enzyme, and the cleaved DNA in a ternary cleavage complex that ultimately results in the death of the cell. </w:t>
      </w:r>
      <w:proofErr w:type="spellStart"/>
      <w:r w:rsidRPr="00442DE5">
        <w:t>Fluoroquinolone</w:t>
      </w:r>
      <w:proofErr w:type="spellEnd"/>
      <w:r w:rsidRPr="00442DE5">
        <w:t xml:space="preserve"> treatment </w:t>
      </w:r>
      <w:r w:rsidRPr="00442DE5">
        <w:lastRenderedPageBreak/>
        <w:t xml:space="preserve">leads to selection of strains that contain mutations in DNA </w:t>
      </w:r>
      <w:proofErr w:type="spellStart"/>
      <w:r w:rsidRPr="00442DE5">
        <w:t>gyrase</w:t>
      </w:r>
      <w:proofErr w:type="spellEnd"/>
      <w:r w:rsidRPr="00442DE5">
        <w:t xml:space="preserve"> and topoisomerase IV</w:t>
      </w:r>
      <w:r w:rsidR="008A7098">
        <w:t>.</w:t>
      </w:r>
      <w:r w:rsidR="008A7098">
        <w:rPr>
          <w:rStyle w:val="FootnoteReference"/>
        </w:rPr>
        <w:footnoteReference w:id="8"/>
      </w:r>
      <w:r w:rsidRPr="00442DE5">
        <w:t xml:space="preserve"> While ciprofloxacin &amp; </w:t>
      </w:r>
      <w:proofErr w:type="spellStart"/>
      <w:r w:rsidRPr="00442DE5">
        <w:t>ofloxacin</w:t>
      </w:r>
      <w:proofErr w:type="spellEnd"/>
      <w:r w:rsidRPr="00442DE5">
        <w:t xml:space="preserve"> preferentially target one enzyme more than the other, the structural modifications of newer </w:t>
      </w:r>
      <w:proofErr w:type="spellStart"/>
      <w:r w:rsidRPr="00442DE5">
        <w:t>fluoroquinolones</w:t>
      </w:r>
      <w:proofErr w:type="spellEnd"/>
      <w:r w:rsidRPr="00442DE5">
        <w:t xml:space="preserve"> including </w:t>
      </w:r>
      <w:proofErr w:type="spellStart"/>
      <w:r w:rsidRPr="00442DE5">
        <w:t>besifloxacin</w:t>
      </w:r>
      <w:proofErr w:type="spellEnd"/>
      <w:r w:rsidRPr="00442DE5">
        <w:t xml:space="preserve">, results in </w:t>
      </w:r>
      <w:proofErr w:type="spellStart"/>
      <w:r w:rsidRPr="00442DE5">
        <w:t>targetting</w:t>
      </w:r>
      <w:proofErr w:type="spellEnd"/>
      <w:r w:rsidRPr="00442DE5">
        <w:t xml:space="preserve"> of </w:t>
      </w:r>
      <w:r w:rsidRPr="00442DE5">
        <w:rPr>
          <w:b/>
        </w:rPr>
        <w:t>both</w:t>
      </w:r>
      <w:r w:rsidRPr="00442DE5">
        <w:t xml:space="preserve"> enzymes with resultant greater activity against gram-positive bacteria</w:t>
      </w:r>
      <w:r w:rsidR="00442DE5">
        <w:t xml:space="preserve"> and reduced risk of </w:t>
      </w:r>
      <w:r w:rsidR="00A74DCD">
        <w:t>resistance.</w:t>
      </w:r>
    </w:p>
    <w:p w:rsidR="0082410E" w:rsidRPr="00442DE5" w:rsidRDefault="0082410E" w:rsidP="0076348D">
      <w:r w:rsidRPr="00442DE5">
        <w:t xml:space="preserve">Resistance to </w:t>
      </w:r>
      <w:proofErr w:type="spellStart"/>
      <w:r w:rsidRPr="00442DE5">
        <w:t>fluoroquinolones</w:t>
      </w:r>
      <w:proofErr w:type="spellEnd"/>
      <w:r w:rsidRPr="00442DE5">
        <w:t xml:space="preserve"> is via single-step or multi-step mutations. Single-step mutations mainly occur within genes that encode for 1 of the 2 principal target enzymes or in the genes involved in efflux pumps or membrane permeability proteins. These </w:t>
      </w:r>
      <w:proofErr w:type="gramStart"/>
      <w:r w:rsidRPr="00442DE5">
        <w:t>mutations,</w:t>
      </w:r>
      <w:proofErr w:type="gramEnd"/>
      <w:r w:rsidRPr="00442DE5">
        <w:t xml:space="preserve"> mostly produce </w:t>
      </w:r>
      <w:r w:rsidRPr="00442DE5">
        <w:rPr>
          <w:b/>
        </w:rPr>
        <w:t>low-level</w:t>
      </w:r>
      <w:r w:rsidRPr="00442DE5">
        <w:t xml:space="preserve"> antibiotic resistance. Multi-step mutations, where organisms acquire mutations in genes encoding </w:t>
      </w:r>
      <w:r w:rsidRPr="00442DE5">
        <w:rPr>
          <w:b/>
        </w:rPr>
        <w:t>both principal target enzymes</w:t>
      </w:r>
      <w:r w:rsidRPr="00442DE5">
        <w:t xml:space="preserve">, are more likely when bacteria are repeatedly exposed to </w:t>
      </w:r>
      <w:r w:rsidRPr="00442DE5">
        <w:rPr>
          <w:b/>
        </w:rPr>
        <w:t>low levels of antibiotic or with use of intermittent or tapered dosing over long periods</w:t>
      </w:r>
      <w:r w:rsidR="008A7098" w:rsidRPr="008A7098">
        <w:t>.</w:t>
      </w:r>
      <w:r w:rsidR="008A7098" w:rsidRPr="008A7098">
        <w:rPr>
          <w:rStyle w:val="FootnoteReference"/>
        </w:rPr>
        <w:footnoteReference w:id="9"/>
      </w:r>
      <w:r w:rsidR="008A7098" w:rsidRPr="008A7098">
        <w:t xml:space="preserve"> </w:t>
      </w:r>
      <w:r w:rsidRPr="00442DE5">
        <w:t xml:space="preserve">Acquisition of such high-level </w:t>
      </w:r>
      <w:proofErr w:type="spellStart"/>
      <w:r w:rsidRPr="00442DE5">
        <w:t>fluoroquinolone</w:t>
      </w:r>
      <w:proofErr w:type="spellEnd"/>
      <w:r w:rsidRPr="00442DE5">
        <w:t xml:space="preserve"> resistance is likely a serial process of chromosomal mutations and not related to gene transfer.</w:t>
      </w:r>
    </w:p>
    <w:p w:rsidR="0082410E" w:rsidRPr="005C2B74" w:rsidRDefault="0082410E" w:rsidP="0076348D">
      <w:pPr>
        <w:pStyle w:val="Heading5"/>
      </w:pPr>
      <w:r w:rsidRPr="005C2B74">
        <w:t xml:space="preserve">What is the risk of </w:t>
      </w:r>
      <w:proofErr w:type="spellStart"/>
      <w:r w:rsidRPr="005C2B74">
        <w:t>besifloxacin</w:t>
      </w:r>
      <w:proofErr w:type="spellEnd"/>
      <w:r w:rsidRPr="005C2B74">
        <w:t xml:space="preserve"> </w:t>
      </w:r>
      <w:r w:rsidRPr="0076348D">
        <w:t>as</w:t>
      </w:r>
      <w:r w:rsidRPr="005C2B74">
        <w:t xml:space="preserve"> a topical agent for bacterial conjunctivitis in regards to microbial resistance?</w:t>
      </w:r>
    </w:p>
    <w:p w:rsidR="0082410E" w:rsidRPr="00442DE5" w:rsidRDefault="0082410E" w:rsidP="0076348D">
      <w:r w:rsidRPr="00442DE5">
        <w:t xml:space="preserve">Currently, there are 5 </w:t>
      </w:r>
      <w:proofErr w:type="spellStart"/>
      <w:r w:rsidRPr="00442DE5">
        <w:t>fluoroquinolones</w:t>
      </w:r>
      <w:proofErr w:type="spellEnd"/>
      <w:r w:rsidRPr="00442DE5">
        <w:t xml:space="preserve"> registered for human use in Australia. Of these two, ciprofloxacin and </w:t>
      </w:r>
      <w:proofErr w:type="spellStart"/>
      <w:r w:rsidRPr="00442DE5">
        <w:t>ofloxacin</w:t>
      </w:r>
      <w:proofErr w:type="spellEnd"/>
      <w:r w:rsidRPr="00442DE5">
        <w:t xml:space="preserve"> are registered for </w:t>
      </w:r>
      <w:r w:rsidRPr="00442DE5">
        <w:rPr>
          <w:b/>
        </w:rPr>
        <w:t>topical ophthalmic use</w:t>
      </w:r>
      <w:r w:rsidRPr="00442DE5">
        <w:t>. In addition, there are a number of quinolones including ophthalmic preparations for use in animal husbandry.</w:t>
      </w:r>
    </w:p>
    <w:p w:rsidR="0082410E" w:rsidRPr="00442DE5" w:rsidRDefault="0082410E" w:rsidP="0076348D">
      <w:r w:rsidRPr="00442DE5">
        <w:t xml:space="preserve">Gram positive pathogens accounted for 52.5% of positive cultures, 72.1% of which were S. </w:t>
      </w:r>
      <w:proofErr w:type="spellStart"/>
      <w:r w:rsidRPr="00442DE5">
        <w:t>aureus</w:t>
      </w:r>
      <w:proofErr w:type="spellEnd"/>
      <w:r w:rsidR="00F20EF8">
        <w:rPr>
          <w:rStyle w:val="FootnoteReference"/>
        </w:rPr>
        <w:footnoteReference w:id="10"/>
      </w:r>
      <w:r w:rsidR="008A7098">
        <w:t xml:space="preserve"> </w:t>
      </w:r>
      <w:r w:rsidRPr="00442DE5">
        <w:t xml:space="preserve">in bacterial </w:t>
      </w:r>
      <w:proofErr w:type="spellStart"/>
      <w:r w:rsidRPr="00442DE5">
        <w:t>conjuctivitis</w:t>
      </w:r>
      <w:proofErr w:type="spellEnd"/>
      <w:r w:rsidRPr="00442DE5">
        <w:t xml:space="preserve">. Staphylococci infections are more common in adults; S </w:t>
      </w:r>
      <w:proofErr w:type="spellStart"/>
      <w:r w:rsidRPr="00442DE5">
        <w:t>pneumoniae</w:t>
      </w:r>
      <w:proofErr w:type="spellEnd"/>
      <w:r w:rsidRPr="00442DE5">
        <w:t xml:space="preserve"> and H. </w:t>
      </w:r>
      <w:proofErr w:type="spellStart"/>
      <w:r w:rsidRPr="00442DE5">
        <w:t>influenzae</w:t>
      </w:r>
      <w:proofErr w:type="spellEnd"/>
      <w:r w:rsidRPr="00442DE5">
        <w:t xml:space="preserve"> are more common in children. Bacterial conjunctivitis is generally self-limiting, with clinical resolution without any treatment in most patients in seven days. However, treatment with broad-spectrum topical antibiotics can accelerate the rate of clinical resolution and decrease the risk of contagious spread and this is the rationale for the use of t</w:t>
      </w:r>
      <w:r w:rsidR="0076348D">
        <w:t>hese topical antibiotic agents.</w:t>
      </w:r>
    </w:p>
    <w:p w:rsidR="0082410E" w:rsidRPr="00442DE5" w:rsidRDefault="0082410E" w:rsidP="0076348D">
      <w:pPr>
        <w:rPr>
          <w:highlight w:val="yellow"/>
        </w:rPr>
      </w:pPr>
      <w:r w:rsidRPr="005422D8">
        <w:rPr>
          <w:i/>
        </w:rPr>
        <w:t>In vitro</w:t>
      </w:r>
      <w:r w:rsidRPr="00442DE5">
        <w:t xml:space="preserve"> resistance to </w:t>
      </w:r>
      <w:proofErr w:type="spellStart"/>
      <w:r w:rsidRPr="00442DE5">
        <w:t>besifloxacin</w:t>
      </w:r>
      <w:proofErr w:type="spellEnd"/>
      <w:r w:rsidRPr="00442DE5">
        <w:t xml:space="preserve"> develops via </w:t>
      </w:r>
      <w:r w:rsidRPr="00442DE5">
        <w:rPr>
          <w:b/>
        </w:rPr>
        <w:t>multiple-step mutations</w:t>
      </w:r>
      <w:r w:rsidRPr="00442DE5">
        <w:t xml:space="preserve">. </w:t>
      </w:r>
      <w:proofErr w:type="spellStart"/>
      <w:r w:rsidRPr="00442DE5">
        <w:t>Besifloxacin</w:t>
      </w:r>
      <w:proofErr w:type="spellEnd"/>
      <w:r w:rsidRPr="00442DE5">
        <w:t xml:space="preserve"> is associated with a low MPC (Mutant prevention concentration), which suggests that spontaneously emerging mutants might not be able to gain much in terms of an increased resistance (higher Minimum Inhibition Concentration). For example, in Staphylococcus </w:t>
      </w:r>
      <w:proofErr w:type="spellStart"/>
      <w:r w:rsidRPr="00442DE5">
        <w:t>aureus</w:t>
      </w:r>
      <w:proofErr w:type="spellEnd"/>
      <w:r w:rsidRPr="00442DE5">
        <w:t xml:space="preserve"> and Streptococcus </w:t>
      </w:r>
      <w:proofErr w:type="spellStart"/>
      <w:r w:rsidRPr="00442DE5">
        <w:t>pneumoniae</w:t>
      </w:r>
      <w:proofErr w:type="spellEnd"/>
      <w:r w:rsidRPr="00442DE5">
        <w:t xml:space="preserve">, MPCs were only 4 times higher than the MICs for those organisms. Correspondingly, very few drug-resistant mutants were obtained </w:t>
      </w:r>
      <w:r w:rsidRPr="005422D8">
        <w:rPr>
          <w:i/>
        </w:rPr>
        <w:t>in vitro</w:t>
      </w:r>
      <w:r w:rsidRPr="00442DE5">
        <w:t xml:space="preserve"> for those two species (&lt; 1 mutant per 10</w:t>
      </w:r>
      <w:r w:rsidRPr="00442DE5">
        <w:rPr>
          <w:vertAlign w:val="superscript"/>
        </w:rPr>
        <w:t>10</w:t>
      </w:r>
      <w:r w:rsidRPr="00442DE5">
        <w:t xml:space="preserve"> cells). These data are consistent with the dual enzyme targeting action of </w:t>
      </w:r>
      <w:proofErr w:type="spellStart"/>
      <w:r w:rsidRPr="00442DE5">
        <w:t>besifloxacin</w:t>
      </w:r>
      <w:proofErr w:type="spellEnd"/>
      <w:r w:rsidRPr="00442DE5">
        <w:t xml:space="preserve">, which reduces the risk of resistance especially if exposure is limited to no more </w:t>
      </w:r>
      <w:proofErr w:type="spellStart"/>
      <w:r w:rsidRPr="00442DE5">
        <w:t>that</w:t>
      </w:r>
      <w:proofErr w:type="spellEnd"/>
      <w:r w:rsidRPr="00442DE5">
        <w:t xml:space="preserve"> 7 days,</w:t>
      </w:r>
      <w:r w:rsidR="0076348D">
        <w:t xml:space="preserve"> the proposed use of </w:t>
      </w:r>
      <w:proofErr w:type="spellStart"/>
      <w:r w:rsidR="0076348D">
        <w:t>Besivance</w:t>
      </w:r>
      <w:proofErr w:type="spellEnd"/>
      <w:r w:rsidR="0076348D">
        <w:t>.</w:t>
      </w:r>
    </w:p>
    <w:p w:rsidR="0082410E" w:rsidRPr="005C2B74" w:rsidRDefault="0082410E" w:rsidP="0076348D">
      <w:pPr>
        <w:pStyle w:val="Heading5"/>
      </w:pPr>
      <w:r w:rsidRPr="005C2B74">
        <w:t xml:space="preserve">Methicillin-resistant </w:t>
      </w:r>
      <w:r w:rsidR="0076348D">
        <w:rPr>
          <w:rFonts w:cs="Times-Italic"/>
          <w:iCs/>
        </w:rPr>
        <w:t>s</w:t>
      </w:r>
      <w:r w:rsidRPr="005C2B74">
        <w:rPr>
          <w:rFonts w:cs="Times-Italic"/>
          <w:iCs/>
        </w:rPr>
        <w:t xml:space="preserve">taphylococcus </w:t>
      </w:r>
      <w:proofErr w:type="spellStart"/>
      <w:r w:rsidRPr="005C2B74">
        <w:rPr>
          <w:rFonts w:cs="Times-Italic"/>
          <w:iCs/>
        </w:rPr>
        <w:t>aureus</w:t>
      </w:r>
      <w:proofErr w:type="spellEnd"/>
      <w:r w:rsidRPr="005C2B74">
        <w:rPr>
          <w:rFonts w:cs="Times-Italic"/>
          <w:iCs/>
        </w:rPr>
        <w:t xml:space="preserve"> </w:t>
      </w:r>
      <w:r w:rsidRPr="005C2B74">
        <w:t xml:space="preserve">(MRSA and Community-Acquired (CA-MRSA) </w:t>
      </w:r>
    </w:p>
    <w:p w:rsidR="0082410E" w:rsidRPr="00442DE5" w:rsidRDefault="0082410E" w:rsidP="0076348D">
      <w:r w:rsidRPr="00442DE5">
        <w:t>MRSA and CA-MRSA are growing problems globally and in Australia. Utilising MRSA isolates from the US, the 38 MRSA isolates analysed fell into the 2 clusters typical for hospital-associated MRSA (HA-MRSA) (n=22) or CA-MRSA (n=16). These results confirm that CA-MRSA poses a risk for ocular infections. However, while CA-MRSA tends to be more virulent, HA-MRSA is generally highly drug resistant. MIC90 (</w:t>
      </w:r>
      <w:proofErr w:type="spellStart"/>
      <w:r w:rsidRPr="00442DE5">
        <w:t>μg</w:t>
      </w:r>
      <w:proofErr w:type="spellEnd"/>
      <w:r w:rsidRPr="00442DE5">
        <w:t xml:space="preserve">/ml) values for HA-MRSA and CA-MRSA were 256 and 16 for ciprofloxacin, 64 and 2 for </w:t>
      </w:r>
      <w:proofErr w:type="spellStart"/>
      <w:r w:rsidRPr="00442DE5">
        <w:t>moxifloxacin</w:t>
      </w:r>
      <w:proofErr w:type="spellEnd"/>
      <w:r w:rsidRPr="00442DE5">
        <w:t xml:space="preserve"> and </w:t>
      </w:r>
      <w:proofErr w:type="spellStart"/>
      <w:r w:rsidRPr="00442DE5">
        <w:t>gatifloxacin</w:t>
      </w:r>
      <w:proofErr w:type="spellEnd"/>
      <w:r w:rsidRPr="00442DE5">
        <w:t xml:space="preserve">, and 4 and 0.5 for </w:t>
      </w:r>
      <w:proofErr w:type="spellStart"/>
      <w:r w:rsidRPr="00442DE5">
        <w:t>besifloxacin</w:t>
      </w:r>
      <w:proofErr w:type="spellEnd"/>
      <w:r w:rsidRPr="00442DE5">
        <w:t xml:space="preserve">, respectively indicating that for HA-MRSA quinolones cannot be used (as expected). Resistance </w:t>
      </w:r>
      <w:r w:rsidRPr="00442DE5">
        <w:lastRenderedPageBreak/>
        <w:t xml:space="preserve">development to </w:t>
      </w:r>
      <w:proofErr w:type="spellStart"/>
      <w:r w:rsidRPr="00442DE5">
        <w:t>besifloxacin</w:t>
      </w:r>
      <w:proofErr w:type="spellEnd"/>
      <w:r w:rsidRPr="00442DE5">
        <w:t xml:space="preserve"> was not observed in the isolates recovered fr</w:t>
      </w:r>
      <w:r w:rsidR="00161B7D">
        <w:t xml:space="preserve">om </w:t>
      </w:r>
      <w:proofErr w:type="spellStart"/>
      <w:r w:rsidR="00161B7D">
        <w:t>besifloxacin</w:t>
      </w:r>
      <w:proofErr w:type="spellEnd"/>
      <w:r w:rsidR="00161B7D">
        <w:t xml:space="preserve"> clinical studies (Table 1).</w:t>
      </w:r>
    </w:p>
    <w:p w:rsidR="0082410E" w:rsidRPr="00442DE5" w:rsidRDefault="0082410E" w:rsidP="0076348D">
      <w:r w:rsidRPr="00442DE5">
        <w:rPr>
          <w:b/>
        </w:rPr>
        <w:t>Overall</w:t>
      </w:r>
      <w:r w:rsidRPr="00442DE5">
        <w:t xml:space="preserve">, </w:t>
      </w:r>
      <w:proofErr w:type="spellStart"/>
      <w:r w:rsidRPr="00442DE5">
        <w:t>besifloxacin</w:t>
      </w:r>
      <w:proofErr w:type="spellEnd"/>
      <w:r w:rsidRPr="00442DE5">
        <w:t xml:space="preserve"> ophthalmic suspension is unlikely to contribute to </w:t>
      </w:r>
      <w:proofErr w:type="spellStart"/>
      <w:r w:rsidRPr="00442DE5">
        <w:t>fluoroquinolone</w:t>
      </w:r>
      <w:proofErr w:type="spellEnd"/>
      <w:r w:rsidRPr="00442DE5">
        <w:t xml:space="preserve"> resistance development for the following reason</w:t>
      </w:r>
      <w:r w:rsidR="00442DE5">
        <w:t>s</w:t>
      </w:r>
      <w:r w:rsidRPr="00442DE5">
        <w:t>:</w:t>
      </w:r>
    </w:p>
    <w:p w:rsidR="0082410E" w:rsidRPr="00442DE5" w:rsidRDefault="0082410E" w:rsidP="0076348D">
      <w:pPr>
        <w:pStyle w:val="Numberbullet0"/>
      </w:pPr>
      <w:r w:rsidRPr="00442DE5">
        <w:t xml:space="preserve">High ocular </w:t>
      </w:r>
      <w:proofErr w:type="spellStart"/>
      <w:r w:rsidRPr="00442DE5">
        <w:t>besifloxacin</w:t>
      </w:r>
      <w:proofErr w:type="spellEnd"/>
      <w:r w:rsidRPr="00442DE5">
        <w:t xml:space="preserve"> concentrations with high bacterial eradication, even among bacteria considered resistant by </w:t>
      </w:r>
      <w:r w:rsidRPr="005422D8">
        <w:rPr>
          <w:i/>
        </w:rPr>
        <w:t>in vitro</w:t>
      </w:r>
      <w:r w:rsidRPr="00442DE5">
        <w:t xml:space="preserve"> assessments;</w:t>
      </w:r>
    </w:p>
    <w:p w:rsidR="0082410E" w:rsidRPr="00442DE5" w:rsidRDefault="0082410E" w:rsidP="0076348D">
      <w:pPr>
        <w:pStyle w:val="Numberbullet0"/>
      </w:pPr>
      <w:r w:rsidRPr="00442DE5">
        <w:t>Systemic exposure very low compared to orally administered quinolones;</w:t>
      </w:r>
    </w:p>
    <w:p w:rsidR="0082410E" w:rsidRPr="00442DE5" w:rsidRDefault="0082410E" w:rsidP="0076348D">
      <w:pPr>
        <w:pStyle w:val="Numberbullet0"/>
      </w:pPr>
      <w:r w:rsidRPr="00442DE5">
        <w:t>Risk of overgrowth of non-susceptible organisms resulting from prolonged use unlikely with restriction of the labelled use to 7 days;</w:t>
      </w:r>
    </w:p>
    <w:p w:rsidR="0082410E" w:rsidRPr="00442DE5" w:rsidRDefault="0082410E" w:rsidP="0076348D">
      <w:pPr>
        <w:pStyle w:val="Numberbullet0"/>
      </w:pPr>
      <w:r w:rsidRPr="00442DE5">
        <w:t>No systemic counterparts, theoretically eliminating the contribution of systemic use to the emergence of resistance although cross-resistance amongst quinolones is well recognised.</w:t>
      </w:r>
    </w:p>
    <w:p w:rsidR="0082410E" w:rsidRPr="00442DE5" w:rsidRDefault="0082410E" w:rsidP="00DD17F2">
      <w:r w:rsidRPr="00442DE5">
        <w:t xml:space="preserve">The </w:t>
      </w:r>
      <w:r w:rsidR="00442DE5" w:rsidRPr="00442DE5">
        <w:t>s</w:t>
      </w:r>
      <w:r w:rsidRPr="00442DE5">
        <w:t xml:space="preserve">ponsor of this drug has undertaken, since 2009, annual prospective surveillance of antibiotic resistance of ocular isolates i.e. The Antibiotic Resistance Monitoring in Ocular </w:t>
      </w:r>
      <w:proofErr w:type="spellStart"/>
      <w:r w:rsidRPr="00442DE5">
        <w:t>micRoorganisms</w:t>
      </w:r>
      <w:proofErr w:type="spellEnd"/>
      <w:r w:rsidRPr="00442DE5">
        <w:t xml:space="preserve"> (ARMOR). While this study is conducted in the US, there is no reason to believe the results are not applicable to Australia, where rates of quinolone resistance are in fact generally lower.</w:t>
      </w:r>
      <w:r w:rsidR="005422D8">
        <w:t xml:space="preserve"> </w:t>
      </w:r>
      <w:r w:rsidRPr="00442DE5">
        <w:t>Compared to 2009, there is growing resi</w:t>
      </w:r>
      <w:r w:rsidR="00DD17F2">
        <w:t>stance of many organisms:</w:t>
      </w:r>
    </w:p>
    <w:p w:rsidR="00165025" w:rsidRDefault="0082410E" w:rsidP="00EA3071">
      <w:pPr>
        <w:pStyle w:val="Numberbullet0"/>
        <w:numPr>
          <w:ilvl w:val="0"/>
          <w:numId w:val="45"/>
        </w:numPr>
      </w:pPr>
      <w:r w:rsidRPr="00442DE5">
        <w:t xml:space="preserve">non-susceptibility to penicillin remained steady at 5% among Streptococcus </w:t>
      </w:r>
      <w:proofErr w:type="spellStart"/>
      <w:r w:rsidRPr="00442DE5">
        <w:t>pneumoniae</w:t>
      </w:r>
      <w:proofErr w:type="spellEnd"/>
      <w:r w:rsidRPr="00442DE5">
        <w:t xml:space="preserve"> isolates, although more strains were resistant in 2010 and fewer were intermediate;</w:t>
      </w:r>
    </w:p>
    <w:p w:rsidR="00165025" w:rsidRDefault="0082410E" w:rsidP="00EA3071">
      <w:pPr>
        <w:pStyle w:val="Numberbullet0"/>
      </w:pPr>
      <w:r w:rsidRPr="00442DE5">
        <w:t xml:space="preserve">Azithromycin resistance rose to 29% in Streptococcus </w:t>
      </w:r>
      <w:proofErr w:type="spellStart"/>
      <w:r w:rsidRPr="00442DE5">
        <w:t>pneumoniae</w:t>
      </w:r>
      <w:proofErr w:type="spellEnd"/>
      <w:r w:rsidRPr="00442DE5">
        <w:t xml:space="preserve">. An increase in resistance to </w:t>
      </w:r>
      <w:proofErr w:type="spellStart"/>
      <w:r w:rsidRPr="00442DE5">
        <w:t>moxifloxacin</w:t>
      </w:r>
      <w:proofErr w:type="spellEnd"/>
      <w:r w:rsidRPr="00442DE5">
        <w:t xml:space="preserve">, azithromycin, and </w:t>
      </w:r>
      <w:proofErr w:type="spellStart"/>
      <w:r w:rsidRPr="00442DE5">
        <w:t>oxacillin</w:t>
      </w:r>
      <w:proofErr w:type="spellEnd"/>
      <w:r w:rsidRPr="00442DE5">
        <w:t xml:space="preserve"> was noted for Staphylococcus </w:t>
      </w:r>
      <w:proofErr w:type="spellStart"/>
      <w:r w:rsidRPr="00442DE5">
        <w:t>aureus</w:t>
      </w:r>
      <w:proofErr w:type="spellEnd"/>
      <w:r w:rsidRPr="00442DE5">
        <w:t xml:space="preserve"> and coagulase-negative staphylococci (CNS) isolates;</w:t>
      </w:r>
    </w:p>
    <w:p w:rsidR="00165025" w:rsidRDefault="0082410E" w:rsidP="00EA3071">
      <w:pPr>
        <w:pStyle w:val="Numberbullet0"/>
      </w:pPr>
      <w:r w:rsidRPr="00442DE5">
        <w:t xml:space="preserve">Among all staphylococci, non-susceptibility rates were 38-44% for </w:t>
      </w:r>
      <w:proofErr w:type="spellStart"/>
      <w:r w:rsidRPr="00442DE5">
        <w:t>moxifloxacin</w:t>
      </w:r>
      <w:proofErr w:type="spellEnd"/>
      <w:r w:rsidRPr="00442DE5">
        <w:t xml:space="preserve">, 40-47% for </w:t>
      </w:r>
      <w:proofErr w:type="spellStart"/>
      <w:r w:rsidRPr="00442DE5">
        <w:t>gatifloxacin</w:t>
      </w:r>
      <w:proofErr w:type="spellEnd"/>
      <w:r w:rsidRPr="00442DE5">
        <w:t xml:space="preserve">, 66-75% for azithromycin, and 50-65% for </w:t>
      </w:r>
      <w:proofErr w:type="spellStart"/>
      <w:r w:rsidRPr="00442DE5">
        <w:t>oxacillin</w:t>
      </w:r>
      <w:proofErr w:type="spellEnd"/>
      <w:r w:rsidRPr="00442DE5">
        <w:t xml:space="preserve">. In addition, 25% of S. </w:t>
      </w:r>
      <w:proofErr w:type="spellStart"/>
      <w:r w:rsidRPr="00442DE5">
        <w:t>aureus</w:t>
      </w:r>
      <w:proofErr w:type="spellEnd"/>
      <w:r w:rsidRPr="00442DE5">
        <w:t xml:space="preserve"> isolates were resistant to clindamycin in 2010, showing an increase from 2009;</w:t>
      </w:r>
    </w:p>
    <w:p w:rsidR="00165025" w:rsidRDefault="0082410E" w:rsidP="00EA3071">
      <w:pPr>
        <w:pStyle w:val="Numberbullet0"/>
      </w:pPr>
      <w:proofErr w:type="spellStart"/>
      <w:r w:rsidRPr="00442DE5">
        <w:t>Imipenem</w:t>
      </w:r>
      <w:proofErr w:type="spellEnd"/>
      <w:r w:rsidRPr="00442DE5">
        <w:t xml:space="preserve"> resistance increased to 17% in Pseudomonas </w:t>
      </w:r>
      <w:proofErr w:type="spellStart"/>
      <w:r w:rsidRPr="00442DE5">
        <w:t>aeruginosa</w:t>
      </w:r>
      <w:proofErr w:type="spellEnd"/>
      <w:r w:rsidRPr="00442DE5">
        <w:t>, while tobramycin resistance decreased;</w:t>
      </w:r>
    </w:p>
    <w:p w:rsidR="0082410E" w:rsidRPr="00442DE5" w:rsidRDefault="0082410E" w:rsidP="00EA3071">
      <w:pPr>
        <w:pStyle w:val="Numberbullet0"/>
      </w:pPr>
      <w:proofErr w:type="spellStart"/>
      <w:r w:rsidRPr="00442DE5">
        <w:t>Haemophilus</w:t>
      </w:r>
      <w:proofErr w:type="spellEnd"/>
      <w:r w:rsidRPr="00442DE5">
        <w:t xml:space="preserve"> </w:t>
      </w:r>
      <w:proofErr w:type="spellStart"/>
      <w:r w:rsidRPr="00442DE5">
        <w:t>influenzae</w:t>
      </w:r>
      <w:proofErr w:type="spellEnd"/>
      <w:r w:rsidRPr="00442DE5">
        <w:t xml:space="preserve"> isolates from 2010 were generally susceptible to all te</w:t>
      </w:r>
      <w:r w:rsidR="00E5433D">
        <w:t>st agents as they were in 2009.</w:t>
      </w:r>
    </w:p>
    <w:p w:rsidR="0082410E" w:rsidRPr="00442DE5" w:rsidRDefault="0082410E" w:rsidP="00E5433D">
      <w:r w:rsidRPr="00442DE5">
        <w:t xml:space="preserve">Importantly, MIC values of </w:t>
      </w:r>
      <w:proofErr w:type="spellStart"/>
      <w:r w:rsidRPr="00442DE5">
        <w:t>besifloxacin</w:t>
      </w:r>
      <w:proofErr w:type="spellEnd"/>
      <w:r w:rsidRPr="00442DE5">
        <w:t xml:space="preserve"> during ARMOR 2009 and ARMOR 2010 remained stable. The only organism with significant resistance was Pseudomonas </w:t>
      </w:r>
      <w:proofErr w:type="spellStart"/>
      <w:r w:rsidRPr="00442DE5">
        <w:t>aeruginosa</w:t>
      </w:r>
      <w:proofErr w:type="spellEnd"/>
      <w:r w:rsidRPr="00442DE5">
        <w:t xml:space="preserve"> (PA). But, </w:t>
      </w:r>
      <w:proofErr w:type="spellStart"/>
      <w:r w:rsidRPr="00442DE5">
        <w:t>besifloxacin</w:t>
      </w:r>
      <w:proofErr w:type="spellEnd"/>
      <w:r w:rsidRPr="00442DE5">
        <w:t xml:space="preserve"> should not be used for PA and the application does not seek to u</w:t>
      </w:r>
      <w:r w:rsidR="00E5433D">
        <w:t xml:space="preserve">se </w:t>
      </w:r>
      <w:proofErr w:type="spellStart"/>
      <w:r w:rsidR="00E5433D">
        <w:t>Besivance</w:t>
      </w:r>
      <w:proofErr w:type="spellEnd"/>
      <w:r w:rsidR="00E5433D">
        <w:t xml:space="preserve"> for this organism.</w:t>
      </w:r>
    </w:p>
    <w:p w:rsidR="0082410E" w:rsidRPr="005C2B74" w:rsidRDefault="0082410E" w:rsidP="00DF786E">
      <w:pPr>
        <w:pStyle w:val="Heading4"/>
      </w:pPr>
      <w:bookmarkStart w:id="132" w:name="_Toc241374304"/>
      <w:bookmarkStart w:id="133" w:name="_Toc272414646"/>
      <w:bookmarkStart w:id="134" w:name="_Toc290888494"/>
      <w:bookmarkStart w:id="135" w:name="_Toc353192483"/>
      <w:r w:rsidRPr="00DF786E">
        <w:t>Genetic</w:t>
      </w:r>
      <w:r w:rsidRPr="005C2B74">
        <w:t xml:space="preserve">-, gender- and age-related differences in </w:t>
      </w:r>
      <w:proofErr w:type="spellStart"/>
      <w:r w:rsidRPr="005C2B74">
        <w:t>pharmacodynamic</w:t>
      </w:r>
      <w:proofErr w:type="spellEnd"/>
      <w:r w:rsidRPr="005C2B74">
        <w:t xml:space="preserve"> response</w:t>
      </w:r>
      <w:bookmarkEnd w:id="132"/>
      <w:bookmarkEnd w:id="133"/>
      <w:bookmarkEnd w:id="134"/>
      <w:bookmarkEnd w:id="135"/>
    </w:p>
    <w:p w:rsidR="0082410E" w:rsidRPr="0082410E" w:rsidRDefault="0082410E" w:rsidP="00DF786E">
      <w:r w:rsidRPr="0082410E">
        <w:t>Not applicable.</w:t>
      </w:r>
    </w:p>
    <w:p w:rsidR="0082410E" w:rsidRPr="005C2B74" w:rsidRDefault="0082410E" w:rsidP="00DF786E">
      <w:pPr>
        <w:pStyle w:val="Heading4"/>
      </w:pPr>
      <w:bookmarkStart w:id="136" w:name="_Toc241374303"/>
      <w:bookmarkStart w:id="137" w:name="_Toc272414647"/>
      <w:bookmarkStart w:id="138" w:name="_Toc290888495"/>
      <w:bookmarkStart w:id="139" w:name="_Toc353192484"/>
      <w:proofErr w:type="spellStart"/>
      <w:r w:rsidRPr="00DF786E">
        <w:t>Pharmacodynamic</w:t>
      </w:r>
      <w:proofErr w:type="spellEnd"/>
      <w:r w:rsidRPr="005C2B74">
        <w:t xml:space="preserve"> interactions</w:t>
      </w:r>
      <w:bookmarkEnd w:id="136"/>
      <w:bookmarkEnd w:id="137"/>
      <w:bookmarkEnd w:id="138"/>
      <w:bookmarkEnd w:id="139"/>
    </w:p>
    <w:p w:rsidR="0082410E" w:rsidRPr="0082410E" w:rsidRDefault="0082410E" w:rsidP="00DF786E">
      <w:r w:rsidRPr="0082410E">
        <w:t>None identified.</w:t>
      </w:r>
    </w:p>
    <w:p w:rsidR="0082410E" w:rsidRPr="005C2B74" w:rsidRDefault="0082410E" w:rsidP="00DF786E">
      <w:pPr>
        <w:pStyle w:val="Heading3"/>
      </w:pPr>
      <w:bookmarkStart w:id="140" w:name="_Ref269983272"/>
      <w:bookmarkStart w:id="141" w:name="_Toc272414648"/>
      <w:bookmarkStart w:id="142" w:name="_Toc290888496"/>
      <w:bookmarkStart w:id="143" w:name="_Toc353192485"/>
      <w:bookmarkStart w:id="144" w:name="_Toc382908455"/>
      <w:r w:rsidRPr="00DF786E">
        <w:t>Evaluator’s</w:t>
      </w:r>
      <w:r w:rsidRPr="005C2B74">
        <w:t xml:space="preserve"> overall conclusions on pharmacodynamics</w:t>
      </w:r>
      <w:bookmarkEnd w:id="140"/>
      <w:bookmarkEnd w:id="141"/>
      <w:bookmarkEnd w:id="142"/>
      <w:bookmarkEnd w:id="143"/>
      <w:bookmarkEnd w:id="144"/>
    </w:p>
    <w:p w:rsidR="0082410E" w:rsidRPr="005C2B74" w:rsidRDefault="0082410E" w:rsidP="00DF786E">
      <w:r>
        <w:t xml:space="preserve">The clinical evaluator </w:t>
      </w:r>
      <w:r w:rsidRPr="005C2B74">
        <w:t>think</w:t>
      </w:r>
      <w:r>
        <w:t xml:space="preserve">s there is adequate pharmacodynamics data and </w:t>
      </w:r>
      <w:r w:rsidRPr="005C2B74">
        <w:t>strongly support</w:t>
      </w:r>
      <w:r>
        <w:t>s</w:t>
      </w:r>
      <w:r w:rsidRPr="005C2B74">
        <w:t xml:space="preserve"> the ongoing systematic collection of isolates obtained from ophtha</w:t>
      </w:r>
      <w:r>
        <w:t>l</w:t>
      </w:r>
      <w:r w:rsidRPr="005C2B74">
        <w:t xml:space="preserve">mological infections in the US. The US results are likely applicable to Australia. Prospective surveillance (and preferably at the local level) of this nature is really the only means by which we can monitor patterns of </w:t>
      </w:r>
      <w:proofErr w:type="spellStart"/>
      <w:r w:rsidRPr="005C2B74">
        <w:t>micro</w:t>
      </w:r>
      <w:r>
        <w:t xml:space="preserve"> </w:t>
      </w:r>
      <w:r w:rsidRPr="005C2B74">
        <w:t>organisms</w:t>
      </w:r>
      <w:proofErr w:type="spellEnd"/>
      <w:r w:rsidRPr="005C2B74">
        <w:t xml:space="preserve"> and their antibiotic resistance profiles under increasing selection pressure from the widespread use/misuse of antibiotic</w:t>
      </w:r>
      <w:r w:rsidR="00DF786E">
        <w:t>s in clinical and vet practice.</w:t>
      </w:r>
    </w:p>
    <w:p w:rsidR="00586F98" w:rsidRDefault="00C22678" w:rsidP="00883B41">
      <w:pPr>
        <w:pStyle w:val="Heading2"/>
      </w:pPr>
      <w:bookmarkStart w:id="145" w:name="_Toc382908456"/>
      <w:r>
        <w:lastRenderedPageBreak/>
        <w:t>Dosage selection for the pivotal studies</w:t>
      </w:r>
      <w:bookmarkEnd w:id="145"/>
    </w:p>
    <w:p w:rsidR="00F71B2F" w:rsidRPr="00F71B2F" w:rsidRDefault="00F71B2F" w:rsidP="00883B41">
      <w:r>
        <w:t xml:space="preserve">The clinical evaluator </w:t>
      </w:r>
      <w:r w:rsidRPr="00F71B2F">
        <w:t>concur</w:t>
      </w:r>
      <w:r>
        <w:t>s</w:t>
      </w:r>
      <w:r w:rsidRPr="00F71B2F">
        <w:t xml:space="preserve"> that the dose used in the pivotal studies was appropriate as it took into consideration the safety of the 0.6% formulation (Study C-02-403-001), the imputed PK/PD ratio for reliable activity against likely bacterial conjunctivitis causing organisms and low systemic absorption of the topical formulation which reduces the risk of toxicity, drug-interaction and antimicrobial resistance. </w:t>
      </w:r>
      <w:r w:rsidR="00AD4EE6">
        <w:t xml:space="preserve">The clinical evaluator’s </w:t>
      </w:r>
      <w:r w:rsidRPr="00F71B2F">
        <w:t xml:space="preserve">only criticism, also raised by the FDA, is that the dosing in the pivotal studies should have been TID for </w:t>
      </w:r>
      <w:r w:rsidRPr="00F71B2F">
        <w:rPr>
          <w:b/>
        </w:rPr>
        <w:t xml:space="preserve">7 days </w:t>
      </w:r>
      <w:r w:rsidR="00883B41">
        <w:t>rather than 5 days.</w:t>
      </w:r>
    </w:p>
    <w:p w:rsidR="00C22678" w:rsidRDefault="00C22678" w:rsidP="00883B41">
      <w:pPr>
        <w:pStyle w:val="Heading2"/>
      </w:pPr>
      <w:bookmarkStart w:id="146" w:name="_Toc382908457"/>
      <w:r>
        <w:t>Clinical efficacy</w:t>
      </w:r>
      <w:bookmarkEnd w:id="146"/>
    </w:p>
    <w:p w:rsidR="00524D1A" w:rsidRDefault="00524D1A" w:rsidP="00883B41">
      <w:r w:rsidRPr="005C2B74">
        <w:t xml:space="preserve">Standard methodology </w:t>
      </w:r>
      <w:r w:rsidR="0061549E">
        <w:t>used when examining the eyes</w:t>
      </w:r>
      <w:r w:rsidRPr="005C2B74">
        <w:t>, for grading bacterial conjunctivitis and ocular ad</w:t>
      </w:r>
      <w:r>
        <w:t>verse events as described below.</w:t>
      </w:r>
    </w:p>
    <w:p w:rsidR="00061425" w:rsidRPr="005C2B74" w:rsidRDefault="00061425" w:rsidP="00883B41">
      <w:pPr>
        <w:pStyle w:val="Heading3"/>
      </w:pPr>
      <w:bookmarkStart w:id="147" w:name="_Toc382908458"/>
      <w:r w:rsidRPr="005C2B74">
        <w:t>Eye examination</w:t>
      </w:r>
      <w:bookmarkEnd w:id="147"/>
    </w:p>
    <w:p w:rsidR="000D7D29" w:rsidRDefault="00061425" w:rsidP="00883B41">
      <w:pPr>
        <w:pStyle w:val="Heading4"/>
      </w:pPr>
      <w:r w:rsidRPr="005C2B74">
        <w:t>Assessment of VA</w:t>
      </w:r>
    </w:p>
    <w:p w:rsidR="00061425" w:rsidRPr="000D7D29" w:rsidRDefault="000D7D29" w:rsidP="00883B41">
      <w:r w:rsidRPr="000D7D29">
        <w:t>A</w:t>
      </w:r>
      <w:r w:rsidR="00061425" w:rsidRPr="000D7D29">
        <w:t xml:space="preserve"> pin-holed habitual (unaided) or historical correction was measured using </w:t>
      </w:r>
      <w:proofErr w:type="spellStart"/>
      <w:r w:rsidR="00061425" w:rsidRPr="000D7D29">
        <w:t>Snellen</w:t>
      </w:r>
      <w:proofErr w:type="spellEnd"/>
      <w:r w:rsidR="00061425" w:rsidRPr="000D7D29">
        <w:t xml:space="preserve"> charts. Lea Symbols used in children unable to use </w:t>
      </w:r>
      <w:proofErr w:type="spellStart"/>
      <w:r w:rsidR="00061425" w:rsidRPr="000D7D29">
        <w:t>Snellen</w:t>
      </w:r>
      <w:proofErr w:type="spellEnd"/>
      <w:r w:rsidR="00061425" w:rsidRPr="000D7D29">
        <w:t xml:space="preserve"> charts; </w:t>
      </w:r>
      <w:proofErr w:type="spellStart"/>
      <w:r w:rsidR="00061425" w:rsidRPr="000D7D29">
        <w:rPr>
          <w:b/>
        </w:rPr>
        <w:t>Biomicroscop</w:t>
      </w:r>
      <w:r>
        <w:rPr>
          <w:b/>
        </w:rPr>
        <w:t>y</w:t>
      </w:r>
      <w:proofErr w:type="spellEnd"/>
      <w:r>
        <w:rPr>
          <w:b/>
        </w:rPr>
        <w:t>:</w:t>
      </w:r>
      <w:r w:rsidR="00061425" w:rsidRPr="000D7D29">
        <w:t xml:space="preserve"> ophthalmic examination of the eye with slit lamp and magnifying lens. Rated as normal/abnormal for each anatomical location of the eye i.e. lids, </w:t>
      </w:r>
      <w:proofErr w:type="spellStart"/>
      <w:r w:rsidR="00061425" w:rsidRPr="000D7D29">
        <w:t>limbus</w:t>
      </w:r>
      <w:proofErr w:type="spellEnd"/>
      <w:r w:rsidR="00061425" w:rsidRPr="000D7D29">
        <w:t xml:space="preserve">, conjunctiva, cornea, anterior chamber, lens, vitreous humour; </w:t>
      </w:r>
      <w:r w:rsidR="00061425" w:rsidRPr="000D7D29">
        <w:rPr>
          <w:b/>
        </w:rPr>
        <w:t>Specular Microscopy:</w:t>
      </w:r>
      <w:r w:rsidR="00061425" w:rsidRPr="000D7D29">
        <w:t xml:space="preserve"> Specular microscopes calibrated using the SMRC instruction manual. Endothelial cell density determined by submission of images to SMRC (masked) for image analysis; </w:t>
      </w:r>
      <w:r w:rsidR="00061425" w:rsidRPr="000D7D29">
        <w:rPr>
          <w:b/>
        </w:rPr>
        <w:t>Ophthalmoscopy:</w:t>
      </w:r>
      <w:r w:rsidR="00061425" w:rsidRPr="000D7D29">
        <w:t xml:space="preserve"> Severity ratings of fundus pathology measured. Shift tables of ophthalmoscopy scores used to describe changes.</w:t>
      </w:r>
    </w:p>
    <w:p w:rsidR="00061425" w:rsidRDefault="00061425" w:rsidP="00883B41">
      <w:pPr>
        <w:pStyle w:val="Heading4"/>
      </w:pPr>
      <w:r w:rsidRPr="005C2B74">
        <w:t xml:space="preserve">Grading of </w:t>
      </w:r>
      <w:r w:rsidR="00883B41">
        <w:t>b</w:t>
      </w:r>
      <w:r w:rsidRPr="005C2B74">
        <w:t>acterial conjunctivitis</w:t>
      </w:r>
    </w:p>
    <w:p w:rsidR="00061425" w:rsidRPr="0061549E" w:rsidRDefault="00061425" w:rsidP="00883B41">
      <w:r w:rsidRPr="0061549E">
        <w:rPr>
          <w:b/>
        </w:rPr>
        <w:t xml:space="preserve">Ocular discharge and bulbar/palpebral </w:t>
      </w:r>
      <w:proofErr w:type="spellStart"/>
      <w:r w:rsidRPr="0061549E">
        <w:rPr>
          <w:b/>
        </w:rPr>
        <w:t>conjunctival</w:t>
      </w:r>
      <w:proofErr w:type="spellEnd"/>
      <w:r w:rsidRPr="0061549E">
        <w:rPr>
          <w:b/>
        </w:rPr>
        <w:t xml:space="preserve"> injection</w:t>
      </w:r>
      <w:r w:rsidRPr="0061549E">
        <w:t xml:space="preserve"> assessed on 0-3 scale i.e. </w:t>
      </w:r>
      <w:r w:rsidRPr="0061549E">
        <w:rPr>
          <w:b/>
        </w:rPr>
        <w:t>Ocular discharge</w:t>
      </w:r>
      <w:r w:rsidRPr="0061549E">
        <w:t xml:space="preserve"> rated as: </w:t>
      </w:r>
      <w:r w:rsidRPr="0061549E">
        <w:rPr>
          <w:b/>
        </w:rPr>
        <w:t xml:space="preserve">0. </w:t>
      </w:r>
      <w:proofErr w:type="gramStart"/>
      <w:r w:rsidRPr="0061549E">
        <w:rPr>
          <w:b/>
        </w:rPr>
        <w:t>Absent</w:t>
      </w:r>
      <w:proofErr w:type="gramEnd"/>
      <w:r w:rsidRPr="0061549E">
        <w:rPr>
          <w:b/>
        </w:rPr>
        <w:t>; 1. Mild:</w:t>
      </w:r>
      <w:r w:rsidRPr="0061549E">
        <w:t xml:space="preserve"> Small amount of </w:t>
      </w:r>
      <w:proofErr w:type="spellStart"/>
      <w:r w:rsidRPr="0061549E">
        <w:t>mucopurulent</w:t>
      </w:r>
      <w:proofErr w:type="spellEnd"/>
      <w:r w:rsidRPr="0061549E">
        <w:t xml:space="preserve"> or purulent discharge noted in lower cul-de-sac. No true matting of eyelids in morning upon awakening; </w:t>
      </w:r>
      <w:r w:rsidRPr="0061549E">
        <w:rPr>
          <w:b/>
        </w:rPr>
        <w:t>2. Moderate:</w:t>
      </w:r>
      <w:r w:rsidRPr="0061549E">
        <w:t xml:space="preserve"> Moderate amount of </w:t>
      </w:r>
      <w:proofErr w:type="spellStart"/>
      <w:r w:rsidRPr="0061549E">
        <w:t>mucopurulent</w:t>
      </w:r>
      <w:proofErr w:type="spellEnd"/>
      <w:r w:rsidRPr="0061549E">
        <w:t xml:space="preserve"> or purulent discharge noted in lower cul-de-sac. </w:t>
      </w:r>
      <w:proofErr w:type="gramStart"/>
      <w:r w:rsidRPr="0061549E">
        <w:t xml:space="preserve">Frank matting together of eyelids in morning upon awakening; </w:t>
      </w:r>
      <w:r w:rsidRPr="0061549E">
        <w:rPr>
          <w:b/>
        </w:rPr>
        <w:t>3.</w:t>
      </w:r>
      <w:proofErr w:type="gramEnd"/>
      <w:r w:rsidRPr="0061549E">
        <w:rPr>
          <w:b/>
        </w:rPr>
        <w:t xml:space="preserve"> Severe:</w:t>
      </w:r>
      <w:r w:rsidRPr="0061549E">
        <w:t xml:space="preserve"> Profuse amount of </w:t>
      </w:r>
      <w:proofErr w:type="spellStart"/>
      <w:r w:rsidRPr="0061549E">
        <w:t>mucopurulent</w:t>
      </w:r>
      <w:proofErr w:type="spellEnd"/>
      <w:r w:rsidRPr="0061549E">
        <w:t xml:space="preserve"> or purulent discharge noted in lower cul-de-sac and in the marginal tear strip. Eyelids tightly matted together in the morning upon awakening requiring warm soaks to pry the lids apart.</w:t>
      </w:r>
      <w:r w:rsidR="00D24313" w:rsidRPr="0061549E">
        <w:t xml:space="preserve"> </w:t>
      </w:r>
      <w:r w:rsidRPr="0061549E">
        <w:rPr>
          <w:b/>
        </w:rPr>
        <w:t xml:space="preserve">Bulbar </w:t>
      </w:r>
      <w:proofErr w:type="spellStart"/>
      <w:r w:rsidRPr="0061549E">
        <w:rPr>
          <w:b/>
        </w:rPr>
        <w:t>conjunctival</w:t>
      </w:r>
      <w:proofErr w:type="spellEnd"/>
      <w:r w:rsidRPr="0061549E">
        <w:rPr>
          <w:b/>
        </w:rPr>
        <w:t xml:space="preserve"> injection</w:t>
      </w:r>
      <w:r w:rsidRPr="0061549E">
        <w:t xml:space="preserve"> assessed by evaluating four quadrants (inferior, superior, temporal and nasal) using the following scale: </w:t>
      </w:r>
      <w:r w:rsidRPr="0061549E">
        <w:rPr>
          <w:b/>
        </w:rPr>
        <w:t>0. Normal:</w:t>
      </w:r>
      <w:r w:rsidRPr="0061549E">
        <w:t xml:space="preserve"> Normal vascular pattern; </w:t>
      </w:r>
      <w:r w:rsidRPr="0061549E">
        <w:rPr>
          <w:b/>
        </w:rPr>
        <w:t xml:space="preserve">1. Trace: </w:t>
      </w:r>
      <w:r w:rsidRPr="0061549E">
        <w:t xml:space="preserve">Awareness eye is slightly pink </w:t>
      </w:r>
      <w:proofErr w:type="spellStart"/>
      <w:r w:rsidRPr="0061549E">
        <w:t>color</w:t>
      </w:r>
      <w:proofErr w:type="spellEnd"/>
      <w:r w:rsidRPr="0061549E">
        <w:t xml:space="preserve"> in one quadrant; </w:t>
      </w:r>
      <w:r w:rsidRPr="0061549E">
        <w:rPr>
          <w:b/>
        </w:rPr>
        <w:t>2. Moderate:</w:t>
      </w:r>
      <w:r w:rsidRPr="0061549E">
        <w:t xml:space="preserve"> Diffuse pink </w:t>
      </w:r>
      <w:proofErr w:type="spellStart"/>
      <w:r w:rsidRPr="0061549E">
        <w:t>color</w:t>
      </w:r>
      <w:proofErr w:type="spellEnd"/>
      <w:r w:rsidRPr="0061549E">
        <w:t xml:space="preserve"> in at least (3) quadrants; </w:t>
      </w:r>
      <w:r w:rsidRPr="0061549E">
        <w:rPr>
          <w:b/>
        </w:rPr>
        <w:t xml:space="preserve">3. Severe: </w:t>
      </w:r>
      <w:r w:rsidRPr="0061549E">
        <w:t xml:space="preserve">Vasodilation in at least (3) quadrants, reddish hue. </w:t>
      </w:r>
      <w:r w:rsidRPr="0061549E">
        <w:rPr>
          <w:b/>
        </w:rPr>
        <w:t xml:space="preserve">Palpebral </w:t>
      </w:r>
      <w:proofErr w:type="spellStart"/>
      <w:r w:rsidRPr="0061549E">
        <w:rPr>
          <w:b/>
        </w:rPr>
        <w:t>conjunctival</w:t>
      </w:r>
      <w:proofErr w:type="spellEnd"/>
      <w:r w:rsidRPr="0061549E">
        <w:rPr>
          <w:b/>
        </w:rPr>
        <w:t xml:space="preserve"> injection</w:t>
      </w:r>
      <w:r w:rsidRPr="0061549E">
        <w:t xml:space="preserve"> rated as follows: </w:t>
      </w:r>
      <w:r w:rsidRPr="0061549E">
        <w:rPr>
          <w:b/>
        </w:rPr>
        <w:t>0. Normal:</w:t>
      </w:r>
      <w:r w:rsidRPr="0061549E">
        <w:t xml:space="preserve"> Normal vascular pattern; </w:t>
      </w:r>
      <w:r w:rsidRPr="0061549E">
        <w:rPr>
          <w:b/>
        </w:rPr>
        <w:t>1. Trace:</w:t>
      </w:r>
      <w:r w:rsidRPr="0061549E">
        <w:t xml:space="preserve"> Trace hyperaemia; </w:t>
      </w:r>
      <w:r w:rsidRPr="0061549E">
        <w:rPr>
          <w:b/>
        </w:rPr>
        <w:t>2. Moderate:</w:t>
      </w:r>
      <w:r w:rsidRPr="0061549E">
        <w:t xml:space="preserve"> Moderate </w:t>
      </w:r>
      <w:proofErr w:type="spellStart"/>
      <w:r w:rsidRPr="0061549E">
        <w:t>hypaeremia</w:t>
      </w:r>
      <w:proofErr w:type="spellEnd"/>
      <w:r w:rsidRPr="0061549E">
        <w:t xml:space="preserve"> or definable papillary reaction; </w:t>
      </w:r>
      <w:r w:rsidRPr="0061549E">
        <w:rPr>
          <w:b/>
        </w:rPr>
        <w:t>3. Severe:</w:t>
      </w:r>
      <w:r w:rsidRPr="0061549E">
        <w:t xml:space="preserve"> Diffuse vasodilation.</w:t>
      </w:r>
    </w:p>
    <w:p w:rsidR="00061425" w:rsidRPr="005C2B74" w:rsidRDefault="00061425" w:rsidP="00883B41">
      <w:pPr>
        <w:pStyle w:val="Heading4"/>
      </w:pPr>
      <w:r w:rsidRPr="00883B41">
        <w:t>Microbiological</w:t>
      </w:r>
      <w:r w:rsidRPr="005C2B74">
        <w:t xml:space="preserve"> techniques (STANDARD)</w:t>
      </w:r>
    </w:p>
    <w:p w:rsidR="00061425" w:rsidRPr="0061549E" w:rsidRDefault="00061425" w:rsidP="00883B41">
      <w:r w:rsidRPr="0061549E">
        <w:t xml:space="preserve">A culture of the cul-de-sac i.e. starting at lower </w:t>
      </w:r>
      <w:proofErr w:type="spellStart"/>
      <w:r w:rsidRPr="0061549E">
        <w:t>conjunctival</w:t>
      </w:r>
      <w:proofErr w:type="spellEnd"/>
      <w:r w:rsidRPr="0061549E">
        <w:t xml:space="preserve"> fornix nasal margin passing the swab along the fornix to temporal margin, rotating the swab through 180 degrees and re-passing the swab to its nasal margin (avoiding contact with eyelids) of the infected eye(s) taken without topical anaesthetic. One swab placed in the transport med</w:t>
      </w:r>
      <w:r w:rsidR="00DD2734">
        <w:t>ium (PBS – 20% Glycerol</w:t>
      </w:r>
      <w:r w:rsidRPr="0061549E">
        <w:t xml:space="preserve">) for bacterial and fungal culture; the other into </w:t>
      </w:r>
      <w:r w:rsidR="00DD2734">
        <w:t xml:space="preserve">M4 </w:t>
      </w:r>
      <w:r w:rsidRPr="0061549E">
        <w:t xml:space="preserve">transport medium for viral cultures. </w:t>
      </w:r>
      <w:r w:rsidRPr="002455AE">
        <w:rPr>
          <w:b/>
          <w:i/>
        </w:rPr>
        <w:t>Culture Test Methods:</w:t>
      </w:r>
      <w:r w:rsidRPr="0061549E">
        <w:t xml:space="preserve"> Standard microbiological techniques used to inoculate the relevant agar plates (Chocolate agar and 5% Sheep blood) and two serial, ten-fold dilutions all incubated at </w:t>
      </w:r>
      <w:r w:rsidR="002B6A85">
        <w:t>35</w:t>
      </w:r>
      <w:r w:rsidRPr="0061549E">
        <w:t xml:space="preserve">C in 5-7% carbon dioxide atmosphere. Bacterial colonies counted after 48 hours of incubation and </w:t>
      </w:r>
      <w:r w:rsidRPr="0061549E">
        <w:lastRenderedPageBreak/>
        <w:t xml:space="preserve">determine the bacterial Colony Forming Units per ml (CFU/ml) - done by multiplying colony count with appropriate dilution factor. Fungal (yeast) colonies counted after a total of 120 hours (5 days) of incubation and Fungal Colony Forming Units per ml (CFU/ml) determined by multiplying the colony count with the appropriate dilution factor. </w:t>
      </w:r>
      <w:r w:rsidRPr="002455AE">
        <w:rPr>
          <w:b/>
          <w:i/>
        </w:rPr>
        <w:t>Determination of Pathogen Identification:</w:t>
      </w:r>
      <w:r w:rsidRPr="0061549E">
        <w:t xml:space="preserve"> a primary system of identification for organisms was used, but if the identification was inadequate, then a secondary system was used along with supplemental </w:t>
      </w:r>
      <w:proofErr w:type="spellStart"/>
      <w:r w:rsidRPr="0061549E">
        <w:t>biochemicals</w:t>
      </w:r>
      <w:proofErr w:type="spellEnd"/>
      <w:r w:rsidR="005422D8">
        <w:t xml:space="preserve"> </w:t>
      </w:r>
      <w:r w:rsidRPr="0061549E">
        <w:t xml:space="preserve">and/or bacterial DNA fragments using gel analysis software to identify the organism(s) as needed. </w:t>
      </w:r>
      <w:r w:rsidRPr="002455AE">
        <w:rPr>
          <w:b/>
        </w:rPr>
        <w:t>For MIC</w:t>
      </w:r>
      <w:r w:rsidRPr="0061549E">
        <w:t>, 3-5 isolated colonies selected to create a direct suspension approximating 1-2 x 10</w:t>
      </w:r>
      <w:r w:rsidRPr="002B6A85">
        <w:rPr>
          <w:vertAlign w:val="superscript"/>
        </w:rPr>
        <w:t>8</w:t>
      </w:r>
      <w:r w:rsidRPr="0061549E">
        <w:t xml:space="preserve"> colony forming units (CFU)/mL according to the FDA-approved manufacturer’s guidelines for this system. This suspension then diluted in </w:t>
      </w:r>
      <w:proofErr w:type="spellStart"/>
      <w:r w:rsidRPr="0061549E">
        <w:t>cation</w:t>
      </w:r>
      <w:proofErr w:type="spellEnd"/>
      <w:r w:rsidRPr="0061549E">
        <w:t xml:space="preserve">-adjusted Mueller Hinton broth (CAMHB) for the </w:t>
      </w:r>
      <w:proofErr w:type="spellStart"/>
      <w:r w:rsidRPr="0061549E">
        <w:t>nonfastidious</w:t>
      </w:r>
      <w:proofErr w:type="spellEnd"/>
      <w:r w:rsidRPr="0061549E">
        <w:t xml:space="preserve"> organisms to a final concentration approximating 5 x 10</w:t>
      </w:r>
      <w:r w:rsidRPr="002B6A85">
        <w:rPr>
          <w:vertAlign w:val="superscript"/>
        </w:rPr>
        <w:t>5</w:t>
      </w:r>
      <w:r w:rsidRPr="0061549E">
        <w:t xml:space="preserve"> CFU/</w:t>
      </w:r>
      <w:proofErr w:type="spellStart"/>
      <w:r w:rsidRPr="0061549E">
        <w:t>mL.</w:t>
      </w:r>
      <w:proofErr w:type="spellEnd"/>
      <w:r w:rsidRPr="0061549E">
        <w:t xml:space="preserve"> For </w:t>
      </w:r>
      <w:proofErr w:type="spellStart"/>
      <w:r w:rsidRPr="0061549E">
        <w:t>Haemophilus</w:t>
      </w:r>
      <w:proofErr w:type="spellEnd"/>
      <w:r w:rsidRPr="0061549E">
        <w:t xml:space="preserve"> species, </w:t>
      </w:r>
      <w:proofErr w:type="spellStart"/>
      <w:r w:rsidRPr="0061549E">
        <w:t>Haemophilus</w:t>
      </w:r>
      <w:proofErr w:type="spellEnd"/>
      <w:r w:rsidRPr="0061549E">
        <w:t xml:space="preserve"> Test Medium (HTM) broth was used to obtain a fi</w:t>
      </w:r>
      <w:r w:rsidR="002B6A85">
        <w:t>nal concentratio</w:t>
      </w:r>
      <w:r w:rsidRPr="0061549E">
        <w:t>n approximating 5 X 10</w:t>
      </w:r>
      <w:r w:rsidRPr="002B6A85">
        <w:rPr>
          <w:vertAlign w:val="superscript"/>
        </w:rPr>
        <w:t>5</w:t>
      </w:r>
      <w:r w:rsidRPr="0061549E">
        <w:t xml:space="preserve"> CFU/</w:t>
      </w:r>
      <w:proofErr w:type="spellStart"/>
      <w:r w:rsidRPr="0061549E">
        <w:t>mL.</w:t>
      </w:r>
      <w:proofErr w:type="spellEnd"/>
      <w:r w:rsidRPr="0061549E">
        <w:t xml:space="preserve"> Accordingly, final inoculum of approximately 5 x 10</w:t>
      </w:r>
      <w:r w:rsidRPr="002B6A85">
        <w:rPr>
          <w:vertAlign w:val="superscript"/>
        </w:rPr>
        <w:t>4</w:t>
      </w:r>
      <w:r w:rsidRPr="0061549E">
        <w:t xml:space="preserve"> CFU delivered to each </w:t>
      </w:r>
      <w:proofErr w:type="spellStart"/>
      <w:r w:rsidRPr="0061549E">
        <w:t>microtiter</w:t>
      </w:r>
      <w:proofErr w:type="spellEnd"/>
      <w:r w:rsidRPr="0061549E">
        <w:t xml:space="preserve"> well containing 0.1 mL of antibiotic suspension. For Streptococcus species, CAMHB with 2-5% lysed horse blood was used for inoculums preparation and antibiotic suspensions in the </w:t>
      </w:r>
      <w:proofErr w:type="spellStart"/>
      <w:r w:rsidRPr="0061549E">
        <w:t>microtiter</w:t>
      </w:r>
      <w:proofErr w:type="spellEnd"/>
      <w:r w:rsidRPr="0061549E">
        <w:t xml:space="preserve"> wells. All organisms of concern </w:t>
      </w:r>
      <w:r w:rsidR="002B6A85">
        <w:t>incubated at 35</w:t>
      </w:r>
      <w:r w:rsidRPr="0061549E">
        <w:t xml:space="preserve">C in ambient atmospheric conditions. MIC incubations for Staphylococcus species occur for 16-20 hours for most antibiotics (exception was </w:t>
      </w:r>
      <w:proofErr w:type="spellStart"/>
      <w:r w:rsidRPr="0061549E">
        <w:t>oxacillin</w:t>
      </w:r>
      <w:proofErr w:type="spellEnd"/>
      <w:r w:rsidRPr="0061549E">
        <w:t xml:space="preserve">, which requires a full 24 hours of incubation); Streptococcus pneumonia isolates incubated for 20-24 hours; Enterococci incubated for 16-20 hours for most antibiotics (exception </w:t>
      </w:r>
      <w:proofErr w:type="spellStart"/>
      <w:r w:rsidRPr="0061549E">
        <w:t>vancomycin</w:t>
      </w:r>
      <w:proofErr w:type="spellEnd"/>
      <w:r w:rsidRPr="0061549E">
        <w:t xml:space="preserve">, always receiving 24 hours of incubation). Medical technologists used inverted viewing mirrors for interpretation of endpoint MIC values. The MIC recorded as the lowest antibiotic concentration where </w:t>
      </w:r>
      <w:r w:rsidRPr="002455AE">
        <w:rPr>
          <w:b/>
        </w:rPr>
        <w:t>complete growth inhibition</w:t>
      </w:r>
      <w:r w:rsidRPr="0061549E">
        <w:t xml:space="preserve"> observed. Antibiotic interpretive breakpoint criteria recorded for each patient result, following NCCLS guidelines for FDA-approved agents. Quality Control (QC) measures were performed according to NCCLS guidelines (M7-A6, January 2003) related to 30-day QC validations, weekly QC, and daily QC. The NCCLS-defined QC ranges for antibiotics that are available for the selected American Type Culture Collection (ATCC) bacterial strains (M100-S14, January 2004) were used to monitor the proper performance of the Antimicrobial Susceptibility Test (AST). </w:t>
      </w:r>
      <w:r w:rsidRPr="002455AE">
        <w:rPr>
          <w:b/>
          <w:i/>
        </w:rPr>
        <w:t xml:space="preserve">Processing and Interpretation of Viral Culture Specimen: </w:t>
      </w:r>
      <w:r w:rsidRPr="0061549E">
        <w:t xml:space="preserve">Tissue culture tubes used for viral cultures included Rhesus monkey kidney (RMK); MRC5, A549; 0.2ml of specimen into each decanted tissue culture tube. Inoculate for one </w:t>
      </w:r>
      <w:r w:rsidR="002B6A85">
        <w:t>hour at 36</w:t>
      </w:r>
      <w:r w:rsidRPr="0061549E">
        <w:t xml:space="preserve">C, then washed, re-fed with maintenance medium and observed daily for the </w:t>
      </w:r>
      <w:proofErr w:type="spellStart"/>
      <w:r w:rsidRPr="0061549E">
        <w:t>cytopathic</w:t>
      </w:r>
      <w:proofErr w:type="spellEnd"/>
      <w:r w:rsidRPr="0061549E">
        <w:t xml:space="preserve"> effect indicative of viral growth for 2-3 weeks.</w:t>
      </w:r>
    </w:p>
    <w:p w:rsidR="00F21252" w:rsidRDefault="00061425" w:rsidP="00883B41">
      <w:pPr>
        <w:pStyle w:val="Heading4"/>
      </w:pPr>
      <w:r w:rsidRPr="005C2B74">
        <w:t>Ocular adverse events</w:t>
      </w:r>
    </w:p>
    <w:p w:rsidR="00F21252" w:rsidRDefault="00061425" w:rsidP="00883B41">
      <w:pPr>
        <w:pStyle w:val="Heading5"/>
      </w:pPr>
      <w:r w:rsidRPr="005C2B74">
        <w:t>Ocular comfort</w:t>
      </w:r>
    </w:p>
    <w:p w:rsidR="00061425" w:rsidRDefault="00F21252" w:rsidP="00883B41">
      <w:r w:rsidRPr="00895B2A">
        <w:t>S</w:t>
      </w:r>
      <w:r w:rsidR="00061425" w:rsidRPr="00895B2A">
        <w:t xml:space="preserve">tinging/burning, itching, blurring; foreign body sensation were graded on a 4 point scale (0=none; 1=mild; 2= moderate; 3= severe); </w:t>
      </w:r>
      <w:r w:rsidR="00061425" w:rsidRPr="00895B2A">
        <w:rPr>
          <w:b/>
        </w:rPr>
        <w:t>Duration of ocular comfort:</w:t>
      </w:r>
      <w:r w:rsidR="00061425" w:rsidRPr="00895B2A">
        <w:t xml:space="preserve"> symptoms reported above were estimated for duration after instillation of study drug</w:t>
      </w:r>
      <w:r w:rsidR="005422D8">
        <w:t xml:space="preserve"> </w:t>
      </w:r>
      <w:r w:rsidR="00061425" w:rsidRPr="00895B2A">
        <w:t xml:space="preserve">i.e. &lt;1 minutes, 1-5 minutes, &gt;5 minutes; </w:t>
      </w:r>
      <w:r w:rsidR="00061425" w:rsidRPr="00895B2A">
        <w:rPr>
          <w:b/>
        </w:rPr>
        <w:t>Visual acuity:</w:t>
      </w:r>
      <w:r w:rsidR="00061425" w:rsidRPr="00895B2A">
        <w:t xml:space="preserve"> changes in VA after instillation of study drug; </w:t>
      </w:r>
      <w:proofErr w:type="spellStart"/>
      <w:r w:rsidR="00061425" w:rsidRPr="00895B2A">
        <w:rPr>
          <w:b/>
        </w:rPr>
        <w:t>Biomicroscopy</w:t>
      </w:r>
      <w:proofErr w:type="spellEnd"/>
      <w:r w:rsidR="00061425" w:rsidRPr="00895B2A">
        <w:rPr>
          <w:b/>
        </w:rPr>
        <w:t xml:space="preserve"> and </w:t>
      </w:r>
      <w:proofErr w:type="spellStart"/>
      <w:r w:rsidR="00061425" w:rsidRPr="00895B2A">
        <w:rPr>
          <w:b/>
        </w:rPr>
        <w:t>Fundoscopy</w:t>
      </w:r>
      <w:proofErr w:type="spellEnd"/>
      <w:r w:rsidR="00061425" w:rsidRPr="00895B2A">
        <w:rPr>
          <w:b/>
        </w:rPr>
        <w:t xml:space="preserve"> changes: </w:t>
      </w:r>
      <w:r w:rsidR="00061425" w:rsidRPr="00895B2A">
        <w:t xml:space="preserve">descriptive for each anatomical part of the eye as detailed above and in Figure 1. </w:t>
      </w:r>
      <w:r w:rsidR="00061425" w:rsidRPr="00895B2A">
        <w:rPr>
          <w:b/>
        </w:rPr>
        <w:t>Intraocular pressure (IOP):</w:t>
      </w:r>
      <w:r w:rsidR="00061425" w:rsidRPr="00895B2A">
        <w:t xml:space="preserve"> descriptive changes in IOP.</w:t>
      </w:r>
    </w:p>
    <w:p w:rsidR="0061549E" w:rsidRPr="00883B41" w:rsidRDefault="0061549E" w:rsidP="00883B41">
      <w:pPr>
        <w:pStyle w:val="FigureTitle"/>
      </w:pPr>
      <w:r>
        <w:lastRenderedPageBreak/>
        <w:t>Figure 1:</w:t>
      </w:r>
      <w:r w:rsidRPr="004C5C28">
        <w:t xml:space="preserve"> </w:t>
      </w:r>
      <w:r>
        <w:t>Anatomy of the eye.</w:t>
      </w:r>
    </w:p>
    <w:p w:rsidR="0061549E" w:rsidRDefault="00367786" w:rsidP="00883B41">
      <w:r>
        <w:rPr>
          <w:noProof/>
          <w:lang w:eastAsia="en-AU"/>
        </w:rPr>
        <w:drawing>
          <wp:inline distT="0" distB="0" distL="0" distR="0" wp14:anchorId="01944361" wp14:editId="2FE98D46">
            <wp:extent cx="3366135" cy="2221230"/>
            <wp:effectExtent l="0" t="0" r="5715" b="7620"/>
            <wp:docPr id="3" name="Picture 3" descr="Figure 1: Anatomy of the 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1: Anatomy of the ey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66135" cy="2221230"/>
                    </a:xfrm>
                    <a:prstGeom prst="rect">
                      <a:avLst/>
                    </a:prstGeom>
                    <a:noFill/>
                    <a:ln>
                      <a:noFill/>
                    </a:ln>
                  </pic:spPr>
                </pic:pic>
              </a:graphicData>
            </a:graphic>
          </wp:inline>
        </w:drawing>
      </w:r>
    </w:p>
    <w:p w:rsidR="00061425" w:rsidRPr="00061425" w:rsidRDefault="00061425" w:rsidP="00883B41">
      <w:pPr>
        <w:pStyle w:val="Heading3"/>
      </w:pPr>
      <w:bookmarkStart w:id="148" w:name="_Ref271037274"/>
      <w:bookmarkStart w:id="149" w:name="_Toc272414652"/>
      <w:bookmarkStart w:id="150" w:name="_Toc290888500"/>
      <w:bookmarkStart w:id="151" w:name="_Toc353192489"/>
      <w:bookmarkStart w:id="152" w:name="_Toc382908459"/>
      <w:r w:rsidRPr="00061425">
        <w:t>Pivotal efficacy studies</w:t>
      </w:r>
      <w:bookmarkEnd w:id="148"/>
      <w:bookmarkEnd w:id="149"/>
      <w:bookmarkEnd w:id="150"/>
      <w:bookmarkEnd w:id="151"/>
      <w:r w:rsidRPr="00061425">
        <w:t xml:space="preserve">: </w:t>
      </w:r>
      <w:proofErr w:type="spellStart"/>
      <w:r w:rsidRPr="00061425">
        <w:t>Besivance</w:t>
      </w:r>
      <w:proofErr w:type="spellEnd"/>
      <w:r w:rsidRPr="00061425">
        <w:t xml:space="preserve"> for the treatment of bacterial conjunctivitis in adults and children (1 year or older)</w:t>
      </w:r>
      <w:bookmarkEnd w:id="152"/>
    </w:p>
    <w:p w:rsidR="00061425" w:rsidRPr="007022DC" w:rsidRDefault="00061425" w:rsidP="00883B41">
      <w:r w:rsidRPr="007022DC">
        <w:t xml:space="preserve">There are 3 pivotal efficacy studies for </w:t>
      </w:r>
      <w:proofErr w:type="spellStart"/>
      <w:r w:rsidRPr="007022DC">
        <w:t>Besivance</w:t>
      </w:r>
      <w:proofErr w:type="spellEnd"/>
      <w:r w:rsidRPr="007022DC">
        <w:t xml:space="preserve">: 373, 433 and 434. In 373 and 433 the comparator was Vehicle and </w:t>
      </w:r>
      <w:proofErr w:type="spellStart"/>
      <w:r w:rsidRPr="007022DC">
        <w:t>besiflxacin</w:t>
      </w:r>
      <w:proofErr w:type="spellEnd"/>
      <w:r w:rsidRPr="007022DC">
        <w:t xml:space="preserve"> was superior to Vehicle in regards to clinical resolution and eradication of baseline infection. In 434, the comparator was </w:t>
      </w:r>
      <w:proofErr w:type="spellStart"/>
      <w:r w:rsidRPr="007022DC">
        <w:t>Moxifloxacin</w:t>
      </w:r>
      <w:proofErr w:type="spellEnd"/>
      <w:r w:rsidRPr="007022DC">
        <w:t xml:space="preserve"> ophthalmic solution, a licensed </w:t>
      </w:r>
      <w:proofErr w:type="spellStart"/>
      <w:r w:rsidRPr="007022DC">
        <w:t>fluoroquinolone</w:t>
      </w:r>
      <w:proofErr w:type="spellEnd"/>
      <w:r w:rsidRPr="007022DC">
        <w:t xml:space="preserve"> for the treatment of bacterial conjunctivitis; here, </w:t>
      </w:r>
      <w:proofErr w:type="spellStart"/>
      <w:r w:rsidRPr="007022DC">
        <w:t>besifloxacin</w:t>
      </w:r>
      <w:proofErr w:type="spellEnd"/>
      <w:r w:rsidRPr="007022DC">
        <w:t xml:space="preserve"> ophthalmic suspension was non-inferior to </w:t>
      </w:r>
      <w:proofErr w:type="spellStart"/>
      <w:r w:rsidRPr="007022DC">
        <w:t>Vigamox</w:t>
      </w:r>
      <w:proofErr w:type="spellEnd"/>
      <w:r w:rsidRPr="007022DC">
        <w:t xml:space="preserve"> for clinical resolution and microbial eradication of baseline bacterial infection. Each of these studies is described in the d</w:t>
      </w:r>
      <w:r w:rsidR="00DD2734">
        <w:t>etail required for this section.</w:t>
      </w:r>
    </w:p>
    <w:p w:rsidR="00061425" w:rsidRPr="002221DE" w:rsidRDefault="00061425" w:rsidP="00883B41">
      <w:r w:rsidRPr="002221DE">
        <w:t xml:space="preserve">In Study 373, clinical resolution at the primary analysis visit (day 8) occurred in 73.3% (44/60) of </w:t>
      </w:r>
      <w:proofErr w:type="spellStart"/>
      <w:r w:rsidRPr="002221DE">
        <w:t>besifloxacin</w:t>
      </w:r>
      <w:proofErr w:type="spellEnd"/>
      <w:r w:rsidRPr="002221DE">
        <w:t xml:space="preserve">-treated </w:t>
      </w:r>
      <w:proofErr w:type="spellStart"/>
      <w:r w:rsidRPr="002221DE">
        <w:t>subjecty</w:t>
      </w:r>
      <w:proofErr w:type="spellEnd"/>
      <w:r w:rsidRPr="002221DE">
        <w:t xml:space="preserve"> with culture-confirmed conjunctivitis vs. 43.1 % (25/58) of vehicle subjects (p&lt;0.001). Bacterial eradication occurred in 88.3% (53/60) of patients in the </w:t>
      </w:r>
      <w:proofErr w:type="spellStart"/>
      <w:r w:rsidRPr="002221DE">
        <w:t>besifloxacin</w:t>
      </w:r>
      <w:proofErr w:type="spellEnd"/>
      <w:r w:rsidRPr="002221DE">
        <w:t xml:space="preserve"> group vs. 60.3% (35/58) of vehicle-treated subjects (p&lt;0.001). In Study 433, clinical </w:t>
      </w:r>
      <w:proofErr w:type="spellStart"/>
      <w:r w:rsidRPr="002221DE">
        <w:t>resolutrion</w:t>
      </w:r>
      <w:proofErr w:type="spellEnd"/>
      <w:r w:rsidRPr="002221DE">
        <w:t xml:space="preserve"> at the primary analysis visit (Day 5) occurred in 45.2% (90/199) of </w:t>
      </w:r>
      <w:proofErr w:type="spellStart"/>
      <w:r w:rsidRPr="002221DE">
        <w:t>besifloxacin</w:t>
      </w:r>
      <w:proofErr w:type="spellEnd"/>
      <w:r w:rsidRPr="002221DE">
        <w:t xml:space="preserve">-treated patients with culture-confirmed conjunctivitis vs. 33.0% (63/191) of patients receiving vehicle (p = 0.0084), while bacterial eradication occurred in 91.5% (182/199) of patients in the </w:t>
      </w:r>
      <w:proofErr w:type="spellStart"/>
      <w:r w:rsidRPr="002221DE">
        <w:t>besifloxacin</w:t>
      </w:r>
      <w:proofErr w:type="spellEnd"/>
      <w:r w:rsidRPr="002221DE">
        <w:t xml:space="preserve"> group versus 59.7% (114/191) of vehicle-treated patients (p &lt; 0.0001). In the non-inferiority study 434, </w:t>
      </w:r>
      <w:proofErr w:type="spellStart"/>
      <w:r w:rsidRPr="002221DE">
        <w:t>besifloxacin</w:t>
      </w:r>
      <w:proofErr w:type="spellEnd"/>
      <w:r w:rsidRPr="002221DE">
        <w:t xml:space="preserve"> and </w:t>
      </w:r>
      <w:proofErr w:type="spellStart"/>
      <w:r w:rsidRPr="002221DE">
        <w:t>moxifloxacin</w:t>
      </w:r>
      <w:proofErr w:type="spellEnd"/>
      <w:r w:rsidRPr="002221DE">
        <w:t xml:space="preserve">, clinical resolution at the primary analysis </w:t>
      </w:r>
      <w:proofErr w:type="spellStart"/>
      <w:r w:rsidRPr="002221DE">
        <w:t>vist</w:t>
      </w:r>
      <w:proofErr w:type="spellEnd"/>
      <w:r w:rsidRPr="002221DE">
        <w:t xml:space="preserve"> (Day 5) occurred in 58.3% and 59.4% of patients (</w:t>
      </w:r>
      <w:proofErr w:type="spellStart"/>
      <w:r w:rsidRPr="002221DE">
        <w:t>besifloxacin</w:t>
      </w:r>
      <w:proofErr w:type="spellEnd"/>
      <w:r w:rsidRPr="002221DE">
        <w:t xml:space="preserve"> and </w:t>
      </w:r>
      <w:proofErr w:type="spellStart"/>
      <w:r w:rsidRPr="002221DE">
        <w:t>moxifloxacin</w:t>
      </w:r>
      <w:proofErr w:type="spellEnd"/>
      <w:r w:rsidRPr="002221DE">
        <w:t>, respectively; p = 0.652; CI, -9.48% to 7.29%), and bacterial eradication occurred in 93.3% and 91.1% (</w:t>
      </w:r>
      <w:proofErr w:type="spellStart"/>
      <w:r w:rsidRPr="002221DE">
        <w:t>besifloxacin</w:t>
      </w:r>
      <w:proofErr w:type="spellEnd"/>
      <w:r w:rsidRPr="002221DE">
        <w:t xml:space="preserve"> and </w:t>
      </w:r>
      <w:proofErr w:type="spellStart"/>
      <w:r w:rsidRPr="002221DE">
        <w:t>moxifloxacin</w:t>
      </w:r>
      <w:proofErr w:type="spellEnd"/>
      <w:r w:rsidRPr="002221DE">
        <w:t xml:space="preserve">, respectively; p = 0.1238; CI, - 2.44% to 6.74%), confirming the non-inferiority of </w:t>
      </w:r>
      <w:proofErr w:type="spellStart"/>
      <w:r w:rsidRPr="002221DE">
        <w:t>besifloxacin</w:t>
      </w:r>
      <w:proofErr w:type="spellEnd"/>
      <w:r w:rsidRPr="002221DE">
        <w:t xml:space="preserve"> to </w:t>
      </w:r>
      <w:proofErr w:type="spellStart"/>
      <w:r w:rsidRPr="002221DE">
        <w:t>moxifloxacin</w:t>
      </w:r>
      <w:proofErr w:type="spellEnd"/>
      <w:r w:rsidRPr="002221DE">
        <w:t xml:space="preserve"> for bacterial conjunctivitis.</w:t>
      </w:r>
    </w:p>
    <w:p w:rsidR="00061425" w:rsidRPr="00061425" w:rsidRDefault="00061425" w:rsidP="00883B41">
      <w:pPr>
        <w:pStyle w:val="Heading3"/>
      </w:pPr>
      <w:bookmarkStart w:id="153" w:name="_Toc241374312"/>
      <w:bookmarkStart w:id="154" w:name="_Toc272414656"/>
      <w:bookmarkStart w:id="155" w:name="_Toc290888507"/>
      <w:bookmarkStart w:id="156" w:name="_Toc353192490"/>
      <w:bookmarkStart w:id="157" w:name="_Toc382908460"/>
      <w:r w:rsidRPr="00061425">
        <w:t>Analyses performed across t</w:t>
      </w:r>
      <w:r w:rsidR="004549E3">
        <w:t xml:space="preserve">rials (pooled &amp; </w:t>
      </w:r>
      <w:proofErr w:type="gramStart"/>
      <w:r w:rsidR="004549E3">
        <w:t>meta</w:t>
      </w:r>
      <w:proofErr w:type="gramEnd"/>
      <w:r w:rsidR="004549E3">
        <w:t xml:space="preserve"> </w:t>
      </w:r>
      <w:r w:rsidRPr="00061425">
        <w:t>analyses)</w:t>
      </w:r>
      <w:bookmarkEnd w:id="153"/>
      <w:bookmarkEnd w:id="154"/>
      <w:bookmarkEnd w:id="155"/>
      <w:bookmarkEnd w:id="156"/>
      <w:bookmarkEnd w:id="157"/>
    </w:p>
    <w:p w:rsidR="00061425" w:rsidRPr="006E5048" w:rsidRDefault="00061425" w:rsidP="00883B41">
      <w:r w:rsidRPr="006E5048">
        <w:t>Integrated clinical and microbial efficacy data from the vehicle-controlled studies, Study 373 and Study 433 is presented in this section. In addition, data from the active-controlled Study 434 was used for analyses of microbial efficacy on individual bacterial species.</w:t>
      </w:r>
    </w:p>
    <w:p w:rsidR="002F5661" w:rsidRPr="006E5048" w:rsidRDefault="002F5661" w:rsidP="00883B41">
      <w:pPr>
        <w:pStyle w:val="Heading4"/>
        <w:numPr>
          <w:ilvl w:val="0"/>
          <w:numId w:val="0"/>
        </w:numPr>
      </w:pPr>
      <w:r w:rsidRPr="006E5048">
        <w:t>A few important methodologi</w:t>
      </w:r>
      <w:r w:rsidR="00883B41">
        <w:t>cal issues should be noted i.e.</w:t>
      </w:r>
    </w:p>
    <w:p w:rsidR="002F5661" w:rsidRPr="004549E3" w:rsidRDefault="002F5661" w:rsidP="00883B41">
      <w:pPr>
        <w:pStyle w:val="ListBullet"/>
      </w:pPr>
      <w:r w:rsidRPr="004549E3">
        <w:t xml:space="preserve">The time point for the first follow-up visit (Visit 2) was different for Study 373 and Study 433 (and Study 434) i.e. Visit 2 was defined as Day 4, ± 1 day (Study 373) and Day 5, ±1 day (Study 433). In Studies 373 and 433 (and 434), clinical assessments and culture of infected eye(s) at Visit 2 occurred prior to administration of the first daily dose of study drug. Furthermore, efficacy analyses were conducted on data collected at this visit. Hence, the use </w:t>
      </w:r>
      <w:r w:rsidRPr="004549E3">
        <w:lastRenderedPageBreak/>
        <w:t xml:space="preserve">of the terminology ‘after 5 days of treatment’ to describe the treatment received prior to assessment of the primary efficacy variables in Study 433 (and 434) could be misleading because Visit 2 may have occurred as early as </w:t>
      </w:r>
      <w:proofErr w:type="spellStart"/>
      <w:r w:rsidRPr="004549E3">
        <w:t>Day</w:t>
      </w:r>
      <w:proofErr w:type="spellEnd"/>
      <w:r w:rsidRPr="004549E3">
        <w:t xml:space="preserve"> 4 (i.e. after 3 days of treatment) or as late as Day 6 (i.e. after 5 days of treatment). There is no adjustment in the analysis for this potential difference in duration of exposure to the study drug;</w:t>
      </w:r>
    </w:p>
    <w:p w:rsidR="002F5661" w:rsidRPr="004549E3" w:rsidRDefault="002F5661" w:rsidP="00883B41">
      <w:pPr>
        <w:pStyle w:val="ListBullet"/>
      </w:pPr>
      <w:r w:rsidRPr="004549E3">
        <w:t xml:space="preserve">Definitions for clinical diagnosis and clinical resolution of bacterial conjunctivitis were different for Study 373 and Study 433 (and Study 434). In 373, included subject had to have a minimum grade 1 for ocular discharge and a minimum of grade 1 for either bulbar or palpebral </w:t>
      </w:r>
      <w:proofErr w:type="spellStart"/>
      <w:r w:rsidRPr="004549E3">
        <w:t>conjunctival</w:t>
      </w:r>
      <w:proofErr w:type="spellEnd"/>
      <w:r w:rsidRPr="004549E3">
        <w:t xml:space="preserve"> injection. For 433, a minimum of grade 1 for ocular discharge and bulbar </w:t>
      </w:r>
      <w:proofErr w:type="spellStart"/>
      <w:r w:rsidRPr="004549E3">
        <w:t>conjunctival</w:t>
      </w:r>
      <w:proofErr w:type="spellEnd"/>
      <w:r w:rsidRPr="004549E3">
        <w:t xml:space="preserve"> injection was required for inclusion;</w:t>
      </w:r>
    </w:p>
    <w:p w:rsidR="002F5661" w:rsidRPr="004549E3" w:rsidRDefault="002F5661" w:rsidP="00883B41">
      <w:pPr>
        <w:pStyle w:val="ListBullet"/>
      </w:pPr>
      <w:r w:rsidRPr="004549E3">
        <w:t xml:space="preserve">Clinical resolution was defined as absence of ocular </w:t>
      </w:r>
      <w:r w:rsidRPr="00883B41">
        <w:t>discharge</w:t>
      </w:r>
      <w:r w:rsidRPr="004549E3">
        <w:t xml:space="preserve"> and bulbar </w:t>
      </w:r>
      <w:r w:rsidRPr="004549E3">
        <w:rPr>
          <w:b/>
        </w:rPr>
        <w:t>and</w:t>
      </w:r>
      <w:r w:rsidRPr="004549E3">
        <w:t xml:space="preserve"> palpebral </w:t>
      </w:r>
      <w:proofErr w:type="spellStart"/>
      <w:r w:rsidRPr="004549E3">
        <w:t>conjunctival</w:t>
      </w:r>
      <w:proofErr w:type="spellEnd"/>
      <w:r w:rsidRPr="004549E3">
        <w:t xml:space="preserve"> injection for 373 and as absence of ocular discharge and bulbar </w:t>
      </w:r>
      <w:proofErr w:type="spellStart"/>
      <w:r w:rsidR="00883B41">
        <w:t>conjunctival</w:t>
      </w:r>
      <w:proofErr w:type="spellEnd"/>
      <w:r w:rsidR="00883B41">
        <w:t xml:space="preserve"> injection for 433.</w:t>
      </w:r>
    </w:p>
    <w:p w:rsidR="002F5661" w:rsidRPr="004549E3" w:rsidRDefault="002F5661" w:rsidP="00883B41">
      <w:r w:rsidRPr="004549E3">
        <w:t>These methodological differences may have impacted on differences</w:t>
      </w:r>
      <w:r w:rsidR="00883B41">
        <w:t xml:space="preserve"> between the study results i.e.</w:t>
      </w:r>
    </w:p>
    <w:p w:rsidR="002F5661" w:rsidRPr="004549E3" w:rsidRDefault="002F5661" w:rsidP="00883B41">
      <w:pPr>
        <w:pStyle w:val="ListBullet"/>
      </w:pPr>
      <w:r w:rsidRPr="004549E3">
        <w:t xml:space="preserve">Rates of clinical resolution between </w:t>
      </w:r>
      <w:proofErr w:type="spellStart"/>
      <w:r w:rsidRPr="004549E3">
        <w:t>besifloxacin</w:t>
      </w:r>
      <w:proofErr w:type="spellEnd"/>
      <w:r w:rsidRPr="004549E3">
        <w:t xml:space="preserve"> and vehicle groups at Visit 2 (Day 4, ±1 day) were not statistically significant for Study 373; in contrast, rates of clinical resolution between </w:t>
      </w:r>
      <w:proofErr w:type="spellStart"/>
      <w:r w:rsidRPr="004549E3">
        <w:t>besifloxacin</w:t>
      </w:r>
      <w:proofErr w:type="spellEnd"/>
      <w:r w:rsidRPr="004549E3">
        <w:t xml:space="preserve"> and vehicle groups at Visit 2 (Day 5, ±1 day) for Study 433 were statistically significant. In the original analysis for Study 373, the primary efficacy analysis was conducted at Visit 3 (Day 8, +1 day). The apparent difference in rate of clinical resolution between these studies may be accounted for by different visit days, Visit 2 being conducted one day earlier in 373 than 433;</w:t>
      </w:r>
    </w:p>
    <w:p w:rsidR="002F5661" w:rsidRPr="004549E3" w:rsidRDefault="002F5661" w:rsidP="00883B41">
      <w:pPr>
        <w:pStyle w:val="ListBullet"/>
      </w:pPr>
      <w:r w:rsidRPr="004549E3">
        <w:t>In addition, clinical resolution for 373 required absence of 3 clinical signs (</w:t>
      </w:r>
      <w:proofErr w:type="spellStart"/>
      <w:r w:rsidRPr="004549E3">
        <w:t>conjunctival</w:t>
      </w:r>
      <w:proofErr w:type="spellEnd"/>
      <w:r w:rsidRPr="004549E3">
        <w:t xml:space="preserve"> discharge, bulbar and palpebral </w:t>
      </w:r>
      <w:proofErr w:type="spellStart"/>
      <w:r w:rsidRPr="004549E3">
        <w:t>conjunctival</w:t>
      </w:r>
      <w:proofErr w:type="spellEnd"/>
      <w:r w:rsidRPr="004549E3">
        <w:t xml:space="preserve"> injection) whereas in 433 clinical </w:t>
      </w:r>
      <w:proofErr w:type="gramStart"/>
      <w:r w:rsidRPr="004549E3">
        <w:t>resolution</w:t>
      </w:r>
      <w:proofErr w:type="gramEnd"/>
      <w:r w:rsidRPr="004549E3">
        <w:t xml:space="preserve"> required absence of 2 clinical signs (</w:t>
      </w:r>
      <w:proofErr w:type="spellStart"/>
      <w:r w:rsidRPr="004549E3">
        <w:t>conjunctival</w:t>
      </w:r>
      <w:proofErr w:type="spellEnd"/>
      <w:r w:rsidRPr="004549E3">
        <w:t xml:space="preserve"> discharge and bulbar </w:t>
      </w:r>
      <w:proofErr w:type="spellStart"/>
      <w:r w:rsidRPr="004549E3">
        <w:t>conjunctival</w:t>
      </w:r>
      <w:proofErr w:type="spellEnd"/>
      <w:r w:rsidRPr="004549E3">
        <w:t xml:space="preserve"> injection). In a further analysis of Study 373, clinical resolution at Visit 2 based on 2 clinical signs did not result in a statistically significant difference between treatment groups, although rates of resolution for both treatment groups increased. At Visit 3 (Day 8, +1 day), the difference in the rates of clinical resolution between the </w:t>
      </w:r>
      <w:proofErr w:type="spellStart"/>
      <w:r w:rsidRPr="004549E3">
        <w:t>besifloxacin</w:t>
      </w:r>
      <w:proofErr w:type="spellEnd"/>
      <w:r w:rsidRPr="004549E3">
        <w:t xml:space="preserve"> and vehicle groups was statistically significant for both studies, although overall rates were lower for 373 (original analysis) than for 433. At this visit, the difference in clinical resolution rates between these studies can be accounted for by the different definitions of clinical resolution. When the data for Study 373 was analysed with clinical outcome definition as per 433 (</w:t>
      </w:r>
      <w:proofErr w:type="spellStart"/>
      <w:r w:rsidRPr="004549E3">
        <w:t>conjunctival</w:t>
      </w:r>
      <w:proofErr w:type="spellEnd"/>
      <w:r w:rsidRPr="004549E3">
        <w:t xml:space="preserve"> discharge and bulbar </w:t>
      </w:r>
      <w:proofErr w:type="spellStart"/>
      <w:r w:rsidRPr="004549E3">
        <w:t>conjunctival</w:t>
      </w:r>
      <w:proofErr w:type="spellEnd"/>
      <w:r w:rsidRPr="004549E3">
        <w:t xml:space="preserve"> injection), the difference in the rates of clinical resolution between the </w:t>
      </w:r>
      <w:proofErr w:type="spellStart"/>
      <w:r w:rsidRPr="004549E3">
        <w:t>besifloxacin</w:t>
      </w:r>
      <w:proofErr w:type="spellEnd"/>
      <w:r w:rsidRPr="004549E3">
        <w:t xml:space="preserve"> ophthalmic suspension and vehicle treatment groups at Visit 3 was in favour of </w:t>
      </w:r>
      <w:proofErr w:type="spellStart"/>
      <w:r w:rsidRPr="004549E3">
        <w:t>besifloxacin</w:t>
      </w:r>
      <w:proofErr w:type="spellEnd"/>
      <w:r w:rsidRPr="004549E3">
        <w:t xml:space="preserve"> and higher than the rates originally reported in 373;</w:t>
      </w:r>
    </w:p>
    <w:p w:rsidR="002F5661" w:rsidRPr="004549E3" w:rsidRDefault="002F5661" w:rsidP="00883B41">
      <w:pPr>
        <w:pStyle w:val="ListBullet"/>
      </w:pPr>
      <w:r w:rsidRPr="004549E3">
        <w:t xml:space="preserve">When the rates of clinical resolution are compared between the vehicle-controlled Study 433 and the active-controlled Study 434, rates of clinical resolution were higher for subjects in the </w:t>
      </w:r>
      <w:proofErr w:type="spellStart"/>
      <w:r w:rsidRPr="004549E3">
        <w:t>besifloxacin</w:t>
      </w:r>
      <w:proofErr w:type="spellEnd"/>
      <w:r w:rsidRPr="004549E3">
        <w:t xml:space="preserve"> group in Study 434 compared to the </w:t>
      </w:r>
      <w:proofErr w:type="spellStart"/>
      <w:r w:rsidRPr="004549E3">
        <w:t>besifloxacin</w:t>
      </w:r>
      <w:proofErr w:type="spellEnd"/>
      <w:r w:rsidRPr="004549E3">
        <w:t xml:space="preserve"> group in Study 433. However, microbial eradication rates for subjects in the </w:t>
      </w:r>
      <w:proofErr w:type="spellStart"/>
      <w:r w:rsidRPr="004549E3">
        <w:t>besifloxacin</w:t>
      </w:r>
      <w:proofErr w:type="spellEnd"/>
      <w:r w:rsidRPr="004549E3">
        <w:t xml:space="preserve"> ophthalmic suspension treatment groups were similar in both studies. Differences in the control may have contributed to this finding by introducing an expectation bias in the active-controlled study;</w:t>
      </w:r>
    </w:p>
    <w:p w:rsidR="002F5661" w:rsidRPr="004549E3" w:rsidRDefault="002F5661" w:rsidP="00883B41">
      <w:pPr>
        <w:pStyle w:val="ListBullet"/>
      </w:pPr>
      <w:r w:rsidRPr="004549E3">
        <w:t xml:space="preserve">Overall microbial eradication rates for </w:t>
      </w:r>
      <w:proofErr w:type="spellStart"/>
      <w:r w:rsidRPr="004549E3">
        <w:t>besifloxacin</w:t>
      </w:r>
      <w:proofErr w:type="spellEnd"/>
      <w:r w:rsidRPr="004549E3">
        <w:t xml:space="preserve"> subjects were high at Visit 2 and sustained through Visit 3 (Day 8, +1 day) for both Study 373 and Study 433.</w:t>
      </w:r>
      <w:r w:rsidR="005422D8">
        <w:t xml:space="preserve"> </w:t>
      </w:r>
      <w:r w:rsidRPr="004549E3">
        <w:t xml:space="preserve">Differences in eradication rates between </w:t>
      </w:r>
      <w:proofErr w:type="spellStart"/>
      <w:r w:rsidRPr="004549E3">
        <w:t>besifloxacin</w:t>
      </w:r>
      <w:proofErr w:type="spellEnd"/>
      <w:r w:rsidRPr="004549E3">
        <w:t xml:space="preserve"> and vehicle groups were statistically significant at both study visits. Despite the difference of 1 day between studies (and hence duration of exposure to drug) for Visit 2, </w:t>
      </w:r>
      <w:proofErr w:type="spellStart"/>
      <w:r w:rsidRPr="004549E3">
        <w:t>besifloxacin</w:t>
      </w:r>
      <w:proofErr w:type="spellEnd"/>
      <w:r w:rsidRPr="004549E3">
        <w:t xml:space="preserve"> produced equally high levels of bacterial eradication, confirming rapid treatment effect.</w:t>
      </w:r>
    </w:p>
    <w:p w:rsidR="004549E3" w:rsidRDefault="002F5661" w:rsidP="00883B41">
      <w:pPr>
        <w:pStyle w:val="Heading4"/>
      </w:pPr>
      <w:r w:rsidRPr="005C2B74">
        <w:lastRenderedPageBreak/>
        <w:t xml:space="preserve">Efficacy in </w:t>
      </w:r>
      <w:r w:rsidR="004549E3">
        <w:t>s</w:t>
      </w:r>
      <w:r w:rsidRPr="005C2B74">
        <w:t xml:space="preserve">pecial </w:t>
      </w:r>
      <w:r w:rsidR="004549E3" w:rsidRPr="00883B41">
        <w:t>p</w:t>
      </w:r>
      <w:r w:rsidRPr="00883B41">
        <w:t>opulations</w:t>
      </w:r>
    </w:p>
    <w:p w:rsidR="002F5661" w:rsidRPr="004549E3" w:rsidRDefault="002F5661" w:rsidP="00883B41">
      <w:r w:rsidRPr="004549E3">
        <w:t xml:space="preserve">The primary efficacy endpoints of clinical resolution and microbial eradication (at Visits 2 and 3) were analysed for all study eyes within the specified study population as well as by gender (Males/Females), race (White/Asian/Black or African American/Other), ethnicity (Hispanic or Latino/Not Hispanic and Not </w:t>
      </w:r>
      <w:r w:rsidR="00DC37F5">
        <w:t>Latino), and age (&lt;2 years, 2-</w:t>
      </w:r>
      <w:r w:rsidRPr="004549E3">
        <w:t>19</w:t>
      </w:r>
      <w:r w:rsidR="00DC37F5">
        <w:t xml:space="preserve"> years, 20-</w:t>
      </w:r>
      <w:r w:rsidR="00883B41">
        <w:t>59 years and ≥60 years).</w:t>
      </w:r>
    </w:p>
    <w:p w:rsidR="002F5661" w:rsidRPr="004549E3" w:rsidRDefault="002F5661" w:rsidP="00883B41">
      <w:r w:rsidRPr="004549E3">
        <w:t>Findings:</w:t>
      </w:r>
    </w:p>
    <w:p w:rsidR="002F5661" w:rsidRPr="004549E3" w:rsidRDefault="002F5661" w:rsidP="00883B41">
      <w:pPr>
        <w:pStyle w:val="ListBullet"/>
      </w:pPr>
      <w:r w:rsidRPr="004549E3">
        <w:t xml:space="preserve">Clinical resolution rates at Visit 2 tended to be slightly lower for males in the </w:t>
      </w:r>
      <w:proofErr w:type="spellStart"/>
      <w:r w:rsidRPr="004549E3">
        <w:t>besifloxacin</w:t>
      </w:r>
      <w:proofErr w:type="spellEnd"/>
      <w:r w:rsidRPr="004549E3">
        <w:t xml:space="preserve"> group and slightly higher for males in the vehicle groups vs. females in each group. Similar trends were seen in the </w:t>
      </w:r>
      <w:proofErr w:type="spellStart"/>
      <w:r w:rsidRPr="004549E3">
        <w:t>besifloxacin</w:t>
      </w:r>
      <w:proofErr w:type="spellEnd"/>
      <w:r w:rsidRPr="004549E3">
        <w:t xml:space="preserve"> group, but not the vehicle group, at Visit 3;</w:t>
      </w:r>
    </w:p>
    <w:p w:rsidR="002F5661" w:rsidRPr="004549E3" w:rsidRDefault="002F5661" w:rsidP="00883B41">
      <w:pPr>
        <w:pStyle w:val="ListBullet"/>
      </w:pPr>
      <w:r w:rsidRPr="004549E3">
        <w:t xml:space="preserve">At Visits 2 and 3, the difference in clinical resolution rates between </w:t>
      </w:r>
      <w:proofErr w:type="spellStart"/>
      <w:r w:rsidRPr="004549E3">
        <w:t>besifloxacin</w:t>
      </w:r>
      <w:proofErr w:type="spellEnd"/>
      <w:r w:rsidRPr="004549E3">
        <w:t xml:space="preserve"> and vehicle groups was statistically significant for females (p&lt;0.0053). For males, however, the difference in clinical resolution rates between </w:t>
      </w:r>
      <w:proofErr w:type="spellStart"/>
      <w:r w:rsidRPr="004549E3">
        <w:t>besifloxacin</w:t>
      </w:r>
      <w:proofErr w:type="spellEnd"/>
      <w:r w:rsidRPr="004549E3">
        <w:t xml:space="preserve"> vs. vehicle treatment groups was only statistically significant at Visit 3 (p=0.0257). Comparing point estimates of clinical resolution rates between </w:t>
      </w:r>
      <w:proofErr w:type="spellStart"/>
      <w:r w:rsidRPr="004549E3">
        <w:t>besifloxacin</w:t>
      </w:r>
      <w:proofErr w:type="spellEnd"/>
      <w:r w:rsidRPr="004549E3">
        <w:t xml:space="preserve"> and vehicle groups, males had a lower rate of clinical resolution at both Visit 2 and Visit 3 vs. females. Moreover, this difference could not be explained by different gender proportions in the studies;</w:t>
      </w:r>
    </w:p>
    <w:p w:rsidR="002F5661" w:rsidRPr="004549E3" w:rsidRDefault="002F5661" w:rsidP="00883B41">
      <w:pPr>
        <w:pStyle w:val="ListBullet"/>
      </w:pPr>
      <w:r w:rsidRPr="004549E3">
        <w:t xml:space="preserve">Microbial eradication rates were statistically significantly higher in the </w:t>
      </w:r>
      <w:proofErr w:type="spellStart"/>
      <w:r w:rsidRPr="004549E3">
        <w:t>besifloxacin</w:t>
      </w:r>
      <w:proofErr w:type="spellEnd"/>
      <w:r w:rsidRPr="004549E3">
        <w:t xml:space="preserve"> vs. vehicle for both males and females at Visit 2 and Visit 3 and were similar to the overall </w:t>
      </w:r>
      <w:proofErr w:type="spellStart"/>
      <w:r w:rsidRPr="004549E3">
        <w:t>mITT</w:t>
      </w:r>
      <w:proofErr w:type="spellEnd"/>
      <w:r w:rsidRPr="004549E3">
        <w:t xml:space="preserve"> ‘as randomized’ population. Rates of clinical resolution in these studies tended to be higher in the younger age groups at both Visit 2 and Visit 3 for both </w:t>
      </w:r>
      <w:proofErr w:type="spellStart"/>
      <w:r w:rsidRPr="004549E3">
        <w:t>besifloxacin</w:t>
      </w:r>
      <w:proofErr w:type="spellEnd"/>
      <w:r w:rsidRPr="004549E3">
        <w:t xml:space="preserve"> and vehicle. In general, treatment differences on clinical resolution rates within each age group were similar to overall, with </w:t>
      </w:r>
      <w:proofErr w:type="spellStart"/>
      <w:r w:rsidRPr="004549E3">
        <w:t>besifloxacin</w:t>
      </w:r>
      <w:proofErr w:type="spellEnd"/>
      <w:r w:rsidRPr="004549E3">
        <w:t xml:space="preserve"> higher than vehicle, with the exception of Visit 2 in the &gt;60 year old age group where clinical resolution rates </w:t>
      </w:r>
      <w:r w:rsidRPr="004549E3">
        <w:rPr>
          <w:b/>
        </w:rPr>
        <w:t>were low overall</w:t>
      </w:r>
      <w:r w:rsidRPr="004549E3">
        <w:t xml:space="preserve">. Rates of microbial eradication, on the other hand, tended to be higher in the older age groups. In general, the treatment differences on microbial eradication rates within each age group were similar to overall, with </w:t>
      </w:r>
      <w:proofErr w:type="spellStart"/>
      <w:r w:rsidRPr="004549E3">
        <w:t>besifloxacin</w:t>
      </w:r>
      <w:proofErr w:type="spellEnd"/>
      <w:r w:rsidRPr="004549E3">
        <w:t xml:space="preserve"> ophthalmic suspension rates higher than vehicle;</w:t>
      </w:r>
    </w:p>
    <w:p w:rsidR="002F5661" w:rsidRPr="004549E3" w:rsidRDefault="002F5661" w:rsidP="00883B41">
      <w:pPr>
        <w:pStyle w:val="ListBullet"/>
      </w:pPr>
      <w:r w:rsidRPr="004549E3">
        <w:t xml:space="preserve">Due to small sample sizes, statistical comparisons within race groups other than ‘White’ do not have sufficient power to be conclusive. At Visit 2, rates of clinical resolution for ‘Blacks or African Americans’ were consistent with rates observed for overall </w:t>
      </w:r>
      <w:proofErr w:type="spellStart"/>
      <w:r w:rsidRPr="004549E3">
        <w:t>mITT</w:t>
      </w:r>
      <w:proofErr w:type="spellEnd"/>
      <w:r w:rsidRPr="004549E3">
        <w:t xml:space="preserve"> ‘as randomized’ population. At Visit 3, rates of clinical resolution for this subgroup were </w:t>
      </w:r>
      <w:r w:rsidR="0039797E">
        <w:t>~</w:t>
      </w:r>
      <w:r w:rsidRPr="004549E3">
        <w:t xml:space="preserve">10% lower in the </w:t>
      </w:r>
      <w:proofErr w:type="spellStart"/>
      <w:r w:rsidRPr="004549E3">
        <w:t>besifloxacin</w:t>
      </w:r>
      <w:proofErr w:type="spellEnd"/>
      <w:r w:rsidRPr="004549E3">
        <w:t xml:space="preserve"> group and approximately 15% higher in the vehicle treatment group than for the overall </w:t>
      </w:r>
      <w:proofErr w:type="spellStart"/>
      <w:r w:rsidRPr="004549E3">
        <w:t>mITT</w:t>
      </w:r>
      <w:proofErr w:type="spellEnd"/>
      <w:r w:rsidRPr="004549E3">
        <w:t xml:space="preserve"> ‘as randomized’ population. Microbial </w:t>
      </w:r>
      <w:r w:rsidRPr="00883B41">
        <w:t>eradication</w:t>
      </w:r>
      <w:r w:rsidRPr="004549E3">
        <w:t xml:space="preserve"> rates in those of ‘Black’ race were high, with higher rates for </w:t>
      </w:r>
      <w:proofErr w:type="spellStart"/>
      <w:r w:rsidRPr="004549E3">
        <w:t>besifloxacin</w:t>
      </w:r>
      <w:proofErr w:type="spellEnd"/>
      <w:r w:rsidRPr="004549E3">
        <w:t xml:space="preserve"> than vehicle, at both Visit 2 and Visit 3 and did not follow the same trend seen for clinical resolution. For subjects who reported race as ‘Other’, rates of microbial eradication at Visit 2 were slightly lower in both treatment groups when compared to the overall </w:t>
      </w:r>
      <w:proofErr w:type="spellStart"/>
      <w:r w:rsidRPr="004549E3">
        <w:t>mITT</w:t>
      </w:r>
      <w:proofErr w:type="spellEnd"/>
      <w:r w:rsidRPr="004549E3">
        <w:t xml:space="preserve"> ‘as randomized’ population although the difference between treatment groups remained consistent with overall findings. For the ‘Hispanic and Latino’ ethnicity group, rates of clinical resolution at Visit 3 were slightly higher in both treatment groups when compared to the overall </w:t>
      </w:r>
      <w:proofErr w:type="spellStart"/>
      <w:r w:rsidRPr="004549E3">
        <w:t>mITT</w:t>
      </w:r>
      <w:proofErr w:type="spellEnd"/>
      <w:r w:rsidRPr="004549E3">
        <w:t xml:space="preserve"> ‘as randomized’ population although the difference between treatment groups remained consistent with overall.</w:t>
      </w:r>
    </w:p>
    <w:p w:rsidR="002F5661" w:rsidRPr="002F5661" w:rsidRDefault="002F5661" w:rsidP="00883B41">
      <w:pPr>
        <w:pStyle w:val="Heading3"/>
      </w:pPr>
      <w:bookmarkStart w:id="158" w:name="_Ref271126605"/>
      <w:bookmarkStart w:id="159" w:name="_Toc272414657"/>
      <w:bookmarkStart w:id="160" w:name="_Toc290888508"/>
      <w:bookmarkStart w:id="161" w:name="_Toc353192491"/>
      <w:bookmarkStart w:id="162" w:name="_Toc382908461"/>
      <w:r w:rsidRPr="002F5661">
        <w:t xml:space="preserve">Evaluator’s conclusions on clinical efficacy for </w:t>
      </w:r>
      <w:bookmarkEnd w:id="158"/>
      <w:bookmarkEnd w:id="159"/>
      <w:bookmarkEnd w:id="160"/>
      <w:proofErr w:type="spellStart"/>
      <w:r w:rsidR="00883B41">
        <w:t>b</w:t>
      </w:r>
      <w:r w:rsidRPr="00883B41">
        <w:t>esivance</w:t>
      </w:r>
      <w:bookmarkEnd w:id="161"/>
      <w:bookmarkEnd w:id="162"/>
      <w:proofErr w:type="spellEnd"/>
    </w:p>
    <w:p w:rsidR="002F5661" w:rsidRPr="000F0559" w:rsidRDefault="002F5661" w:rsidP="00883B41">
      <w:bookmarkStart w:id="163" w:name="_Toc184439992"/>
      <w:bookmarkStart w:id="164" w:name="_Toc184440279"/>
      <w:bookmarkStart w:id="165" w:name="_Toc184444657"/>
      <w:bookmarkStart w:id="166" w:name="_Toc196046487"/>
      <w:r w:rsidRPr="000F0559">
        <w:t xml:space="preserve">The 0.6% concentration of </w:t>
      </w:r>
      <w:proofErr w:type="spellStart"/>
      <w:r w:rsidRPr="000F0559">
        <w:t>besifloxacin</w:t>
      </w:r>
      <w:proofErr w:type="spellEnd"/>
      <w:r w:rsidRPr="000F0559">
        <w:t xml:space="preserve"> hydrochloride and TID dosing is supported by </w:t>
      </w:r>
      <w:r>
        <w:t>pharmacokinetic</w:t>
      </w:r>
      <w:r w:rsidRPr="000F0559">
        <w:t>/</w:t>
      </w:r>
      <w:proofErr w:type="spellStart"/>
      <w:r>
        <w:rPr>
          <w:color w:val="000000"/>
        </w:rPr>
        <w:t>pharmacodynamic</w:t>
      </w:r>
      <w:proofErr w:type="spellEnd"/>
      <w:r w:rsidRPr="000F0559">
        <w:t xml:space="preserve"> relationship analysis and data from the submitted preclinical studies and clinical trials. The pivotal studies confirm the effi</w:t>
      </w:r>
      <w:r>
        <w:t xml:space="preserve">cacy and safety of </w:t>
      </w:r>
      <w:proofErr w:type="spellStart"/>
      <w:r>
        <w:t>Besivance</w:t>
      </w:r>
      <w:proofErr w:type="spellEnd"/>
      <w:r>
        <w:t xml:space="preserve"> versus</w:t>
      </w:r>
      <w:r w:rsidRPr="000F0559">
        <w:t xml:space="preserve"> placebo (Vehicle) and in a head</w:t>
      </w:r>
      <w:r>
        <w:t xml:space="preserve"> </w:t>
      </w:r>
      <w:r w:rsidRPr="000F0559">
        <w:t>to</w:t>
      </w:r>
      <w:r>
        <w:t xml:space="preserve"> </w:t>
      </w:r>
      <w:r w:rsidRPr="000F0559">
        <w:t>head study wit</w:t>
      </w:r>
      <w:r>
        <w:t>h an appropriate comparator, that is,</w:t>
      </w:r>
      <w:r w:rsidRPr="000F0559">
        <w:t xml:space="preserve"> the topical ophthalmic formulation of </w:t>
      </w:r>
      <w:proofErr w:type="spellStart"/>
      <w:r w:rsidRPr="000F0559">
        <w:t>moxiflox</w:t>
      </w:r>
      <w:r>
        <w:t>acin</w:t>
      </w:r>
      <w:proofErr w:type="spellEnd"/>
      <w:r>
        <w:t xml:space="preserve"> (same class of antibiotic and</w:t>
      </w:r>
      <w:r w:rsidRPr="000F0559">
        <w:t xml:space="preserve"> approved for this indication). It is important to note, however, that topical </w:t>
      </w:r>
      <w:proofErr w:type="spellStart"/>
      <w:r w:rsidRPr="000F0559">
        <w:t>moxifloxacin</w:t>
      </w:r>
      <w:proofErr w:type="spellEnd"/>
      <w:r w:rsidRPr="000F0559">
        <w:t xml:space="preserve"> for ophthalmological use is not approved in Australia. Other alternative topical </w:t>
      </w:r>
      <w:proofErr w:type="spellStart"/>
      <w:r w:rsidRPr="000F0559">
        <w:t>antibimicrobial</w:t>
      </w:r>
      <w:proofErr w:type="spellEnd"/>
      <w:r w:rsidRPr="000F0559">
        <w:t xml:space="preserve"> </w:t>
      </w:r>
      <w:r w:rsidRPr="000F0559">
        <w:lastRenderedPageBreak/>
        <w:t xml:space="preserve">agents approved in Australia for </w:t>
      </w:r>
      <w:r w:rsidRPr="000F0559">
        <w:rPr>
          <w:b/>
          <w:i/>
        </w:rPr>
        <w:t>bacterial</w:t>
      </w:r>
      <w:r w:rsidRPr="000F0559">
        <w:rPr>
          <w:b/>
        </w:rPr>
        <w:t xml:space="preserve"> conjunctivitis include</w:t>
      </w:r>
      <w:r w:rsidRPr="000F0559">
        <w:t xml:space="preserve"> are: chloramphenicol, </w:t>
      </w:r>
      <w:proofErr w:type="spellStart"/>
      <w:r w:rsidRPr="000F0559">
        <w:t>sulfacetamide</w:t>
      </w:r>
      <w:proofErr w:type="spellEnd"/>
      <w:r w:rsidRPr="000F0559">
        <w:t xml:space="preserve"> sodium, tobramycin (aminoglycoside), gentamicin (aminoglycoside), </w:t>
      </w:r>
      <w:proofErr w:type="spellStart"/>
      <w:r w:rsidRPr="000F0559">
        <w:t>framycetin</w:t>
      </w:r>
      <w:proofErr w:type="spellEnd"/>
      <w:r w:rsidRPr="000F0559">
        <w:t xml:space="preserve"> sulphate (aminoglycoside), ciprofloxacin a</w:t>
      </w:r>
      <w:r w:rsidR="00883B41">
        <w:t xml:space="preserve">nd </w:t>
      </w:r>
      <w:proofErr w:type="spellStart"/>
      <w:r w:rsidR="00883B41">
        <w:t>ofloxacin</w:t>
      </w:r>
      <w:proofErr w:type="spellEnd"/>
      <w:r w:rsidR="00883B41">
        <w:t xml:space="preserve"> (both quinolones).</w:t>
      </w:r>
    </w:p>
    <w:p w:rsidR="00C22678" w:rsidRDefault="00C22678" w:rsidP="00883B41">
      <w:pPr>
        <w:pStyle w:val="Heading2"/>
      </w:pPr>
      <w:bookmarkStart w:id="167" w:name="_Toc382908462"/>
      <w:bookmarkEnd w:id="163"/>
      <w:bookmarkEnd w:id="164"/>
      <w:bookmarkEnd w:id="165"/>
      <w:bookmarkEnd w:id="166"/>
      <w:r>
        <w:t>Clinical safety</w:t>
      </w:r>
      <w:bookmarkEnd w:id="167"/>
    </w:p>
    <w:p w:rsidR="004549E3" w:rsidRPr="005C2B74" w:rsidRDefault="004549E3" w:rsidP="00883B41">
      <w:pPr>
        <w:pStyle w:val="Heading3"/>
      </w:pPr>
      <w:bookmarkStart w:id="168" w:name="_Toc272414659"/>
      <w:bookmarkStart w:id="169" w:name="_Toc290888510"/>
      <w:bookmarkStart w:id="170" w:name="_Toc353192493"/>
      <w:bookmarkStart w:id="171" w:name="_Toc382908463"/>
      <w:r w:rsidRPr="005C2B74">
        <w:t>Studies providing evaluable safety data</w:t>
      </w:r>
      <w:bookmarkEnd w:id="168"/>
      <w:bookmarkEnd w:id="169"/>
      <w:bookmarkEnd w:id="170"/>
      <w:bookmarkEnd w:id="171"/>
    </w:p>
    <w:p w:rsidR="004549E3" w:rsidRPr="00962360" w:rsidRDefault="004549E3" w:rsidP="00883B41">
      <w:bookmarkStart w:id="172" w:name="_Ref268776745"/>
      <w:r w:rsidRPr="00962360">
        <w:t>The following studies provided evaluable safety data, Study C-02-403-001, 507,</w:t>
      </w:r>
      <w:r w:rsidR="00883B41">
        <w:t xml:space="preserve"> ROC2-05-070, 373, 433 and 434.</w:t>
      </w:r>
    </w:p>
    <w:p w:rsidR="004549E3" w:rsidRPr="005C2B74" w:rsidRDefault="004549E3" w:rsidP="00883B41">
      <w:pPr>
        <w:pStyle w:val="Heading4"/>
      </w:pPr>
      <w:r w:rsidRPr="00883B41">
        <w:t>Pivotal</w:t>
      </w:r>
      <w:r w:rsidRPr="005C2B74">
        <w:t xml:space="preserve"> efficacy studies</w:t>
      </w:r>
      <w:bookmarkEnd w:id="172"/>
    </w:p>
    <w:p w:rsidR="004549E3" w:rsidRPr="00962360" w:rsidRDefault="004549E3" w:rsidP="00883B41">
      <w:pPr>
        <w:pStyle w:val="ListBullet"/>
      </w:pPr>
      <w:r w:rsidRPr="00962360">
        <w:t xml:space="preserve">In the pivotal efficacy studies, the following safety data were collected: General adverse events (AEs) were assessed by patient report and investigator assessment at each visit – targeted in regards to eye symptoms/signs and open-ended in regards to other symptomatology; Ophthalmologic events were assessed by measures of visual acuity (VA), slit lamp </w:t>
      </w:r>
      <w:proofErr w:type="spellStart"/>
      <w:r w:rsidRPr="00962360">
        <w:t>biomicroscopy</w:t>
      </w:r>
      <w:proofErr w:type="spellEnd"/>
      <w:r w:rsidRPr="00962360">
        <w:t xml:space="preserve"> and ophthalmoscopy;</w:t>
      </w:r>
    </w:p>
    <w:p w:rsidR="004549E3" w:rsidRPr="00962360" w:rsidRDefault="004549E3" w:rsidP="00883B41">
      <w:pPr>
        <w:pStyle w:val="ListBullet"/>
      </w:pPr>
      <w:r w:rsidRPr="00962360">
        <w:t xml:space="preserve">Laboratory </w:t>
      </w:r>
      <w:r w:rsidRPr="00883B41">
        <w:t>tests</w:t>
      </w:r>
      <w:r w:rsidRPr="00962360">
        <w:t xml:space="preserve"> i.e. biochemistry, haematology and urinalysis were not performed in the pivotal efficacy study as systemic absorption is so low. Safety lab data was provided in C-02-403-001 only;</w:t>
      </w:r>
    </w:p>
    <w:p w:rsidR="004549E3" w:rsidRPr="00962360" w:rsidRDefault="004549E3" w:rsidP="00883B41">
      <w:pPr>
        <w:pStyle w:val="ListBullet"/>
      </w:pPr>
      <w:r w:rsidRPr="00962360">
        <w:t>ECG readings were collected before and after dosing in the Phase 1 safety study, C-02-403-001 only.</w:t>
      </w:r>
    </w:p>
    <w:p w:rsidR="004549E3" w:rsidRPr="005C2B74" w:rsidRDefault="004549E3" w:rsidP="00883B41">
      <w:pPr>
        <w:pStyle w:val="Heading4"/>
      </w:pPr>
      <w:r w:rsidRPr="00883B41">
        <w:t>Pivotal</w:t>
      </w:r>
      <w:r w:rsidRPr="005C2B74">
        <w:t xml:space="preserve"> studies that assessed safety as a primary outcome</w:t>
      </w:r>
    </w:p>
    <w:p w:rsidR="004549E3" w:rsidRPr="00962360" w:rsidRDefault="004549E3" w:rsidP="00883B41">
      <w:r w:rsidRPr="00962360">
        <w:t>Studies C-02-403-001, 507, ROC2-05-070 were pivotal studies assessing safety as a primary outcome. Safety data was collected for the Pivotal efficacy studies, 373, 433 and 4</w:t>
      </w:r>
      <w:r w:rsidR="00883B41">
        <w:t>34.</w:t>
      </w:r>
    </w:p>
    <w:p w:rsidR="004549E3" w:rsidRPr="005C2B74" w:rsidRDefault="004549E3" w:rsidP="00883B41">
      <w:pPr>
        <w:pStyle w:val="Heading3"/>
      </w:pPr>
      <w:bookmarkStart w:id="173" w:name="_Ref269204367"/>
      <w:bookmarkStart w:id="174" w:name="_Ref271195835"/>
      <w:bookmarkStart w:id="175" w:name="_Ref271195841"/>
      <w:bookmarkStart w:id="176" w:name="_Toc272414660"/>
      <w:bookmarkStart w:id="177" w:name="_Toc290888511"/>
      <w:bookmarkStart w:id="178" w:name="_Toc353192494"/>
      <w:bookmarkStart w:id="179" w:name="_Toc382908464"/>
      <w:r w:rsidRPr="005C2B74">
        <w:t>Pivotal studies that assessed safety as a primary outcome</w:t>
      </w:r>
      <w:bookmarkEnd w:id="173"/>
      <w:bookmarkEnd w:id="174"/>
      <w:bookmarkEnd w:id="175"/>
      <w:bookmarkEnd w:id="176"/>
      <w:bookmarkEnd w:id="177"/>
      <w:bookmarkEnd w:id="178"/>
      <w:bookmarkEnd w:id="179"/>
    </w:p>
    <w:p w:rsidR="004549E3" w:rsidRPr="00962360" w:rsidRDefault="004549E3" w:rsidP="00751F38">
      <w:r w:rsidRPr="00962360">
        <w:t>There were 3 studies, C-02-403-001, 507 and ROC2-05-070 that assessed safety as a primary outcome.</w:t>
      </w:r>
    </w:p>
    <w:p w:rsidR="004549E3" w:rsidRPr="005C2B74" w:rsidRDefault="004549E3" w:rsidP="00751F38">
      <w:pPr>
        <w:pStyle w:val="Heading3"/>
      </w:pPr>
      <w:bookmarkStart w:id="180" w:name="_Toc241374318"/>
      <w:bookmarkStart w:id="181" w:name="_Ref271196630"/>
      <w:bookmarkStart w:id="182" w:name="_Toc272414662"/>
      <w:bookmarkStart w:id="183" w:name="_Toc290888526"/>
      <w:bookmarkStart w:id="184" w:name="_Toc353192495"/>
      <w:bookmarkStart w:id="185" w:name="_Toc382908465"/>
      <w:r w:rsidRPr="005C2B74">
        <w:t>Patient exposure</w:t>
      </w:r>
      <w:bookmarkEnd w:id="180"/>
      <w:bookmarkEnd w:id="181"/>
      <w:bookmarkEnd w:id="182"/>
      <w:bookmarkEnd w:id="183"/>
      <w:bookmarkEnd w:id="184"/>
      <w:bookmarkEnd w:id="185"/>
    </w:p>
    <w:p w:rsidR="004549E3" w:rsidRPr="00962360" w:rsidRDefault="004549E3" w:rsidP="00751F38">
      <w:r w:rsidRPr="00962360">
        <w:t xml:space="preserve">The application includes exposure information from 4 clinical studies conducted in 161 healthy volunteers and 4 clinical studies conducted in 2507 subjects with a clinical diagnosis of bacterial conjunctivitis (Studies 478, 373, 433, </w:t>
      </w:r>
      <w:proofErr w:type="gramStart"/>
      <w:r w:rsidRPr="00962360">
        <w:t>434</w:t>
      </w:r>
      <w:proofErr w:type="gramEnd"/>
      <w:r w:rsidRPr="00962360">
        <w:t xml:space="preserve">). Overall, 1445 subjects received </w:t>
      </w:r>
      <w:proofErr w:type="spellStart"/>
      <w:r w:rsidRPr="00962360">
        <w:t>besifloxacin</w:t>
      </w:r>
      <w:proofErr w:type="spellEnd"/>
      <w:r w:rsidRPr="00962360">
        <w:t xml:space="preserve"> (0.3% or 0.6%), 644 subjects received Vehicle, and 598 subjects received the comparator drug </w:t>
      </w:r>
      <w:proofErr w:type="spellStart"/>
      <w:r w:rsidRPr="00962360">
        <w:t>Vigamox</w:t>
      </w:r>
      <w:proofErr w:type="spellEnd"/>
      <w:r w:rsidRPr="00962360">
        <w:t xml:space="preserve">. Of the 1445 subjects receiving </w:t>
      </w:r>
      <w:proofErr w:type="spellStart"/>
      <w:r w:rsidRPr="00962360">
        <w:t>besifloxacin</w:t>
      </w:r>
      <w:proofErr w:type="spellEnd"/>
      <w:r w:rsidRPr="00962360">
        <w:t xml:space="preserve"> ophthalmic suspension, 1433 received the proposed therapeutic </w:t>
      </w:r>
      <w:r w:rsidR="00454509">
        <w:t>concentration</w:t>
      </w:r>
      <w:r w:rsidRPr="00962360">
        <w:t xml:space="preserve">. Duration of dosing for those receiving the proposed </w:t>
      </w:r>
      <w:r w:rsidR="00454509">
        <w:t>concentration</w:t>
      </w:r>
      <w:r w:rsidRPr="00962360">
        <w:t xml:space="preserve"> ranged from one day (one drop) to 7 days. The frequency of dosing ranged from a single instillation up to QID, representing total exposure of at least 6658 </w:t>
      </w:r>
      <w:proofErr w:type="spellStart"/>
      <w:r w:rsidRPr="00962360">
        <w:t>besifloxacin</w:t>
      </w:r>
      <w:proofErr w:type="spellEnd"/>
      <w:r w:rsidRPr="00962360">
        <w:t xml:space="preserve"> ophthalmic suspension subject-days, 6574 of them using the 0.6% formulation.</w:t>
      </w:r>
    </w:p>
    <w:p w:rsidR="004549E3" w:rsidRPr="005C2B74" w:rsidRDefault="004549E3" w:rsidP="00751F38">
      <w:pPr>
        <w:pStyle w:val="Heading3"/>
      </w:pPr>
      <w:bookmarkStart w:id="186" w:name="_Toc241374319"/>
      <w:bookmarkStart w:id="187" w:name="_Ref271044764"/>
      <w:bookmarkStart w:id="188" w:name="_Toc272414663"/>
      <w:bookmarkStart w:id="189" w:name="_Toc290888527"/>
      <w:bookmarkStart w:id="190" w:name="_Toc353192496"/>
      <w:bookmarkStart w:id="191" w:name="_Toc382908466"/>
      <w:r w:rsidRPr="005C2B74">
        <w:t xml:space="preserve">Adverse </w:t>
      </w:r>
      <w:r w:rsidRPr="00751F38">
        <w:t>events</w:t>
      </w:r>
      <w:bookmarkEnd w:id="186"/>
      <w:bookmarkEnd w:id="187"/>
      <w:bookmarkEnd w:id="188"/>
      <w:bookmarkEnd w:id="189"/>
      <w:bookmarkEnd w:id="190"/>
      <w:bookmarkEnd w:id="191"/>
    </w:p>
    <w:p w:rsidR="004549E3" w:rsidRPr="00962360" w:rsidRDefault="004549E3" w:rsidP="00751F38">
      <w:r w:rsidRPr="00962360">
        <w:t>Monitored through patient report, investigator questioning (open and directed) and eye examinations</w:t>
      </w:r>
      <w:r w:rsidR="002031D0">
        <w:t xml:space="preserve"> as described in the ‘Clinical efficacy’ section.</w:t>
      </w:r>
    </w:p>
    <w:p w:rsidR="004549E3" w:rsidRPr="005C2B74" w:rsidRDefault="004549E3" w:rsidP="00751F38">
      <w:pPr>
        <w:pStyle w:val="Heading4"/>
      </w:pPr>
      <w:bookmarkStart w:id="192" w:name="_Ref272317284"/>
      <w:bookmarkStart w:id="193" w:name="_Ref272333565"/>
      <w:bookmarkStart w:id="194" w:name="_Toc272414664"/>
      <w:bookmarkStart w:id="195" w:name="_Toc290888528"/>
      <w:bookmarkStart w:id="196" w:name="_Toc353192497"/>
      <w:r w:rsidRPr="005C2B74">
        <w:lastRenderedPageBreak/>
        <w:t>All adverse events (</w:t>
      </w:r>
      <w:r w:rsidRPr="00751F38">
        <w:t>irrespective</w:t>
      </w:r>
      <w:r w:rsidRPr="005C2B74">
        <w:t xml:space="preserve"> of relationship to study treatment)</w:t>
      </w:r>
      <w:bookmarkEnd w:id="192"/>
      <w:bookmarkEnd w:id="193"/>
      <w:bookmarkEnd w:id="194"/>
      <w:bookmarkEnd w:id="195"/>
      <w:bookmarkEnd w:id="196"/>
    </w:p>
    <w:p w:rsidR="004549E3" w:rsidRPr="005C2B74" w:rsidRDefault="004549E3" w:rsidP="00751F38">
      <w:pPr>
        <w:pStyle w:val="Heading5"/>
      </w:pPr>
      <w:r w:rsidRPr="005C2B74">
        <w:t>Treatment-</w:t>
      </w:r>
      <w:r w:rsidR="00751F38">
        <w:t>e</w:t>
      </w:r>
      <w:r w:rsidRPr="005C2B74">
        <w:t xml:space="preserve">mergent, </w:t>
      </w:r>
      <w:r w:rsidR="00751F38">
        <w:t>n</w:t>
      </w:r>
      <w:r w:rsidRPr="00751F38">
        <w:t>on</w:t>
      </w:r>
      <w:r w:rsidRPr="005C2B74">
        <w:t>-</w:t>
      </w:r>
      <w:r w:rsidR="00751F38">
        <w:t>o</w:t>
      </w:r>
      <w:r w:rsidRPr="005C2B74">
        <w:t xml:space="preserve">cular </w:t>
      </w:r>
      <w:r w:rsidR="00751F38">
        <w:t>a</w:t>
      </w:r>
      <w:r w:rsidRPr="005C2B74">
        <w:t xml:space="preserve">dverse </w:t>
      </w:r>
      <w:r w:rsidR="00751F38">
        <w:t>e</w:t>
      </w:r>
      <w:r w:rsidRPr="005C2B74">
        <w:t>vents</w:t>
      </w:r>
    </w:p>
    <w:p w:rsidR="004549E3" w:rsidRPr="00962360" w:rsidRDefault="004549E3" w:rsidP="00751F38">
      <w:r w:rsidRPr="00962360">
        <w:t xml:space="preserve">There were no statistically significant differences between </w:t>
      </w:r>
      <w:proofErr w:type="spellStart"/>
      <w:r w:rsidRPr="00962360">
        <w:t>besifloxacin</w:t>
      </w:r>
      <w:proofErr w:type="spellEnd"/>
      <w:r w:rsidRPr="00962360">
        <w:t xml:space="preserve"> ophthalmic suspension and vehicle treatment groups for any non-ocular</w:t>
      </w:r>
      <w:r w:rsidR="005422D8">
        <w:t xml:space="preserve"> </w:t>
      </w:r>
      <w:r w:rsidRPr="00962360">
        <w:t>AE reported in the integration of Stud</w:t>
      </w:r>
      <w:r w:rsidR="00751F38">
        <w:t>ies 373, 433 and 434.</w:t>
      </w:r>
    </w:p>
    <w:p w:rsidR="004549E3" w:rsidRPr="00962360" w:rsidRDefault="004549E3" w:rsidP="00751F38">
      <w:pPr>
        <w:pStyle w:val="Heading5"/>
      </w:pPr>
      <w:r w:rsidRPr="00962360">
        <w:t>Pivotal studies</w:t>
      </w:r>
    </w:p>
    <w:p w:rsidR="004549E3" w:rsidRPr="00962360" w:rsidRDefault="004549E3" w:rsidP="00751F38">
      <w:r w:rsidRPr="00962360">
        <w:t xml:space="preserve">Headache was the most common AE in all treatment groups. 21/1192 (1.8%) subjects treated with </w:t>
      </w:r>
      <w:proofErr w:type="spellStart"/>
      <w:r w:rsidRPr="00962360">
        <w:t>besifloxacin</w:t>
      </w:r>
      <w:proofErr w:type="spellEnd"/>
      <w:r w:rsidRPr="00962360">
        <w:t xml:space="preserve"> ophthalmic suspension reported headaches. Nine events were designated by the Investigator to be unrelated to the study drug, 4 unlikely, 6 possibly, and 2 probably related. A majority of these events (16) were mild in severity, 5 were moderate. A total of 11 of the 616 (1.8%) subjects treated with vehicle reported headaches of which 3 were unrelated to study drug, 6 unlikely related to study drug and 2 possibly related to study drug. A majority of these events (9) were mild in severity, 2 were moderate. A total of 9 of the 579 (1.6%) subjects in the </w:t>
      </w:r>
      <w:proofErr w:type="spellStart"/>
      <w:r w:rsidRPr="00962360">
        <w:t>Vigamox</w:t>
      </w:r>
      <w:proofErr w:type="spellEnd"/>
      <w:r w:rsidRPr="00962360">
        <w:t xml:space="preserve"> treatment group reported headaches, of which 6 were mild in severity and 3 were moderate. The majority of these events (7) were unrelated to study drug and 1 event each were classified as unlikely and possibly related to study drug.</w:t>
      </w:r>
    </w:p>
    <w:p w:rsidR="004549E3" w:rsidRPr="005C2B74" w:rsidRDefault="004549E3" w:rsidP="00751F38">
      <w:pPr>
        <w:pStyle w:val="Heading4"/>
      </w:pPr>
      <w:bookmarkStart w:id="197" w:name="_Ref272333567"/>
      <w:bookmarkStart w:id="198" w:name="_Toc272414665"/>
      <w:bookmarkStart w:id="199" w:name="_Toc290888529"/>
      <w:bookmarkStart w:id="200" w:name="_Toc353192498"/>
      <w:r w:rsidRPr="005C2B74">
        <w:t xml:space="preserve">Treatment-related adverse events (adverse </w:t>
      </w:r>
      <w:r w:rsidRPr="00751F38">
        <w:t>drug</w:t>
      </w:r>
      <w:r w:rsidRPr="005C2B74">
        <w:t xml:space="preserve"> reactions)</w:t>
      </w:r>
      <w:bookmarkEnd w:id="197"/>
      <w:bookmarkEnd w:id="198"/>
      <w:bookmarkEnd w:id="199"/>
      <w:bookmarkEnd w:id="200"/>
    </w:p>
    <w:p w:rsidR="004549E3" w:rsidRPr="005C2B74" w:rsidRDefault="004549E3" w:rsidP="00751F38">
      <w:pPr>
        <w:pStyle w:val="Heading5"/>
      </w:pPr>
      <w:r w:rsidRPr="005C2B74">
        <w:t>Treatment-</w:t>
      </w:r>
      <w:r w:rsidR="00751F38">
        <w:t>e</w:t>
      </w:r>
      <w:r w:rsidRPr="005C2B74">
        <w:t xml:space="preserve">mergent, </w:t>
      </w:r>
      <w:r w:rsidR="00751F38">
        <w:t>o</w:t>
      </w:r>
      <w:r w:rsidRPr="005C2B74">
        <w:t xml:space="preserve">cular </w:t>
      </w:r>
      <w:r w:rsidR="00751F38">
        <w:t>a</w:t>
      </w:r>
      <w:r w:rsidRPr="005C2B74">
        <w:t xml:space="preserve">dverse </w:t>
      </w:r>
      <w:r w:rsidR="00751F38">
        <w:t>e</w:t>
      </w:r>
      <w:r w:rsidRPr="005C2B74">
        <w:t>vents</w:t>
      </w:r>
    </w:p>
    <w:p w:rsidR="004549E3" w:rsidRDefault="004549E3" w:rsidP="00751F38">
      <w:r w:rsidRPr="00962360">
        <w:t>Treatment-Emergent, Ocular AEs Occurring in ≥0.5% of Eyes in either treatment Group, all treated Eyes, safety Population (Studies 373, 433, 434</w:t>
      </w:r>
      <w:r w:rsidR="00D44A7E">
        <w:t xml:space="preserve">) are presented in Table 2. </w:t>
      </w:r>
      <w:r w:rsidRPr="00962360">
        <w:t xml:space="preserve">Treatment-emergent, ocular AEs were more common than non-ocular AEs for all treated eyes in the safety population, including both study and fellow eyes. A total of 13.8 % (249/1810) of eyes in the </w:t>
      </w:r>
      <w:proofErr w:type="spellStart"/>
      <w:r w:rsidRPr="00962360">
        <w:t>besifloxacin</w:t>
      </w:r>
      <w:proofErr w:type="spellEnd"/>
      <w:r w:rsidRPr="00962360">
        <w:t xml:space="preserve"> group had at least 1 ocular AE, 19.8% (190/961) of eyes in the vehicle treatment group and, 14.0% (120/855) of eyes in the </w:t>
      </w:r>
      <w:proofErr w:type="spellStart"/>
      <w:r w:rsidRPr="00962360">
        <w:t>Vigamox</w:t>
      </w:r>
      <w:proofErr w:type="spellEnd"/>
      <w:r w:rsidRPr="00962360">
        <w:t xml:space="preserve"> treatment group each experienced at least 1 ocular AE.</w:t>
      </w:r>
    </w:p>
    <w:p w:rsidR="00837950" w:rsidRDefault="00837950" w:rsidP="00751F38">
      <w:pPr>
        <w:pStyle w:val="TableTitle"/>
      </w:pPr>
      <w:r>
        <w:t>Table 2:</w:t>
      </w:r>
      <w:r w:rsidRPr="004C5C28">
        <w:t xml:space="preserve"> </w:t>
      </w:r>
      <w:r w:rsidR="00D576DB" w:rsidRPr="00D576DB">
        <w:t>Treatment-Emergent, Ocular AEs Occurring in ≥ 0.5% of Eyes in either Treatment Group, All Treated Eyes, Safety Population (Studies 373, 433, 434)</w:t>
      </w:r>
      <w:r>
        <w:t>.</w:t>
      </w:r>
    </w:p>
    <w:p w:rsidR="00BD04EA" w:rsidRDefault="00367786" w:rsidP="00751F38">
      <w:r>
        <w:rPr>
          <w:noProof/>
          <w:lang w:eastAsia="en-AU"/>
        </w:rPr>
        <w:drawing>
          <wp:inline distT="0" distB="0" distL="0" distR="0" wp14:anchorId="2DDD7047" wp14:editId="23291B77">
            <wp:extent cx="5721985" cy="2434590"/>
            <wp:effectExtent l="0" t="0" r="0" b="3810"/>
            <wp:docPr id="4" name="Picture 4" descr="Table 2: Treatment-Emergent, Ocular AEs Occurring in ≥ 0.5% of Eyes in either Treatment Group, All Treated Eyes, Safety Population (Studies 373, 433, 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able 2: Treatment-Emergent, Ocular AEs Occurring in ≥ 0.5% of Eyes in either Treatment Group, All Treated Eyes, Safety Population (Studies 373, 433, 43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21985" cy="2434590"/>
                    </a:xfrm>
                    <a:prstGeom prst="rect">
                      <a:avLst/>
                    </a:prstGeom>
                    <a:noFill/>
                    <a:ln>
                      <a:noFill/>
                    </a:ln>
                  </pic:spPr>
                </pic:pic>
              </a:graphicData>
            </a:graphic>
          </wp:inline>
        </w:drawing>
      </w:r>
    </w:p>
    <w:p w:rsidR="0056243F" w:rsidRPr="00751F38" w:rsidRDefault="0056243F" w:rsidP="00751F38">
      <w:pPr>
        <w:pStyle w:val="TableDescription"/>
      </w:pPr>
      <w:r w:rsidRPr="00537C0D">
        <w:t>N</w:t>
      </w:r>
      <w:r>
        <w:t xml:space="preserve"> </w:t>
      </w:r>
      <w:r w:rsidRPr="00537C0D">
        <w:t xml:space="preserve">= all treated eyes for the specified treatment group and includes study </w:t>
      </w:r>
      <w:r w:rsidR="00B06E20">
        <w:t>and fellow eyes</w:t>
      </w:r>
    </w:p>
    <w:p w:rsidR="004549E3" w:rsidRPr="00962360" w:rsidRDefault="004549E3" w:rsidP="00751F38">
      <w:r w:rsidRPr="00962360">
        <w:t>The number of eyes with at least 1 treatment-emergent, ocular AE was significantly lower</w:t>
      </w:r>
      <w:r w:rsidR="00EB5747" w:rsidRPr="00962360">
        <w:t xml:space="preserve"> </w:t>
      </w:r>
      <w:r w:rsidRPr="00962360">
        <w:t xml:space="preserve">for the </w:t>
      </w:r>
      <w:proofErr w:type="spellStart"/>
      <w:r w:rsidRPr="00962360">
        <w:t>besifloxacin</w:t>
      </w:r>
      <w:proofErr w:type="spellEnd"/>
      <w:r w:rsidRPr="00962360">
        <w:t xml:space="preserve"> group vs. vehicle (p&lt;0.0001).The most prevalent ocular AEs were consistent with the underlying ocular disease being studied i.e. bacterial </w:t>
      </w:r>
      <w:proofErr w:type="spellStart"/>
      <w:r w:rsidRPr="00962360">
        <w:t>conjuctivitis</w:t>
      </w:r>
      <w:proofErr w:type="spellEnd"/>
      <w:r w:rsidRPr="00962360">
        <w:t xml:space="preserve">. Five ocular </w:t>
      </w:r>
      <w:proofErr w:type="gramStart"/>
      <w:r w:rsidRPr="00962360">
        <w:t>AEs,</w:t>
      </w:r>
      <w:proofErr w:type="gramEnd"/>
      <w:r w:rsidRPr="00962360">
        <w:t xml:space="preserve"> were reported at statistically different rates between the </w:t>
      </w:r>
      <w:proofErr w:type="spellStart"/>
      <w:r w:rsidRPr="00962360">
        <w:t>besifloxacin</w:t>
      </w:r>
      <w:proofErr w:type="spellEnd"/>
      <w:r w:rsidRPr="00962360">
        <w:t xml:space="preserve"> an</w:t>
      </w:r>
      <w:r w:rsidR="00751F38">
        <w:t>d vehicle treatment groups i.e.</w:t>
      </w:r>
    </w:p>
    <w:p w:rsidR="004549E3" w:rsidRPr="00962360" w:rsidRDefault="004549E3" w:rsidP="00726D76">
      <w:pPr>
        <w:pStyle w:val="Numberbullet0"/>
        <w:numPr>
          <w:ilvl w:val="0"/>
          <w:numId w:val="46"/>
        </w:numPr>
      </w:pPr>
      <w:r w:rsidRPr="00962360">
        <w:lastRenderedPageBreak/>
        <w:t xml:space="preserve">Conjunctivitis and blurred vision were reported at lower rates in the eyes treated with </w:t>
      </w:r>
      <w:proofErr w:type="spellStart"/>
      <w:r w:rsidRPr="00962360">
        <w:t>besifloxacin</w:t>
      </w:r>
      <w:proofErr w:type="spellEnd"/>
      <w:r w:rsidRPr="00962360">
        <w:t xml:space="preserve"> vs. vehicle, p=0.0223 and p=0.0035, respectively;</w:t>
      </w:r>
    </w:p>
    <w:p w:rsidR="004549E3" w:rsidRPr="00962360" w:rsidRDefault="004549E3" w:rsidP="00726D76">
      <w:pPr>
        <w:pStyle w:val="Numberbullet0"/>
      </w:pPr>
      <w:r w:rsidRPr="00962360">
        <w:t xml:space="preserve">Eye irritation and increased lacrimation were reported at lower rates in eyes treated with </w:t>
      </w:r>
      <w:proofErr w:type="spellStart"/>
      <w:r w:rsidRPr="00962360">
        <w:t>besifloxacin</w:t>
      </w:r>
      <w:proofErr w:type="spellEnd"/>
      <w:r w:rsidRPr="00962360">
        <w:t xml:space="preserve"> vs. vehicle, p=0.0187 and p=0.0085 respectively;</w:t>
      </w:r>
    </w:p>
    <w:p w:rsidR="004549E3" w:rsidRPr="00962360" w:rsidRDefault="004549E3" w:rsidP="00726D76">
      <w:pPr>
        <w:pStyle w:val="Numberbullet0"/>
      </w:pPr>
      <w:r w:rsidRPr="00962360">
        <w:t xml:space="preserve">Viral conjunctivitis was reported in eyes treated with </w:t>
      </w:r>
      <w:proofErr w:type="spellStart"/>
      <w:r w:rsidRPr="00962360">
        <w:t>besifloxacin</w:t>
      </w:r>
      <w:proofErr w:type="spellEnd"/>
      <w:r w:rsidRPr="00962360">
        <w:t xml:space="preserve"> ophthalmic suspension whereas it was not reported for vehicle treated eyes (p=0.0185).</w:t>
      </w:r>
    </w:p>
    <w:p w:rsidR="004549E3" w:rsidRPr="00962360" w:rsidRDefault="004549E3" w:rsidP="00B8024D">
      <w:r w:rsidRPr="00962360">
        <w:t>In Study ROC2-05-070 (</w:t>
      </w:r>
      <w:proofErr w:type="spellStart"/>
      <w:r w:rsidRPr="00962360">
        <w:t>besifloxacin</w:t>
      </w:r>
      <w:proofErr w:type="spellEnd"/>
      <w:r w:rsidRPr="00962360">
        <w:t xml:space="preserve"> ophthalmic suspension vs. </w:t>
      </w:r>
      <w:proofErr w:type="spellStart"/>
      <w:r w:rsidRPr="00962360">
        <w:t>Vigamox</w:t>
      </w:r>
      <w:proofErr w:type="spellEnd"/>
      <w:r w:rsidRPr="00962360">
        <w:t xml:space="preserve">), </w:t>
      </w:r>
      <w:proofErr w:type="spellStart"/>
      <w:r w:rsidRPr="00962360">
        <w:t>besifloxacin</w:t>
      </w:r>
      <w:proofErr w:type="spellEnd"/>
      <w:r w:rsidRPr="00962360">
        <w:t xml:space="preserve"> ophthalmic suspension drop resulted in statistically significant worse high contrast/high illumination VA immediately after drop instillation with means of 0.27 </w:t>
      </w:r>
      <w:proofErr w:type="spellStart"/>
      <w:r w:rsidRPr="00962360">
        <w:t>logMAR</w:t>
      </w:r>
      <w:proofErr w:type="spellEnd"/>
      <w:r w:rsidRPr="00962360">
        <w:t xml:space="preserve"> (20/37 </w:t>
      </w:r>
      <w:proofErr w:type="spellStart"/>
      <w:r w:rsidRPr="00962360">
        <w:t>Snellen</w:t>
      </w:r>
      <w:proofErr w:type="spellEnd"/>
      <w:r w:rsidRPr="00962360">
        <w:t xml:space="preserve"> equivalent) and -0.06 </w:t>
      </w:r>
      <w:proofErr w:type="spellStart"/>
      <w:r w:rsidRPr="00962360">
        <w:t>logMAR</w:t>
      </w:r>
      <w:proofErr w:type="spellEnd"/>
      <w:r w:rsidRPr="00962360">
        <w:t xml:space="preserve"> (20/17 </w:t>
      </w:r>
      <w:proofErr w:type="spellStart"/>
      <w:r w:rsidRPr="00962360">
        <w:t>Snellen</w:t>
      </w:r>
      <w:proofErr w:type="spellEnd"/>
      <w:r w:rsidRPr="00962360">
        <w:t xml:space="preserve"> equivalent), respectively. In addition, eyes receiving </w:t>
      </w:r>
      <w:proofErr w:type="spellStart"/>
      <w:r w:rsidRPr="00962360">
        <w:t>besifloxacin</w:t>
      </w:r>
      <w:proofErr w:type="spellEnd"/>
      <w:r w:rsidR="00962360" w:rsidRPr="00962360">
        <w:t xml:space="preserve"> </w:t>
      </w:r>
      <w:r w:rsidRPr="00962360">
        <w:t xml:space="preserve">experienced a longer recovery time to baseline VA (58 seconds) compared to eyes that received </w:t>
      </w:r>
      <w:proofErr w:type="spellStart"/>
      <w:r w:rsidRPr="00962360">
        <w:t>Vigamox</w:t>
      </w:r>
      <w:proofErr w:type="spellEnd"/>
      <w:r w:rsidRPr="00962360">
        <w:t xml:space="preserve"> </w:t>
      </w:r>
      <w:r w:rsidR="008B564E">
        <w:t>(</w:t>
      </w:r>
      <w:r w:rsidRPr="00962360">
        <w:t xml:space="preserve">21 seconds). In the larger safety and efficacy studies, blurred vision was reported at a rate of 2.1% for subjects in the </w:t>
      </w:r>
      <w:proofErr w:type="spellStart"/>
      <w:r w:rsidRPr="00962360">
        <w:t>besifloxacin</w:t>
      </w:r>
      <w:proofErr w:type="spellEnd"/>
      <w:r w:rsidRPr="00962360">
        <w:t xml:space="preserve"> group and the ma</w:t>
      </w:r>
      <w:r w:rsidR="00B8024D">
        <w:t>jority of the events were mild.</w:t>
      </w:r>
    </w:p>
    <w:p w:rsidR="00962360" w:rsidRDefault="004549E3" w:rsidP="00B8024D">
      <w:pPr>
        <w:pStyle w:val="Heading6"/>
      </w:pPr>
      <w:r w:rsidRPr="005C2B74">
        <w:t xml:space="preserve">Rates of AEs in </w:t>
      </w:r>
      <w:r w:rsidR="00B8024D" w:rsidRPr="00B8024D">
        <w:t>s</w:t>
      </w:r>
      <w:r w:rsidRPr="00B8024D">
        <w:t>ubgroups</w:t>
      </w:r>
    </w:p>
    <w:p w:rsidR="004549E3" w:rsidRPr="00962360" w:rsidRDefault="004549E3" w:rsidP="00B8024D">
      <w:r w:rsidRPr="00962360">
        <w:t xml:space="preserve">The incidence of treatment-emergent ocular and non-ocular AEs were compared between the </w:t>
      </w:r>
      <w:proofErr w:type="spellStart"/>
      <w:r w:rsidRPr="00962360">
        <w:t>besifloxacin</w:t>
      </w:r>
      <w:proofErr w:type="spellEnd"/>
      <w:r w:rsidRPr="00962360">
        <w:t xml:space="preserve"> group and vehicle group for sub-groups by gender (M/F), race (White/Asian/Black/Other), ethnicity (Hispanic/Latino vs. not), age (&lt;2 years, 2-19 years, 20-59 years, and 60 years or older). Consistent with rates observed in the overall safety population, rates of AEs observed in subgroups were low and no significant differences were observed between the </w:t>
      </w:r>
      <w:proofErr w:type="spellStart"/>
      <w:r w:rsidRPr="00962360">
        <w:t>besifloxacin</w:t>
      </w:r>
      <w:proofErr w:type="spellEnd"/>
      <w:r w:rsidRPr="00962360">
        <w:t xml:space="preserve"> and vehicle groups.</w:t>
      </w:r>
      <w:r w:rsidR="005422D8">
        <w:t xml:space="preserve"> </w:t>
      </w:r>
      <w:r w:rsidRPr="00962360">
        <w:t xml:space="preserve">Since clinical trials did not </w:t>
      </w:r>
      <w:proofErr w:type="spellStart"/>
      <w:r w:rsidRPr="00962360">
        <w:t>enroll</w:t>
      </w:r>
      <w:proofErr w:type="spellEnd"/>
      <w:r w:rsidRPr="00962360">
        <w:t xml:space="preserve"> infants below 1 year of age, the safety and effectiveness of </w:t>
      </w:r>
      <w:proofErr w:type="spellStart"/>
      <w:r w:rsidRPr="00962360">
        <w:t>besifloxacin</w:t>
      </w:r>
      <w:proofErr w:type="spellEnd"/>
      <w:r w:rsidRPr="00962360">
        <w:t xml:space="preserve"> ophthalmic suspension in this age group has not been established.</w:t>
      </w:r>
    </w:p>
    <w:p w:rsidR="00962360" w:rsidRDefault="004549E3" w:rsidP="00B8024D">
      <w:pPr>
        <w:pStyle w:val="Heading6"/>
      </w:pPr>
      <w:r w:rsidRPr="005C2B74">
        <w:t xml:space="preserve">Relationship of AEs to </w:t>
      </w:r>
      <w:r w:rsidR="00B8024D">
        <w:t>d</w:t>
      </w:r>
      <w:r w:rsidRPr="005C2B74">
        <w:t xml:space="preserve">ose, </w:t>
      </w:r>
      <w:r w:rsidR="00B8024D">
        <w:t>d</w:t>
      </w:r>
      <w:r w:rsidRPr="005C2B74">
        <w:t xml:space="preserve">ose </w:t>
      </w:r>
      <w:r w:rsidR="00B8024D">
        <w:t>r</w:t>
      </w:r>
      <w:r w:rsidRPr="005C2B74">
        <w:t xml:space="preserve">egimen, and </w:t>
      </w:r>
      <w:r w:rsidR="00B8024D">
        <w:t>t</w:t>
      </w:r>
      <w:r w:rsidRPr="005C2B74">
        <w:t xml:space="preserve">reatment </w:t>
      </w:r>
      <w:r w:rsidR="00B8024D">
        <w:t>d</w:t>
      </w:r>
      <w:r w:rsidRPr="005C2B74">
        <w:t>uration</w:t>
      </w:r>
    </w:p>
    <w:p w:rsidR="004549E3" w:rsidRPr="00962360" w:rsidRDefault="004549E3" w:rsidP="00B8024D">
      <w:r w:rsidRPr="00962360">
        <w:t xml:space="preserve">0.6% dose used was used in the pivotal studies. In the Phase I study, Study C-02-403-001, no AEs were reported in the 0.3% </w:t>
      </w:r>
      <w:proofErr w:type="spellStart"/>
      <w:r w:rsidRPr="00962360">
        <w:t>besifloxacin</w:t>
      </w:r>
      <w:proofErr w:type="spellEnd"/>
      <w:r w:rsidRPr="00962360">
        <w:t xml:space="preserve"> group, 6 subjects in the vehicle group reported a total of 10 AEs; 2 subjects in the 0.6% </w:t>
      </w:r>
      <w:proofErr w:type="spellStart"/>
      <w:r w:rsidRPr="00962360">
        <w:t>besifloxacin</w:t>
      </w:r>
      <w:proofErr w:type="spellEnd"/>
      <w:r w:rsidRPr="00962360">
        <w:t xml:space="preserve"> group each reported a single AE. However, the overall low incidence of reported AEs means drawing conclusions regarding do</w:t>
      </w:r>
      <w:r w:rsidR="00B8024D">
        <w:t>se-relatedness is not possible.</w:t>
      </w:r>
    </w:p>
    <w:p w:rsidR="004549E3" w:rsidRPr="005C2B74" w:rsidRDefault="004549E3" w:rsidP="00B8024D">
      <w:pPr>
        <w:pStyle w:val="Heading4"/>
      </w:pPr>
      <w:bookmarkStart w:id="201" w:name="_Toc241374320"/>
      <w:bookmarkStart w:id="202" w:name="_Ref272333507"/>
      <w:bookmarkStart w:id="203" w:name="_Toc272414666"/>
      <w:bookmarkStart w:id="204" w:name="_Toc290888530"/>
      <w:bookmarkStart w:id="205" w:name="_Toc353192499"/>
      <w:r w:rsidRPr="005C2B74">
        <w:t xml:space="preserve">Deaths and </w:t>
      </w:r>
      <w:r w:rsidRPr="00B8024D">
        <w:t>other</w:t>
      </w:r>
      <w:r w:rsidRPr="005C2B74">
        <w:t xml:space="preserve"> serious adverse events</w:t>
      </w:r>
      <w:bookmarkEnd w:id="201"/>
      <w:bookmarkEnd w:id="202"/>
      <w:bookmarkEnd w:id="203"/>
      <w:bookmarkEnd w:id="204"/>
      <w:bookmarkEnd w:id="205"/>
    </w:p>
    <w:p w:rsidR="004549E3" w:rsidRPr="00962360" w:rsidRDefault="004549E3" w:rsidP="00B8024D">
      <w:pPr>
        <w:pStyle w:val="Heading5"/>
      </w:pPr>
      <w:r w:rsidRPr="00962360">
        <w:t xml:space="preserve">Pivotal </w:t>
      </w:r>
      <w:r w:rsidRPr="00B8024D">
        <w:t>studies</w:t>
      </w:r>
    </w:p>
    <w:p w:rsidR="008B564E" w:rsidRDefault="004549E3" w:rsidP="00B8024D">
      <w:r w:rsidRPr="00962360">
        <w:t xml:space="preserve">No deaths; 4 SAEs reported in </w:t>
      </w:r>
      <w:r w:rsidR="008B564E">
        <w:t>efficacy studies:</w:t>
      </w:r>
    </w:p>
    <w:p w:rsidR="008B564E" w:rsidRDefault="004549E3" w:rsidP="00AF5C76">
      <w:pPr>
        <w:pStyle w:val="Numberbullet0"/>
        <w:numPr>
          <w:ilvl w:val="0"/>
          <w:numId w:val="47"/>
        </w:numPr>
      </w:pPr>
      <w:r w:rsidRPr="00962360">
        <w:t xml:space="preserve">1 SAE in </w:t>
      </w:r>
      <w:proofErr w:type="spellStart"/>
      <w:r w:rsidRPr="00962360">
        <w:t>besifloxacin</w:t>
      </w:r>
      <w:proofErr w:type="spellEnd"/>
      <w:r w:rsidRPr="00962360">
        <w:t xml:space="preserve"> subject (Study 373) – hospitalisation for dehydration, underlying liver cirrhosis; considered unrelated by investigator &amp; Sponsor</w:t>
      </w:r>
      <w:r w:rsidR="00AF5C76">
        <w:t>;</w:t>
      </w:r>
    </w:p>
    <w:p w:rsidR="008B564E" w:rsidRDefault="004549E3" w:rsidP="00AF5C76">
      <w:pPr>
        <w:pStyle w:val="Numberbullet0"/>
      </w:pPr>
      <w:r w:rsidRPr="00962360">
        <w:t xml:space="preserve">1 SAE in </w:t>
      </w:r>
      <w:proofErr w:type="spellStart"/>
      <w:r w:rsidRPr="00962360">
        <w:t>besifloxacin</w:t>
      </w:r>
      <w:proofErr w:type="spellEnd"/>
      <w:r w:rsidRPr="00962360">
        <w:t xml:space="preserve"> subject (Study 434) – difficulty breathing on background of sleep apnoea in </w:t>
      </w:r>
      <w:r w:rsidR="004F6175">
        <w:t>[information redacted]</w:t>
      </w:r>
      <w:r w:rsidRPr="00962360">
        <w:t xml:space="preserve">; found to have CCF and a pericardial effusion; considered unrelated by </w:t>
      </w:r>
      <w:r w:rsidRPr="00AF5C76">
        <w:t>investigator</w:t>
      </w:r>
      <w:r w:rsidRPr="00962360">
        <w:t xml:space="preserve"> &amp; Sponsor</w:t>
      </w:r>
      <w:r w:rsidR="00AF5C76">
        <w:t>;</w:t>
      </w:r>
    </w:p>
    <w:p w:rsidR="008B564E" w:rsidRDefault="004549E3" w:rsidP="00AF5C76">
      <w:pPr>
        <w:pStyle w:val="Numberbullet0"/>
      </w:pPr>
      <w:r w:rsidRPr="00962360">
        <w:t xml:space="preserve">1 SAE in </w:t>
      </w:r>
      <w:proofErr w:type="spellStart"/>
      <w:r w:rsidRPr="00962360">
        <w:t>moxifloxacin</w:t>
      </w:r>
      <w:proofErr w:type="spellEnd"/>
      <w:r w:rsidRPr="00962360">
        <w:t xml:space="preserve"> subject (Study 434) – a </w:t>
      </w:r>
      <w:r w:rsidR="001A1DDF">
        <w:t xml:space="preserve">[information redacted] </w:t>
      </w:r>
      <w:r w:rsidRPr="00962360">
        <w:t>with acute viral syndrome with associated renal failure; considered unrelated by investigator &amp; Sponsor;</w:t>
      </w:r>
    </w:p>
    <w:p w:rsidR="008B564E" w:rsidRDefault="004549E3" w:rsidP="00AF5C76">
      <w:pPr>
        <w:pStyle w:val="Numberbullet0"/>
      </w:pPr>
      <w:r w:rsidRPr="00962360">
        <w:t xml:space="preserve">1 SAE in a </w:t>
      </w:r>
      <w:r w:rsidR="001A1DDF">
        <w:t>[information redacted]</w:t>
      </w:r>
      <w:r w:rsidR="000D1B2A">
        <w:t xml:space="preserve"> </w:t>
      </w:r>
      <w:r w:rsidRPr="00962360">
        <w:t>individual (Study 433), at Day 4 the subject presented was hospitalized with pneumonia; Investigator &amp; Sponsor considered event unrelated.</w:t>
      </w:r>
    </w:p>
    <w:p w:rsidR="004549E3" w:rsidRPr="00962360" w:rsidRDefault="004549E3" w:rsidP="00AF5C76">
      <w:r w:rsidRPr="00962360">
        <w:t xml:space="preserve">No deaths/SAEs reported </w:t>
      </w:r>
      <w:r w:rsidR="00AF5C76">
        <w:t>for any other clinical studies.</w:t>
      </w:r>
    </w:p>
    <w:p w:rsidR="004549E3" w:rsidRPr="005C2B74" w:rsidRDefault="004549E3" w:rsidP="00CF251B">
      <w:pPr>
        <w:pStyle w:val="Heading4"/>
      </w:pPr>
      <w:bookmarkStart w:id="206" w:name="_Toc241374325"/>
      <w:bookmarkStart w:id="207" w:name="_Ref272333477"/>
      <w:bookmarkStart w:id="208" w:name="_Toc272414667"/>
      <w:bookmarkStart w:id="209" w:name="_Toc290888531"/>
      <w:bookmarkStart w:id="210" w:name="_Toc353192500"/>
      <w:r w:rsidRPr="005C2B74">
        <w:lastRenderedPageBreak/>
        <w:t>Discontinuation due to adverse events</w:t>
      </w:r>
      <w:bookmarkEnd w:id="206"/>
      <w:bookmarkEnd w:id="207"/>
      <w:bookmarkEnd w:id="208"/>
      <w:bookmarkEnd w:id="209"/>
      <w:bookmarkEnd w:id="210"/>
    </w:p>
    <w:p w:rsidR="004549E3" w:rsidRPr="00962360" w:rsidRDefault="004549E3" w:rsidP="00CF251B">
      <w:pPr>
        <w:pStyle w:val="Heading5"/>
      </w:pPr>
      <w:r w:rsidRPr="00962360">
        <w:t>Pivotal studies</w:t>
      </w:r>
    </w:p>
    <w:p w:rsidR="004549E3" w:rsidRPr="00962360" w:rsidRDefault="004549E3" w:rsidP="00CF251B">
      <w:r w:rsidRPr="00962360">
        <w:t xml:space="preserve">Study 373, one discontinuation in the vehicle treatment group – moderate </w:t>
      </w:r>
      <w:proofErr w:type="spellStart"/>
      <w:r w:rsidRPr="00962360">
        <w:t>preseptal</w:t>
      </w:r>
      <w:proofErr w:type="spellEnd"/>
      <w:r w:rsidRPr="00962360">
        <w:t xml:space="preserve"> cellulitis in both eyes. Investigator considered event unrelated to study drug. In Study 433, 4 and 5 subjects in the </w:t>
      </w:r>
      <w:proofErr w:type="spellStart"/>
      <w:r w:rsidRPr="00962360">
        <w:t>besifloxacin</w:t>
      </w:r>
      <w:proofErr w:type="spellEnd"/>
      <w:r w:rsidRPr="00962360">
        <w:t xml:space="preserve"> and vehicle groups respectively discontinued due to AEs. One discontinued subject in the </w:t>
      </w:r>
      <w:proofErr w:type="spellStart"/>
      <w:r w:rsidRPr="00962360">
        <w:t>besifloxacin</w:t>
      </w:r>
      <w:proofErr w:type="spellEnd"/>
      <w:r w:rsidRPr="00962360">
        <w:t xml:space="preserve"> group, and 2 in the vehicle group, had worsening conjunctivitis. Positive viral cultures (adenovirus) were returned for the </w:t>
      </w:r>
      <w:proofErr w:type="spellStart"/>
      <w:r w:rsidRPr="00962360">
        <w:t>besifloxacin</w:t>
      </w:r>
      <w:proofErr w:type="spellEnd"/>
      <w:r w:rsidRPr="00962360">
        <w:t xml:space="preserve"> subject. Another 2 subjects in the vehicle treatment group had ocular surface inflammation, </w:t>
      </w:r>
      <w:proofErr w:type="spellStart"/>
      <w:r w:rsidRPr="00962360">
        <w:t>conjunctival</w:t>
      </w:r>
      <w:proofErr w:type="spellEnd"/>
      <w:r w:rsidRPr="00962360">
        <w:t xml:space="preserve"> oedema, and corneal infiltrates specifically, as the AE associated with discontinuation. Other AEs associated with discontinuation were: earache (vehicle), URTI (</w:t>
      </w:r>
      <w:proofErr w:type="spellStart"/>
      <w:r w:rsidRPr="00962360">
        <w:t>besifloxacin</w:t>
      </w:r>
      <w:proofErr w:type="spellEnd"/>
      <w:r w:rsidRPr="00962360">
        <w:t>); skin rash (</w:t>
      </w:r>
      <w:proofErr w:type="spellStart"/>
      <w:r w:rsidRPr="00962360">
        <w:t>besifloxacin</w:t>
      </w:r>
      <w:proofErr w:type="spellEnd"/>
      <w:r w:rsidRPr="00962360">
        <w:t>), fellow eye with conjunctivitis (</w:t>
      </w:r>
      <w:proofErr w:type="spellStart"/>
      <w:r w:rsidRPr="00962360">
        <w:t>besifloxacin</w:t>
      </w:r>
      <w:proofErr w:type="spellEnd"/>
      <w:r w:rsidRPr="00962360">
        <w:t xml:space="preserve">) for which </w:t>
      </w:r>
      <w:proofErr w:type="spellStart"/>
      <w:r w:rsidRPr="00962360">
        <w:t>Vigamox</w:t>
      </w:r>
      <w:proofErr w:type="spellEnd"/>
      <w:r w:rsidRPr="00962360">
        <w:t xml:space="preserve">, rather than study drug, was initiated. One subject discontinued due to an SAE (pneumonia). In Study 434: 16 subjects discontinued due to AEs: 11 and 5 in the </w:t>
      </w:r>
      <w:proofErr w:type="spellStart"/>
      <w:r w:rsidRPr="00962360">
        <w:t>besifloxacin</w:t>
      </w:r>
      <w:proofErr w:type="spellEnd"/>
      <w:r w:rsidRPr="00962360">
        <w:t xml:space="preserve"> and </w:t>
      </w:r>
      <w:proofErr w:type="spellStart"/>
      <w:r w:rsidRPr="00962360">
        <w:t>Vigamox</w:t>
      </w:r>
      <w:proofErr w:type="spellEnd"/>
      <w:r w:rsidRPr="00962360">
        <w:t xml:space="preserve"> treatment groups, respectively. 1 subject was discontinued after being hospitalized for unrelated congestive heart failure. In 4 cases, subjects were discontinued due to the need for systemic treatment of URTI with disallowed medications. Hypersensitivity to the </w:t>
      </w:r>
      <w:proofErr w:type="spellStart"/>
      <w:r w:rsidRPr="00962360">
        <w:t>Vigamox</w:t>
      </w:r>
      <w:proofErr w:type="spellEnd"/>
      <w:r w:rsidRPr="00962360">
        <w:t xml:space="preserve"> was reported for 1 subject. Four subjects required disallowed ocular medications for ocular conditions that were presumed non-infectious. The remaining 6 subjects were discontinued due to either worsening conjunctivitis (3 subjects in </w:t>
      </w:r>
      <w:proofErr w:type="spellStart"/>
      <w:r w:rsidRPr="00962360">
        <w:t>besifloxacin</w:t>
      </w:r>
      <w:proofErr w:type="spellEnd"/>
      <w:r w:rsidRPr="00962360">
        <w:t xml:space="preserve"> group), the development of a nonspecific keratitis (1 subject in </w:t>
      </w:r>
      <w:proofErr w:type="spellStart"/>
      <w:r w:rsidRPr="00962360">
        <w:t>besifloxacin</w:t>
      </w:r>
      <w:proofErr w:type="spellEnd"/>
      <w:r w:rsidRPr="00962360">
        <w:t xml:space="preserve"> group and 1 </w:t>
      </w:r>
      <w:proofErr w:type="spellStart"/>
      <w:r w:rsidRPr="00962360">
        <w:t>Vigamox</w:t>
      </w:r>
      <w:proofErr w:type="spellEnd"/>
      <w:r w:rsidRPr="00962360">
        <w:t xml:space="preserve"> subject), or the diagnosis of Herpes simplex keratitis (1 </w:t>
      </w:r>
      <w:proofErr w:type="spellStart"/>
      <w:r w:rsidRPr="00962360">
        <w:t>besifloxacin</w:t>
      </w:r>
      <w:proofErr w:type="spellEnd"/>
      <w:r w:rsidRPr="00962360">
        <w:t xml:space="preserve"> subject). Positive viral culture results (adenovirus) were returned in 2 of the 3 cases with worsening conjunctivitis and in the Herpes simplex keratitis case.</w:t>
      </w:r>
    </w:p>
    <w:p w:rsidR="004549E3" w:rsidRPr="00962360" w:rsidRDefault="004549E3" w:rsidP="00CF251B">
      <w:pPr>
        <w:pStyle w:val="Heading5"/>
      </w:pPr>
      <w:r w:rsidRPr="00962360">
        <w:t>Other studies</w:t>
      </w:r>
    </w:p>
    <w:p w:rsidR="004549E3" w:rsidRPr="00962360" w:rsidRDefault="004549E3" w:rsidP="00CF251B">
      <w:r w:rsidRPr="00962360">
        <w:t>No subjects discontinued due to AEs in the other clinical trials (C-02-403-001, R0C2-05-070, 507, 478 and 424) conducted in support of this application.</w:t>
      </w:r>
    </w:p>
    <w:p w:rsidR="004549E3" w:rsidRPr="005C2B74" w:rsidRDefault="004549E3" w:rsidP="00CF251B">
      <w:pPr>
        <w:pStyle w:val="Heading3"/>
      </w:pPr>
      <w:bookmarkStart w:id="211" w:name="_Toc241374321"/>
      <w:bookmarkStart w:id="212" w:name="_Ref271044780"/>
      <w:bookmarkStart w:id="213" w:name="_Ref271196640"/>
      <w:bookmarkStart w:id="214" w:name="_Ref272333085"/>
      <w:bookmarkStart w:id="215" w:name="_Toc272414668"/>
      <w:bookmarkStart w:id="216" w:name="_Toc290888532"/>
      <w:bookmarkStart w:id="217" w:name="_Toc353192501"/>
      <w:bookmarkStart w:id="218" w:name="_Toc382908467"/>
      <w:r w:rsidRPr="005C2B74">
        <w:t xml:space="preserve">Laboratory </w:t>
      </w:r>
      <w:r w:rsidRPr="00CF251B">
        <w:t>tests</w:t>
      </w:r>
      <w:bookmarkEnd w:id="211"/>
      <w:bookmarkEnd w:id="212"/>
      <w:bookmarkEnd w:id="213"/>
      <w:bookmarkEnd w:id="214"/>
      <w:bookmarkEnd w:id="215"/>
      <w:bookmarkEnd w:id="216"/>
      <w:bookmarkEnd w:id="217"/>
      <w:bookmarkEnd w:id="218"/>
    </w:p>
    <w:p w:rsidR="004549E3" w:rsidRPr="00474A41" w:rsidRDefault="004549E3" w:rsidP="00CF251B">
      <w:r w:rsidRPr="00474A41">
        <w:t xml:space="preserve">Lab tests were only conducted in one of the Safety studies, </w:t>
      </w:r>
      <w:r w:rsidR="00A932F9">
        <w:t>C-02-403-001.</w:t>
      </w:r>
    </w:p>
    <w:p w:rsidR="004549E3" w:rsidRPr="005C2B74" w:rsidRDefault="004549E3" w:rsidP="00CF251B">
      <w:pPr>
        <w:pStyle w:val="Heading4"/>
      </w:pPr>
      <w:bookmarkStart w:id="219" w:name="_Toc272414669"/>
      <w:bookmarkStart w:id="220" w:name="_Toc290888533"/>
      <w:bookmarkStart w:id="221" w:name="_Toc353192502"/>
      <w:r w:rsidRPr="005C2B74">
        <w:t>Liver function</w:t>
      </w:r>
      <w:bookmarkEnd w:id="219"/>
      <w:bookmarkEnd w:id="220"/>
      <w:bookmarkEnd w:id="221"/>
    </w:p>
    <w:p w:rsidR="004549E3" w:rsidRPr="00474A41" w:rsidRDefault="004549E3" w:rsidP="00CF251B">
      <w:pPr>
        <w:pStyle w:val="Heading5"/>
      </w:pPr>
      <w:r w:rsidRPr="00474A41">
        <w:t xml:space="preserve">Pivotal </w:t>
      </w:r>
      <w:r w:rsidRPr="00CF251B">
        <w:t>studies</w:t>
      </w:r>
    </w:p>
    <w:p w:rsidR="004549E3" w:rsidRPr="00474A41" w:rsidRDefault="00CF251B" w:rsidP="00CF251B">
      <w:r>
        <w:t>Not applicable.</w:t>
      </w:r>
    </w:p>
    <w:p w:rsidR="004549E3" w:rsidRPr="00474A41" w:rsidRDefault="004549E3" w:rsidP="00CF251B">
      <w:pPr>
        <w:pStyle w:val="Heading5"/>
      </w:pPr>
      <w:r w:rsidRPr="00474A41">
        <w:t>Other studies</w:t>
      </w:r>
    </w:p>
    <w:p w:rsidR="004549E3" w:rsidRPr="00474A41" w:rsidRDefault="004549E3" w:rsidP="00CF251B">
      <w:proofErr w:type="gramStart"/>
      <w:r w:rsidRPr="00474A41">
        <w:t>Assessed in study C-</w:t>
      </w:r>
      <w:r w:rsidR="00A932F9">
        <w:t>02-403-001.</w:t>
      </w:r>
      <w:proofErr w:type="gramEnd"/>
      <w:r w:rsidR="00A932F9">
        <w:t xml:space="preserve"> </w:t>
      </w:r>
      <w:r w:rsidRPr="00474A41">
        <w:t>No changes.</w:t>
      </w:r>
    </w:p>
    <w:p w:rsidR="004549E3" w:rsidRPr="005C2B74" w:rsidRDefault="004549E3" w:rsidP="00CF251B">
      <w:pPr>
        <w:pStyle w:val="Heading4"/>
      </w:pPr>
      <w:bookmarkStart w:id="222" w:name="_Toc272414670"/>
      <w:bookmarkStart w:id="223" w:name="_Toc290888534"/>
      <w:bookmarkStart w:id="224" w:name="_Toc353192503"/>
      <w:r w:rsidRPr="00CF251B">
        <w:t>Kidney</w:t>
      </w:r>
      <w:r w:rsidRPr="005C2B74">
        <w:t xml:space="preserve"> function</w:t>
      </w:r>
      <w:bookmarkEnd w:id="222"/>
      <w:bookmarkEnd w:id="223"/>
      <w:bookmarkEnd w:id="224"/>
    </w:p>
    <w:p w:rsidR="004549E3" w:rsidRPr="00474A41" w:rsidRDefault="004549E3" w:rsidP="00CF251B">
      <w:proofErr w:type="spellStart"/>
      <w:r w:rsidRPr="00474A41">
        <w:t>Creatinine</w:t>
      </w:r>
      <w:proofErr w:type="spellEnd"/>
      <w:r w:rsidRPr="00474A41">
        <w:t xml:space="preserve"> clearance significantly reduced at 1000mg/kg dose levels but not at 100mg/kg dose in rats dosed orally. The maximum plasma concentration (</w:t>
      </w:r>
      <w:proofErr w:type="spellStart"/>
      <w:r w:rsidRPr="00474A41">
        <w:t>Cmax</w:t>
      </w:r>
      <w:proofErr w:type="spellEnd"/>
      <w:r w:rsidRPr="00474A41">
        <w:t xml:space="preserve">) following the oral administration of 100mg/kg </w:t>
      </w:r>
      <w:proofErr w:type="spellStart"/>
      <w:r w:rsidRPr="00474A41">
        <w:t>besifloxacin</w:t>
      </w:r>
      <w:proofErr w:type="spellEnd"/>
      <w:r w:rsidRPr="00474A41">
        <w:t xml:space="preserve"> in rats is about 1000-fold higher than the plasma levels following topical administration. Risk of renal toxicity following topical </w:t>
      </w:r>
      <w:proofErr w:type="spellStart"/>
      <w:r w:rsidRPr="00474A41">
        <w:t>besifloxacin</w:t>
      </w:r>
      <w:proofErr w:type="spellEnd"/>
      <w:r w:rsidRPr="00474A41">
        <w:t xml:space="preserve"> administration is negligible.</w:t>
      </w:r>
    </w:p>
    <w:p w:rsidR="004549E3" w:rsidRPr="00474A41" w:rsidRDefault="004549E3" w:rsidP="00CF251B">
      <w:pPr>
        <w:pStyle w:val="Heading5"/>
      </w:pPr>
      <w:r w:rsidRPr="00474A41">
        <w:t>Pivotal studies</w:t>
      </w:r>
    </w:p>
    <w:p w:rsidR="004549E3" w:rsidRPr="00474A41" w:rsidRDefault="004549E3" w:rsidP="00CF251B">
      <w:r w:rsidRPr="00474A41">
        <w:t>Not applicable.</w:t>
      </w:r>
    </w:p>
    <w:p w:rsidR="004549E3" w:rsidRPr="00474A41" w:rsidRDefault="004549E3" w:rsidP="00CF251B">
      <w:pPr>
        <w:pStyle w:val="Heading5"/>
      </w:pPr>
      <w:r w:rsidRPr="00474A41">
        <w:t>Other studies</w:t>
      </w:r>
    </w:p>
    <w:p w:rsidR="00A932F9" w:rsidRPr="00474A41" w:rsidRDefault="00A932F9" w:rsidP="00CF251B">
      <w:bookmarkStart w:id="225" w:name="_Toc272414671"/>
      <w:bookmarkStart w:id="226" w:name="_Toc290888535"/>
      <w:bookmarkStart w:id="227" w:name="_Toc353192504"/>
      <w:proofErr w:type="gramStart"/>
      <w:r w:rsidRPr="00474A41">
        <w:t>Assessed in study C-</w:t>
      </w:r>
      <w:r>
        <w:t>02-403-001.</w:t>
      </w:r>
      <w:proofErr w:type="gramEnd"/>
      <w:r>
        <w:t xml:space="preserve"> </w:t>
      </w:r>
      <w:r w:rsidRPr="00474A41">
        <w:t>No changes.</w:t>
      </w:r>
    </w:p>
    <w:p w:rsidR="004549E3" w:rsidRPr="005C2B74" w:rsidRDefault="004549E3" w:rsidP="00CF251B">
      <w:pPr>
        <w:pStyle w:val="Heading4"/>
      </w:pPr>
      <w:r w:rsidRPr="005C2B74">
        <w:lastRenderedPageBreak/>
        <w:t>Other clinical chemistry</w:t>
      </w:r>
      <w:bookmarkEnd w:id="225"/>
      <w:bookmarkEnd w:id="226"/>
      <w:bookmarkEnd w:id="227"/>
    </w:p>
    <w:p w:rsidR="004549E3" w:rsidRPr="00474A41" w:rsidRDefault="004549E3" w:rsidP="00CF251B">
      <w:pPr>
        <w:pStyle w:val="Heading5"/>
      </w:pPr>
      <w:r w:rsidRPr="00474A41">
        <w:t>Pivotal studies</w:t>
      </w:r>
    </w:p>
    <w:p w:rsidR="004549E3" w:rsidRPr="00474A41" w:rsidRDefault="004549E3" w:rsidP="00CF251B">
      <w:r w:rsidRPr="00474A41">
        <w:t>Not applicable.</w:t>
      </w:r>
    </w:p>
    <w:p w:rsidR="004549E3" w:rsidRPr="00474A41" w:rsidRDefault="004549E3" w:rsidP="00CF251B">
      <w:pPr>
        <w:pStyle w:val="Heading5"/>
      </w:pPr>
      <w:r w:rsidRPr="00474A41">
        <w:t>Other studies</w:t>
      </w:r>
    </w:p>
    <w:p w:rsidR="004549E3" w:rsidRPr="00474A41" w:rsidRDefault="004549E3" w:rsidP="00CF251B">
      <w:r w:rsidRPr="00474A41">
        <w:t>Not applicable.</w:t>
      </w:r>
    </w:p>
    <w:p w:rsidR="004549E3" w:rsidRPr="005C2B74" w:rsidRDefault="004549E3" w:rsidP="00CF251B">
      <w:pPr>
        <w:pStyle w:val="Heading4"/>
      </w:pPr>
      <w:bookmarkStart w:id="228" w:name="_Toc272414672"/>
      <w:bookmarkStart w:id="229" w:name="_Toc290888536"/>
      <w:bookmarkStart w:id="230" w:name="_Toc353192505"/>
      <w:r w:rsidRPr="005C2B74">
        <w:t>Haematology</w:t>
      </w:r>
      <w:bookmarkEnd w:id="228"/>
      <w:bookmarkEnd w:id="229"/>
      <w:bookmarkEnd w:id="230"/>
    </w:p>
    <w:p w:rsidR="004549E3" w:rsidRPr="00474A41" w:rsidRDefault="004549E3" w:rsidP="00CF251B">
      <w:pPr>
        <w:pStyle w:val="Heading5"/>
      </w:pPr>
      <w:r w:rsidRPr="00474A41">
        <w:t>Pivotal studies</w:t>
      </w:r>
    </w:p>
    <w:p w:rsidR="004549E3" w:rsidRPr="00474A41" w:rsidRDefault="004549E3" w:rsidP="00CF251B">
      <w:r w:rsidRPr="00474A41">
        <w:t>Not applicable.</w:t>
      </w:r>
    </w:p>
    <w:p w:rsidR="004549E3" w:rsidRPr="00474A41" w:rsidRDefault="004549E3" w:rsidP="00CF251B">
      <w:pPr>
        <w:pStyle w:val="Heading5"/>
      </w:pPr>
      <w:r w:rsidRPr="00474A41">
        <w:t>Other studies</w:t>
      </w:r>
    </w:p>
    <w:p w:rsidR="00A932F9" w:rsidRPr="00474A41" w:rsidRDefault="00A932F9" w:rsidP="00CF251B">
      <w:bookmarkStart w:id="231" w:name="_Toc353192506"/>
      <w:proofErr w:type="gramStart"/>
      <w:r w:rsidRPr="00474A41">
        <w:t>Assessed in study C-</w:t>
      </w:r>
      <w:r>
        <w:t>02-403-001.</w:t>
      </w:r>
      <w:proofErr w:type="gramEnd"/>
      <w:r>
        <w:t xml:space="preserve"> </w:t>
      </w:r>
      <w:r w:rsidRPr="00474A41">
        <w:t>No changes.</w:t>
      </w:r>
    </w:p>
    <w:p w:rsidR="004549E3" w:rsidRPr="005C2B74" w:rsidRDefault="004549E3" w:rsidP="00CF251B">
      <w:pPr>
        <w:pStyle w:val="Heading4"/>
      </w:pPr>
      <w:r>
        <w:t>U</w:t>
      </w:r>
      <w:r w:rsidRPr="005C2B74">
        <w:t>rinalysis</w:t>
      </w:r>
      <w:bookmarkEnd w:id="231"/>
    </w:p>
    <w:p w:rsidR="004549E3" w:rsidRPr="00474A41" w:rsidRDefault="004549E3" w:rsidP="00CF251B">
      <w:pPr>
        <w:pStyle w:val="Heading5"/>
      </w:pPr>
      <w:r w:rsidRPr="00474A41">
        <w:t>Pivotal studies</w:t>
      </w:r>
    </w:p>
    <w:p w:rsidR="004549E3" w:rsidRPr="00474A41" w:rsidRDefault="004549E3" w:rsidP="00CF251B">
      <w:r w:rsidRPr="00474A41">
        <w:t>Not applicable.</w:t>
      </w:r>
    </w:p>
    <w:p w:rsidR="004549E3" w:rsidRPr="00474A41" w:rsidRDefault="004549E3" w:rsidP="00CF251B">
      <w:pPr>
        <w:pStyle w:val="Heading5"/>
      </w:pPr>
      <w:r w:rsidRPr="00474A41">
        <w:t>Other studies</w:t>
      </w:r>
    </w:p>
    <w:p w:rsidR="00A932F9" w:rsidRPr="00474A41" w:rsidRDefault="00A932F9" w:rsidP="00CF251B">
      <w:bookmarkStart w:id="232" w:name="_Toc272414675"/>
      <w:bookmarkStart w:id="233" w:name="_Toc290888539"/>
      <w:bookmarkStart w:id="234" w:name="_Toc353192507"/>
      <w:proofErr w:type="gramStart"/>
      <w:r w:rsidRPr="00474A41">
        <w:t>Assessed in study C-</w:t>
      </w:r>
      <w:r>
        <w:t>02-403-001.</w:t>
      </w:r>
      <w:proofErr w:type="gramEnd"/>
      <w:r>
        <w:t xml:space="preserve"> </w:t>
      </w:r>
      <w:r w:rsidRPr="00474A41">
        <w:t>No changes.</w:t>
      </w:r>
    </w:p>
    <w:p w:rsidR="004549E3" w:rsidRPr="005C2B74" w:rsidRDefault="004549E3" w:rsidP="00CF251B">
      <w:pPr>
        <w:pStyle w:val="Heading4"/>
      </w:pPr>
      <w:r w:rsidRPr="005C2B74">
        <w:t>Electrocardiograph</w:t>
      </w:r>
      <w:bookmarkEnd w:id="232"/>
      <w:bookmarkEnd w:id="233"/>
      <w:bookmarkEnd w:id="234"/>
    </w:p>
    <w:p w:rsidR="004549E3" w:rsidRPr="00474A41" w:rsidRDefault="004549E3" w:rsidP="00CF251B">
      <w:pPr>
        <w:pStyle w:val="Heading5"/>
      </w:pPr>
      <w:r w:rsidRPr="00474A41">
        <w:t>Pivotal studies</w:t>
      </w:r>
    </w:p>
    <w:p w:rsidR="004549E3" w:rsidRPr="00474A41" w:rsidRDefault="004549E3" w:rsidP="00CF251B">
      <w:r w:rsidRPr="00474A41">
        <w:t>Not applicable.</w:t>
      </w:r>
    </w:p>
    <w:p w:rsidR="004549E3" w:rsidRPr="005C2B74" w:rsidRDefault="004549E3" w:rsidP="00CF251B">
      <w:pPr>
        <w:pStyle w:val="Heading5"/>
      </w:pPr>
      <w:r w:rsidRPr="005C2B74">
        <w:t>Other studies</w:t>
      </w:r>
    </w:p>
    <w:p w:rsidR="004549E3" w:rsidRPr="00474A41" w:rsidRDefault="004549E3" w:rsidP="00CF251B">
      <w:r w:rsidRPr="00474A41">
        <w:t xml:space="preserve">QT-interval prolongation has been associated with the systemic use of some </w:t>
      </w:r>
      <w:proofErr w:type="spellStart"/>
      <w:r w:rsidRPr="00474A41">
        <w:t>fluoroquinolones</w:t>
      </w:r>
      <w:proofErr w:type="spellEnd"/>
      <w:r w:rsidRPr="00474A41">
        <w:t xml:space="preserve"> in humans. </w:t>
      </w:r>
      <w:proofErr w:type="spellStart"/>
      <w:r w:rsidRPr="00474A41">
        <w:t>Besifloxacin</w:t>
      </w:r>
      <w:proofErr w:type="spellEnd"/>
      <w:r w:rsidRPr="00474A41">
        <w:t xml:space="preserve"> induced a minimal inhibitory effect on </w:t>
      </w:r>
      <w:proofErr w:type="spellStart"/>
      <w:r w:rsidRPr="00474A41">
        <w:t>hERG</w:t>
      </w:r>
      <w:proofErr w:type="spellEnd"/>
      <w:r w:rsidRPr="00474A41">
        <w:t xml:space="preserve"> (human Ether-à-go-go Related Gene) tail current in stably-transfected HEK-293 (Human Embryonic Kidney 293) cells. The cardiovascular study in animals indicates that the drug has the potential to prolong QT interval when administered systemically. However, as the systemic exposure is so low when the drug is administered topically, QT prolongation is not a concern.</w:t>
      </w:r>
      <w:r w:rsidR="005422D8">
        <w:t xml:space="preserve"> </w:t>
      </w:r>
      <w:proofErr w:type="gramStart"/>
      <w:r w:rsidRPr="00474A41">
        <w:t>Assessed in C</w:t>
      </w:r>
      <w:r w:rsidR="004234D1">
        <w:t>-02-403-001.</w:t>
      </w:r>
      <w:proofErr w:type="gramEnd"/>
      <w:r w:rsidR="004234D1">
        <w:t xml:space="preserve"> </w:t>
      </w:r>
      <w:r w:rsidRPr="00474A41">
        <w:t>No changes in QT/</w:t>
      </w:r>
      <w:proofErr w:type="spellStart"/>
      <w:r w:rsidRPr="00474A41">
        <w:t>QTc</w:t>
      </w:r>
      <w:proofErr w:type="spellEnd"/>
      <w:r w:rsidRPr="00474A41">
        <w:t xml:space="preserve"> intervals or other parameters on the ECG between active drug at 2 different concentrations (</w:t>
      </w:r>
      <w:r w:rsidR="00CF251B">
        <w:t>0.3 and 0.6%) and Vehicle only.</w:t>
      </w:r>
    </w:p>
    <w:p w:rsidR="004549E3" w:rsidRPr="005C2B74" w:rsidRDefault="004549E3" w:rsidP="00CF251B">
      <w:pPr>
        <w:pStyle w:val="Heading4"/>
      </w:pPr>
      <w:bookmarkStart w:id="235" w:name="_Toc272414676"/>
      <w:bookmarkStart w:id="236" w:name="_Toc290888540"/>
      <w:bookmarkStart w:id="237" w:name="_Toc353192508"/>
      <w:r w:rsidRPr="005C2B74">
        <w:t>Vital signs</w:t>
      </w:r>
      <w:bookmarkEnd w:id="235"/>
      <w:bookmarkEnd w:id="236"/>
      <w:bookmarkEnd w:id="237"/>
    </w:p>
    <w:p w:rsidR="004549E3" w:rsidRPr="00474A41" w:rsidRDefault="004549E3" w:rsidP="00CF251B">
      <w:pPr>
        <w:pStyle w:val="Heading5"/>
      </w:pPr>
      <w:r w:rsidRPr="00474A41">
        <w:t>Pivotal studies</w:t>
      </w:r>
    </w:p>
    <w:p w:rsidR="004549E3" w:rsidRPr="00474A41" w:rsidRDefault="004549E3" w:rsidP="00CF251B">
      <w:r w:rsidRPr="00474A41">
        <w:t>Not applicable.</w:t>
      </w:r>
    </w:p>
    <w:p w:rsidR="004549E3" w:rsidRPr="00474A41" w:rsidRDefault="004549E3" w:rsidP="00CF251B">
      <w:pPr>
        <w:pStyle w:val="Heading5"/>
      </w:pPr>
      <w:r w:rsidRPr="00474A41">
        <w:t>Other studies</w:t>
      </w:r>
    </w:p>
    <w:p w:rsidR="004549E3" w:rsidRPr="00474A41" w:rsidRDefault="004549E3" w:rsidP="00CF251B">
      <w:proofErr w:type="gramStart"/>
      <w:r w:rsidRPr="00474A41">
        <w:t>Assessed in study C</w:t>
      </w:r>
      <w:r w:rsidR="009B0838">
        <w:t>-02-403-001.</w:t>
      </w:r>
      <w:proofErr w:type="gramEnd"/>
      <w:r w:rsidR="009B0838">
        <w:t xml:space="preserve"> </w:t>
      </w:r>
      <w:r w:rsidRPr="00474A41">
        <w:t>Minor increases were observed in heart rate and BP – but there were changes in all groups irrespective of whether active drug was contained in the Vehicle or not.</w:t>
      </w:r>
    </w:p>
    <w:p w:rsidR="004549E3" w:rsidRPr="005C2B74" w:rsidRDefault="004549E3" w:rsidP="00CF251B">
      <w:pPr>
        <w:pStyle w:val="Heading3"/>
      </w:pPr>
      <w:bookmarkStart w:id="238" w:name="_Toc241374326"/>
      <w:bookmarkStart w:id="239" w:name="_Ref272333048"/>
      <w:bookmarkStart w:id="240" w:name="_Toc272414679"/>
      <w:bookmarkStart w:id="241" w:name="_Toc290888543"/>
      <w:bookmarkStart w:id="242" w:name="_Toc353192509"/>
      <w:bookmarkStart w:id="243" w:name="_Toc382908468"/>
      <w:r w:rsidRPr="005C2B74">
        <w:t>Post-marketing experience</w:t>
      </w:r>
      <w:bookmarkEnd w:id="238"/>
      <w:bookmarkEnd w:id="239"/>
      <w:bookmarkEnd w:id="240"/>
      <w:bookmarkEnd w:id="241"/>
      <w:bookmarkEnd w:id="242"/>
      <w:bookmarkEnd w:id="243"/>
    </w:p>
    <w:p w:rsidR="004549E3" w:rsidRPr="00474A41" w:rsidRDefault="004549E3" w:rsidP="007D6A4C">
      <w:r w:rsidRPr="00474A41">
        <w:t>Periodic safety update reports which included two investigational studies initiated during this reporting period (2011) provided in this application. No new safety data from any source including the investigational studies one of which, BL-646 is being conducted in Subject</w:t>
      </w:r>
      <w:r w:rsidR="007D6A4C">
        <w:t>s from Birth to 31 Days of Age.</w:t>
      </w:r>
    </w:p>
    <w:p w:rsidR="004549E3" w:rsidRPr="005C2B74" w:rsidRDefault="004549E3" w:rsidP="00FC3441">
      <w:pPr>
        <w:pStyle w:val="Heading3"/>
      </w:pPr>
      <w:bookmarkStart w:id="244" w:name="_Ref272333005"/>
      <w:bookmarkStart w:id="245" w:name="_Toc272414680"/>
      <w:bookmarkStart w:id="246" w:name="_Toc290888544"/>
      <w:bookmarkStart w:id="247" w:name="_Toc353192510"/>
      <w:bookmarkStart w:id="248" w:name="_Toc382908469"/>
      <w:r w:rsidRPr="005C2B74">
        <w:lastRenderedPageBreak/>
        <w:t>Safety issues with the potential for major regulatory imp</w:t>
      </w:r>
      <w:bookmarkEnd w:id="244"/>
      <w:bookmarkEnd w:id="245"/>
      <w:r w:rsidRPr="005C2B74">
        <w:t>act</w:t>
      </w:r>
      <w:bookmarkEnd w:id="246"/>
      <w:bookmarkEnd w:id="247"/>
      <w:bookmarkEnd w:id="248"/>
    </w:p>
    <w:p w:rsidR="004549E3" w:rsidRPr="00474A41" w:rsidRDefault="004549E3" w:rsidP="00FC3441">
      <w:proofErr w:type="gramStart"/>
      <w:r w:rsidRPr="00474A41">
        <w:t>None.</w:t>
      </w:r>
      <w:proofErr w:type="gramEnd"/>
    </w:p>
    <w:p w:rsidR="004549E3" w:rsidRPr="005C2B74" w:rsidRDefault="004549E3" w:rsidP="00FC3441">
      <w:pPr>
        <w:pStyle w:val="Heading4"/>
      </w:pPr>
      <w:bookmarkStart w:id="249" w:name="_Toc272414681"/>
      <w:bookmarkStart w:id="250" w:name="_Toc290888545"/>
      <w:bookmarkStart w:id="251" w:name="_Toc353192511"/>
      <w:r w:rsidRPr="005C2B74">
        <w:t>Liver toxicity</w:t>
      </w:r>
      <w:bookmarkEnd w:id="249"/>
      <w:bookmarkEnd w:id="250"/>
      <w:bookmarkEnd w:id="251"/>
    </w:p>
    <w:p w:rsidR="004549E3" w:rsidRPr="00474A41" w:rsidRDefault="004549E3" w:rsidP="00FC3441">
      <w:r w:rsidRPr="00474A41">
        <w:t>Not applicable, topical agent, low/no systemic absorption.</w:t>
      </w:r>
    </w:p>
    <w:p w:rsidR="004549E3" w:rsidRPr="005C2B74" w:rsidRDefault="004549E3" w:rsidP="00FC3441">
      <w:pPr>
        <w:pStyle w:val="Heading4"/>
      </w:pPr>
      <w:bookmarkStart w:id="252" w:name="_Toc272414682"/>
      <w:bookmarkStart w:id="253" w:name="_Toc290888546"/>
      <w:bookmarkStart w:id="254" w:name="_Toc353192512"/>
      <w:r w:rsidRPr="00FC3441">
        <w:t>Haematological</w:t>
      </w:r>
      <w:r w:rsidRPr="005C2B74">
        <w:t xml:space="preserve"> toxicity</w:t>
      </w:r>
      <w:bookmarkEnd w:id="252"/>
      <w:bookmarkEnd w:id="253"/>
      <w:bookmarkEnd w:id="254"/>
    </w:p>
    <w:p w:rsidR="004549E3" w:rsidRPr="00474A41" w:rsidRDefault="004549E3" w:rsidP="00FC3441">
      <w:r w:rsidRPr="00474A41">
        <w:t>Not applicable, topical agent, low/no systemic absorption.</w:t>
      </w:r>
    </w:p>
    <w:p w:rsidR="004549E3" w:rsidRPr="005C2B74" w:rsidRDefault="004549E3" w:rsidP="00FC3441">
      <w:pPr>
        <w:pStyle w:val="Heading4"/>
      </w:pPr>
      <w:bookmarkStart w:id="255" w:name="_Toc272414683"/>
      <w:bookmarkStart w:id="256" w:name="_Toc290888547"/>
      <w:bookmarkStart w:id="257" w:name="_Toc353192513"/>
      <w:r w:rsidRPr="005C2B74">
        <w:t xml:space="preserve">Serious skin </w:t>
      </w:r>
      <w:r w:rsidRPr="00FC3441">
        <w:t>reactions</w:t>
      </w:r>
      <w:bookmarkEnd w:id="255"/>
      <w:bookmarkEnd w:id="256"/>
      <w:bookmarkEnd w:id="257"/>
    </w:p>
    <w:p w:rsidR="004549E3" w:rsidRPr="00474A41" w:rsidRDefault="00FC3441" w:rsidP="00FC3441">
      <w:proofErr w:type="gramStart"/>
      <w:r>
        <w:t>None.</w:t>
      </w:r>
      <w:proofErr w:type="gramEnd"/>
    </w:p>
    <w:p w:rsidR="004549E3" w:rsidRPr="005C2B74" w:rsidRDefault="004549E3" w:rsidP="00FC3441">
      <w:pPr>
        <w:pStyle w:val="Heading4"/>
      </w:pPr>
      <w:bookmarkStart w:id="258" w:name="_Toc272414684"/>
      <w:bookmarkStart w:id="259" w:name="_Toc290888548"/>
      <w:bookmarkStart w:id="260" w:name="_Toc353192514"/>
      <w:r w:rsidRPr="005C2B74">
        <w:t>Cardiovascular safety</w:t>
      </w:r>
      <w:bookmarkEnd w:id="258"/>
      <w:bookmarkEnd w:id="259"/>
      <w:bookmarkEnd w:id="260"/>
    </w:p>
    <w:p w:rsidR="004549E3" w:rsidRPr="00474A41" w:rsidRDefault="00EB5747" w:rsidP="00FC3441">
      <w:proofErr w:type="gramStart"/>
      <w:r w:rsidRPr="00474A41">
        <w:t>None</w:t>
      </w:r>
      <w:r w:rsidR="004549E3" w:rsidRPr="00474A41">
        <w:t>.</w:t>
      </w:r>
      <w:proofErr w:type="gramEnd"/>
    </w:p>
    <w:p w:rsidR="004549E3" w:rsidRPr="005C2B74" w:rsidRDefault="004549E3" w:rsidP="00FC3441">
      <w:pPr>
        <w:pStyle w:val="Heading4"/>
      </w:pPr>
      <w:bookmarkStart w:id="261" w:name="_Toc241374323"/>
      <w:bookmarkStart w:id="262" w:name="_Toc272414685"/>
      <w:bookmarkStart w:id="263" w:name="_Toc290888549"/>
      <w:bookmarkStart w:id="264" w:name="_Toc353192515"/>
      <w:r w:rsidRPr="005C2B74">
        <w:t>Unwanted immunological events</w:t>
      </w:r>
      <w:bookmarkEnd w:id="261"/>
      <w:bookmarkEnd w:id="262"/>
      <w:bookmarkEnd w:id="263"/>
      <w:bookmarkEnd w:id="264"/>
    </w:p>
    <w:p w:rsidR="004549E3" w:rsidRPr="00474A41" w:rsidRDefault="004549E3" w:rsidP="00FC3441">
      <w:r w:rsidRPr="00474A41">
        <w:t>Not applicable.</w:t>
      </w:r>
    </w:p>
    <w:p w:rsidR="004549E3" w:rsidRPr="005C2B74" w:rsidRDefault="004549E3" w:rsidP="00FC3441">
      <w:pPr>
        <w:pStyle w:val="Heading3"/>
      </w:pPr>
      <w:bookmarkStart w:id="265" w:name="_Toc272414686"/>
      <w:bookmarkStart w:id="266" w:name="_Ref273005527"/>
      <w:bookmarkStart w:id="267" w:name="_Toc290888550"/>
      <w:bookmarkStart w:id="268" w:name="_Toc353192516"/>
      <w:bookmarkStart w:id="269" w:name="_Toc382908470"/>
      <w:r w:rsidRPr="005C2B74">
        <w:t>Other safety issues</w:t>
      </w:r>
      <w:bookmarkEnd w:id="265"/>
      <w:bookmarkEnd w:id="266"/>
      <w:bookmarkEnd w:id="267"/>
      <w:bookmarkEnd w:id="268"/>
      <w:bookmarkEnd w:id="269"/>
    </w:p>
    <w:p w:rsidR="004549E3" w:rsidRPr="00474A41" w:rsidRDefault="004549E3" w:rsidP="00FC3441">
      <w:proofErr w:type="gramStart"/>
      <w:r w:rsidRPr="00474A41">
        <w:t>None.</w:t>
      </w:r>
      <w:proofErr w:type="gramEnd"/>
    </w:p>
    <w:p w:rsidR="004549E3" w:rsidRPr="005C2B74" w:rsidRDefault="004549E3" w:rsidP="00FC3441">
      <w:pPr>
        <w:pStyle w:val="Heading4"/>
      </w:pPr>
      <w:bookmarkStart w:id="270" w:name="_Toc241374322"/>
      <w:bookmarkStart w:id="271" w:name="_Ref272331212"/>
      <w:bookmarkStart w:id="272" w:name="_Toc272414687"/>
      <w:bookmarkStart w:id="273" w:name="_Toc290888551"/>
      <w:bookmarkStart w:id="274" w:name="_Toc353192517"/>
      <w:r w:rsidRPr="005C2B74">
        <w:t>Safety in special populations</w:t>
      </w:r>
      <w:bookmarkEnd w:id="270"/>
      <w:bookmarkEnd w:id="271"/>
      <w:bookmarkEnd w:id="272"/>
      <w:bookmarkEnd w:id="273"/>
      <w:bookmarkEnd w:id="274"/>
    </w:p>
    <w:p w:rsidR="004549E3" w:rsidRPr="00474A41" w:rsidRDefault="004549E3" w:rsidP="00FC3441">
      <w:r w:rsidRPr="00474A41">
        <w:t xml:space="preserve">No data for pregnant/breastfeeding woman or children under 1 year of age as they were specifically excluded. No safety signal revealed in age group including children aged 1 year or older with bacterial conjunctivitis. No reports of </w:t>
      </w:r>
      <w:proofErr w:type="spellStart"/>
      <w:r w:rsidRPr="00474A41">
        <w:t>arthropathy</w:t>
      </w:r>
      <w:proofErr w:type="spellEnd"/>
      <w:r w:rsidRPr="00474A41">
        <w:t xml:space="preserve"> (ref</w:t>
      </w:r>
      <w:r w:rsidR="005703B2">
        <w:t>:</w:t>
      </w:r>
      <w:r w:rsidRPr="00474A41">
        <w:t xml:space="preserve"> paediatric population) or Achilles tendonitis (ref adults) as reported with systemic quinolones.</w:t>
      </w:r>
    </w:p>
    <w:p w:rsidR="004549E3" w:rsidRPr="005C2B74" w:rsidRDefault="004549E3" w:rsidP="00FC3441">
      <w:pPr>
        <w:pStyle w:val="Heading4"/>
      </w:pPr>
      <w:bookmarkStart w:id="275" w:name="_Toc241374324"/>
      <w:bookmarkStart w:id="276" w:name="_Ref272331214"/>
      <w:bookmarkStart w:id="277" w:name="_Toc272414688"/>
      <w:bookmarkStart w:id="278" w:name="_Toc290888552"/>
      <w:bookmarkStart w:id="279" w:name="_Toc353192518"/>
      <w:r w:rsidRPr="005C2B74">
        <w:t>Safety related to drug-drug interactions and other interactions</w:t>
      </w:r>
      <w:bookmarkEnd w:id="275"/>
      <w:bookmarkEnd w:id="276"/>
      <w:bookmarkEnd w:id="277"/>
      <w:bookmarkEnd w:id="278"/>
      <w:bookmarkEnd w:id="279"/>
    </w:p>
    <w:p w:rsidR="004549E3" w:rsidRPr="00474A41" w:rsidRDefault="004549E3" w:rsidP="00FC3441">
      <w:r w:rsidRPr="00474A41">
        <w:t xml:space="preserve">Not performed due to low systemic exposure of </w:t>
      </w:r>
      <w:proofErr w:type="spellStart"/>
      <w:r w:rsidRPr="00474A41">
        <w:t>besifloxacin</w:t>
      </w:r>
      <w:proofErr w:type="spellEnd"/>
      <w:r w:rsidRPr="00474A41">
        <w:t xml:space="preserve"> fo</w:t>
      </w:r>
      <w:r w:rsidR="00FC3441">
        <w:t>llowing topical administration.</w:t>
      </w:r>
    </w:p>
    <w:p w:rsidR="004549E3" w:rsidRPr="005C2B74" w:rsidRDefault="004549E3" w:rsidP="00FC3441">
      <w:pPr>
        <w:pStyle w:val="Heading3"/>
      </w:pPr>
      <w:bookmarkStart w:id="280" w:name="_Toc241374328"/>
      <w:bookmarkStart w:id="281" w:name="_Toc272414691"/>
      <w:bookmarkStart w:id="282" w:name="_Toc290888555"/>
      <w:bookmarkStart w:id="283" w:name="_Toc353192519"/>
      <w:bookmarkStart w:id="284" w:name="_Toc382908471"/>
      <w:r w:rsidRPr="005C2B74">
        <w:t>Evaluator’s overall conclusions on clinical safety</w:t>
      </w:r>
      <w:bookmarkEnd w:id="280"/>
      <w:bookmarkEnd w:id="281"/>
      <w:bookmarkEnd w:id="282"/>
      <w:bookmarkEnd w:id="283"/>
      <w:bookmarkEnd w:id="284"/>
    </w:p>
    <w:p w:rsidR="004549E3" w:rsidRPr="00474A41" w:rsidRDefault="004549E3" w:rsidP="00FC3441">
      <w:bookmarkStart w:id="285" w:name="_Toc163441387"/>
      <w:r w:rsidRPr="00474A41">
        <w:t xml:space="preserve">Treatment with </w:t>
      </w:r>
      <w:proofErr w:type="spellStart"/>
      <w:r w:rsidRPr="00474A41">
        <w:t>besifloxacin</w:t>
      </w:r>
      <w:proofErr w:type="spellEnd"/>
      <w:r w:rsidRPr="00474A41">
        <w:t xml:space="preserve"> ophthalmic suspension resulted in no serious adverse events (SAEs) related to study drug. Overall, rates of </w:t>
      </w:r>
      <w:proofErr w:type="spellStart"/>
      <w:r w:rsidRPr="00474A41">
        <w:t>non ocular</w:t>
      </w:r>
      <w:proofErr w:type="spellEnd"/>
      <w:r w:rsidRPr="00474A41">
        <w:t xml:space="preserve"> and ocular adverse events (AEs) were low. The majority of </w:t>
      </w:r>
      <w:proofErr w:type="spellStart"/>
      <w:r w:rsidRPr="00474A41">
        <w:t>non ocular</w:t>
      </w:r>
      <w:proofErr w:type="spellEnd"/>
      <w:r w:rsidRPr="00474A41">
        <w:t xml:space="preserve"> AEs were unrelated to study drug; the most prevalent ocular AEs were consistent with study treatment and/or underlying ocular disease being studied. Importantly, the main treatment emergent ocular AEs, that is, conjunctivitis, vision blurred, eye irritation and eye pain can all be associated with the underlying disorder and all occurred with lower frequency than when bacterial conjunctivitis was treated with </w:t>
      </w:r>
      <w:proofErr w:type="spellStart"/>
      <w:r w:rsidRPr="00474A41">
        <w:t>besifloxacin</w:t>
      </w:r>
      <w:proofErr w:type="spellEnd"/>
      <w:r w:rsidRPr="00474A41">
        <w:t xml:space="preserve"> compared to treatment with vehicle alone. A potential risk with any </w:t>
      </w:r>
      <w:proofErr w:type="spellStart"/>
      <w:r w:rsidRPr="00474A41">
        <w:t>anti infective</w:t>
      </w:r>
      <w:proofErr w:type="spellEnd"/>
      <w:r w:rsidRPr="00474A41">
        <w:t xml:space="preserve"> is the development of antibiotic resistance and this is discussed in detail in </w:t>
      </w:r>
      <w:r w:rsidR="00FC3441">
        <w:t>the clinical evaluation report.</w:t>
      </w:r>
    </w:p>
    <w:p w:rsidR="00C22678" w:rsidRDefault="00C22678" w:rsidP="00FC3441">
      <w:pPr>
        <w:pStyle w:val="Heading2"/>
      </w:pPr>
      <w:bookmarkStart w:id="286" w:name="_Toc382908472"/>
      <w:bookmarkEnd w:id="285"/>
      <w:r>
        <w:t>First round benefit-risk assessment</w:t>
      </w:r>
      <w:bookmarkEnd w:id="286"/>
    </w:p>
    <w:p w:rsidR="004549E3" w:rsidRPr="00DD30C1" w:rsidRDefault="004549E3" w:rsidP="00FC3441">
      <w:r w:rsidRPr="00DD30C1">
        <w:t>Bacterial conjunctivitis is characteri</w:t>
      </w:r>
      <w:r>
        <w:t>s</w:t>
      </w:r>
      <w:r w:rsidRPr="00DD30C1">
        <w:t xml:space="preserve">ed by marked hyperaemia or redness of the eye and mild to moderate purulent </w:t>
      </w:r>
      <w:proofErr w:type="spellStart"/>
      <w:r w:rsidRPr="00DD30C1">
        <w:t>conjunctival</w:t>
      </w:r>
      <w:proofErr w:type="spellEnd"/>
      <w:r w:rsidRPr="00DD30C1">
        <w:t xml:space="preserve"> discharge. Symptoms often include watery eyes, itching, and vague ocular irritation. The disease is generally </w:t>
      </w:r>
      <w:proofErr w:type="spellStart"/>
      <w:r w:rsidRPr="00DD30C1">
        <w:t>self</w:t>
      </w:r>
      <w:r>
        <w:t xml:space="preserve"> </w:t>
      </w:r>
      <w:r w:rsidRPr="00DD30C1">
        <w:t>limiting</w:t>
      </w:r>
      <w:proofErr w:type="spellEnd"/>
      <w:r w:rsidRPr="00DD30C1">
        <w:t xml:space="preserve"> and usually does not cause permanent loss of vision or structural damage. Intervention with use of a top</w:t>
      </w:r>
      <w:r>
        <w:t xml:space="preserve">ical broad spectrum ocular </w:t>
      </w:r>
      <w:proofErr w:type="spellStart"/>
      <w:r>
        <w:t xml:space="preserve">anti </w:t>
      </w:r>
      <w:r w:rsidRPr="00DD30C1">
        <w:t>infective</w:t>
      </w:r>
      <w:proofErr w:type="spellEnd"/>
      <w:r w:rsidRPr="00DD30C1">
        <w:t xml:space="preserve"> is the </w:t>
      </w:r>
      <w:r>
        <w:t xml:space="preserve">standard of </w:t>
      </w:r>
      <w:r w:rsidR="00FC3441">
        <w:t>care in the management.</w:t>
      </w:r>
    </w:p>
    <w:p w:rsidR="00C45A8C" w:rsidRPr="005C2B74" w:rsidRDefault="00C45A8C" w:rsidP="000F62A5">
      <w:pPr>
        <w:pStyle w:val="Heading3"/>
      </w:pPr>
      <w:bookmarkStart w:id="287" w:name="_Toc382908473"/>
      <w:r w:rsidRPr="005C2B74">
        <w:lastRenderedPageBreak/>
        <w:t xml:space="preserve">First round assessment of </w:t>
      </w:r>
      <w:r w:rsidRPr="000F62A5">
        <w:t>benefits</w:t>
      </w:r>
      <w:bookmarkEnd w:id="287"/>
    </w:p>
    <w:p w:rsidR="00C45A8C" w:rsidRPr="00DD30C1" w:rsidRDefault="00C45A8C" w:rsidP="000F62A5">
      <w:r w:rsidRPr="00DD30C1">
        <w:t xml:space="preserve">The benefits of </w:t>
      </w:r>
      <w:proofErr w:type="spellStart"/>
      <w:r w:rsidRPr="00DD30C1">
        <w:t>Besivance</w:t>
      </w:r>
      <w:proofErr w:type="spellEnd"/>
      <w:r w:rsidRPr="00DD30C1">
        <w:t xml:space="preserve"> in the proposed usage are:</w:t>
      </w:r>
    </w:p>
    <w:p w:rsidR="00C45A8C" w:rsidRPr="00DD30C1" w:rsidRDefault="00C45A8C" w:rsidP="000F62A5">
      <w:pPr>
        <w:pStyle w:val="ListBullet"/>
      </w:pPr>
      <w:r w:rsidRPr="00DD30C1">
        <w:t xml:space="preserve">Well tolerated topical agent of proven </w:t>
      </w:r>
      <w:r w:rsidRPr="000F62A5">
        <w:t>efficacy</w:t>
      </w:r>
      <w:r w:rsidRPr="00DD30C1">
        <w:t xml:space="preserve"> against the common forms of </w:t>
      </w:r>
      <w:r>
        <w:t>bacterial conjunctivitis, that is,</w:t>
      </w:r>
      <w:r w:rsidRPr="00DD30C1">
        <w:t xml:space="preserve"> superior to placebo and equivalent to a comparator topical ocular quinolone agent;</w:t>
      </w:r>
    </w:p>
    <w:p w:rsidR="00C45A8C" w:rsidRPr="00DD30C1" w:rsidRDefault="00C45A8C" w:rsidP="000F62A5">
      <w:pPr>
        <w:pStyle w:val="ListBullet"/>
      </w:pPr>
      <w:r w:rsidRPr="00DD30C1">
        <w:t xml:space="preserve">TID dosing means adherence to the </w:t>
      </w:r>
      <w:r w:rsidRPr="000F62A5">
        <w:t>scheduled</w:t>
      </w:r>
      <w:r w:rsidR="000F62A5">
        <w:t xml:space="preserve"> dosing is more likely;</w:t>
      </w:r>
    </w:p>
    <w:p w:rsidR="00C45A8C" w:rsidRPr="00DD30C1" w:rsidRDefault="00C45A8C" w:rsidP="000F62A5">
      <w:pPr>
        <w:pStyle w:val="ListBullet"/>
      </w:pPr>
      <w:r w:rsidRPr="00DD30C1">
        <w:t xml:space="preserve">High ocular levels well above the MIC for the common bacteria </w:t>
      </w:r>
      <w:r w:rsidRPr="000F62A5">
        <w:t>causing</w:t>
      </w:r>
      <w:r w:rsidR="000F62A5">
        <w:t xml:space="preserve"> conjunctivitis;</w:t>
      </w:r>
    </w:p>
    <w:p w:rsidR="00C45A8C" w:rsidRPr="00DD30C1" w:rsidRDefault="00C45A8C" w:rsidP="000F62A5">
      <w:pPr>
        <w:pStyle w:val="ListBullet"/>
      </w:pPr>
      <w:r w:rsidRPr="00DD30C1">
        <w:t xml:space="preserve">Nil meaningful systemic absorption therefore the risk of inducing potential quinolone resistance is low, coupled with the fact that resistance to </w:t>
      </w:r>
      <w:proofErr w:type="spellStart"/>
      <w:r w:rsidRPr="00DD30C1">
        <w:t>besifloxacin</w:t>
      </w:r>
      <w:proofErr w:type="spellEnd"/>
      <w:r w:rsidRPr="00DD30C1">
        <w:t xml:space="preserve"> probably requires at least two</w:t>
      </w:r>
      <w:r>
        <w:t xml:space="preserve"> </w:t>
      </w:r>
      <w:r w:rsidR="000F62A5">
        <w:t>steps.</w:t>
      </w:r>
    </w:p>
    <w:p w:rsidR="00C45A8C" w:rsidRPr="005C2B74" w:rsidRDefault="00C45A8C" w:rsidP="000F62A5">
      <w:pPr>
        <w:pStyle w:val="Heading3"/>
      </w:pPr>
      <w:bookmarkStart w:id="288" w:name="_Toc236802596"/>
      <w:bookmarkStart w:id="289" w:name="_Toc241374334"/>
      <w:bookmarkStart w:id="290" w:name="_Ref272160964"/>
      <w:bookmarkStart w:id="291" w:name="_Toc272414694"/>
      <w:bookmarkStart w:id="292" w:name="_Toc290888558"/>
      <w:bookmarkStart w:id="293" w:name="_Toc353192522"/>
      <w:bookmarkStart w:id="294" w:name="_Toc382908474"/>
      <w:r w:rsidRPr="005C2B74">
        <w:t xml:space="preserve">First </w:t>
      </w:r>
      <w:r w:rsidRPr="000F62A5">
        <w:t>round</w:t>
      </w:r>
      <w:r w:rsidRPr="005C2B74">
        <w:t xml:space="preserve"> assessment of risks</w:t>
      </w:r>
      <w:bookmarkEnd w:id="288"/>
      <w:bookmarkEnd w:id="289"/>
      <w:bookmarkEnd w:id="290"/>
      <w:bookmarkEnd w:id="291"/>
      <w:bookmarkEnd w:id="292"/>
      <w:bookmarkEnd w:id="293"/>
      <w:bookmarkEnd w:id="294"/>
    </w:p>
    <w:p w:rsidR="00C45A8C" w:rsidRPr="00DD30C1" w:rsidRDefault="00C45A8C" w:rsidP="000F62A5">
      <w:r w:rsidRPr="00DD30C1">
        <w:t xml:space="preserve">The risks of </w:t>
      </w:r>
      <w:proofErr w:type="spellStart"/>
      <w:r w:rsidRPr="00DD30C1">
        <w:t>Besiv</w:t>
      </w:r>
      <w:r w:rsidR="000F62A5">
        <w:t>ance</w:t>
      </w:r>
      <w:proofErr w:type="spellEnd"/>
      <w:r w:rsidR="000F62A5">
        <w:t xml:space="preserve"> in the proposed usage are:</w:t>
      </w:r>
    </w:p>
    <w:p w:rsidR="00C45A8C" w:rsidRPr="00DD30C1" w:rsidRDefault="00C45A8C" w:rsidP="000F62A5">
      <w:pPr>
        <w:pStyle w:val="ListBullet"/>
      </w:pPr>
      <w:r w:rsidRPr="00DD30C1">
        <w:t xml:space="preserve">Use for conjunctivitis that is not bacterial in </w:t>
      </w:r>
      <w:r w:rsidRPr="000F62A5">
        <w:t>aetiology</w:t>
      </w:r>
      <w:r w:rsidR="000F62A5">
        <w:t>;</w:t>
      </w:r>
    </w:p>
    <w:p w:rsidR="00C45A8C" w:rsidRPr="00DD30C1" w:rsidRDefault="00C45A8C" w:rsidP="000F62A5">
      <w:pPr>
        <w:pStyle w:val="ListBullet"/>
      </w:pPr>
      <w:r w:rsidRPr="00DD30C1">
        <w:t xml:space="preserve">Inappropriate use for deeper (more than </w:t>
      </w:r>
      <w:proofErr w:type="spellStart"/>
      <w:r w:rsidRPr="00DD30C1">
        <w:t>conjuctival</w:t>
      </w:r>
      <w:proofErr w:type="spellEnd"/>
      <w:r w:rsidRPr="00DD30C1">
        <w:t>) bacterial</w:t>
      </w:r>
      <w:r>
        <w:t xml:space="preserve"> </w:t>
      </w:r>
      <w:r w:rsidRPr="00DD30C1">
        <w:t>infections of the eye;</w:t>
      </w:r>
    </w:p>
    <w:p w:rsidR="00C45A8C" w:rsidRPr="00DD30C1" w:rsidRDefault="00C45A8C" w:rsidP="000F62A5">
      <w:pPr>
        <w:pStyle w:val="ListBullet"/>
      </w:pPr>
      <w:r w:rsidRPr="00DD30C1">
        <w:t xml:space="preserve">Development of microbial resistance at the local level or treatment failure because </w:t>
      </w:r>
      <w:r w:rsidRPr="000F62A5">
        <w:t>patterns</w:t>
      </w:r>
      <w:r w:rsidRPr="00DD30C1">
        <w:t xml:space="preserve"> of global antibiotic resistance are changin</w:t>
      </w:r>
      <w:r>
        <w:t xml:space="preserve">g rapidly, such that organisms </w:t>
      </w:r>
      <w:r w:rsidRPr="00DD30C1">
        <w:t>currently sensitive t</w:t>
      </w:r>
      <w:r>
        <w:t>o this agent are no longer similarly sensitive</w:t>
      </w:r>
      <w:r w:rsidRPr="00DD30C1">
        <w:t xml:space="preserve"> in the future. Some of these issues may be compounded by the fact that a swab for bacterial and viral culture may not be r</w:t>
      </w:r>
      <w:r>
        <w:t>outine in clinical practice, that is,</w:t>
      </w:r>
      <w:r w:rsidRPr="00DD30C1">
        <w:t xml:space="preserve"> the diagnosis is made clinically and swabs are only performed if there is a clinical failure to empiric antimicrobial therapy.</w:t>
      </w:r>
    </w:p>
    <w:p w:rsidR="00C45A8C" w:rsidRPr="00DD30C1" w:rsidRDefault="00C45A8C" w:rsidP="000F62A5">
      <w:r w:rsidRPr="00DD30C1">
        <w:t xml:space="preserve">However, these risks are not unique to </w:t>
      </w:r>
      <w:proofErr w:type="spellStart"/>
      <w:r w:rsidRPr="00DD30C1">
        <w:t>Besivance</w:t>
      </w:r>
      <w:proofErr w:type="spellEnd"/>
      <w:r w:rsidRPr="00DD30C1">
        <w:t xml:space="preserve">, they apply equally to this product and all currently approved topical antibiotics </w:t>
      </w:r>
      <w:r w:rsidR="000F62A5">
        <w:t>for ocular use in this setting.</w:t>
      </w:r>
    </w:p>
    <w:p w:rsidR="00C45A8C" w:rsidRPr="005C2B74" w:rsidRDefault="00C45A8C" w:rsidP="000F62A5">
      <w:pPr>
        <w:pStyle w:val="Heading3"/>
      </w:pPr>
      <w:bookmarkStart w:id="295" w:name="_Toc236802597"/>
      <w:bookmarkStart w:id="296" w:name="_Toc241374335"/>
      <w:bookmarkStart w:id="297" w:name="_Toc272414695"/>
      <w:bookmarkStart w:id="298" w:name="_Toc290888559"/>
      <w:bookmarkStart w:id="299" w:name="_Toc353192523"/>
      <w:bookmarkStart w:id="300" w:name="_Toc382908475"/>
      <w:r w:rsidRPr="005C2B74">
        <w:t>First round assessment of benefit-risk balance</w:t>
      </w:r>
      <w:bookmarkEnd w:id="295"/>
      <w:bookmarkEnd w:id="296"/>
      <w:bookmarkEnd w:id="297"/>
      <w:bookmarkEnd w:id="298"/>
      <w:bookmarkEnd w:id="299"/>
      <w:bookmarkEnd w:id="300"/>
    </w:p>
    <w:p w:rsidR="00C45A8C" w:rsidRDefault="00C45A8C" w:rsidP="000F62A5">
      <w:r w:rsidRPr="00DD30C1">
        <w:t xml:space="preserve">The benefit-risk balance of 0.6% </w:t>
      </w:r>
      <w:proofErr w:type="spellStart"/>
      <w:r w:rsidRPr="00DD30C1">
        <w:t>Besifloxacin</w:t>
      </w:r>
      <w:proofErr w:type="spellEnd"/>
      <w:r w:rsidRPr="00DD30C1">
        <w:t xml:space="preserve"> hydro</w:t>
      </w:r>
      <w:r>
        <w:t>chloride ophthalmic (</w:t>
      </w:r>
      <w:proofErr w:type="spellStart"/>
      <w:r>
        <w:t>Besivance</w:t>
      </w:r>
      <w:proofErr w:type="spellEnd"/>
      <w:r w:rsidRPr="00DD30C1">
        <w:t>), given the proposed usage, is favourable for the following reasons</w:t>
      </w:r>
      <w:r>
        <w:t xml:space="preserve">: </w:t>
      </w:r>
      <w:r w:rsidRPr="00DD30C1">
        <w:t xml:space="preserve">equivalent clinical and microbiological efficacy to a licensed topical antibiotic to all common bacterial </w:t>
      </w:r>
      <w:r>
        <w:t>(Gram +</w:t>
      </w:r>
      <w:proofErr w:type="spellStart"/>
      <w:r>
        <w:t>ve</w:t>
      </w:r>
      <w:proofErr w:type="spellEnd"/>
      <w:r>
        <w:t xml:space="preserve"> and Gram -</w:t>
      </w:r>
      <w:proofErr w:type="spellStart"/>
      <w:r w:rsidRPr="00DD30C1">
        <w:t>ve</w:t>
      </w:r>
      <w:proofErr w:type="spellEnd"/>
      <w:r w:rsidRPr="00DD30C1">
        <w:t xml:space="preserve">) causes of conjunctivitis with minimal safety concerns revealed through the development programme. Potential for enhanced adherence as </w:t>
      </w:r>
      <w:proofErr w:type="spellStart"/>
      <w:r w:rsidRPr="00DD30C1">
        <w:t>Besivance</w:t>
      </w:r>
      <w:proofErr w:type="spellEnd"/>
      <w:r w:rsidRPr="00DD30C1">
        <w:t xml:space="preserve"> administered </w:t>
      </w:r>
      <w:r w:rsidRPr="00DD30C1">
        <w:rPr>
          <w:b/>
        </w:rPr>
        <w:t>TID</w:t>
      </w:r>
      <w:r w:rsidRPr="00DD30C1">
        <w:t xml:space="preserve"> (as o</w:t>
      </w:r>
      <w:r>
        <w:t>pposed to more frequently). The clinical evaluator</w:t>
      </w:r>
      <w:r w:rsidRPr="00DD30C1">
        <w:t xml:space="preserve"> agree</w:t>
      </w:r>
      <w:r>
        <w:t>s</w:t>
      </w:r>
      <w:r w:rsidRPr="00DD30C1">
        <w:t xml:space="preserve"> that the recommended course should be 7 days of treatment even though the clinical trials of this agent used 5 day dosing. The rationale is that the drug is clearly very safe and this additional two days of treatment will ensure the “later” responders are adequately treated. Moreover, microbial resistance did not emerge during the efficacy studies of </w:t>
      </w:r>
      <w:proofErr w:type="spellStart"/>
      <w:r w:rsidRPr="00DD30C1">
        <w:t>besifloxacin</w:t>
      </w:r>
      <w:proofErr w:type="spellEnd"/>
      <w:r w:rsidRPr="00DD30C1">
        <w:t xml:space="preserve"> or its comparator, </w:t>
      </w:r>
      <w:proofErr w:type="spellStart"/>
      <w:r w:rsidRPr="00DD30C1">
        <w:t>moxifloxacin</w:t>
      </w:r>
      <w:proofErr w:type="spellEnd"/>
      <w:r w:rsidRPr="00DD30C1">
        <w:t>.</w:t>
      </w:r>
      <w:r>
        <w:t xml:space="preserve"> </w:t>
      </w:r>
      <w:r w:rsidRPr="00DD30C1">
        <w:t xml:space="preserve">However, this will need to be </w:t>
      </w:r>
      <w:r>
        <w:t>monitored as part of post marke</w:t>
      </w:r>
      <w:r w:rsidRPr="00DD30C1">
        <w:t>ting surveillance. A key strategy in minimising antibiotic resistance is to m</w:t>
      </w:r>
      <w:r>
        <w:t xml:space="preserve">inimise inappropriate use (that is, </w:t>
      </w:r>
      <w:r w:rsidRPr="00DD30C1">
        <w:t xml:space="preserve">for viral conjunctivitis), perform </w:t>
      </w:r>
      <w:r>
        <w:t>m</w:t>
      </w:r>
      <w:r w:rsidRPr="007E2024">
        <w:t xml:space="preserve">icroscopy, culture and sensitivity </w:t>
      </w:r>
      <w:r>
        <w:t>(</w:t>
      </w:r>
      <w:r w:rsidRPr="00DD30C1">
        <w:t>M,</w:t>
      </w:r>
      <w:r>
        <w:t xml:space="preserve"> </w:t>
      </w:r>
      <w:r w:rsidRPr="00DD30C1">
        <w:t>C</w:t>
      </w:r>
      <w:r>
        <w:t xml:space="preserve"> </w:t>
      </w:r>
      <w:r w:rsidRPr="00DD30C1">
        <w:t>&amp;</w:t>
      </w:r>
      <w:r>
        <w:t xml:space="preserve"> </w:t>
      </w:r>
      <w:r w:rsidRPr="00DD30C1">
        <w:t>S</w:t>
      </w:r>
      <w:r>
        <w:t>)</w:t>
      </w:r>
      <w:r w:rsidRPr="00DD30C1">
        <w:t xml:space="preserve"> </w:t>
      </w:r>
      <w:r>
        <w:t xml:space="preserve">test </w:t>
      </w:r>
      <w:r w:rsidRPr="00DD30C1">
        <w:t>of purulent material, switch rapidly to another antibiotic if resistance is detected, ensure patients understand exactly how to administer the agent and adhere fully with the dosing schedule (TID for 7 days) and last, ensure exposure is not extended beyond 7 days.</w:t>
      </w:r>
    </w:p>
    <w:p w:rsidR="00C22678" w:rsidRDefault="00C22678" w:rsidP="000F62A5">
      <w:pPr>
        <w:pStyle w:val="Heading2"/>
      </w:pPr>
      <w:bookmarkStart w:id="301" w:name="_Toc382908476"/>
      <w:r>
        <w:t xml:space="preserve">First round </w:t>
      </w:r>
      <w:r w:rsidRPr="000F62A5">
        <w:t>recommendation</w:t>
      </w:r>
      <w:r>
        <w:t xml:space="preserve"> regarding authorisation</w:t>
      </w:r>
      <w:bookmarkEnd w:id="301"/>
    </w:p>
    <w:p w:rsidR="00CC2A21" w:rsidRPr="005C2B74" w:rsidRDefault="00CC2A21" w:rsidP="000F62A5">
      <w:r>
        <w:t xml:space="preserve">The clinical evaluator </w:t>
      </w:r>
      <w:r w:rsidRPr="005C2B74">
        <w:t>recommend</w:t>
      </w:r>
      <w:r>
        <w:t>s</w:t>
      </w:r>
      <w:r w:rsidRPr="005C2B74">
        <w:t xml:space="preserve"> approval of this drug for the indication</w:t>
      </w:r>
      <w:r w:rsidR="000F62A5">
        <w:t xml:space="preserve"> listed in the PI as it stands.</w:t>
      </w:r>
    </w:p>
    <w:p w:rsidR="00C22678" w:rsidRDefault="00C22678" w:rsidP="00C54BDC">
      <w:pPr>
        <w:pStyle w:val="Heading2"/>
      </w:pPr>
      <w:bookmarkStart w:id="302" w:name="_Toc382908477"/>
      <w:r>
        <w:lastRenderedPageBreak/>
        <w:t>Clinical questions</w:t>
      </w:r>
      <w:bookmarkEnd w:id="302"/>
    </w:p>
    <w:p w:rsidR="00CC2A21" w:rsidRPr="005C2B74" w:rsidRDefault="00CC2A21" w:rsidP="00C54BDC">
      <w:r>
        <w:t>None; the clinical evaluator is s</w:t>
      </w:r>
      <w:r w:rsidRPr="005C2B74">
        <w:t xml:space="preserve">atisfied with the scope </w:t>
      </w:r>
      <w:r>
        <w:t xml:space="preserve">of this clinical application as </w:t>
      </w:r>
      <w:r w:rsidRPr="005C2B74">
        <w:t>submitted.</w:t>
      </w:r>
    </w:p>
    <w:p w:rsidR="00C618F7" w:rsidRDefault="00C618F7" w:rsidP="00C54BDC">
      <w:pPr>
        <w:pStyle w:val="Heading2"/>
      </w:pPr>
      <w:bookmarkStart w:id="303" w:name="_Toc382908478"/>
      <w:r>
        <w:t>References</w:t>
      </w:r>
      <w:bookmarkEnd w:id="303"/>
    </w:p>
    <w:p w:rsidR="00AA6AE6" w:rsidRPr="00AA6AE6" w:rsidRDefault="00AA6AE6" w:rsidP="00C54BDC">
      <w:pPr>
        <w:pStyle w:val="Numberbullet0"/>
        <w:numPr>
          <w:ilvl w:val="0"/>
          <w:numId w:val="48"/>
        </w:numPr>
      </w:pPr>
      <w:r w:rsidRPr="00AA6AE6">
        <w:t xml:space="preserve">Allen GP, et al. In vitro </w:t>
      </w:r>
      <w:r w:rsidRPr="00C54BDC">
        <w:t>activities</w:t>
      </w:r>
      <w:r w:rsidRPr="00AA6AE6">
        <w:t xml:space="preserve"> of mutant prevention </w:t>
      </w:r>
      <w:proofErr w:type="spellStart"/>
      <w:r w:rsidRPr="00AA6AE6">
        <w:t>concentrationtargeted</w:t>
      </w:r>
      <w:proofErr w:type="spellEnd"/>
      <w:r w:rsidRPr="00AA6AE6">
        <w:t xml:space="preserve"> concentrations of </w:t>
      </w:r>
      <w:proofErr w:type="spellStart"/>
      <w:r w:rsidRPr="00AA6AE6">
        <w:t>fluoroquinolones</w:t>
      </w:r>
      <w:proofErr w:type="spellEnd"/>
      <w:r w:rsidRPr="00AA6AE6">
        <w:t xml:space="preserve"> against Staphylococcus </w:t>
      </w:r>
      <w:proofErr w:type="spellStart"/>
      <w:r w:rsidRPr="00AA6AE6">
        <w:t>aureus</w:t>
      </w:r>
      <w:proofErr w:type="spellEnd"/>
      <w:r w:rsidRPr="00AA6AE6">
        <w:t xml:space="preserve"> in a </w:t>
      </w:r>
      <w:proofErr w:type="spellStart"/>
      <w:r w:rsidRPr="00AA6AE6">
        <w:t>pharmacodynamic</w:t>
      </w:r>
      <w:proofErr w:type="spellEnd"/>
      <w:r w:rsidRPr="00AA6AE6">
        <w:t xml:space="preserve"> model. </w:t>
      </w:r>
      <w:proofErr w:type="spellStart"/>
      <w:r w:rsidRPr="00AA6AE6">
        <w:t>Int</w:t>
      </w:r>
      <w:proofErr w:type="spellEnd"/>
      <w:r w:rsidRPr="00AA6AE6">
        <w:t xml:space="preserve"> J </w:t>
      </w:r>
      <w:proofErr w:type="spellStart"/>
      <w:r w:rsidRPr="00AA6AE6">
        <w:t>Antimicrob</w:t>
      </w:r>
      <w:proofErr w:type="spellEnd"/>
      <w:r w:rsidRPr="00AA6AE6">
        <w:t xml:space="preserve"> Agents. 2004 Aug; 24(2):150-60.</w:t>
      </w:r>
    </w:p>
    <w:p w:rsidR="00AA6AE6" w:rsidRPr="00AA6AE6" w:rsidRDefault="00AA6AE6" w:rsidP="00C54BDC">
      <w:pPr>
        <w:pStyle w:val="Numberbullet0"/>
      </w:pPr>
      <w:proofErr w:type="spellStart"/>
      <w:r w:rsidRPr="00AA6AE6">
        <w:t>Bergogne-Bérézin</w:t>
      </w:r>
      <w:proofErr w:type="spellEnd"/>
      <w:r w:rsidRPr="00AA6AE6">
        <w:t xml:space="preserve"> E. Clinical role of protein binding of </w:t>
      </w:r>
      <w:proofErr w:type="spellStart"/>
      <w:r w:rsidRPr="00AA6AE6">
        <w:t>quinolones.Clin</w:t>
      </w:r>
      <w:proofErr w:type="spellEnd"/>
      <w:r w:rsidRPr="00AA6AE6">
        <w:t xml:space="preserve"> </w:t>
      </w:r>
      <w:proofErr w:type="spellStart"/>
      <w:r w:rsidRPr="00AA6AE6">
        <w:t>Pharmacokinet</w:t>
      </w:r>
      <w:proofErr w:type="spellEnd"/>
      <w:r w:rsidRPr="00AA6AE6">
        <w:t>. 2002; 41(10):741-50.</w:t>
      </w:r>
    </w:p>
    <w:p w:rsidR="00AA6AE6" w:rsidRPr="00AA6AE6" w:rsidRDefault="00AA6AE6" w:rsidP="00C54BDC">
      <w:pPr>
        <w:pStyle w:val="Numberbullet0"/>
      </w:pPr>
      <w:proofErr w:type="spellStart"/>
      <w:r w:rsidRPr="00AA6AE6">
        <w:t>Bertino</w:t>
      </w:r>
      <w:proofErr w:type="spellEnd"/>
      <w:r w:rsidRPr="00AA6AE6">
        <w:t xml:space="preserve"> JS. Impact of </w:t>
      </w:r>
      <w:r w:rsidRPr="00C54BDC">
        <w:t>antibiotic</w:t>
      </w:r>
      <w:r w:rsidRPr="00AA6AE6">
        <w:t xml:space="preserve"> </w:t>
      </w:r>
      <w:proofErr w:type="spellStart"/>
      <w:r w:rsidRPr="00AA6AE6">
        <w:t>reistance</w:t>
      </w:r>
      <w:proofErr w:type="spellEnd"/>
      <w:r w:rsidRPr="00AA6AE6">
        <w:t xml:space="preserve"> in the management of ocular infections: the role of current and future antibiotics. Clinical Ophthalmology 2009; 3:507-521.</w:t>
      </w:r>
    </w:p>
    <w:p w:rsidR="00AA6AE6" w:rsidRPr="00AA6AE6" w:rsidRDefault="00AA6AE6" w:rsidP="00C54BDC">
      <w:pPr>
        <w:pStyle w:val="Numberbullet0"/>
      </w:pPr>
      <w:r w:rsidRPr="00AA6AE6">
        <w:t xml:space="preserve">Brook I, et al. </w:t>
      </w:r>
      <w:r w:rsidRPr="00C54BDC">
        <w:t>Anaerobic</w:t>
      </w:r>
      <w:r w:rsidRPr="00AA6AE6">
        <w:t xml:space="preserve"> and anaerobic bacteriology of acute conjunctivitis. Ann </w:t>
      </w:r>
      <w:proofErr w:type="spellStart"/>
      <w:r w:rsidRPr="00AA6AE6">
        <w:t>Ophthalmol</w:t>
      </w:r>
      <w:proofErr w:type="spellEnd"/>
      <w:r w:rsidRPr="00AA6AE6">
        <w:t xml:space="preserve"> 1979: March: 389-393.</w:t>
      </w:r>
    </w:p>
    <w:p w:rsidR="00AA6AE6" w:rsidRPr="00AA6AE6" w:rsidRDefault="00AA6AE6" w:rsidP="005703B2">
      <w:pPr>
        <w:pStyle w:val="Numberbullet0"/>
      </w:pPr>
      <w:proofErr w:type="spellStart"/>
      <w:r w:rsidRPr="00AA6AE6">
        <w:t>Cavuoto</w:t>
      </w:r>
      <w:proofErr w:type="spellEnd"/>
      <w:r w:rsidRPr="00AA6AE6">
        <w:t xml:space="preserve"> K, et al. Update on bacterial conjunctivitis in South Florida. Ophthalmology 2008</w:t>
      </w:r>
      <w:proofErr w:type="gramStart"/>
      <w:r w:rsidRPr="00AA6AE6">
        <w:t>;115:51</w:t>
      </w:r>
      <w:proofErr w:type="gramEnd"/>
      <w:r w:rsidRPr="00AA6AE6">
        <w:t>-6.</w:t>
      </w:r>
    </w:p>
    <w:p w:rsidR="00AA6AE6" w:rsidRPr="00AA6AE6" w:rsidRDefault="00AA6AE6" w:rsidP="00C54BDC">
      <w:pPr>
        <w:pStyle w:val="Numberbullet0"/>
      </w:pPr>
      <w:r w:rsidRPr="00AA6AE6">
        <w:t xml:space="preserve">Craig WA, Ebert SC. </w:t>
      </w:r>
      <w:r w:rsidRPr="00C54BDC">
        <w:t>Protein</w:t>
      </w:r>
      <w:r w:rsidRPr="00AA6AE6">
        <w:t xml:space="preserve"> binding and its significance in antibacterial therapy. Infect Dis </w:t>
      </w:r>
      <w:proofErr w:type="spellStart"/>
      <w:r w:rsidRPr="00AA6AE6">
        <w:t>Clin</w:t>
      </w:r>
      <w:proofErr w:type="spellEnd"/>
      <w:r w:rsidRPr="00AA6AE6">
        <w:t xml:space="preserve"> North Am. 1989 Sep</w:t>
      </w:r>
      <w:proofErr w:type="gramStart"/>
      <w:r w:rsidRPr="00AA6AE6">
        <w:t>;3</w:t>
      </w:r>
      <w:proofErr w:type="gramEnd"/>
      <w:r w:rsidRPr="00AA6AE6">
        <w:t>(3):407-14.</w:t>
      </w:r>
    </w:p>
    <w:p w:rsidR="00AA6AE6" w:rsidRPr="00AA6AE6" w:rsidRDefault="00AA6AE6" w:rsidP="00C54BDC">
      <w:pPr>
        <w:pStyle w:val="Numberbullet0"/>
      </w:pPr>
      <w:proofErr w:type="spellStart"/>
      <w:r w:rsidRPr="00AA6AE6">
        <w:t>Diamant</w:t>
      </w:r>
      <w:proofErr w:type="spellEnd"/>
      <w:r w:rsidRPr="00AA6AE6">
        <w:t xml:space="preserve"> JI, Hwang DG. Therapy for bacterial conjunctivitis. </w:t>
      </w:r>
      <w:proofErr w:type="spellStart"/>
      <w:r w:rsidRPr="00AA6AE6">
        <w:t>Ophthalmol</w:t>
      </w:r>
      <w:proofErr w:type="spellEnd"/>
      <w:r w:rsidRPr="00AA6AE6">
        <w:t xml:space="preserve"> </w:t>
      </w:r>
      <w:proofErr w:type="spellStart"/>
      <w:r w:rsidRPr="00AA6AE6">
        <w:t>Clin</w:t>
      </w:r>
      <w:proofErr w:type="spellEnd"/>
      <w:r w:rsidRPr="00AA6AE6">
        <w:t xml:space="preserve"> North Am. 1999</w:t>
      </w:r>
      <w:proofErr w:type="gramStart"/>
      <w:r w:rsidRPr="00AA6AE6">
        <w:t>;12</w:t>
      </w:r>
      <w:proofErr w:type="gramEnd"/>
      <w:r w:rsidRPr="00AA6AE6">
        <w:t>(1):15-20.</w:t>
      </w:r>
    </w:p>
    <w:p w:rsidR="00AA6AE6" w:rsidRPr="00AA6AE6" w:rsidRDefault="00AA6AE6" w:rsidP="00C54BDC">
      <w:pPr>
        <w:pStyle w:val="Numberbullet0"/>
      </w:pPr>
      <w:proofErr w:type="spellStart"/>
      <w:r w:rsidRPr="00AA6AE6">
        <w:t>Drusano</w:t>
      </w:r>
      <w:proofErr w:type="spellEnd"/>
      <w:r w:rsidRPr="00AA6AE6">
        <w:t xml:space="preserve"> GL. Role of </w:t>
      </w:r>
      <w:r w:rsidRPr="00C54BDC">
        <w:t>pharmacokinetics</w:t>
      </w:r>
      <w:r w:rsidRPr="00AA6AE6">
        <w:t xml:space="preserve"> in the outcome of infections. </w:t>
      </w:r>
      <w:proofErr w:type="spellStart"/>
      <w:r w:rsidRPr="00AA6AE6">
        <w:t>AntimicrobAgents</w:t>
      </w:r>
      <w:proofErr w:type="spellEnd"/>
      <w:r w:rsidRPr="00AA6AE6">
        <w:t xml:space="preserve"> </w:t>
      </w:r>
      <w:proofErr w:type="spellStart"/>
      <w:r w:rsidRPr="00AA6AE6">
        <w:t>Chemother</w:t>
      </w:r>
      <w:proofErr w:type="spellEnd"/>
      <w:r w:rsidRPr="00AA6AE6">
        <w:t>. 1988 Mar</w:t>
      </w:r>
      <w:proofErr w:type="gramStart"/>
      <w:r w:rsidRPr="00AA6AE6">
        <w:t>;32</w:t>
      </w:r>
      <w:proofErr w:type="gramEnd"/>
      <w:r w:rsidRPr="00AA6AE6">
        <w:t>(3):289-97.</w:t>
      </w:r>
    </w:p>
    <w:p w:rsidR="00AA6AE6" w:rsidRPr="00AA6AE6" w:rsidRDefault="00AA6AE6" w:rsidP="00C54BDC">
      <w:pPr>
        <w:pStyle w:val="Numberbullet0"/>
      </w:pPr>
      <w:proofErr w:type="spellStart"/>
      <w:r w:rsidRPr="00AA6AE6">
        <w:t>Gigliotti</w:t>
      </w:r>
      <w:proofErr w:type="spellEnd"/>
      <w:r w:rsidRPr="00AA6AE6">
        <w:t xml:space="preserve"> F, et al. </w:t>
      </w:r>
      <w:proofErr w:type="spellStart"/>
      <w:r w:rsidRPr="00C54BDC">
        <w:t>Etiology</w:t>
      </w:r>
      <w:proofErr w:type="spellEnd"/>
      <w:r w:rsidRPr="00AA6AE6">
        <w:t xml:space="preserve"> of acute conjunctivitis in children. J </w:t>
      </w:r>
      <w:proofErr w:type="spellStart"/>
      <w:r w:rsidRPr="00AA6AE6">
        <w:t>Pediatrics</w:t>
      </w:r>
      <w:proofErr w:type="spellEnd"/>
      <w:r w:rsidRPr="00AA6AE6">
        <w:t xml:space="preserve"> 1981</w:t>
      </w:r>
      <w:proofErr w:type="gramStart"/>
      <w:r w:rsidRPr="00AA6AE6">
        <w:t>;98:531</w:t>
      </w:r>
      <w:proofErr w:type="gramEnd"/>
      <w:r w:rsidRPr="00AA6AE6">
        <w:t>-6.</w:t>
      </w:r>
    </w:p>
    <w:p w:rsidR="00AA6AE6" w:rsidRPr="00AA6AE6" w:rsidRDefault="00AA6AE6" w:rsidP="005703B2">
      <w:pPr>
        <w:pStyle w:val="Numberbullet0"/>
      </w:pPr>
      <w:r w:rsidRPr="00AA6AE6">
        <w:t xml:space="preserve">Hammond RW, Edmondson W. Treatment of ocular bacterial infections: an update. J Am </w:t>
      </w:r>
      <w:proofErr w:type="spellStart"/>
      <w:r w:rsidRPr="00AA6AE6">
        <w:t>Optom</w:t>
      </w:r>
      <w:proofErr w:type="spellEnd"/>
      <w:r w:rsidRPr="00AA6AE6">
        <w:t xml:space="preserve"> Assoc. 1997;68(3):178-187</w:t>
      </w:r>
    </w:p>
    <w:p w:rsidR="00AA6AE6" w:rsidRPr="00AA6AE6" w:rsidRDefault="00AA6AE6" w:rsidP="00C54BDC">
      <w:pPr>
        <w:pStyle w:val="Numberbullet0"/>
      </w:pPr>
      <w:proofErr w:type="spellStart"/>
      <w:r w:rsidRPr="00AA6AE6">
        <w:t>Hermsen</w:t>
      </w:r>
      <w:proofErr w:type="spellEnd"/>
      <w:r w:rsidRPr="00AA6AE6">
        <w:t xml:space="preserve"> ED, et al. </w:t>
      </w:r>
      <w:r w:rsidRPr="00C54BDC">
        <w:t>Mutant</w:t>
      </w:r>
      <w:r w:rsidRPr="00AA6AE6">
        <w:t xml:space="preserve"> prevention concentrations of ABT-492, levofloxacin, </w:t>
      </w:r>
      <w:proofErr w:type="spellStart"/>
      <w:r w:rsidRPr="00AA6AE6">
        <w:t>moxifloxacin</w:t>
      </w:r>
      <w:proofErr w:type="spellEnd"/>
      <w:r w:rsidRPr="00AA6AE6">
        <w:t xml:space="preserve">, and </w:t>
      </w:r>
      <w:proofErr w:type="spellStart"/>
      <w:r w:rsidRPr="00AA6AE6">
        <w:t>gatifloxacin</w:t>
      </w:r>
      <w:proofErr w:type="spellEnd"/>
      <w:r w:rsidRPr="00AA6AE6">
        <w:t xml:space="preserve"> against three common respiratory pathogens. </w:t>
      </w:r>
      <w:proofErr w:type="spellStart"/>
      <w:r w:rsidRPr="00AA6AE6">
        <w:t>Antimicrob</w:t>
      </w:r>
      <w:proofErr w:type="spellEnd"/>
      <w:r w:rsidRPr="00AA6AE6">
        <w:t xml:space="preserve"> Agents </w:t>
      </w:r>
      <w:proofErr w:type="spellStart"/>
      <w:r w:rsidRPr="00AA6AE6">
        <w:t>Chemother</w:t>
      </w:r>
      <w:proofErr w:type="spellEnd"/>
      <w:r w:rsidRPr="00AA6AE6">
        <w:t>. 2005 Apr; 49(4):1633-5.</w:t>
      </w:r>
    </w:p>
    <w:p w:rsidR="00AA6AE6" w:rsidRPr="00AA6AE6" w:rsidRDefault="00AA6AE6" w:rsidP="00C54BDC">
      <w:pPr>
        <w:pStyle w:val="Numberbullet0"/>
      </w:pPr>
      <w:r w:rsidRPr="00AA6AE6">
        <w:t xml:space="preserve">Katz HR, et al, </w:t>
      </w:r>
      <w:proofErr w:type="spellStart"/>
      <w:r w:rsidRPr="00C54BDC">
        <w:t>Moxifloxacin</w:t>
      </w:r>
      <w:proofErr w:type="spellEnd"/>
      <w:r w:rsidRPr="00AA6AE6">
        <w:t xml:space="preserve"> Study Group. </w:t>
      </w:r>
      <w:proofErr w:type="spellStart"/>
      <w:r w:rsidRPr="00AA6AE6">
        <w:t>Moxifloxacin</w:t>
      </w:r>
      <w:proofErr w:type="spellEnd"/>
      <w:r w:rsidRPr="00AA6AE6">
        <w:t xml:space="preserve"> Ophthalmic Solution 0.5% hastens cure and eradicates pathogens of bacterial conjunctivitis in </w:t>
      </w:r>
      <w:proofErr w:type="spellStart"/>
      <w:r w:rsidRPr="00AA6AE6">
        <w:t>pediatric</w:t>
      </w:r>
      <w:proofErr w:type="spellEnd"/>
      <w:r w:rsidRPr="00AA6AE6">
        <w:t xml:space="preserve"> and adult subjects. ARVO Abstract 2003.</w:t>
      </w:r>
    </w:p>
    <w:p w:rsidR="00AA6AE6" w:rsidRPr="00AA6AE6" w:rsidRDefault="00AA6AE6" w:rsidP="00C54BDC">
      <w:pPr>
        <w:pStyle w:val="Numberbullet0"/>
      </w:pPr>
      <w:proofErr w:type="spellStart"/>
      <w:r w:rsidRPr="00AA6AE6">
        <w:t>Karpecki</w:t>
      </w:r>
      <w:proofErr w:type="spellEnd"/>
      <w:r w:rsidRPr="00AA6AE6">
        <w:t xml:space="preserve"> P, </w:t>
      </w:r>
      <w:proofErr w:type="spellStart"/>
      <w:r w:rsidRPr="00AA6AE6">
        <w:t>Paterno</w:t>
      </w:r>
      <w:proofErr w:type="spellEnd"/>
      <w:r w:rsidRPr="00AA6AE6">
        <w:t xml:space="preserve"> M and Comstock T. Limitations of Current Antibiotics for the Treatment of Bacterial Conjunctivitis. </w:t>
      </w:r>
      <w:proofErr w:type="spellStart"/>
      <w:r w:rsidRPr="00AA6AE6">
        <w:t>Optom</w:t>
      </w:r>
      <w:proofErr w:type="spellEnd"/>
      <w:r w:rsidRPr="00AA6AE6">
        <w:t xml:space="preserve"> Vis </w:t>
      </w:r>
      <w:proofErr w:type="spellStart"/>
      <w:r w:rsidRPr="00AA6AE6">
        <w:t>Sci</w:t>
      </w:r>
      <w:proofErr w:type="spellEnd"/>
      <w:r w:rsidRPr="00AA6AE6">
        <w:t xml:space="preserve"> 201; 87:908-919.</w:t>
      </w:r>
    </w:p>
    <w:p w:rsidR="00AA6AE6" w:rsidRPr="00AA6AE6" w:rsidRDefault="00AA6AE6" w:rsidP="00C54BDC">
      <w:pPr>
        <w:pStyle w:val="Numberbullet0"/>
      </w:pPr>
      <w:r w:rsidRPr="00AA6AE6">
        <w:t xml:space="preserve">Leeming JP. </w:t>
      </w:r>
      <w:r w:rsidRPr="00C54BDC">
        <w:t>Treatment</w:t>
      </w:r>
      <w:r w:rsidRPr="00AA6AE6">
        <w:t xml:space="preserve"> of ocular infections with topical </w:t>
      </w:r>
      <w:proofErr w:type="spellStart"/>
      <w:r w:rsidRPr="00AA6AE6">
        <w:t>antibacterials</w:t>
      </w:r>
      <w:proofErr w:type="spellEnd"/>
      <w:r w:rsidRPr="00AA6AE6">
        <w:t xml:space="preserve">. </w:t>
      </w:r>
      <w:proofErr w:type="spellStart"/>
      <w:r w:rsidRPr="00AA6AE6">
        <w:t>Clin</w:t>
      </w:r>
      <w:proofErr w:type="spellEnd"/>
      <w:r w:rsidRPr="00AA6AE6">
        <w:t xml:space="preserve"> </w:t>
      </w:r>
      <w:proofErr w:type="spellStart"/>
      <w:r w:rsidRPr="00AA6AE6">
        <w:t>Pharmacokinet</w:t>
      </w:r>
      <w:proofErr w:type="spellEnd"/>
      <w:r w:rsidRPr="00AA6AE6">
        <w:t>. 1999</w:t>
      </w:r>
      <w:proofErr w:type="gramStart"/>
      <w:r w:rsidRPr="00AA6AE6">
        <w:t>;37</w:t>
      </w:r>
      <w:proofErr w:type="gramEnd"/>
      <w:r w:rsidRPr="00AA6AE6">
        <w:t>(5):351-360.</w:t>
      </w:r>
    </w:p>
    <w:p w:rsidR="00AA6AE6" w:rsidRPr="00AA6AE6" w:rsidRDefault="00AA6AE6" w:rsidP="00C54BDC">
      <w:pPr>
        <w:pStyle w:val="Numberbullet0"/>
      </w:pPr>
      <w:proofErr w:type="spellStart"/>
      <w:r w:rsidRPr="00AA6AE6">
        <w:t>Merrikin</w:t>
      </w:r>
      <w:proofErr w:type="spellEnd"/>
      <w:r w:rsidRPr="00AA6AE6">
        <w:t xml:space="preserve"> DJ, </w:t>
      </w:r>
      <w:proofErr w:type="spellStart"/>
      <w:r w:rsidRPr="00AA6AE6">
        <w:t>Briant</w:t>
      </w:r>
      <w:proofErr w:type="spellEnd"/>
      <w:r w:rsidRPr="00AA6AE6">
        <w:t xml:space="preserve"> J, </w:t>
      </w:r>
      <w:proofErr w:type="spellStart"/>
      <w:r w:rsidRPr="00C54BDC">
        <w:t>Rolinson</w:t>
      </w:r>
      <w:proofErr w:type="spellEnd"/>
      <w:r w:rsidRPr="00AA6AE6">
        <w:t xml:space="preserve"> GN. Effect of protein binding on antibiotic activity in </w:t>
      </w:r>
      <w:proofErr w:type="spellStart"/>
      <w:r w:rsidRPr="00AA6AE6">
        <w:t>vivo.J</w:t>
      </w:r>
      <w:proofErr w:type="spellEnd"/>
      <w:r w:rsidRPr="00AA6AE6">
        <w:t xml:space="preserve"> </w:t>
      </w:r>
      <w:proofErr w:type="spellStart"/>
      <w:r w:rsidRPr="00AA6AE6">
        <w:t>Antimicrob</w:t>
      </w:r>
      <w:proofErr w:type="spellEnd"/>
      <w:r w:rsidRPr="00AA6AE6">
        <w:t xml:space="preserve"> </w:t>
      </w:r>
      <w:proofErr w:type="spellStart"/>
      <w:r w:rsidRPr="00AA6AE6">
        <w:t>Chemother</w:t>
      </w:r>
      <w:proofErr w:type="spellEnd"/>
      <w:r w:rsidRPr="00AA6AE6">
        <w:t>. 1983 Mar</w:t>
      </w:r>
      <w:proofErr w:type="gramStart"/>
      <w:r w:rsidRPr="00AA6AE6">
        <w:t>;11</w:t>
      </w:r>
      <w:proofErr w:type="gramEnd"/>
      <w:r w:rsidRPr="00AA6AE6">
        <w:t>(3):233-8.</w:t>
      </w:r>
    </w:p>
    <w:p w:rsidR="00AA6AE6" w:rsidRPr="00AA6AE6" w:rsidRDefault="00AA6AE6" w:rsidP="00C54BDC">
      <w:pPr>
        <w:pStyle w:val="Numberbullet0"/>
      </w:pPr>
      <w:r w:rsidRPr="00AA6AE6">
        <w:t xml:space="preserve">Metzler K, et al. </w:t>
      </w:r>
      <w:r w:rsidRPr="00C54BDC">
        <w:t>Comparison</w:t>
      </w:r>
      <w:r w:rsidRPr="00AA6AE6">
        <w:t xml:space="preserve"> of minimal inhibitory and mutant prevention drug concentrations of 4 </w:t>
      </w:r>
      <w:proofErr w:type="spellStart"/>
      <w:r w:rsidRPr="00AA6AE6">
        <w:t>fluoroquinolones</w:t>
      </w:r>
      <w:proofErr w:type="spellEnd"/>
      <w:r w:rsidRPr="00AA6AE6">
        <w:t xml:space="preserve">. </w:t>
      </w:r>
      <w:proofErr w:type="spellStart"/>
      <w:r w:rsidRPr="00AA6AE6">
        <w:t>Int</w:t>
      </w:r>
      <w:proofErr w:type="spellEnd"/>
      <w:r w:rsidRPr="00AA6AE6">
        <w:t xml:space="preserve"> J </w:t>
      </w:r>
      <w:proofErr w:type="spellStart"/>
      <w:r w:rsidRPr="00AA6AE6">
        <w:t>Antimicrob</w:t>
      </w:r>
      <w:proofErr w:type="spellEnd"/>
      <w:r w:rsidRPr="00AA6AE6">
        <w:t xml:space="preserve"> Agents. 2004 Aug; 24 (2):161-7.</w:t>
      </w:r>
    </w:p>
    <w:p w:rsidR="00AA6AE6" w:rsidRPr="00AA6AE6" w:rsidRDefault="00AA6AE6" w:rsidP="00C54BDC">
      <w:pPr>
        <w:pStyle w:val="Numberbullet0"/>
      </w:pPr>
      <w:r w:rsidRPr="00AA6AE6">
        <w:t xml:space="preserve">Nightingale CH. </w:t>
      </w:r>
      <w:r w:rsidRPr="00C54BDC">
        <w:t>Future</w:t>
      </w:r>
      <w:r w:rsidRPr="00AA6AE6">
        <w:t xml:space="preserve"> in vitro and animal studies: development of pharmacokinetic and </w:t>
      </w:r>
      <w:proofErr w:type="spellStart"/>
      <w:r w:rsidRPr="00AA6AE6">
        <w:t>pharmacodynamic</w:t>
      </w:r>
      <w:proofErr w:type="spellEnd"/>
      <w:r w:rsidRPr="00AA6AE6">
        <w:t xml:space="preserve"> efficacy predictors for tissue-based antibiotics. Pharmacotherapy.2005 Dec; 25(12 </w:t>
      </w:r>
      <w:proofErr w:type="spellStart"/>
      <w:r w:rsidRPr="00AA6AE6">
        <w:t>Pt</w:t>
      </w:r>
      <w:proofErr w:type="spellEnd"/>
      <w:r w:rsidRPr="00AA6AE6">
        <w:t xml:space="preserve"> 2):146S-149S.</w:t>
      </w:r>
    </w:p>
    <w:p w:rsidR="00AA6AE6" w:rsidRPr="00AA6AE6" w:rsidRDefault="00AA6AE6" w:rsidP="00C54BDC">
      <w:pPr>
        <w:pStyle w:val="Numberbullet0"/>
      </w:pPr>
      <w:r w:rsidRPr="00AA6AE6">
        <w:t xml:space="preserve">Ono C, Tanaka M: </w:t>
      </w:r>
      <w:r w:rsidRPr="00C54BDC">
        <w:t>Binding</w:t>
      </w:r>
      <w:r w:rsidRPr="00AA6AE6">
        <w:t xml:space="preserve"> characteristics of </w:t>
      </w:r>
      <w:proofErr w:type="spellStart"/>
      <w:r w:rsidRPr="00AA6AE6">
        <w:t>fluoroquinolones</w:t>
      </w:r>
      <w:proofErr w:type="spellEnd"/>
      <w:r w:rsidRPr="00AA6AE6">
        <w:t xml:space="preserve"> to synthetic levodopa melanin. J Pharm </w:t>
      </w:r>
      <w:proofErr w:type="spellStart"/>
      <w:r w:rsidRPr="00AA6AE6">
        <w:t>Pharmacol</w:t>
      </w:r>
      <w:proofErr w:type="spellEnd"/>
      <w:r w:rsidRPr="00AA6AE6">
        <w:t xml:space="preserve"> 2003</w:t>
      </w:r>
      <w:proofErr w:type="gramStart"/>
      <w:r w:rsidRPr="00AA6AE6">
        <w:t>;55:1127</w:t>
      </w:r>
      <w:proofErr w:type="gramEnd"/>
      <w:r w:rsidRPr="00AA6AE6">
        <w:t>-1133.</w:t>
      </w:r>
    </w:p>
    <w:p w:rsidR="00AA6AE6" w:rsidRPr="00AA6AE6" w:rsidRDefault="00AA6AE6" w:rsidP="00C54BDC">
      <w:pPr>
        <w:pStyle w:val="Numberbullet0"/>
      </w:pPr>
      <w:r w:rsidRPr="00AA6AE6">
        <w:lastRenderedPageBreak/>
        <w:t xml:space="preserve">Perez S, et al. Pharmacokinetics and ocular penetration of </w:t>
      </w:r>
      <w:proofErr w:type="spellStart"/>
      <w:r w:rsidRPr="00AA6AE6">
        <w:t>grepafloxacin</w:t>
      </w:r>
      <w:proofErr w:type="spellEnd"/>
      <w:r w:rsidRPr="00AA6AE6">
        <w:t xml:space="preserve"> in albino and pigmented rabbits. J </w:t>
      </w:r>
      <w:proofErr w:type="spellStart"/>
      <w:r w:rsidRPr="00AA6AE6">
        <w:t>Antimicrob</w:t>
      </w:r>
      <w:proofErr w:type="spellEnd"/>
      <w:r w:rsidRPr="00AA6AE6">
        <w:t xml:space="preserve"> </w:t>
      </w:r>
      <w:proofErr w:type="spellStart"/>
      <w:r w:rsidRPr="00AA6AE6">
        <w:t>Chemother</w:t>
      </w:r>
      <w:proofErr w:type="spellEnd"/>
      <w:r w:rsidRPr="00AA6AE6">
        <w:t xml:space="preserve"> 2002</w:t>
      </w:r>
      <w:proofErr w:type="gramStart"/>
      <w:r w:rsidRPr="00AA6AE6">
        <w:t>;50:541</w:t>
      </w:r>
      <w:proofErr w:type="gramEnd"/>
      <w:r w:rsidRPr="00AA6AE6">
        <w:t>-545.</w:t>
      </w:r>
    </w:p>
    <w:p w:rsidR="00AA6AE6" w:rsidRPr="00AA6AE6" w:rsidRDefault="00AA6AE6" w:rsidP="00C54BDC">
      <w:pPr>
        <w:pStyle w:val="Numberbullet0"/>
      </w:pPr>
      <w:proofErr w:type="spellStart"/>
      <w:r w:rsidRPr="00AA6AE6">
        <w:t>Sanfilippo</w:t>
      </w:r>
      <w:proofErr w:type="spellEnd"/>
      <w:r w:rsidRPr="00AA6AE6">
        <w:t xml:space="preserve"> CM, </w:t>
      </w:r>
      <w:proofErr w:type="spellStart"/>
      <w:r w:rsidRPr="00AA6AE6">
        <w:t>Hesje</w:t>
      </w:r>
      <w:proofErr w:type="spellEnd"/>
      <w:r w:rsidRPr="00AA6AE6">
        <w:t xml:space="preserve"> CK, Haas W, Morris T. </w:t>
      </w:r>
      <w:proofErr w:type="spellStart"/>
      <w:r w:rsidRPr="00AA6AE6">
        <w:t>Toposomerase</w:t>
      </w:r>
      <w:proofErr w:type="spellEnd"/>
      <w:r w:rsidRPr="00AA6AE6">
        <w:t xml:space="preserve"> </w:t>
      </w:r>
      <w:r w:rsidRPr="00C54BDC">
        <w:t>Mutations</w:t>
      </w:r>
      <w:r w:rsidRPr="00AA6AE6">
        <w:t xml:space="preserve"> that are Associated with High-level resistance to earlier </w:t>
      </w:r>
      <w:proofErr w:type="spellStart"/>
      <w:r w:rsidRPr="00AA6AE6">
        <w:t>Fluoroquinolones</w:t>
      </w:r>
      <w:proofErr w:type="spellEnd"/>
      <w:r w:rsidRPr="00AA6AE6">
        <w:t xml:space="preserve"> in Staphylococcus </w:t>
      </w:r>
      <w:proofErr w:type="spellStart"/>
      <w:r w:rsidRPr="00AA6AE6">
        <w:t>aureus</w:t>
      </w:r>
      <w:proofErr w:type="spellEnd"/>
      <w:r w:rsidRPr="00AA6AE6">
        <w:t xml:space="preserve"> have less effect on the antibacterial activity of </w:t>
      </w:r>
      <w:proofErr w:type="spellStart"/>
      <w:r w:rsidRPr="00AA6AE6">
        <w:t>Besifloxacin</w:t>
      </w:r>
      <w:proofErr w:type="spellEnd"/>
      <w:r w:rsidRPr="00AA6AE6">
        <w:t>. Chemotherapy 2011; 57:363-371</w:t>
      </w:r>
      <w:r w:rsidR="00C54BDC">
        <w:t>.</w:t>
      </w:r>
    </w:p>
    <w:p w:rsidR="00AA6AE6" w:rsidRPr="00AA6AE6" w:rsidRDefault="00AA6AE6" w:rsidP="00C54BDC">
      <w:pPr>
        <w:pStyle w:val="Numberbullet0"/>
      </w:pPr>
      <w:r w:rsidRPr="00AA6AE6">
        <w:t xml:space="preserve">Sheikh A, Hurwitz B. Antibiotics versus placebo for acute bacterial conjunctivitis. </w:t>
      </w:r>
      <w:r w:rsidRPr="00C54BDC">
        <w:t>Cochrane</w:t>
      </w:r>
      <w:r w:rsidRPr="00AA6AE6">
        <w:t xml:space="preserve"> Database </w:t>
      </w:r>
      <w:proofErr w:type="spellStart"/>
      <w:r w:rsidRPr="00AA6AE6">
        <w:t>Syst</w:t>
      </w:r>
      <w:proofErr w:type="spellEnd"/>
      <w:r w:rsidRPr="00AA6AE6">
        <w:t xml:space="preserve"> Rev. 2006</w:t>
      </w:r>
      <w:proofErr w:type="gramStart"/>
      <w:r w:rsidRPr="00AA6AE6">
        <w:t>;Apr</w:t>
      </w:r>
      <w:proofErr w:type="gramEnd"/>
      <w:r w:rsidRPr="00AA6AE6">
        <w:t xml:space="preserve"> 19(2):CD001211.</w:t>
      </w:r>
    </w:p>
    <w:p w:rsidR="00AA6AE6" w:rsidRPr="00AA6AE6" w:rsidRDefault="00AA6AE6" w:rsidP="00C54BDC">
      <w:pPr>
        <w:pStyle w:val="Numberbullet0"/>
      </w:pPr>
      <w:proofErr w:type="spellStart"/>
      <w:r w:rsidRPr="00AA6AE6">
        <w:t>Siefert</w:t>
      </w:r>
      <w:proofErr w:type="spellEnd"/>
      <w:r w:rsidRPr="00AA6AE6">
        <w:t xml:space="preserve"> HM, et al. Pharmacokinetics of the 8- </w:t>
      </w:r>
      <w:proofErr w:type="spellStart"/>
      <w:r w:rsidRPr="00AA6AE6">
        <w:t>methoxyquinolone</w:t>
      </w:r>
      <w:proofErr w:type="spellEnd"/>
      <w:r w:rsidRPr="00AA6AE6">
        <w:t xml:space="preserve">, </w:t>
      </w:r>
      <w:proofErr w:type="spellStart"/>
      <w:r w:rsidRPr="00AA6AE6">
        <w:t>moxifloxacin</w:t>
      </w:r>
      <w:proofErr w:type="spellEnd"/>
      <w:r w:rsidRPr="00AA6AE6">
        <w:t xml:space="preserve">: tissue distribution in male rats. J </w:t>
      </w:r>
      <w:proofErr w:type="spellStart"/>
      <w:r w:rsidRPr="00AA6AE6">
        <w:t>Antimicrob</w:t>
      </w:r>
      <w:proofErr w:type="spellEnd"/>
      <w:r w:rsidRPr="00AA6AE6">
        <w:t xml:space="preserve"> </w:t>
      </w:r>
      <w:proofErr w:type="spellStart"/>
      <w:r w:rsidRPr="00AA6AE6">
        <w:t>Chemother</w:t>
      </w:r>
      <w:proofErr w:type="spellEnd"/>
      <w:r w:rsidRPr="00AA6AE6">
        <w:t xml:space="preserve"> 1999</w:t>
      </w:r>
      <w:proofErr w:type="gramStart"/>
      <w:r w:rsidRPr="00AA6AE6">
        <w:t>;43</w:t>
      </w:r>
      <w:proofErr w:type="gramEnd"/>
      <w:r w:rsidRPr="00AA6AE6">
        <w:t>(</w:t>
      </w:r>
      <w:proofErr w:type="spellStart"/>
      <w:r w:rsidRPr="00AA6AE6">
        <w:t>Suppl</w:t>
      </w:r>
      <w:proofErr w:type="spellEnd"/>
      <w:r w:rsidRPr="00AA6AE6">
        <w:t xml:space="preserve"> B):61-67.</w:t>
      </w:r>
    </w:p>
    <w:p w:rsidR="00AA6AE6" w:rsidRPr="00AA6AE6" w:rsidRDefault="00AA6AE6" w:rsidP="00C54BDC">
      <w:pPr>
        <w:pStyle w:val="Numberbullet0"/>
      </w:pPr>
      <w:r w:rsidRPr="00AA6AE6">
        <w:t xml:space="preserve">Smith HJ, et al. Mutant prevention concentrations for single-step </w:t>
      </w:r>
      <w:proofErr w:type="spellStart"/>
      <w:r w:rsidRPr="00AA6AE6">
        <w:t>fluoroquinolone-resistantmutants</w:t>
      </w:r>
      <w:proofErr w:type="spellEnd"/>
      <w:r w:rsidRPr="00AA6AE6">
        <w:t xml:space="preserve"> of wild-type, </w:t>
      </w:r>
      <w:proofErr w:type="spellStart"/>
      <w:r w:rsidRPr="00AA6AE6">
        <w:t>effluxpositive</w:t>
      </w:r>
      <w:proofErr w:type="spellEnd"/>
      <w:r w:rsidRPr="00AA6AE6">
        <w:t xml:space="preserve">, or </w:t>
      </w:r>
      <w:proofErr w:type="spellStart"/>
      <w:r w:rsidRPr="00AA6AE6">
        <w:t>ParC</w:t>
      </w:r>
      <w:proofErr w:type="spellEnd"/>
      <w:r w:rsidRPr="00AA6AE6">
        <w:t xml:space="preserve"> or </w:t>
      </w:r>
      <w:proofErr w:type="spellStart"/>
      <w:r w:rsidRPr="00AA6AE6">
        <w:t>GyrA</w:t>
      </w:r>
      <w:proofErr w:type="spellEnd"/>
      <w:r w:rsidRPr="00AA6AE6">
        <w:t xml:space="preserve"> mutation-containing Streptococcus </w:t>
      </w:r>
      <w:proofErr w:type="spellStart"/>
      <w:r w:rsidRPr="00AA6AE6">
        <w:t>pneumoniae</w:t>
      </w:r>
      <w:proofErr w:type="spellEnd"/>
      <w:r w:rsidRPr="00AA6AE6">
        <w:t xml:space="preserve"> isolates. </w:t>
      </w:r>
      <w:proofErr w:type="spellStart"/>
      <w:r w:rsidRPr="00AA6AE6">
        <w:t>Antimicrob</w:t>
      </w:r>
      <w:proofErr w:type="spellEnd"/>
      <w:r w:rsidRPr="00AA6AE6">
        <w:t xml:space="preserve"> Agents </w:t>
      </w:r>
      <w:proofErr w:type="spellStart"/>
      <w:r w:rsidRPr="00AA6AE6">
        <w:t>Chemother</w:t>
      </w:r>
      <w:proofErr w:type="spellEnd"/>
      <w:r w:rsidRPr="00AA6AE6">
        <w:t>. 2004 Oct; 48 (10):3954-8.</w:t>
      </w:r>
    </w:p>
    <w:p w:rsidR="00AA6AE6" w:rsidRPr="00AA6AE6" w:rsidRDefault="00AA6AE6" w:rsidP="00C54BDC">
      <w:pPr>
        <w:pStyle w:val="Numberbullet0"/>
      </w:pPr>
      <w:r w:rsidRPr="00AA6AE6">
        <w:t xml:space="preserve">Tanaka M, Ono C, Yamada M: Absorption, distribution and excretion of </w:t>
      </w:r>
      <w:r w:rsidRPr="00C54BDC">
        <w:t>14Clevofloxacin</w:t>
      </w:r>
      <w:r w:rsidRPr="00AA6AE6">
        <w:t xml:space="preserve"> after single oral administration in albino and pigmented rats: binding characteristics of levofloxacin-related radioactivity to melanin in vivo. J Pharm </w:t>
      </w:r>
      <w:proofErr w:type="spellStart"/>
      <w:r w:rsidRPr="00AA6AE6">
        <w:t>Pharmacol</w:t>
      </w:r>
      <w:proofErr w:type="spellEnd"/>
      <w:r w:rsidRPr="00AA6AE6">
        <w:t xml:space="preserve"> 2004</w:t>
      </w:r>
      <w:proofErr w:type="gramStart"/>
      <w:r w:rsidRPr="00AA6AE6">
        <w:t>;56:463</w:t>
      </w:r>
      <w:proofErr w:type="gramEnd"/>
      <w:r w:rsidRPr="00AA6AE6">
        <w:t>-469.</w:t>
      </w:r>
    </w:p>
    <w:p w:rsidR="00AA6AE6" w:rsidRPr="00AA6AE6" w:rsidRDefault="00AA6AE6" w:rsidP="00C54BDC">
      <w:pPr>
        <w:pStyle w:val="Numberbullet0"/>
      </w:pPr>
      <w:proofErr w:type="spellStart"/>
      <w:r w:rsidRPr="00AA6AE6">
        <w:t>Turnidge</w:t>
      </w:r>
      <w:proofErr w:type="spellEnd"/>
      <w:r w:rsidRPr="00AA6AE6">
        <w:t xml:space="preserve"> J. Pharmacokinetics and pharmacodynamics of </w:t>
      </w:r>
      <w:proofErr w:type="spellStart"/>
      <w:r w:rsidRPr="00AA6AE6">
        <w:t>fluoroquinolones</w:t>
      </w:r>
      <w:proofErr w:type="spellEnd"/>
      <w:r w:rsidRPr="00AA6AE6">
        <w:t xml:space="preserve">. Drugs. </w:t>
      </w:r>
      <w:r w:rsidRPr="00C54BDC">
        <w:t>1999</w:t>
      </w:r>
      <w:r w:rsidRPr="00AA6AE6">
        <w:t xml:space="preserve">; 58 </w:t>
      </w:r>
      <w:proofErr w:type="spellStart"/>
      <w:r w:rsidRPr="00AA6AE6">
        <w:t>Suppl</w:t>
      </w:r>
      <w:proofErr w:type="spellEnd"/>
      <w:r w:rsidRPr="00AA6AE6">
        <w:t xml:space="preserve"> 2:29-36.</w:t>
      </w:r>
    </w:p>
    <w:p w:rsidR="00AA6AE6" w:rsidRPr="00AA6AE6" w:rsidRDefault="00896EB0" w:rsidP="00C54BDC">
      <w:pPr>
        <w:pStyle w:val="Numberbullet0"/>
      </w:pPr>
      <w:proofErr w:type="spellStart"/>
      <w:r>
        <w:t>Vigamox</w:t>
      </w:r>
      <w:proofErr w:type="spellEnd"/>
      <w:r w:rsidR="00AA6AE6" w:rsidRPr="00AA6AE6">
        <w:t xml:space="preserve"> – FDA Review Package; NDA-21-598</w:t>
      </w:r>
      <w:r w:rsidR="00C54BDC">
        <w:t>.</w:t>
      </w:r>
    </w:p>
    <w:p w:rsidR="00AA6AE6" w:rsidRPr="00AA6AE6" w:rsidRDefault="00AA6AE6" w:rsidP="00C54BDC">
      <w:pPr>
        <w:pStyle w:val="Numberbullet0"/>
      </w:pPr>
      <w:r w:rsidRPr="00AA6AE6">
        <w:t xml:space="preserve">Wright DH, et al. Application of </w:t>
      </w:r>
      <w:proofErr w:type="spellStart"/>
      <w:r w:rsidRPr="00C54BDC">
        <w:t>fluoroquinolone</w:t>
      </w:r>
      <w:proofErr w:type="spellEnd"/>
      <w:r w:rsidRPr="00AA6AE6">
        <w:t xml:space="preserve"> pharmacodynamics. J </w:t>
      </w:r>
      <w:proofErr w:type="spellStart"/>
      <w:r w:rsidRPr="00AA6AE6">
        <w:t>Antimicrob</w:t>
      </w:r>
      <w:proofErr w:type="spellEnd"/>
      <w:r w:rsidRPr="00AA6AE6">
        <w:t xml:space="preserve"> </w:t>
      </w:r>
      <w:proofErr w:type="spellStart"/>
      <w:r w:rsidRPr="00AA6AE6">
        <w:t>Chemother</w:t>
      </w:r>
      <w:proofErr w:type="spellEnd"/>
      <w:r w:rsidRPr="00AA6AE6">
        <w:t>. 2000 Nov; 46(5):669-83.</w:t>
      </w:r>
    </w:p>
    <w:p w:rsidR="003D1E62" w:rsidRPr="001D043B" w:rsidRDefault="00AA6AE6" w:rsidP="00C54BDC">
      <w:pPr>
        <w:pStyle w:val="Numberbullet0"/>
        <w:sectPr w:rsidR="003D1E62" w:rsidRPr="001D043B" w:rsidSect="008D770F">
          <w:headerReference w:type="even" r:id="rId18"/>
          <w:headerReference w:type="default" r:id="rId19"/>
          <w:footerReference w:type="default" r:id="rId20"/>
          <w:headerReference w:type="first" r:id="rId21"/>
          <w:footerReference w:type="first" r:id="rId22"/>
          <w:pgSz w:w="11906" w:h="16838" w:code="9"/>
          <w:pgMar w:top="1440" w:right="1440" w:bottom="1440" w:left="1440" w:header="907" w:footer="216" w:gutter="0"/>
          <w:cols w:space="708"/>
          <w:docGrid w:linePitch="360"/>
        </w:sectPr>
      </w:pPr>
      <w:proofErr w:type="spellStart"/>
      <w:r w:rsidRPr="00AA6AE6">
        <w:t>Zeitlinger</w:t>
      </w:r>
      <w:proofErr w:type="spellEnd"/>
      <w:r w:rsidRPr="00AA6AE6">
        <w:t xml:space="preserve"> M, </w:t>
      </w:r>
      <w:proofErr w:type="spellStart"/>
      <w:r w:rsidRPr="00AA6AE6">
        <w:t>Sauermann</w:t>
      </w:r>
      <w:proofErr w:type="spellEnd"/>
      <w:r w:rsidRPr="00AA6AE6">
        <w:t xml:space="preserve"> R, </w:t>
      </w:r>
      <w:proofErr w:type="spellStart"/>
      <w:r w:rsidRPr="00AA6AE6">
        <w:t>Fille</w:t>
      </w:r>
      <w:proofErr w:type="spellEnd"/>
      <w:r w:rsidRPr="00AA6AE6">
        <w:t xml:space="preserve"> M, </w:t>
      </w:r>
      <w:proofErr w:type="spellStart"/>
      <w:r w:rsidRPr="00C54BDC">
        <w:t>Hausdorfer</w:t>
      </w:r>
      <w:proofErr w:type="spellEnd"/>
      <w:r w:rsidRPr="00AA6AE6">
        <w:t xml:space="preserve"> J, </w:t>
      </w:r>
      <w:proofErr w:type="spellStart"/>
      <w:r w:rsidRPr="00AA6AE6">
        <w:t>Leitner</w:t>
      </w:r>
      <w:proofErr w:type="spellEnd"/>
      <w:r w:rsidRPr="00AA6AE6">
        <w:t xml:space="preserve"> I, Müller M. Plasma protein binding of </w:t>
      </w:r>
      <w:proofErr w:type="spellStart"/>
      <w:r w:rsidRPr="00AA6AE6">
        <w:t>fluoroquinolones</w:t>
      </w:r>
      <w:proofErr w:type="spellEnd"/>
      <w:r w:rsidRPr="00AA6AE6">
        <w:t xml:space="preserve"> affects antimicrobial activity. J </w:t>
      </w:r>
      <w:proofErr w:type="spellStart"/>
      <w:r w:rsidRPr="00AA6AE6">
        <w:t>Antimicrob</w:t>
      </w:r>
      <w:proofErr w:type="spellEnd"/>
      <w:r w:rsidRPr="00AA6AE6">
        <w:t xml:space="preserve"> </w:t>
      </w:r>
      <w:proofErr w:type="spellStart"/>
      <w:r w:rsidRPr="00AA6AE6">
        <w:t>Chemother</w:t>
      </w:r>
      <w:proofErr w:type="spellEnd"/>
      <w:r w:rsidRPr="00AA6AE6">
        <w:t>. 2008 Mar; 61(3):561-7.</w:t>
      </w:r>
      <w:bookmarkEnd w:id="0"/>
      <w:bookmarkEnd w:id="1"/>
      <w:bookmarkEnd w:id="2"/>
    </w:p>
    <w:p w:rsidR="00774E1D" w:rsidRPr="008A5E0B" w:rsidRDefault="00774E1D" w:rsidP="008A5E0B"/>
    <w:sectPr w:rsidR="00774E1D" w:rsidRPr="008A5E0B" w:rsidSect="008D770F">
      <w:headerReference w:type="even" r:id="rId23"/>
      <w:headerReference w:type="default" r:id="rId24"/>
      <w:footerReference w:type="default" r:id="rId25"/>
      <w:headerReference w:type="first" r:id="rId26"/>
      <w:footerReference w:type="first" r:id="rId27"/>
      <w:pgSz w:w="11906" w:h="16838" w:code="9"/>
      <w:pgMar w:top="1818" w:right="1701" w:bottom="1701" w:left="1701" w:header="90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837" w:rsidRDefault="007F1837" w:rsidP="00C40A36">
      <w:pPr>
        <w:spacing w:after="0"/>
      </w:pPr>
      <w:r>
        <w:separator/>
      </w:r>
    </w:p>
  </w:endnote>
  <w:endnote w:type="continuationSeparator" w:id="0">
    <w:p w:rsidR="007F1837" w:rsidRDefault="007F1837"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auto"/>
    <w:notTrueType/>
    <w:pitch w:val="default"/>
    <w:sig w:usb0="00000003" w:usb1="00000000" w:usb2="00000000" w:usb3="00000000" w:csb0="00000001" w:csb1="00000000"/>
  </w:font>
  <w:font w:name="Times-Ital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7938"/>
      <w:gridCol w:w="923"/>
    </w:tblGrid>
    <w:tr w:rsidR="00253838" w:rsidRPr="00487162" w:rsidTr="0053625B">
      <w:trPr>
        <w:trHeight w:val="269"/>
      </w:trPr>
      <w:tc>
        <w:tcPr>
          <w:tcW w:w="7938" w:type="dxa"/>
          <w:tcMar>
            <w:top w:w="142" w:type="dxa"/>
            <w:bottom w:w="0" w:type="dxa"/>
          </w:tcMar>
        </w:tcPr>
        <w:p w:rsidR="00253838" w:rsidRPr="00487162" w:rsidRDefault="00253838" w:rsidP="00586F98">
          <w:pPr>
            <w:pStyle w:val="Footer"/>
          </w:pPr>
          <w:r>
            <w:t>Submission</w:t>
          </w:r>
          <w:r w:rsidRPr="00487162">
            <w:t xml:space="preserve"> </w:t>
          </w:r>
          <w:r w:rsidRPr="0093466D">
            <w:t>PM-2012-02740-3-2</w:t>
          </w:r>
          <w:r>
            <w:t xml:space="preserve"> Extract from the Clinical Evaluation Report for </w:t>
          </w:r>
          <w:proofErr w:type="spellStart"/>
          <w:r>
            <w:t>Besivance</w:t>
          </w:r>
          <w:proofErr w:type="spellEnd"/>
        </w:p>
      </w:tc>
      <w:tc>
        <w:tcPr>
          <w:tcW w:w="923" w:type="dxa"/>
          <w:tcMar>
            <w:top w:w="142" w:type="dxa"/>
            <w:bottom w:w="0" w:type="dxa"/>
          </w:tcMar>
        </w:tcPr>
        <w:p w:rsidR="00253838" w:rsidRPr="00487162" w:rsidRDefault="00253838" w:rsidP="00D855D4">
          <w:pPr>
            <w:pStyle w:val="Footer"/>
            <w:jc w:val="right"/>
          </w:pPr>
          <w:r w:rsidRPr="00487162">
            <w:t xml:space="preserve">Page </w:t>
          </w:r>
          <w:r>
            <w:t>2</w:t>
          </w:r>
          <w:r w:rsidRPr="00487162">
            <w:t xml:space="preserve"> of </w:t>
          </w:r>
          <w:fldSimple w:instr=" NUMPAGES  \* Arabic ">
            <w:r w:rsidR="00CB1660">
              <w:rPr>
                <w:noProof/>
              </w:rPr>
              <w:t>33</w:t>
            </w:r>
          </w:fldSimple>
        </w:p>
      </w:tc>
    </w:tr>
  </w:tbl>
  <w:p w:rsidR="00253838" w:rsidRDefault="00253838" w:rsidP="004379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170" w:type="dxa"/>
        <w:right w:w="0" w:type="dxa"/>
      </w:tblCellMar>
      <w:tblLook w:val="04A0" w:firstRow="1" w:lastRow="0" w:firstColumn="1" w:lastColumn="0" w:noHBand="0" w:noVBand="1"/>
    </w:tblPr>
    <w:tblGrid>
      <w:gridCol w:w="7655"/>
      <w:gridCol w:w="1206"/>
    </w:tblGrid>
    <w:tr w:rsidR="00253838" w:rsidRPr="00487162" w:rsidTr="00586F98">
      <w:trPr>
        <w:trHeight w:val="269"/>
      </w:trPr>
      <w:tc>
        <w:tcPr>
          <w:tcW w:w="7655" w:type="dxa"/>
          <w:tcMar>
            <w:top w:w="142" w:type="dxa"/>
            <w:bottom w:w="0" w:type="dxa"/>
          </w:tcMar>
        </w:tcPr>
        <w:p w:rsidR="00253838" w:rsidRPr="00487162" w:rsidRDefault="00253838" w:rsidP="00D855D4">
          <w:pPr>
            <w:pStyle w:val="Footer"/>
          </w:pPr>
          <w:r>
            <w:t>Submission</w:t>
          </w:r>
          <w:r w:rsidRPr="00487162">
            <w:t xml:space="preserve"> </w:t>
          </w:r>
          <w:r w:rsidRPr="0093466D">
            <w:t>PM-2012-02740-3-2</w:t>
          </w:r>
          <w:r>
            <w:t xml:space="preserve"> Extract from the Clinical Evaluation Report for </w:t>
          </w:r>
          <w:proofErr w:type="spellStart"/>
          <w:r>
            <w:t>Besivance</w:t>
          </w:r>
          <w:proofErr w:type="spellEnd"/>
        </w:p>
      </w:tc>
      <w:tc>
        <w:tcPr>
          <w:tcW w:w="1206" w:type="dxa"/>
          <w:tcMar>
            <w:top w:w="142" w:type="dxa"/>
            <w:bottom w:w="0" w:type="dxa"/>
          </w:tcMar>
        </w:tcPr>
        <w:p w:rsidR="00253838" w:rsidRPr="00487162" w:rsidRDefault="00253838" w:rsidP="00E45619">
          <w:pPr>
            <w:pStyle w:val="Footer"/>
            <w:jc w:val="right"/>
          </w:pPr>
          <w:r w:rsidRPr="00487162">
            <w:t xml:space="preserve">Page </w:t>
          </w:r>
          <w:r>
            <w:fldChar w:fldCharType="begin"/>
          </w:r>
          <w:r>
            <w:instrText>PAGE</w:instrText>
          </w:r>
          <w:r>
            <w:fldChar w:fldCharType="separate"/>
          </w:r>
          <w:r w:rsidR="00CB1660">
            <w:rPr>
              <w:noProof/>
            </w:rPr>
            <w:t>3</w:t>
          </w:r>
          <w:r>
            <w:fldChar w:fldCharType="end"/>
          </w:r>
          <w:r w:rsidRPr="00487162">
            <w:t xml:space="preserve"> of </w:t>
          </w:r>
          <w:fldSimple w:instr=" NUMPAGES  \* Arabic ">
            <w:r w:rsidR="00CB1660">
              <w:rPr>
                <w:noProof/>
              </w:rPr>
              <w:t>33</w:t>
            </w:r>
          </w:fldSimple>
        </w:p>
      </w:tc>
    </w:tr>
  </w:tbl>
  <w:p w:rsidR="00253838" w:rsidRDefault="00253838" w:rsidP="00E261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253838" w:rsidRPr="00487162" w:rsidTr="00E45619">
      <w:trPr>
        <w:trHeight w:val="269"/>
      </w:trPr>
      <w:tc>
        <w:tcPr>
          <w:tcW w:w="4519" w:type="dxa"/>
          <w:tcBorders>
            <w:top w:val="single" w:sz="4" w:space="0" w:color="auto"/>
          </w:tcBorders>
          <w:tcMar>
            <w:top w:w="142" w:type="dxa"/>
            <w:bottom w:w="0" w:type="dxa"/>
          </w:tcMar>
        </w:tcPr>
        <w:p w:rsidR="00253838" w:rsidRPr="00487162" w:rsidRDefault="00253838" w:rsidP="00FE1DEE">
          <w:pPr>
            <w:pStyle w:val="Footer"/>
          </w:pPr>
          <w:r w:rsidRPr="00487162">
            <w:t>Document title, Part #, Section # - Section title</w:t>
          </w:r>
        </w:p>
        <w:p w:rsidR="00253838" w:rsidRPr="00487162" w:rsidRDefault="00253838" w:rsidP="00FE1DEE">
          <w:pPr>
            <w:pStyle w:val="Footer"/>
          </w:pPr>
          <w:r w:rsidRPr="00487162">
            <w:t>V1.0 October 2010</w:t>
          </w:r>
        </w:p>
      </w:tc>
      <w:tc>
        <w:tcPr>
          <w:tcW w:w="4342" w:type="dxa"/>
          <w:tcBorders>
            <w:top w:val="single" w:sz="4" w:space="0" w:color="auto"/>
          </w:tcBorders>
          <w:tcMar>
            <w:top w:w="142" w:type="dxa"/>
            <w:bottom w:w="0" w:type="dxa"/>
          </w:tcMar>
        </w:tcPr>
        <w:p w:rsidR="00253838" w:rsidRPr="00487162" w:rsidRDefault="00253838"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fldChar w:fldCharType="end"/>
          </w:r>
          <w:r w:rsidRPr="00487162">
            <w:t xml:space="preserve"> of </w:t>
          </w:r>
          <w:fldSimple w:instr=" NUMPAGES  ">
            <w:r>
              <w:rPr>
                <w:noProof/>
              </w:rPr>
              <w:t>4</w:t>
            </w:r>
          </w:fldSimple>
        </w:p>
      </w:tc>
    </w:tr>
  </w:tbl>
  <w:p w:rsidR="00253838" w:rsidRDefault="0025383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253838" w:rsidRPr="00487162" w:rsidTr="008D770F">
      <w:trPr>
        <w:trHeight w:hRule="exact" w:val="564"/>
      </w:trPr>
      <w:tc>
        <w:tcPr>
          <w:tcW w:w="9175" w:type="dxa"/>
        </w:tcPr>
        <w:p w:rsidR="00253838" w:rsidRPr="00487162" w:rsidRDefault="00253838" w:rsidP="008E7846">
          <w:pPr>
            <w:pStyle w:val="TGASignoff"/>
          </w:pPr>
          <w:r w:rsidRPr="00487162">
            <w:t>Therapeutic Goods Administration</w:t>
          </w:r>
        </w:p>
      </w:tc>
    </w:tr>
    <w:tr w:rsidR="00253838" w:rsidRPr="00487162" w:rsidTr="00E45619">
      <w:trPr>
        <w:trHeight w:val="1221"/>
      </w:trPr>
      <w:tc>
        <w:tcPr>
          <w:tcW w:w="9175" w:type="dxa"/>
          <w:tcMar>
            <w:top w:w="28" w:type="dxa"/>
          </w:tcMar>
        </w:tcPr>
        <w:p w:rsidR="00253838" w:rsidRPr="00487162" w:rsidRDefault="00253838" w:rsidP="00E45619">
          <w:pPr>
            <w:pStyle w:val="Address"/>
          </w:pPr>
          <w:r w:rsidRPr="00487162">
            <w:t>PO Box 100 Woden ACT 2606 Australia</w:t>
          </w:r>
        </w:p>
        <w:p w:rsidR="00253838" w:rsidRPr="00487162" w:rsidRDefault="00253838" w:rsidP="00E45619">
          <w:pPr>
            <w:pStyle w:val="Address"/>
          </w:pPr>
          <w:r w:rsidRPr="00487162">
            <w:t xml:space="preserve">Email: </w:t>
          </w:r>
          <w:hyperlink r:id="rId1" w:history="1">
            <w:r w:rsidRPr="008D770F">
              <w:rPr>
                <w:rStyle w:val="Hyperlink"/>
              </w:rPr>
              <w:t>info@tga.gov.au</w:t>
            </w:r>
          </w:hyperlink>
          <w:r w:rsidR="005422D8">
            <w:t xml:space="preserve"> </w:t>
          </w:r>
          <w:r w:rsidRPr="00487162">
            <w:t>Phone: 1800 020 653</w:t>
          </w:r>
          <w:r w:rsidR="005422D8">
            <w:t xml:space="preserve"> </w:t>
          </w:r>
          <w:r w:rsidRPr="00487162">
            <w:t>Fax: 02 6232 8605</w:t>
          </w:r>
        </w:p>
        <w:p w:rsidR="00253838" w:rsidRPr="008D770F" w:rsidRDefault="00CB1660" w:rsidP="008D770F">
          <w:pPr>
            <w:pStyle w:val="Address"/>
            <w:spacing w:line="260" w:lineRule="atLeast"/>
            <w:rPr>
              <w:b/>
              <w:color w:val="0000FF"/>
              <w:u w:val="single"/>
            </w:rPr>
          </w:pPr>
          <w:hyperlink r:id="rId2" w:history="1">
            <w:r w:rsidR="00253838" w:rsidRPr="007C06C7">
              <w:rPr>
                <w:rStyle w:val="Hyperlink"/>
                <w:b/>
              </w:rPr>
              <w:t>http://www.tga.gov.au</w:t>
            </w:r>
          </w:hyperlink>
        </w:p>
      </w:tc>
    </w:tr>
  </w:tbl>
  <w:p w:rsidR="00253838" w:rsidRDefault="00253838" w:rsidP="008E7846">
    <w:pPr>
      <w:pStyle w:val="Note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253838" w:rsidTr="0010601F">
      <w:trPr>
        <w:trHeight w:val="108"/>
      </w:trPr>
      <w:tc>
        <w:tcPr>
          <w:tcW w:w="8875" w:type="dxa"/>
          <w:gridSpan w:val="2"/>
          <w:tcBorders>
            <w:bottom w:val="single" w:sz="4" w:space="0" w:color="auto"/>
          </w:tcBorders>
          <w:tcMar>
            <w:right w:w="284" w:type="dxa"/>
          </w:tcMar>
        </w:tcPr>
        <w:p w:rsidR="00253838" w:rsidRDefault="00253838" w:rsidP="006E08B3">
          <w:pPr>
            <w:pStyle w:val="Heading3"/>
          </w:pPr>
          <w:r>
            <w:t>Copyright</w:t>
          </w:r>
        </w:p>
        <w:p w:rsidR="00253838" w:rsidRDefault="00253838" w:rsidP="006E08B3">
          <w:r>
            <w:rPr>
              <w:rFonts w:cs="Arial"/>
            </w:rPr>
            <w:t>©</w:t>
          </w:r>
          <w:r>
            <w:t xml:space="preserve"> Commonwealth of Australia [add year]</w:t>
          </w:r>
        </w:p>
        <w:p w:rsidR="00253838" w:rsidRDefault="00253838" w:rsidP="006E08B3"/>
        <w:p w:rsidR="00253838" w:rsidRDefault="00253838" w:rsidP="006E08B3">
          <w:r>
            <w:t>This work is copyright. Apart from any use as permitted under the Copyright Act 1968, no part may be reproduced by any process without prior written permission from the Commonwealth Copyright Administration, Attorney General’s Department, National Circuit, Barton ACT 2600 or posted at</w:t>
          </w:r>
          <w:r w:rsidR="005422D8">
            <w:t xml:space="preserve"> </w:t>
          </w:r>
          <w:r w:rsidRPr="006E08B3">
            <w:t>http://www.ag.gov.au/cca</w:t>
          </w:r>
        </w:p>
        <w:p w:rsidR="00253838" w:rsidRDefault="00253838" w:rsidP="006E08B3"/>
        <w:p w:rsidR="00253838" w:rsidRDefault="00253838" w:rsidP="006E08B3">
          <w:pPr>
            <w:pStyle w:val="Heading3"/>
          </w:pPr>
          <w:r>
            <w:t>Confidentiality</w:t>
          </w:r>
        </w:p>
        <w:p w:rsidR="00253838" w:rsidRDefault="00253838"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253838" w:rsidRDefault="00253838" w:rsidP="006E08B3"/>
        <w:p w:rsidR="00253838" w:rsidRDefault="00253838" w:rsidP="006E08B3">
          <w:r>
            <w:t>For submission made by individuals, all personal details, other than your name, will be removed from your submission before it is published on the TGA’s Internet site.</w:t>
          </w:r>
        </w:p>
        <w:p w:rsidR="00253838" w:rsidRDefault="00253838" w:rsidP="006E08B3"/>
        <w:p w:rsidR="00253838" w:rsidRDefault="00253838"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253838" w:rsidTr="0010601F">
      <w:trPr>
        <w:trHeight w:val="417"/>
      </w:trPr>
      <w:tc>
        <w:tcPr>
          <w:tcW w:w="4519" w:type="dxa"/>
          <w:tcBorders>
            <w:top w:val="single" w:sz="4" w:space="0" w:color="auto"/>
          </w:tcBorders>
          <w:tcMar>
            <w:top w:w="142" w:type="dxa"/>
            <w:bottom w:w="0" w:type="dxa"/>
          </w:tcMar>
        </w:tcPr>
        <w:p w:rsidR="00253838" w:rsidRDefault="00253838" w:rsidP="006E08B3">
          <w:r>
            <w:t>Document title, Part #, Section # - Section title</w:t>
          </w:r>
        </w:p>
        <w:p w:rsidR="00253838" w:rsidRDefault="00253838" w:rsidP="006E08B3">
          <w:r>
            <w:t>V1.0 October 2010</w:t>
          </w:r>
        </w:p>
      </w:tc>
      <w:tc>
        <w:tcPr>
          <w:tcW w:w="4356" w:type="dxa"/>
          <w:tcBorders>
            <w:top w:val="single" w:sz="4" w:space="0" w:color="auto"/>
          </w:tcBorders>
          <w:tcMar>
            <w:top w:w="142" w:type="dxa"/>
            <w:bottom w:w="0" w:type="dxa"/>
          </w:tcMar>
        </w:tcPr>
        <w:p w:rsidR="00253838" w:rsidRDefault="00253838" w:rsidP="006E08B3">
          <w:pPr>
            <w:jc w:val="right"/>
          </w:pPr>
          <w:r>
            <w:t xml:space="preserve">Page </w:t>
          </w:r>
          <w:r>
            <w:fldChar w:fldCharType="begin"/>
          </w:r>
          <w:r>
            <w:instrText xml:space="preserve"> PAGE   \* MERGEFORMAT </w:instrText>
          </w:r>
          <w:r>
            <w:fldChar w:fldCharType="separate"/>
          </w:r>
          <w:r>
            <w:rPr>
              <w:noProof/>
            </w:rPr>
            <w:t>1</w:t>
          </w:r>
          <w:r>
            <w:fldChar w:fldCharType="end"/>
          </w:r>
          <w:r>
            <w:t xml:space="preserve"> of </w:t>
          </w:r>
          <w:fldSimple w:instr=" NUMPAGES  \* Arabic ">
            <w:r>
              <w:rPr>
                <w:noProof/>
              </w:rPr>
              <w:t>4</w:t>
            </w:r>
          </w:fldSimple>
          <w:r w:rsidR="005422D8">
            <w:t xml:space="preserve"> </w:t>
          </w:r>
        </w:p>
      </w:tc>
    </w:tr>
  </w:tbl>
  <w:p w:rsidR="00253838" w:rsidRDefault="0025383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837" w:rsidRDefault="007F1837" w:rsidP="00C40A36">
      <w:pPr>
        <w:spacing w:after="0"/>
      </w:pPr>
      <w:r>
        <w:separator/>
      </w:r>
    </w:p>
  </w:footnote>
  <w:footnote w:type="continuationSeparator" w:id="0">
    <w:p w:rsidR="007F1837" w:rsidRDefault="007F1837" w:rsidP="00C40A36">
      <w:pPr>
        <w:spacing w:after="0"/>
      </w:pPr>
      <w:r>
        <w:continuationSeparator/>
      </w:r>
    </w:p>
  </w:footnote>
  <w:footnote w:id="1">
    <w:p w:rsidR="00A61F2A" w:rsidRDefault="00A61F2A" w:rsidP="006C7F6A">
      <w:pPr>
        <w:pStyle w:val="FootnoteText"/>
      </w:pPr>
      <w:r>
        <w:rPr>
          <w:rStyle w:val="FootnoteReference"/>
        </w:rPr>
        <w:footnoteRef/>
      </w:r>
      <w:r>
        <w:t xml:space="preserve"> </w:t>
      </w:r>
      <w:proofErr w:type="spellStart"/>
      <w:r w:rsidRPr="00A61F2A">
        <w:rPr>
          <w:bCs/>
        </w:rPr>
        <w:t>Cavuoto</w:t>
      </w:r>
      <w:proofErr w:type="spellEnd"/>
      <w:r w:rsidRPr="00A61F2A">
        <w:rPr>
          <w:bCs/>
        </w:rPr>
        <w:t xml:space="preserve"> K, et al</w:t>
      </w:r>
      <w:r w:rsidRPr="00A61F2A">
        <w:t xml:space="preserve">. </w:t>
      </w:r>
      <w:r w:rsidRPr="006C7F6A">
        <w:t>Update</w:t>
      </w:r>
      <w:r w:rsidRPr="00A61F2A">
        <w:t xml:space="preserve"> on bacterial conjunctivitis in South Florida. Ophthalmology 2008</w:t>
      </w:r>
      <w:proofErr w:type="gramStart"/>
      <w:r w:rsidRPr="00A61F2A">
        <w:t>;115:51</w:t>
      </w:r>
      <w:proofErr w:type="gramEnd"/>
      <w:r w:rsidRPr="00A61F2A">
        <w:t xml:space="preserve">-6; </w:t>
      </w:r>
      <w:proofErr w:type="spellStart"/>
      <w:r w:rsidRPr="00A61F2A">
        <w:rPr>
          <w:bCs/>
        </w:rPr>
        <w:t>Diamant</w:t>
      </w:r>
      <w:proofErr w:type="spellEnd"/>
      <w:r w:rsidRPr="00A61F2A">
        <w:rPr>
          <w:bCs/>
        </w:rPr>
        <w:t xml:space="preserve"> JI, Hwang DG</w:t>
      </w:r>
      <w:r w:rsidRPr="00A61F2A">
        <w:t xml:space="preserve">. </w:t>
      </w:r>
      <w:proofErr w:type="gramStart"/>
      <w:r w:rsidRPr="00A61F2A">
        <w:t>Therapy for bacterial conjunctivitis.</w:t>
      </w:r>
      <w:proofErr w:type="gramEnd"/>
      <w:r w:rsidRPr="00A61F2A">
        <w:t xml:space="preserve"> </w:t>
      </w:r>
      <w:proofErr w:type="spellStart"/>
      <w:r w:rsidRPr="00A61F2A">
        <w:t>Ophthalmol</w:t>
      </w:r>
      <w:proofErr w:type="spellEnd"/>
      <w:r w:rsidRPr="00A61F2A">
        <w:t xml:space="preserve"> </w:t>
      </w:r>
      <w:proofErr w:type="spellStart"/>
      <w:r w:rsidRPr="00A61F2A">
        <w:t>Clin</w:t>
      </w:r>
      <w:proofErr w:type="spellEnd"/>
      <w:r w:rsidRPr="00A61F2A">
        <w:t xml:space="preserve"> North Am. 1999</w:t>
      </w:r>
      <w:proofErr w:type="gramStart"/>
      <w:r w:rsidRPr="00A61F2A">
        <w:t>;12</w:t>
      </w:r>
      <w:proofErr w:type="gramEnd"/>
      <w:r w:rsidRPr="00A61F2A">
        <w:t xml:space="preserve">(1):15-20; </w:t>
      </w:r>
      <w:r w:rsidRPr="00A61F2A">
        <w:rPr>
          <w:bCs/>
        </w:rPr>
        <w:t>Sheikh A, Hurwitz B</w:t>
      </w:r>
      <w:r w:rsidRPr="00A61F2A">
        <w:t xml:space="preserve">. Antibiotics versus placebo for acute bacterial conjunctivitis. Cochrane Database </w:t>
      </w:r>
      <w:proofErr w:type="spellStart"/>
      <w:r w:rsidRPr="00A61F2A">
        <w:t>Syst</w:t>
      </w:r>
      <w:proofErr w:type="spellEnd"/>
      <w:r w:rsidRPr="00A61F2A">
        <w:t xml:space="preserve"> Rev. 2006</w:t>
      </w:r>
      <w:proofErr w:type="gramStart"/>
      <w:r w:rsidRPr="00A61F2A">
        <w:t>;Apr</w:t>
      </w:r>
      <w:proofErr w:type="gramEnd"/>
      <w:r w:rsidRPr="00A61F2A">
        <w:t xml:space="preserve"> 19(2):CD001211.</w:t>
      </w:r>
    </w:p>
  </w:footnote>
  <w:footnote w:id="2">
    <w:p w:rsidR="00D40352" w:rsidRDefault="00D40352" w:rsidP="006C7F6A">
      <w:pPr>
        <w:pStyle w:val="FootnoteText"/>
      </w:pPr>
      <w:r>
        <w:rPr>
          <w:rStyle w:val="FootnoteReference"/>
        </w:rPr>
        <w:footnoteRef/>
      </w:r>
      <w:r>
        <w:t xml:space="preserve"> </w:t>
      </w:r>
      <w:proofErr w:type="spellStart"/>
      <w:r w:rsidRPr="00D40352">
        <w:rPr>
          <w:bCs/>
        </w:rPr>
        <w:t>Gigliotti</w:t>
      </w:r>
      <w:proofErr w:type="spellEnd"/>
      <w:r w:rsidRPr="00D40352">
        <w:rPr>
          <w:bCs/>
        </w:rPr>
        <w:t xml:space="preserve"> F, et al</w:t>
      </w:r>
      <w:r w:rsidRPr="00D40352">
        <w:t xml:space="preserve">. </w:t>
      </w:r>
      <w:proofErr w:type="spellStart"/>
      <w:r w:rsidRPr="00D40352">
        <w:t>Etiology</w:t>
      </w:r>
      <w:proofErr w:type="spellEnd"/>
      <w:r w:rsidRPr="00D40352">
        <w:t xml:space="preserve"> of acute conjunctivitis in children. J </w:t>
      </w:r>
      <w:proofErr w:type="spellStart"/>
      <w:r w:rsidRPr="00D40352">
        <w:t>Pediatrics</w:t>
      </w:r>
      <w:proofErr w:type="spellEnd"/>
      <w:r w:rsidRPr="00D40352">
        <w:t xml:space="preserve"> 1981</w:t>
      </w:r>
      <w:proofErr w:type="gramStart"/>
      <w:r w:rsidRPr="00D40352">
        <w:t>;98:531</w:t>
      </w:r>
      <w:proofErr w:type="gramEnd"/>
      <w:r w:rsidRPr="00D40352">
        <w:t xml:space="preserve">-6; </w:t>
      </w:r>
      <w:r w:rsidRPr="00D40352">
        <w:rPr>
          <w:bCs/>
        </w:rPr>
        <w:t>Brook I, et al</w:t>
      </w:r>
      <w:r w:rsidRPr="00D40352">
        <w:t xml:space="preserve">. Anaerobic and anaerobic bacteriology of acute conjunctivitis. Ann </w:t>
      </w:r>
      <w:proofErr w:type="spellStart"/>
      <w:r w:rsidRPr="00D40352">
        <w:t>Ophthalmol</w:t>
      </w:r>
      <w:proofErr w:type="spellEnd"/>
      <w:r w:rsidRPr="00D40352">
        <w:t xml:space="preserve"> 1979: March: 389-393; </w:t>
      </w:r>
      <w:r w:rsidRPr="00D40352">
        <w:rPr>
          <w:bCs/>
        </w:rPr>
        <w:t>Leeming JP</w:t>
      </w:r>
      <w:r w:rsidRPr="00D40352">
        <w:t xml:space="preserve">. </w:t>
      </w:r>
      <w:proofErr w:type="gramStart"/>
      <w:r w:rsidRPr="00D40352">
        <w:t xml:space="preserve">Treatment of ocular infections with topical </w:t>
      </w:r>
      <w:proofErr w:type="spellStart"/>
      <w:r w:rsidRPr="00D40352">
        <w:t>antibacterials</w:t>
      </w:r>
      <w:proofErr w:type="spellEnd"/>
      <w:r w:rsidRPr="00D40352">
        <w:t>.</w:t>
      </w:r>
      <w:proofErr w:type="gramEnd"/>
      <w:r w:rsidRPr="00D40352">
        <w:t xml:space="preserve"> </w:t>
      </w:r>
      <w:proofErr w:type="spellStart"/>
      <w:r w:rsidRPr="00D40352">
        <w:t>Clin</w:t>
      </w:r>
      <w:proofErr w:type="spellEnd"/>
      <w:r w:rsidRPr="00D40352">
        <w:t xml:space="preserve"> </w:t>
      </w:r>
      <w:proofErr w:type="spellStart"/>
      <w:r w:rsidRPr="00D40352">
        <w:t>Pharmacokinet</w:t>
      </w:r>
      <w:proofErr w:type="spellEnd"/>
      <w:r w:rsidRPr="00D40352">
        <w:t>. 1999</w:t>
      </w:r>
      <w:proofErr w:type="gramStart"/>
      <w:r w:rsidRPr="00D40352">
        <w:t>;37</w:t>
      </w:r>
      <w:proofErr w:type="gramEnd"/>
      <w:r w:rsidRPr="00D40352">
        <w:t xml:space="preserve">(5):351-360; </w:t>
      </w:r>
      <w:r w:rsidRPr="00D40352">
        <w:rPr>
          <w:bCs/>
        </w:rPr>
        <w:t>Hammond RW, Edmondson W</w:t>
      </w:r>
      <w:r w:rsidRPr="00D40352">
        <w:t xml:space="preserve">. Treatment of ocular bacterial infections: an update. J Am </w:t>
      </w:r>
      <w:proofErr w:type="spellStart"/>
      <w:r w:rsidRPr="00D40352">
        <w:t>Optom</w:t>
      </w:r>
      <w:proofErr w:type="spellEnd"/>
      <w:r w:rsidRPr="00D40352">
        <w:t xml:space="preserve"> </w:t>
      </w:r>
      <w:r w:rsidRPr="006C7F6A">
        <w:t>Assoc</w:t>
      </w:r>
      <w:r w:rsidRPr="00D40352">
        <w:t>. 1997</w:t>
      </w:r>
      <w:proofErr w:type="gramStart"/>
      <w:r w:rsidRPr="00D40352">
        <w:t>;68</w:t>
      </w:r>
      <w:proofErr w:type="gramEnd"/>
      <w:r w:rsidRPr="00D40352">
        <w:t>(3):178-187.</w:t>
      </w:r>
    </w:p>
  </w:footnote>
  <w:footnote w:id="3">
    <w:p w:rsidR="00B6041B" w:rsidRDefault="00B6041B" w:rsidP="006C7F6A">
      <w:pPr>
        <w:pStyle w:val="FootnoteText"/>
      </w:pPr>
      <w:r>
        <w:rPr>
          <w:rStyle w:val="FootnoteReference"/>
        </w:rPr>
        <w:footnoteRef/>
      </w:r>
      <w:r>
        <w:t xml:space="preserve"> </w:t>
      </w:r>
      <w:r w:rsidR="006C7F6A">
        <w:t>&lt;</w:t>
      </w:r>
      <w:r w:rsidRPr="00B6041B">
        <w:t>http://www.fda.gov/downloads/Drugs/Guidances/</w:t>
      </w:r>
      <w:r w:rsidRPr="006C7F6A">
        <w:t>ucm070107</w:t>
      </w:r>
      <w:r w:rsidRPr="00B6041B">
        <w:t>.pdf</w:t>
      </w:r>
      <w:r w:rsidR="006C7F6A">
        <w:t>&gt;</w:t>
      </w:r>
    </w:p>
  </w:footnote>
  <w:footnote w:id="4">
    <w:p w:rsidR="00604CC9" w:rsidRDefault="00604CC9" w:rsidP="00F6439F">
      <w:pPr>
        <w:pStyle w:val="FootnoteText"/>
      </w:pPr>
      <w:r>
        <w:rPr>
          <w:rStyle w:val="FootnoteReference"/>
        </w:rPr>
        <w:footnoteRef/>
      </w:r>
      <w:r>
        <w:t xml:space="preserve"> </w:t>
      </w:r>
      <w:r w:rsidRPr="00C94571">
        <w:rPr>
          <w:bCs/>
        </w:rPr>
        <w:t>Ono C, Tanaka M</w:t>
      </w:r>
      <w:r w:rsidRPr="00C94571">
        <w:t xml:space="preserve">: Binding characteristics of </w:t>
      </w:r>
      <w:proofErr w:type="spellStart"/>
      <w:r w:rsidRPr="00C94571">
        <w:t>fluoroquinolones</w:t>
      </w:r>
      <w:proofErr w:type="spellEnd"/>
      <w:r w:rsidRPr="00C94571">
        <w:t xml:space="preserve"> to synthetic levodopa melanin. J Pharm </w:t>
      </w:r>
      <w:proofErr w:type="spellStart"/>
      <w:r w:rsidRPr="00C94571">
        <w:t>Pharmacol</w:t>
      </w:r>
      <w:proofErr w:type="spellEnd"/>
      <w:r w:rsidRPr="00C94571">
        <w:t xml:space="preserve"> 2003</w:t>
      </w:r>
      <w:proofErr w:type="gramStart"/>
      <w:r w:rsidRPr="00C94571">
        <w:t>;55:1127</w:t>
      </w:r>
      <w:proofErr w:type="gramEnd"/>
      <w:r w:rsidRPr="00C94571">
        <w:t xml:space="preserve">-1133; </w:t>
      </w:r>
      <w:r w:rsidRPr="00C94571">
        <w:rPr>
          <w:bCs/>
        </w:rPr>
        <w:t>Tanaka M, Ono C, Yamada M</w:t>
      </w:r>
      <w:r w:rsidRPr="00C94571">
        <w:t xml:space="preserve">: Absorption, distribution and excretion of 14Clevofloxacin after single oral administration in albino and pigmented rats: binding characteristics of levofloxacin-related radioactivity to melanin in vivo. J Pharm </w:t>
      </w:r>
      <w:proofErr w:type="spellStart"/>
      <w:r w:rsidRPr="00C94571">
        <w:t>Pharmacol</w:t>
      </w:r>
      <w:proofErr w:type="spellEnd"/>
      <w:r w:rsidRPr="00C94571">
        <w:t xml:space="preserve"> 2004</w:t>
      </w:r>
      <w:proofErr w:type="gramStart"/>
      <w:r w:rsidRPr="00C94571">
        <w:t>;56:463</w:t>
      </w:r>
      <w:proofErr w:type="gramEnd"/>
      <w:r w:rsidRPr="00C94571">
        <w:t xml:space="preserve">-469; </w:t>
      </w:r>
      <w:proofErr w:type="spellStart"/>
      <w:r w:rsidRPr="00C94571">
        <w:rPr>
          <w:bCs/>
        </w:rPr>
        <w:t>Siefert</w:t>
      </w:r>
      <w:proofErr w:type="spellEnd"/>
      <w:r w:rsidRPr="00C94571">
        <w:rPr>
          <w:bCs/>
        </w:rPr>
        <w:t xml:space="preserve"> HM, et al. </w:t>
      </w:r>
      <w:r w:rsidRPr="00C94571">
        <w:t xml:space="preserve">Pharmacokinetics of the 8- </w:t>
      </w:r>
      <w:proofErr w:type="spellStart"/>
      <w:r w:rsidRPr="00C94571">
        <w:t>methoxyquinolone</w:t>
      </w:r>
      <w:proofErr w:type="spellEnd"/>
      <w:r w:rsidRPr="00C94571">
        <w:t xml:space="preserve">, </w:t>
      </w:r>
      <w:proofErr w:type="spellStart"/>
      <w:r w:rsidRPr="00C94571">
        <w:t>moxifloxacin</w:t>
      </w:r>
      <w:proofErr w:type="spellEnd"/>
      <w:r w:rsidRPr="00C94571">
        <w:t xml:space="preserve">: tissue distribution in male rats. J </w:t>
      </w:r>
      <w:proofErr w:type="spellStart"/>
      <w:r w:rsidRPr="00C94571">
        <w:t>Antimicrob</w:t>
      </w:r>
      <w:proofErr w:type="spellEnd"/>
      <w:r w:rsidRPr="00C94571">
        <w:t xml:space="preserve"> </w:t>
      </w:r>
      <w:proofErr w:type="spellStart"/>
      <w:r w:rsidRPr="00C94571">
        <w:t>Chemother</w:t>
      </w:r>
      <w:proofErr w:type="spellEnd"/>
      <w:r w:rsidRPr="00C94571">
        <w:t xml:space="preserve"> 1999</w:t>
      </w:r>
      <w:proofErr w:type="gramStart"/>
      <w:r w:rsidRPr="00C94571">
        <w:t>;43</w:t>
      </w:r>
      <w:proofErr w:type="gramEnd"/>
      <w:r w:rsidRPr="00C94571">
        <w:t>(</w:t>
      </w:r>
      <w:proofErr w:type="spellStart"/>
      <w:r w:rsidRPr="00C94571">
        <w:t>Suppl</w:t>
      </w:r>
      <w:proofErr w:type="spellEnd"/>
      <w:r w:rsidRPr="00C94571">
        <w:t xml:space="preserve"> B):61-67; </w:t>
      </w:r>
      <w:r w:rsidRPr="00C94571">
        <w:rPr>
          <w:bCs/>
        </w:rPr>
        <w:t xml:space="preserve">Perez S, </w:t>
      </w:r>
      <w:r w:rsidRPr="00C94571">
        <w:t xml:space="preserve">et al. Pharmacokinetics and ocular penetration of </w:t>
      </w:r>
      <w:proofErr w:type="spellStart"/>
      <w:r w:rsidRPr="00C94571">
        <w:t>grepafloxacin</w:t>
      </w:r>
      <w:proofErr w:type="spellEnd"/>
      <w:r w:rsidRPr="00C94571">
        <w:t xml:space="preserve"> in albino and pigmented rabbits. J </w:t>
      </w:r>
      <w:proofErr w:type="spellStart"/>
      <w:r w:rsidRPr="00C94571">
        <w:t>Antimicrob</w:t>
      </w:r>
      <w:proofErr w:type="spellEnd"/>
      <w:r w:rsidRPr="00C94571">
        <w:t xml:space="preserve"> </w:t>
      </w:r>
      <w:proofErr w:type="spellStart"/>
      <w:r w:rsidRPr="00C94571">
        <w:t>Chemother</w:t>
      </w:r>
      <w:proofErr w:type="spellEnd"/>
      <w:r w:rsidRPr="00C94571">
        <w:t xml:space="preserve"> 2002</w:t>
      </w:r>
      <w:proofErr w:type="gramStart"/>
      <w:r w:rsidRPr="00C94571">
        <w:t>;50:541</w:t>
      </w:r>
      <w:proofErr w:type="gramEnd"/>
      <w:r w:rsidRPr="00C94571">
        <w:t>-545.</w:t>
      </w:r>
    </w:p>
  </w:footnote>
  <w:footnote w:id="5">
    <w:p w:rsidR="00FF3115" w:rsidRDefault="00FF3115" w:rsidP="008C2D32">
      <w:pPr>
        <w:pStyle w:val="FootnoteText"/>
      </w:pPr>
      <w:r>
        <w:rPr>
          <w:rStyle w:val="FootnoteReference"/>
        </w:rPr>
        <w:footnoteRef/>
      </w:r>
      <w:r>
        <w:t xml:space="preserve"> </w:t>
      </w:r>
      <w:proofErr w:type="spellStart"/>
      <w:r w:rsidR="00F04E4D" w:rsidRPr="00F04E4D">
        <w:rPr>
          <w:bCs/>
        </w:rPr>
        <w:t>Merrikin</w:t>
      </w:r>
      <w:proofErr w:type="spellEnd"/>
      <w:r w:rsidR="00F04E4D" w:rsidRPr="00F04E4D">
        <w:rPr>
          <w:bCs/>
        </w:rPr>
        <w:t xml:space="preserve"> DJ, </w:t>
      </w:r>
      <w:proofErr w:type="spellStart"/>
      <w:r w:rsidR="00F04E4D" w:rsidRPr="00F04E4D">
        <w:rPr>
          <w:bCs/>
        </w:rPr>
        <w:t>Briant</w:t>
      </w:r>
      <w:proofErr w:type="spellEnd"/>
      <w:r w:rsidR="00F04E4D" w:rsidRPr="00F04E4D">
        <w:rPr>
          <w:bCs/>
        </w:rPr>
        <w:t xml:space="preserve"> J, </w:t>
      </w:r>
      <w:proofErr w:type="spellStart"/>
      <w:r w:rsidR="00F04E4D" w:rsidRPr="00F04E4D">
        <w:rPr>
          <w:bCs/>
        </w:rPr>
        <w:t>Rolinson</w:t>
      </w:r>
      <w:proofErr w:type="spellEnd"/>
      <w:r w:rsidR="00F04E4D" w:rsidRPr="00F04E4D">
        <w:rPr>
          <w:bCs/>
        </w:rPr>
        <w:t xml:space="preserve"> GN</w:t>
      </w:r>
      <w:r w:rsidR="00F04E4D" w:rsidRPr="00F04E4D">
        <w:t xml:space="preserve">. </w:t>
      </w:r>
      <w:proofErr w:type="gramStart"/>
      <w:r w:rsidR="00F04E4D" w:rsidRPr="00F04E4D">
        <w:t xml:space="preserve">Effect of protein binding on antibiotic activity in </w:t>
      </w:r>
      <w:proofErr w:type="spellStart"/>
      <w:r w:rsidR="00F04E4D" w:rsidRPr="00F04E4D">
        <w:t>vivo.J</w:t>
      </w:r>
      <w:proofErr w:type="spellEnd"/>
      <w:r w:rsidR="00F04E4D" w:rsidRPr="00F04E4D">
        <w:t xml:space="preserve"> </w:t>
      </w:r>
      <w:proofErr w:type="spellStart"/>
      <w:r w:rsidR="00F04E4D" w:rsidRPr="00F04E4D">
        <w:t>Antimicrob</w:t>
      </w:r>
      <w:proofErr w:type="spellEnd"/>
      <w:r w:rsidR="00F04E4D" w:rsidRPr="00F04E4D">
        <w:t xml:space="preserve"> </w:t>
      </w:r>
      <w:proofErr w:type="spellStart"/>
      <w:r w:rsidR="00F04E4D" w:rsidRPr="00F04E4D">
        <w:t>Chemother</w:t>
      </w:r>
      <w:proofErr w:type="spellEnd"/>
      <w:r w:rsidR="00F04E4D" w:rsidRPr="00F04E4D">
        <w:t>.</w:t>
      </w:r>
      <w:proofErr w:type="gramEnd"/>
      <w:r w:rsidR="00F04E4D" w:rsidRPr="00F04E4D">
        <w:t xml:space="preserve"> 1983 Mar</w:t>
      </w:r>
      <w:proofErr w:type="gramStart"/>
      <w:r w:rsidR="00F04E4D" w:rsidRPr="00F04E4D">
        <w:t>;11</w:t>
      </w:r>
      <w:proofErr w:type="gramEnd"/>
      <w:r w:rsidR="00F04E4D" w:rsidRPr="00F04E4D">
        <w:t xml:space="preserve">(3):233-8; </w:t>
      </w:r>
      <w:proofErr w:type="spellStart"/>
      <w:r w:rsidR="00F04E4D" w:rsidRPr="00F04E4D">
        <w:rPr>
          <w:bCs/>
        </w:rPr>
        <w:t>Drusano</w:t>
      </w:r>
      <w:proofErr w:type="spellEnd"/>
      <w:r w:rsidR="00F04E4D" w:rsidRPr="00F04E4D">
        <w:rPr>
          <w:bCs/>
        </w:rPr>
        <w:t xml:space="preserve"> GL</w:t>
      </w:r>
      <w:r w:rsidR="00F04E4D" w:rsidRPr="00F04E4D">
        <w:t xml:space="preserve">. Role of pharmacokinetics in the outcome of infections. </w:t>
      </w:r>
      <w:proofErr w:type="spellStart"/>
      <w:r w:rsidR="00F04E4D" w:rsidRPr="00F04E4D">
        <w:t>AntimicrobAgents</w:t>
      </w:r>
      <w:proofErr w:type="spellEnd"/>
      <w:r w:rsidR="00F04E4D" w:rsidRPr="00F04E4D">
        <w:t xml:space="preserve"> </w:t>
      </w:r>
      <w:proofErr w:type="spellStart"/>
      <w:r w:rsidR="00F04E4D" w:rsidRPr="00F04E4D">
        <w:t>Chemother</w:t>
      </w:r>
      <w:proofErr w:type="spellEnd"/>
      <w:r w:rsidR="00F04E4D" w:rsidRPr="00F04E4D">
        <w:t>. 1988 Mar</w:t>
      </w:r>
      <w:proofErr w:type="gramStart"/>
      <w:r w:rsidR="00F04E4D" w:rsidRPr="00F04E4D">
        <w:t>;32</w:t>
      </w:r>
      <w:proofErr w:type="gramEnd"/>
      <w:r w:rsidR="00F04E4D" w:rsidRPr="00F04E4D">
        <w:t xml:space="preserve">(3):289-97; </w:t>
      </w:r>
      <w:r w:rsidR="00F04E4D" w:rsidRPr="00F04E4D">
        <w:rPr>
          <w:bCs/>
        </w:rPr>
        <w:t>Craig WA, Ebert SC</w:t>
      </w:r>
      <w:r w:rsidR="00F04E4D" w:rsidRPr="00F04E4D">
        <w:t xml:space="preserve">. </w:t>
      </w:r>
      <w:r w:rsidR="00F04E4D" w:rsidRPr="008C2D32">
        <w:t>Protein</w:t>
      </w:r>
      <w:r w:rsidR="00F04E4D" w:rsidRPr="00F04E4D">
        <w:t xml:space="preserve"> binding and its significance in antibacterial therapy. Infect Dis </w:t>
      </w:r>
      <w:proofErr w:type="spellStart"/>
      <w:r w:rsidR="00F04E4D" w:rsidRPr="00F04E4D">
        <w:t>Clin</w:t>
      </w:r>
      <w:proofErr w:type="spellEnd"/>
      <w:r w:rsidR="00F04E4D" w:rsidRPr="00F04E4D">
        <w:t xml:space="preserve"> North Am. 1989 Sep</w:t>
      </w:r>
      <w:proofErr w:type="gramStart"/>
      <w:r w:rsidR="00F04E4D" w:rsidRPr="00F04E4D">
        <w:t>;3</w:t>
      </w:r>
      <w:proofErr w:type="gramEnd"/>
      <w:r w:rsidR="00F04E4D" w:rsidRPr="00F04E4D">
        <w:t xml:space="preserve">(3):407-14; </w:t>
      </w:r>
      <w:proofErr w:type="spellStart"/>
      <w:r w:rsidR="00F04E4D" w:rsidRPr="00F04E4D">
        <w:rPr>
          <w:bCs/>
        </w:rPr>
        <w:t>Turnidge</w:t>
      </w:r>
      <w:proofErr w:type="spellEnd"/>
      <w:r w:rsidR="00F04E4D" w:rsidRPr="00F04E4D">
        <w:rPr>
          <w:bCs/>
        </w:rPr>
        <w:t xml:space="preserve"> J</w:t>
      </w:r>
      <w:r w:rsidR="00F04E4D" w:rsidRPr="00F04E4D">
        <w:t xml:space="preserve">. Pharmacokinetics and pharmacodynamics of </w:t>
      </w:r>
      <w:proofErr w:type="spellStart"/>
      <w:r w:rsidR="00F04E4D" w:rsidRPr="00F04E4D">
        <w:t>fluoroquinolones</w:t>
      </w:r>
      <w:proofErr w:type="spellEnd"/>
      <w:r w:rsidR="00F04E4D" w:rsidRPr="00F04E4D">
        <w:t xml:space="preserve">. </w:t>
      </w:r>
      <w:proofErr w:type="gramStart"/>
      <w:r w:rsidR="00F04E4D" w:rsidRPr="00F04E4D">
        <w:t>Drugs.</w:t>
      </w:r>
      <w:proofErr w:type="gramEnd"/>
      <w:r w:rsidR="00F04E4D" w:rsidRPr="00F04E4D">
        <w:t xml:space="preserve"> 1999; 58 </w:t>
      </w:r>
      <w:proofErr w:type="spellStart"/>
      <w:r w:rsidR="00F04E4D" w:rsidRPr="00F04E4D">
        <w:t>Suppl</w:t>
      </w:r>
      <w:proofErr w:type="spellEnd"/>
      <w:r w:rsidR="00F04E4D" w:rsidRPr="00F04E4D">
        <w:t xml:space="preserve"> 2:29-36; </w:t>
      </w:r>
      <w:proofErr w:type="spellStart"/>
      <w:r w:rsidR="00F04E4D" w:rsidRPr="00F04E4D">
        <w:rPr>
          <w:bCs/>
        </w:rPr>
        <w:t>Bergogne-Bérézin</w:t>
      </w:r>
      <w:proofErr w:type="spellEnd"/>
      <w:r w:rsidR="00F04E4D" w:rsidRPr="00F04E4D">
        <w:rPr>
          <w:bCs/>
        </w:rPr>
        <w:t xml:space="preserve"> E</w:t>
      </w:r>
      <w:r w:rsidR="00F04E4D" w:rsidRPr="00F04E4D">
        <w:t xml:space="preserve">. Clinical role of protein binding of </w:t>
      </w:r>
      <w:proofErr w:type="spellStart"/>
      <w:r w:rsidR="00F04E4D" w:rsidRPr="00F04E4D">
        <w:t>quinolones.Clin</w:t>
      </w:r>
      <w:proofErr w:type="spellEnd"/>
      <w:r w:rsidR="00F04E4D" w:rsidRPr="00F04E4D">
        <w:t xml:space="preserve"> </w:t>
      </w:r>
      <w:proofErr w:type="spellStart"/>
      <w:r w:rsidR="00F04E4D" w:rsidRPr="00F04E4D">
        <w:t>Pharmacokinet</w:t>
      </w:r>
      <w:proofErr w:type="spellEnd"/>
      <w:r w:rsidR="00F04E4D" w:rsidRPr="00F04E4D">
        <w:t xml:space="preserve">. 2002; 41(10):741-50; </w:t>
      </w:r>
      <w:proofErr w:type="spellStart"/>
      <w:r w:rsidR="00F04E4D" w:rsidRPr="00F04E4D">
        <w:rPr>
          <w:bCs/>
        </w:rPr>
        <w:t>Zeitlinger</w:t>
      </w:r>
      <w:proofErr w:type="spellEnd"/>
      <w:r w:rsidR="00F04E4D" w:rsidRPr="00F04E4D">
        <w:rPr>
          <w:bCs/>
        </w:rPr>
        <w:t xml:space="preserve"> M, </w:t>
      </w:r>
      <w:proofErr w:type="spellStart"/>
      <w:r w:rsidR="00F04E4D" w:rsidRPr="00F04E4D">
        <w:rPr>
          <w:bCs/>
        </w:rPr>
        <w:t>Sauermann</w:t>
      </w:r>
      <w:proofErr w:type="spellEnd"/>
      <w:r w:rsidR="00F04E4D" w:rsidRPr="00F04E4D">
        <w:rPr>
          <w:bCs/>
        </w:rPr>
        <w:t xml:space="preserve"> R, </w:t>
      </w:r>
      <w:proofErr w:type="spellStart"/>
      <w:r w:rsidR="00F04E4D" w:rsidRPr="00F04E4D">
        <w:rPr>
          <w:bCs/>
        </w:rPr>
        <w:t>Fille</w:t>
      </w:r>
      <w:proofErr w:type="spellEnd"/>
      <w:r w:rsidR="00F04E4D" w:rsidRPr="00F04E4D">
        <w:rPr>
          <w:bCs/>
        </w:rPr>
        <w:t xml:space="preserve"> M, </w:t>
      </w:r>
      <w:proofErr w:type="spellStart"/>
      <w:r w:rsidR="00F04E4D" w:rsidRPr="00F04E4D">
        <w:rPr>
          <w:bCs/>
        </w:rPr>
        <w:t>Hausdorfer</w:t>
      </w:r>
      <w:proofErr w:type="spellEnd"/>
      <w:r w:rsidR="00F04E4D" w:rsidRPr="00F04E4D">
        <w:rPr>
          <w:bCs/>
        </w:rPr>
        <w:t xml:space="preserve"> J, </w:t>
      </w:r>
      <w:proofErr w:type="spellStart"/>
      <w:r w:rsidR="00F04E4D" w:rsidRPr="00F04E4D">
        <w:rPr>
          <w:bCs/>
        </w:rPr>
        <w:t>Leitner</w:t>
      </w:r>
      <w:proofErr w:type="spellEnd"/>
      <w:r w:rsidR="00F04E4D" w:rsidRPr="00F04E4D">
        <w:rPr>
          <w:bCs/>
        </w:rPr>
        <w:t xml:space="preserve"> I, Müller M</w:t>
      </w:r>
      <w:r w:rsidR="00F04E4D" w:rsidRPr="00F04E4D">
        <w:t xml:space="preserve">. Plasma protein binding of </w:t>
      </w:r>
      <w:proofErr w:type="spellStart"/>
      <w:r w:rsidR="00F04E4D" w:rsidRPr="00F04E4D">
        <w:t>fluoroquinolones</w:t>
      </w:r>
      <w:proofErr w:type="spellEnd"/>
      <w:r w:rsidR="00F04E4D" w:rsidRPr="00F04E4D">
        <w:t xml:space="preserve"> affects antimicrobial activity. </w:t>
      </w:r>
      <w:proofErr w:type="gramStart"/>
      <w:r w:rsidR="00F04E4D" w:rsidRPr="00F04E4D">
        <w:t xml:space="preserve">J </w:t>
      </w:r>
      <w:proofErr w:type="spellStart"/>
      <w:r w:rsidR="00F04E4D" w:rsidRPr="00F04E4D">
        <w:t>Antimicrob</w:t>
      </w:r>
      <w:proofErr w:type="spellEnd"/>
      <w:r w:rsidR="00F04E4D" w:rsidRPr="00F04E4D">
        <w:t xml:space="preserve"> </w:t>
      </w:r>
      <w:proofErr w:type="spellStart"/>
      <w:r w:rsidR="00F04E4D" w:rsidRPr="00F04E4D">
        <w:t>Chemother</w:t>
      </w:r>
      <w:proofErr w:type="spellEnd"/>
      <w:r w:rsidR="00F04E4D" w:rsidRPr="00F04E4D">
        <w:t>.</w:t>
      </w:r>
      <w:proofErr w:type="gramEnd"/>
      <w:r w:rsidR="00F04E4D" w:rsidRPr="00F04E4D">
        <w:t xml:space="preserve"> 2008 Mar; 61(3):561-7.</w:t>
      </w:r>
    </w:p>
  </w:footnote>
  <w:footnote w:id="6">
    <w:p w:rsidR="00294EAE" w:rsidRDefault="00294EAE" w:rsidP="00A74DCD">
      <w:pPr>
        <w:pStyle w:val="FootnoteText"/>
      </w:pPr>
      <w:r>
        <w:rPr>
          <w:rStyle w:val="FootnoteReference"/>
        </w:rPr>
        <w:footnoteRef/>
      </w:r>
      <w:r>
        <w:t xml:space="preserve"> </w:t>
      </w:r>
      <w:r w:rsidRPr="00222A3F">
        <w:rPr>
          <w:bCs/>
        </w:rPr>
        <w:t>Wright DH, et al</w:t>
      </w:r>
      <w:r w:rsidRPr="00222A3F">
        <w:t xml:space="preserve">. Application of </w:t>
      </w:r>
      <w:proofErr w:type="spellStart"/>
      <w:r w:rsidRPr="00222A3F">
        <w:t>fluoroquinolone</w:t>
      </w:r>
      <w:proofErr w:type="spellEnd"/>
      <w:r w:rsidRPr="00222A3F">
        <w:t xml:space="preserve"> pharmacodynamics. </w:t>
      </w:r>
      <w:proofErr w:type="gramStart"/>
      <w:r w:rsidRPr="00222A3F">
        <w:t xml:space="preserve">J </w:t>
      </w:r>
      <w:proofErr w:type="spellStart"/>
      <w:r w:rsidRPr="00222A3F">
        <w:t>Antimicrob</w:t>
      </w:r>
      <w:proofErr w:type="spellEnd"/>
      <w:r w:rsidRPr="00222A3F">
        <w:t xml:space="preserve"> </w:t>
      </w:r>
      <w:proofErr w:type="spellStart"/>
      <w:r w:rsidRPr="00222A3F">
        <w:t>Chemother</w:t>
      </w:r>
      <w:proofErr w:type="spellEnd"/>
      <w:r w:rsidRPr="00222A3F">
        <w:t>.</w:t>
      </w:r>
      <w:proofErr w:type="gramEnd"/>
      <w:r w:rsidRPr="00222A3F">
        <w:t xml:space="preserve"> 2000 Nov; 46(5):669-83; </w:t>
      </w:r>
      <w:r w:rsidRPr="00222A3F">
        <w:rPr>
          <w:bCs/>
        </w:rPr>
        <w:t>Allen GP, et al</w:t>
      </w:r>
      <w:r w:rsidRPr="00222A3F">
        <w:t xml:space="preserve">. </w:t>
      </w:r>
      <w:proofErr w:type="gramStart"/>
      <w:r w:rsidRPr="00222A3F">
        <w:t xml:space="preserve">In vitro activities of mutant </w:t>
      </w:r>
      <w:r w:rsidRPr="00A74DCD">
        <w:t>prevention</w:t>
      </w:r>
      <w:r w:rsidRPr="00222A3F">
        <w:t xml:space="preserve"> </w:t>
      </w:r>
      <w:proofErr w:type="spellStart"/>
      <w:r w:rsidRPr="00222A3F">
        <w:t>concentrationtargeted</w:t>
      </w:r>
      <w:proofErr w:type="spellEnd"/>
      <w:r w:rsidRPr="00222A3F">
        <w:t xml:space="preserve"> concentrations of </w:t>
      </w:r>
      <w:proofErr w:type="spellStart"/>
      <w:r w:rsidRPr="00222A3F">
        <w:t>fluoroquinolones</w:t>
      </w:r>
      <w:proofErr w:type="spellEnd"/>
      <w:r w:rsidRPr="00222A3F">
        <w:t xml:space="preserve"> against </w:t>
      </w:r>
      <w:r w:rsidRPr="00222A3F">
        <w:rPr>
          <w:i/>
          <w:iCs/>
        </w:rPr>
        <w:t xml:space="preserve">Staphylococcus </w:t>
      </w:r>
      <w:proofErr w:type="spellStart"/>
      <w:r w:rsidRPr="00222A3F">
        <w:rPr>
          <w:i/>
          <w:iCs/>
        </w:rPr>
        <w:t>aureus</w:t>
      </w:r>
      <w:proofErr w:type="spellEnd"/>
      <w:r w:rsidRPr="00222A3F">
        <w:rPr>
          <w:i/>
          <w:iCs/>
        </w:rPr>
        <w:t xml:space="preserve"> </w:t>
      </w:r>
      <w:r w:rsidRPr="00222A3F">
        <w:t xml:space="preserve">in a </w:t>
      </w:r>
      <w:proofErr w:type="spellStart"/>
      <w:r w:rsidRPr="00222A3F">
        <w:t>pharmacodynamic</w:t>
      </w:r>
      <w:proofErr w:type="spellEnd"/>
      <w:r w:rsidRPr="00222A3F">
        <w:t xml:space="preserve"> model.</w:t>
      </w:r>
      <w:proofErr w:type="gramEnd"/>
      <w:r w:rsidRPr="00222A3F">
        <w:t xml:space="preserve"> </w:t>
      </w:r>
      <w:proofErr w:type="spellStart"/>
      <w:proofErr w:type="gramStart"/>
      <w:r w:rsidRPr="00222A3F">
        <w:t>Int</w:t>
      </w:r>
      <w:proofErr w:type="spellEnd"/>
      <w:r w:rsidRPr="00222A3F">
        <w:t xml:space="preserve"> J </w:t>
      </w:r>
      <w:proofErr w:type="spellStart"/>
      <w:r w:rsidRPr="00222A3F">
        <w:t>Antimicrob</w:t>
      </w:r>
      <w:proofErr w:type="spellEnd"/>
      <w:r w:rsidRPr="00222A3F">
        <w:t xml:space="preserve"> Agents.</w:t>
      </w:r>
      <w:proofErr w:type="gramEnd"/>
      <w:r w:rsidRPr="00222A3F">
        <w:t xml:space="preserve"> 2004 Aug; 24(2):150-60; </w:t>
      </w:r>
      <w:r w:rsidRPr="00222A3F">
        <w:rPr>
          <w:bCs/>
        </w:rPr>
        <w:t>Metzler K, et al</w:t>
      </w:r>
      <w:r w:rsidRPr="00222A3F">
        <w:t xml:space="preserve">. Comparison of minimal inhibitory and mutant prevention drug concentrations of 4 </w:t>
      </w:r>
      <w:proofErr w:type="spellStart"/>
      <w:r w:rsidRPr="00222A3F">
        <w:t>fluoroquinolones</w:t>
      </w:r>
      <w:proofErr w:type="spellEnd"/>
      <w:r w:rsidRPr="00222A3F">
        <w:t xml:space="preserve">. </w:t>
      </w:r>
      <w:proofErr w:type="spellStart"/>
      <w:proofErr w:type="gramStart"/>
      <w:r w:rsidRPr="00222A3F">
        <w:t>Int</w:t>
      </w:r>
      <w:proofErr w:type="spellEnd"/>
      <w:r w:rsidRPr="00222A3F">
        <w:t xml:space="preserve"> J </w:t>
      </w:r>
      <w:proofErr w:type="spellStart"/>
      <w:r w:rsidRPr="00222A3F">
        <w:t>Antimicrob</w:t>
      </w:r>
      <w:proofErr w:type="spellEnd"/>
      <w:r w:rsidRPr="00222A3F">
        <w:t xml:space="preserve"> Agents.</w:t>
      </w:r>
      <w:proofErr w:type="gramEnd"/>
      <w:r w:rsidRPr="00222A3F">
        <w:t xml:space="preserve"> 2004 Aug; 24 (2):161-7; </w:t>
      </w:r>
      <w:r w:rsidRPr="00222A3F">
        <w:rPr>
          <w:bCs/>
        </w:rPr>
        <w:t>Smith HJ, et al</w:t>
      </w:r>
      <w:r w:rsidRPr="00222A3F">
        <w:t xml:space="preserve">. Mutant prevention concentrations for single-step </w:t>
      </w:r>
      <w:proofErr w:type="spellStart"/>
      <w:r w:rsidRPr="00222A3F">
        <w:t>fluoroquinolone-resistantmutants</w:t>
      </w:r>
      <w:proofErr w:type="spellEnd"/>
      <w:r w:rsidRPr="00222A3F">
        <w:t xml:space="preserve"> of wild-type, </w:t>
      </w:r>
      <w:proofErr w:type="spellStart"/>
      <w:r w:rsidRPr="00222A3F">
        <w:t>effluxpositive</w:t>
      </w:r>
      <w:proofErr w:type="spellEnd"/>
      <w:r w:rsidRPr="00222A3F">
        <w:t xml:space="preserve">, or </w:t>
      </w:r>
      <w:proofErr w:type="spellStart"/>
      <w:r w:rsidRPr="00222A3F">
        <w:rPr>
          <w:i/>
          <w:iCs/>
        </w:rPr>
        <w:t>ParC</w:t>
      </w:r>
      <w:proofErr w:type="spellEnd"/>
      <w:r w:rsidRPr="00222A3F">
        <w:rPr>
          <w:i/>
          <w:iCs/>
        </w:rPr>
        <w:t xml:space="preserve"> </w:t>
      </w:r>
      <w:r w:rsidRPr="00222A3F">
        <w:t xml:space="preserve">or </w:t>
      </w:r>
      <w:proofErr w:type="spellStart"/>
      <w:r w:rsidRPr="00222A3F">
        <w:rPr>
          <w:i/>
          <w:iCs/>
        </w:rPr>
        <w:t>GyrA</w:t>
      </w:r>
      <w:proofErr w:type="spellEnd"/>
      <w:r w:rsidRPr="00222A3F">
        <w:rPr>
          <w:i/>
          <w:iCs/>
        </w:rPr>
        <w:t xml:space="preserve"> </w:t>
      </w:r>
      <w:r w:rsidRPr="00222A3F">
        <w:t xml:space="preserve">mutation-containing </w:t>
      </w:r>
      <w:r w:rsidRPr="00222A3F">
        <w:rPr>
          <w:i/>
          <w:iCs/>
        </w:rPr>
        <w:t xml:space="preserve">Streptococcus </w:t>
      </w:r>
      <w:proofErr w:type="spellStart"/>
      <w:r w:rsidRPr="00222A3F">
        <w:rPr>
          <w:i/>
          <w:iCs/>
        </w:rPr>
        <w:t>pneumoniae</w:t>
      </w:r>
      <w:proofErr w:type="spellEnd"/>
      <w:r w:rsidRPr="00222A3F">
        <w:rPr>
          <w:i/>
          <w:iCs/>
        </w:rPr>
        <w:t xml:space="preserve"> </w:t>
      </w:r>
      <w:r w:rsidRPr="00222A3F">
        <w:t xml:space="preserve">isolates. </w:t>
      </w:r>
      <w:proofErr w:type="spellStart"/>
      <w:proofErr w:type="gramStart"/>
      <w:r w:rsidRPr="00222A3F">
        <w:t>Antimicrob</w:t>
      </w:r>
      <w:proofErr w:type="spellEnd"/>
      <w:r w:rsidRPr="00222A3F">
        <w:t xml:space="preserve"> Agents </w:t>
      </w:r>
      <w:proofErr w:type="spellStart"/>
      <w:r w:rsidRPr="00222A3F">
        <w:t>Chemother</w:t>
      </w:r>
      <w:proofErr w:type="spellEnd"/>
      <w:r w:rsidRPr="00222A3F">
        <w:t>.</w:t>
      </w:r>
      <w:proofErr w:type="gramEnd"/>
      <w:r w:rsidRPr="00222A3F">
        <w:t xml:space="preserve"> 2004 Oct; 48 (10):3954-8; </w:t>
      </w:r>
      <w:proofErr w:type="spellStart"/>
      <w:r w:rsidRPr="00222A3F">
        <w:rPr>
          <w:bCs/>
        </w:rPr>
        <w:t>Hermsen</w:t>
      </w:r>
      <w:proofErr w:type="spellEnd"/>
      <w:r w:rsidRPr="00222A3F">
        <w:rPr>
          <w:bCs/>
        </w:rPr>
        <w:t xml:space="preserve"> ED, et al</w:t>
      </w:r>
      <w:r w:rsidRPr="00222A3F">
        <w:t xml:space="preserve">. Mutant prevention concentrations of ABT-492, levofloxacin, </w:t>
      </w:r>
      <w:proofErr w:type="spellStart"/>
      <w:r w:rsidRPr="00222A3F">
        <w:t>moxifloxacin</w:t>
      </w:r>
      <w:proofErr w:type="spellEnd"/>
      <w:r w:rsidRPr="00222A3F">
        <w:t xml:space="preserve">, and </w:t>
      </w:r>
      <w:proofErr w:type="spellStart"/>
      <w:r w:rsidRPr="00222A3F">
        <w:t>gatifloxacin</w:t>
      </w:r>
      <w:proofErr w:type="spellEnd"/>
      <w:r w:rsidRPr="00222A3F">
        <w:t xml:space="preserve"> against three common respiratory pathogens. </w:t>
      </w:r>
      <w:proofErr w:type="spellStart"/>
      <w:proofErr w:type="gramStart"/>
      <w:r w:rsidRPr="00222A3F">
        <w:t>Antimicrob</w:t>
      </w:r>
      <w:proofErr w:type="spellEnd"/>
      <w:r w:rsidRPr="00222A3F">
        <w:t xml:space="preserve"> Agents </w:t>
      </w:r>
      <w:proofErr w:type="spellStart"/>
      <w:r w:rsidRPr="00222A3F">
        <w:t>Chemother</w:t>
      </w:r>
      <w:proofErr w:type="spellEnd"/>
      <w:r w:rsidRPr="00222A3F">
        <w:t>.</w:t>
      </w:r>
      <w:proofErr w:type="gramEnd"/>
      <w:r w:rsidRPr="00222A3F">
        <w:t xml:space="preserve"> 2005 Apr; 49(4):1633-5.</w:t>
      </w:r>
    </w:p>
  </w:footnote>
  <w:footnote w:id="7">
    <w:p w:rsidR="00EB5F94" w:rsidRDefault="00EB5F94" w:rsidP="00A74DCD">
      <w:pPr>
        <w:pStyle w:val="FootnoteText"/>
      </w:pPr>
      <w:r>
        <w:rPr>
          <w:rStyle w:val="FootnoteReference"/>
        </w:rPr>
        <w:footnoteRef/>
      </w:r>
      <w:r>
        <w:t xml:space="preserve"> </w:t>
      </w:r>
      <w:r w:rsidRPr="00EB5F94">
        <w:rPr>
          <w:bCs/>
        </w:rPr>
        <w:t>Nightingale CH</w:t>
      </w:r>
      <w:r w:rsidRPr="00EB5F94">
        <w:t xml:space="preserve">. Future in vitro and animal </w:t>
      </w:r>
      <w:r w:rsidRPr="00A74DCD">
        <w:t>studies</w:t>
      </w:r>
      <w:r w:rsidRPr="00EB5F94">
        <w:t xml:space="preserve">: development of pharmacokinetic and </w:t>
      </w:r>
      <w:proofErr w:type="spellStart"/>
      <w:r w:rsidRPr="00EB5F94">
        <w:t>pharmacodynamic</w:t>
      </w:r>
      <w:proofErr w:type="spellEnd"/>
      <w:r w:rsidRPr="00EB5F94">
        <w:t xml:space="preserve"> efficacy predictors for tissue-based antibiotics. Pharmacotherapy.2005 Dec; 25(12 </w:t>
      </w:r>
      <w:proofErr w:type="spellStart"/>
      <w:r w:rsidRPr="00EB5F94">
        <w:t>Pt</w:t>
      </w:r>
      <w:proofErr w:type="spellEnd"/>
      <w:r w:rsidRPr="00EB5F94">
        <w:t xml:space="preserve"> 2):146S-149S.</w:t>
      </w:r>
    </w:p>
  </w:footnote>
  <w:footnote w:id="8">
    <w:p w:rsidR="008A7098" w:rsidRDefault="008A7098" w:rsidP="0076348D">
      <w:pPr>
        <w:pStyle w:val="FootnoteText"/>
      </w:pPr>
      <w:r>
        <w:rPr>
          <w:rStyle w:val="FootnoteReference"/>
        </w:rPr>
        <w:footnoteRef/>
      </w:r>
      <w:r>
        <w:t xml:space="preserve"> </w:t>
      </w:r>
      <w:proofErr w:type="spellStart"/>
      <w:r w:rsidRPr="00F20EF8">
        <w:t>Sanfilippo</w:t>
      </w:r>
      <w:proofErr w:type="spellEnd"/>
      <w:r w:rsidRPr="00F20EF8">
        <w:t xml:space="preserve"> CM, </w:t>
      </w:r>
      <w:proofErr w:type="spellStart"/>
      <w:r w:rsidRPr="00F20EF8">
        <w:t>Hesje</w:t>
      </w:r>
      <w:proofErr w:type="spellEnd"/>
      <w:r w:rsidRPr="00F20EF8">
        <w:t xml:space="preserve"> CK, Haas W, Morris T. </w:t>
      </w:r>
      <w:proofErr w:type="spellStart"/>
      <w:r w:rsidRPr="00F20EF8">
        <w:t>Toposomerase</w:t>
      </w:r>
      <w:proofErr w:type="spellEnd"/>
      <w:r w:rsidRPr="00F20EF8">
        <w:t xml:space="preserve"> Mutations that are Associated with High-level resistance to earlier </w:t>
      </w:r>
      <w:proofErr w:type="spellStart"/>
      <w:r w:rsidRPr="00F20EF8">
        <w:t>Fluoroquinolones</w:t>
      </w:r>
      <w:proofErr w:type="spellEnd"/>
      <w:r w:rsidRPr="00F20EF8">
        <w:t xml:space="preserve"> in </w:t>
      </w:r>
      <w:r w:rsidRPr="0076348D">
        <w:t>Staphylococcus</w:t>
      </w:r>
      <w:r w:rsidRPr="00F20EF8">
        <w:t xml:space="preserve"> </w:t>
      </w:r>
      <w:proofErr w:type="spellStart"/>
      <w:r w:rsidRPr="00F20EF8">
        <w:t>aureus</w:t>
      </w:r>
      <w:proofErr w:type="spellEnd"/>
      <w:r w:rsidRPr="00F20EF8">
        <w:t xml:space="preserve"> have less effect on the antibacterial activity of </w:t>
      </w:r>
      <w:proofErr w:type="spellStart"/>
      <w:r w:rsidRPr="00F20EF8">
        <w:t>Besifloxacin</w:t>
      </w:r>
      <w:proofErr w:type="spellEnd"/>
      <w:r w:rsidRPr="00F20EF8">
        <w:t>. Chemotherapy 2011; 57:363-371.</w:t>
      </w:r>
    </w:p>
  </w:footnote>
  <w:footnote w:id="9">
    <w:p w:rsidR="008A7098" w:rsidRDefault="008A7098" w:rsidP="0076348D">
      <w:pPr>
        <w:pStyle w:val="FootnoteText"/>
      </w:pPr>
      <w:r>
        <w:rPr>
          <w:rStyle w:val="FootnoteReference"/>
        </w:rPr>
        <w:footnoteRef/>
      </w:r>
      <w:r>
        <w:t xml:space="preserve"> </w:t>
      </w:r>
      <w:proofErr w:type="spellStart"/>
      <w:proofErr w:type="gramStart"/>
      <w:r w:rsidRPr="00F20EF8">
        <w:t>Karpecki</w:t>
      </w:r>
      <w:proofErr w:type="spellEnd"/>
      <w:r w:rsidRPr="00F20EF8">
        <w:t xml:space="preserve"> P, </w:t>
      </w:r>
      <w:proofErr w:type="spellStart"/>
      <w:r w:rsidRPr="00F20EF8">
        <w:t>Paterno</w:t>
      </w:r>
      <w:proofErr w:type="spellEnd"/>
      <w:r w:rsidRPr="00F20EF8">
        <w:t xml:space="preserve"> M and </w:t>
      </w:r>
      <w:r w:rsidRPr="0076348D">
        <w:t>Comstock</w:t>
      </w:r>
      <w:r w:rsidRPr="00F20EF8">
        <w:t xml:space="preserve"> T. Limitations of Current Antibiotics for the Treatment of Bacterial Conjunctivitis.</w:t>
      </w:r>
      <w:proofErr w:type="gramEnd"/>
      <w:r w:rsidRPr="00F20EF8">
        <w:t xml:space="preserve"> </w:t>
      </w:r>
      <w:proofErr w:type="spellStart"/>
      <w:proofErr w:type="gramStart"/>
      <w:r w:rsidRPr="00F20EF8">
        <w:t>Optom</w:t>
      </w:r>
      <w:proofErr w:type="spellEnd"/>
      <w:r w:rsidRPr="00F20EF8">
        <w:t xml:space="preserve"> Vis </w:t>
      </w:r>
      <w:proofErr w:type="spellStart"/>
      <w:r w:rsidRPr="00F20EF8">
        <w:t>Sci</w:t>
      </w:r>
      <w:proofErr w:type="spellEnd"/>
      <w:r w:rsidRPr="00F20EF8">
        <w:t xml:space="preserve"> 201; 87:908-919.</w:t>
      </w:r>
      <w:proofErr w:type="gramEnd"/>
    </w:p>
  </w:footnote>
  <w:footnote w:id="10">
    <w:p w:rsidR="00F20EF8" w:rsidRDefault="00F20EF8" w:rsidP="0076348D">
      <w:pPr>
        <w:pStyle w:val="FootnoteText"/>
      </w:pPr>
      <w:r>
        <w:rPr>
          <w:rStyle w:val="FootnoteReference"/>
        </w:rPr>
        <w:footnoteRef/>
      </w:r>
      <w:r>
        <w:t xml:space="preserve"> </w:t>
      </w:r>
      <w:proofErr w:type="spellStart"/>
      <w:r w:rsidRPr="00F20EF8">
        <w:t>Bertino</w:t>
      </w:r>
      <w:proofErr w:type="spellEnd"/>
      <w:r w:rsidRPr="00F20EF8">
        <w:t xml:space="preserve"> JS. Impact of antibiotic </w:t>
      </w:r>
      <w:proofErr w:type="spellStart"/>
      <w:r w:rsidRPr="0076348D">
        <w:t>reistance</w:t>
      </w:r>
      <w:proofErr w:type="spellEnd"/>
      <w:r w:rsidRPr="00F20EF8">
        <w:t xml:space="preserve"> in the management of ocular infections: the role of current and future antibiotics. Clinical Ophthalmology 2009; 3:507-521.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838" w:rsidRDefault="00253838"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838" w:rsidRDefault="00367786">
    <w:pPr>
      <w:rPr>
        <w:noProof/>
        <w:lang w:eastAsia="en-AU"/>
      </w:rPr>
    </w:pPr>
    <w:r>
      <w:rPr>
        <w:noProof/>
        <w:lang w:eastAsia="en-AU"/>
      </w:rPr>
      <w:drawing>
        <wp:anchor distT="0" distB="0" distL="114300" distR="114300" simplePos="0" relativeHeight="251657728" behindDoc="1" locked="0" layoutInCell="1" allowOverlap="1">
          <wp:simplePos x="0" y="0"/>
          <wp:positionH relativeFrom="column">
            <wp:posOffset>-1084050</wp:posOffset>
          </wp:positionH>
          <wp:positionV relativeFrom="paragraph">
            <wp:posOffset>-585470</wp:posOffset>
          </wp:positionV>
          <wp:extent cx="7568565" cy="10706100"/>
          <wp:effectExtent l="0" t="0" r="0" b="0"/>
          <wp:wrapNone/>
          <wp:docPr id="2"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herapeutic Goods Administra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8565"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53838" w:rsidRDefault="00367786" w:rsidP="00593AD1">
    <w:pPr>
      <w:pStyle w:val="HeaderNoLine"/>
    </w:pPr>
    <w:r>
      <w:rPr>
        <w:noProof/>
        <w:lang w:eastAsia="en-AU"/>
      </w:rPr>
      <w:drawing>
        <wp:inline distT="0" distB="0" distL="0" distR="0">
          <wp:extent cx="5396865" cy="7635240"/>
          <wp:effectExtent l="0" t="0" r="0" b="3810"/>
          <wp:docPr id="1" name="Picture 1"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6865" cy="763524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838" w:rsidRDefault="0025383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838" w:rsidRDefault="00253838">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838" w:rsidRDefault="00253838">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838" w:rsidRDefault="00253838">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838" w:rsidRDefault="00253838" w:rsidP="008D770F">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838" w:rsidRDefault="00253838" w:rsidP="006E08B3">
    <w:r>
      <w:t>Therapeutic Goods Administration</w:t>
    </w:r>
  </w:p>
  <w:p w:rsidR="00253838" w:rsidRDefault="00253838"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1F2AF6E"/>
    <w:lvl w:ilvl="0">
      <w:start w:val="1"/>
      <w:numFmt w:val="decimal"/>
      <w:lvlText w:val="%1."/>
      <w:lvlJc w:val="left"/>
      <w:pPr>
        <w:tabs>
          <w:tab w:val="num" w:pos="1492"/>
        </w:tabs>
        <w:ind w:left="1492" w:hanging="360"/>
      </w:pPr>
    </w:lvl>
  </w:abstractNum>
  <w:abstractNum w:abstractNumId="1">
    <w:nsid w:val="FFFFFF7D"/>
    <w:multiLevelType w:val="singleLevel"/>
    <w:tmpl w:val="682CE454"/>
    <w:lvl w:ilvl="0">
      <w:start w:val="1"/>
      <w:numFmt w:val="decimal"/>
      <w:lvlText w:val="%1."/>
      <w:lvlJc w:val="left"/>
      <w:pPr>
        <w:tabs>
          <w:tab w:val="num" w:pos="1209"/>
        </w:tabs>
        <w:ind w:left="1209" w:hanging="360"/>
      </w:pPr>
    </w:lvl>
  </w:abstractNum>
  <w:abstractNum w:abstractNumId="2">
    <w:nsid w:val="FFFFFF7E"/>
    <w:multiLevelType w:val="singleLevel"/>
    <w:tmpl w:val="F1087668"/>
    <w:lvl w:ilvl="0">
      <w:start w:val="1"/>
      <w:numFmt w:val="decimal"/>
      <w:lvlText w:val="%1."/>
      <w:lvlJc w:val="left"/>
      <w:pPr>
        <w:tabs>
          <w:tab w:val="num" w:pos="926"/>
        </w:tabs>
        <w:ind w:left="926" w:hanging="360"/>
      </w:pPr>
    </w:lvl>
  </w:abstractNum>
  <w:abstractNum w:abstractNumId="3">
    <w:nsid w:val="FFFFFF7F"/>
    <w:multiLevelType w:val="singleLevel"/>
    <w:tmpl w:val="C4B84FAE"/>
    <w:lvl w:ilvl="0">
      <w:start w:val="1"/>
      <w:numFmt w:val="decimal"/>
      <w:lvlText w:val="%1."/>
      <w:lvlJc w:val="left"/>
      <w:pPr>
        <w:tabs>
          <w:tab w:val="num" w:pos="643"/>
        </w:tabs>
        <w:ind w:left="643" w:hanging="360"/>
      </w:pPr>
    </w:lvl>
  </w:abstractNum>
  <w:abstractNum w:abstractNumId="4">
    <w:nsid w:val="FFFFFF80"/>
    <w:multiLevelType w:val="singleLevel"/>
    <w:tmpl w:val="CD2ED55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74C057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8">
    <w:nsid w:val="FFFFFF88"/>
    <w:multiLevelType w:val="singleLevel"/>
    <w:tmpl w:val="94A89686"/>
    <w:lvl w:ilvl="0">
      <w:start w:val="1"/>
      <w:numFmt w:val="decimal"/>
      <w:lvlText w:val="%1."/>
      <w:lvlJc w:val="left"/>
      <w:pPr>
        <w:tabs>
          <w:tab w:val="num" w:pos="360"/>
        </w:tabs>
        <w:ind w:left="360" w:hanging="360"/>
      </w:pPr>
    </w:lvl>
  </w:abstractNum>
  <w:abstractNum w:abstractNumId="9">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B8320B0A"/>
    <w:lvl w:ilvl="0">
      <w:numFmt w:val="bullet"/>
      <w:lvlText w:val="*"/>
      <w:lvlJc w:val="left"/>
    </w:lvl>
  </w:abstractNum>
  <w:abstractNum w:abstractNumId="11">
    <w:nsid w:val="10053F11"/>
    <w:multiLevelType w:val="multilevel"/>
    <w:tmpl w:val="0F36DBE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2">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3">
    <w:nsid w:val="1AD50951"/>
    <w:multiLevelType w:val="hybridMultilevel"/>
    <w:tmpl w:val="3CCE31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3066740A"/>
    <w:multiLevelType w:val="hybridMultilevel"/>
    <w:tmpl w:val="4AC4A154"/>
    <w:lvl w:ilvl="0" w:tplc="AAAE3F22">
      <w:start w:val="1"/>
      <w:numFmt w:val="bullet"/>
      <w:pStyle w:val="Bullet1"/>
      <w:lvlText w:val="•"/>
      <w:lvlJc w:val="left"/>
      <w:pPr>
        <w:tabs>
          <w:tab w:val="num" w:pos="284"/>
        </w:tabs>
        <w:ind w:left="284" w:hanging="284"/>
      </w:pPr>
      <w:rPr>
        <w:rFonts w:ascii="Times New Roman" w:hAnsi="Times New Roman" w:cs="Times New Roman" w:hint="default"/>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15">
    <w:nsid w:val="3AC02909"/>
    <w:multiLevelType w:val="hybridMultilevel"/>
    <w:tmpl w:val="CD1E8250"/>
    <w:lvl w:ilvl="0" w:tplc="3B76980A">
      <w:start w:val="1"/>
      <w:numFmt w:val="bullet"/>
      <w:pStyle w:val="Bullet2"/>
      <w:lvlText w:val="-"/>
      <w:lvlJc w:val="left"/>
      <w:pPr>
        <w:tabs>
          <w:tab w:val="num" w:pos="567"/>
        </w:tabs>
        <w:ind w:left="567" w:hanging="283"/>
      </w:pPr>
      <w:rPr>
        <w:rFonts w:ascii="Arial" w:hAnsi="Arial" w:hint="default"/>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16">
    <w:nsid w:val="3CDE52D0"/>
    <w:multiLevelType w:val="hybridMultilevel"/>
    <w:tmpl w:val="BB3EDD04"/>
    <w:lvl w:ilvl="0" w:tplc="1D1E80C4">
      <w:start w:val="1"/>
      <w:numFmt w:val="decimal"/>
      <w:lvlText w:val="2.6.%1"/>
      <w:lvlJc w:val="left"/>
      <w:pPr>
        <w:ind w:left="720" w:hanging="360"/>
      </w:pPr>
      <w:rPr>
        <w:rFonts w:ascii="Arial" w:hAnsi="Arial" w:hint="default"/>
        <w:b/>
        <w:i w:val="0"/>
        <w:color w:val="auto"/>
        <w:sz w:val="32"/>
        <w:u w:color="FFFFF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4D6B36A5"/>
    <w:multiLevelType w:val="hybridMultilevel"/>
    <w:tmpl w:val="78888DE2"/>
    <w:lvl w:ilvl="0" w:tplc="0310CC48">
      <w:numFmt w:val="decimal"/>
      <w:lvlText w:val="2.6.%1"/>
      <w:lvlJc w:val="left"/>
      <w:pPr>
        <w:ind w:left="1495" w:hanging="360"/>
      </w:pPr>
      <w:rPr>
        <w:rFonts w:ascii="Arial" w:hAnsi="Arial" w:hint="default"/>
        <w:b/>
        <w:i w:val="0"/>
        <w:color w:val="auto"/>
        <w:sz w:val="32"/>
        <w:u w:color="FFFFFF"/>
      </w:r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18">
    <w:nsid w:val="52EB4CDB"/>
    <w:multiLevelType w:val="hybridMultilevel"/>
    <w:tmpl w:val="7FDC77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5D693CE8"/>
    <w:multiLevelType w:val="hybridMultilevel"/>
    <w:tmpl w:val="870E9A24"/>
    <w:lvl w:ilvl="0" w:tplc="0310CC48">
      <w:numFmt w:val="decimal"/>
      <w:lvlText w:val="2.6.%1"/>
      <w:lvlJc w:val="left"/>
      <w:pPr>
        <w:ind w:left="1495" w:hanging="360"/>
      </w:pPr>
      <w:rPr>
        <w:rFonts w:ascii="Arial" w:hAnsi="Arial" w:hint="default"/>
        <w:b/>
        <w:i w:val="0"/>
        <w:color w:val="auto"/>
        <w:sz w:val="32"/>
        <w:u w:color="FFFFFF"/>
      </w:r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20">
    <w:nsid w:val="678B0AC9"/>
    <w:multiLevelType w:val="hybridMultilevel"/>
    <w:tmpl w:val="870E9A24"/>
    <w:lvl w:ilvl="0" w:tplc="0310CC48">
      <w:numFmt w:val="decimal"/>
      <w:lvlText w:val="2.6.%1"/>
      <w:lvlJc w:val="left"/>
      <w:pPr>
        <w:ind w:left="1495" w:hanging="360"/>
      </w:pPr>
      <w:rPr>
        <w:rFonts w:ascii="Arial" w:hAnsi="Arial" w:hint="default"/>
        <w:b/>
        <w:i w:val="0"/>
        <w:color w:val="auto"/>
        <w:sz w:val="32"/>
        <w:u w:color="FFFFFF"/>
      </w:r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21">
    <w:nsid w:val="6D0B1B75"/>
    <w:multiLevelType w:val="multilevel"/>
    <w:tmpl w:val="D3FAAFB8"/>
    <w:lvl w:ilvl="0">
      <w:start w:val="1"/>
      <w:numFmt w:val="decimal"/>
      <w:pStyle w:val="Heading2"/>
      <w:lvlText w:val="%1."/>
      <w:lvlJc w:val="left"/>
      <w:pPr>
        <w:tabs>
          <w:tab w:val="num" w:pos="567"/>
        </w:tabs>
        <w:ind w:left="567" w:hanging="567"/>
      </w:pPr>
      <w:rPr>
        <w:rFonts w:hint="default"/>
      </w:rPr>
    </w:lvl>
    <w:lvl w:ilvl="1">
      <w:start w:val="1"/>
      <w:numFmt w:val="decimal"/>
      <w:pStyle w:val="Heading3"/>
      <w:lvlText w:val="%1.%2."/>
      <w:lvlJc w:val="left"/>
      <w:pPr>
        <w:tabs>
          <w:tab w:val="num" w:pos="1135"/>
        </w:tabs>
        <w:ind w:left="1135" w:hanging="1022"/>
      </w:pPr>
      <w:rPr>
        <w:rFonts w:hint="default"/>
      </w:rPr>
    </w:lvl>
    <w:lvl w:ilvl="2">
      <w:start w:val="1"/>
      <w:numFmt w:val="decimal"/>
      <w:pStyle w:val="Heading4"/>
      <w:lvlText w:val="%1.%2.%3."/>
      <w:lvlJc w:val="left"/>
      <w:pPr>
        <w:tabs>
          <w:tab w:val="num" w:pos="1134"/>
        </w:tabs>
        <w:ind w:left="1134" w:hanging="964"/>
      </w:pPr>
      <w:rPr>
        <w:rFonts w:hint="default"/>
      </w:rPr>
    </w:lvl>
    <w:lvl w:ilvl="3">
      <w:start w:val="1"/>
      <w:numFmt w:val="decimal"/>
      <w:pStyle w:val="Heading5"/>
      <w:lvlText w:val="%1.%2.%3.%4."/>
      <w:lvlJc w:val="left"/>
      <w:pPr>
        <w:tabs>
          <w:tab w:val="num" w:pos="1418"/>
        </w:tabs>
        <w:ind w:left="1418" w:hanging="1191"/>
      </w:pPr>
      <w:rPr>
        <w:rFonts w:hint="default"/>
      </w:rPr>
    </w:lvl>
    <w:lvl w:ilvl="4">
      <w:start w:val="1"/>
      <w:numFmt w:val="decimal"/>
      <w:pStyle w:val="Heading6"/>
      <w:lvlText w:val="%1.%2.%3.%4.%5."/>
      <w:lvlJc w:val="left"/>
      <w:pPr>
        <w:tabs>
          <w:tab w:val="num" w:pos="1701"/>
        </w:tabs>
        <w:ind w:left="1701" w:hanging="1417"/>
      </w:pPr>
      <w:rPr>
        <w:rFonts w:hint="default"/>
      </w:rPr>
    </w:lvl>
    <w:lvl w:ilvl="5">
      <w:start w:val="1"/>
      <w:numFmt w:val="decimal"/>
      <w:pStyle w:val="Heading7"/>
      <w:lvlText w:val="%1.%2.%3.%4.%5.%6."/>
      <w:lvlJc w:val="left"/>
      <w:pPr>
        <w:tabs>
          <w:tab w:val="num" w:pos="1985"/>
        </w:tabs>
        <w:ind w:left="1985" w:hanging="1645"/>
      </w:pPr>
      <w:rPr>
        <w:rFonts w:hint="default"/>
      </w:rPr>
    </w:lvl>
    <w:lvl w:ilvl="6">
      <w:start w:val="1"/>
      <w:numFmt w:val="decimal"/>
      <w:lvlText w:val="%1.%2.%3.%4.%5.%6.%7."/>
      <w:lvlJc w:val="left"/>
      <w:pPr>
        <w:tabs>
          <w:tab w:val="num" w:pos="2268"/>
        </w:tabs>
        <w:ind w:left="2268" w:hanging="1871"/>
      </w:pPr>
      <w:rPr>
        <w:rFonts w:hint="default"/>
      </w:rPr>
    </w:lvl>
    <w:lvl w:ilvl="7">
      <w:start w:val="1"/>
      <w:numFmt w:val="none"/>
      <w:lvlText w:val=""/>
      <w:lvlJc w:val="left"/>
      <w:pPr>
        <w:tabs>
          <w:tab w:val="num" w:pos="510"/>
        </w:tabs>
        <w:ind w:left="0" w:firstLine="510"/>
      </w:pPr>
      <w:rPr>
        <w:rFonts w:hint="default"/>
      </w:rPr>
    </w:lvl>
    <w:lvl w:ilvl="8">
      <w:start w:val="1"/>
      <w:numFmt w:val="none"/>
      <w:lvlText w:val=""/>
      <w:lvlJc w:val="left"/>
      <w:pPr>
        <w:ind w:left="0" w:firstLine="567"/>
      </w:pPr>
      <w:rPr>
        <w:rFonts w:hint="default"/>
      </w:rPr>
    </w:lvl>
  </w:abstractNum>
  <w:abstractNum w:abstractNumId="22">
    <w:nsid w:val="6E0C1767"/>
    <w:multiLevelType w:val="hybridMultilevel"/>
    <w:tmpl w:val="DE5AB2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12"/>
  </w:num>
  <w:num w:numId="4">
    <w:abstractNumId w:val="12"/>
  </w:num>
  <w:num w:numId="5">
    <w:abstractNumId w:val="6"/>
  </w:num>
  <w:num w:numId="6">
    <w:abstractNumId w:val="12"/>
  </w:num>
  <w:num w:numId="7">
    <w:abstractNumId w:val="12"/>
  </w:num>
  <w:num w:numId="8">
    <w:abstractNumId w:val="11"/>
  </w:num>
  <w:num w:numId="9">
    <w:abstractNumId w:val="11"/>
  </w:num>
  <w:num w:numId="10">
    <w:abstractNumId w:val="11"/>
  </w:num>
  <w:num w:numId="11">
    <w:abstractNumId w:val="11"/>
  </w:num>
  <w:num w:numId="12">
    <w:abstractNumId w:val="10"/>
    <w:lvlOverride w:ilvl="0">
      <w:lvl w:ilvl="0">
        <w:numFmt w:val="bullet"/>
        <w:lvlText w:val="•"/>
        <w:legacy w:legacy="1" w:legacySpace="0" w:legacyIndent="0"/>
        <w:lvlJc w:val="left"/>
        <w:rPr>
          <w:rFonts w:ascii="Helv" w:hAnsi="Helv" w:hint="default"/>
        </w:rPr>
      </w:lvl>
    </w:lvlOverride>
  </w:num>
  <w:num w:numId="13">
    <w:abstractNumId w:val="12"/>
  </w:num>
  <w:num w:numId="14">
    <w:abstractNumId w:val="12"/>
  </w:num>
  <w:num w:numId="15">
    <w:abstractNumId w:val="12"/>
  </w:num>
  <w:num w:numId="16">
    <w:abstractNumId w:val="11"/>
  </w:num>
  <w:num w:numId="17">
    <w:abstractNumId w:val="11"/>
  </w:num>
  <w:num w:numId="18">
    <w:abstractNumId w:val="11"/>
  </w:num>
  <w:num w:numId="19">
    <w:abstractNumId w:val="12"/>
  </w:num>
  <w:num w:numId="20">
    <w:abstractNumId w:val="12"/>
  </w:num>
  <w:num w:numId="21">
    <w:abstractNumId w:val="12"/>
  </w:num>
  <w:num w:numId="22">
    <w:abstractNumId w:val="11"/>
  </w:num>
  <w:num w:numId="23">
    <w:abstractNumId w:val="11"/>
  </w:num>
  <w:num w:numId="24">
    <w:abstractNumId w:val="11"/>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5">
    <w:abstractNumId w:val="16"/>
  </w:num>
  <w:num w:numId="26">
    <w:abstractNumId w:val="17"/>
  </w:num>
  <w:num w:numId="27">
    <w:abstractNumId w:val="19"/>
  </w:num>
  <w:num w:numId="28">
    <w:abstractNumId w:val="20"/>
  </w:num>
  <w:num w:numId="29">
    <w:abstractNumId w:val="21"/>
  </w:num>
  <w:num w:numId="30">
    <w:abstractNumId w:val="21"/>
  </w:num>
  <w:num w:numId="31">
    <w:abstractNumId w:val="21"/>
  </w:num>
  <w:num w:numId="32">
    <w:abstractNumId w:val="11"/>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33">
    <w:abstractNumId w:val="14"/>
  </w:num>
  <w:num w:numId="34">
    <w:abstractNumId w:val="13"/>
  </w:num>
  <w:num w:numId="35">
    <w:abstractNumId w:val="15"/>
  </w:num>
  <w:num w:numId="36">
    <w:abstractNumId w:val="22"/>
  </w:num>
  <w:num w:numId="37">
    <w:abstractNumId w:val="18"/>
  </w:num>
  <w:num w:numId="38">
    <w:abstractNumId w:val="5"/>
  </w:num>
  <w:num w:numId="39">
    <w:abstractNumId w:val="4"/>
  </w:num>
  <w:num w:numId="40">
    <w:abstractNumId w:val="8"/>
  </w:num>
  <w:num w:numId="41">
    <w:abstractNumId w:val="3"/>
  </w:num>
  <w:num w:numId="42">
    <w:abstractNumId w:val="2"/>
  </w:num>
  <w:num w:numId="43">
    <w:abstractNumId w:val="1"/>
  </w:num>
  <w:num w:numId="44">
    <w:abstractNumId w:val="0"/>
  </w:num>
  <w:num w:numId="45">
    <w:abstractNumId w:val="11"/>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46">
    <w:abstractNumId w:val="11"/>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47">
    <w:abstractNumId w:val="11"/>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48">
    <w:abstractNumId w:val="11"/>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59393">
      <o:colormenu v:ext="edit" fillcolor="none [320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E7C"/>
    <w:rsid w:val="00002031"/>
    <w:rsid w:val="00004734"/>
    <w:rsid w:val="00006B22"/>
    <w:rsid w:val="00011EE6"/>
    <w:rsid w:val="0001276A"/>
    <w:rsid w:val="000246AE"/>
    <w:rsid w:val="00025C67"/>
    <w:rsid w:val="00040ACB"/>
    <w:rsid w:val="0005559E"/>
    <w:rsid w:val="00061425"/>
    <w:rsid w:val="00074B1E"/>
    <w:rsid w:val="00077775"/>
    <w:rsid w:val="00090471"/>
    <w:rsid w:val="00090F41"/>
    <w:rsid w:val="000A3AED"/>
    <w:rsid w:val="000A63AF"/>
    <w:rsid w:val="000B3532"/>
    <w:rsid w:val="000B3A75"/>
    <w:rsid w:val="000C3664"/>
    <w:rsid w:val="000C690F"/>
    <w:rsid w:val="000D1295"/>
    <w:rsid w:val="000D1B2A"/>
    <w:rsid w:val="000D391B"/>
    <w:rsid w:val="000D3D6D"/>
    <w:rsid w:val="000D4FC7"/>
    <w:rsid w:val="000D7D29"/>
    <w:rsid w:val="000F02F9"/>
    <w:rsid w:val="000F4869"/>
    <w:rsid w:val="000F4F28"/>
    <w:rsid w:val="000F5B42"/>
    <w:rsid w:val="000F62A5"/>
    <w:rsid w:val="000F6E6F"/>
    <w:rsid w:val="00104613"/>
    <w:rsid w:val="001057FB"/>
    <w:rsid w:val="0010601F"/>
    <w:rsid w:val="0010788A"/>
    <w:rsid w:val="00107A31"/>
    <w:rsid w:val="00110EA5"/>
    <w:rsid w:val="00112F56"/>
    <w:rsid w:val="00125318"/>
    <w:rsid w:val="001305A2"/>
    <w:rsid w:val="00133238"/>
    <w:rsid w:val="0014197B"/>
    <w:rsid w:val="001447CD"/>
    <w:rsid w:val="00145EAD"/>
    <w:rsid w:val="001516B1"/>
    <w:rsid w:val="00154740"/>
    <w:rsid w:val="00154EBB"/>
    <w:rsid w:val="00156316"/>
    <w:rsid w:val="00161B7D"/>
    <w:rsid w:val="00165025"/>
    <w:rsid w:val="00165389"/>
    <w:rsid w:val="0017078F"/>
    <w:rsid w:val="0017693F"/>
    <w:rsid w:val="0018110E"/>
    <w:rsid w:val="00181684"/>
    <w:rsid w:val="001843C6"/>
    <w:rsid w:val="001850E0"/>
    <w:rsid w:val="001A1DDF"/>
    <w:rsid w:val="001A2158"/>
    <w:rsid w:val="001A525F"/>
    <w:rsid w:val="001B09F9"/>
    <w:rsid w:val="001B6448"/>
    <w:rsid w:val="001E07CF"/>
    <w:rsid w:val="001E59F1"/>
    <w:rsid w:val="001F49EB"/>
    <w:rsid w:val="001F6B54"/>
    <w:rsid w:val="001F6CBA"/>
    <w:rsid w:val="00201D4E"/>
    <w:rsid w:val="002031D0"/>
    <w:rsid w:val="0020492C"/>
    <w:rsid w:val="002076C9"/>
    <w:rsid w:val="00220B8A"/>
    <w:rsid w:val="002221DE"/>
    <w:rsid w:val="00222A3F"/>
    <w:rsid w:val="002257F3"/>
    <w:rsid w:val="00233456"/>
    <w:rsid w:val="002339A5"/>
    <w:rsid w:val="002455AE"/>
    <w:rsid w:val="00253838"/>
    <w:rsid w:val="00257848"/>
    <w:rsid w:val="0026657A"/>
    <w:rsid w:val="002666AC"/>
    <w:rsid w:val="0027084A"/>
    <w:rsid w:val="00286434"/>
    <w:rsid w:val="00286C59"/>
    <w:rsid w:val="002873F1"/>
    <w:rsid w:val="00292113"/>
    <w:rsid w:val="00293787"/>
    <w:rsid w:val="002942D1"/>
    <w:rsid w:val="00294EAE"/>
    <w:rsid w:val="0029501A"/>
    <w:rsid w:val="002B1638"/>
    <w:rsid w:val="002B6A85"/>
    <w:rsid w:val="002C63ED"/>
    <w:rsid w:val="002D3B78"/>
    <w:rsid w:val="002D6161"/>
    <w:rsid w:val="002E4C9A"/>
    <w:rsid w:val="002F11F8"/>
    <w:rsid w:val="002F3F56"/>
    <w:rsid w:val="002F44B5"/>
    <w:rsid w:val="002F4C25"/>
    <w:rsid w:val="002F5661"/>
    <w:rsid w:val="00311AC0"/>
    <w:rsid w:val="00314DC2"/>
    <w:rsid w:val="00321B73"/>
    <w:rsid w:val="0032583B"/>
    <w:rsid w:val="00327883"/>
    <w:rsid w:val="00335504"/>
    <w:rsid w:val="003521E8"/>
    <w:rsid w:val="0035240B"/>
    <w:rsid w:val="00354498"/>
    <w:rsid w:val="00367786"/>
    <w:rsid w:val="003728F3"/>
    <w:rsid w:val="0037496E"/>
    <w:rsid w:val="0037623D"/>
    <w:rsid w:val="00386150"/>
    <w:rsid w:val="003874CE"/>
    <w:rsid w:val="00390900"/>
    <w:rsid w:val="00393835"/>
    <w:rsid w:val="00395C18"/>
    <w:rsid w:val="00396C92"/>
    <w:rsid w:val="0039797E"/>
    <w:rsid w:val="003A307B"/>
    <w:rsid w:val="003A405B"/>
    <w:rsid w:val="003A7F6C"/>
    <w:rsid w:val="003B1113"/>
    <w:rsid w:val="003B4D60"/>
    <w:rsid w:val="003B634F"/>
    <w:rsid w:val="003B7E39"/>
    <w:rsid w:val="003C0C1C"/>
    <w:rsid w:val="003C58DC"/>
    <w:rsid w:val="003D0A3B"/>
    <w:rsid w:val="003D1E62"/>
    <w:rsid w:val="003D2479"/>
    <w:rsid w:val="003E2486"/>
    <w:rsid w:val="003E3208"/>
    <w:rsid w:val="003F0B04"/>
    <w:rsid w:val="0040134E"/>
    <w:rsid w:val="00415D59"/>
    <w:rsid w:val="004234D1"/>
    <w:rsid w:val="0043797D"/>
    <w:rsid w:val="00440326"/>
    <w:rsid w:val="00440A2D"/>
    <w:rsid w:val="00442DE5"/>
    <w:rsid w:val="00443F2C"/>
    <w:rsid w:val="00454509"/>
    <w:rsid w:val="004549E3"/>
    <w:rsid w:val="00454C9F"/>
    <w:rsid w:val="004564A7"/>
    <w:rsid w:val="004617BF"/>
    <w:rsid w:val="00463658"/>
    <w:rsid w:val="004722CC"/>
    <w:rsid w:val="00474A41"/>
    <w:rsid w:val="004924E0"/>
    <w:rsid w:val="004936E4"/>
    <w:rsid w:val="00494E60"/>
    <w:rsid w:val="00495ED8"/>
    <w:rsid w:val="00497487"/>
    <w:rsid w:val="004A0839"/>
    <w:rsid w:val="004A7E13"/>
    <w:rsid w:val="004B7B76"/>
    <w:rsid w:val="004C2DCA"/>
    <w:rsid w:val="004D0385"/>
    <w:rsid w:val="004E2856"/>
    <w:rsid w:val="004E6075"/>
    <w:rsid w:val="004F0F38"/>
    <w:rsid w:val="004F6175"/>
    <w:rsid w:val="00501921"/>
    <w:rsid w:val="00512BC9"/>
    <w:rsid w:val="00516200"/>
    <w:rsid w:val="00524D1A"/>
    <w:rsid w:val="00530354"/>
    <w:rsid w:val="00530A43"/>
    <w:rsid w:val="00534E7C"/>
    <w:rsid w:val="0053625B"/>
    <w:rsid w:val="005422D8"/>
    <w:rsid w:val="005434C6"/>
    <w:rsid w:val="00543B39"/>
    <w:rsid w:val="00550096"/>
    <w:rsid w:val="00557FF9"/>
    <w:rsid w:val="0056243F"/>
    <w:rsid w:val="0056777B"/>
    <w:rsid w:val="005703B2"/>
    <w:rsid w:val="00576378"/>
    <w:rsid w:val="00576955"/>
    <w:rsid w:val="00577945"/>
    <w:rsid w:val="00577E38"/>
    <w:rsid w:val="00585322"/>
    <w:rsid w:val="005857C6"/>
    <w:rsid w:val="00586F98"/>
    <w:rsid w:val="00592F6E"/>
    <w:rsid w:val="00593AD1"/>
    <w:rsid w:val="005A3D4E"/>
    <w:rsid w:val="005A68B6"/>
    <w:rsid w:val="005B231A"/>
    <w:rsid w:val="005B4E6D"/>
    <w:rsid w:val="005C5570"/>
    <w:rsid w:val="005C79A4"/>
    <w:rsid w:val="005D5442"/>
    <w:rsid w:val="005F7E47"/>
    <w:rsid w:val="00603F32"/>
    <w:rsid w:val="00604CC9"/>
    <w:rsid w:val="0061549E"/>
    <w:rsid w:val="00620406"/>
    <w:rsid w:val="00632398"/>
    <w:rsid w:val="00634121"/>
    <w:rsid w:val="006349C5"/>
    <w:rsid w:val="00640FC3"/>
    <w:rsid w:val="00642020"/>
    <w:rsid w:val="00646206"/>
    <w:rsid w:val="0065337B"/>
    <w:rsid w:val="0065419D"/>
    <w:rsid w:val="006604D8"/>
    <w:rsid w:val="006617F0"/>
    <w:rsid w:val="00662BE9"/>
    <w:rsid w:val="00664A5B"/>
    <w:rsid w:val="006763D2"/>
    <w:rsid w:val="00680C08"/>
    <w:rsid w:val="006931B1"/>
    <w:rsid w:val="006A15C0"/>
    <w:rsid w:val="006A3D1C"/>
    <w:rsid w:val="006C0B24"/>
    <w:rsid w:val="006C130C"/>
    <w:rsid w:val="006C3E2A"/>
    <w:rsid w:val="006C642F"/>
    <w:rsid w:val="006C7F6A"/>
    <w:rsid w:val="006D03E5"/>
    <w:rsid w:val="006D5D3E"/>
    <w:rsid w:val="006E08B3"/>
    <w:rsid w:val="006E5048"/>
    <w:rsid w:val="006F17AC"/>
    <w:rsid w:val="006F1D37"/>
    <w:rsid w:val="006F2796"/>
    <w:rsid w:val="006F572E"/>
    <w:rsid w:val="007022DC"/>
    <w:rsid w:val="007046D6"/>
    <w:rsid w:val="00705DB0"/>
    <w:rsid w:val="007136E5"/>
    <w:rsid w:val="00722B57"/>
    <w:rsid w:val="00726D76"/>
    <w:rsid w:val="007318A8"/>
    <w:rsid w:val="0074253D"/>
    <w:rsid w:val="0074429B"/>
    <w:rsid w:val="007513B4"/>
    <w:rsid w:val="00751F38"/>
    <w:rsid w:val="007615BC"/>
    <w:rsid w:val="00762F05"/>
    <w:rsid w:val="0076348D"/>
    <w:rsid w:val="007652FF"/>
    <w:rsid w:val="00770EF1"/>
    <w:rsid w:val="00773EF7"/>
    <w:rsid w:val="00774E1D"/>
    <w:rsid w:val="0077675A"/>
    <w:rsid w:val="00780355"/>
    <w:rsid w:val="00785721"/>
    <w:rsid w:val="00793A59"/>
    <w:rsid w:val="007A56E2"/>
    <w:rsid w:val="007B6E9F"/>
    <w:rsid w:val="007C1216"/>
    <w:rsid w:val="007C1AF7"/>
    <w:rsid w:val="007C2D51"/>
    <w:rsid w:val="007D6A4C"/>
    <w:rsid w:val="007E5B74"/>
    <w:rsid w:val="007E6DEC"/>
    <w:rsid w:val="007E6E27"/>
    <w:rsid w:val="007F1837"/>
    <w:rsid w:val="007F772B"/>
    <w:rsid w:val="00805D27"/>
    <w:rsid w:val="00821776"/>
    <w:rsid w:val="0082410E"/>
    <w:rsid w:val="008321F5"/>
    <w:rsid w:val="00832369"/>
    <w:rsid w:val="00834660"/>
    <w:rsid w:val="00836BC2"/>
    <w:rsid w:val="00837950"/>
    <w:rsid w:val="008414A0"/>
    <w:rsid w:val="008421C9"/>
    <w:rsid w:val="0085641B"/>
    <w:rsid w:val="008564D1"/>
    <w:rsid w:val="00857136"/>
    <w:rsid w:val="00861E6E"/>
    <w:rsid w:val="0087245D"/>
    <w:rsid w:val="00883B41"/>
    <w:rsid w:val="00883D04"/>
    <w:rsid w:val="00886D15"/>
    <w:rsid w:val="00887DD8"/>
    <w:rsid w:val="00895B2A"/>
    <w:rsid w:val="00896018"/>
    <w:rsid w:val="008960DD"/>
    <w:rsid w:val="0089635C"/>
    <w:rsid w:val="00896EB0"/>
    <w:rsid w:val="008A2B9D"/>
    <w:rsid w:val="008A5E0B"/>
    <w:rsid w:val="008A6D59"/>
    <w:rsid w:val="008A7098"/>
    <w:rsid w:val="008B1B5D"/>
    <w:rsid w:val="008B4B03"/>
    <w:rsid w:val="008B564E"/>
    <w:rsid w:val="008B596F"/>
    <w:rsid w:val="008B5A3E"/>
    <w:rsid w:val="008C159F"/>
    <w:rsid w:val="008C1623"/>
    <w:rsid w:val="008C1850"/>
    <w:rsid w:val="008C2D32"/>
    <w:rsid w:val="008C4B6C"/>
    <w:rsid w:val="008C51A9"/>
    <w:rsid w:val="008C7F4D"/>
    <w:rsid w:val="008D0A29"/>
    <w:rsid w:val="008D770F"/>
    <w:rsid w:val="008E7846"/>
    <w:rsid w:val="008F1CCC"/>
    <w:rsid w:val="008F2967"/>
    <w:rsid w:val="008F3BDB"/>
    <w:rsid w:val="008F6943"/>
    <w:rsid w:val="00902668"/>
    <w:rsid w:val="00902A21"/>
    <w:rsid w:val="00902D96"/>
    <w:rsid w:val="00920330"/>
    <w:rsid w:val="009219D7"/>
    <w:rsid w:val="00922D53"/>
    <w:rsid w:val="00923B70"/>
    <w:rsid w:val="00924482"/>
    <w:rsid w:val="00930237"/>
    <w:rsid w:val="0093466D"/>
    <w:rsid w:val="0094204A"/>
    <w:rsid w:val="009440AF"/>
    <w:rsid w:val="00946EA5"/>
    <w:rsid w:val="0095160F"/>
    <w:rsid w:val="00962360"/>
    <w:rsid w:val="00963C08"/>
    <w:rsid w:val="0098585A"/>
    <w:rsid w:val="0098669D"/>
    <w:rsid w:val="00990BDF"/>
    <w:rsid w:val="009A31DE"/>
    <w:rsid w:val="009A4CED"/>
    <w:rsid w:val="009A690D"/>
    <w:rsid w:val="009B0838"/>
    <w:rsid w:val="009B1D12"/>
    <w:rsid w:val="009B416B"/>
    <w:rsid w:val="009C26B6"/>
    <w:rsid w:val="009C4BD5"/>
    <w:rsid w:val="009D7B77"/>
    <w:rsid w:val="009E0BB0"/>
    <w:rsid w:val="009E3FBB"/>
    <w:rsid w:val="00A102E4"/>
    <w:rsid w:val="00A12C42"/>
    <w:rsid w:val="00A14DF7"/>
    <w:rsid w:val="00A206FB"/>
    <w:rsid w:val="00A235D9"/>
    <w:rsid w:val="00A3246D"/>
    <w:rsid w:val="00A329E6"/>
    <w:rsid w:val="00A36FA7"/>
    <w:rsid w:val="00A475B7"/>
    <w:rsid w:val="00A47AF7"/>
    <w:rsid w:val="00A47C3E"/>
    <w:rsid w:val="00A50226"/>
    <w:rsid w:val="00A51B95"/>
    <w:rsid w:val="00A60BAD"/>
    <w:rsid w:val="00A61F2A"/>
    <w:rsid w:val="00A74DCD"/>
    <w:rsid w:val="00A932F9"/>
    <w:rsid w:val="00A93511"/>
    <w:rsid w:val="00A964D1"/>
    <w:rsid w:val="00AA0ED0"/>
    <w:rsid w:val="00AA3499"/>
    <w:rsid w:val="00AA6AE6"/>
    <w:rsid w:val="00AC2B40"/>
    <w:rsid w:val="00AC2BB2"/>
    <w:rsid w:val="00AC2C3C"/>
    <w:rsid w:val="00AC512D"/>
    <w:rsid w:val="00AD4EE6"/>
    <w:rsid w:val="00AE01C2"/>
    <w:rsid w:val="00AE4AAA"/>
    <w:rsid w:val="00AE65EB"/>
    <w:rsid w:val="00AE67A7"/>
    <w:rsid w:val="00AF1D94"/>
    <w:rsid w:val="00AF3A44"/>
    <w:rsid w:val="00AF5C76"/>
    <w:rsid w:val="00AF60C5"/>
    <w:rsid w:val="00B009C6"/>
    <w:rsid w:val="00B01548"/>
    <w:rsid w:val="00B02208"/>
    <w:rsid w:val="00B06CC5"/>
    <w:rsid w:val="00B06E20"/>
    <w:rsid w:val="00B1425E"/>
    <w:rsid w:val="00B21D29"/>
    <w:rsid w:val="00B25034"/>
    <w:rsid w:val="00B33588"/>
    <w:rsid w:val="00B33863"/>
    <w:rsid w:val="00B37D17"/>
    <w:rsid w:val="00B4175E"/>
    <w:rsid w:val="00B452CE"/>
    <w:rsid w:val="00B458CD"/>
    <w:rsid w:val="00B54C25"/>
    <w:rsid w:val="00B6041B"/>
    <w:rsid w:val="00B76B91"/>
    <w:rsid w:val="00B77EB1"/>
    <w:rsid w:val="00B8024D"/>
    <w:rsid w:val="00B811C6"/>
    <w:rsid w:val="00B85A87"/>
    <w:rsid w:val="00B92E08"/>
    <w:rsid w:val="00B96EBE"/>
    <w:rsid w:val="00BA262F"/>
    <w:rsid w:val="00BB180A"/>
    <w:rsid w:val="00BC622A"/>
    <w:rsid w:val="00BD04EA"/>
    <w:rsid w:val="00BD45E3"/>
    <w:rsid w:val="00BE0A78"/>
    <w:rsid w:val="00BE32D5"/>
    <w:rsid w:val="00BE6252"/>
    <w:rsid w:val="00BE79F0"/>
    <w:rsid w:val="00BF046D"/>
    <w:rsid w:val="00BF0A98"/>
    <w:rsid w:val="00BF1190"/>
    <w:rsid w:val="00BF5D04"/>
    <w:rsid w:val="00C0471D"/>
    <w:rsid w:val="00C1164D"/>
    <w:rsid w:val="00C16861"/>
    <w:rsid w:val="00C22678"/>
    <w:rsid w:val="00C26ED7"/>
    <w:rsid w:val="00C32549"/>
    <w:rsid w:val="00C404A6"/>
    <w:rsid w:val="00C40A36"/>
    <w:rsid w:val="00C44419"/>
    <w:rsid w:val="00C45A8C"/>
    <w:rsid w:val="00C45E7B"/>
    <w:rsid w:val="00C471B1"/>
    <w:rsid w:val="00C53A67"/>
    <w:rsid w:val="00C54530"/>
    <w:rsid w:val="00C54BDC"/>
    <w:rsid w:val="00C560E6"/>
    <w:rsid w:val="00C618F7"/>
    <w:rsid w:val="00C6316B"/>
    <w:rsid w:val="00C634A9"/>
    <w:rsid w:val="00C64586"/>
    <w:rsid w:val="00C650A2"/>
    <w:rsid w:val="00C70D53"/>
    <w:rsid w:val="00C73D0B"/>
    <w:rsid w:val="00C772FF"/>
    <w:rsid w:val="00C801AF"/>
    <w:rsid w:val="00C80256"/>
    <w:rsid w:val="00C811C0"/>
    <w:rsid w:val="00C9455B"/>
    <w:rsid w:val="00C94571"/>
    <w:rsid w:val="00C95B56"/>
    <w:rsid w:val="00CB1660"/>
    <w:rsid w:val="00CB6BC0"/>
    <w:rsid w:val="00CC1B7C"/>
    <w:rsid w:val="00CC2A21"/>
    <w:rsid w:val="00CC727F"/>
    <w:rsid w:val="00CF15C3"/>
    <w:rsid w:val="00CF251B"/>
    <w:rsid w:val="00CF2B6F"/>
    <w:rsid w:val="00CF58B6"/>
    <w:rsid w:val="00D017ED"/>
    <w:rsid w:val="00D040D3"/>
    <w:rsid w:val="00D04C65"/>
    <w:rsid w:val="00D1045B"/>
    <w:rsid w:val="00D224FE"/>
    <w:rsid w:val="00D24313"/>
    <w:rsid w:val="00D27EBA"/>
    <w:rsid w:val="00D31787"/>
    <w:rsid w:val="00D40352"/>
    <w:rsid w:val="00D44A7E"/>
    <w:rsid w:val="00D53A31"/>
    <w:rsid w:val="00D576DB"/>
    <w:rsid w:val="00D63CB0"/>
    <w:rsid w:val="00D6493E"/>
    <w:rsid w:val="00D7301E"/>
    <w:rsid w:val="00D83AE1"/>
    <w:rsid w:val="00D855D4"/>
    <w:rsid w:val="00D927DA"/>
    <w:rsid w:val="00D93466"/>
    <w:rsid w:val="00DA1124"/>
    <w:rsid w:val="00DB75B7"/>
    <w:rsid w:val="00DC37F5"/>
    <w:rsid w:val="00DC6E02"/>
    <w:rsid w:val="00DD17F2"/>
    <w:rsid w:val="00DD2734"/>
    <w:rsid w:val="00DE02AE"/>
    <w:rsid w:val="00DF1D7F"/>
    <w:rsid w:val="00DF4BE4"/>
    <w:rsid w:val="00DF786E"/>
    <w:rsid w:val="00E02FB4"/>
    <w:rsid w:val="00E06E72"/>
    <w:rsid w:val="00E07F15"/>
    <w:rsid w:val="00E20571"/>
    <w:rsid w:val="00E235F7"/>
    <w:rsid w:val="00E23659"/>
    <w:rsid w:val="00E239D4"/>
    <w:rsid w:val="00E26130"/>
    <w:rsid w:val="00E2741C"/>
    <w:rsid w:val="00E40B22"/>
    <w:rsid w:val="00E45619"/>
    <w:rsid w:val="00E4588F"/>
    <w:rsid w:val="00E46DA3"/>
    <w:rsid w:val="00E51BB1"/>
    <w:rsid w:val="00E53F4F"/>
    <w:rsid w:val="00E5433D"/>
    <w:rsid w:val="00E55FCF"/>
    <w:rsid w:val="00E624A5"/>
    <w:rsid w:val="00E7344E"/>
    <w:rsid w:val="00E86DBD"/>
    <w:rsid w:val="00E936E3"/>
    <w:rsid w:val="00EA3071"/>
    <w:rsid w:val="00EB0798"/>
    <w:rsid w:val="00EB40AD"/>
    <w:rsid w:val="00EB5747"/>
    <w:rsid w:val="00EB586E"/>
    <w:rsid w:val="00EB5F94"/>
    <w:rsid w:val="00EB5FC8"/>
    <w:rsid w:val="00EC6A34"/>
    <w:rsid w:val="00ED3CAD"/>
    <w:rsid w:val="00ED5A41"/>
    <w:rsid w:val="00EE1DE8"/>
    <w:rsid w:val="00F00A4C"/>
    <w:rsid w:val="00F033EC"/>
    <w:rsid w:val="00F04E4D"/>
    <w:rsid w:val="00F04F68"/>
    <w:rsid w:val="00F12670"/>
    <w:rsid w:val="00F14B27"/>
    <w:rsid w:val="00F20EF8"/>
    <w:rsid w:val="00F21252"/>
    <w:rsid w:val="00F3148D"/>
    <w:rsid w:val="00F325C5"/>
    <w:rsid w:val="00F32FE0"/>
    <w:rsid w:val="00F35298"/>
    <w:rsid w:val="00F47333"/>
    <w:rsid w:val="00F47E37"/>
    <w:rsid w:val="00F53C07"/>
    <w:rsid w:val="00F54B65"/>
    <w:rsid w:val="00F640B6"/>
    <w:rsid w:val="00F6439F"/>
    <w:rsid w:val="00F65A46"/>
    <w:rsid w:val="00F71B2F"/>
    <w:rsid w:val="00F74128"/>
    <w:rsid w:val="00F80E40"/>
    <w:rsid w:val="00F8210E"/>
    <w:rsid w:val="00F848D9"/>
    <w:rsid w:val="00FA5B82"/>
    <w:rsid w:val="00FA639E"/>
    <w:rsid w:val="00FC25E4"/>
    <w:rsid w:val="00FC3441"/>
    <w:rsid w:val="00FC4EF7"/>
    <w:rsid w:val="00FE1DEE"/>
    <w:rsid w:val="00FF2126"/>
    <w:rsid w:val="00FF3115"/>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9393">
      <o:colormenu v:ext="edit" fillcolor="none [3206]"/>
    </o:shapedefaults>
    <o:shapelayout v:ext="edit">
      <o:idmap v:ext="edit" data="1"/>
      <o:regrouptable v:ext="edit">
        <o:entry new="1" old="0"/>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C7F6A"/>
    <w:pPr>
      <w:spacing w:before="120" w:after="120" w:line="240" w:lineRule="atLeast"/>
    </w:pPr>
    <w:rPr>
      <w:sz w:val="22"/>
      <w:szCs w:val="22"/>
      <w:lang w:eastAsia="en-US"/>
    </w:rPr>
  </w:style>
  <w:style w:type="paragraph" w:styleId="Heading1">
    <w:name w:val="heading 1"/>
    <w:basedOn w:val="Heading2"/>
    <w:next w:val="Normal"/>
    <w:link w:val="Heading1Char"/>
    <w:qFormat/>
    <w:rsid w:val="000C690F"/>
    <w:pPr>
      <w:spacing w:before="120" w:after="360"/>
      <w:outlineLvl w:val="0"/>
    </w:pPr>
    <w:rPr>
      <w:rFonts w:cs="Arial"/>
      <w:sz w:val="64"/>
      <w:szCs w:val="64"/>
    </w:rPr>
  </w:style>
  <w:style w:type="paragraph" w:styleId="Heading2">
    <w:name w:val="heading 2"/>
    <w:basedOn w:val="Normal"/>
    <w:next w:val="Normal"/>
    <w:link w:val="Heading2Char"/>
    <w:qFormat/>
    <w:rsid w:val="00586F98"/>
    <w:pPr>
      <w:keepNext/>
      <w:keepLines/>
      <w:numPr>
        <w:numId w:val="31"/>
      </w:numPr>
      <w:adjustRightInd w:val="0"/>
      <w:snapToGrid w:val="0"/>
      <w:spacing w:before="480"/>
      <w:outlineLvl w:val="1"/>
    </w:pPr>
    <w:rPr>
      <w:rFonts w:ascii="Arial" w:eastAsia="Times New Roman" w:hAnsi="Arial"/>
      <w:b/>
      <w:bCs/>
      <w:sz w:val="32"/>
      <w:szCs w:val="26"/>
      <w:lang w:eastAsia="ja-JP"/>
    </w:rPr>
  </w:style>
  <w:style w:type="paragraph" w:styleId="Heading3">
    <w:name w:val="heading 3"/>
    <w:basedOn w:val="Normal"/>
    <w:next w:val="Normal"/>
    <w:link w:val="Heading3Char"/>
    <w:qFormat/>
    <w:rsid w:val="00586F98"/>
    <w:pPr>
      <w:keepNext/>
      <w:keepLines/>
      <w:numPr>
        <w:ilvl w:val="1"/>
        <w:numId w:val="31"/>
      </w:numPr>
      <w:adjustRightInd w:val="0"/>
      <w:snapToGrid w:val="0"/>
      <w:spacing w:before="400" w:line="220" w:lineRule="atLeast"/>
      <w:outlineLvl w:val="2"/>
    </w:pPr>
    <w:rPr>
      <w:rFonts w:ascii="Arial" w:eastAsia="Times New Roman" w:hAnsi="Arial"/>
      <w:b/>
      <w:bCs/>
      <w:szCs w:val="21"/>
      <w:lang w:eastAsia="ja-JP"/>
    </w:rPr>
  </w:style>
  <w:style w:type="paragraph" w:styleId="Heading4">
    <w:name w:val="heading 4"/>
    <w:basedOn w:val="Normal"/>
    <w:next w:val="Normal"/>
    <w:link w:val="Heading4Char"/>
    <w:qFormat/>
    <w:rsid w:val="008D770F"/>
    <w:pPr>
      <w:keepNext/>
      <w:numPr>
        <w:ilvl w:val="2"/>
        <w:numId w:val="31"/>
      </w:numPr>
      <w:adjustRightInd w:val="0"/>
      <w:snapToGrid w:val="0"/>
      <w:spacing w:line="220" w:lineRule="atLeast"/>
      <w:outlineLvl w:val="3"/>
    </w:pPr>
    <w:rPr>
      <w:rFonts w:eastAsia="MS Mincho"/>
      <w:b/>
      <w:bCs/>
      <w:szCs w:val="21"/>
      <w:lang w:eastAsia="ja-JP"/>
    </w:rPr>
  </w:style>
  <w:style w:type="paragraph" w:styleId="Heading5">
    <w:name w:val="heading 5"/>
    <w:basedOn w:val="Normal"/>
    <w:next w:val="Normal"/>
    <w:link w:val="Heading5Char"/>
    <w:uiPriority w:val="9"/>
    <w:rsid w:val="000F02F9"/>
    <w:pPr>
      <w:keepNext/>
      <w:keepLines/>
      <w:numPr>
        <w:ilvl w:val="3"/>
        <w:numId w:val="31"/>
      </w:numPr>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0F02F9"/>
    <w:pPr>
      <w:keepNext/>
      <w:numPr>
        <w:ilvl w:val="4"/>
        <w:numId w:val="31"/>
      </w:numPr>
      <w:spacing w:line="220" w:lineRule="atLeast"/>
      <w:ind w:left="1702" w:hanging="1418"/>
      <w:outlineLvl w:val="5"/>
    </w:pPr>
    <w:rPr>
      <w:rFonts w:eastAsia="Times New Roman"/>
      <w:bCs/>
      <w:i/>
      <w:szCs w:val="21"/>
    </w:rPr>
  </w:style>
  <w:style w:type="paragraph" w:styleId="Heading7">
    <w:name w:val="heading 7"/>
    <w:basedOn w:val="Normal"/>
    <w:next w:val="Normal"/>
    <w:link w:val="Heading7Char"/>
    <w:uiPriority w:val="9"/>
    <w:rsid w:val="000F02F9"/>
    <w:pPr>
      <w:keepNext/>
      <w:numPr>
        <w:ilvl w:val="5"/>
        <w:numId w:val="31"/>
      </w:numPr>
      <w:spacing w:after="60" w:line="180" w:lineRule="atLeast"/>
      <w:ind w:left="1984" w:hanging="1644"/>
      <w:outlineLvl w:val="6"/>
    </w:pPr>
    <w:rPr>
      <w:rFonts w:eastAsia="Times New Roman"/>
      <w:bCs/>
      <w:sz w:val="18"/>
      <w:szCs w:val="24"/>
    </w:rPr>
  </w:style>
  <w:style w:type="paragraph" w:styleId="Heading8">
    <w:name w:val="heading 8"/>
    <w:basedOn w:val="Normal"/>
    <w:next w:val="Normal"/>
    <w:link w:val="Heading8Char"/>
    <w:uiPriority w:val="9"/>
    <w:semiHidden/>
    <w:unhideWhenUsed/>
    <w:qFormat/>
    <w:rsid w:val="004549E3"/>
    <w:pPr>
      <w:spacing w:before="240" w:after="60"/>
      <w:outlineLvl w:val="7"/>
    </w:pPr>
    <w:rPr>
      <w:rFonts w:ascii="Calibri" w:eastAsia="Times New Roman" w:hAnsi="Calibr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Arial" w:eastAsia="Times New Roman" w:hAnsi="Arial" w:cs="Arial"/>
      <w:b/>
      <w:bCs/>
      <w:sz w:val="64"/>
      <w:szCs w:val="64"/>
    </w:rPr>
  </w:style>
  <w:style w:type="character" w:customStyle="1" w:styleId="Heading2Char">
    <w:name w:val="Heading 2 Char"/>
    <w:basedOn w:val="DefaultParagraphFont"/>
    <w:link w:val="Heading2"/>
    <w:rsid w:val="00586F98"/>
    <w:rPr>
      <w:rFonts w:ascii="Arial" w:eastAsia="Times New Roman" w:hAnsi="Arial" w:cs="Times New Roman"/>
      <w:b/>
      <w:bCs/>
      <w:sz w:val="32"/>
      <w:szCs w:val="26"/>
      <w:lang w:eastAsia="ja-JP"/>
    </w:rPr>
  </w:style>
  <w:style w:type="character" w:customStyle="1" w:styleId="Heading3Char">
    <w:name w:val="Heading 3 Char"/>
    <w:basedOn w:val="DefaultParagraphFont"/>
    <w:link w:val="Heading3"/>
    <w:rsid w:val="008960DD"/>
    <w:rPr>
      <w:rFonts w:ascii="Arial" w:eastAsia="Times New Roman" w:hAnsi="Arial" w:cs="Times New Roman"/>
      <w:b/>
      <w:bCs/>
      <w:szCs w:val="21"/>
      <w:lang w:eastAsia="ja-JP"/>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qFormat/>
    <w:rsid w:val="00883B41"/>
    <w:pPr>
      <w:keepNext/>
      <w:spacing w:line="220" w:lineRule="atLeast"/>
    </w:pPr>
    <w:rPr>
      <w:b/>
    </w:rPr>
  </w:style>
  <w:style w:type="character" w:customStyle="1" w:styleId="Heading4Char">
    <w:name w:val="Heading 4 Char"/>
    <w:basedOn w:val="DefaultParagraphFont"/>
    <w:link w:val="Heading4"/>
    <w:rsid w:val="008D770F"/>
    <w:rPr>
      <w:rFonts w:ascii="Cambria" w:eastAsia="MS Mincho" w:hAnsi="Cambria" w:cs="Times New Roman"/>
      <w:b/>
      <w:bCs/>
      <w:szCs w:val="21"/>
      <w:lang w:eastAsia="ja-JP"/>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uiPriority w:val="9"/>
    <w:rsid w:val="000F02F9"/>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0F02F9"/>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0F02F9"/>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21"/>
      </w:numPr>
    </w:pPr>
  </w:style>
  <w:style w:type="paragraph" w:styleId="ListBullet2">
    <w:name w:val="List Bullet 2"/>
    <w:basedOn w:val="Normal"/>
    <w:uiPriority w:val="99"/>
    <w:qFormat/>
    <w:rsid w:val="004C2DCA"/>
    <w:pPr>
      <w:numPr>
        <w:ilvl w:val="1"/>
        <w:numId w:val="21"/>
      </w:numPr>
    </w:pPr>
  </w:style>
  <w:style w:type="paragraph" w:styleId="ListBullet3">
    <w:name w:val="List Bullet 3"/>
    <w:basedOn w:val="Normal"/>
    <w:uiPriority w:val="99"/>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751F38"/>
    <w:pPr>
      <w:spacing w:before="0" w:line="240" w:lineRule="auto"/>
    </w:pPr>
    <w:rPr>
      <w:szCs w:val="19"/>
    </w:rPr>
  </w:style>
  <w:style w:type="table" w:styleId="TableGrid">
    <w:name w:val="Table Grid"/>
    <w:basedOn w:val="TableNormal"/>
    <w:uiPriority w:val="59"/>
    <w:rsid w:val="00F3148D"/>
    <w:rPr>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rsid w:val="00F3148D"/>
    <w:rPr>
      <w:rFonts w:ascii="Calibri" w:eastAsia="Calibri" w:hAnsi="Calibri"/>
      <w:b/>
      <w:color w:val="FFFFFF"/>
      <w:sz w:val="20"/>
    </w:r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0A63AF"/>
    <w:pPr>
      <w:ind w:left="170" w:right="170"/>
    </w:pPr>
    <w:rPr>
      <w:color w:val="000000"/>
      <w:szCs w:val="21"/>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sz w:val="22"/>
      </w:rPr>
      <w:tblPr/>
      <w:tcPr>
        <w:tcBorders>
          <w:top w:val="single" w:sz="8" w:space="0" w:color="000000"/>
          <w:left w:val="single" w:sz="8" w:space="0" w:color="000000"/>
          <w:bottom w:val="single" w:sz="8" w:space="0" w:color="000000"/>
          <w:right w:val="single" w:sz="8" w:space="0" w:color="000000"/>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0A63AF"/>
    <w:pPr>
      <w:spacing w:before="60"/>
      <w:ind w:left="170" w:right="170"/>
    </w:pPr>
    <w:rPr>
      <w:color w:val="000000"/>
      <w:szCs w:val="2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770EF1"/>
    <w:pPr>
      <w:keepNext/>
    </w:pPr>
    <w:rPr>
      <w:b/>
      <w:sz w:val="20"/>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F3148D"/>
    <w:rPr>
      <w:rFonts w:ascii="Arial" w:eastAsia="Times New Roman" w:hAnsi="Arial"/>
      <w:spacing w:val="5"/>
      <w:kern w:val="28"/>
      <w:sz w:val="52"/>
      <w:szCs w:val="52"/>
      <w:lang w:val="en-AU" w:eastAsia="en-US" w:bidi="ar-SA"/>
    </w:rPr>
  </w:style>
  <w:style w:type="paragraph" w:styleId="TOC1">
    <w:name w:val="toc 1"/>
    <w:basedOn w:val="Normal"/>
    <w:next w:val="Normal"/>
    <w:uiPriority w:val="39"/>
    <w:semiHidden/>
    <w:unhideWhenUsed/>
    <w:rsid w:val="00F3148D"/>
    <w:pPr>
      <w:tabs>
        <w:tab w:val="right" w:pos="8505"/>
      </w:tabs>
      <w:spacing w:after="200"/>
    </w:pPr>
    <w:rPr>
      <w:rFonts w:ascii="Arial" w:hAnsi="Arial"/>
      <w:b/>
      <w:sz w:val="32"/>
    </w:rPr>
  </w:style>
  <w:style w:type="paragraph" w:styleId="TOC2">
    <w:name w:val="toc 2"/>
    <w:basedOn w:val="Normal"/>
    <w:next w:val="Normal"/>
    <w:uiPriority w:val="39"/>
    <w:unhideWhenUsed/>
    <w:rsid w:val="00F3148D"/>
    <w:pPr>
      <w:tabs>
        <w:tab w:val="right" w:leader="underscore" w:pos="8505"/>
      </w:tabs>
      <w:spacing w:after="100"/>
      <w:ind w:left="624"/>
    </w:pPr>
    <w:rPr>
      <w:b/>
      <w:sz w:val="25"/>
    </w:rPr>
  </w:style>
  <w:style w:type="paragraph" w:styleId="TOC3">
    <w:name w:val="toc 3"/>
    <w:basedOn w:val="Normal"/>
    <w:next w:val="Normal"/>
    <w:uiPriority w:val="39"/>
    <w:unhideWhenUsed/>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imes New Roman"/>
      <w:color w:val="002035"/>
      <w:sz w:val="28"/>
      <w:lang w:val="en-US"/>
    </w:rPr>
  </w:style>
  <w:style w:type="character" w:customStyle="1" w:styleId="st">
    <w:name w:val="st"/>
    <w:basedOn w:val="DefaultParagraphFont"/>
    <w:rsid w:val="006C0B24"/>
  </w:style>
  <w:style w:type="paragraph" w:customStyle="1" w:styleId="Bullet1">
    <w:name w:val="Bullet 1"/>
    <w:basedOn w:val="Normal"/>
    <w:rsid w:val="00C45A8C"/>
    <w:pPr>
      <w:numPr>
        <w:numId w:val="33"/>
      </w:numPr>
      <w:spacing w:after="0" w:line="240" w:lineRule="auto"/>
    </w:pPr>
    <w:rPr>
      <w:rFonts w:eastAsia="Times New Roman"/>
      <w:kern w:val="24"/>
      <w:szCs w:val="24"/>
      <w:lang w:eastAsia="en-AU"/>
    </w:rPr>
  </w:style>
  <w:style w:type="paragraph" w:customStyle="1" w:styleId="Bullet2">
    <w:name w:val="Bullet 2"/>
    <w:basedOn w:val="Bullet1"/>
    <w:rsid w:val="002F5661"/>
    <w:pPr>
      <w:numPr>
        <w:numId w:val="35"/>
      </w:numPr>
    </w:pPr>
  </w:style>
  <w:style w:type="character" w:customStyle="1" w:styleId="Heading8Char">
    <w:name w:val="Heading 8 Char"/>
    <w:basedOn w:val="DefaultParagraphFont"/>
    <w:link w:val="Heading8"/>
    <w:uiPriority w:val="9"/>
    <w:semiHidden/>
    <w:rsid w:val="004549E3"/>
    <w:rPr>
      <w:rFonts w:ascii="Calibri" w:eastAsia="Times New Roman" w:hAnsi="Calibri" w:cs="Times New Roman"/>
      <w:i/>
      <w:iCs/>
      <w:sz w:val="24"/>
      <w:szCs w:val="24"/>
      <w:lang w:eastAsia="en-US"/>
    </w:rPr>
  </w:style>
  <w:style w:type="paragraph" w:styleId="FootnoteText">
    <w:name w:val="footnote text"/>
    <w:basedOn w:val="Normal"/>
    <w:link w:val="FootnoteTextChar"/>
    <w:uiPriority w:val="99"/>
    <w:unhideWhenUsed/>
    <w:rsid w:val="006C7F6A"/>
    <w:pPr>
      <w:spacing w:before="0" w:after="0" w:line="240" w:lineRule="auto"/>
    </w:pPr>
    <w:rPr>
      <w:sz w:val="18"/>
      <w:szCs w:val="20"/>
    </w:rPr>
  </w:style>
  <w:style w:type="character" w:customStyle="1" w:styleId="FootnoteTextChar">
    <w:name w:val="Footnote Text Char"/>
    <w:basedOn w:val="DefaultParagraphFont"/>
    <w:link w:val="FootnoteText"/>
    <w:uiPriority w:val="99"/>
    <w:rsid w:val="006C7F6A"/>
    <w:rPr>
      <w:sz w:val="18"/>
      <w:lang w:eastAsia="en-US"/>
    </w:rPr>
  </w:style>
  <w:style w:type="character" w:styleId="FootnoteReference">
    <w:name w:val="footnote reference"/>
    <w:basedOn w:val="DefaultParagraphFont"/>
    <w:uiPriority w:val="99"/>
    <w:semiHidden/>
    <w:unhideWhenUsed/>
    <w:rsid w:val="00A61F2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C7F6A"/>
    <w:pPr>
      <w:spacing w:before="120" w:after="120" w:line="240" w:lineRule="atLeast"/>
    </w:pPr>
    <w:rPr>
      <w:sz w:val="22"/>
      <w:szCs w:val="22"/>
      <w:lang w:eastAsia="en-US"/>
    </w:rPr>
  </w:style>
  <w:style w:type="paragraph" w:styleId="Heading1">
    <w:name w:val="heading 1"/>
    <w:basedOn w:val="Heading2"/>
    <w:next w:val="Normal"/>
    <w:link w:val="Heading1Char"/>
    <w:qFormat/>
    <w:rsid w:val="000C690F"/>
    <w:pPr>
      <w:spacing w:before="120" w:after="360"/>
      <w:outlineLvl w:val="0"/>
    </w:pPr>
    <w:rPr>
      <w:rFonts w:cs="Arial"/>
      <w:sz w:val="64"/>
      <w:szCs w:val="64"/>
    </w:rPr>
  </w:style>
  <w:style w:type="paragraph" w:styleId="Heading2">
    <w:name w:val="heading 2"/>
    <w:basedOn w:val="Normal"/>
    <w:next w:val="Normal"/>
    <w:link w:val="Heading2Char"/>
    <w:qFormat/>
    <w:rsid w:val="00586F98"/>
    <w:pPr>
      <w:keepNext/>
      <w:keepLines/>
      <w:numPr>
        <w:numId w:val="31"/>
      </w:numPr>
      <w:adjustRightInd w:val="0"/>
      <w:snapToGrid w:val="0"/>
      <w:spacing w:before="480"/>
      <w:outlineLvl w:val="1"/>
    </w:pPr>
    <w:rPr>
      <w:rFonts w:ascii="Arial" w:eastAsia="Times New Roman" w:hAnsi="Arial"/>
      <w:b/>
      <w:bCs/>
      <w:sz w:val="32"/>
      <w:szCs w:val="26"/>
      <w:lang w:eastAsia="ja-JP"/>
    </w:rPr>
  </w:style>
  <w:style w:type="paragraph" w:styleId="Heading3">
    <w:name w:val="heading 3"/>
    <w:basedOn w:val="Normal"/>
    <w:next w:val="Normal"/>
    <w:link w:val="Heading3Char"/>
    <w:qFormat/>
    <w:rsid w:val="00586F98"/>
    <w:pPr>
      <w:keepNext/>
      <w:keepLines/>
      <w:numPr>
        <w:ilvl w:val="1"/>
        <w:numId w:val="31"/>
      </w:numPr>
      <w:adjustRightInd w:val="0"/>
      <w:snapToGrid w:val="0"/>
      <w:spacing w:before="400" w:line="220" w:lineRule="atLeast"/>
      <w:outlineLvl w:val="2"/>
    </w:pPr>
    <w:rPr>
      <w:rFonts w:ascii="Arial" w:eastAsia="Times New Roman" w:hAnsi="Arial"/>
      <w:b/>
      <w:bCs/>
      <w:szCs w:val="21"/>
      <w:lang w:eastAsia="ja-JP"/>
    </w:rPr>
  </w:style>
  <w:style w:type="paragraph" w:styleId="Heading4">
    <w:name w:val="heading 4"/>
    <w:basedOn w:val="Normal"/>
    <w:next w:val="Normal"/>
    <w:link w:val="Heading4Char"/>
    <w:qFormat/>
    <w:rsid w:val="008D770F"/>
    <w:pPr>
      <w:keepNext/>
      <w:numPr>
        <w:ilvl w:val="2"/>
        <w:numId w:val="31"/>
      </w:numPr>
      <w:adjustRightInd w:val="0"/>
      <w:snapToGrid w:val="0"/>
      <w:spacing w:line="220" w:lineRule="atLeast"/>
      <w:outlineLvl w:val="3"/>
    </w:pPr>
    <w:rPr>
      <w:rFonts w:eastAsia="MS Mincho"/>
      <w:b/>
      <w:bCs/>
      <w:szCs w:val="21"/>
      <w:lang w:eastAsia="ja-JP"/>
    </w:rPr>
  </w:style>
  <w:style w:type="paragraph" w:styleId="Heading5">
    <w:name w:val="heading 5"/>
    <w:basedOn w:val="Normal"/>
    <w:next w:val="Normal"/>
    <w:link w:val="Heading5Char"/>
    <w:uiPriority w:val="9"/>
    <w:rsid w:val="000F02F9"/>
    <w:pPr>
      <w:keepNext/>
      <w:keepLines/>
      <w:numPr>
        <w:ilvl w:val="3"/>
        <w:numId w:val="31"/>
      </w:numPr>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0F02F9"/>
    <w:pPr>
      <w:keepNext/>
      <w:numPr>
        <w:ilvl w:val="4"/>
        <w:numId w:val="31"/>
      </w:numPr>
      <w:spacing w:line="220" w:lineRule="atLeast"/>
      <w:ind w:left="1702" w:hanging="1418"/>
      <w:outlineLvl w:val="5"/>
    </w:pPr>
    <w:rPr>
      <w:rFonts w:eastAsia="Times New Roman"/>
      <w:bCs/>
      <w:i/>
      <w:szCs w:val="21"/>
    </w:rPr>
  </w:style>
  <w:style w:type="paragraph" w:styleId="Heading7">
    <w:name w:val="heading 7"/>
    <w:basedOn w:val="Normal"/>
    <w:next w:val="Normal"/>
    <w:link w:val="Heading7Char"/>
    <w:uiPriority w:val="9"/>
    <w:rsid w:val="000F02F9"/>
    <w:pPr>
      <w:keepNext/>
      <w:numPr>
        <w:ilvl w:val="5"/>
        <w:numId w:val="31"/>
      </w:numPr>
      <w:spacing w:after="60" w:line="180" w:lineRule="atLeast"/>
      <w:ind w:left="1984" w:hanging="1644"/>
      <w:outlineLvl w:val="6"/>
    </w:pPr>
    <w:rPr>
      <w:rFonts w:eastAsia="Times New Roman"/>
      <w:bCs/>
      <w:sz w:val="18"/>
      <w:szCs w:val="24"/>
    </w:rPr>
  </w:style>
  <w:style w:type="paragraph" w:styleId="Heading8">
    <w:name w:val="heading 8"/>
    <w:basedOn w:val="Normal"/>
    <w:next w:val="Normal"/>
    <w:link w:val="Heading8Char"/>
    <w:uiPriority w:val="9"/>
    <w:semiHidden/>
    <w:unhideWhenUsed/>
    <w:qFormat/>
    <w:rsid w:val="004549E3"/>
    <w:pPr>
      <w:spacing w:before="240" w:after="60"/>
      <w:outlineLvl w:val="7"/>
    </w:pPr>
    <w:rPr>
      <w:rFonts w:ascii="Calibri" w:eastAsia="Times New Roman" w:hAnsi="Calibr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Arial" w:eastAsia="Times New Roman" w:hAnsi="Arial" w:cs="Arial"/>
      <w:b/>
      <w:bCs/>
      <w:sz w:val="64"/>
      <w:szCs w:val="64"/>
    </w:rPr>
  </w:style>
  <w:style w:type="character" w:customStyle="1" w:styleId="Heading2Char">
    <w:name w:val="Heading 2 Char"/>
    <w:basedOn w:val="DefaultParagraphFont"/>
    <w:link w:val="Heading2"/>
    <w:rsid w:val="00586F98"/>
    <w:rPr>
      <w:rFonts w:ascii="Arial" w:eastAsia="Times New Roman" w:hAnsi="Arial" w:cs="Times New Roman"/>
      <w:b/>
      <w:bCs/>
      <w:sz w:val="32"/>
      <w:szCs w:val="26"/>
      <w:lang w:eastAsia="ja-JP"/>
    </w:rPr>
  </w:style>
  <w:style w:type="character" w:customStyle="1" w:styleId="Heading3Char">
    <w:name w:val="Heading 3 Char"/>
    <w:basedOn w:val="DefaultParagraphFont"/>
    <w:link w:val="Heading3"/>
    <w:rsid w:val="008960DD"/>
    <w:rPr>
      <w:rFonts w:ascii="Arial" w:eastAsia="Times New Roman" w:hAnsi="Arial" w:cs="Times New Roman"/>
      <w:b/>
      <w:bCs/>
      <w:szCs w:val="21"/>
      <w:lang w:eastAsia="ja-JP"/>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qFormat/>
    <w:rsid w:val="00883B41"/>
    <w:pPr>
      <w:keepNext/>
      <w:spacing w:line="220" w:lineRule="atLeast"/>
    </w:pPr>
    <w:rPr>
      <w:b/>
    </w:rPr>
  </w:style>
  <w:style w:type="character" w:customStyle="1" w:styleId="Heading4Char">
    <w:name w:val="Heading 4 Char"/>
    <w:basedOn w:val="DefaultParagraphFont"/>
    <w:link w:val="Heading4"/>
    <w:rsid w:val="008D770F"/>
    <w:rPr>
      <w:rFonts w:ascii="Cambria" w:eastAsia="MS Mincho" w:hAnsi="Cambria" w:cs="Times New Roman"/>
      <w:b/>
      <w:bCs/>
      <w:szCs w:val="21"/>
      <w:lang w:eastAsia="ja-JP"/>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uiPriority w:val="9"/>
    <w:rsid w:val="000F02F9"/>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0F02F9"/>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0F02F9"/>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21"/>
      </w:numPr>
    </w:pPr>
  </w:style>
  <w:style w:type="paragraph" w:styleId="ListBullet2">
    <w:name w:val="List Bullet 2"/>
    <w:basedOn w:val="Normal"/>
    <w:uiPriority w:val="99"/>
    <w:qFormat/>
    <w:rsid w:val="004C2DCA"/>
    <w:pPr>
      <w:numPr>
        <w:ilvl w:val="1"/>
        <w:numId w:val="21"/>
      </w:numPr>
    </w:pPr>
  </w:style>
  <w:style w:type="paragraph" w:styleId="ListBullet3">
    <w:name w:val="List Bullet 3"/>
    <w:basedOn w:val="Normal"/>
    <w:uiPriority w:val="99"/>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751F38"/>
    <w:pPr>
      <w:spacing w:before="0" w:line="240" w:lineRule="auto"/>
    </w:pPr>
    <w:rPr>
      <w:szCs w:val="19"/>
    </w:rPr>
  </w:style>
  <w:style w:type="table" w:styleId="TableGrid">
    <w:name w:val="Table Grid"/>
    <w:basedOn w:val="TableNormal"/>
    <w:uiPriority w:val="59"/>
    <w:rsid w:val="00F3148D"/>
    <w:rPr>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rsid w:val="00F3148D"/>
    <w:rPr>
      <w:rFonts w:ascii="Calibri" w:eastAsia="Calibri" w:hAnsi="Calibri"/>
      <w:b/>
      <w:color w:val="FFFFFF"/>
      <w:sz w:val="20"/>
    </w:r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0A63AF"/>
    <w:pPr>
      <w:ind w:left="170" w:right="170"/>
    </w:pPr>
    <w:rPr>
      <w:color w:val="000000"/>
      <w:szCs w:val="21"/>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sz w:val="22"/>
      </w:rPr>
      <w:tblPr/>
      <w:tcPr>
        <w:tcBorders>
          <w:top w:val="single" w:sz="8" w:space="0" w:color="000000"/>
          <w:left w:val="single" w:sz="8" w:space="0" w:color="000000"/>
          <w:bottom w:val="single" w:sz="8" w:space="0" w:color="000000"/>
          <w:right w:val="single" w:sz="8" w:space="0" w:color="000000"/>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0A63AF"/>
    <w:pPr>
      <w:spacing w:before="60"/>
      <w:ind w:left="170" w:right="170"/>
    </w:pPr>
    <w:rPr>
      <w:color w:val="000000"/>
      <w:szCs w:val="2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770EF1"/>
    <w:pPr>
      <w:keepNext/>
    </w:pPr>
    <w:rPr>
      <w:b/>
      <w:sz w:val="20"/>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F3148D"/>
    <w:rPr>
      <w:rFonts w:ascii="Arial" w:eastAsia="Times New Roman" w:hAnsi="Arial"/>
      <w:spacing w:val="5"/>
      <w:kern w:val="28"/>
      <w:sz w:val="52"/>
      <w:szCs w:val="52"/>
      <w:lang w:val="en-AU" w:eastAsia="en-US" w:bidi="ar-SA"/>
    </w:rPr>
  </w:style>
  <w:style w:type="paragraph" w:styleId="TOC1">
    <w:name w:val="toc 1"/>
    <w:basedOn w:val="Normal"/>
    <w:next w:val="Normal"/>
    <w:uiPriority w:val="39"/>
    <w:semiHidden/>
    <w:unhideWhenUsed/>
    <w:rsid w:val="00F3148D"/>
    <w:pPr>
      <w:tabs>
        <w:tab w:val="right" w:pos="8505"/>
      </w:tabs>
      <w:spacing w:after="200"/>
    </w:pPr>
    <w:rPr>
      <w:rFonts w:ascii="Arial" w:hAnsi="Arial"/>
      <w:b/>
      <w:sz w:val="32"/>
    </w:rPr>
  </w:style>
  <w:style w:type="paragraph" w:styleId="TOC2">
    <w:name w:val="toc 2"/>
    <w:basedOn w:val="Normal"/>
    <w:next w:val="Normal"/>
    <w:uiPriority w:val="39"/>
    <w:unhideWhenUsed/>
    <w:rsid w:val="00F3148D"/>
    <w:pPr>
      <w:tabs>
        <w:tab w:val="right" w:leader="underscore" w:pos="8505"/>
      </w:tabs>
      <w:spacing w:after="100"/>
      <w:ind w:left="624"/>
    </w:pPr>
    <w:rPr>
      <w:b/>
      <w:sz w:val="25"/>
    </w:rPr>
  </w:style>
  <w:style w:type="paragraph" w:styleId="TOC3">
    <w:name w:val="toc 3"/>
    <w:basedOn w:val="Normal"/>
    <w:next w:val="Normal"/>
    <w:uiPriority w:val="39"/>
    <w:unhideWhenUsed/>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imes New Roman"/>
      <w:color w:val="002035"/>
      <w:sz w:val="28"/>
      <w:lang w:val="en-US"/>
    </w:rPr>
  </w:style>
  <w:style w:type="character" w:customStyle="1" w:styleId="st">
    <w:name w:val="st"/>
    <w:basedOn w:val="DefaultParagraphFont"/>
    <w:rsid w:val="006C0B24"/>
  </w:style>
  <w:style w:type="paragraph" w:customStyle="1" w:styleId="Bullet1">
    <w:name w:val="Bullet 1"/>
    <w:basedOn w:val="Normal"/>
    <w:rsid w:val="00C45A8C"/>
    <w:pPr>
      <w:numPr>
        <w:numId w:val="33"/>
      </w:numPr>
      <w:spacing w:after="0" w:line="240" w:lineRule="auto"/>
    </w:pPr>
    <w:rPr>
      <w:rFonts w:eastAsia="Times New Roman"/>
      <w:kern w:val="24"/>
      <w:szCs w:val="24"/>
      <w:lang w:eastAsia="en-AU"/>
    </w:rPr>
  </w:style>
  <w:style w:type="paragraph" w:customStyle="1" w:styleId="Bullet2">
    <w:name w:val="Bullet 2"/>
    <w:basedOn w:val="Bullet1"/>
    <w:rsid w:val="002F5661"/>
    <w:pPr>
      <w:numPr>
        <w:numId w:val="35"/>
      </w:numPr>
    </w:pPr>
  </w:style>
  <w:style w:type="character" w:customStyle="1" w:styleId="Heading8Char">
    <w:name w:val="Heading 8 Char"/>
    <w:basedOn w:val="DefaultParagraphFont"/>
    <w:link w:val="Heading8"/>
    <w:uiPriority w:val="9"/>
    <w:semiHidden/>
    <w:rsid w:val="004549E3"/>
    <w:rPr>
      <w:rFonts w:ascii="Calibri" w:eastAsia="Times New Roman" w:hAnsi="Calibri" w:cs="Times New Roman"/>
      <w:i/>
      <w:iCs/>
      <w:sz w:val="24"/>
      <w:szCs w:val="24"/>
      <w:lang w:eastAsia="en-US"/>
    </w:rPr>
  </w:style>
  <w:style w:type="paragraph" w:styleId="FootnoteText">
    <w:name w:val="footnote text"/>
    <w:basedOn w:val="Normal"/>
    <w:link w:val="FootnoteTextChar"/>
    <w:uiPriority w:val="99"/>
    <w:unhideWhenUsed/>
    <w:rsid w:val="006C7F6A"/>
    <w:pPr>
      <w:spacing w:before="0" w:after="0" w:line="240" w:lineRule="auto"/>
    </w:pPr>
    <w:rPr>
      <w:sz w:val="18"/>
      <w:szCs w:val="20"/>
    </w:rPr>
  </w:style>
  <w:style w:type="character" w:customStyle="1" w:styleId="FootnoteTextChar">
    <w:name w:val="Footnote Text Char"/>
    <w:basedOn w:val="DefaultParagraphFont"/>
    <w:link w:val="FootnoteText"/>
    <w:uiPriority w:val="99"/>
    <w:rsid w:val="006C7F6A"/>
    <w:rPr>
      <w:sz w:val="18"/>
      <w:lang w:eastAsia="en-US"/>
    </w:rPr>
  </w:style>
  <w:style w:type="character" w:styleId="FootnoteReference">
    <w:name w:val="footnote reference"/>
    <w:basedOn w:val="DefaultParagraphFont"/>
    <w:uiPriority w:val="99"/>
    <w:semiHidden/>
    <w:unhideWhenUsed/>
    <w:rsid w:val="00A61F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5.jpeg"/><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ga.copyright@tga.gov.au" TargetMode="Externa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image" Target="media/image3.jpeg"/><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hyperlink" Target="http://www.tga.gov.au/hp/information-medicines-pi.htm" TargetMode="Externa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yperlink" Target="http://www.tga.gov.au" TargetMode="External"/><Relationship Id="rId14" Type="http://schemas.openxmlformats.org/officeDocument/2006/relationships/header" Target="header2.xml"/><Relationship Id="rId22" Type="http://schemas.openxmlformats.org/officeDocument/2006/relationships/footer" Target="footer3.xml"/><Relationship Id="rId27" Type="http://schemas.openxmlformats.org/officeDocument/2006/relationships/footer" Target="footer5.xml"/></Relationships>
</file>

<file path=word/_rels/footer4.xml.rels><?xml version="1.0" encoding="UTF-8" standalone="yes"?>
<Relationships xmlns="http://schemas.openxmlformats.org/package/2006/relationships"><Relationship Id="rId2" Type="http://schemas.openxmlformats.org/officeDocument/2006/relationships/hyperlink" Target="http://www.tga.gov.au" TargetMode="External"/><Relationship Id="rId1" Type="http://schemas.openxmlformats.org/officeDocument/2006/relationships/hyperlink" Target="mailto:info@tga.gov.a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patp\AppData\Local\Hewlett-Packard\HP%20TRIM\TEMP\HPTRIM.18668\t0T4437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58912-18E1-4F42-87E2-C4B9B64BD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t0T4437I.DOTX</Template>
  <TotalTime>28</TotalTime>
  <Pages>33</Pages>
  <Words>12764</Words>
  <Characters>72761</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Extract from the Clinical Evaluation Report for [...]</vt:lpstr>
    </vt:vector>
  </TitlesOfParts>
  <Company>Department of Health Therapeutic Goods Administration</Company>
  <LinksUpToDate>false</LinksUpToDate>
  <CharactersWithSpaces>85355</CharactersWithSpaces>
  <SharedDoc>false</SharedDoc>
  <HLinks>
    <vt:vector size="246" baseType="variant">
      <vt:variant>
        <vt:i4>1048631</vt:i4>
      </vt:variant>
      <vt:variant>
        <vt:i4>221</vt:i4>
      </vt:variant>
      <vt:variant>
        <vt:i4>0</vt:i4>
      </vt:variant>
      <vt:variant>
        <vt:i4>5</vt:i4>
      </vt:variant>
      <vt:variant>
        <vt:lpwstr/>
      </vt:variant>
      <vt:variant>
        <vt:lpwstr>_Toc377653659</vt:lpwstr>
      </vt:variant>
      <vt:variant>
        <vt:i4>1048631</vt:i4>
      </vt:variant>
      <vt:variant>
        <vt:i4>215</vt:i4>
      </vt:variant>
      <vt:variant>
        <vt:i4>0</vt:i4>
      </vt:variant>
      <vt:variant>
        <vt:i4>5</vt:i4>
      </vt:variant>
      <vt:variant>
        <vt:lpwstr/>
      </vt:variant>
      <vt:variant>
        <vt:lpwstr>_Toc377653658</vt:lpwstr>
      </vt:variant>
      <vt:variant>
        <vt:i4>1048631</vt:i4>
      </vt:variant>
      <vt:variant>
        <vt:i4>209</vt:i4>
      </vt:variant>
      <vt:variant>
        <vt:i4>0</vt:i4>
      </vt:variant>
      <vt:variant>
        <vt:i4>5</vt:i4>
      </vt:variant>
      <vt:variant>
        <vt:lpwstr/>
      </vt:variant>
      <vt:variant>
        <vt:lpwstr>_Toc377653657</vt:lpwstr>
      </vt:variant>
      <vt:variant>
        <vt:i4>1048631</vt:i4>
      </vt:variant>
      <vt:variant>
        <vt:i4>203</vt:i4>
      </vt:variant>
      <vt:variant>
        <vt:i4>0</vt:i4>
      </vt:variant>
      <vt:variant>
        <vt:i4>5</vt:i4>
      </vt:variant>
      <vt:variant>
        <vt:lpwstr/>
      </vt:variant>
      <vt:variant>
        <vt:lpwstr>_Toc377653656</vt:lpwstr>
      </vt:variant>
      <vt:variant>
        <vt:i4>1048631</vt:i4>
      </vt:variant>
      <vt:variant>
        <vt:i4>197</vt:i4>
      </vt:variant>
      <vt:variant>
        <vt:i4>0</vt:i4>
      </vt:variant>
      <vt:variant>
        <vt:i4>5</vt:i4>
      </vt:variant>
      <vt:variant>
        <vt:lpwstr/>
      </vt:variant>
      <vt:variant>
        <vt:lpwstr>_Toc377653655</vt:lpwstr>
      </vt:variant>
      <vt:variant>
        <vt:i4>1048631</vt:i4>
      </vt:variant>
      <vt:variant>
        <vt:i4>191</vt:i4>
      </vt:variant>
      <vt:variant>
        <vt:i4>0</vt:i4>
      </vt:variant>
      <vt:variant>
        <vt:i4>5</vt:i4>
      </vt:variant>
      <vt:variant>
        <vt:lpwstr/>
      </vt:variant>
      <vt:variant>
        <vt:lpwstr>_Toc377653654</vt:lpwstr>
      </vt:variant>
      <vt:variant>
        <vt:i4>1048631</vt:i4>
      </vt:variant>
      <vt:variant>
        <vt:i4>185</vt:i4>
      </vt:variant>
      <vt:variant>
        <vt:i4>0</vt:i4>
      </vt:variant>
      <vt:variant>
        <vt:i4>5</vt:i4>
      </vt:variant>
      <vt:variant>
        <vt:lpwstr/>
      </vt:variant>
      <vt:variant>
        <vt:lpwstr>_Toc377653653</vt:lpwstr>
      </vt:variant>
      <vt:variant>
        <vt:i4>1048631</vt:i4>
      </vt:variant>
      <vt:variant>
        <vt:i4>179</vt:i4>
      </vt:variant>
      <vt:variant>
        <vt:i4>0</vt:i4>
      </vt:variant>
      <vt:variant>
        <vt:i4>5</vt:i4>
      </vt:variant>
      <vt:variant>
        <vt:lpwstr/>
      </vt:variant>
      <vt:variant>
        <vt:lpwstr>_Toc377653652</vt:lpwstr>
      </vt:variant>
      <vt:variant>
        <vt:i4>1048631</vt:i4>
      </vt:variant>
      <vt:variant>
        <vt:i4>173</vt:i4>
      </vt:variant>
      <vt:variant>
        <vt:i4>0</vt:i4>
      </vt:variant>
      <vt:variant>
        <vt:i4>5</vt:i4>
      </vt:variant>
      <vt:variant>
        <vt:lpwstr/>
      </vt:variant>
      <vt:variant>
        <vt:lpwstr>_Toc377653651</vt:lpwstr>
      </vt:variant>
      <vt:variant>
        <vt:i4>1048631</vt:i4>
      </vt:variant>
      <vt:variant>
        <vt:i4>167</vt:i4>
      </vt:variant>
      <vt:variant>
        <vt:i4>0</vt:i4>
      </vt:variant>
      <vt:variant>
        <vt:i4>5</vt:i4>
      </vt:variant>
      <vt:variant>
        <vt:lpwstr/>
      </vt:variant>
      <vt:variant>
        <vt:lpwstr>_Toc377653650</vt:lpwstr>
      </vt:variant>
      <vt:variant>
        <vt:i4>1114167</vt:i4>
      </vt:variant>
      <vt:variant>
        <vt:i4>161</vt:i4>
      </vt:variant>
      <vt:variant>
        <vt:i4>0</vt:i4>
      </vt:variant>
      <vt:variant>
        <vt:i4>5</vt:i4>
      </vt:variant>
      <vt:variant>
        <vt:lpwstr/>
      </vt:variant>
      <vt:variant>
        <vt:lpwstr>_Toc377653649</vt:lpwstr>
      </vt:variant>
      <vt:variant>
        <vt:i4>1114167</vt:i4>
      </vt:variant>
      <vt:variant>
        <vt:i4>155</vt:i4>
      </vt:variant>
      <vt:variant>
        <vt:i4>0</vt:i4>
      </vt:variant>
      <vt:variant>
        <vt:i4>5</vt:i4>
      </vt:variant>
      <vt:variant>
        <vt:lpwstr/>
      </vt:variant>
      <vt:variant>
        <vt:lpwstr>_Toc377653648</vt:lpwstr>
      </vt:variant>
      <vt:variant>
        <vt:i4>1114167</vt:i4>
      </vt:variant>
      <vt:variant>
        <vt:i4>149</vt:i4>
      </vt:variant>
      <vt:variant>
        <vt:i4>0</vt:i4>
      </vt:variant>
      <vt:variant>
        <vt:i4>5</vt:i4>
      </vt:variant>
      <vt:variant>
        <vt:lpwstr/>
      </vt:variant>
      <vt:variant>
        <vt:lpwstr>_Toc377653647</vt:lpwstr>
      </vt:variant>
      <vt:variant>
        <vt:i4>1114167</vt:i4>
      </vt:variant>
      <vt:variant>
        <vt:i4>143</vt:i4>
      </vt:variant>
      <vt:variant>
        <vt:i4>0</vt:i4>
      </vt:variant>
      <vt:variant>
        <vt:i4>5</vt:i4>
      </vt:variant>
      <vt:variant>
        <vt:lpwstr/>
      </vt:variant>
      <vt:variant>
        <vt:lpwstr>_Toc377653646</vt:lpwstr>
      </vt:variant>
      <vt:variant>
        <vt:i4>1114167</vt:i4>
      </vt:variant>
      <vt:variant>
        <vt:i4>137</vt:i4>
      </vt:variant>
      <vt:variant>
        <vt:i4>0</vt:i4>
      </vt:variant>
      <vt:variant>
        <vt:i4>5</vt:i4>
      </vt:variant>
      <vt:variant>
        <vt:lpwstr/>
      </vt:variant>
      <vt:variant>
        <vt:lpwstr>_Toc377653645</vt:lpwstr>
      </vt:variant>
      <vt:variant>
        <vt:i4>1114167</vt:i4>
      </vt:variant>
      <vt:variant>
        <vt:i4>131</vt:i4>
      </vt:variant>
      <vt:variant>
        <vt:i4>0</vt:i4>
      </vt:variant>
      <vt:variant>
        <vt:i4>5</vt:i4>
      </vt:variant>
      <vt:variant>
        <vt:lpwstr/>
      </vt:variant>
      <vt:variant>
        <vt:lpwstr>_Toc377653644</vt:lpwstr>
      </vt:variant>
      <vt:variant>
        <vt:i4>1114167</vt:i4>
      </vt:variant>
      <vt:variant>
        <vt:i4>125</vt:i4>
      </vt:variant>
      <vt:variant>
        <vt:i4>0</vt:i4>
      </vt:variant>
      <vt:variant>
        <vt:i4>5</vt:i4>
      </vt:variant>
      <vt:variant>
        <vt:lpwstr/>
      </vt:variant>
      <vt:variant>
        <vt:lpwstr>_Toc377653643</vt:lpwstr>
      </vt:variant>
      <vt:variant>
        <vt:i4>1114167</vt:i4>
      </vt:variant>
      <vt:variant>
        <vt:i4>119</vt:i4>
      </vt:variant>
      <vt:variant>
        <vt:i4>0</vt:i4>
      </vt:variant>
      <vt:variant>
        <vt:i4>5</vt:i4>
      </vt:variant>
      <vt:variant>
        <vt:lpwstr/>
      </vt:variant>
      <vt:variant>
        <vt:lpwstr>_Toc377653642</vt:lpwstr>
      </vt:variant>
      <vt:variant>
        <vt:i4>1114167</vt:i4>
      </vt:variant>
      <vt:variant>
        <vt:i4>113</vt:i4>
      </vt:variant>
      <vt:variant>
        <vt:i4>0</vt:i4>
      </vt:variant>
      <vt:variant>
        <vt:i4>5</vt:i4>
      </vt:variant>
      <vt:variant>
        <vt:lpwstr/>
      </vt:variant>
      <vt:variant>
        <vt:lpwstr>_Toc377653641</vt:lpwstr>
      </vt:variant>
      <vt:variant>
        <vt:i4>1114167</vt:i4>
      </vt:variant>
      <vt:variant>
        <vt:i4>107</vt:i4>
      </vt:variant>
      <vt:variant>
        <vt:i4>0</vt:i4>
      </vt:variant>
      <vt:variant>
        <vt:i4>5</vt:i4>
      </vt:variant>
      <vt:variant>
        <vt:lpwstr/>
      </vt:variant>
      <vt:variant>
        <vt:lpwstr>_Toc377653640</vt:lpwstr>
      </vt:variant>
      <vt:variant>
        <vt:i4>1441847</vt:i4>
      </vt:variant>
      <vt:variant>
        <vt:i4>101</vt:i4>
      </vt:variant>
      <vt:variant>
        <vt:i4>0</vt:i4>
      </vt:variant>
      <vt:variant>
        <vt:i4>5</vt:i4>
      </vt:variant>
      <vt:variant>
        <vt:lpwstr/>
      </vt:variant>
      <vt:variant>
        <vt:lpwstr>_Toc377653639</vt:lpwstr>
      </vt:variant>
      <vt:variant>
        <vt:i4>1441847</vt:i4>
      </vt:variant>
      <vt:variant>
        <vt:i4>95</vt:i4>
      </vt:variant>
      <vt:variant>
        <vt:i4>0</vt:i4>
      </vt:variant>
      <vt:variant>
        <vt:i4>5</vt:i4>
      </vt:variant>
      <vt:variant>
        <vt:lpwstr/>
      </vt:variant>
      <vt:variant>
        <vt:lpwstr>_Toc377653638</vt:lpwstr>
      </vt:variant>
      <vt:variant>
        <vt:i4>1441847</vt:i4>
      </vt:variant>
      <vt:variant>
        <vt:i4>89</vt:i4>
      </vt:variant>
      <vt:variant>
        <vt:i4>0</vt:i4>
      </vt:variant>
      <vt:variant>
        <vt:i4>5</vt:i4>
      </vt:variant>
      <vt:variant>
        <vt:lpwstr/>
      </vt:variant>
      <vt:variant>
        <vt:lpwstr>_Toc377653637</vt:lpwstr>
      </vt:variant>
      <vt:variant>
        <vt:i4>1441847</vt:i4>
      </vt:variant>
      <vt:variant>
        <vt:i4>83</vt:i4>
      </vt:variant>
      <vt:variant>
        <vt:i4>0</vt:i4>
      </vt:variant>
      <vt:variant>
        <vt:i4>5</vt:i4>
      </vt:variant>
      <vt:variant>
        <vt:lpwstr/>
      </vt:variant>
      <vt:variant>
        <vt:lpwstr>_Toc377653636</vt:lpwstr>
      </vt:variant>
      <vt:variant>
        <vt:i4>1441847</vt:i4>
      </vt:variant>
      <vt:variant>
        <vt:i4>77</vt:i4>
      </vt:variant>
      <vt:variant>
        <vt:i4>0</vt:i4>
      </vt:variant>
      <vt:variant>
        <vt:i4>5</vt:i4>
      </vt:variant>
      <vt:variant>
        <vt:lpwstr/>
      </vt:variant>
      <vt:variant>
        <vt:lpwstr>_Toc377653635</vt:lpwstr>
      </vt:variant>
      <vt:variant>
        <vt:i4>1441847</vt:i4>
      </vt:variant>
      <vt:variant>
        <vt:i4>71</vt:i4>
      </vt:variant>
      <vt:variant>
        <vt:i4>0</vt:i4>
      </vt:variant>
      <vt:variant>
        <vt:i4>5</vt:i4>
      </vt:variant>
      <vt:variant>
        <vt:lpwstr/>
      </vt:variant>
      <vt:variant>
        <vt:lpwstr>_Toc377653634</vt:lpwstr>
      </vt:variant>
      <vt:variant>
        <vt:i4>1441847</vt:i4>
      </vt:variant>
      <vt:variant>
        <vt:i4>65</vt:i4>
      </vt:variant>
      <vt:variant>
        <vt:i4>0</vt:i4>
      </vt:variant>
      <vt:variant>
        <vt:i4>5</vt:i4>
      </vt:variant>
      <vt:variant>
        <vt:lpwstr/>
      </vt:variant>
      <vt:variant>
        <vt:lpwstr>_Toc377653633</vt:lpwstr>
      </vt:variant>
      <vt:variant>
        <vt:i4>1441847</vt:i4>
      </vt:variant>
      <vt:variant>
        <vt:i4>59</vt:i4>
      </vt:variant>
      <vt:variant>
        <vt:i4>0</vt:i4>
      </vt:variant>
      <vt:variant>
        <vt:i4>5</vt:i4>
      </vt:variant>
      <vt:variant>
        <vt:lpwstr/>
      </vt:variant>
      <vt:variant>
        <vt:lpwstr>_Toc377653632</vt:lpwstr>
      </vt:variant>
      <vt:variant>
        <vt:i4>1441847</vt:i4>
      </vt:variant>
      <vt:variant>
        <vt:i4>53</vt:i4>
      </vt:variant>
      <vt:variant>
        <vt:i4>0</vt:i4>
      </vt:variant>
      <vt:variant>
        <vt:i4>5</vt:i4>
      </vt:variant>
      <vt:variant>
        <vt:lpwstr/>
      </vt:variant>
      <vt:variant>
        <vt:lpwstr>_Toc377653631</vt:lpwstr>
      </vt:variant>
      <vt:variant>
        <vt:i4>1441847</vt:i4>
      </vt:variant>
      <vt:variant>
        <vt:i4>47</vt:i4>
      </vt:variant>
      <vt:variant>
        <vt:i4>0</vt:i4>
      </vt:variant>
      <vt:variant>
        <vt:i4>5</vt:i4>
      </vt:variant>
      <vt:variant>
        <vt:lpwstr/>
      </vt:variant>
      <vt:variant>
        <vt:lpwstr>_Toc377653630</vt:lpwstr>
      </vt:variant>
      <vt:variant>
        <vt:i4>1507383</vt:i4>
      </vt:variant>
      <vt:variant>
        <vt:i4>41</vt:i4>
      </vt:variant>
      <vt:variant>
        <vt:i4>0</vt:i4>
      </vt:variant>
      <vt:variant>
        <vt:i4>5</vt:i4>
      </vt:variant>
      <vt:variant>
        <vt:lpwstr/>
      </vt:variant>
      <vt:variant>
        <vt:lpwstr>_Toc377653629</vt:lpwstr>
      </vt:variant>
      <vt:variant>
        <vt:i4>1507383</vt:i4>
      </vt:variant>
      <vt:variant>
        <vt:i4>35</vt:i4>
      </vt:variant>
      <vt:variant>
        <vt:i4>0</vt:i4>
      </vt:variant>
      <vt:variant>
        <vt:i4>5</vt:i4>
      </vt:variant>
      <vt:variant>
        <vt:lpwstr/>
      </vt:variant>
      <vt:variant>
        <vt:lpwstr>_Toc377653628</vt:lpwstr>
      </vt:variant>
      <vt:variant>
        <vt:i4>1507383</vt:i4>
      </vt:variant>
      <vt:variant>
        <vt:i4>29</vt:i4>
      </vt:variant>
      <vt:variant>
        <vt:i4>0</vt:i4>
      </vt:variant>
      <vt:variant>
        <vt:i4>5</vt:i4>
      </vt:variant>
      <vt:variant>
        <vt:lpwstr/>
      </vt:variant>
      <vt:variant>
        <vt:lpwstr>_Toc377653627</vt:lpwstr>
      </vt:variant>
      <vt:variant>
        <vt:i4>1507383</vt:i4>
      </vt:variant>
      <vt:variant>
        <vt:i4>23</vt:i4>
      </vt:variant>
      <vt:variant>
        <vt:i4>0</vt:i4>
      </vt:variant>
      <vt:variant>
        <vt:i4>5</vt:i4>
      </vt:variant>
      <vt:variant>
        <vt:lpwstr/>
      </vt:variant>
      <vt:variant>
        <vt:lpwstr>_Toc377653626</vt:lpwstr>
      </vt:variant>
      <vt:variant>
        <vt:i4>1507383</vt:i4>
      </vt:variant>
      <vt:variant>
        <vt:i4>17</vt:i4>
      </vt:variant>
      <vt:variant>
        <vt:i4>0</vt:i4>
      </vt:variant>
      <vt:variant>
        <vt:i4>5</vt:i4>
      </vt:variant>
      <vt:variant>
        <vt:lpwstr/>
      </vt:variant>
      <vt:variant>
        <vt:lpwstr>_Toc377653625</vt:lpwstr>
      </vt:variant>
      <vt:variant>
        <vt:i4>1507383</vt:i4>
      </vt:variant>
      <vt:variant>
        <vt:i4>11</vt:i4>
      </vt:variant>
      <vt:variant>
        <vt:i4>0</vt:i4>
      </vt:variant>
      <vt:variant>
        <vt:i4>5</vt:i4>
      </vt:variant>
      <vt:variant>
        <vt:lpwstr/>
      </vt:variant>
      <vt:variant>
        <vt:lpwstr>_Toc377653624</vt:lpwstr>
      </vt:variant>
      <vt:variant>
        <vt:i4>6291548</vt:i4>
      </vt:variant>
      <vt:variant>
        <vt:i4>6</vt:i4>
      </vt:variant>
      <vt:variant>
        <vt:i4>0</vt:i4>
      </vt:variant>
      <vt:variant>
        <vt:i4>5</vt:i4>
      </vt:variant>
      <vt:variant>
        <vt:lpwstr>mailto:tga.copyright@tga.gov.au</vt:lpwstr>
      </vt:variant>
      <vt:variant>
        <vt:lpwstr/>
      </vt:variant>
      <vt:variant>
        <vt:i4>5701660</vt:i4>
      </vt:variant>
      <vt:variant>
        <vt:i4>3</vt:i4>
      </vt:variant>
      <vt:variant>
        <vt:i4>0</vt:i4>
      </vt:variant>
      <vt:variant>
        <vt:i4>5</vt:i4>
      </vt:variant>
      <vt:variant>
        <vt:lpwstr>http://www.tga.gov.au/hp/information-medicines-pi.htm</vt:lpwstr>
      </vt:variant>
      <vt:variant>
        <vt:lpwstr/>
      </vt:variant>
      <vt:variant>
        <vt:i4>6357037</vt:i4>
      </vt:variant>
      <vt:variant>
        <vt:i4>0</vt:i4>
      </vt:variant>
      <vt:variant>
        <vt:i4>0</vt:i4>
      </vt:variant>
      <vt:variant>
        <vt:i4>5</vt:i4>
      </vt:variant>
      <vt:variant>
        <vt:lpwstr>http://www.tga.gov.au/</vt:lpwstr>
      </vt:variant>
      <vt:variant>
        <vt:lpwstr/>
      </vt:variant>
      <vt:variant>
        <vt:i4>6357037</vt:i4>
      </vt:variant>
      <vt:variant>
        <vt:i4>18</vt:i4>
      </vt:variant>
      <vt:variant>
        <vt:i4>0</vt:i4>
      </vt:variant>
      <vt:variant>
        <vt:i4>5</vt:i4>
      </vt:variant>
      <vt:variant>
        <vt:lpwstr>http://www.tga.gov.au/</vt:lpwstr>
      </vt:variant>
      <vt:variant>
        <vt:lpwstr/>
      </vt:variant>
      <vt:variant>
        <vt:i4>5242926</vt:i4>
      </vt:variant>
      <vt:variant>
        <vt:i4>15</vt:i4>
      </vt:variant>
      <vt:variant>
        <vt:i4>0</vt:i4>
      </vt:variant>
      <vt:variant>
        <vt:i4>5</vt:i4>
      </vt:variant>
      <vt:variant>
        <vt:lpwstr>mailto:info@tga.gov.au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2. Extract from the Clinical Evaluation Report for besifloxacin hydrochloride</dc:title>
  <dc:subject>prescription medicine regulation</dc:subject>
  <dc:creator>Therapeutic Goods Administration</dc:creator>
  <cp:keywords>clinical, evaluation, report, medicine, assessment, regulation, australia, besifloxacin, hydrochloride, besivance, bausch, lomb</cp:keywords>
  <cp:lastModifiedBy>dixonj</cp:lastModifiedBy>
  <cp:revision>23</cp:revision>
  <cp:lastPrinted>2010-12-20T22:59:00Z</cp:lastPrinted>
  <dcterms:created xsi:type="dcterms:W3CDTF">2014-03-17T22:08:00Z</dcterms:created>
  <dcterms:modified xsi:type="dcterms:W3CDTF">2014-03-18T01:20:00Z</dcterms:modified>
</cp:coreProperties>
</file>