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6A" w:rsidRDefault="00CC146A" w:rsidP="007E0EA5">
      <w:pPr>
        <w:pStyle w:val="Title"/>
        <w:rPr>
          <w:caps/>
          <w:szCs w:val="24"/>
        </w:rPr>
      </w:pPr>
      <w:bookmarkStart w:id="0" w:name="_GoBack"/>
      <w:bookmarkEnd w:id="0"/>
    </w:p>
    <w:p w:rsidR="000B734D" w:rsidRDefault="000B734D" w:rsidP="007E0EA5">
      <w:pPr>
        <w:pStyle w:val="Title"/>
        <w:rPr>
          <w:caps/>
          <w:szCs w:val="24"/>
        </w:rPr>
      </w:pPr>
      <w:r w:rsidRPr="00D206E8">
        <w:rPr>
          <w:caps/>
          <w:szCs w:val="24"/>
        </w:rPr>
        <w:t>Product Information</w:t>
      </w:r>
    </w:p>
    <w:p w:rsidR="007E0EA5" w:rsidRPr="00D206E8" w:rsidRDefault="007E0EA5" w:rsidP="007E0EA5">
      <w:pPr>
        <w:pStyle w:val="Title"/>
        <w:rPr>
          <w:caps/>
          <w:szCs w:val="24"/>
        </w:rPr>
      </w:pPr>
    </w:p>
    <w:p w:rsidR="00B70EE3" w:rsidRPr="00D206E8" w:rsidRDefault="00B70EE3" w:rsidP="007E0EA5">
      <w:pPr>
        <w:pStyle w:val="CM10"/>
        <w:spacing w:line="278" w:lineRule="atLeast"/>
        <w:jc w:val="center"/>
      </w:pPr>
      <w:proofErr w:type="spellStart"/>
      <w:r w:rsidRPr="00D206E8">
        <w:rPr>
          <w:b/>
          <w:bCs/>
        </w:rPr>
        <w:t>Besivance</w:t>
      </w:r>
      <w:proofErr w:type="spellEnd"/>
      <w:r w:rsidR="009D1875" w:rsidRPr="00027914">
        <w:rPr>
          <w:b/>
          <w:bCs/>
          <w:vertAlign w:val="superscript"/>
        </w:rPr>
        <w:t>®</w:t>
      </w:r>
      <w:r w:rsidR="009D1875" w:rsidRPr="00D206E8">
        <w:rPr>
          <w:b/>
          <w:bCs/>
        </w:rPr>
        <w:t xml:space="preserve"> </w:t>
      </w:r>
      <w:r w:rsidRPr="00D206E8">
        <w:rPr>
          <w:b/>
          <w:bCs/>
        </w:rPr>
        <w:t xml:space="preserve">0.6% </w:t>
      </w:r>
      <w:r w:rsidR="00A633B2">
        <w:rPr>
          <w:b/>
          <w:bCs/>
        </w:rPr>
        <w:t>eye drops,</w:t>
      </w:r>
      <w:r w:rsidR="00A633B2" w:rsidRPr="00D206E8">
        <w:rPr>
          <w:b/>
          <w:bCs/>
        </w:rPr>
        <w:t xml:space="preserve"> </w:t>
      </w:r>
      <w:r w:rsidR="00A633B2">
        <w:rPr>
          <w:b/>
          <w:bCs/>
        </w:rPr>
        <w:t>suspension</w:t>
      </w:r>
    </w:p>
    <w:p w:rsidR="00CC146A" w:rsidRDefault="00CC146A" w:rsidP="007E0EA5">
      <w:pPr>
        <w:pStyle w:val="Heading1"/>
        <w:tabs>
          <w:tab w:val="left" w:pos="567"/>
        </w:tabs>
        <w:ind w:left="-11"/>
        <w:jc w:val="both"/>
        <w:rPr>
          <w:szCs w:val="24"/>
        </w:rPr>
      </w:pPr>
    </w:p>
    <w:p w:rsidR="00B267AF" w:rsidRPr="00D206E8" w:rsidRDefault="000078AD" w:rsidP="007E0EA5">
      <w:pPr>
        <w:pStyle w:val="Heading1"/>
        <w:tabs>
          <w:tab w:val="left" w:pos="567"/>
        </w:tabs>
        <w:ind w:left="-11"/>
        <w:jc w:val="both"/>
        <w:rPr>
          <w:szCs w:val="24"/>
        </w:rPr>
      </w:pPr>
      <w:r w:rsidRPr="00D206E8">
        <w:rPr>
          <w:szCs w:val="24"/>
        </w:rPr>
        <w:t>Name of the medicine</w:t>
      </w:r>
    </w:p>
    <w:p w:rsidR="00CC146A" w:rsidRDefault="00BB0FE5" w:rsidP="007E0EA5">
      <w:pPr>
        <w:pStyle w:val="Default"/>
        <w:tabs>
          <w:tab w:val="left" w:pos="567"/>
        </w:tabs>
        <w:ind w:left="567" w:hanging="567"/>
        <w:jc w:val="both"/>
        <w:rPr>
          <w:rFonts w:ascii="Times New Roman" w:hAnsi="Times New Roman" w:cs="Times New Roman"/>
          <w:color w:val="auto"/>
        </w:rPr>
      </w:pPr>
      <w:r>
        <w:rPr>
          <w:rFonts w:ascii="Times New Roman" w:hAnsi="Times New Roman" w:cs="Times New Roman"/>
          <w:color w:val="auto"/>
        </w:rPr>
        <w:tab/>
      </w:r>
    </w:p>
    <w:p w:rsidR="00EC739C" w:rsidRDefault="00E4284C" w:rsidP="007E0EA5">
      <w:pPr>
        <w:pStyle w:val="Default"/>
        <w:tabs>
          <w:tab w:val="left" w:pos="567"/>
        </w:tabs>
        <w:ind w:left="567" w:hanging="567"/>
        <w:jc w:val="both"/>
        <w:rPr>
          <w:rFonts w:ascii="Times New Roman" w:hAnsi="Times New Roman" w:cs="Times New Roman"/>
          <w:color w:val="auto"/>
        </w:rPr>
      </w:pPr>
      <w:r w:rsidRPr="00D206E8">
        <w:rPr>
          <w:rFonts w:ascii="Times New Roman" w:hAnsi="Times New Roman" w:cs="Times New Roman"/>
          <w:color w:val="auto"/>
        </w:rPr>
        <w:t>N</w:t>
      </w:r>
      <w:r w:rsidR="00B267AF" w:rsidRPr="00D206E8">
        <w:rPr>
          <w:rFonts w:ascii="Times New Roman" w:hAnsi="Times New Roman" w:cs="Times New Roman"/>
          <w:color w:val="auto"/>
        </w:rPr>
        <w:t xml:space="preserve">ame: </w:t>
      </w:r>
      <w:r w:rsidR="00B267AF" w:rsidRPr="00D206E8">
        <w:rPr>
          <w:rFonts w:ascii="Times New Roman" w:hAnsi="Times New Roman" w:cs="Times New Roman"/>
          <w:color w:val="auto"/>
        </w:rPr>
        <w:tab/>
      </w:r>
      <w:r w:rsidR="000078AD">
        <w:rPr>
          <w:rFonts w:ascii="Times New Roman" w:hAnsi="Times New Roman" w:cs="Times New Roman"/>
          <w:color w:val="auto"/>
        </w:rPr>
        <w:t xml:space="preserve"> </w:t>
      </w:r>
      <w:proofErr w:type="spellStart"/>
      <w:r w:rsidR="00F87312" w:rsidRPr="00D206E8">
        <w:rPr>
          <w:rFonts w:ascii="Times New Roman" w:hAnsi="Times New Roman" w:cs="Times New Roman"/>
          <w:color w:val="auto"/>
        </w:rPr>
        <w:t>besifloxacin</w:t>
      </w:r>
      <w:proofErr w:type="spellEnd"/>
      <w:r w:rsidR="00F87312" w:rsidRPr="00D206E8">
        <w:rPr>
          <w:rFonts w:ascii="Times New Roman" w:hAnsi="Times New Roman" w:cs="Times New Roman"/>
          <w:color w:val="auto"/>
        </w:rPr>
        <w:t xml:space="preserve"> </w:t>
      </w:r>
      <w:r w:rsidR="00F460F0" w:rsidRPr="00D206E8">
        <w:rPr>
          <w:rFonts w:ascii="Times New Roman" w:hAnsi="Times New Roman" w:cs="Times New Roman"/>
          <w:color w:val="auto"/>
        </w:rPr>
        <w:t>hydrochloride</w:t>
      </w:r>
    </w:p>
    <w:p w:rsidR="00EC739C" w:rsidRPr="00D206E8" w:rsidRDefault="00EC739C" w:rsidP="007E0EA5">
      <w:pPr>
        <w:pStyle w:val="Default"/>
        <w:tabs>
          <w:tab w:val="left" w:pos="567"/>
        </w:tabs>
        <w:ind w:left="567" w:hanging="567"/>
        <w:jc w:val="both"/>
        <w:rPr>
          <w:rFonts w:ascii="Times New Roman" w:hAnsi="Times New Roman" w:cs="Times New Roman"/>
          <w:color w:val="auto"/>
        </w:rPr>
      </w:pPr>
    </w:p>
    <w:p w:rsidR="003608CE" w:rsidRPr="00D206E8" w:rsidRDefault="00B267AF" w:rsidP="007E0EA5">
      <w:pPr>
        <w:tabs>
          <w:tab w:val="left" w:pos="567"/>
        </w:tabs>
        <w:ind w:left="567" w:hanging="567"/>
        <w:jc w:val="both"/>
        <w:rPr>
          <w:sz w:val="24"/>
          <w:szCs w:val="24"/>
        </w:rPr>
      </w:pPr>
      <w:r w:rsidRPr="00D206E8">
        <w:rPr>
          <w:sz w:val="24"/>
          <w:szCs w:val="24"/>
        </w:rPr>
        <w:t>Chemical structure:</w:t>
      </w:r>
    </w:p>
    <w:p w:rsidR="00B267AF" w:rsidRPr="00D206E8" w:rsidRDefault="003608CE" w:rsidP="007E0EA5">
      <w:pPr>
        <w:tabs>
          <w:tab w:val="left" w:pos="567"/>
        </w:tabs>
        <w:ind w:left="567" w:hanging="567"/>
        <w:jc w:val="both"/>
        <w:rPr>
          <w:sz w:val="24"/>
          <w:szCs w:val="24"/>
        </w:rPr>
      </w:pPr>
      <w:r w:rsidRPr="00D206E8">
        <w:rPr>
          <w:sz w:val="24"/>
          <w:szCs w:val="24"/>
        </w:rPr>
        <w:t xml:space="preserve"> </w:t>
      </w:r>
      <w:r w:rsidR="00567FF6">
        <w:rPr>
          <w:noProof/>
          <w:sz w:val="24"/>
          <w:szCs w:val="24"/>
          <w:lang w:eastAsia="en-AU"/>
        </w:rPr>
        <w:drawing>
          <wp:inline distT="0" distB="0" distL="0" distR="0">
            <wp:extent cx="2615565" cy="1148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5565" cy="1148080"/>
                    </a:xfrm>
                    <a:prstGeom prst="rect">
                      <a:avLst/>
                    </a:prstGeom>
                    <a:noFill/>
                    <a:ln>
                      <a:noFill/>
                    </a:ln>
                  </pic:spPr>
                </pic:pic>
              </a:graphicData>
            </a:graphic>
          </wp:inline>
        </w:drawing>
      </w:r>
    </w:p>
    <w:p w:rsidR="00321828" w:rsidRDefault="00321828" w:rsidP="007E0EA5">
      <w:pPr>
        <w:pStyle w:val="Default"/>
        <w:tabs>
          <w:tab w:val="left" w:pos="567"/>
        </w:tabs>
        <w:ind w:left="567" w:hanging="567"/>
        <w:jc w:val="both"/>
        <w:rPr>
          <w:rFonts w:ascii="Times New Roman" w:hAnsi="Times New Roman" w:cs="Times New Roman"/>
          <w:color w:val="auto"/>
        </w:rPr>
      </w:pPr>
    </w:p>
    <w:p w:rsidR="00B54B99" w:rsidRPr="00D206E8" w:rsidRDefault="00B54B99" w:rsidP="007E0EA5">
      <w:pPr>
        <w:pStyle w:val="Default"/>
        <w:tabs>
          <w:tab w:val="left" w:pos="567"/>
        </w:tabs>
        <w:ind w:left="567" w:hanging="567"/>
        <w:jc w:val="both"/>
        <w:rPr>
          <w:rFonts w:ascii="Times New Roman" w:hAnsi="Times New Roman" w:cs="Times New Roman"/>
          <w:color w:val="auto"/>
        </w:rPr>
      </w:pPr>
      <w:r>
        <w:rPr>
          <w:rFonts w:ascii="Times New Roman" w:hAnsi="Times New Roman" w:cs="Times New Roman"/>
          <w:color w:val="auto"/>
        </w:rPr>
        <w:t xml:space="preserve">CAS number: </w:t>
      </w:r>
      <w:r w:rsidR="001F21EB" w:rsidRPr="00BB0FE5">
        <w:rPr>
          <w:rFonts w:ascii="Times New Roman" w:hAnsi="Times New Roman" w:cs="Times New Roman"/>
          <w:color w:val="auto"/>
        </w:rPr>
        <w:t>405165-61-9</w:t>
      </w:r>
      <w:r w:rsidR="003305DB">
        <w:rPr>
          <w:rFonts w:ascii="Times New Roman" w:hAnsi="Times New Roman" w:cs="Times New Roman"/>
          <w:color w:val="auto"/>
        </w:rPr>
        <w:tab/>
      </w:r>
    </w:p>
    <w:p w:rsidR="003305DB" w:rsidRDefault="003305DB" w:rsidP="007E0EA5">
      <w:pPr>
        <w:pStyle w:val="Default"/>
        <w:tabs>
          <w:tab w:val="left" w:pos="567"/>
        </w:tabs>
        <w:jc w:val="both"/>
        <w:rPr>
          <w:rFonts w:ascii="Times New Roman" w:hAnsi="Times New Roman" w:cs="Times New Roman"/>
          <w:b/>
          <w:bCs/>
          <w:color w:val="auto"/>
        </w:rPr>
      </w:pPr>
    </w:p>
    <w:p w:rsidR="00621908" w:rsidRDefault="00621908" w:rsidP="007E0EA5">
      <w:pPr>
        <w:pStyle w:val="Default"/>
        <w:tabs>
          <w:tab w:val="left" w:pos="567"/>
        </w:tabs>
        <w:jc w:val="both"/>
        <w:rPr>
          <w:rFonts w:ascii="Times New Roman" w:hAnsi="Times New Roman" w:cs="Times New Roman"/>
          <w:b/>
          <w:bCs/>
          <w:color w:val="auto"/>
        </w:rPr>
      </w:pPr>
    </w:p>
    <w:p w:rsidR="001945CA" w:rsidRDefault="000078AD" w:rsidP="007E0EA5">
      <w:pPr>
        <w:pStyle w:val="Default"/>
        <w:tabs>
          <w:tab w:val="left" w:pos="567"/>
        </w:tabs>
        <w:jc w:val="both"/>
        <w:rPr>
          <w:rFonts w:ascii="Times New Roman" w:hAnsi="Times New Roman" w:cs="Times New Roman"/>
          <w:b/>
          <w:bCs/>
          <w:color w:val="auto"/>
        </w:rPr>
      </w:pPr>
      <w:r w:rsidRPr="00D206E8">
        <w:rPr>
          <w:rFonts w:ascii="Times New Roman" w:hAnsi="Times New Roman" w:cs="Times New Roman"/>
          <w:b/>
          <w:bCs/>
          <w:color w:val="auto"/>
        </w:rPr>
        <w:t>Description</w:t>
      </w:r>
    </w:p>
    <w:p w:rsidR="001945CA" w:rsidRDefault="001945CA" w:rsidP="007E0EA5">
      <w:pPr>
        <w:pStyle w:val="Default"/>
        <w:tabs>
          <w:tab w:val="left" w:pos="567"/>
        </w:tabs>
        <w:jc w:val="both"/>
      </w:pPr>
      <w:r>
        <w:rPr>
          <w:rFonts w:ascii="Times New Roman" w:hAnsi="Times New Roman" w:cs="Times New Roman"/>
          <w:color w:val="auto"/>
          <w:lang w:val="en-AU"/>
        </w:rPr>
        <w:t>Chemical name:</w:t>
      </w:r>
      <w:r w:rsidR="00B54B99" w:rsidRPr="00B54B99">
        <w:rPr>
          <w:rFonts w:ascii="Times New Roman" w:hAnsi="Times New Roman" w:cs="Times New Roman"/>
          <w:color w:val="auto"/>
          <w:lang w:val="en-AU"/>
        </w:rPr>
        <w:t xml:space="preserve"> (+)-7-[(3R)-3-aminohexahydro1H-azepin-1-yl]-8-chloro-1-cyclopropyl-6-fluoro-4oxo-1</w:t>
      </w:r>
      <w:proofErr w:type="gramStart"/>
      <w:r w:rsidR="00B54B99" w:rsidRPr="00B54B99">
        <w:rPr>
          <w:rFonts w:ascii="Times New Roman" w:hAnsi="Times New Roman" w:cs="Times New Roman"/>
          <w:color w:val="auto"/>
          <w:lang w:val="en-AU"/>
        </w:rPr>
        <w:t>,4</w:t>
      </w:r>
      <w:proofErr w:type="gramEnd"/>
      <w:r w:rsidR="00B54B99" w:rsidRPr="00B54B99">
        <w:rPr>
          <w:rFonts w:ascii="Times New Roman" w:hAnsi="Times New Roman" w:cs="Times New Roman"/>
          <w:color w:val="auto"/>
          <w:lang w:val="en-AU"/>
        </w:rPr>
        <w:t>-dihydroquinoline-3-carboxylic acid hydrochloride</w:t>
      </w:r>
      <w:r w:rsidR="003305DB">
        <w:t>.</w:t>
      </w:r>
    </w:p>
    <w:p w:rsidR="00B227EF" w:rsidRDefault="00B227EF" w:rsidP="007E0EA5">
      <w:pPr>
        <w:pStyle w:val="Default"/>
        <w:tabs>
          <w:tab w:val="left" w:pos="567"/>
        </w:tabs>
        <w:jc w:val="both"/>
        <w:rPr>
          <w:rFonts w:ascii="Times New Roman" w:hAnsi="Times New Roman" w:cs="Times New Roman"/>
          <w:color w:val="auto"/>
          <w:lang w:val="pt-BR"/>
        </w:rPr>
      </w:pPr>
    </w:p>
    <w:p w:rsidR="00B54B99" w:rsidRPr="001945CA" w:rsidRDefault="001945CA" w:rsidP="007E0EA5">
      <w:pPr>
        <w:pStyle w:val="Default"/>
        <w:tabs>
          <w:tab w:val="left" w:pos="567"/>
        </w:tabs>
        <w:jc w:val="both"/>
        <w:rPr>
          <w:rFonts w:ascii="Times New Roman" w:hAnsi="Times New Roman" w:cs="Times New Roman"/>
          <w:b/>
          <w:bCs/>
          <w:color w:val="auto"/>
          <w:lang w:val="pt-BR"/>
        </w:rPr>
      </w:pPr>
      <w:r>
        <w:rPr>
          <w:rFonts w:ascii="Times New Roman" w:hAnsi="Times New Roman" w:cs="Times New Roman"/>
          <w:color w:val="auto"/>
          <w:lang w:val="pt-BR"/>
        </w:rPr>
        <w:t xml:space="preserve">Empirical formula: </w:t>
      </w:r>
      <w:r w:rsidR="00B54B99" w:rsidRPr="001945CA">
        <w:rPr>
          <w:rFonts w:ascii="Times New Roman" w:hAnsi="Times New Roman" w:cs="Times New Roman"/>
          <w:color w:val="auto"/>
          <w:lang w:val="pt-BR"/>
        </w:rPr>
        <w:t>C</w:t>
      </w:r>
      <w:r w:rsidR="00B54B99" w:rsidRPr="001945CA">
        <w:rPr>
          <w:rFonts w:ascii="Times New Roman" w:hAnsi="Times New Roman" w:cs="Times New Roman"/>
          <w:color w:val="auto"/>
          <w:vertAlign w:val="subscript"/>
          <w:lang w:val="pt-BR"/>
        </w:rPr>
        <w:t>19</w:t>
      </w:r>
      <w:r w:rsidR="00B54B99" w:rsidRPr="001945CA">
        <w:rPr>
          <w:rFonts w:ascii="Times New Roman" w:hAnsi="Times New Roman" w:cs="Times New Roman"/>
          <w:color w:val="auto"/>
          <w:lang w:val="pt-BR"/>
        </w:rPr>
        <w:t>H</w:t>
      </w:r>
      <w:r w:rsidR="00B54B99" w:rsidRPr="001945CA">
        <w:rPr>
          <w:rFonts w:ascii="Times New Roman" w:hAnsi="Times New Roman" w:cs="Times New Roman"/>
          <w:color w:val="auto"/>
          <w:vertAlign w:val="subscript"/>
          <w:lang w:val="pt-BR"/>
        </w:rPr>
        <w:t>21</w:t>
      </w:r>
      <w:r w:rsidR="00B54B99" w:rsidRPr="001945CA">
        <w:rPr>
          <w:rFonts w:ascii="Times New Roman" w:hAnsi="Times New Roman" w:cs="Times New Roman"/>
          <w:color w:val="auto"/>
          <w:lang w:val="pt-BR"/>
        </w:rPr>
        <w:t>ClFN</w:t>
      </w:r>
      <w:r w:rsidR="00B54B99" w:rsidRPr="001945CA">
        <w:rPr>
          <w:rFonts w:ascii="Times New Roman" w:hAnsi="Times New Roman" w:cs="Times New Roman"/>
          <w:color w:val="auto"/>
          <w:vertAlign w:val="subscript"/>
          <w:lang w:val="pt-BR"/>
        </w:rPr>
        <w:t>3</w:t>
      </w:r>
      <w:r w:rsidR="00B54B99" w:rsidRPr="001945CA">
        <w:rPr>
          <w:rFonts w:ascii="Times New Roman" w:hAnsi="Times New Roman" w:cs="Times New Roman"/>
          <w:color w:val="auto"/>
          <w:lang w:val="pt-BR"/>
        </w:rPr>
        <w:t>O</w:t>
      </w:r>
      <w:r w:rsidR="00B54B99" w:rsidRPr="001945CA">
        <w:rPr>
          <w:rFonts w:ascii="Times New Roman" w:hAnsi="Times New Roman" w:cs="Times New Roman"/>
          <w:color w:val="auto"/>
          <w:vertAlign w:val="subscript"/>
          <w:lang w:val="pt-BR"/>
        </w:rPr>
        <w:t>3</w:t>
      </w:r>
      <w:r w:rsidR="00B54B99" w:rsidRPr="001945CA">
        <w:rPr>
          <w:rFonts w:ascii="Times New Roman" w:hAnsi="Times New Roman" w:cs="Times New Roman"/>
          <w:color w:val="auto"/>
          <w:lang w:val="pt-BR"/>
        </w:rPr>
        <w:t>.HCl</w:t>
      </w:r>
    </w:p>
    <w:p w:rsidR="00B227EF" w:rsidRDefault="00B227EF" w:rsidP="007E0EA5">
      <w:pPr>
        <w:pStyle w:val="NoSpacing"/>
        <w:tabs>
          <w:tab w:val="left" w:pos="567"/>
        </w:tabs>
        <w:ind w:left="567" w:hanging="567"/>
        <w:jc w:val="both"/>
        <w:rPr>
          <w:sz w:val="24"/>
          <w:szCs w:val="24"/>
          <w:lang w:val="pt-BR"/>
        </w:rPr>
      </w:pPr>
    </w:p>
    <w:p w:rsidR="00B54B99" w:rsidRDefault="001945CA" w:rsidP="00321828">
      <w:pPr>
        <w:rPr>
          <w:sz w:val="24"/>
          <w:szCs w:val="24"/>
        </w:rPr>
      </w:pPr>
      <w:r w:rsidRPr="00321828">
        <w:rPr>
          <w:sz w:val="24"/>
          <w:szCs w:val="24"/>
        </w:rPr>
        <w:t xml:space="preserve">Molecular weight: </w:t>
      </w:r>
      <w:r w:rsidR="00B54B99" w:rsidRPr="00321828">
        <w:rPr>
          <w:sz w:val="24"/>
          <w:szCs w:val="24"/>
        </w:rPr>
        <w:t>430.30</w:t>
      </w:r>
    </w:p>
    <w:p w:rsidR="00A633B2" w:rsidRDefault="00A633B2" w:rsidP="00321828">
      <w:pPr>
        <w:rPr>
          <w:sz w:val="24"/>
          <w:szCs w:val="24"/>
        </w:rPr>
      </w:pPr>
    </w:p>
    <w:p w:rsidR="00A633B2" w:rsidRPr="00F47C0A" w:rsidRDefault="003A4A07" w:rsidP="007E0EA5">
      <w:pPr>
        <w:pStyle w:val="NoSpacing"/>
        <w:tabs>
          <w:tab w:val="left" w:pos="567"/>
        </w:tabs>
        <w:ind w:left="567" w:hanging="567"/>
        <w:jc w:val="both"/>
        <w:rPr>
          <w:sz w:val="24"/>
          <w:szCs w:val="24"/>
        </w:rPr>
      </w:pPr>
      <w:proofErr w:type="spellStart"/>
      <w:proofErr w:type="gramStart"/>
      <w:r w:rsidRPr="007C4CEC">
        <w:rPr>
          <w:sz w:val="24"/>
          <w:szCs w:val="24"/>
        </w:rPr>
        <w:t>pKa</w:t>
      </w:r>
      <w:proofErr w:type="spellEnd"/>
      <w:proofErr w:type="gramEnd"/>
      <w:r w:rsidRPr="007C4CEC">
        <w:rPr>
          <w:sz w:val="24"/>
          <w:szCs w:val="24"/>
        </w:rPr>
        <w:t xml:space="preserve"> = 5.65 (carboxylic acid) and </w:t>
      </w:r>
      <w:proofErr w:type="spellStart"/>
      <w:r w:rsidRPr="007C4CEC">
        <w:rPr>
          <w:sz w:val="24"/>
          <w:szCs w:val="24"/>
        </w:rPr>
        <w:t>pKa</w:t>
      </w:r>
      <w:proofErr w:type="spellEnd"/>
      <w:r w:rsidRPr="007C4CEC">
        <w:rPr>
          <w:sz w:val="24"/>
          <w:szCs w:val="24"/>
        </w:rPr>
        <w:t xml:space="preserve"> = 9.91 (primary amine)</w:t>
      </w:r>
    </w:p>
    <w:p w:rsidR="00B54B99" w:rsidRDefault="00A633B2" w:rsidP="007E0EA5">
      <w:pPr>
        <w:pStyle w:val="NoSpacing"/>
        <w:tabs>
          <w:tab w:val="left" w:pos="567"/>
        </w:tabs>
        <w:ind w:left="567" w:hanging="567"/>
        <w:jc w:val="both"/>
        <w:rPr>
          <w:sz w:val="24"/>
          <w:szCs w:val="24"/>
          <w:lang w:val="pt-BR"/>
        </w:rPr>
      </w:pPr>
      <w:r w:rsidRPr="00A633B2">
        <w:rPr>
          <w:sz w:val="24"/>
          <w:szCs w:val="24"/>
        </w:rPr>
        <w:t>Log D</w:t>
      </w:r>
      <w:r w:rsidRPr="00A633B2">
        <w:rPr>
          <w:sz w:val="24"/>
          <w:szCs w:val="24"/>
          <w:vertAlign w:val="superscript"/>
        </w:rPr>
        <w:t>7.0</w:t>
      </w:r>
      <w:r w:rsidRPr="00A633B2">
        <w:rPr>
          <w:sz w:val="24"/>
          <w:szCs w:val="24"/>
        </w:rPr>
        <w:t xml:space="preserve"> = -0.53.  </w:t>
      </w:r>
    </w:p>
    <w:p w:rsidR="00A633B2" w:rsidRPr="001945CA" w:rsidRDefault="00A633B2" w:rsidP="007E0EA5">
      <w:pPr>
        <w:pStyle w:val="NoSpacing"/>
        <w:tabs>
          <w:tab w:val="left" w:pos="567"/>
        </w:tabs>
        <w:ind w:left="567" w:hanging="567"/>
        <w:jc w:val="both"/>
        <w:rPr>
          <w:sz w:val="24"/>
          <w:szCs w:val="24"/>
          <w:lang w:val="pt-BR"/>
        </w:rPr>
      </w:pPr>
    </w:p>
    <w:p w:rsidR="00B54B99" w:rsidRPr="00B54B99" w:rsidRDefault="00B54B99" w:rsidP="001945CA">
      <w:pPr>
        <w:pStyle w:val="NoSpacing"/>
        <w:tabs>
          <w:tab w:val="left" w:pos="0"/>
        </w:tabs>
        <w:jc w:val="both"/>
        <w:rPr>
          <w:sz w:val="24"/>
          <w:szCs w:val="24"/>
          <w:lang w:val="pt-BR"/>
        </w:rPr>
      </w:pPr>
      <w:proofErr w:type="spellStart"/>
      <w:r w:rsidRPr="001945CA">
        <w:rPr>
          <w:sz w:val="24"/>
          <w:szCs w:val="24"/>
        </w:rPr>
        <w:t>Besifloxacin</w:t>
      </w:r>
      <w:proofErr w:type="spellEnd"/>
      <w:r w:rsidRPr="001945CA">
        <w:rPr>
          <w:sz w:val="24"/>
          <w:szCs w:val="24"/>
        </w:rPr>
        <w:t xml:space="preserve"> hydrochloride is a white to pale yellowish-white powder. </w:t>
      </w:r>
      <w:r w:rsidRPr="00B54B99">
        <w:rPr>
          <w:sz w:val="24"/>
          <w:szCs w:val="24"/>
          <w:lang w:val="pt-BR"/>
        </w:rPr>
        <w:t>It is an 8-chloro</w:t>
      </w:r>
      <w:r w:rsidR="00BB0FE5">
        <w:rPr>
          <w:sz w:val="24"/>
          <w:szCs w:val="24"/>
          <w:lang w:val="pt-BR"/>
        </w:rPr>
        <w:t xml:space="preserve"> </w:t>
      </w:r>
      <w:r w:rsidRPr="00B54B99">
        <w:rPr>
          <w:sz w:val="24"/>
          <w:szCs w:val="24"/>
          <w:lang w:val="pt-BR"/>
        </w:rPr>
        <w:t>fluoroquinolone anti-infective for topical ophthalmic use.</w:t>
      </w:r>
    </w:p>
    <w:p w:rsidR="00B54B99" w:rsidRPr="00B54B99" w:rsidRDefault="00B54B99" w:rsidP="007E0EA5">
      <w:pPr>
        <w:pStyle w:val="Default"/>
        <w:tabs>
          <w:tab w:val="left" w:pos="567"/>
        </w:tabs>
        <w:ind w:left="567" w:hanging="567"/>
        <w:jc w:val="both"/>
        <w:rPr>
          <w:rFonts w:ascii="Times New Roman" w:hAnsi="Times New Roman" w:cs="Times New Roman"/>
          <w:b/>
          <w:bCs/>
          <w:color w:val="auto"/>
          <w:lang w:val="pt-BR"/>
        </w:rPr>
      </w:pPr>
    </w:p>
    <w:p w:rsidR="00547ED3" w:rsidRPr="00352770" w:rsidRDefault="00321828" w:rsidP="001945CA">
      <w:pPr>
        <w:pStyle w:val="NoSpacing"/>
        <w:jc w:val="both"/>
        <w:rPr>
          <w:sz w:val="24"/>
          <w:szCs w:val="24"/>
        </w:rPr>
      </w:pPr>
      <w:proofErr w:type="spellStart"/>
      <w:r>
        <w:rPr>
          <w:sz w:val="24"/>
          <w:szCs w:val="24"/>
        </w:rPr>
        <w:t>Besivance</w:t>
      </w:r>
      <w:proofErr w:type="spellEnd"/>
      <w:r>
        <w:rPr>
          <w:sz w:val="24"/>
          <w:szCs w:val="24"/>
        </w:rPr>
        <w:t xml:space="preserve"> 0.6% </w:t>
      </w:r>
      <w:r w:rsidR="00F460F0" w:rsidRPr="00B54B99">
        <w:rPr>
          <w:sz w:val="24"/>
          <w:szCs w:val="24"/>
        </w:rPr>
        <w:t xml:space="preserve">is a sterile ophthalmic suspension of </w:t>
      </w:r>
      <w:proofErr w:type="spellStart"/>
      <w:r w:rsidR="00F460F0" w:rsidRPr="00B54B99">
        <w:rPr>
          <w:sz w:val="24"/>
          <w:szCs w:val="24"/>
        </w:rPr>
        <w:t>besifloxacin</w:t>
      </w:r>
      <w:proofErr w:type="spellEnd"/>
      <w:r w:rsidR="00F460F0" w:rsidRPr="00B54B99">
        <w:rPr>
          <w:sz w:val="24"/>
          <w:szCs w:val="24"/>
        </w:rPr>
        <w:t xml:space="preserve">. It is an isotonic suspension with an osmolality </w:t>
      </w:r>
      <w:proofErr w:type="gramStart"/>
      <w:r w:rsidR="00F460F0" w:rsidRPr="00B54B99">
        <w:rPr>
          <w:sz w:val="24"/>
          <w:szCs w:val="24"/>
        </w:rPr>
        <w:t xml:space="preserve">of approximately 290 </w:t>
      </w:r>
      <w:proofErr w:type="spellStart"/>
      <w:r w:rsidR="00F460F0" w:rsidRPr="00B54B99">
        <w:rPr>
          <w:sz w:val="24"/>
          <w:szCs w:val="24"/>
        </w:rPr>
        <w:t>mOsm</w:t>
      </w:r>
      <w:proofErr w:type="spellEnd"/>
      <w:r w:rsidR="00F460F0" w:rsidRPr="00B54B99">
        <w:rPr>
          <w:sz w:val="24"/>
          <w:szCs w:val="24"/>
        </w:rPr>
        <w:t>/kg</w:t>
      </w:r>
      <w:proofErr w:type="gramEnd"/>
      <w:r w:rsidR="00F460F0" w:rsidRPr="00B54B99">
        <w:rPr>
          <w:sz w:val="24"/>
          <w:szCs w:val="24"/>
        </w:rPr>
        <w:t xml:space="preserve">. </w:t>
      </w:r>
      <w:r w:rsidR="00547ED3" w:rsidRPr="00352770">
        <w:rPr>
          <w:sz w:val="24"/>
          <w:szCs w:val="24"/>
        </w:rPr>
        <w:t xml:space="preserve">Each mL of </w:t>
      </w:r>
      <w:proofErr w:type="spellStart"/>
      <w:r w:rsidR="00547ED3" w:rsidRPr="00352770">
        <w:rPr>
          <w:sz w:val="24"/>
          <w:szCs w:val="24"/>
        </w:rPr>
        <w:t>Besivance</w:t>
      </w:r>
      <w:proofErr w:type="spellEnd"/>
      <w:r w:rsidR="00547ED3" w:rsidRPr="00352770">
        <w:rPr>
          <w:sz w:val="24"/>
          <w:szCs w:val="24"/>
        </w:rPr>
        <w:t xml:space="preserve"> contains 6.63 mg </w:t>
      </w:r>
      <w:proofErr w:type="spellStart"/>
      <w:r w:rsidR="00547ED3" w:rsidRPr="00352770">
        <w:rPr>
          <w:sz w:val="24"/>
          <w:szCs w:val="24"/>
        </w:rPr>
        <w:t>besifloxacin</w:t>
      </w:r>
      <w:proofErr w:type="spellEnd"/>
      <w:r w:rsidR="00547ED3" w:rsidRPr="00352770">
        <w:rPr>
          <w:sz w:val="24"/>
          <w:szCs w:val="24"/>
        </w:rPr>
        <w:t xml:space="preserve"> hydrochloride equiv</w:t>
      </w:r>
      <w:r w:rsidR="00E4284C" w:rsidRPr="00352770">
        <w:rPr>
          <w:sz w:val="24"/>
          <w:szCs w:val="24"/>
        </w:rPr>
        <w:t>al</w:t>
      </w:r>
      <w:r w:rsidR="003305DB">
        <w:rPr>
          <w:sz w:val="24"/>
          <w:szCs w:val="24"/>
        </w:rPr>
        <w:t xml:space="preserve">ent to 6 mg </w:t>
      </w:r>
      <w:proofErr w:type="spellStart"/>
      <w:r w:rsidR="003305DB">
        <w:rPr>
          <w:sz w:val="24"/>
          <w:szCs w:val="24"/>
        </w:rPr>
        <w:t>besifloxacin</w:t>
      </w:r>
      <w:proofErr w:type="spellEnd"/>
      <w:r w:rsidR="003305DB">
        <w:rPr>
          <w:sz w:val="24"/>
          <w:szCs w:val="24"/>
        </w:rPr>
        <w:t xml:space="preserve"> base.</w:t>
      </w:r>
    </w:p>
    <w:p w:rsidR="00B54B99" w:rsidRPr="00352770" w:rsidRDefault="00B54B99" w:rsidP="007E0EA5">
      <w:pPr>
        <w:pStyle w:val="NoSpacing"/>
        <w:tabs>
          <w:tab w:val="left" w:pos="567"/>
        </w:tabs>
        <w:ind w:left="567" w:hanging="567"/>
        <w:jc w:val="both"/>
        <w:rPr>
          <w:sz w:val="24"/>
          <w:szCs w:val="24"/>
        </w:rPr>
      </w:pPr>
    </w:p>
    <w:p w:rsidR="0056357F" w:rsidRPr="00B54B99" w:rsidRDefault="00D206E8" w:rsidP="001945CA">
      <w:pPr>
        <w:pStyle w:val="NoSpacing"/>
        <w:tabs>
          <w:tab w:val="left" w:pos="0"/>
        </w:tabs>
        <w:jc w:val="both"/>
        <w:rPr>
          <w:sz w:val="24"/>
          <w:szCs w:val="24"/>
        </w:rPr>
      </w:pPr>
      <w:r w:rsidRPr="001945CA">
        <w:rPr>
          <w:sz w:val="24"/>
          <w:szCs w:val="24"/>
        </w:rPr>
        <w:t>Excipients</w:t>
      </w:r>
      <w:r w:rsidR="0056357F" w:rsidRPr="001945CA">
        <w:rPr>
          <w:sz w:val="24"/>
          <w:szCs w:val="24"/>
        </w:rPr>
        <w:t>:</w:t>
      </w:r>
      <w:r w:rsidR="0056357F" w:rsidRPr="00352770">
        <w:rPr>
          <w:b/>
          <w:bCs/>
          <w:sz w:val="24"/>
          <w:szCs w:val="24"/>
        </w:rPr>
        <w:t xml:space="preserve"> </w:t>
      </w:r>
      <w:proofErr w:type="spellStart"/>
      <w:r w:rsidRPr="00352770">
        <w:rPr>
          <w:sz w:val="24"/>
          <w:szCs w:val="24"/>
        </w:rPr>
        <w:t>benzalkonium</w:t>
      </w:r>
      <w:proofErr w:type="spellEnd"/>
      <w:r w:rsidRPr="00352770">
        <w:rPr>
          <w:sz w:val="24"/>
          <w:szCs w:val="24"/>
        </w:rPr>
        <w:t xml:space="preserve"> chloride 0.01% (preservative), </w:t>
      </w:r>
      <w:proofErr w:type="spellStart"/>
      <w:r w:rsidR="0056357F" w:rsidRPr="00352770">
        <w:rPr>
          <w:sz w:val="24"/>
          <w:szCs w:val="24"/>
        </w:rPr>
        <w:t>polycarbophil</w:t>
      </w:r>
      <w:proofErr w:type="spellEnd"/>
      <w:r w:rsidR="0056357F" w:rsidRPr="00352770">
        <w:rPr>
          <w:sz w:val="24"/>
          <w:szCs w:val="24"/>
        </w:rPr>
        <w:t xml:space="preserve">, </w:t>
      </w:r>
      <w:proofErr w:type="spellStart"/>
      <w:r w:rsidR="0056357F" w:rsidRPr="00352770">
        <w:rPr>
          <w:sz w:val="24"/>
          <w:szCs w:val="24"/>
        </w:rPr>
        <w:t>mannitol</w:t>
      </w:r>
      <w:proofErr w:type="spellEnd"/>
      <w:r w:rsidR="0056357F" w:rsidRPr="00352770">
        <w:rPr>
          <w:sz w:val="24"/>
          <w:szCs w:val="24"/>
        </w:rPr>
        <w:t xml:space="preserve">, </w:t>
      </w:r>
      <w:proofErr w:type="spellStart"/>
      <w:r w:rsidR="0056357F" w:rsidRPr="00352770">
        <w:rPr>
          <w:sz w:val="24"/>
          <w:szCs w:val="24"/>
        </w:rPr>
        <w:t>poloxamer</w:t>
      </w:r>
      <w:proofErr w:type="spellEnd"/>
      <w:r w:rsidR="0056357F" w:rsidRPr="00352770">
        <w:rPr>
          <w:sz w:val="24"/>
          <w:szCs w:val="24"/>
        </w:rPr>
        <w:t xml:space="preserve">, sodium chloride, </w:t>
      </w:r>
      <w:r w:rsidR="00EF31A5" w:rsidRPr="00352770">
        <w:rPr>
          <w:sz w:val="24"/>
          <w:szCs w:val="24"/>
        </w:rPr>
        <w:t xml:space="preserve">disodium </w:t>
      </w:r>
      <w:proofErr w:type="spellStart"/>
      <w:r w:rsidR="0056357F" w:rsidRPr="00352770">
        <w:rPr>
          <w:sz w:val="24"/>
          <w:szCs w:val="24"/>
        </w:rPr>
        <w:t>edetate</w:t>
      </w:r>
      <w:proofErr w:type="spellEnd"/>
      <w:r w:rsidR="0056357F" w:rsidRPr="00352770">
        <w:rPr>
          <w:sz w:val="24"/>
          <w:szCs w:val="24"/>
        </w:rPr>
        <w:t>, sodium hydroxide and water for injection.</w:t>
      </w:r>
    </w:p>
    <w:p w:rsidR="00D206E8" w:rsidRDefault="00D206E8" w:rsidP="007E0EA5">
      <w:pPr>
        <w:pStyle w:val="Default"/>
        <w:tabs>
          <w:tab w:val="left" w:pos="567"/>
        </w:tabs>
        <w:ind w:left="567" w:hanging="567"/>
        <w:jc w:val="both"/>
        <w:rPr>
          <w:rFonts w:ascii="Times New Roman" w:hAnsi="Times New Roman" w:cs="Times New Roman"/>
          <w:b/>
          <w:bCs/>
          <w:color w:val="auto"/>
        </w:rPr>
      </w:pPr>
    </w:p>
    <w:p w:rsidR="003305DB" w:rsidRDefault="003305DB" w:rsidP="007E0EA5">
      <w:pPr>
        <w:pStyle w:val="Default"/>
        <w:tabs>
          <w:tab w:val="left" w:pos="567"/>
        </w:tabs>
        <w:ind w:left="567" w:hanging="567"/>
        <w:jc w:val="both"/>
        <w:rPr>
          <w:rFonts w:ascii="Times New Roman" w:hAnsi="Times New Roman" w:cs="Times New Roman"/>
          <w:b/>
          <w:bCs/>
          <w:color w:val="auto"/>
        </w:rPr>
      </w:pPr>
    </w:p>
    <w:p w:rsidR="009C1E08" w:rsidRPr="00D206E8" w:rsidRDefault="001945CA" w:rsidP="001945CA">
      <w:pPr>
        <w:pStyle w:val="Default"/>
        <w:tabs>
          <w:tab w:val="left" w:pos="567"/>
        </w:tabs>
        <w:jc w:val="both"/>
        <w:rPr>
          <w:rFonts w:ascii="Times New Roman" w:hAnsi="Times New Roman" w:cs="Times New Roman"/>
          <w:b/>
          <w:bCs/>
          <w:color w:val="auto"/>
        </w:rPr>
      </w:pPr>
      <w:r>
        <w:rPr>
          <w:rFonts w:ascii="Times New Roman" w:hAnsi="Times New Roman" w:cs="Times New Roman"/>
          <w:b/>
          <w:bCs/>
          <w:color w:val="auto"/>
        </w:rPr>
        <w:t>Pharmacology</w:t>
      </w:r>
    </w:p>
    <w:p w:rsidR="001945CA" w:rsidRDefault="001945CA" w:rsidP="007E0EA5">
      <w:pPr>
        <w:pStyle w:val="CM12"/>
        <w:tabs>
          <w:tab w:val="left" w:pos="567"/>
        </w:tabs>
        <w:spacing w:line="278" w:lineRule="atLeast"/>
        <w:ind w:left="567" w:hanging="567"/>
        <w:jc w:val="both"/>
        <w:rPr>
          <w:bCs/>
          <w:u w:val="single"/>
        </w:rPr>
      </w:pPr>
    </w:p>
    <w:p w:rsidR="003608CE" w:rsidRPr="00D206E8" w:rsidRDefault="003608CE" w:rsidP="007E0EA5">
      <w:pPr>
        <w:pStyle w:val="CM12"/>
        <w:tabs>
          <w:tab w:val="left" w:pos="567"/>
        </w:tabs>
        <w:spacing w:line="278" w:lineRule="atLeast"/>
        <w:ind w:left="567" w:hanging="567"/>
        <w:jc w:val="both"/>
        <w:rPr>
          <w:u w:val="single"/>
        </w:rPr>
      </w:pPr>
      <w:r w:rsidRPr="00D206E8">
        <w:rPr>
          <w:bCs/>
          <w:u w:val="single"/>
        </w:rPr>
        <w:t xml:space="preserve">Microbiology </w:t>
      </w:r>
    </w:p>
    <w:p w:rsidR="008222AC" w:rsidRDefault="003608CE" w:rsidP="00321828">
      <w:pPr>
        <w:jc w:val="both"/>
        <w:rPr>
          <w:sz w:val="24"/>
          <w:szCs w:val="24"/>
        </w:rPr>
      </w:pPr>
      <w:proofErr w:type="spellStart"/>
      <w:r w:rsidRPr="00321828">
        <w:rPr>
          <w:sz w:val="24"/>
          <w:szCs w:val="24"/>
        </w:rPr>
        <w:lastRenderedPageBreak/>
        <w:t>Besifloxacin</w:t>
      </w:r>
      <w:proofErr w:type="spellEnd"/>
      <w:r w:rsidRPr="00321828">
        <w:rPr>
          <w:sz w:val="24"/>
          <w:szCs w:val="24"/>
        </w:rPr>
        <w:t xml:space="preserve"> is an 8-chloro </w:t>
      </w:r>
      <w:proofErr w:type="spellStart"/>
      <w:r w:rsidRPr="00321828">
        <w:rPr>
          <w:sz w:val="24"/>
          <w:szCs w:val="24"/>
        </w:rPr>
        <w:t>fluoroquinolone</w:t>
      </w:r>
      <w:proofErr w:type="spellEnd"/>
      <w:r w:rsidRPr="00321828">
        <w:rPr>
          <w:sz w:val="24"/>
          <w:szCs w:val="24"/>
        </w:rPr>
        <w:t xml:space="preserve"> with a</w:t>
      </w:r>
      <w:r w:rsidR="00E57D3F">
        <w:rPr>
          <w:sz w:val="24"/>
          <w:szCs w:val="24"/>
        </w:rPr>
        <w:t>n</w:t>
      </w:r>
      <w:r w:rsidRPr="00321828">
        <w:rPr>
          <w:sz w:val="24"/>
          <w:szCs w:val="24"/>
        </w:rPr>
        <w:t xml:space="preserve"> N-1 </w:t>
      </w:r>
      <w:proofErr w:type="spellStart"/>
      <w:r w:rsidRPr="00321828">
        <w:rPr>
          <w:sz w:val="24"/>
          <w:szCs w:val="24"/>
        </w:rPr>
        <w:t>cyclopropyl</w:t>
      </w:r>
      <w:proofErr w:type="spellEnd"/>
      <w:r w:rsidRPr="00321828">
        <w:rPr>
          <w:sz w:val="24"/>
          <w:szCs w:val="24"/>
        </w:rPr>
        <w:t xml:space="preserve"> group. The compound has activity against Gram-positive and Gram-negative bacteria due to the inhibition of both bacterial DNA </w:t>
      </w:r>
      <w:proofErr w:type="spellStart"/>
      <w:r w:rsidRPr="00321828">
        <w:rPr>
          <w:sz w:val="24"/>
          <w:szCs w:val="24"/>
        </w:rPr>
        <w:t>gyrase</w:t>
      </w:r>
      <w:proofErr w:type="spellEnd"/>
      <w:r w:rsidRPr="00321828">
        <w:rPr>
          <w:sz w:val="24"/>
          <w:szCs w:val="24"/>
        </w:rPr>
        <w:t xml:space="preserve"> and topoisomerase IV. DNA </w:t>
      </w:r>
      <w:proofErr w:type="spellStart"/>
      <w:r w:rsidRPr="00321828">
        <w:rPr>
          <w:sz w:val="24"/>
          <w:szCs w:val="24"/>
        </w:rPr>
        <w:t>gyrase</w:t>
      </w:r>
      <w:proofErr w:type="spellEnd"/>
      <w:r w:rsidRPr="00321828">
        <w:rPr>
          <w:sz w:val="24"/>
          <w:szCs w:val="24"/>
        </w:rPr>
        <w:t xml:space="preserve"> is an essential enzyme required for replication, transcription and repair of bacterial DNA. </w:t>
      </w:r>
    </w:p>
    <w:p w:rsidR="008222AC" w:rsidRDefault="008222AC" w:rsidP="00321828">
      <w:pPr>
        <w:jc w:val="both"/>
        <w:rPr>
          <w:sz w:val="24"/>
          <w:szCs w:val="24"/>
        </w:rPr>
      </w:pPr>
    </w:p>
    <w:p w:rsidR="003608CE" w:rsidRPr="00321828" w:rsidRDefault="003608CE" w:rsidP="00321828">
      <w:pPr>
        <w:jc w:val="both"/>
        <w:rPr>
          <w:sz w:val="24"/>
          <w:szCs w:val="24"/>
        </w:rPr>
      </w:pPr>
      <w:r w:rsidRPr="00321828">
        <w:rPr>
          <w:sz w:val="24"/>
          <w:szCs w:val="24"/>
        </w:rPr>
        <w:t xml:space="preserve">Topoisomerase IV is an essential enzyme required for partitioning of the chromosomal DNA during bacterial cell division. </w:t>
      </w:r>
      <w:proofErr w:type="spellStart"/>
      <w:r w:rsidRPr="00321828">
        <w:rPr>
          <w:sz w:val="24"/>
          <w:szCs w:val="24"/>
        </w:rPr>
        <w:t>Besifloxacin</w:t>
      </w:r>
      <w:proofErr w:type="spellEnd"/>
      <w:r w:rsidRPr="00321828">
        <w:rPr>
          <w:sz w:val="24"/>
          <w:szCs w:val="24"/>
        </w:rPr>
        <w:t xml:space="preserve"> is bactericidal with minimum bactericidal concentrations (MBCs) generally within one dilution of the minimum in</w:t>
      </w:r>
      <w:r w:rsidR="001945CA" w:rsidRPr="00321828">
        <w:rPr>
          <w:sz w:val="24"/>
          <w:szCs w:val="24"/>
        </w:rPr>
        <w:t>hibitory concentrations (MICs).</w:t>
      </w:r>
    </w:p>
    <w:p w:rsidR="001945CA" w:rsidRPr="00321828" w:rsidRDefault="001945CA" w:rsidP="00321828">
      <w:pPr>
        <w:rPr>
          <w:sz w:val="24"/>
          <w:szCs w:val="24"/>
        </w:rPr>
      </w:pPr>
    </w:p>
    <w:p w:rsidR="003608CE" w:rsidRPr="00321828" w:rsidRDefault="003608CE" w:rsidP="00321828">
      <w:pPr>
        <w:jc w:val="both"/>
        <w:rPr>
          <w:sz w:val="24"/>
          <w:szCs w:val="24"/>
        </w:rPr>
      </w:pPr>
      <w:r w:rsidRPr="00321828">
        <w:rPr>
          <w:sz w:val="24"/>
          <w:szCs w:val="24"/>
        </w:rPr>
        <w:t xml:space="preserve">The mechanism of action of </w:t>
      </w:r>
      <w:proofErr w:type="spellStart"/>
      <w:r w:rsidRPr="00321828">
        <w:rPr>
          <w:sz w:val="24"/>
          <w:szCs w:val="24"/>
        </w:rPr>
        <w:t>fluoroquinolones</w:t>
      </w:r>
      <w:proofErr w:type="spellEnd"/>
      <w:r w:rsidRPr="00321828">
        <w:rPr>
          <w:sz w:val="24"/>
          <w:szCs w:val="24"/>
        </w:rPr>
        <w:t xml:space="preserve">, including </w:t>
      </w:r>
      <w:proofErr w:type="spellStart"/>
      <w:r w:rsidRPr="00321828">
        <w:rPr>
          <w:sz w:val="24"/>
          <w:szCs w:val="24"/>
        </w:rPr>
        <w:t>besifloxacin</w:t>
      </w:r>
      <w:proofErr w:type="spellEnd"/>
      <w:r w:rsidRPr="00321828">
        <w:rPr>
          <w:sz w:val="24"/>
          <w:szCs w:val="24"/>
        </w:rPr>
        <w:t xml:space="preserve">, is different from that of aminoglycoside, macrolide, and β-lactam antibiotics. Therefore, </w:t>
      </w:r>
      <w:proofErr w:type="spellStart"/>
      <w:r w:rsidRPr="00321828">
        <w:rPr>
          <w:sz w:val="24"/>
          <w:szCs w:val="24"/>
        </w:rPr>
        <w:t>besifloxacin</w:t>
      </w:r>
      <w:proofErr w:type="spellEnd"/>
      <w:r w:rsidRPr="00321828">
        <w:rPr>
          <w:sz w:val="24"/>
          <w:szCs w:val="24"/>
        </w:rPr>
        <w:t xml:space="preserve"> may be active against pathogens that are resistant to these antibiotics and these antibiotics may be active against pathogens that are resistant to </w:t>
      </w:r>
      <w:proofErr w:type="spellStart"/>
      <w:r w:rsidRPr="00321828">
        <w:rPr>
          <w:sz w:val="24"/>
          <w:szCs w:val="24"/>
        </w:rPr>
        <w:t>besifloxacin</w:t>
      </w:r>
      <w:proofErr w:type="spellEnd"/>
      <w:r w:rsidRPr="00321828">
        <w:rPr>
          <w:sz w:val="24"/>
          <w:szCs w:val="24"/>
        </w:rPr>
        <w:t xml:space="preserve">. In vitro studies </w:t>
      </w:r>
      <w:r w:rsidR="00321828">
        <w:rPr>
          <w:sz w:val="24"/>
          <w:szCs w:val="24"/>
        </w:rPr>
        <w:t>d</w:t>
      </w:r>
      <w:r w:rsidRPr="00321828">
        <w:rPr>
          <w:sz w:val="24"/>
          <w:szCs w:val="24"/>
        </w:rPr>
        <w:t xml:space="preserve">emonstrated cross-resistance between </w:t>
      </w:r>
      <w:proofErr w:type="spellStart"/>
      <w:r w:rsidRPr="00321828">
        <w:rPr>
          <w:sz w:val="24"/>
          <w:szCs w:val="24"/>
        </w:rPr>
        <w:t>besifloxacin</w:t>
      </w:r>
      <w:proofErr w:type="spellEnd"/>
      <w:r w:rsidRPr="00321828">
        <w:rPr>
          <w:sz w:val="24"/>
          <w:szCs w:val="24"/>
        </w:rPr>
        <w:t xml:space="preserve"> and some </w:t>
      </w:r>
      <w:proofErr w:type="spellStart"/>
      <w:r w:rsidRPr="00321828">
        <w:rPr>
          <w:sz w:val="24"/>
          <w:szCs w:val="24"/>
        </w:rPr>
        <w:t>fluoroquinolones</w:t>
      </w:r>
      <w:proofErr w:type="spellEnd"/>
      <w:r w:rsidRPr="00321828">
        <w:rPr>
          <w:sz w:val="24"/>
          <w:szCs w:val="24"/>
        </w:rPr>
        <w:t xml:space="preserve">. </w:t>
      </w:r>
    </w:p>
    <w:p w:rsidR="001945CA" w:rsidRPr="00321828" w:rsidRDefault="001945CA" w:rsidP="00321828">
      <w:pPr>
        <w:rPr>
          <w:sz w:val="24"/>
          <w:szCs w:val="24"/>
        </w:rPr>
      </w:pPr>
    </w:p>
    <w:p w:rsidR="003608CE" w:rsidRPr="00321828" w:rsidRDefault="003608CE" w:rsidP="00321828">
      <w:pPr>
        <w:jc w:val="both"/>
        <w:rPr>
          <w:i/>
          <w:sz w:val="24"/>
          <w:szCs w:val="24"/>
        </w:rPr>
      </w:pPr>
      <w:r w:rsidRPr="00321828">
        <w:rPr>
          <w:sz w:val="24"/>
          <w:szCs w:val="24"/>
        </w:rPr>
        <w:t xml:space="preserve">In vitro resistance to </w:t>
      </w:r>
      <w:proofErr w:type="spellStart"/>
      <w:r w:rsidRPr="00321828">
        <w:rPr>
          <w:sz w:val="24"/>
          <w:szCs w:val="24"/>
        </w:rPr>
        <w:t>besifloxacin</w:t>
      </w:r>
      <w:proofErr w:type="spellEnd"/>
      <w:r w:rsidRPr="00321828">
        <w:rPr>
          <w:sz w:val="24"/>
          <w:szCs w:val="24"/>
        </w:rPr>
        <w:t xml:space="preserve"> develops via multiple-step mutations and occurs at a general frequency of &lt; 3.3 x 10</w:t>
      </w:r>
      <w:r w:rsidR="00B54B99" w:rsidRPr="00321828">
        <w:rPr>
          <w:sz w:val="24"/>
          <w:szCs w:val="24"/>
        </w:rPr>
        <w:t>-10</w:t>
      </w:r>
      <w:r w:rsidR="0000487B" w:rsidRPr="00321828">
        <w:rPr>
          <w:sz w:val="24"/>
          <w:szCs w:val="24"/>
        </w:rPr>
        <w:t xml:space="preserve"> </w:t>
      </w:r>
      <w:r w:rsidRPr="00321828">
        <w:rPr>
          <w:sz w:val="24"/>
          <w:szCs w:val="24"/>
        </w:rPr>
        <w:t xml:space="preserve">for </w:t>
      </w:r>
      <w:r w:rsidRPr="00321828">
        <w:rPr>
          <w:i/>
          <w:sz w:val="24"/>
          <w:szCs w:val="24"/>
        </w:rPr>
        <w:t xml:space="preserve">Staphylococcus </w:t>
      </w:r>
      <w:proofErr w:type="spellStart"/>
      <w:r w:rsidRPr="00321828">
        <w:rPr>
          <w:i/>
          <w:sz w:val="24"/>
          <w:szCs w:val="24"/>
        </w:rPr>
        <w:t>aureus</w:t>
      </w:r>
      <w:proofErr w:type="spellEnd"/>
      <w:r w:rsidRPr="00321828">
        <w:rPr>
          <w:sz w:val="24"/>
          <w:szCs w:val="24"/>
        </w:rPr>
        <w:t xml:space="preserve"> and &lt; 7 x 10</w:t>
      </w:r>
      <w:r w:rsidR="00B54B99" w:rsidRPr="00321828">
        <w:rPr>
          <w:sz w:val="24"/>
          <w:szCs w:val="24"/>
        </w:rPr>
        <w:t xml:space="preserve">-10 </w:t>
      </w:r>
      <w:r w:rsidRPr="00321828">
        <w:rPr>
          <w:sz w:val="24"/>
          <w:szCs w:val="24"/>
        </w:rPr>
        <w:t xml:space="preserve">for </w:t>
      </w:r>
      <w:r w:rsidRPr="00321828">
        <w:rPr>
          <w:i/>
          <w:sz w:val="24"/>
          <w:szCs w:val="24"/>
        </w:rPr>
        <w:t xml:space="preserve">Streptococcus </w:t>
      </w:r>
      <w:proofErr w:type="spellStart"/>
      <w:r w:rsidRPr="00321828">
        <w:rPr>
          <w:i/>
          <w:sz w:val="24"/>
          <w:szCs w:val="24"/>
        </w:rPr>
        <w:t>pneumonia</w:t>
      </w:r>
      <w:r w:rsidRPr="00B64F4B">
        <w:rPr>
          <w:i/>
          <w:sz w:val="24"/>
          <w:szCs w:val="24"/>
        </w:rPr>
        <w:t>e</w:t>
      </w:r>
      <w:proofErr w:type="spellEnd"/>
      <w:r w:rsidRPr="00321828">
        <w:rPr>
          <w:i/>
          <w:sz w:val="24"/>
          <w:szCs w:val="24"/>
        </w:rPr>
        <w:t xml:space="preserve">. </w:t>
      </w:r>
    </w:p>
    <w:p w:rsidR="001945CA" w:rsidRPr="00321828" w:rsidRDefault="001945CA" w:rsidP="00321828">
      <w:pPr>
        <w:jc w:val="both"/>
        <w:rPr>
          <w:sz w:val="24"/>
          <w:szCs w:val="24"/>
        </w:rPr>
      </w:pPr>
    </w:p>
    <w:p w:rsidR="003608CE" w:rsidRPr="00321828" w:rsidRDefault="003608CE" w:rsidP="00321828">
      <w:pPr>
        <w:jc w:val="both"/>
        <w:rPr>
          <w:sz w:val="24"/>
          <w:szCs w:val="24"/>
        </w:rPr>
      </w:pPr>
      <w:proofErr w:type="spellStart"/>
      <w:r w:rsidRPr="00321828">
        <w:rPr>
          <w:sz w:val="24"/>
          <w:szCs w:val="24"/>
        </w:rPr>
        <w:t>Besifloxacin</w:t>
      </w:r>
      <w:proofErr w:type="spellEnd"/>
      <w:r w:rsidRPr="00321828">
        <w:rPr>
          <w:sz w:val="24"/>
          <w:szCs w:val="24"/>
        </w:rPr>
        <w:t xml:space="preserve"> has been shown to be active against most isolates of the following bacteria both in vitro and</w:t>
      </w:r>
      <w:r w:rsidR="00224B4F">
        <w:rPr>
          <w:sz w:val="24"/>
          <w:szCs w:val="24"/>
        </w:rPr>
        <w:t>/or</w:t>
      </w:r>
      <w:r w:rsidRPr="00321828">
        <w:rPr>
          <w:sz w:val="24"/>
          <w:szCs w:val="24"/>
        </w:rPr>
        <w:t xml:space="preserve"> in </w:t>
      </w:r>
      <w:proofErr w:type="spellStart"/>
      <w:r w:rsidRPr="00321828">
        <w:rPr>
          <w:sz w:val="24"/>
          <w:szCs w:val="24"/>
        </w:rPr>
        <w:t>conjunctival</w:t>
      </w:r>
      <w:proofErr w:type="spellEnd"/>
      <w:r w:rsidRPr="00321828">
        <w:rPr>
          <w:sz w:val="24"/>
          <w:szCs w:val="24"/>
        </w:rPr>
        <w:t xml:space="preserve"> infections treated in clinical trials as described</w:t>
      </w:r>
      <w:r w:rsidR="001945CA" w:rsidRPr="00321828">
        <w:rPr>
          <w:sz w:val="24"/>
          <w:szCs w:val="24"/>
        </w:rPr>
        <w:t xml:space="preserve"> below:</w:t>
      </w:r>
    </w:p>
    <w:p w:rsidR="00CC146A" w:rsidRDefault="00BB0FE5" w:rsidP="007E0EA5">
      <w:pPr>
        <w:pStyle w:val="CM1"/>
        <w:tabs>
          <w:tab w:val="left" w:pos="567"/>
        </w:tabs>
        <w:ind w:left="567" w:hanging="567"/>
        <w:jc w:val="both"/>
      </w:pPr>
      <w:r>
        <w:tab/>
      </w:r>
    </w:p>
    <w:p w:rsidR="003608CE" w:rsidRPr="00D206E8" w:rsidRDefault="003608CE" w:rsidP="007E0EA5">
      <w:pPr>
        <w:pStyle w:val="CM1"/>
        <w:tabs>
          <w:tab w:val="left" w:pos="567"/>
        </w:tabs>
        <w:ind w:left="567" w:hanging="567"/>
        <w:jc w:val="both"/>
      </w:pPr>
      <w:r w:rsidRPr="00321828">
        <w:rPr>
          <w:i/>
        </w:rPr>
        <w:t xml:space="preserve">CDC </w:t>
      </w:r>
      <w:proofErr w:type="spellStart"/>
      <w:r w:rsidRPr="00321828">
        <w:rPr>
          <w:i/>
        </w:rPr>
        <w:t>coryneform</w:t>
      </w:r>
      <w:proofErr w:type="spellEnd"/>
      <w:r w:rsidRPr="00D206E8">
        <w:t xml:space="preserve"> group G </w:t>
      </w:r>
    </w:p>
    <w:p w:rsidR="001333E5" w:rsidRDefault="003608CE" w:rsidP="007E0EA5">
      <w:pPr>
        <w:pStyle w:val="CM1"/>
        <w:tabs>
          <w:tab w:val="left" w:pos="567"/>
        </w:tabs>
        <w:ind w:left="567" w:hanging="567"/>
        <w:jc w:val="both"/>
        <w:rPr>
          <w:i/>
          <w:iCs/>
        </w:rPr>
      </w:pPr>
      <w:proofErr w:type="spellStart"/>
      <w:r w:rsidRPr="00D206E8">
        <w:rPr>
          <w:i/>
          <w:iCs/>
        </w:rPr>
        <w:t>Haemophilus</w:t>
      </w:r>
      <w:proofErr w:type="spellEnd"/>
      <w:r w:rsidRPr="00D206E8">
        <w:rPr>
          <w:i/>
          <w:iCs/>
        </w:rPr>
        <w:t xml:space="preserve"> </w:t>
      </w:r>
      <w:proofErr w:type="spellStart"/>
      <w:r w:rsidRPr="00D206E8">
        <w:rPr>
          <w:i/>
          <w:iCs/>
        </w:rPr>
        <w:t>influenzae</w:t>
      </w:r>
      <w:proofErr w:type="spellEnd"/>
      <w:r w:rsidRPr="00D206E8">
        <w:rPr>
          <w:i/>
          <w:iCs/>
        </w:rPr>
        <w:t xml:space="preserve"> </w:t>
      </w:r>
    </w:p>
    <w:p w:rsidR="003608CE" w:rsidRPr="00D206E8" w:rsidRDefault="003608CE" w:rsidP="007E0EA5">
      <w:pPr>
        <w:pStyle w:val="CM1"/>
        <w:tabs>
          <w:tab w:val="left" w:pos="567"/>
        </w:tabs>
        <w:ind w:left="567" w:hanging="567"/>
        <w:jc w:val="both"/>
      </w:pPr>
      <w:r w:rsidRPr="00D206E8">
        <w:rPr>
          <w:i/>
          <w:iCs/>
        </w:rPr>
        <w:t xml:space="preserve">Staphylococcus </w:t>
      </w:r>
      <w:proofErr w:type="spellStart"/>
      <w:r w:rsidRPr="00D206E8">
        <w:rPr>
          <w:i/>
          <w:iCs/>
        </w:rPr>
        <w:t>aureus</w:t>
      </w:r>
      <w:proofErr w:type="spellEnd"/>
      <w:r w:rsidRPr="00D206E8">
        <w:rPr>
          <w:i/>
          <w:iCs/>
        </w:rPr>
        <w:t xml:space="preserve"> </w:t>
      </w:r>
    </w:p>
    <w:p w:rsidR="001241CE" w:rsidRPr="00D206E8" w:rsidRDefault="003608CE" w:rsidP="007E0EA5">
      <w:pPr>
        <w:pStyle w:val="CM10"/>
        <w:tabs>
          <w:tab w:val="left" w:pos="567"/>
        </w:tabs>
        <w:spacing w:line="276" w:lineRule="atLeast"/>
        <w:ind w:left="567" w:right="2195" w:hanging="567"/>
        <w:jc w:val="both"/>
        <w:rPr>
          <w:i/>
          <w:iCs/>
        </w:rPr>
      </w:pPr>
      <w:r w:rsidRPr="00D206E8">
        <w:rPr>
          <w:i/>
          <w:iCs/>
        </w:rPr>
        <w:t xml:space="preserve">Staphylococcus </w:t>
      </w:r>
      <w:proofErr w:type="spellStart"/>
      <w:r w:rsidRPr="00D206E8">
        <w:rPr>
          <w:i/>
          <w:iCs/>
        </w:rPr>
        <w:t>epidermidis</w:t>
      </w:r>
      <w:proofErr w:type="spellEnd"/>
      <w:r w:rsidRPr="00D206E8">
        <w:rPr>
          <w:i/>
          <w:iCs/>
        </w:rPr>
        <w:t xml:space="preserve"> </w:t>
      </w:r>
    </w:p>
    <w:p w:rsidR="001241CE" w:rsidRPr="00D206E8" w:rsidRDefault="003608CE" w:rsidP="007E0EA5">
      <w:pPr>
        <w:pStyle w:val="CM10"/>
        <w:tabs>
          <w:tab w:val="left" w:pos="567"/>
        </w:tabs>
        <w:spacing w:line="276" w:lineRule="atLeast"/>
        <w:ind w:left="567" w:right="2195" w:hanging="567"/>
        <w:jc w:val="both"/>
      </w:pPr>
      <w:r w:rsidRPr="00D206E8">
        <w:rPr>
          <w:i/>
          <w:iCs/>
        </w:rPr>
        <w:t xml:space="preserve">Streptococcus </w:t>
      </w:r>
      <w:proofErr w:type="spellStart"/>
      <w:r w:rsidRPr="00D206E8">
        <w:rPr>
          <w:i/>
          <w:iCs/>
        </w:rPr>
        <w:t>mitis</w:t>
      </w:r>
      <w:proofErr w:type="spellEnd"/>
      <w:r w:rsidRPr="00D206E8">
        <w:rPr>
          <w:i/>
          <w:iCs/>
        </w:rPr>
        <w:t xml:space="preserve"> </w:t>
      </w:r>
      <w:r w:rsidRPr="00D206E8">
        <w:t xml:space="preserve">group </w:t>
      </w:r>
    </w:p>
    <w:p w:rsidR="001241CE" w:rsidRPr="00D206E8" w:rsidRDefault="003608CE" w:rsidP="007E0EA5">
      <w:pPr>
        <w:pStyle w:val="CM10"/>
        <w:tabs>
          <w:tab w:val="left" w:pos="567"/>
        </w:tabs>
        <w:spacing w:line="276" w:lineRule="atLeast"/>
        <w:ind w:left="567" w:right="2195" w:hanging="567"/>
        <w:jc w:val="both"/>
        <w:rPr>
          <w:i/>
          <w:iCs/>
        </w:rPr>
      </w:pPr>
      <w:r w:rsidRPr="00D206E8">
        <w:rPr>
          <w:i/>
          <w:iCs/>
        </w:rPr>
        <w:t xml:space="preserve">Streptococcus </w:t>
      </w:r>
      <w:proofErr w:type="spellStart"/>
      <w:r w:rsidRPr="00D206E8">
        <w:rPr>
          <w:i/>
          <w:iCs/>
        </w:rPr>
        <w:t>oralis</w:t>
      </w:r>
      <w:proofErr w:type="spellEnd"/>
      <w:r w:rsidRPr="00D206E8">
        <w:rPr>
          <w:i/>
          <w:iCs/>
        </w:rPr>
        <w:t xml:space="preserve"> </w:t>
      </w:r>
    </w:p>
    <w:p w:rsidR="001241CE" w:rsidRPr="00D206E8" w:rsidRDefault="003608CE" w:rsidP="007E0EA5">
      <w:pPr>
        <w:pStyle w:val="CM10"/>
        <w:tabs>
          <w:tab w:val="left" w:pos="567"/>
        </w:tabs>
        <w:spacing w:line="276" w:lineRule="atLeast"/>
        <w:ind w:left="567" w:right="2195" w:hanging="567"/>
        <w:jc w:val="both"/>
        <w:rPr>
          <w:i/>
          <w:iCs/>
        </w:rPr>
      </w:pPr>
      <w:r w:rsidRPr="00D206E8">
        <w:rPr>
          <w:i/>
          <w:iCs/>
        </w:rPr>
        <w:t xml:space="preserve">Streptococcus </w:t>
      </w:r>
      <w:proofErr w:type="spellStart"/>
      <w:r w:rsidRPr="00D206E8">
        <w:rPr>
          <w:i/>
          <w:iCs/>
        </w:rPr>
        <w:t>pneumoniae</w:t>
      </w:r>
      <w:proofErr w:type="spellEnd"/>
      <w:r w:rsidRPr="00D206E8">
        <w:rPr>
          <w:i/>
          <w:iCs/>
        </w:rPr>
        <w:t xml:space="preserve"> </w:t>
      </w:r>
    </w:p>
    <w:p w:rsidR="001945CA" w:rsidRDefault="001945CA" w:rsidP="007E0EA5">
      <w:pPr>
        <w:tabs>
          <w:tab w:val="left" w:pos="567"/>
        </w:tabs>
        <w:autoSpaceDE w:val="0"/>
        <w:autoSpaceDN w:val="0"/>
        <w:adjustRightInd w:val="0"/>
        <w:ind w:left="567" w:hanging="567"/>
        <w:jc w:val="both"/>
        <w:rPr>
          <w:sz w:val="24"/>
          <w:szCs w:val="24"/>
          <w:lang w:val="en-US"/>
        </w:rPr>
      </w:pPr>
    </w:p>
    <w:p w:rsidR="00547ED3" w:rsidRPr="00D206E8" w:rsidRDefault="00547ED3" w:rsidP="007E0EA5">
      <w:pPr>
        <w:tabs>
          <w:tab w:val="left" w:pos="567"/>
        </w:tabs>
        <w:autoSpaceDE w:val="0"/>
        <w:autoSpaceDN w:val="0"/>
        <w:adjustRightInd w:val="0"/>
        <w:ind w:left="567" w:hanging="567"/>
        <w:jc w:val="both"/>
        <w:rPr>
          <w:sz w:val="24"/>
          <w:szCs w:val="24"/>
          <w:u w:val="single"/>
          <w:lang w:val="en-US"/>
        </w:rPr>
      </w:pPr>
      <w:r w:rsidRPr="00D206E8">
        <w:rPr>
          <w:sz w:val="24"/>
          <w:szCs w:val="24"/>
          <w:u w:val="single"/>
          <w:lang w:val="en-US"/>
        </w:rPr>
        <w:t xml:space="preserve">Pharmacokinetics </w:t>
      </w:r>
    </w:p>
    <w:p w:rsidR="00547ED3" w:rsidRPr="00321828" w:rsidRDefault="00547ED3" w:rsidP="00321828">
      <w:pPr>
        <w:jc w:val="both"/>
        <w:rPr>
          <w:sz w:val="24"/>
          <w:szCs w:val="24"/>
        </w:rPr>
      </w:pPr>
      <w:r w:rsidRPr="00321828">
        <w:rPr>
          <w:sz w:val="24"/>
          <w:szCs w:val="24"/>
        </w:rPr>
        <w:t xml:space="preserve">Plasma concentrations of </w:t>
      </w:r>
      <w:proofErr w:type="spellStart"/>
      <w:r w:rsidRPr="00321828">
        <w:rPr>
          <w:sz w:val="24"/>
          <w:szCs w:val="24"/>
        </w:rPr>
        <w:t>besifloxacin</w:t>
      </w:r>
      <w:proofErr w:type="spellEnd"/>
      <w:r w:rsidRPr="00321828">
        <w:rPr>
          <w:sz w:val="24"/>
          <w:szCs w:val="24"/>
        </w:rPr>
        <w:t xml:space="preserve"> were measured in adult patients with suspected bacterial conjunctivitis who received </w:t>
      </w:r>
      <w:proofErr w:type="spellStart"/>
      <w:r w:rsidRPr="00321828">
        <w:rPr>
          <w:sz w:val="24"/>
          <w:szCs w:val="24"/>
        </w:rPr>
        <w:t>Besivance</w:t>
      </w:r>
      <w:proofErr w:type="spellEnd"/>
      <w:r w:rsidRPr="00321828">
        <w:rPr>
          <w:sz w:val="24"/>
          <w:szCs w:val="24"/>
        </w:rPr>
        <w:t xml:space="preserve"> bilaterally three times a day (16 doses total). Following the first and last dose, the maximum plasma </w:t>
      </w:r>
      <w:proofErr w:type="spellStart"/>
      <w:r w:rsidRPr="00321828">
        <w:rPr>
          <w:sz w:val="24"/>
          <w:szCs w:val="24"/>
        </w:rPr>
        <w:t>besifloxacin</w:t>
      </w:r>
      <w:proofErr w:type="spellEnd"/>
      <w:r w:rsidRPr="00321828">
        <w:rPr>
          <w:sz w:val="24"/>
          <w:szCs w:val="24"/>
        </w:rPr>
        <w:t xml:space="preserve"> concentration in each patient was </w:t>
      </w:r>
      <w:proofErr w:type="gramStart"/>
      <w:r w:rsidRPr="00321828">
        <w:rPr>
          <w:sz w:val="24"/>
          <w:szCs w:val="24"/>
        </w:rPr>
        <w:t xml:space="preserve">less than 1.3 </w:t>
      </w:r>
      <w:proofErr w:type="spellStart"/>
      <w:r w:rsidRPr="00321828">
        <w:rPr>
          <w:sz w:val="24"/>
          <w:szCs w:val="24"/>
        </w:rPr>
        <w:t>ng</w:t>
      </w:r>
      <w:proofErr w:type="spellEnd"/>
      <w:r w:rsidRPr="00321828">
        <w:rPr>
          <w:sz w:val="24"/>
          <w:szCs w:val="24"/>
        </w:rPr>
        <w:t>/</w:t>
      </w:r>
      <w:proofErr w:type="spellStart"/>
      <w:r w:rsidRPr="00321828">
        <w:rPr>
          <w:sz w:val="24"/>
          <w:szCs w:val="24"/>
        </w:rPr>
        <w:t>mL</w:t>
      </w:r>
      <w:proofErr w:type="gramEnd"/>
      <w:r w:rsidRPr="00321828">
        <w:rPr>
          <w:sz w:val="24"/>
          <w:szCs w:val="24"/>
        </w:rPr>
        <w:t>.</w:t>
      </w:r>
      <w:proofErr w:type="spellEnd"/>
      <w:r w:rsidRPr="00321828">
        <w:rPr>
          <w:sz w:val="24"/>
          <w:szCs w:val="24"/>
        </w:rPr>
        <w:t xml:space="preserve"> The mean </w:t>
      </w:r>
      <w:proofErr w:type="spellStart"/>
      <w:r w:rsidRPr="00321828">
        <w:rPr>
          <w:sz w:val="24"/>
          <w:szCs w:val="24"/>
        </w:rPr>
        <w:t>besifloxacin</w:t>
      </w:r>
      <w:proofErr w:type="spellEnd"/>
      <w:r w:rsidRPr="00321828">
        <w:rPr>
          <w:sz w:val="24"/>
          <w:szCs w:val="24"/>
        </w:rPr>
        <w:t xml:space="preserve"> </w:t>
      </w:r>
      <w:proofErr w:type="spellStart"/>
      <w:r w:rsidRPr="00321828">
        <w:rPr>
          <w:sz w:val="24"/>
          <w:szCs w:val="24"/>
        </w:rPr>
        <w:t>C</w:t>
      </w:r>
      <w:r w:rsidRPr="00A86BC8">
        <w:rPr>
          <w:sz w:val="24"/>
          <w:szCs w:val="24"/>
          <w:vertAlign w:val="subscript"/>
        </w:rPr>
        <w:t>max</w:t>
      </w:r>
      <w:proofErr w:type="spellEnd"/>
      <w:r w:rsidRPr="00321828">
        <w:rPr>
          <w:sz w:val="24"/>
          <w:szCs w:val="24"/>
        </w:rPr>
        <w:t xml:space="preserve"> was </w:t>
      </w:r>
      <w:proofErr w:type="gramStart"/>
      <w:r w:rsidRPr="00321828">
        <w:rPr>
          <w:sz w:val="24"/>
          <w:szCs w:val="24"/>
        </w:rPr>
        <w:t xml:space="preserve">0.37 </w:t>
      </w:r>
      <w:proofErr w:type="spellStart"/>
      <w:r w:rsidRPr="00321828">
        <w:rPr>
          <w:sz w:val="24"/>
          <w:szCs w:val="24"/>
        </w:rPr>
        <w:t>ng</w:t>
      </w:r>
      <w:proofErr w:type="spellEnd"/>
      <w:r w:rsidRPr="00321828">
        <w:rPr>
          <w:sz w:val="24"/>
          <w:szCs w:val="24"/>
        </w:rPr>
        <w:t xml:space="preserve">/mL on day 1 and 0.43 </w:t>
      </w:r>
      <w:proofErr w:type="spellStart"/>
      <w:r w:rsidRPr="00321828">
        <w:rPr>
          <w:sz w:val="24"/>
          <w:szCs w:val="24"/>
        </w:rPr>
        <w:t>ng</w:t>
      </w:r>
      <w:proofErr w:type="spellEnd"/>
      <w:r w:rsidRPr="00321828">
        <w:rPr>
          <w:sz w:val="24"/>
          <w:szCs w:val="24"/>
        </w:rPr>
        <w:t>/mL</w:t>
      </w:r>
      <w:proofErr w:type="gramEnd"/>
      <w:r w:rsidRPr="00321828">
        <w:rPr>
          <w:sz w:val="24"/>
          <w:szCs w:val="24"/>
        </w:rPr>
        <w:t xml:space="preserve"> on day 6. The average elimination half-life of </w:t>
      </w:r>
      <w:proofErr w:type="spellStart"/>
      <w:r w:rsidRPr="00321828">
        <w:rPr>
          <w:sz w:val="24"/>
          <w:szCs w:val="24"/>
        </w:rPr>
        <w:t>besifloxacin</w:t>
      </w:r>
      <w:proofErr w:type="spellEnd"/>
      <w:r w:rsidRPr="00321828">
        <w:rPr>
          <w:sz w:val="24"/>
          <w:szCs w:val="24"/>
        </w:rPr>
        <w:t xml:space="preserve"> in plasma following multiple dosing was estimated to be 7 hours. </w:t>
      </w:r>
    </w:p>
    <w:p w:rsidR="00621908" w:rsidRDefault="00621908" w:rsidP="007E0EA5">
      <w:pPr>
        <w:pStyle w:val="Default"/>
        <w:jc w:val="both"/>
        <w:rPr>
          <w:rFonts w:ascii="Times New Roman" w:hAnsi="Times New Roman" w:cs="Times New Roman"/>
          <w:b/>
          <w:bCs/>
          <w:color w:val="auto"/>
        </w:rPr>
      </w:pPr>
    </w:p>
    <w:p w:rsidR="00EA5A63" w:rsidRDefault="00EA5A63" w:rsidP="007E0EA5">
      <w:pPr>
        <w:pStyle w:val="Default"/>
        <w:jc w:val="both"/>
        <w:rPr>
          <w:rFonts w:ascii="Times New Roman" w:hAnsi="Times New Roman" w:cs="Times New Roman"/>
          <w:b/>
          <w:bCs/>
          <w:color w:val="auto"/>
        </w:rPr>
      </w:pPr>
    </w:p>
    <w:p w:rsidR="009C1E08" w:rsidRPr="00CC146A" w:rsidRDefault="000078AD" w:rsidP="001945CA">
      <w:pPr>
        <w:pStyle w:val="Default"/>
        <w:tabs>
          <w:tab w:val="left" w:pos="567"/>
        </w:tabs>
        <w:jc w:val="both"/>
        <w:rPr>
          <w:rFonts w:ascii="Times New Roman" w:hAnsi="Times New Roman" w:cs="Times New Roman"/>
          <w:b/>
          <w:bCs/>
          <w:color w:val="auto"/>
        </w:rPr>
      </w:pPr>
      <w:r w:rsidRPr="00CC146A">
        <w:rPr>
          <w:rFonts w:ascii="Times New Roman" w:hAnsi="Times New Roman" w:cs="Times New Roman"/>
          <w:b/>
          <w:bCs/>
          <w:color w:val="auto"/>
        </w:rPr>
        <w:t>Clinical trials</w:t>
      </w:r>
      <w:r w:rsidR="009C1E08" w:rsidRPr="00CC146A">
        <w:rPr>
          <w:rFonts w:ascii="Times New Roman" w:hAnsi="Times New Roman" w:cs="Times New Roman"/>
          <w:b/>
          <w:bCs/>
          <w:color w:val="auto"/>
        </w:rPr>
        <w:t xml:space="preserve"> </w:t>
      </w:r>
    </w:p>
    <w:p w:rsidR="00EA5A63" w:rsidRDefault="00EA5A63" w:rsidP="00EA5A63">
      <w:pPr>
        <w:autoSpaceDE w:val="0"/>
        <w:autoSpaceDN w:val="0"/>
        <w:adjustRightInd w:val="0"/>
        <w:jc w:val="both"/>
        <w:rPr>
          <w:color w:val="000000"/>
          <w:sz w:val="24"/>
          <w:szCs w:val="24"/>
          <w:lang w:eastAsia="en-AU"/>
        </w:rPr>
      </w:pPr>
      <w:r>
        <w:rPr>
          <w:color w:val="000000"/>
          <w:sz w:val="24"/>
          <w:szCs w:val="24"/>
          <w:lang w:eastAsia="en-AU"/>
        </w:rPr>
        <w:t>Three independent, adequate and well controlled studies (</w:t>
      </w:r>
      <w:r w:rsidRPr="00EA5A63">
        <w:rPr>
          <w:color w:val="000000"/>
          <w:sz w:val="24"/>
          <w:szCs w:val="24"/>
          <w:lang w:eastAsia="en-AU"/>
        </w:rPr>
        <w:t>Studies 373</w:t>
      </w:r>
      <w:r>
        <w:rPr>
          <w:color w:val="000000"/>
          <w:sz w:val="24"/>
          <w:szCs w:val="24"/>
          <w:lang w:eastAsia="en-AU"/>
        </w:rPr>
        <w:t xml:space="preserve">, </w:t>
      </w:r>
      <w:r w:rsidRPr="00EA5A63">
        <w:rPr>
          <w:color w:val="000000"/>
          <w:sz w:val="24"/>
          <w:szCs w:val="24"/>
          <w:lang w:eastAsia="en-AU"/>
        </w:rPr>
        <w:t xml:space="preserve">433 </w:t>
      </w:r>
      <w:r>
        <w:rPr>
          <w:color w:val="000000"/>
          <w:sz w:val="24"/>
          <w:szCs w:val="24"/>
          <w:lang w:eastAsia="en-AU"/>
        </w:rPr>
        <w:t xml:space="preserve">and </w:t>
      </w:r>
      <w:r w:rsidRPr="00EA5A63">
        <w:rPr>
          <w:color w:val="000000"/>
          <w:sz w:val="24"/>
          <w:szCs w:val="24"/>
          <w:lang w:eastAsia="en-AU"/>
        </w:rPr>
        <w:t>434</w:t>
      </w:r>
      <w:r>
        <w:rPr>
          <w:color w:val="000000"/>
          <w:sz w:val="24"/>
          <w:szCs w:val="24"/>
          <w:lang w:eastAsia="en-AU"/>
        </w:rPr>
        <w:t>) were</w:t>
      </w:r>
    </w:p>
    <w:p w:rsidR="00EA5A63" w:rsidRPr="00EA5A63" w:rsidRDefault="00EA5A63" w:rsidP="00EA5A63">
      <w:pPr>
        <w:autoSpaceDE w:val="0"/>
        <w:autoSpaceDN w:val="0"/>
        <w:adjustRightInd w:val="0"/>
        <w:jc w:val="both"/>
        <w:rPr>
          <w:color w:val="000000"/>
          <w:sz w:val="24"/>
          <w:szCs w:val="24"/>
          <w:lang w:eastAsia="en-AU"/>
        </w:rPr>
      </w:pPr>
      <w:proofErr w:type="gramStart"/>
      <w:r>
        <w:rPr>
          <w:color w:val="000000"/>
          <w:sz w:val="24"/>
          <w:szCs w:val="24"/>
          <w:lang w:eastAsia="en-AU"/>
        </w:rPr>
        <w:t>carried</w:t>
      </w:r>
      <w:proofErr w:type="gramEnd"/>
      <w:r>
        <w:rPr>
          <w:color w:val="000000"/>
          <w:sz w:val="24"/>
          <w:szCs w:val="24"/>
          <w:lang w:eastAsia="en-AU"/>
        </w:rPr>
        <w:t xml:space="preserve"> out to assess the safety and efficacy of </w:t>
      </w:r>
      <w:proofErr w:type="spellStart"/>
      <w:r>
        <w:rPr>
          <w:color w:val="000000"/>
          <w:sz w:val="24"/>
          <w:szCs w:val="24"/>
          <w:lang w:eastAsia="en-AU"/>
        </w:rPr>
        <w:t>besifloxacin</w:t>
      </w:r>
      <w:proofErr w:type="spellEnd"/>
      <w:r>
        <w:rPr>
          <w:color w:val="000000"/>
          <w:sz w:val="24"/>
          <w:szCs w:val="24"/>
          <w:lang w:eastAsia="en-AU"/>
        </w:rPr>
        <w:t xml:space="preserve"> hydrochloride ophthalmic</w:t>
      </w:r>
      <w:r w:rsidR="005A459F">
        <w:rPr>
          <w:color w:val="000000"/>
          <w:sz w:val="24"/>
          <w:szCs w:val="24"/>
          <w:lang w:eastAsia="en-AU"/>
        </w:rPr>
        <w:t xml:space="preserve"> </w:t>
      </w:r>
      <w:r>
        <w:rPr>
          <w:color w:val="000000"/>
          <w:sz w:val="24"/>
          <w:szCs w:val="24"/>
          <w:lang w:eastAsia="en-AU"/>
        </w:rPr>
        <w:t>suspension for the treatment of bacterial conjunctivitis. Studies 373 and 433, evaluated</w:t>
      </w:r>
      <w:r w:rsidR="005A459F">
        <w:rPr>
          <w:color w:val="000000"/>
          <w:sz w:val="24"/>
          <w:szCs w:val="24"/>
          <w:lang w:eastAsia="en-AU"/>
        </w:rPr>
        <w:t xml:space="preserve"> </w:t>
      </w:r>
      <w:r>
        <w:rPr>
          <w:color w:val="000000"/>
          <w:sz w:val="24"/>
          <w:szCs w:val="24"/>
          <w:lang w:eastAsia="en-AU"/>
        </w:rPr>
        <w:t xml:space="preserve">the clinical and microbial efficacy of </w:t>
      </w:r>
      <w:proofErr w:type="spellStart"/>
      <w:r>
        <w:rPr>
          <w:color w:val="000000"/>
          <w:sz w:val="24"/>
          <w:szCs w:val="24"/>
          <w:lang w:eastAsia="en-AU"/>
        </w:rPr>
        <w:t>besifloxacin</w:t>
      </w:r>
      <w:proofErr w:type="spellEnd"/>
      <w:r>
        <w:rPr>
          <w:color w:val="000000"/>
          <w:sz w:val="24"/>
          <w:szCs w:val="24"/>
          <w:lang w:eastAsia="en-AU"/>
        </w:rPr>
        <w:t xml:space="preserve"> ophthalmic suspension compared to</w:t>
      </w:r>
      <w:r w:rsidR="005A459F">
        <w:rPr>
          <w:color w:val="000000"/>
          <w:sz w:val="24"/>
          <w:szCs w:val="24"/>
          <w:lang w:eastAsia="en-AU"/>
        </w:rPr>
        <w:t xml:space="preserve"> </w:t>
      </w:r>
      <w:r>
        <w:rPr>
          <w:color w:val="000000"/>
          <w:sz w:val="24"/>
          <w:szCs w:val="24"/>
          <w:lang w:eastAsia="en-AU"/>
        </w:rPr>
        <w:t>vehicle for the treatment of bacterial conjunctivitis. Study 434 evaluated the clinical and</w:t>
      </w:r>
      <w:r w:rsidR="00A31F6C">
        <w:rPr>
          <w:color w:val="000000"/>
          <w:sz w:val="24"/>
          <w:szCs w:val="24"/>
          <w:lang w:eastAsia="en-AU"/>
        </w:rPr>
        <w:t xml:space="preserve"> </w:t>
      </w:r>
      <w:r>
        <w:rPr>
          <w:color w:val="000000"/>
          <w:sz w:val="24"/>
          <w:szCs w:val="24"/>
          <w:lang w:eastAsia="en-AU"/>
        </w:rPr>
        <w:t xml:space="preserve">microbial </w:t>
      </w:r>
      <w:r>
        <w:rPr>
          <w:color w:val="000000"/>
          <w:sz w:val="24"/>
          <w:szCs w:val="24"/>
          <w:lang w:eastAsia="en-AU"/>
        </w:rPr>
        <w:lastRenderedPageBreak/>
        <w:t xml:space="preserve">efficacy of </w:t>
      </w:r>
      <w:proofErr w:type="spellStart"/>
      <w:r>
        <w:rPr>
          <w:color w:val="000000"/>
          <w:sz w:val="24"/>
          <w:szCs w:val="24"/>
          <w:lang w:eastAsia="en-AU"/>
        </w:rPr>
        <w:t>besifloxacin</w:t>
      </w:r>
      <w:proofErr w:type="spellEnd"/>
      <w:r>
        <w:rPr>
          <w:color w:val="000000"/>
          <w:sz w:val="24"/>
          <w:szCs w:val="24"/>
          <w:lang w:eastAsia="en-AU"/>
        </w:rPr>
        <w:t xml:space="preserve"> ophthalmic suspension compared to </w:t>
      </w:r>
      <w:proofErr w:type="spellStart"/>
      <w:r>
        <w:rPr>
          <w:color w:val="000000"/>
          <w:sz w:val="24"/>
          <w:szCs w:val="24"/>
          <w:lang w:eastAsia="en-AU"/>
        </w:rPr>
        <w:t>Vigamox</w:t>
      </w:r>
      <w:proofErr w:type="spellEnd"/>
      <w:r w:rsidRPr="00EA5A63">
        <w:rPr>
          <w:color w:val="000000"/>
          <w:sz w:val="24"/>
          <w:szCs w:val="24"/>
          <w:lang w:eastAsia="en-AU"/>
        </w:rPr>
        <w:t>®</w:t>
      </w:r>
      <w:r w:rsidR="00A31F6C">
        <w:rPr>
          <w:color w:val="000000"/>
          <w:sz w:val="24"/>
          <w:szCs w:val="24"/>
          <w:lang w:eastAsia="en-AU"/>
        </w:rPr>
        <w:t xml:space="preserve"> </w:t>
      </w:r>
      <w:r>
        <w:rPr>
          <w:color w:val="000000"/>
          <w:sz w:val="24"/>
          <w:szCs w:val="24"/>
          <w:lang w:eastAsia="en-AU"/>
        </w:rPr>
        <w:t>(</w:t>
      </w:r>
      <w:proofErr w:type="spellStart"/>
      <w:r>
        <w:rPr>
          <w:color w:val="000000"/>
          <w:sz w:val="24"/>
          <w:szCs w:val="24"/>
          <w:lang w:eastAsia="en-AU"/>
        </w:rPr>
        <w:t>moxifloxacin</w:t>
      </w:r>
      <w:proofErr w:type="spellEnd"/>
      <w:r>
        <w:rPr>
          <w:color w:val="000000"/>
          <w:sz w:val="24"/>
          <w:szCs w:val="24"/>
          <w:lang w:eastAsia="en-AU"/>
        </w:rPr>
        <w:t xml:space="preserve"> </w:t>
      </w:r>
      <w:proofErr w:type="spellStart"/>
      <w:r>
        <w:rPr>
          <w:color w:val="000000"/>
          <w:sz w:val="24"/>
          <w:szCs w:val="24"/>
          <w:lang w:eastAsia="en-AU"/>
        </w:rPr>
        <w:t>HCl</w:t>
      </w:r>
      <w:proofErr w:type="spellEnd"/>
      <w:r>
        <w:rPr>
          <w:color w:val="000000"/>
          <w:sz w:val="24"/>
          <w:szCs w:val="24"/>
          <w:lang w:eastAsia="en-AU"/>
        </w:rPr>
        <w:t xml:space="preserve"> ophthalmic solution 0.5% as base) for the treatment of bacterial</w:t>
      </w:r>
      <w:r w:rsidR="005A459F">
        <w:rPr>
          <w:color w:val="000000"/>
          <w:sz w:val="24"/>
          <w:szCs w:val="24"/>
          <w:lang w:eastAsia="en-AU"/>
        </w:rPr>
        <w:t xml:space="preserve"> </w:t>
      </w:r>
      <w:r w:rsidRPr="00EA5A63">
        <w:rPr>
          <w:color w:val="000000"/>
          <w:sz w:val="24"/>
          <w:szCs w:val="24"/>
          <w:lang w:eastAsia="en-AU"/>
        </w:rPr>
        <w:t>conjunctivitis.</w:t>
      </w:r>
    </w:p>
    <w:p w:rsidR="00EA5A63" w:rsidRDefault="00EA5A63" w:rsidP="00EA5A63">
      <w:pPr>
        <w:autoSpaceDE w:val="0"/>
        <w:autoSpaceDN w:val="0"/>
        <w:adjustRightInd w:val="0"/>
        <w:rPr>
          <w:color w:val="000000"/>
          <w:sz w:val="24"/>
          <w:szCs w:val="24"/>
          <w:lang w:eastAsia="en-AU"/>
        </w:rPr>
      </w:pPr>
    </w:p>
    <w:p w:rsidR="00A31F6C" w:rsidRPr="00A31F6C" w:rsidRDefault="00A31F6C" w:rsidP="005A459F">
      <w:pPr>
        <w:autoSpaceDE w:val="0"/>
        <w:autoSpaceDN w:val="0"/>
        <w:adjustRightInd w:val="0"/>
        <w:jc w:val="both"/>
        <w:rPr>
          <w:b/>
          <w:i/>
          <w:color w:val="000000"/>
          <w:sz w:val="24"/>
          <w:szCs w:val="24"/>
          <w:u w:val="single"/>
          <w:lang w:eastAsia="en-AU"/>
        </w:rPr>
      </w:pPr>
      <w:r w:rsidRPr="00A31F6C">
        <w:rPr>
          <w:b/>
          <w:i/>
          <w:color w:val="000000"/>
          <w:sz w:val="24"/>
          <w:szCs w:val="24"/>
          <w:u w:val="single"/>
          <w:lang w:eastAsia="en-AU"/>
        </w:rPr>
        <w:t>Study 373</w:t>
      </w:r>
    </w:p>
    <w:p w:rsidR="00A31F6C" w:rsidRDefault="00A31F6C" w:rsidP="005A459F">
      <w:pPr>
        <w:autoSpaceDE w:val="0"/>
        <w:autoSpaceDN w:val="0"/>
        <w:adjustRightInd w:val="0"/>
        <w:jc w:val="both"/>
        <w:rPr>
          <w:sz w:val="24"/>
          <w:szCs w:val="24"/>
          <w:lang w:eastAsia="en-AU"/>
        </w:rPr>
      </w:pPr>
      <w:r>
        <w:rPr>
          <w:sz w:val="24"/>
          <w:szCs w:val="24"/>
          <w:lang w:eastAsia="en-AU"/>
        </w:rPr>
        <w:t>Study 373 was a randomized, double-masked, vehicle-controlled, parallel group clinical</w:t>
      </w:r>
      <w:r w:rsidR="005A459F">
        <w:rPr>
          <w:sz w:val="24"/>
          <w:szCs w:val="24"/>
          <w:lang w:eastAsia="en-AU"/>
        </w:rPr>
        <w:t xml:space="preserve"> t</w:t>
      </w:r>
      <w:r>
        <w:rPr>
          <w:sz w:val="24"/>
          <w:szCs w:val="24"/>
          <w:lang w:eastAsia="en-AU"/>
        </w:rPr>
        <w:t xml:space="preserve">rial. </w:t>
      </w:r>
      <w:proofErr w:type="spellStart"/>
      <w:r>
        <w:rPr>
          <w:sz w:val="24"/>
          <w:szCs w:val="24"/>
          <w:lang w:eastAsia="en-AU"/>
        </w:rPr>
        <w:t>Besifloxacin</w:t>
      </w:r>
      <w:proofErr w:type="spellEnd"/>
      <w:r>
        <w:rPr>
          <w:sz w:val="24"/>
          <w:szCs w:val="24"/>
          <w:lang w:eastAsia="en-AU"/>
        </w:rPr>
        <w:t xml:space="preserve"> hydrochloride ophthalmic suspension administered 3 times a day (TID) for 5 days compared to vehicle TID for 5 days in the treatment of bacterial conjunctivitis.</w:t>
      </w:r>
      <w:r w:rsidR="008401EA">
        <w:rPr>
          <w:sz w:val="24"/>
          <w:szCs w:val="24"/>
          <w:lang w:eastAsia="en-AU"/>
        </w:rPr>
        <w:t xml:space="preserve">  </w:t>
      </w:r>
      <w:r>
        <w:rPr>
          <w:sz w:val="24"/>
          <w:szCs w:val="24"/>
          <w:lang w:eastAsia="en-AU"/>
        </w:rPr>
        <w:t xml:space="preserve">Adults and children 1 year of age or older required a clinical diagnosis of acute bacterial conjunctivitis exhibiting a minimum protocol defined score of grade 1 for purulent </w:t>
      </w:r>
      <w:proofErr w:type="spellStart"/>
      <w:r>
        <w:rPr>
          <w:sz w:val="24"/>
          <w:szCs w:val="24"/>
          <w:lang w:eastAsia="en-AU"/>
        </w:rPr>
        <w:t>conjunctival</w:t>
      </w:r>
      <w:proofErr w:type="spellEnd"/>
      <w:r>
        <w:rPr>
          <w:sz w:val="24"/>
          <w:szCs w:val="24"/>
          <w:lang w:eastAsia="en-AU"/>
        </w:rPr>
        <w:t xml:space="preserve"> discharge (crusty or</w:t>
      </w:r>
      <w:r w:rsidR="008401EA">
        <w:rPr>
          <w:sz w:val="24"/>
          <w:szCs w:val="24"/>
          <w:lang w:eastAsia="en-AU"/>
        </w:rPr>
        <w:t xml:space="preserve"> </w:t>
      </w:r>
      <w:r>
        <w:rPr>
          <w:sz w:val="24"/>
          <w:szCs w:val="24"/>
          <w:lang w:eastAsia="en-AU"/>
        </w:rPr>
        <w:t xml:space="preserve">sticky eyelids) and a minimum score of grade 1 for either bulbar or palpebral </w:t>
      </w:r>
      <w:proofErr w:type="spellStart"/>
      <w:r>
        <w:rPr>
          <w:sz w:val="24"/>
          <w:szCs w:val="24"/>
          <w:lang w:eastAsia="en-AU"/>
        </w:rPr>
        <w:t>conjunctival</w:t>
      </w:r>
      <w:proofErr w:type="spellEnd"/>
      <w:r w:rsidR="008401EA">
        <w:rPr>
          <w:sz w:val="24"/>
          <w:szCs w:val="24"/>
          <w:lang w:eastAsia="en-AU"/>
        </w:rPr>
        <w:t xml:space="preserve"> </w:t>
      </w:r>
      <w:r>
        <w:rPr>
          <w:sz w:val="24"/>
          <w:szCs w:val="24"/>
          <w:lang w:eastAsia="en-AU"/>
        </w:rPr>
        <w:t>injection in at least 1 eye to be eligible for entry into the study. If a subject had 2 eyes</w:t>
      </w:r>
      <w:r w:rsidR="008401EA">
        <w:rPr>
          <w:sz w:val="24"/>
          <w:szCs w:val="24"/>
          <w:lang w:eastAsia="en-AU"/>
        </w:rPr>
        <w:t xml:space="preserve"> </w:t>
      </w:r>
      <w:r>
        <w:rPr>
          <w:sz w:val="24"/>
          <w:szCs w:val="24"/>
          <w:lang w:eastAsia="en-AU"/>
        </w:rPr>
        <w:t>qualify for the study, the study eye was designated as the eye with the highest combined</w:t>
      </w:r>
      <w:r w:rsidR="008401EA">
        <w:rPr>
          <w:sz w:val="24"/>
          <w:szCs w:val="24"/>
          <w:lang w:eastAsia="en-AU"/>
        </w:rPr>
        <w:t xml:space="preserve"> </w:t>
      </w:r>
      <w:r>
        <w:rPr>
          <w:sz w:val="24"/>
          <w:szCs w:val="24"/>
          <w:lang w:eastAsia="en-AU"/>
        </w:rPr>
        <w:t>ocular discharge and redness score at baseline.</w:t>
      </w:r>
    </w:p>
    <w:p w:rsidR="005A459F" w:rsidRDefault="005A459F" w:rsidP="005A459F">
      <w:pPr>
        <w:autoSpaceDE w:val="0"/>
        <w:autoSpaceDN w:val="0"/>
        <w:adjustRightInd w:val="0"/>
        <w:jc w:val="both"/>
        <w:rPr>
          <w:color w:val="000000"/>
          <w:sz w:val="24"/>
          <w:szCs w:val="24"/>
          <w:lang w:eastAsia="en-AU"/>
        </w:rPr>
      </w:pPr>
    </w:p>
    <w:p w:rsidR="002062D7" w:rsidRDefault="008401EA" w:rsidP="005A459F">
      <w:pPr>
        <w:autoSpaceDE w:val="0"/>
        <w:autoSpaceDN w:val="0"/>
        <w:adjustRightInd w:val="0"/>
        <w:jc w:val="both"/>
        <w:rPr>
          <w:sz w:val="24"/>
          <w:szCs w:val="24"/>
          <w:lang w:eastAsia="en-AU"/>
        </w:rPr>
      </w:pPr>
      <w:r>
        <w:rPr>
          <w:sz w:val="24"/>
          <w:szCs w:val="24"/>
          <w:lang w:eastAsia="en-AU"/>
        </w:rPr>
        <w:t>The primary efficacy endpoints of the study were clinical resolution and microbial</w:t>
      </w:r>
      <w:r w:rsidR="005A459F">
        <w:rPr>
          <w:sz w:val="24"/>
          <w:szCs w:val="24"/>
          <w:lang w:eastAsia="en-AU"/>
        </w:rPr>
        <w:t xml:space="preserve"> </w:t>
      </w:r>
      <w:r>
        <w:rPr>
          <w:sz w:val="24"/>
          <w:szCs w:val="24"/>
          <w:lang w:eastAsia="en-AU"/>
        </w:rPr>
        <w:t>eradication of baseline bacterial infection at Visit 3 (Day 8, + 1 day). For this study,</w:t>
      </w:r>
      <w:r w:rsidR="005A459F">
        <w:rPr>
          <w:sz w:val="24"/>
          <w:szCs w:val="24"/>
          <w:lang w:eastAsia="en-AU"/>
        </w:rPr>
        <w:t xml:space="preserve"> </w:t>
      </w:r>
      <w:r>
        <w:rPr>
          <w:sz w:val="24"/>
          <w:szCs w:val="24"/>
          <w:lang w:eastAsia="en-AU"/>
        </w:rPr>
        <w:t xml:space="preserve">clinical resolution was defined as absence of the following 3 clinical signs; </w:t>
      </w:r>
      <w:proofErr w:type="spellStart"/>
      <w:r>
        <w:rPr>
          <w:sz w:val="24"/>
          <w:szCs w:val="24"/>
          <w:lang w:eastAsia="en-AU"/>
        </w:rPr>
        <w:t>conjunctival</w:t>
      </w:r>
      <w:proofErr w:type="spellEnd"/>
      <w:r w:rsidR="005A459F">
        <w:rPr>
          <w:sz w:val="24"/>
          <w:szCs w:val="24"/>
          <w:lang w:eastAsia="en-AU"/>
        </w:rPr>
        <w:t xml:space="preserve"> </w:t>
      </w:r>
      <w:r>
        <w:rPr>
          <w:sz w:val="24"/>
          <w:szCs w:val="24"/>
          <w:lang w:eastAsia="en-AU"/>
        </w:rPr>
        <w:t xml:space="preserve">discharge, bulbar </w:t>
      </w:r>
      <w:proofErr w:type="spellStart"/>
      <w:r>
        <w:rPr>
          <w:sz w:val="24"/>
          <w:szCs w:val="24"/>
          <w:lang w:eastAsia="en-AU"/>
        </w:rPr>
        <w:t>conjunctival</w:t>
      </w:r>
      <w:proofErr w:type="spellEnd"/>
      <w:r>
        <w:rPr>
          <w:sz w:val="24"/>
          <w:szCs w:val="24"/>
          <w:lang w:eastAsia="en-AU"/>
        </w:rPr>
        <w:t xml:space="preserve"> injection and palpebral </w:t>
      </w:r>
      <w:proofErr w:type="spellStart"/>
      <w:r>
        <w:rPr>
          <w:sz w:val="24"/>
          <w:szCs w:val="24"/>
          <w:lang w:eastAsia="en-AU"/>
        </w:rPr>
        <w:t>conjunctival</w:t>
      </w:r>
      <w:proofErr w:type="spellEnd"/>
      <w:r>
        <w:rPr>
          <w:sz w:val="24"/>
          <w:szCs w:val="24"/>
          <w:lang w:eastAsia="en-AU"/>
        </w:rPr>
        <w:t xml:space="preserve"> injection. Microbial eradication was defined as the absence of all accepted ocular bacterial species</w:t>
      </w:r>
      <w:r w:rsidR="005A459F">
        <w:rPr>
          <w:sz w:val="24"/>
          <w:szCs w:val="24"/>
          <w:lang w:eastAsia="en-AU"/>
        </w:rPr>
        <w:t xml:space="preserve"> </w:t>
      </w:r>
      <w:r>
        <w:rPr>
          <w:sz w:val="24"/>
          <w:szCs w:val="24"/>
          <w:lang w:eastAsia="en-AU"/>
        </w:rPr>
        <w:t>that were present at or above threshold levels at baseline.</w:t>
      </w:r>
      <w:r w:rsidR="005A459F">
        <w:rPr>
          <w:sz w:val="24"/>
          <w:szCs w:val="24"/>
          <w:lang w:eastAsia="en-AU"/>
        </w:rPr>
        <w:t xml:space="preserve"> </w:t>
      </w:r>
      <w:r>
        <w:rPr>
          <w:sz w:val="24"/>
          <w:szCs w:val="24"/>
          <w:lang w:eastAsia="en-AU"/>
        </w:rPr>
        <w:t>Secondary efficacy endpoints included clinical resolution and microbial eradication of</w:t>
      </w:r>
      <w:r w:rsidR="005A459F">
        <w:rPr>
          <w:sz w:val="24"/>
          <w:szCs w:val="24"/>
          <w:lang w:eastAsia="en-AU"/>
        </w:rPr>
        <w:t xml:space="preserve"> </w:t>
      </w:r>
      <w:r>
        <w:rPr>
          <w:sz w:val="24"/>
          <w:szCs w:val="24"/>
          <w:lang w:eastAsia="en-AU"/>
        </w:rPr>
        <w:t>baseline bacterial infection at Visit 2 (Day 4, ± 1 day); individual clinical outcomes at</w:t>
      </w:r>
      <w:r w:rsidR="005A459F">
        <w:rPr>
          <w:sz w:val="24"/>
          <w:szCs w:val="24"/>
          <w:lang w:eastAsia="en-AU"/>
        </w:rPr>
        <w:t xml:space="preserve"> </w:t>
      </w:r>
      <w:r>
        <w:rPr>
          <w:sz w:val="24"/>
          <w:szCs w:val="24"/>
          <w:lang w:eastAsia="en-AU"/>
        </w:rPr>
        <w:t xml:space="preserve">each follow-up visit for ocular discharge, bulbar and palpebral </w:t>
      </w:r>
      <w:proofErr w:type="spellStart"/>
      <w:r>
        <w:rPr>
          <w:sz w:val="24"/>
          <w:szCs w:val="24"/>
          <w:lang w:eastAsia="en-AU"/>
        </w:rPr>
        <w:t>conjunctival</w:t>
      </w:r>
      <w:proofErr w:type="spellEnd"/>
      <w:r>
        <w:rPr>
          <w:sz w:val="24"/>
          <w:szCs w:val="24"/>
          <w:lang w:eastAsia="en-AU"/>
        </w:rPr>
        <w:t xml:space="preserve"> injection,</w:t>
      </w:r>
      <w:r w:rsidR="005A459F">
        <w:rPr>
          <w:sz w:val="24"/>
          <w:szCs w:val="24"/>
          <w:lang w:eastAsia="en-AU"/>
        </w:rPr>
        <w:t xml:space="preserve"> </w:t>
      </w:r>
      <w:r>
        <w:rPr>
          <w:sz w:val="24"/>
          <w:szCs w:val="24"/>
          <w:lang w:eastAsia="en-AU"/>
        </w:rPr>
        <w:t>clinical outcome and Investigator’s global rating; and microbial and clinical outcome at</w:t>
      </w:r>
      <w:r w:rsidR="005A459F">
        <w:rPr>
          <w:sz w:val="24"/>
          <w:szCs w:val="24"/>
          <w:lang w:eastAsia="en-AU"/>
        </w:rPr>
        <w:t xml:space="preserve"> </w:t>
      </w:r>
      <w:r>
        <w:rPr>
          <w:sz w:val="24"/>
          <w:szCs w:val="24"/>
          <w:lang w:eastAsia="en-AU"/>
        </w:rPr>
        <w:t>each follow-up visit for each accepted ocular bacterial species that was present at or</w:t>
      </w:r>
      <w:r w:rsidR="005A459F">
        <w:rPr>
          <w:sz w:val="24"/>
          <w:szCs w:val="24"/>
          <w:lang w:eastAsia="en-AU"/>
        </w:rPr>
        <w:t xml:space="preserve"> </w:t>
      </w:r>
      <w:r>
        <w:rPr>
          <w:sz w:val="24"/>
          <w:szCs w:val="24"/>
          <w:lang w:eastAsia="en-AU"/>
        </w:rPr>
        <w:t>above threshold at baseline.</w:t>
      </w:r>
    </w:p>
    <w:p w:rsidR="00B52D73" w:rsidRDefault="00B52D73" w:rsidP="005A459F">
      <w:pPr>
        <w:autoSpaceDE w:val="0"/>
        <w:autoSpaceDN w:val="0"/>
        <w:adjustRightInd w:val="0"/>
        <w:jc w:val="both"/>
        <w:rPr>
          <w:color w:val="000000"/>
          <w:sz w:val="24"/>
          <w:szCs w:val="24"/>
          <w:lang w:eastAsia="en-AU"/>
        </w:rPr>
      </w:pPr>
    </w:p>
    <w:p w:rsidR="008401EA" w:rsidRDefault="008401EA" w:rsidP="005A459F">
      <w:pPr>
        <w:autoSpaceDE w:val="0"/>
        <w:autoSpaceDN w:val="0"/>
        <w:adjustRightInd w:val="0"/>
        <w:jc w:val="both"/>
        <w:rPr>
          <w:color w:val="000000"/>
          <w:sz w:val="24"/>
          <w:szCs w:val="24"/>
          <w:lang w:eastAsia="en-AU"/>
        </w:rPr>
      </w:pPr>
      <w:r>
        <w:rPr>
          <w:color w:val="000000"/>
          <w:sz w:val="24"/>
          <w:szCs w:val="24"/>
          <w:lang w:eastAsia="en-AU"/>
        </w:rPr>
        <w:t xml:space="preserve">As shown </w:t>
      </w:r>
      <w:r w:rsidRPr="005A459F">
        <w:rPr>
          <w:sz w:val="24"/>
          <w:szCs w:val="24"/>
          <w:lang w:eastAsia="en-AU"/>
        </w:rPr>
        <w:t>in Table 1, when</w:t>
      </w:r>
      <w:r>
        <w:rPr>
          <w:color w:val="000000"/>
          <w:sz w:val="24"/>
          <w:szCs w:val="24"/>
          <w:lang w:eastAsia="en-AU"/>
        </w:rPr>
        <w:t xml:space="preserve"> the last non-missing post-baseline observation was carried</w:t>
      </w:r>
      <w:r w:rsidR="005A459F">
        <w:rPr>
          <w:color w:val="000000"/>
          <w:sz w:val="24"/>
          <w:szCs w:val="24"/>
          <w:lang w:eastAsia="en-AU"/>
        </w:rPr>
        <w:t xml:space="preserve"> </w:t>
      </w:r>
      <w:r>
        <w:rPr>
          <w:color w:val="000000"/>
          <w:sz w:val="24"/>
          <w:szCs w:val="24"/>
          <w:lang w:eastAsia="en-AU"/>
        </w:rPr>
        <w:t xml:space="preserve">forward, 61.7% (37/60) of subjects randomized to </w:t>
      </w:r>
      <w:proofErr w:type="spellStart"/>
      <w:r>
        <w:rPr>
          <w:color w:val="000000"/>
          <w:sz w:val="24"/>
          <w:szCs w:val="24"/>
          <w:lang w:eastAsia="en-AU"/>
        </w:rPr>
        <w:t>besifloxacin</w:t>
      </w:r>
      <w:proofErr w:type="spellEnd"/>
      <w:r>
        <w:rPr>
          <w:color w:val="000000"/>
          <w:sz w:val="24"/>
          <w:szCs w:val="24"/>
          <w:lang w:eastAsia="en-AU"/>
        </w:rPr>
        <w:t xml:space="preserve"> ophthalmic suspension</w:t>
      </w:r>
      <w:r w:rsidR="005A459F">
        <w:rPr>
          <w:color w:val="000000"/>
          <w:sz w:val="24"/>
          <w:szCs w:val="24"/>
          <w:lang w:eastAsia="en-AU"/>
        </w:rPr>
        <w:t xml:space="preserve"> </w:t>
      </w:r>
      <w:r>
        <w:rPr>
          <w:color w:val="000000"/>
          <w:sz w:val="24"/>
          <w:szCs w:val="24"/>
          <w:lang w:eastAsia="en-AU"/>
        </w:rPr>
        <w:t>experienced clinical resolution (based on 3 clinical signs) compared to 35.7% (20/56) of</w:t>
      </w:r>
    </w:p>
    <w:p w:rsidR="008401EA" w:rsidRDefault="008401EA" w:rsidP="005A459F">
      <w:pPr>
        <w:autoSpaceDE w:val="0"/>
        <w:autoSpaceDN w:val="0"/>
        <w:adjustRightInd w:val="0"/>
        <w:jc w:val="both"/>
        <w:rPr>
          <w:color w:val="000000"/>
          <w:sz w:val="24"/>
          <w:szCs w:val="24"/>
          <w:lang w:eastAsia="en-AU"/>
        </w:rPr>
      </w:pPr>
      <w:proofErr w:type="gramStart"/>
      <w:r>
        <w:rPr>
          <w:color w:val="000000"/>
          <w:sz w:val="24"/>
          <w:szCs w:val="24"/>
          <w:lang w:eastAsia="en-AU"/>
        </w:rPr>
        <w:t>subjects</w:t>
      </w:r>
      <w:proofErr w:type="gramEnd"/>
      <w:r>
        <w:rPr>
          <w:color w:val="000000"/>
          <w:sz w:val="24"/>
          <w:szCs w:val="24"/>
          <w:lang w:eastAsia="en-AU"/>
        </w:rPr>
        <w:t xml:space="preserve"> randomized to vehicle at Visit 3. The difference in the proportion of subjects</w:t>
      </w:r>
      <w:r w:rsidR="005A459F">
        <w:rPr>
          <w:color w:val="000000"/>
          <w:sz w:val="24"/>
          <w:szCs w:val="24"/>
          <w:lang w:eastAsia="en-AU"/>
        </w:rPr>
        <w:t xml:space="preserve"> </w:t>
      </w:r>
      <w:r>
        <w:rPr>
          <w:color w:val="000000"/>
          <w:sz w:val="24"/>
          <w:szCs w:val="24"/>
          <w:lang w:eastAsia="en-AU"/>
        </w:rPr>
        <w:t>with clinical resolution at Visit 3 (Day 8, +1 day) between the 2 cohorts was statistically</w:t>
      </w:r>
    </w:p>
    <w:p w:rsidR="008401EA" w:rsidRDefault="008401EA" w:rsidP="005A459F">
      <w:pPr>
        <w:autoSpaceDE w:val="0"/>
        <w:autoSpaceDN w:val="0"/>
        <w:adjustRightInd w:val="0"/>
        <w:jc w:val="both"/>
        <w:rPr>
          <w:color w:val="000000"/>
          <w:sz w:val="24"/>
          <w:szCs w:val="24"/>
          <w:lang w:eastAsia="en-AU"/>
        </w:rPr>
      </w:pPr>
      <w:proofErr w:type="gramStart"/>
      <w:r>
        <w:rPr>
          <w:color w:val="000000"/>
          <w:sz w:val="24"/>
          <w:szCs w:val="24"/>
          <w:lang w:eastAsia="en-AU"/>
        </w:rPr>
        <w:t>significant</w:t>
      </w:r>
      <w:proofErr w:type="gramEnd"/>
      <w:r>
        <w:rPr>
          <w:color w:val="000000"/>
          <w:sz w:val="24"/>
          <w:szCs w:val="24"/>
          <w:lang w:eastAsia="en-AU"/>
        </w:rPr>
        <w:t xml:space="preserve"> when adjusting for </w:t>
      </w:r>
      <w:proofErr w:type="spellStart"/>
      <w:r>
        <w:rPr>
          <w:color w:val="000000"/>
          <w:sz w:val="24"/>
          <w:szCs w:val="24"/>
          <w:lang w:eastAsia="en-AU"/>
        </w:rPr>
        <w:t>center</w:t>
      </w:r>
      <w:proofErr w:type="spellEnd"/>
      <w:r>
        <w:rPr>
          <w:color w:val="000000"/>
          <w:sz w:val="24"/>
          <w:szCs w:val="24"/>
          <w:lang w:eastAsia="en-AU"/>
        </w:rPr>
        <w:t xml:space="preserve"> effects (CMH p=0.0013).</w:t>
      </w:r>
    </w:p>
    <w:p w:rsidR="007C4CEC" w:rsidRDefault="008401EA" w:rsidP="005A459F">
      <w:pPr>
        <w:autoSpaceDE w:val="0"/>
        <w:autoSpaceDN w:val="0"/>
        <w:adjustRightInd w:val="0"/>
        <w:jc w:val="both"/>
        <w:rPr>
          <w:rFonts w:ascii="Arial" w:hAnsi="Arial" w:cs="Arial"/>
          <w:b/>
          <w:bCs/>
          <w:sz w:val="22"/>
          <w:szCs w:val="22"/>
          <w:lang w:eastAsia="en-AU"/>
        </w:rPr>
      </w:pPr>
      <w:r>
        <w:rPr>
          <w:color w:val="000000"/>
          <w:sz w:val="24"/>
          <w:szCs w:val="24"/>
          <w:lang w:eastAsia="en-AU"/>
        </w:rPr>
        <w:t xml:space="preserve"> </w:t>
      </w:r>
    </w:p>
    <w:p w:rsidR="008401EA" w:rsidRPr="005A459F" w:rsidRDefault="008401EA" w:rsidP="005A459F">
      <w:pPr>
        <w:autoSpaceDE w:val="0"/>
        <w:autoSpaceDN w:val="0"/>
        <w:adjustRightInd w:val="0"/>
        <w:jc w:val="both"/>
        <w:rPr>
          <w:rFonts w:ascii="Arial" w:hAnsi="Arial" w:cs="Arial"/>
          <w:color w:val="000000"/>
          <w:sz w:val="22"/>
          <w:szCs w:val="22"/>
          <w:lang w:eastAsia="en-AU"/>
        </w:rPr>
      </w:pPr>
      <w:r w:rsidRPr="005A459F">
        <w:rPr>
          <w:rFonts w:ascii="Arial" w:hAnsi="Arial" w:cs="Arial"/>
          <w:b/>
          <w:bCs/>
          <w:sz w:val="22"/>
          <w:szCs w:val="22"/>
          <w:lang w:eastAsia="en-AU"/>
        </w:rPr>
        <w:t>Table 1: Clinical Resolution at Visit 3, Study Eyes, Study 373 ITT Population</w:t>
      </w:r>
    </w:p>
    <w:p w:rsidR="00A31F6C" w:rsidRDefault="00567FF6" w:rsidP="005A459F">
      <w:pPr>
        <w:autoSpaceDE w:val="0"/>
        <w:autoSpaceDN w:val="0"/>
        <w:adjustRightInd w:val="0"/>
        <w:jc w:val="both"/>
        <w:rPr>
          <w:color w:val="000000"/>
          <w:sz w:val="24"/>
          <w:szCs w:val="24"/>
          <w:lang w:eastAsia="en-AU"/>
        </w:rPr>
      </w:pPr>
      <w:r>
        <w:rPr>
          <w:noProof/>
          <w:color w:val="000000"/>
          <w:sz w:val="24"/>
          <w:szCs w:val="24"/>
          <w:lang w:eastAsia="en-AU"/>
        </w:rPr>
        <w:drawing>
          <wp:inline distT="0" distB="0" distL="0" distR="0">
            <wp:extent cx="4944110" cy="2009775"/>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4110" cy="2009775"/>
                    </a:xfrm>
                    <a:prstGeom prst="rect">
                      <a:avLst/>
                    </a:prstGeom>
                    <a:noFill/>
                    <a:ln>
                      <a:noFill/>
                    </a:ln>
                  </pic:spPr>
                </pic:pic>
              </a:graphicData>
            </a:graphic>
          </wp:inline>
        </w:drawing>
      </w:r>
    </w:p>
    <w:p w:rsidR="00A31F6C" w:rsidRPr="008401EA" w:rsidRDefault="00A31F6C" w:rsidP="005A459F">
      <w:pPr>
        <w:autoSpaceDE w:val="0"/>
        <w:autoSpaceDN w:val="0"/>
        <w:adjustRightInd w:val="0"/>
        <w:jc w:val="both"/>
        <w:rPr>
          <w:color w:val="000000"/>
          <w:sz w:val="24"/>
          <w:szCs w:val="24"/>
          <w:lang w:eastAsia="en-AU"/>
        </w:rPr>
      </w:pPr>
    </w:p>
    <w:p w:rsidR="00A31F6C" w:rsidRDefault="00940545" w:rsidP="005A459F">
      <w:pPr>
        <w:autoSpaceDE w:val="0"/>
        <w:autoSpaceDN w:val="0"/>
        <w:adjustRightInd w:val="0"/>
        <w:jc w:val="both"/>
        <w:rPr>
          <w:color w:val="000000"/>
          <w:sz w:val="24"/>
          <w:szCs w:val="24"/>
          <w:lang w:eastAsia="en-AU"/>
        </w:rPr>
      </w:pPr>
      <w:r>
        <w:rPr>
          <w:color w:val="000000"/>
          <w:sz w:val="24"/>
          <w:szCs w:val="24"/>
          <w:lang w:eastAsia="en-AU"/>
        </w:rPr>
        <w:lastRenderedPageBreak/>
        <w:t>At Visit 3 (Day 8, +1 day), when the last non-missing post-baseline observation was</w:t>
      </w:r>
      <w:r w:rsidR="005A459F">
        <w:rPr>
          <w:color w:val="000000"/>
          <w:sz w:val="24"/>
          <w:szCs w:val="24"/>
          <w:lang w:eastAsia="en-AU"/>
        </w:rPr>
        <w:t xml:space="preserve"> </w:t>
      </w:r>
      <w:r>
        <w:rPr>
          <w:color w:val="000000"/>
          <w:sz w:val="24"/>
          <w:szCs w:val="24"/>
          <w:lang w:eastAsia="en-AU"/>
        </w:rPr>
        <w:t xml:space="preserve">carried forward, 90.0% (54/60) of subjects randomized to </w:t>
      </w:r>
      <w:proofErr w:type="spellStart"/>
      <w:r>
        <w:rPr>
          <w:color w:val="000000"/>
          <w:sz w:val="24"/>
          <w:szCs w:val="24"/>
          <w:lang w:eastAsia="en-AU"/>
        </w:rPr>
        <w:t>besifloxacin</w:t>
      </w:r>
      <w:proofErr w:type="spellEnd"/>
      <w:r>
        <w:rPr>
          <w:color w:val="000000"/>
          <w:sz w:val="24"/>
          <w:szCs w:val="24"/>
          <w:lang w:eastAsia="en-AU"/>
        </w:rPr>
        <w:t xml:space="preserve"> ophthalmic</w:t>
      </w:r>
      <w:r w:rsidR="005A459F">
        <w:rPr>
          <w:color w:val="000000"/>
          <w:sz w:val="24"/>
          <w:szCs w:val="24"/>
          <w:lang w:eastAsia="en-AU"/>
        </w:rPr>
        <w:t xml:space="preserve"> </w:t>
      </w:r>
      <w:r>
        <w:rPr>
          <w:color w:val="000000"/>
          <w:sz w:val="24"/>
          <w:szCs w:val="24"/>
          <w:lang w:eastAsia="en-AU"/>
        </w:rPr>
        <w:t>suspension experienced microbial eradication compared to 69.1% (38/55) of subjects</w:t>
      </w:r>
      <w:r w:rsidR="005A459F">
        <w:rPr>
          <w:color w:val="000000"/>
          <w:sz w:val="24"/>
          <w:szCs w:val="24"/>
          <w:lang w:eastAsia="en-AU"/>
        </w:rPr>
        <w:t xml:space="preserve"> </w:t>
      </w:r>
      <w:r>
        <w:rPr>
          <w:color w:val="000000"/>
          <w:sz w:val="24"/>
          <w:szCs w:val="24"/>
          <w:lang w:eastAsia="en-AU"/>
        </w:rPr>
        <w:t>randomized to vehicle (</w:t>
      </w:r>
      <w:r w:rsidRPr="005A459F">
        <w:rPr>
          <w:color w:val="000000"/>
          <w:sz w:val="24"/>
          <w:szCs w:val="24"/>
          <w:lang w:eastAsia="en-AU"/>
        </w:rPr>
        <w:t>Table 2</w:t>
      </w:r>
      <w:r>
        <w:rPr>
          <w:color w:val="000000"/>
          <w:sz w:val="24"/>
          <w:szCs w:val="24"/>
          <w:lang w:eastAsia="en-AU"/>
        </w:rPr>
        <w:t>). The difference in the proportion of subjects with</w:t>
      </w:r>
      <w:r w:rsidR="005A459F">
        <w:rPr>
          <w:color w:val="000000"/>
          <w:sz w:val="24"/>
          <w:szCs w:val="24"/>
          <w:lang w:eastAsia="en-AU"/>
        </w:rPr>
        <w:t xml:space="preserve"> </w:t>
      </w:r>
      <w:r>
        <w:rPr>
          <w:sz w:val="24"/>
          <w:szCs w:val="24"/>
          <w:lang w:eastAsia="en-AU"/>
        </w:rPr>
        <w:t xml:space="preserve">bacterial eradication at Visit 3 between the 2 cohorts was statistically significant when adjusting for </w:t>
      </w:r>
      <w:proofErr w:type="spellStart"/>
      <w:r>
        <w:rPr>
          <w:sz w:val="24"/>
          <w:szCs w:val="24"/>
          <w:lang w:eastAsia="en-AU"/>
        </w:rPr>
        <w:t>center</w:t>
      </w:r>
      <w:proofErr w:type="spellEnd"/>
      <w:r>
        <w:rPr>
          <w:sz w:val="24"/>
          <w:szCs w:val="24"/>
          <w:lang w:eastAsia="en-AU"/>
        </w:rPr>
        <w:t xml:space="preserve"> effects (CMH p=0.0041).</w:t>
      </w:r>
    </w:p>
    <w:p w:rsidR="00A31F6C" w:rsidRDefault="00A31F6C" w:rsidP="005A459F">
      <w:pPr>
        <w:autoSpaceDE w:val="0"/>
        <w:autoSpaceDN w:val="0"/>
        <w:adjustRightInd w:val="0"/>
        <w:jc w:val="both"/>
        <w:rPr>
          <w:color w:val="000000"/>
          <w:sz w:val="24"/>
          <w:szCs w:val="24"/>
          <w:lang w:eastAsia="en-AU"/>
        </w:rPr>
      </w:pPr>
    </w:p>
    <w:p w:rsidR="00A31F6C" w:rsidRPr="005A459F" w:rsidRDefault="00940545" w:rsidP="005A459F">
      <w:pPr>
        <w:autoSpaceDE w:val="0"/>
        <w:autoSpaceDN w:val="0"/>
        <w:adjustRightInd w:val="0"/>
        <w:jc w:val="both"/>
        <w:rPr>
          <w:rFonts w:ascii="Arial" w:hAnsi="Arial" w:cs="Arial"/>
          <w:color w:val="000000"/>
          <w:sz w:val="22"/>
          <w:szCs w:val="22"/>
          <w:lang w:eastAsia="en-AU"/>
        </w:rPr>
      </w:pPr>
      <w:r w:rsidRPr="005A459F">
        <w:rPr>
          <w:rFonts w:ascii="Arial" w:hAnsi="Arial" w:cs="Arial"/>
          <w:b/>
          <w:bCs/>
          <w:sz w:val="22"/>
          <w:szCs w:val="22"/>
          <w:lang w:eastAsia="en-AU"/>
        </w:rPr>
        <w:t>Table 2: Microbial Eradication at Visit 3, Study Eyes, Study 373 ITT Population</w:t>
      </w:r>
    </w:p>
    <w:p w:rsidR="00A31F6C" w:rsidRPr="00940545" w:rsidRDefault="00567FF6" w:rsidP="005A459F">
      <w:pPr>
        <w:autoSpaceDE w:val="0"/>
        <w:autoSpaceDN w:val="0"/>
        <w:adjustRightInd w:val="0"/>
        <w:jc w:val="both"/>
        <w:rPr>
          <w:color w:val="000000"/>
          <w:sz w:val="24"/>
          <w:szCs w:val="24"/>
          <w:lang w:eastAsia="en-AU"/>
        </w:rPr>
      </w:pPr>
      <w:r>
        <w:rPr>
          <w:noProof/>
          <w:color w:val="000000"/>
          <w:sz w:val="24"/>
          <w:szCs w:val="24"/>
          <w:lang w:eastAsia="en-AU"/>
        </w:rPr>
        <w:drawing>
          <wp:inline distT="0" distB="0" distL="0" distR="0">
            <wp:extent cx="4795520" cy="158432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5520" cy="1584325"/>
                    </a:xfrm>
                    <a:prstGeom prst="rect">
                      <a:avLst/>
                    </a:prstGeom>
                    <a:noFill/>
                    <a:ln>
                      <a:noFill/>
                    </a:ln>
                  </pic:spPr>
                </pic:pic>
              </a:graphicData>
            </a:graphic>
          </wp:inline>
        </w:drawing>
      </w:r>
    </w:p>
    <w:p w:rsidR="00A31F6C" w:rsidRDefault="00A31F6C" w:rsidP="005A459F">
      <w:pPr>
        <w:autoSpaceDE w:val="0"/>
        <w:autoSpaceDN w:val="0"/>
        <w:adjustRightInd w:val="0"/>
        <w:jc w:val="both"/>
        <w:rPr>
          <w:color w:val="000000"/>
          <w:sz w:val="24"/>
          <w:szCs w:val="24"/>
          <w:lang w:eastAsia="en-AU"/>
        </w:rPr>
      </w:pPr>
    </w:p>
    <w:p w:rsidR="00A31F6C" w:rsidRDefault="00A31F6C" w:rsidP="005A459F">
      <w:pPr>
        <w:autoSpaceDE w:val="0"/>
        <w:autoSpaceDN w:val="0"/>
        <w:adjustRightInd w:val="0"/>
        <w:jc w:val="both"/>
        <w:rPr>
          <w:b/>
          <w:i/>
          <w:color w:val="000000"/>
          <w:sz w:val="24"/>
          <w:szCs w:val="24"/>
          <w:u w:val="single"/>
          <w:lang w:eastAsia="en-AU"/>
        </w:rPr>
      </w:pPr>
      <w:r w:rsidRPr="00A31F6C">
        <w:rPr>
          <w:b/>
          <w:i/>
          <w:color w:val="000000"/>
          <w:sz w:val="24"/>
          <w:szCs w:val="24"/>
          <w:u w:val="single"/>
          <w:lang w:eastAsia="en-AU"/>
        </w:rPr>
        <w:t>Study 433</w:t>
      </w:r>
    </w:p>
    <w:p w:rsidR="00476146" w:rsidRDefault="00EE17FF" w:rsidP="005A459F">
      <w:pPr>
        <w:autoSpaceDE w:val="0"/>
        <w:autoSpaceDN w:val="0"/>
        <w:adjustRightInd w:val="0"/>
        <w:jc w:val="both"/>
        <w:rPr>
          <w:sz w:val="24"/>
          <w:szCs w:val="24"/>
          <w:lang w:eastAsia="en-AU"/>
        </w:rPr>
      </w:pPr>
      <w:r>
        <w:rPr>
          <w:sz w:val="24"/>
          <w:szCs w:val="24"/>
          <w:lang w:eastAsia="en-AU"/>
        </w:rPr>
        <w:t xml:space="preserve">Study 433 was similar in design to Study 373. </w:t>
      </w:r>
      <w:r w:rsidR="005A459F">
        <w:rPr>
          <w:sz w:val="24"/>
          <w:szCs w:val="24"/>
          <w:lang w:eastAsia="en-AU"/>
        </w:rPr>
        <w:t xml:space="preserve"> </w:t>
      </w:r>
      <w:r>
        <w:rPr>
          <w:color w:val="000000"/>
          <w:sz w:val="24"/>
          <w:szCs w:val="24"/>
          <w:lang w:eastAsia="en-AU"/>
        </w:rPr>
        <w:t>The primary efficacy endpoints of the study were clinical resolution, defined as the</w:t>
      </w:r>
      <w:r w:rsidR="005A459F">
        <w:rPr>
          <w:color w:val="000000"/>
          <w:sz w:val="24"/>
          <w:szCs w:val="24"/>
          <w:lang w:eastAsia="en-AU"/>
        </w:rPr>
        <w:t xml:space="preserve"> </w:t>
      </w:r>
      <w:r>
        <w:rPr>
          <w:color w:val="000000"/>
          <w:sz w:val="24"/>
          <w:szCs w:val="24"/>
          <w:lang w:eastAsia="en-AU"/>
        </w:rPr>
        <w:t xml:space="preserve">absence of both </w:t>
      </w:r>
      <w:proofErr w:type="spellStart"/>
      <w:r>
        <w:rPr>
          <w:color w:val="000000"/>
          <w:sz w:val="24"/>
          <w:szCs w:val="24"/>
          <w:lang w:eastAsia="en-AU"/>
        </w:rPr>
        <w:t>conjunctival</w:t>
      </w:r>
      <w:proofErr w:type="spellEnd"/>
      <w:r>
        <w:rPr>
          <w:color w:val="000000"/>
          <w:sz w:val="24"/>
          <w:szCs w:val="24"/>
          <w:lang w:eastAsia="en-AU"/>
        </w:rPr>
        <w:t xml:space="preserve"> discharge and bulbar </w:t>
      </w:r>
      <w:proofErr w:type="spellStart"/>
      <w:r>
        <w:rPr>
          <w:color w:val="000000"/>
          <w:sz w:val="24"/>
          <w:szCs w:val="24"/>
          <w:lang w:eastAsia="en-AU"/>
        </w:rPr>
        <w:t>conjunctival</w:t>
      </w:r>
      <w:proofErr w:type="spellEnd"/>
      <w:r>
        <w:rPr>
          <w:color w:val="000000"/>
          <w:sz w:val="24"/>
          <w:szCs w:val="24"/>
          <w:lang w:eastAsia="en-AU"/>
        </w:rPr>
        <w:t xml:space="preserve"> injection, at Visit 2 and; microbial eradication, defined as the absence of all accepted ocular bacterial species that were present at or above threshold at baseline, at Visit 2. Secondary efficacy endpoints were clinical resolution and microbial eradication at Visit 3 (Day 8); individual clinical outcomes at each follow-up visit for ocular discharge, bulbar </w:t>
      </w:r>
      <w:proofErr w:type="spellStart"/>
      <w:r>
        <w:rPr>
          <w:color w:val="000000"/>
          <w:sz w:val="24"/>
          <w:szCs w:val="24"/>
          <w:lang w:eastAsia="en-AU"/>
        </w:rPr>
        <w:t>conjunctival</w:t>
      </w:r>
      <w:proofErr w:type="spellEnd"/>
      <w:r>
        <w:rPr>
          <w:color w:val="000000"/>
          <w:sz w:val="24"/>
          <w:szCs w:val="24"/>
          <w:lang w:eastAsia="en-AU"/>
        </w:rPr>
        <w:t xml:space="preserve"> injection, clinical outcome and Investigator’s global rating; and microbial and clinical outcome at each follow-up visit for each accepted ocular bacterial species that was present at or above threshold at baseline.</w:t>
      </w:r>
      <w:r w:rsidR="005A459F">
        <w:rPr>
          <w:color w:val="000000"/>
          <w:sz w:val="24"/>
          <w:szCs w:val="24"/>
          <w:lang w:eastAsia="en-AU"/>
        </w:rPr>
        <w:t xml:space="preserve"> </w:t>
      </w:r>
    </w:p>
    <w:p w:rsidR="00940545" w:rsidRPr="00A31F6C" w:rsidRDefault="00940545" w:rsidP="005A459F">
      <w:pPr>
        <w:autoSpaceDE w:val="0"/>
        <w:autoSpaceDN w:val="0"/>
        <w:adjustRightInd w:val="0"/>
        <w:jc w:val="both"/>
        <w:rPr>
          <w:b/>
          <w:i/>
          <w:color w:val="000000"/>
          <w:sz w:val="24"/>
          <w:szCs w:val="24"/>
          <w:u w:val="single"/>
          <w:lang w:eastAsia="en-AU"/>
        </w:rPr>
      </w:pPr>
    </w:p>
    <w:p w:rsidR="00A31F6C" w:rsidRDefault="00A31F6C" w:rsidP="005A459F">
      <w:pPr>
        <w:autoSpaceDE w:val="0"/>
        <w:autoSpaceDN w:val="0"/>
        <w:adjustRightInd w:val="0"/>
        <w:jc w:val="both"/>
        <w:rPr>
          <w:sz w:val="24"/>
          <w:szCs w:val="24"/>
          <w:lang w:eastAsia="en-AU"/>
        </w:rPr>
      </w:pPr>
      <w:r>
        <w:rPr>
          <w:sz w:val="24"/>
          <w:szCs w:val="24"/>
          <w:lang w:eastAsia="en-AU"/>
        </w:rPr>
        <w:t xml:space="preserve">Table </w:t>
      </w:r>
      <w:r w:rsidR="00940545">
        <w:rPr>
          <w:sz w:val="24"/>
          <w:szCs w:val="24"/>
          <w:lang w:eastAsia="en-AU"/>
        </w:rPr>
        <w:t>3</w:t>
      </w:r>
      <w:r>
        <w:rPr>
          <w:sz w:val="24"/>
          <w:szCs w:val="24"/>
          <w:lang w:eastAsia="en-AU"/>
        </w:rPr>
        <w:t xml:space="preserve"> presents the primary efficacy endpoint data for clinical resolution evaluated on</w:t>
      </w:r>
      <w:r w:rsidR="005A459F">
        <w:rPr>
          <w:sz w:val="24"/>
          <w:szCs w:val="24"/>
          <w:lang w:eastAsia="en-AU"/>
        </w:rPr>
        <w:t xml:space="preserve"> </w:t>
      </w:r>
      <w:r>
        <w:rPr>
          <w:sz w:val="24"/>
          <w:szCs w:val="24"/>
          <w:lang w:eastAsia="en-AU"/>
        </w:rPr>
        <w:t xml:space="preserve">the baseline-designated study eye, </w:t>
      </w:r>
      <w:proofErr w:type="spellStart"/>
      <w:r>
        <w:rPr>
          <w:sz w:val="24"/>
          <w:szCs w:val="24"/>
          <w:lang w:eastAsia="en-AU"/>
        </w:rPr>
        <w:t>mITT</w:t>
      </w:r>
      <w:proofErr w:type="spellEnd"/>
      <w:r>
        <w:rPr>
          <w:sz w:val="24"/>
          <w:szCs w:val="24"/>
          <w:lang w:eastAsia="en-AU"/>
        </w:rPr>
        <w:t xml:space="preserve"> population ‘as randomized’. At Visit 2 (Day 5, ±</w:t>
      </w:r>
    </w:p>
    <w:p w:rsidR="00A31F6C" w:rsidRDefault="00A31F6C" w:rsidP="005A459F">
      <w:pPr>
        <w:autoSpaceDE w:val="0"/>
        <w:autoSpaceDN w:val="0"/>
        <w:adjustRightInd w:val="0"/>
        <w:jc w:val="both"/>
        <w:rPr>
          <w:sz w:val="24"/>
          <w:szCs w:val="24"/>
          <w:lang w:eastAsia="en-AU"/>
        </w:rPr>
      </w:pPr>
      <w:r>
        <w:rPr>
          <w:sz w:val="24"/>
          <w:szCs w:val="24"/>
          <w:lang w:eastAsia="en-AU"/>
        </w:rPr>
        <w:t>1 day), when missing values a</w:t>
      </w:r>
      <w:r w:rsidR="005A459F">
        <w:rPr>
          <w:sz w:val="24"/>
          <w:szCs w:val="24"/>
          <w:lang w:eastAsia="en-AU"/>
        </w:rPr>
        <w:t xml:space="preserve">nd discontinued subjects were </w:t>
      </w:r>
      <w:r w:rsidR="006B2C62">
        <w:rPr>
          <w:sz w:val="24"/>
          <w:szCs w:val="24"/>
          <w:lang w:eastAsia="en-AU"/>
        </w:rPr>
        <w:t>imput</w:t>
      </w:r>
      <w:r>
        <w:rPr>
          <w:sz w:val="24"/>
          <w:szCs w:val="24"/>
          <w:lang w:eastAsia="en-AU"/>
        </w:rPr>
        <w:t>ed as clinical</w:t>
      </w:r>
      <w:r w:rsidR="005A459F">
        <w:rPr>
          <w:sz w:val="24"/>
          <w:szCs w:val="24"/>
          <w:lang w:eastAsia="en-AU"/>
        </w:rPr>
        <w:t xml:space="preserve"> </w:t>
      </w:r>
      <w:r>
        <w:rPr>
          <w:sz w:val="24"/>
          <w:szCs w:val="24"/>
          <w:lang w:eastAsia="en-AU"/>
        </w:rPr>
        <w:t>resolution failures, 45.2% (90/199) and 33.0% (63/191) of subjects randomized to the</w:t>
      </w:r>
      <w:r w:rsidR="001C1C9C">
        <w:rPr>
          <w:sz w:val="24"/>
          <w:szCs w:val="24"/>
          <w:lang w:eastAsia="en-AU"/>
        </w:rPr>
        <w:t xml:space="preserve"> </w:t>
      </w:r>
      <w:proofErr w:type="spellStart"/>
      <w:r>
        <w:rPr>
          <w:sz w:val="24"/>
          <w:szCs w:val="24"/>
          <w:lang w:eastAsia="en-AU"/>
        </w:rPr>
        <w:t>besifloxacin</w:t>
      </w:r>
      <w:proofErr w:type="spellEnd"/>
      <w:r>
        <w:rPr>
          <w:sz w:val="24"/>
          <w:szCs w:val="24"/>
          <w:lang w:eastAsia="en-AU"/>
        </w:rPr>
        <w:t xml:space="preserve"> ophthalmic suspension and vehicle treatment groups respectively had</w:t>
      </w:r>
      <w:r w:rsidR="005A459F">
        <w:rPr>
          <w:sz w:val="24"/>
          <w:szCs w:val="24"/>
          <w:lang w:eastAsia="en-AU"/>
        </w:rPr>
        <w:t xml:space="preserve"> </w:t>
      </w:r>
      <w:r>
        <w:rPr>
          <w:sz w:val="24"/>
          <w:szCs w:val="24"/>
          <w:lang w:eastAsia="en-AU"/>
        </w:rPr>
        <w:t>clinical resolution. The difference between treatment groups was statistically significant,</w:t>
      </w:r>
      <w:r w:rsidR="005A459F">
        <w:rPr>
          <w:sz w:val="24"/>
          <w:szCs w:val="24"/>
          <w:lang w:eastAsia="en-AU"/>
        </w:rPr>
        <w:t xml:space="preserve"> </w:t>
      </w:r>
      <w:r>
        <w:rPr>
          <w:sz w:val="24"/>
          <w:szCs w:val="24"/>
          <w:lang w:eastAsia="en-AU"/>
        </w:rPr>
        <w:t xml:space="preserve">whether adjusting for </w:t>
      </w:r>
      <w:proofErr w:type="spellStart"/>
      <w:r>
        <w:rPr>
          <w:sz w:val="24"/>
          <w:szCs w:val="24"/>
          <w:lang w:eastAsia="en-AU"/>
        </w:rPr>
        <w:t>center</w:t>
      </w:r>
      <w:proofErr w:type="spellEnd"/>
      <w:r>
        <w:rPr>
          <w:sz w:val="24"/>
          <w:szCs w:val="24"/>
          <w:lang w:eastAsia="en-AU"/>
        </w:rPr>
        <w:t xml:space="preserve"> effects, CMH p=0.0084 or not, exact Pearson chi-squared</w:t>
      </w:r>
      <w:r w:rsidR="005A459F">
        <w:rPr>
          <w:sz w:val="24"/>
          <w:szCs w:val="24"/>
          <w:lang w:eastAsia="en-AU"/>
        </w:rPr>
        <w:t xml:space="preserve"> </w:t>
      </w:r>
      <w:r>
        <w:rPr>
          <w:sz w:val="24"/>
          <w:szCs w:val="24"/>
          <w:lang w:eastAsia="en-AU"/>
        </w:rPr>
        <w:t>p=0.0169.</w:t>
      </w:r>
    </w:p>
    <w:p w:rsidR="00A31F6C" w:rsidRDefault="00A31F6C" w:rsidP="005A459F">
      <w:pPr>
        <w:autoSpaceDE w:val="0"/>
        <w:autoSpaceDN w:val="0"/>
        <w:adjustRightInd w:val="0"/>
        <w:jc w:val="both"/>
        <w:rPr>
          <w:color w:val="000000"/>
          <w:sz w:val="24"/>
          <w:szCs w:val="24"/>
          <w:lang w:eastAsia="en-AU"/>
        </w:rPr>
      </w:pPr>
    </w:p>
    <w:p w:rsidR="00827A18" w:rsidRDefault="00827A18" w:rsidP="005A459F">
      <w:pPr>
        <w:autoSpaceDE w:val="0"/>
        <w:autoSpaceDN w:val="0"/>
        <w:adjustRightInd w:val="0"/>
        <w:jc w:val="both"/>
        <w:rPr>
          <w:rFonts w:ascii="Arial" w:hAnsi="Arial" w:cs="Arial"/>
          <w:b/>
          <w:color w:val="000000"/>
          <w:sz w:val="22"/>
          <w:szCs w:val="22"/>
          <w:lang w:eastAsia="en-AU"/>
        </w:rPr>
      </w:pPr>
    </w:p>
    <w:p w:rsidR="00827A18" w:rsidRPr="005A459F" w:rsidRDefault="00827A18" w:rsidP="00827A18">
      <w:pPr>
        <w:autoSpaceDE w:val="0"/>
        <w:autoSpaceDN w:val="0"/>
        <w:adjustRightInd w:val="0"/>
        <w:jc w:val="both"/>
        <w:rPr>
          <w:color w:val="808080"/>
          <w:sz w:val="24"/>
          <w:szCs w:val="24"/>
          <w:lang w:eastAsia="en-AU"/>
        </w:rPr>
      </w:pPr>
      <w:r>
        <w:rPr>
          <w:color w:val="808080"/>
          <w:sz w:val="24"/>
          <w:szCs w:val="24"/>
          <w:lang w:eastAsia="en-AU"/>
        </w:rPr>
        <w:t>[Table 3</w:t>
      </w:r>
      <w:r w:rsidRPr="005A459F">
        <w:rPr>
          <w:color w:val="808080"/>
          <w:sz w:val="24"/>
          <w:szCs w:val="24"/>
          <w:lang w:eastAsia="en-AU"/>
        </w:rPr>
        <w:t xml:space="preserve"> next page] </w:t>
      </w:r>
    </w:p>
    <w:p w:rsidR="00A31F6C" w:rsidRPr="00A31F6C" w:rsidRDefault="00827A18" w:rsidP="005A459F">
      <w:pPr>
        <w:autoSpaceDE w:val="0"/>
        <w:autoSpaceDN w:val="0"/>
        <w:adjustRightInd w:val="0"/>
        <w:jc w:val="both"/>
        <w:rPr>
          <w:rFonts w:ascii="Arial" w:hAnsi="Arial" w:cs="Arial"/>
          <w:b/>
          <w:color w:val="000000"/>
          <w:sz w:val="22"/>
          <w:szCs w:val="22"/>
          <w:lang w:eastAsia="en-AU"/>
        </w:rPr>
      </w:pPr>
      <w:r>
        <w:rPr>
          <w:rFonts w:ascii="Arial" w:hAnsi="Arial" w:cs="Arial"/>
          <w:b/>
          <w:color w:val="000000"/>
          <w:sz w:val="22"/>
          <w:szCs w:val="22"/>
          <w:lang w:eastAsia="en-AU"/>
        </w:rPr>
        <w:br w:type="page"/>
      </w:r>
      <w:r w:rsidR="00A31F6C" w:rsidRPr="00A31F6C">
        <w:rPr>
          <w:rFonts w:ascii="Arial" w:hAnsi="Arial" w:cs="Arial"/>
          <w:b/>
          <w:color w:val="000000"/>
          <w:sz w:val="22"/>
          <w:szCs w:val="22"/>
          <w:lang w:eastAsia="en-AU"/>
        </w:rPr>
        <w:lastRenderedPageBreak/>
        <w:t xml:space="preserve">Table </w:t>
      </w:r>
      <w:r w:rsidR="00940545">
        <w:rPr>
          <w:rFonts w:ascii="Arial" w:hAnsi="Arial" w:cs="Arial"/>
          <w:b/>
          <w:color w:val="000000"/>
          <w:sz w:val="22"/>
          <w:szCs w:val="22"/>
          <w:lang w:eastAsia="en-AU"/>
        </w:rPr>
        <w:t>3</w:t>
      </w:r>
      <w:r w:rsidR="00A31F6C" w:rsidRPr="00A31F6C">
        <w:rPr>
          <w:rFonts w:ascii="Arial" w:hAnsi="Arial" w:cs="Arial"/>
          <w:b/>
          <w:color w:val="000000"/>
          <w:sz w:val="22"/>
          <w:szCs w:val="22"/>
          <w:lang w:eastAsia="en-AU"/>
        </w:rPr>
        <w:t xml:space="preserve"> Clinical resolution at Visit 2, study eyes, St</w:t>
      </w:r>
      <w:r w:rsidR="005A459F">
        <w:rPr>
          <w:rFonts w:ascii="Arial" w:hAnsi="Arial" w:cs="Arial"/>
          <w:b/>
          <w:color w:val="000000"/>
          <w:sz w:val="22"/>
          <w:szCs w:val="22"/>
          <w:lang w:eastAsia="en-AU"/>
        </w:rPr>
        <w:t xml:space="preserve">udy 433 </w:t>
      </w:r>
      <w:proofErr w:type="spellStart"/>
      <w:r w:rsidR="005A459F">
        <w:rPr>
          <w:rFonts w:ascii="Arial" w:hAnsi="Arial" w:cs="Arial"/>
          <w:b/>
          <w:color w:val="000000"/>
          <w:sz w:val="22"/>
          <w:szCs w:val="22"/>
          <w:lang w:eastAsia="en-AU"/>
        </w:rPr>
        <w:t>mITT</w:t>
      </w:r>
      <w:proofErr w:type="spellEnd"/>
      <w:r w:rsidR="005A459F">
        <w:rPr>
          <w:rFonts w:ascii="Arial" w:hAnsi="Arial" w:cs="Arial"/>
          <w:b/>
          <w:color w:val="000000"/>
          <w:sz w:val="22"/>
          <w:szCs w:val="22"/>
          <w:lang w:eastAsia="en-AU"/>
        </w:rPr>
        <w:t xml:space="preserve"> “as randomized” Popu</w:t>
      </w:r>
      <w:r w:rsidR="00A31F6C" w:rsidRPr="00A31F6C">
        <w:rPr>
          <w:rFonts w:ascii="Arial" w:hAnsi="Arial" w:cs="Arial"/>
          <w:b/>
          <w:color w:val="000000"/>
          <w:sz w:val="22"/>
          <w:szCs w:val="22"/>
          <w:lang w:eastAsia="en-AU"/>
        </w:rPr>
        <w:t>lation</w:t>
      </w:r>
    </w:p>
    <w:p w:rsidR="00A31F6C" w:rsidRPr="00A31F6C" w:rsidRDefault="00567FF6" w:rsidP="005A459F">
      <w:pPr>
        <w:autoSpaceDE w:val="0"/>
        <w:autoSpaceDN w:val="0"/>
        <w:adjustRightInd w:val="0"/>
        <w:jc w:val="both"/>
        <w:rPr>
          <w:b/>
          <w:i/>
          <w:color w:val="000000"/>
          <w:sz w:val="24"/>
          <w:szCs w:val="24"/>
          <w:u w:val="single"/>
          <w:lang w:eastAsia="en-AU"/>
        </w:rPr>
      </w:pPr>
      <w:r>
        <w:rPr>
          <w:b/>
          <w:i/>
          <w:noProof/>
          <w:color w:val="000000"/>
          <w:sz w:val="24"/>
          <w:szCs w:val="24"/>
          <w:u w:val="single"/>
          <w:lang w:eastAsia="en-AU"/>
        </w:rPr>
        <w:drawing>
          <wp:inline distT="0" distB="0" distL="0" distR="0">
            <wp:extent cx="5486400" cy="3381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381375"/>
                    </a:xfrm>
                    <a:prstGeom prst="rect">
                      <a:avLst/>
                    </a:prstGeom>
                    <a:noFill/>
                    <a:ln>
                      <a:noFill/>
                    </a:ln>
                  </pic:spPr>
                </pic:pic>
              </a:graphicData>
            </a:graphic>
          </wp:inline>
        </w:drawing>
      </w:r>
    </w:p>
    <w:p w:rsidR="00A31F6C" w:rsidRDefault="00A31F6C" w:rsidP="005A459F">
      <w:pPr>
        <w:autoSpaceDE w:val="0"/>
        <w:autoSpaceDN w:val="0"/>
        <w:adjustRightInd w:val="0"/>
        <w:jc w:val="both"/>
        <w:rPr>
          <w:b/>
          <w:i/>
          <w:color w:val="000000"/>
          <w:sz w:val="24"/>
          <w:szCs w:val="24"/>
          <w:u w:val="single"/>
          <w:lang w:eastAsia="en-AU"/>
        </w:rPr>
      </w:pPr>
    </w:p>
    <w:p w:rsidR="00A31F6C" w:rsidRDefault="00A31F6C" w:rsidP="005A459F">
      <w:pPr>
        <w:autoSpaceDE w:val="0"/>
        <w:autoSpaceDN w:val="0"/>
        <w:adjustRightInd w:val="0"/>
        <w:jc w:val="both"/>
        <w:rPr>
          <w:color w:val="000000"/>
          <w:sz w:val="24"/>
          <w:szCs w:val="24"/>
          <w:lang w:eastAsia="en-AU"/>
        </w:rPr>
      </w:pPr>
      <w:r w:rsidRPr="005A459F">
        <w:rPr>
          <w:color w:val="000000"/>
          <w:sz w:val="24"/>
          <w:szCs w:val="24"/>
          <w:lang w:eastAsia="en-AU"/>
        </w:rPr>
        <w:t>Table</w:t>
      </w:r>
      <w:r w:rsidR="00EE17FF" w:rsidRPr="005A459F">
        <w:rPr>
          <w:color w:val="000000"/>
          <w:sz w:val="24"/>
          <w:szCs w:val="24"/>
          <w:lang w:eastAsia="en-AU"/>
        </w:rPr>
        <w:t xml:space="preserve"> 4</w:t>
      </w:r>
      <w:r w:rsidRPr="005A459F">
        <w:rPr>
          <w:color w:val="000000"/>
          <w:sz w:val="24"/>
          <w:szCs w:val="24"/>
          <w:lang w:eastAsia="en-AU"/>
        </w:rPr>
        <w:t xml:space="preserve"> </w:t>
      </w:r>
      <w:r>
        <w:rPr>
          <w:color w:val="000000"/>
          <w:sz w:val="24"/>
          <w:szCs w:val="24"/>
          <w:lang w:eastAsia="en-AU"/>
        </w:rPr>
        <w:t>presents data for microbial eradication evaluated on the baseline-designated</w:t>
      </w:r>
      <w:r w:rsidR="005A459F">
        <w:rPr>
          <w:color w:val="000000"/>
          <w:sz w:val="24"/>
          <w:szCs w:val="24"/>
          <w:lang w:eastAsia="en-AU"/>
        </w:rPr>
        <w:t xml:space="preserve"> </w:t>
      </w:r>
      <w:r>
        <w:rPr>
          <w:color w:val="000000"/>
          <w:sz w:val="24"/>
          <w:szCs w:val="24"/>
          <w:lang w:eastAsia="en-AU"/>
        </w:rPr>
        <w:t xml:space="preserve">study eye, </w:t>
      </w:r>
      <w:proofErr w:type="spellStart"/>
      <w:r>
        <w:rPr>
          <w:color w:val="000000"/>
          <w:sz w:val="24"/>
          <w:szCs w:val="24"/>
          <w:lang w:eastAsia="en-AU"/>
        </w:rPr>
        <w:t>mITT</w:t>
      </w:r>
      <w:proofErr w:type="spellEnd"/>
      <w:r>
        <w:rPr>
          <w:color w:val="000000"/>
          <w:sz w:val="24"/>
          <w:szCs w:val="24"/>
          <w:lang w:eastAsia="en-AU"/>
        </w:rPr>
        <w:t xml:space="preserve"> population ‘as randomized’. A total of 91.5% (182/199) and 59.7%</w:t>
      </w:r>
      <w:r w:rsidR="005A459F">
        <w:rPr>
          <w:color w:val="000000"/>
          <w:sz w:val="24"/>
          <w:szCs w:val="24"/>
          <w:lang w:eastAsia="en-AU"/>
        </w:rPr>
        <w:t xml:space="preserve"> </w:t>
      </w:r>
      <w:r>
        <w:rPr>
          <w:color w:val="000000"/>
          <w:sz w:val="24"/>
          <w:szCs w:val="24"/>
          <w:lang w:eastAsia="en-AU"/>
        </w:rPr>
        <w:t xml:space="preserve">(114/191) of subjects randomized to the </w:t>
      </w:r>
      <w:proofErr w:type="spellStart"/>
      <w:r>
        <w:rPr>
          <w:color w:val="000000"/>
          <w:sz w:val="24"/>
          <w:szCs w:val="24"/>
          <w:lang w:eastAsia="en-AU"/>
        </w:rPr>
        <w:t>besifloxacin</w:t>
      </w:r>
      <w:proofErr w:type="spellEnd"/>
      <w:r>
        <w:rPr>
          <w:color w:val="000000"/>
          <w:sz w:val="24"/>
          <w:szCs w:val="24"/>
          <w:lang w:eastAsia="en-AU"/>
        </w:rPr>
        <w:t xml:space="preserve"> ophthalmic suspension and vehicle</w:t>
      </w:r>
      <w:r w:rsidR="005A459F">
        <w:rPr>
          <w:color w:val="000000"/>
          <w:sz w:val="24"/>
          <w:szCs w:val="24"/>
          <w:lang w:eastAsia="en-AU"/>
        </w:rPr>
        <w:t xml:space="preserve"> </w:t>
      </w:r>
      <w:r>
        <w:rPr>
          <w:color w:val="000000"/>
          <w:sz w:val="24"/>
          <w:szCs w:val="24"/>
          <w:lang w:eastAsia="en-AU"/>
        </w:rPr>
        <w:t>treatment groups respectively had microbial eradication at Visit 2 (Day 5, ± 1 day), when</w:t>
      </w:r>
      <w:r w:rsidR="005A459F">
        <w:rPr>
          <w:color w:val="000000"/>
          <w:sz w:val="24"/>
          <w:szCs w:val="24"/>
          <w:lang w:eastAsia="en-AU"/>
        </w:rPr>
        <w:t xml:space="preserve"> </w:t>
      </w:r>
      <w:r>
        <w:rPr>
          <w:color w:val="000000"/>
          <w:sz w:val="24"/>
          <w:szCs w:val="24"/>
          <w:lang w:eastAsia="en-AU"/>
        </w:rPr>
        <w:t>missing values a</w:t>
      </w:r>
      <w:r w:rsidR="006B2C62">
        <w:rPr>
          <w:color w:val="000000"/>
          <w:sz w:val="24"/>
          <w:szCs w:val="24"/>
          <w:lang w:eastAsia="en-AU"/>
        </w:rPr>
        <w:t>nd discontinued subjects were imput</w:t>
      </w:r>
      <w:r>
        <w:rPr>
          <w:color w:val="000000"/>
          <w:sz w:val="24"/>
          <w:szCs w:val="24"/>
          <w:lang w:eastAsia="en-AU"/>
        </w:rPr>
        <w:t>ed as microbial eradication failures.</w:t>
      </w:r>
    </w:p>
    <w:p w:rsidR="00A31F6C" w:rsidRDefault="00A31F6C" w:rsidP="005A459F">
      <w:pPr>
        <w:autoSpaceDE w:val="0"/>
        <w:autoSpaceDN w:val="0"/>
        <w:adjustRightInd w:val="0"/>
        <w:jc w:val="both"/>
        <w:rPr>
          <w:color w:val="000000"/>
          <w:sz w:val="24"/>
          <w:szCs w:val="24"/>
          <w:lang w:eastAsia="en-AU"/>
        </w:rPr>
      </w:pPr>
      <w:r>
        <w:rPr>
          <w:color w:val="000000"/>
          <w:sz w:val="24"/>
          <w:szCs w:val="24"/>
          <w:lang w:eastAsia="en-AU"/>
        </w:rPr>
        <w:t>The difference between groups was statistically significant and the p-values were the</w:t>
      </w:r>
      <w:r w:rsidR="005A459F">
        <w:rPr>
          <w:color w:val="000000"/>
          <w:sz w:val="24"/>
          <w:szCs w:val="24"/>
          <w:lang w:eastAsia="en-AU"/>
        </w:rPr>
        <w:t xml:space="preserve"> </w:t>
      </w:r>
      <w:r>
        <w:rPr>
          <w:color w:val="000000"/>
          <w:sz w:val="24"/>
          <w:szCs w:val="24"/>
          <w:lang w:eastAsia="en-AU"/>
        </w:rPr>
        <w:t xml:space="preserve">same whether adjusting for </w:t>
      </w:r>
      <w:proofErr w:type="spellStart"/>
      <w:r>
        <w:rPr>
          <w:color w:val="000000"/>
          <w:sz w:val="24"/>
          <w:szCs w:val="24"/>
          <w:lang w:eastAsia="en-AU"/>
        </w:rPr>
        <w:t>center</w:t>
      </w:r>
      <w:proofErr w:type="spellEnd"/>
      <w:r>
        <w:rPr>
          <w:color w:val="000000"/>
          <w:sz w:val="24"/>
          <w:szCs w:val="24"/>
          <w:lang w:eastAsia="en-AU"/>
        </w:rPr>
        <w:t xml:space="preserve"> effects (CMH) or not, exact Pearson chi-squared,</w:t>
      </w:r>
      <w:r w:rsidR="005A459F">
        <w:rPr>
          <w:color w:val="000000"/>
          <w:sz w:val="24"/>
          <w:szCs w:val="24"/>
          <w:lang w:eastAsia="en-AU"/>
        </w:rPr>
        <w:t xml:space="preserve"> </w:t>
      </w:r>
      <w:r>
        <w:rPr>
          <w:color w:val="000000"/>
          <w:sz w:val="24"/>
          <w:szCs w:val="24"/>
          <w:lang w:eastAsia="en-AU"/>
        </w:rPr>
        <w:t>p&lt;0.0001.</w:t>
      </w:r>
    </w:p>
    <w:p w:rsidR="00A31F6C" w:rsidRDefault="00A31F6C" w:rsidP="005A459F">
      <w:pPr>
        <w:autoSpaceDE w:val="0"/>
        <w:autoSpaceDN w:val="0"/>
        <w:adjustRightInd w:val="0"/>
        <w:jc w:val="both"/>
        <w:rPr>
          <w:color w:val="000000"/>
          <w:sz w:val="24"/>
          <w:szCs w:val="24"/>
          <w:lang w:eastAsia="en-AU"/>
        </w:rPr>
      </w:pPr>
    </w:p>
    <w:p w:rsidR="005A459F" w:rsidRPr="005A459F" w:rsidRDefault="005A459F" w:rsidP="005A459F">
      <w:pPr>
        <w:autoSpaceDE w:val="0"/>
        <w:autoSpaceDN w:val="0"/>
        <w:adjustRightInd w:val="0"/>
        <w:jc w:val="both"/>
        <w:rPr>
          <w:color w:val="808080"/>
          <w:sz w:val="24"/>
          <w:szCs w:val="24"/>
          <w:lang w:eastAsia="en-AU"/>
        </w:rPr>
      </w:pPr>
      <w:r w:rsidRPr="005A459F">
        <w:rPr>
          <w:color w:val="808080"/>
          <w:sz w:val="24"/>
          <w:szCs w:val="24"/>
          <w:lang w:eastAsia="en-AU"/>
        </w:rPr>
        <w:t xml:space="preserve">[Table 4 next page] </w:t>
      </w:r>
    </w:p>
    <w:p w:rsidR="005A459F" w:rsidRDefault="005A459F" w:rsidP="005A459F">
      <w:pPr>
        <w:autoSpaceDE w:val="0"/>
        <w:autoSpaceDN w:val="0"/>
        <w:adjustRightInd w:val="0"/>
        <w:jc w:val="both"/>
        <w:rPr>
          <w:color w:val="000000"/>
          <w:sz w:val="24"/>
          <w:szCs w:val="24"/>
          <w:lang w:eastAsia="en-AU"/>
        </w:rPr>
      </w:pPr>
    </w:p>
    <w:p w:rsidR="006B2C62" w:rsidRDefault="006B2C62" w:rsidP="005A459F">
      <w:pPr>
        <w:autoSpaceDE w:val="0"/>
        <w:autoSpaceDN w:val="0"/>
        <w:adjustRightInd w:val="0"/>
        <w:jc w:val="both"/>
        <w:rPr>
          <w:color w:val="000000"/>
          <w:sz w:val="24"/>
          <w:szCs w:val="24"/>
          <w:lang w:eastAsia="en-AU"/>
        </w:rPr>
      </w:pPr>
    </w:p>
    <w:p w:rsidR="0045164B" w:rsidRDefault="0045164B" w:rsidP="005A459F">
      <w:pPr>
        <w:autoSpaceDE w:val="0"/>
        <w:autoSpaceDN w:val="0"/>
        <w:adjustRightInd w:val="0"/>
        <w:jc w:val="both"/>
        <w:rPr>
          <w:rFonts w:ascii="Arial" w:hAnsi="Arial" w:cs="Arial"/>
          <w:b/>
          <w:bCs/>
          <w:sz w:val="22"/>
          <w:szCs w:val="22"/>
          <w:lang w:eastAsia="en-AU"/>
        </w:rPr>
      </w:pPr>
    </w:p>
    <w:p w:rsidR="00A31F6C" w:rsidRPr="00A31F6C" w:rsidRDefault="007C4CEC" w:rsidP="005A459F">
      <w:pPr>
        <w:autoSpaceDE w:val="0"/>
        <w:autoSpaceDN w:val="0"/>
        <w:adjustRightInd w:val="0"/>
        <w:jc w:val="both"/>
        <w:rPr>
          <w:rFonts w:ascii="Arial" w:hAnsi="Arial" w:cs="Arial"/>
          <w:b/>
          <w:bCs/>
          <w:sz w:val="22"/>
          <w:szCs w:val="22"/>
          <w:lang w:eastAsia="en-AU"/>
        </w:rPr>
      </w:pPr>
      <w:r>
        <w:rPr>
          <w:rFonts w:ascii="Arial" w:hAnsi="Arial" w:cs="Arial"/>
          <w:b/>
          <w:bCs/>
          <w:sz w:val="22"/>
          <w:szCs w:val="22"/>
          <w:lang w:eastAsia="en-AU"/>
        </w:rPr>
        <w:br w:type="page"/>
      </w:r>
      <w:r w:rsidR="00EE17FF">
        <w:rPr>
          <w:rFonts w:ascii="Arial" w:hAnsi="Arial" w:cs="Arial"/>
          <w:b/>
          <w:bCs/>
          <w:sz w:val="22"/>
          <w:szCs w:val="22"/>
          <w:lang w:eastAsia="en-AU"/>
        </w:rPr>
        <w:lastRenderedPageBreak/>
        <w:t>Table 4</w:t>
      </w:r>
      <w:r w:rsidR="00A31F6C" w:rsidRPr="00A31F6C">
        <w:rPr>
          <w:rFonts w:ascii="Arial" w:hAnsi="Arial" w:cs="Arial"/>
          <w:b/>
          <w:bCs/>
          <w:sz w:val="22"/>
          <w:szCs w:val="22"/>
          <w:lang w:eastAsia="en-AU"/>
        </w:rPr>
        <w:t xml:space="preserve"> Microbial Eradication at Visit 2, Study Eyes, Study 433 </w:t>
      </w:r>
      <w:proofErr w:type="spellStart"/>
      <w:r w:rsidR="00A31F6C" w:rsidRPr="00A31F6C">
        <w:rPr>
          <w:rFonts w:ascii="Arial" w:hAnsi="Arial" w:cs="Arial"/>
          <w:b/>
          <w:bCs/>
          <w:sz w:val="22"/>
          <w:szCs w:val="22"/>
          <w:lang w:eastAsia="en-AU"/>
        </w:rPr>
        <w:t>mITT</w:t>
      </w:r>
      <w:proofErr w:type="spellEnd"/>
      <w:r w:rsidR="00A31F6C" w:rsidRPr="00A31F6C">
        <w:rPr>
          <w:rFonts w:ascii="Arial" w:hAnsi="Arial" w:cs="Arial"/>
          <w:b/>
          <w:bCs/>
          <w:sz w:val="22"/>
          <w:szCs w:val="22"/>
          <w:lang w:eastAsia="en-AU"/>
        </w:rPr>
        <w:t xml:space="preserve"> ‘as</w:t>
      </w:r>
      <w:r w:rsidR="006B2C62">
        <w:rPr>
          <w:rFonts w:ascii="Arial" w:hAnsi="Arial" w:cs="Arial"/>
          <w:b/>
          <w:bCs/>
          <w:sz w:val="22"/>
          <w:szCs w:val="22"/>
          <w:lang w:eastAsia="en-AU"/>
        </w:rPr>
        <w:t xml:space="preserve"> </w:t>
      </w:r>
      <w:r w:rsidR="00A31F6C" w:rsidRPr="00A31F6C">
        <w:rPr>
          <w:rFonts w:ascii="Arial" w:hAnsi="Arial" w:cs="Arial"/>
          <w:b/>
          <w:bCs/>
          <w:sz w:val="22"/>
          <w:szCs w:val="22"/>
          <w:lang w:eastAsia="en-AU"/>
        </w:rPr>
        <w:t>randomized’ Population</w:t>
      </w:r>
    </w:p>
    <w:p w:rsidR="00A31F6C" w:rsidRPr="00A31F6C" w:rsidRDefault="00567FF6" w:rsidP="005A459F">
      <w:pPr>
        <w:autoSpaceDE w:val="0"/>
        <w:autoSpaceDN w:val="0"/>
        <w:adjustRightInd w:val="0"/>
        <w:jc w:val="both"/>
        <w:rPr>
          <w:rFonts w:ascii="Arial" w:hAnsi="Arial" w:cs="Arial"/>
          <w:b/>
          <w:bCs/>
          <w:sz w:val="22"/>
          <w:szCs w:val="22"/>
          <w:lang w:eastAsia="en-AU"/>
        </w:rPr>
      </w:pPr>
      <w:r>
        <w:rPr>
          <w:rFonts w:ascii="Arial" w:hAnsi="Arial" w:cs="Arial"/>
          <w:b/>
          <w:bCs/>
          <w:noProof/>
          <w:sz w:val="22"/>
          <w:szCs w:val="22"/>
          <w:lang w:eastAsia="en-AU"/>
        </w:rPr>
        <w:drawing>
          <wp:inline distT="0" distB="0" distL="0" distR="0">
            <wp:extent cx="5486400" cy="33064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306445"/>
                    </a:xfrm>
                    <a:prstGeom prst="rect">
                      <a:avLst/>
                    </a:prstGeom>
                    <a:noFill/>
                    <a:ln>
                      <a:noFill/>
                    </a:ln>
                  </pic:spPr>
                </pic:pic>
              </a:graphicData>
            </a:graphic>
          </wp:inline>
        </w:drawing>
      </w:r>
    </w:p>
    <w:p w:rsidR="00A31F6C" w:rsidRDefault="00A31F6C" w:rsidP="005A459F">
      <w:pPr>
        <w:autoSpaceDE w:val="0"/>
        <w:autoSpaceDN w:val="0"/>
        <w:adjustRightInd w:val="0"/>
        <w:jc w:val="both"/>
        <w:rPr>
          <w:color w:val="000000"/>
          <w:sz w:val="24"/>
          <w:szCs w:val="24"/>
          <w:lang w:eastAsia="en-AU"/>
        </w:rPr>
      </w:pPr>
    </w:p>
    <w:p w:rsidR="00A31F6C" w:rsidRDefault="00A31F6C" w:rsidP="005A459F">
      <w:pPr>
        <w:autoSpaceDE w:val="0"/>
        <w:autoSpaceDN w:val="0"/>
        <w:adjustRightInd w:val="0"/>
        <w:jc w:val="both"/>
        <w:rPr>
          <w:b/>
          <w:i/>
          <w:color w:val="000000"/>
          <w:sz w:val="24"/>
          <w:szCs w:val="24"/>
          <w:u w:val="single"/>
          <w:lang w:eastAsia="en-AU"/>
        </w:rPr>
      </w:pPr>
      <w:r w:rsidRPr="00A31F6C">
        <w:rPr>
          <w:b/>
          <w:i/>
          <w:color w:val="000000"/>
          <w:sz w:val="24"/>
          <w:szCs w:val="24"/>
          <w:u w:val="single"/>
          <w:lang w:eastAsia="en-AU"/>
        </w:rPr>
        <w:t>Study 434</w:t>
      </w:r>
    </w:p>
    <w:p w:rsidR="00EE17FF" w:rsidRDefault="00EE17FF" w:rsidP="005A459F">
      <w:pPr>
        <w:autoSpaceDE w:val="0"/>
        <w:autoSpaceDN w:val="0"/>
        <w:adjustRightInd w:val="0"/>
        <w:jc w:val="both"/>
        <w:rPr>
          <w:sz w:val="24"/>
          <w:szCs w:val="24"/>
          <w:lang w:eastAsia="en-AU"/>
        </w:rPr>
      </w:pPr>
      <w:r>
        <w:rPr>
          <w:sz w:val="24"/>
          <w:szCs w:val="24"/>
          <w:lang w:eastAsia="en-AU"/>
        </w:rPr>
        <w:t>Study 434 was a randomized, double-masked, active-controlled, parallel group clinical</w:t>
      </w:r>
      <w:r w:rsidR="005A459F">
        <w:rPr>
          <w:sz w:val="24"/>
          <w:szCs w:val="24"/>
          <w:lang w:eastAsia="en-AU"/>
        </w:rPr>
        <w:t xml:space="preserve"> t</w:t>
      </w:r>
      <w:r>
        <w:rPr>
          <w:sz w:val="24"/>
          <w:szCs w:val="24"/>
          <w:lang w:eastAsia="en-AU"/>
        </w:rPr>
        <w:t xml:space="preserve">rial. </w:t>
      </w:r>
      <w:proofErr w:type="spellStart"/>
      <w:r>
        <w:rPr>
          <w:sz w:val="24"/>
          <w:szCs w:val="24"/>
          <w:lang w:eastAsia="en-AU"/>
        </w:rPr>
        <w:t>Besifloxacin</w:t>
      </w:r>
      <w:proofErr w:type="spellEnd"/>
      <w:r>
        <w:rPr>
          <w:sz w:val="24"/>
          <w:szCs w:val="24"/>
          <w:lang w:eastAsia="en-AU"/>
        </w:rPr>
        <w:t xml:space="preserve"> ophthalmic suspension administered TID for 5 days</w:t>
      </w:r>
      <w:r w:rsidR="00D84D98">
        <w:rPr>
          <w:sz w:val="24"/>
          <w:szCs w:val="24"/>
          <w:lang w:eastAsia="en-AU"/>
        </w:rPr>
        <w:t xml:space="preserve"> </w:t>
      </w:r>
      <w:r>
        <w:rPr>
          <w:sz w:val="24"/>
          <w:szCs w:val="24"/>
          <w:lang w:eastAsia="en-AU"/>
        </w:rPr>
        <w:t xml:space="preserve">compared to </w:t>
      </w:r>
      <w:proofErr w:type="spellStart"/>
      <w:r w:rsidRPr="005A459F">
        <w:rPr>
          <w:iCs/>
          <w:sz w:val="24"/>
          <w:szCs w:val="24"/>
          <w:lang w:eastAsia="en-AU"/>
        </w:rPr>
        <w:t>Vigamox</w:t>
      </w:r>
      <w:proofErr w:type="spellEnd"/>
      <w:r w:rsidR="00BB6E58">
        <w:rPr>
          <w:iCs/>
          <w:sz w:val="24"/>
          <w:szCs w:val="24"/>
          <w:lang w:eastAsia="en-AU"/>
        </w:rPr>
        <w:t xml:space="preserve"> (</w:t>
      </w:r>
      <w:proofErr w:type="spellStart"/>
      <w:r w:rsidR="00BB6E58">
        <w:rPr>
          <w:iCs/>
          <w:sz w:val="24"/>
          <w:szCs w:val="24"/>
          <w:lang w:eastAsia="en-AU"/>
        </w:rPr>
        <w:t>moxifloxacin</w:t>
      </w:r>
      <w:proofErr w:type="spellEnd"/>
      <w:r w:rsidR="00BB6E58">
        <w:rPr>
          <w:iCs/>
          <w:sz w:val="24"/>
          <w:szCs w:val="24"/>
          <w:lang w:eastAsia="en-AU"/>
        </w:rPr>
        <w:t xml:space="preserve"> eye drops)</w:t>
      </w:r>
      <w:r>
        <w:rPr>
          <w:i/>
          <w:iCs/>
          <w:sz w:val="24"/>
          <w:szCs w:val="24"/>
          <w:lang w:eastAsia="en-AU"/>
        </w:rPr>
        <w:t xml:space="preserve"> </w:t>
      </w:r>
      <w:r>
        <w:rPr>
          <w:sz w:val="24"/>
          <w:szCs w:val="24"/>
          <w:lang w:eastAsia="en-AU"/>
        </w:rPr>
        <w:t xml:space="preserve">TID for 5 days in the treatment of culture-confirmed conjunctivitis. Adults and children one year of  age or older required a clinical diagnosis of acute bacterial conjunctivitis exhibiting a minimum grade 1 for purulent </w:t>
      </w:r>
      <w:proofErr w:type="spellStart"/>
      <w:r>
        <w:rPr>
          <w:sz w:val="24"/>
          <w:szCs w:val="24"/>
          <w:lang w:eastAsia="en-AU"/>
        </w:rPr>
        <w:t>conjunctival</w:t>
      </w:r>
      <w:proofErr w:type="spellEnd"/>
      <w:r>
        <w:rPr>
          <w:sz w:val="24"/>
          <w:szCs w:val="24"/>
          <w:lang w:eastAsia="en-AU"/>
        </w:rPr>
        <w:t xml:space="preserve"> discharge (crusty or sticky eyelids) and a minimum grade 1 for bulbar </w:t>
      </w:r>
      <w:proofErr w:type="spellStart"/>
      <w:r>
        <w:rPr>
          <w:sz w:val="24"/>
          <w:szCs w:val="24"/>
          <w:lang w:eastAsia="en-AU"/>
        </w:rPr>
        <w:t>conjunctival</w:t>
      </w:r>
      <w:proofErr w:type="spellEnd"/>
      <w:r>
        <w:rPr>
          <w:sz w:val="24"/>
          <w:szCs w:val="24"/>
          <w:lang w:eastAsia="en-AU"/>
        </w:rPr>
        <w:t xml:space="preserve"> injection in at least one eye to be eligible for entry into the study.</w:t>
      </w:r>
    </w:p>
    <w:p w:rsidR="00EE17FF" w:rsidRPr="00A31F6C" w:rsidRDefault="00EE17FF" w:rsidP="005A459F">
      <w:pPr>
        <w:autoSpaceDE w:val="0"/>
        <w:autoSpaceDN w:val="0"/>
        <w:adjustRightInd w:val="0"/>
        <w:jc w:val="both"/>
        <w:rPr>
          <w:b/>
          <w:i/>
          <w:color w:val="000000"/>
          <w:sz w:val="24"/>
          <w:szCs w:val="24"/>
          <w:u w:val="single"/>
          <w:lang w:eastAsia="en-AU"/>
        </w:rPr>
      </w:pPr>
    </w:p>
    <w:p w:rsidR="00EA5A63" w:rsidRPr="00EE17FF" w:rsidRDefault="00EE17FF" w:rsidP="005A459F">
      <w:pPr>
        <w:autoSpaceDE w:val="0"/>
        <w:autoSpaceDN w:val="0"/>
        <w:adjustRightInd w:val="0"/>
        <w:jc w:val="both"/>
        <w:rPr>
          <w:sz w:val="24"/>
          <w:szCs w:val="24"/>
          <w:lang w:eastAsia="en-AU"/>
        </w:rPr>
      </w:pPr>
      <w:r>
        <w:rPr>
          <w:sz w:val="24"/>
          <w:szCs w:val="24"/>
          <w:lang w:eastAsia="en-AU"/>
        </w:rPr>
        <w:t>The primary efficacy endpoints of the study were clinical resolution, defined as the</w:t>
      </w:r>
      <w:r w:rsidR="006B2C62">
        <w:rPr>
          <w:sz w:val="24"/>
          <w:szCs w:val="24"/>
          <w:lang w:eastAsia="en-AU"/>
        </w:rPr>
        <w:t xml:space="preserve"> </w:t>
      </w:r>
      <w:r w:rsidRPr="00EE17FF">
        <w:rPr>
          <w:sz w:val="24"/>
          <w:szCs w:val="24"/>
          <w:lang w:eastAsia="en-AU"/>
        </w:rPr>
        <w:t xml:space="preserve">absence of both </w:t>
      </w:r>
      <w:proofErr w:type="spellStart"/>
      <w:r w:rsidRPr="00EE17FF">
        <w:rPr>
          <w:sz w:val="24"/>
          <w:szCs w:val="24"/>
          <w:lang w:eastAsia="en-AU"/>
        </w:rPr>
        <w:t>conjunctival</w:t>
      </w:r>
      <w:proofErr w:type="spellEnd"/>
      <w:r w:rsidRPr="00EE17FF">
        <w:rPr>
          <w:sz w:val="24"/>
          <w:szCs w:val="24"/>
          <w:lang w:eastAsia="en-AU"/>
        </w:rPr>
        <w:t xml:space="preserve"> discharge and bulbar </w:t>
      </w:r>
      <w:proofErr w:type="spellStart"/>
      <w:r w:rsidRPr="00EE17FF">
        <w:rPr>
          <w:sz w:val="24"/>
          <w:szCs w:val="24"/>
          <w:lang w:eastAsia="en-AU"/>
        </w:rPr>
        <w:t>conjunctival</w:t>
      </w:r>
      <w:proofErr w:type="spellEnd"/>
      <w:r w:rsidRPr="00EE17FF">
        <w:rPr>
          <w:sz w:val="24"/>
          <w:szCs w:val="24"/>
          <w:lang w:eastAsia="en-AU"/>
        </w:rPr>
        <w:t xml:space="preserve"> injection, at Visit 2 (</w:t>
      </w:r>
      <w:r w:rsidR="00B52D73">
        <w:rPr>
          <w:sz w:val="24"/>
          <w:szCs w:val="24"/>
          <w:lang w:eastAsia="en-AU"/>
        </w:rPr>
        <w:t xml:space="preserve">Day 5) </w:t>
      </w:r>
      <w:r w:rsidRPr="00EE17FF">
        <w:rPr>
          <w:sz w:val="24"/>
          <w:szCs w:val="24"/>
          <w:lang w:eastAsia="en-AU"/>
        </w:rPr>
        <w:t xml:space="preserve">and; microbial eradication, defined as the absence of all accepted ocular bacterial species that were present at or above threshold at baseline, at Visit 2. Secondary efficacy endpoints were clinical resolution and microbial eradication at Visit 3 (Day 8); individual clinical outcomes at each follow-up visit for ocular discharge, bulbar </w:t>
      </w:r>
      <w:proofErr w:type="spellStart"/>
      <w:r w:rsidRPr="00EE17FF">
        <w:rPr>
          <w:sz w:val="24"/>
          <w:szCs w:val="24"/>
          <w:lang w:eastAsia="en-AU"/>
        </w:rPr>
        <w:t>conjunctival</w:t>
      </w:r>
      <w:proofErr w:type="spellEnd"/>
      <w:r w:rsidRPr="00EE17FF">
        <w:rPr>
          <w:sz w:val="24"/>
          <w:szCs w:val="24"/>
          <w:lang w:eastAsia="en-AU"/>
        </w:rPr>
        <w:t xml:space="preserve"> injection, clinical outcome and Investigator’s global rating; and microbial and clinical outcome at each follow-up visit for each accepted ocular bacterial species that was present at or above threshold at baseline.</w:t>
      </w:r>
    </w:p>
    <w:p w:rsidR="00EE17FF" w:rsidRDefault="00EE17FF" w:rsidP="005A459F">
      <w:pPr>
        <w:pStyle w:val="Default"/>
        <w:tabs>
          <w:tab w:val="left" w:pos="567"/>
        </w:tabs>
        <w:jc w:val="both"/>
        <w:rPr>
          <w:rFonts w:ascii="Times New Roman" w:hAnsi="Times New Roman" w:cs="Times New Roman"/>
          <w:b/>
          <w:bCs/>
          <w:color w:val="auto"/>
          <w:lang w:val="en-AU"/>
        </w:rPr>
      </w:pPr>
    </w:p>
    <w:p w:rsidR="00EE17FF" w:rsidRDefault="00EE17FF" w:rsidP="005A459F">
      <w:pPr>
        <w:autoSpaceDE w:val="0"/>
        <w:autoSpaceDN w:val="0"/>
        <w:adjustRightInd w:val="0"/>
        <w:jc w:val="both"/>
        <w:rPr>
          <w:color w:val="000000"/>
          <w:sz w:val="24"/>
          <w:szCs w:val="24"/>
          <w:lang w:eastAsia="en-AU"/>
        </w:rPr>
      </w:pPr>
      <w:r w:rsidRPr="006B2C62">
        <w:rPr>
          <w:sz w:val="24"/>
          <w:szCs w:val="24"/>
          <w:lang w:eastAsia="en-AU"/>
        </w:rPr>
        <w:t>Table 5 presents the primary efficacy endpoint data for clinical resolution evaluated on</w:t>
      </w:r>
      <w:r w:rsidR="006B2C62">
        <w:rPr>
          <w:sz w:val="24"/>
          <w:szCs w:val="24"/>
          <w:lang w:eastAsia="en-AU"/>
        </w:rPr>
        <w:t xml:space="preserve"> </w:t>
      </w:r>
      <w:r>
        <w:rPr>
          <w:color w:val="000000"/>
          <w:sz w:val="24"/>
          <w:szCs w:val="24"/>
          <w:lang w:eastAsia="en-AU"/>
        </w:rPr>
        <w:t xml:space="preserve">the baseline-designated study eye, </w:t>
      </w:r>
      <w:proofErr w:type="spellStart"/>
      <w:r>
        <w:rPr>
          <w:color w:val="000000"/>
          <w:sz w:val="24"/>
          <w:szCs w:val="24"/>
          <w:lang w:eastAsia="en-AU"/>
        </w:rPr>
        <w:t>mITT</w:t>
      </w:r>
      <w:proofErr w:type="spellEnd"/>
      <w:r>
        <w:rPr>
          <w:color w:val="000000"/>
          <w:sz w:val="24"/>
          <w:szCs w:val="24"/>
          <w:lang w:eastAsia="en-AU"/>
        </w:rPr>
        <w:t xml:space="preserve"> population ‘as randomized’. At Visit 2 (Day 5,</w:t>
      </w:r>
      <w:r w:rsidR="006B2C62">
        <w:rPr>
          <w:color w:val="000000"/>
          <w:sz w:val="24"/>
          <w:szCs w:val="24"/>
          <w:lang w:eastAsia="en-AU"/>
        </w:rPr>
        <w:t xml:space="preserve"> </w:t>
      </w:r>
      <w:r>
        <w:rPr>
          <w:color w:val="000000"/>
          <w:sz w:val="24"/>
          <w:szCs w:val="24"/>
          <w:lang w:eastAsia="en-AU"/>
        </w:rPr>
        <w:t>±1 day), when missing values and discontinued subjects were imputed as clinical</w:t>
      </w:r>
      <w:r w:rsidR="006B2C62">
        <w:rPr>
          <w:color w:val="000000"/>
          <w:sz w:val="24"/>
          <w:szCs w:val="24"/>
          <w:lang w:eastAsia="en-AU"/>
        </w:rPr>
        <w:t xml:space="preserve"> </w:t>
      </w:r>
      <w:r>
        <w:rPr>
          <w:color w:val="000000"/>
          <w:sz w:val="24"/>
          <w:szCs w:val="24"/>
          <w:lang w:eastAsia="en-AU"/>
        </w:rPr>
        <w:t>resolution failures, 58.4% (149/255) and 59.4% (165/278) of subjects randomized to the</w:t>
      </w:r>
      <w:r w:rsidR="006B2C62">
        <w:rPr>
          <w:color w:val="000000"/>
          <w:sz w:val="24"/>
          <w:szCs w:val="24"/>
          <w:lang w:eastAsia="en-AU"/>
        </w:rPr>
        <w:t xml:space="preserve"> </w:t>
      </w:r>
      <w:proofErr w:type="spellStart"/>
      <w:r>
        <w:rPr>
          <w:color w:val="000000"/>
          <w:sz w:val="24"/>
          <w:szCs w:val="24"/>
          <w:lang w:eastAsia="en-AU"/>
        </w:rPr>
        <w:t>besifloxacin</w:t>
      </w:r>
      <w:proofErr w:type="spellEnd"/>
      <w:r>
        <w:rPr>
          <w:color w:val="000000"/>
          <w:sz w:val="24"/>
          <w:szCs w:val="24"/>
          <w:lang w:eastAsia="en-AU"/>
        </w:rPr>
        <w:t xml:space="preserve"> ophthalmic suspension and </w:t>
      </w:r>
      <w:proofErr w:type="spellStart"/>
      <w:r w:rsidRPr="007C4CEC">
        <w:rPr>
          <w:iCs/>
          <w:color w:val="000000"/>
          <w:sz w:val="24"/>
          <w:szCs w:val="24"/>
          <w:lang w:eastAsia="en-AU"/>
        </w:rPr>
        <w:t>Vigamox</w:t>
      </w:r>
      <w:proofErr w:type="spellEnd"/>
      <w:r w:rsidRPr="007C4CEC">
        <w:rPr>
          <w:iCs/>
          <w:color w:val="000000"/>
          <w:sz w:val="24"/>
          <w:szCs w:val="24"/>
          <w:lang w:eastAsia="en-AU"/>
        </w:rPr>
        <w:t xml:space="preserve"> </w:t>
      </w:r>
      <w:r>
        <w:rPr>
          <w:color w:val="000000"/>
          <w:sz w:val="24"/>
          <w:szCs w:val="24"/>
          <w:lang w:eastAsia="en-AU"/>
        </w:rPr>
        <w:t>treatment groups respectively had</w:t>
      </w:r>
      <w:r w:rsidR="006B2C62">
        <w:rPr>
          <w:color w:val="000000"/>
          <w:sz w:val="24"/>
          <w:szCs w:val="24"/>
          <w:lang w:eastAsia="en-AU"/>
        </w:rPr>
        <w:t xml:space="preserve"> </w:t>
      </w:r>
      <w:r>
        <w:rPr>
          <w:color w:val="000000"/>
          <w:sz w:val="24"/>
          <w:szCs w:val="24"/>
          <w:lang w:eastAsia="en-AU"/>
        </w:rPr>
        <w:t xml:space="preserve">clinical resolution. </w:t>
      </w:r>
      <w:r>
        <w:rPr>
          <w:color w:val="000000"/>
          <w:sz w:val="24"/>
          <w:szCs w:val="24"/>
          <w:lang w:eastAsia="en-AU"/>
        </w:rPr>
        <w:lastRenderedPageBreak/>
        <w:t xml:space="preserve">Based on the 95% CI of the difference (-9.30%, 7.46%), </w:t>
      </w:r>
      <w:proofErr w:type="spellStart"/>
      <w:r>
        <w:rPr>
          <w:color w:val="000000"/>
          <w:sz w:val="24"/>
          <w:szCs w:val="24"/>
          <w:lang w:eastAsia="en-AU"/>
        </w:rPr>
        <w:t>besifloxacin</w:t>
      </w:r>
      <w:proofErr w:type="spellEnd"/>
      <w:r w:rsidR="006B2C62">
        <w:rPr>
          <w:color w:val="000000"/>
          <w:sz w:val="24"/>
          <w:szCs w:val="24"/>
          <w:lang w:eastAsia="en-AU"/>
        </w:rPr>
        <w:t xml:space="preserve"> </w:t>
      </w:r>
      <w:r>
        <w:rPr>
          <w:color w:val="000000"/>
          <w:sz w:val="24"/>
          <w:szCs w:val="24"/>
          <w:lang w:eastAsia="en-AU"/>
        </w:rPr>
        <w:t xml:space="preserve">ophthalmic suspension was non-inferior to </w:t>
      </w:r>
      <w:proofErr w:type="spellStart"/>
      <w:r w:rsidRPr="007C4CEC">
        <w:rPr>
          <w:iCs/>
          <w:color w:val="000000"/>
          <w:sz w:val="24"/>
          <w:szCs w:val="24"/>
          <w:lang w:eastAsia="en-AU"/>
        </w:rPr>
        <w:t>Vigamox</w:t>
      </w:r>
      <w:proofErr w:type="spellEnd"/>
      <w:r>
        <w:rPr>
          <w:i/>
          <w:iCs/>
          <w:color w:val="000000"/>
          <w:sz w:val="24"/>
          <w:szCs w:val="24"/>
          <w:lang w:eastAsia="en-AU"/>
        </w:rPr>
        <w:t xml:space="preserve"> </w:t>
      </w:r>
      <w:r>
        <w:rPr>
          <w:color w:val="000000"/>
          <w:sz w:val="24"/>
          <w:szCs w:val="24"/>
          <w:lang w:eastAsia="en-AU"/>
        </w:rPr>
        <w:t>for clinical resolution at Visit 2 (Day</w:t>
      </w:r>
    </w:p>
    <w:p w:rsidR="00EE17FF" w:rsidRPr="006B2C62" w:rsidRDefault="00EE17FF" w:rsidP="006B2C62">
      <w:pPr>
        <w:autoSpaceDE w:val="0"/>
        <w:autoSpaceDN w:val="0"/>
        <w:adjustRightInd w:val="0"/>
        <w:jc w:val="both"/>
        <w:rPr>
          <w:color w:val="000000"/>
          <w:sz w:val="24"/>
          <w:szCs w:val="24"/>
          <w:lang w:eastAsia="en-AU"/>
        </w:rPr>
      </w:pPr>
      <w:r w:rsidRPr="006B2C62">
        <w:rPr>
          <w:color w:val="000000"/>
          <w:sz w:val="24"/>
          <w:szCs w:val="24"/>
          <w:lang w:eastAsia="en-AU"/>
        </w:rPr>
        <w:t>5, ±1 day), and there was no significant difference in clinical resolution between</w:t>
      </w:r>
      <w:r w:rsidR="006B2C62" w:rsidRPr="006B2C62">
        <w:rPr>
          <w:color w:val="000000"/>
          <w:sz w:val="24"/>
          <w:szCs w:val="24"/>
          <w:lang w:eastAsia="en-AU"/>
        </w:rPr>
        <w:t xml:space="preserve"> </w:t>
      </w:r>
      <w:r w:rsidRPr="006B2C62">
        <w:rPr>
          <w:color w:val="000000"/>
          <w:sz w:val="24"/>
          <w:szCs w:val="24"/>
          <w:lang w:eastAsia="en-AU"/>
        </w:rPr>
        <w:t>treatment groups, p=0.8603 (exact Pearson chi-squared). Results were similar when the</w:t>
      </w:r>
      <w:r w:rsidR="006B2C62" w:rsidRPr="006B2C62">
        <w:rPr>
          <w:color w:val="000000"/>
          <w:sz w:val="24"/>
          <w:szCs w:val="24"/>
          <w:lang w:eastAsia="en-AU"/>
        </w:rPr>
        <w:t xml:space="preserve"> </w:t>
      </w:r>
      <w:r w:rsidRPr="006B2C62">
        <w:rPr>
          <w:color w:val="000000"/>
          <w:sz w:val="24"/>
          <w:szCs w:val="24"/>
          <w:lang w:eastAsia="en-AU"/>
        </w:rPr>
        <w:t xml:space="preserve">comparison between groups was </w:t>
      </w:r>
      <w:proofErr w:type="spellStart"/>
      <w:r w:rsidRPr="006B2C62">
        <w:rPr>
          <w:color w:val="000000"/>
          <w:sz w:val="24"/>
          <w:szCs w:val="24"/>
          <w:lang w:eastAsia="en-AU"/>
        </w:rPr>
        <w:t>analyzed</w:t>
      </w:r>
      <w:proofErr w:type="spellEnd"/>
      <w:r w:rsidRPr="006B2C62">
        <w:rPr>
          <w:color w:val="000000"/>
          <w:sz w:val="24"/>
          <w:szCs w:val="24"/>
          <w:lang w:eastAsia="en-AU"/>
        </w:rPr>
        <w:t xml:space="preserve"> using the CMH statistic, adjusting for </w:t>
      </w:r>
      <w:proofErr w:type="spellStart"/>
      <w:r w:rsidRPr="006B2C62">
        <w:rPr>
          <w:color w:val="000000"/>
          <w:sz w:val="24"/>
          <w:szCs w:val="24"/>
          <w:lang w:eastAsia="en-AU"/>
        </w:rPr>
        <w:t>center</w:t>
      </w:r>
      <w:proofErr w:type="spellEnd"/>
      <w:r w:rsidR="006B2C62" w:rsidRPr="006B2C62">
        <w:rPr>
          <w:color w:val="000000"/>
          <w:sz w:val="24"/>
          <w:szCs w:val="24"/>
          <w:lang w:eastAsia="en-AU"/>
        </w:rPr>
        <w:t xml:space="preserve"> </w:t>
      </w:r>
      <w:r w:rsidRPr="006B2C62">
        <w:rPr>
          <w:color w:val="000000"/>
          <w:sz w:val="24"/>
          <w:szCs w:val="24"/>
          <w:lang w:eastAsia="en-AU"/>
        </w:rPr>
        <w:t>effects, p=0.6838. Results were also similar for baseline-designated study eyes in the</w:t>
      </w:r>
      <w:r w:rsidR="006B2C62" w:rsidRPr="006B2C62">
        <w:rPr>
          <w:color w:val="000000"/>
          <w:sz w:val="24"/>
          <w:szCs w:val="24"/>
          <w:lang w:eastAsia="en-AU"/>
        </w:rPr>
        <w:t xml:space="preserve"> </w:t>
      </w:r>
      <w:proofErr w:type="spellStart"/>
      <w:r w:rsidRPr="006B2C62">
        <w:rPr>
          <w:color w:val="000000"/>
          <w:sz w:val="24"/>
          <w:szCs w:val="24"/>
          <w:lang w:eastAsia="en-AU"/>
        </w:rPr>
        <w:t>mITT</w:t>
      </w:r>
      <w:proofErr w:type="spellEnd"/>
      <w:r w:rsidRPr="006B2C62">
        <w:rPr>
          <w:color w:val="000000"/>
          <w:sz w:val="24"/>
          <w:szCs w:val="24"/>
          <w:lang w:eastAsia="en-AU"/>
        </w:rPr>
        <w:t xml:space="preserve"> ‘as treated’</w:t>
      </w:r>
      <w:r w:rsidR="0057497D" w:rsidRPr="006B2C62">
        <w:rPr>
          <w:color w:val="000000"/>
          <w:sz w:val="24"/>
          <w:szCs w:val="24"/>
          <w:lang w:eastAsia="en-AU"/>
        </w:rPr>
        <w:t xml:space="preserve"> population. </w:t>
      </w:r>
    </w:p>
    <w:p w:rsidR="00EE17FF" w:rsidRDefault="00EE17FF" w:rsidP="005A459F">
      <w:pPr>
        <w:pStyle w:val="Default"/>
        <w:tabs>
          <w:tab w:val="left" w:pos="567"/>
        </w:tabs>
        <w:jc w:val="both"/>
        <w:rPr>
          <w:rFonts w:ascii="Times New Roman" w:hAnsi="Times New Roman" w:cs="Times New Roman"/>
          <w:b/>
          <w:bCs/>
          <w:color w:val="auto"/>
          <w:lang w:val="en-AU"/>
        </w:rPr>
      </w:pPr>
    </w:p>
    <w:p w:rsidR="00EE17FF" w:rsidRPr="006B2C62" w:rsidRDefault="00EE17FF" w:rsidP="006B2C62">
      <w:pPr>
        <w:autoSpaceDE w:val="0"/>
        <w:autoSpaceDN w:val="0"/>
        <w:adjustRightInd w:val="0"/>
        <w:jc w:val="both"/>
        <w:rPr>
          <w:rFonts w:ascii="Arial" w:hAnsi="Arial" w:cs="Arial"/>
          <w:b/>
          <w:sz w:val="22"/>
          <w:szCs w:val="22"/>
        </w:rPr>
      </w:pPr>
      <w:r w:rsidRPr="006B2C62">
        <w:rPr>
          <w:rFonts w:ascii="Arial" w:hAnsi="Arial" w:cs="Arial"/>
          <w:b/>
          <w:sz w:val="22"/>
          <w:szCs w:val="22"/>
          <w:lang w:eastAsia="en-AU"/>
        </w:rPr>
        <w:t xml:space="preserve">Table 5: Clinical Resolution at Visit 2, Study Eyes, Study 434 </w:t>
      </w:r>
      <w:proofErr w:type="spellStart"/>
      <w:r w:rsidRPr="006B2C62">
        <w:rPr>
          <w:rFonts w:ascii="Arial" w:hAnsi="Arial" w:cs="Arial"/>
          <w:b/>
          <w:sz w:val="22"/>
          <w:szCs w:val="22"/>
          <w:lang w:eastAsia="en-AU"/>
        </w:rPr>
        <w:t>mITT</w:t>
      </w:r>
      <w:proofErr w:type="spellEnd"/>
      <w:r w:rsidRPr="006B2C62">
        <w:rPr>
          <w:rFonts w:ascii="Arial" w:hAnsi="Arial" w:cs="Arial"/>
          <w:b/>
          <w:sz w:val="22"/>
          <w:szCs w:val="22"/>
          <w:lang w:eastAsia="en-AU"/>
        </w:rPr>
        <w:t xml:space="preserve"> ‘as</w:t>
      </w:r>
      <w:r w:rsidR="006B2C62" w:rsidRPr="006B2C62">
        <w:rPr>
          <w:rFonts w:ascii="Arial" w:hAnsi="Arial" w:cs="Arial"/>
          <w:b/>
          <w:sz w:val="22"/>
          <w:szCs w:val="22"/>
          <w:lang w:eastAsia="en-AU"/>
        </w:rPr>
        <w:t xml:space="preserve"> </w:t>
      </w:r>
      <w:r w:rsidRPr="006B2C62">
        <w:rPr>
          <w:rFonts w:ascii="Arial" w:hAnsi="Arial" w:cs="Arial"/>
          <w:b/>
          <w:sz w:val="22"/>
          <w:szCs w:val="22"/>
          <w:lang w:eastAsia="en-AU"/>
        </w:rPr>
        <w:t>randomized’ Population</w:t>
      </w:r>
    </w:p>
    <w:p w:rsidR="00EE17FF" w:rsidRPr="00EE17FF" w:rsidRDefault="00567FF6" w:rsidP="005A459F">
      <w:pPr>
        <w:pStyle w:val="Default"/>
        <w:tabs>
          <w:tab w:val="left" w:pos="567"/>
        </w:tabs>
        <w:jc w:val="both"/>
        <w:rPr>
          <w:rFonts w:ascii="Times New Roman" w:hAnsi="Times New Roman" w:cs="Times New Roman"/>
          <w:b/>
          <w:bCs/>
          <w:color w:val="auto"/>
          <w:lang w:val="en-AU"/>
        </w:rPr>
      </w:pPr>
      <w:r>
        <w:rPr>
          <w:rFonts w:ascii="Times New Roman" w:hAnsi="Times New Roman" w:cs="Times New Roman"/>
          <w:b/>
          <w:bCs/>
          <w:noProof/>
          <w:color w:val="auto"/>
          <w:lang w:val="en-AU" w:eastAsia="en-AU"/>
        </w:rPr>
        <w:drawing>
          <wp:inline distT="0" distB="0" distL="0" distR="0">
            <wp:extent cx="5401310" cy="402971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1310" cy="4029710"/>
                    </a:xfrm>
                    <a:prstGeom prst="rect">
                      <a:avLst/>
                    </a:prstGeom>
                    <a:noFill/>
                    <a:ln>
                      <a:noFill/>
                    </a:ln>
                  </pic:spPr>
                </pic:pic>
              </a:graphicData>
            </a:graphic>
          </wp:inline>
        </w:drawing>
      </w:r>
    </w:p>
    <w:p w:rsidR="00EE17FF" w:rsidRPr="00EE17FF" w:rsidRDefault="00567FF6" w:rsidP="005A459F">
      <w:pPr>
        <w:pStyle w:val="Default"/>
        <w:tabs>
          <w:tab w:val="left" w:pos="567"/>
        </w:tabs>
        <w:jc w:val="both"/>
        <w:rPr>
          <w:rFonts w:ascii="Times New Roman" w:hAnsi="Times New Roman" w:cs="Times New Roman"/>
          <w:b/>
          <w:bCs/>
          <w:color w:val="auto"/>
        </w:rPr>
      </w:pPr>
      <w:r>
        <w:rPr>
          <w:rFonts w:ascii="Times New Roman" w:hAnsi="Times New Roman" w:cs="Times New Roman"/>
          <w:b/>
          <w:bCs/>
          <w:noProof/>
          <w:color w:val="auto"/>
          <w:lang w:val="en-AU" w:eastAsia="en-AU"/>
        </w:rPr>
        <w:drawing>
          <wp:inline distT="0" distB="0" distL="0" distR="0">
            <wp:extent cx="5486400" cy="6273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627380"/>
                    </a:xfrm>
                    <a:prstGeom prst="rect">
                      <a:avLst/>
                    </a:prstGeom>
                    <a:noFill/>
                    <a:ln>
                      <a:noFill/>
                    </a:ln>
                  </pic:spPr>
                </pic:pic>
              </a:graphicData>
            </a:graphic>
          </wp:inline>
        </w:drawing>
      </w:r>
    </w:p>
    <w:p w:rsidR="006B2C62" w:rsidRDefault="006B2C62" w:rsidP="005A459F">
      <w:pPr>
        <w:autoSpaceDE w:val="0"/>
        <w:autoSpaceDN w:val="0"/>
        <w:adjustRightInd w:val="0"/>
        <w:jc w:val="both"/>
        <w:rPr>
          <w:b/>
          <w:bCs/>
          <w:color w:val="000000"/>
          <w:sz w:val="28"/>
          <w:szCs w:val="28"/>
          <w:lang w:eastAsia="en-AU"/>
        </w:rPr>
      </w:pPr>
      <w:r>
        <w:rPr>
          <w:b/>
          <w:bCs/>
          <w:color w:val="000000"/>
          <w:sz w:val="28"/>
          <w:szCs w:val="28"/>
          <w:lang w:eastAsia="en-AU"/>
        </w:rPr>
        <w:t xml:space="preserve"> </w:t>
      </w:r>
    </w:p>
    <w:p w:rsidR="00EE17FF" w:rsidRDefault="00EE17FF" w:rsidP="005A459F">
      <w:pPr>
        <w:autoSpaceDE w:val="0"/>
        <w:autoSpaceDN w:val="0"/>
        <w:adjustRightInd w:val="0"/>
        <w:jc w:val="both"/>
        <w:rPr>
          <w:color w:val="000000"/>
          <w:sz w:val="24"/>
          <w:szCs w:val="24"/>
          <w:lang w:eastAsia="en-AU"/>
        </w:rPr>
      </w:pPr>
      <w:r w:rsidRPr="006B2C62">
        <w:rPr>
          <w:color w:val="000000"/>
          <w:sz w:val="24"/>
          <w:szCs w:val="24"/>
          <w:lang w:eastAsia="en-AU"/>
        </w:rPr>
        <w:t xml:space="preserve">Table </w:t>
      </w:r>
      <w:r w:rsidR="0057497D" w:rsidRPr="006B2C62">
        <w:rPr>
          <w:color w:val="000000"/>
          <w:sz w:val="24"/>
          <w:szCs w:val="24"/>
          <w:lang w:eastAsia="en-AU"/>
        </w:rPr>
        <w:t>6</w:t>
      </w:r>
      <w:r w:rsidRPr="006B2C62">
        <w:rPr>
          <w:color w:val="000000"/>
          <w:sz w:val="24"/>
          <w:szCs w:val="24"/>
          <w:lang w:eastAsia="en-AU"/>
        </w:rPr>
        <w:t xml:space="preserve"> </w:t>
      </w:r>
      <w:r>
        <w:rPr>
          <w:color w:val="000000"/>
          <w:sz w:val="24"/>
          <w:szCs w:val="24"/>
          <w:lang w:eastAsia="en-AU"/>
        </w:rPr>
        <w:t>presents data for microbial eradication evaluated on the baseline-designated</w:t>
      </w:r>
      <w:r w:rsidR="006B2C62">
        <w:rPr>
          <w:color w:val="000000"/>
          <w:sz w:val="24"/>
          <w:szCs w:val="24"/>
          <w:lang w:eastAsia="en-AU"/>
        </w:rPr>
        <w:t xml:space="preserve"> </w:t>
      </w:r>
      <w:r>
        <w:rPr>
          <w:color w:val="000000"/>
          <w:sz w:val="24"/>
          <w:szCs w:val="24"/>
          <w:lang w:eastAsia="en-AU"/>
        </w:rPr>
        <w:t xml:space="preserve">study eye, </w:t>
      </w:r>
      <w:proofErr w:type="spellStart"/>
      <w:r>
        <w:rPr>
          <w:color w:val="000000"/>
          <w:sz w:val="24"/>
          <w:szCs w:val="24"/>
          <w:lang w:eastAsia="en-AU"/>
        </w:rPr>
        <w:t>mITT</w:t>
      </w:r>
      <w:proofErr w:type="spellEnd"/>
      <w:r>
        <w:rPr>
          <w:color w:val="000000"/>
          <w:sz w:val="24"/>
          <w:szCs w:val="24"/>
          <w:lang w:eastAsia="en-AU"/>
        </w:rPr>
        <w:t xml:space="preserve"> population ‘as randomized’. A total of 94.5% (241/255) and 89.9%</w:t>
      </w:r>
      <w:r w:rsidR="006B2C62">
        <w:rPr>
          <w:color w:val="000000"/>
          <w:sz w:val="24"/>
          <w:szCs w:val="24"/>
          <w:lang w:eastAsia="en-AU"/>
        </w:rPr>
        <w:t xml:space="preserve"> </w:t>
      </w:r>
      <w:r>
        <w:rPr>
          <w:color w:val="000000"/>
          <w:sz w:val="24"/>
          <w:szCs w:val="24"/>
          <w:lang w:eastAsia="en-AU"/>
        </w:rPr>
        <w:t xml:space="preserve">(250/278) of subjects randomized to the </w:t>
      </w:r>
      <w:proofErr w:type="spellStart"/>
      <w:r>
        <w:rPr>
          <w:color w:val="000000"/>
          <w:sz w:val="24"/>
          <w:szCs w:val="24"/>
          <w:lang w:eastAsia="en-AU"/>
        </w:rPr>
        <w:t>besifloxacin</w:t>
      </w:r>
      <w:proofErr w:type="spellEnd"/>
      <w:r>
        <w:rPr>
          <w:color w:val="000000"/>
          <w:sz w:val="24"/>
          <w:szCs w:val="24"/>
          <w:lang w:eastAsia="en-AU"/>
        </w:rPr>
        <w:t xml:space="preserve"> ophthalmic suspension and </w:t>
      </w:r>
      <w:proofErr w:type="spellStart"/>
      <w:r w:rsidRPr="006B2C62">
        <w:rPr>
          <w:iCs/>
          <w:color w:val="000000"/>
          <w:sz w:val="24"/>
          <w:szCs w:val="24"/>
          <w:lang w:eastAsia="en-AU"/>
        </w:rPr>
        <w:t>Vigamox</w:t>
      </w:r>
      <w:proofErr w:type="spellEnd"/>
      <w:r w:rsidR="006B2C62">
        <w:rPr>
          <w:iCs/>
          <w:color w:val="000000"/>
          <w:sz w:val="24"/>
          <w:szCs w:val="24"/>
          <w:lang w:eastAsia="en-AU"/>
        </w:rPr>
        <w:t xml:space="preserve"> </w:t>
      </w:r>
      <w:r>
        <w:rPr>
          <w:color w:val="000000"/>
          <w:sz w:val="24"/>
          <w:szCs w:val="24"/>
          <w:lang w:eastAsia="en-AU"/>
        </w:rPr>
        <w:t>treatment groups respectively had microbial eradication at Visit 2 (Day 5, ±1 day), when</w:t>
      </w:r>
      <w:r w:rsidR="006B2C62">
        <w:rPr>
          <w:color w:val="000000"/>
          <w:sz w:val="24"/>
          <w:szCs w:val="24"/>
          <w:lang w:eastAsia="en-AU"/>
        </w:rPr>
        <w:t xml:space="preserve"> </w:t>
      </w:r>
      <w:r>
        <w:rPr>
          <w:color w:val="000000"/>
          <w:sz w:val="24"/>
          <w:szCs w:val="24"/>
          <w:lang w:eastAsia="en-AU"/>
        </w:rPr>
        <w:t>missing values and discontinued subjects were imputed as microbial eradication failures.</w:t>
      </w:r>
      <w:r w:rsidR="006B2C62">
        <w:rPr>
          <w:color w:val="000000"/>
          <w:sz w:val="24"/>
          <w:szCs w:val="24"/>
          <w:lang w:eastAsia="en-AU"/>
        </w:rPr>
        <w:t xml:space="preserve"> </w:t>
      </w:r>
      <w:r>
        <w:rPr>
          <w:color w:val="000000"/>
          <w:sz w:val="24"/>
          <w:szCs w:val="24"/>
          <w:lang w:eastAsia="en-AU"/>
        </w:rPr>
        <w:t xml:space="preserve">Differences between groups were statistically significant, p=0.0183 when </w:t>
      </w:r>
      <w:proofErr w:type="spellStart"/>
      <w:r>
        <w:rPr>
          <w:color w:val="000000"/>
          <w:sz w:val="24"/>
          <w:szCs w:val="24"/>
          <w:lang w:eastAsia="en-AU"/>
        </w:rPr>
        <w:t>analyzed</w:t>
      </w:r>
      <w:proofErr w:type="spellEnd"/>
      <w:r>
        <w:rPr>
          <w:color w:val="000000"/>
          <w:sz w:val="24"/>
          <w:szCs w:val="24"/>
          <w:lang w:eastAsia="en-AU"/>
        </w:rPr>
        <w:t xml:space="preserve"> using</w:t>
      </w:r>
      <w:r w:rsidR="006B2C62">
        <w:rPr>
          <w:color w:val="000000"/>
          <w:sz w:val="24"/>
          <w:szCs w:val="24"/>
          <w:lang w:eastAsia="en-AU"/>
        </w:rPr>
        <w:t xml:space="preserve"> </w:t>
      </w:r>
      <w:r>
        <w:rPr>
          <w:color w:val="000000"/>
          <w:sz w:val="24"/>
          <w:szCs w:val="24"/>
          <w:lang w:eastAsia="en-AU"/>
        </w:rPr>
        <w:t xml:space="preserve">the CMH statistic, adjusting for </w:t>
      </w:r>
      <w:proofErr w:type="spellStart"/>
      <w:r>
        <w:rPr>
          <w:color w:val="000000"/>
          <w:sz w:val="24"/>
          <w:szCs w:val="24"/>
          <w:lang w:eastAsia="en-AU"/>
        </w:rPr>
        <w:t>center</w:t>
      </w:r>
      <w:proofErr w:type="spellEnd"/>
      <w:r>
        <w:rPr>
          <w:color w:val="000000"/>
          <w:sz w:val="24"/>
          <w:szCs w:val="24"/>
          <w:lang w:eastAsia="en-AU"/>
        </w:rPr>
        <w:t xml:space="preserve"> effects. Differences between groups were not</w:t>
      </w:r>
      <w:r w:rsidR="006B2C62">
        <w:rPr>
          <w:color w:val="000000"/>
          <w:sz w:val="24"/>
          <w:szCs w:val="24"/>
          <w:lang w:eastAsia="en-AU"/>
        </w:rPr>
        <w:t xml:space="preserve"> </w:t>
      </w:r>
      <w:r>
        <w:rPr>
          <w:color w:val="000000"/>
          <w:sz w:val="24"/>
          <w:szCs w:val="24"/>
          <w:lang w:eastAsia="en-AU"/>
        </w:rPr>
        <w:t>significant, p=0.0544, when compared using the exact Pearson chi-squared test. The 95%</w:t>
      </w:r>
      <w:r w:rsidR="006B2C62">
        <w:rPr>
          <w:color w:val="000000"/>
          <w:sz w:val="24"/>
          <w:szCs w:val="24"/>
          <w:lang w:eastAsia="en-AU"/>
        </w:rPr>
        <w:t xml:space="preserve"> </w:t>
      </w:r>
      <w:r>
        <w:rPr>
          <w:color w:val="000000"/>
          <w:sz w:val="24"/>
          <w:szCs w:val="24"/>
          <w:lang w:eastAsia="en-AU"/>
        </w:rPr>
        <w:t xml:space="preserve">CI of the differences (-0.01%, 9.17%) demonstrated that </w:t>
      </w:r>
      <w:proofErr w:type="spellStart"/>
      <w:r>
        <w:rPr>
          <w:color w:val="000000"/>
          <w:sz w:val="24"/>
          <w:szCs w:val="24"/>
          <w:lang w:eastAsia="en-AU"/>
        </w:rPr>
        <w:t>besifloxacin</w:t>
      </w:r>
      <w:proofErr w:type="spellEnd"/>
      <w:r>
        <w:rPr>
          <w:color w:val="000000"/>
          <w:sz w:val="24"/>
          <w:szCs w:val="24"/>
          <w:lang w:eastAsia="en-AU"/>
        </w:rPr>
        <w:t xml:space="preserve"> ophthalmic</w:t>
      </w:r>
      <w:r w:rsidR="006B2C62">
        <w:rPr>
          <w:color w:val="000000"/>
          <w:sz w:val="24"/>
          <w:szCs w:val="24"/>
          <w:lang w:eastAsia="en-AU"/>
        </w:rPr>
        <w:t xml:space="preserve"> </w:t>
      </w:r>
      <w:r>
        <w:rPr>
          <w:color w:val="000000"/>
          <w:sz w:val="24"/>
          <w:szCs w:val="24"/>
          <w:lang w:eastAsia="en-AU"/>
        </w:rPr>
        <w:lastRenderedPageBreak/>
        <w:t xml:space="preserve">suspension met the condition of non-inferiority when compared to </w:t>
      </w:r>
      <w:proofErr w:type="spellStart"/>
      <w:r w:rsidRPr="006B2C62">
        <w:rPr>
          <w:iCs/>
          <w:color w:val="000000"/>
          <w:sz w:val="24"/>
          <w:szCs w:val="24"/>
          <w:lang w:eastAsia="en-AU"/>
        </w:rPr>
        <w:t>Vigamox</w:t>
      </w:r>
      <w:proofErr w:type="spellEnd"/>
      <w:r>
        <w:rPr>
          <w:i/>
          <w:iCs/>
          <w:color w:val="000000"/>
          <w:sz w:val="24"/>
          <w:szCs w:val="24"/>
          <w:lang w:eastAsia="en-AU"/>
        </w:rPr>
        <w:t xml:space="preserve"> </w:t>
      </w:r>
      <w:r>
        <w:rPr>
          <w:color w:val="000000"/>
          <w:sz w:val="24"/>
          <w:szCs w:val="24"/>
          <w:lang w:eastAsia="en-AU"/>
        </w:rPr>
        <w:t>for microbial</w:t>
      </w:r>
      <w:r w:rsidR="006B2C62">
        <w:rPr>
          <w:color w:val="000000"/>
          <w:sz w:val="24"/>
          <w:szCs w:val="24"/>
          <w:lang w:eastAsia="en-AU"/>
        </w:rPr>
        <w:t xml:space="preserve"> </w:t>
      </w:r>
      <w:r>
        <w:rPr>
          <w:color w:val="000000"/>
          <w:sz w:val="24"/>
          <w:szCs w:val="24"/>
          <w:lang w:eastAsia="en-AU"/>
        </w:rPr>
        <w:t xml:space="preserve">eradication at Visit 2 (Day 5, ±1 day), </w:t>
      </w:r>
      <w:r w:rsidR="006B2C62">
        <w:rPr>
          <w:color w:val="000000"/>
          <w:sz w:val="24"/>
          <w:szCs w:val="24"/>
          <w:lang w:eastAsia="en-AU"/>
        </w:rPr>
        <w:t>imput</w:t>
      </w:r>
      <w:r>
        <w:rPr>
          <w:color w:val="000000"/>
          <w:sz w:val="24"/>
          <w:szCs w:val="24"/>
          <w:lang w:eastAsia="en-AU"/>
        </w:rPr>
        <w:t>ing missing values and discontinued subjects</w:t>
      </w:r>
      <w:r w:rsidR="006B2C62">
        <w:rPr>
          <w:color w:val="000000"/>
          <w:sz w:val="24"/>
          <w:szCs w:val="24"/>
          <w:lang w:eastAsia="en-AU"/>
        </w:rPr>
        <w:t xml:space="preserve"> </w:t>
      </w:r>
      <w:r>
        <w:rPr>
          <w:color w:val="000000"/>
          <w:sz w:val="24"/>
          <w:szCs w:val="24"/>
          <w:lang w:eastAsia="en-AU"/>
        </w:rPr>
        <w:t>as failures. This was further supported by the results</w:t>
      </w:r>
      <w:r w:rsidR="006B2C62">
        <w:rPr>
          <w:color w:val="000000"/>
          <w:sz w:val="24"/>
          <w:szCs w:val="24"/>
          <w:lang w:eastAsia="en-AU"/>
        </w:rPr>
        <w:t xml:space="preserve"> of the ‘as treated’ population. </w:t>
      </w:r>
    </w:p>
    <w:p w:rsidR="00EE17FF" w:rsidRDefault="00EE17FF" w:rsidP="005A459F">
      <w:pPr>
        <w:autoSpaceDE w:val="0"/>
        <w:autoSpaceDN w:val="0"/>
        <w:adjustRightInd w:val="0"/>
        <w:jc w:val="both"/>
        <w:rPr>
          <w:color w:val="000000"/>
          <w:sz w:val="24"/>
          <w:szCs w:val="24"/>
          <w:lang w:eastAsia="en-AU"/>
        </w:rPr>
      </w:pPr>
    </w:p>
    <w:p w:rsidR="00EE17FF" w:rsidRPr="006B2C62" w:rsidRDefault="00EE17FF" w:rsidP="006B2C62">
      <w:pPr>
        <w:autoSpaceDE w:val="0"/>
        <w:autoSpaceDN w:val="0"/>
        <w:adjustRightInd w:val="0"/>
        <w:jc w:val="both"/>
        <w:rPr>
          <w:rFonts w:ascii="Arial" w:hAnsi="Arial" w:cs="Arial"/>
          <w:b/>
          <w:sz w:val="22"/>
          <w:szCs w:val="22"/>
        </w:rPr>
      </w:pPr>
      <w:r w:rsidRPr="006B2C62">
        <w:rPr>
          <w:rFonts w:ascii="Arial" w:hAnsi="Arial" w:cs="Arial"/>
          <w:b/>
          <w:sz w:val="22"/>
          <w:szCs w:val="22"/>
          <w:lang w:eastAsia="en-AU"/>
        </w:rPr>
        <w:t xml:space="preserve">Table </w:t>
      </w:r>
      <w:r w:rsidR="0057497D" w:rsidRPr="006B2C62">
        <w:rPr>
          <w:rFonts w:ascii="Arial" w:hAnsi="Arial" w:cs="Arial"/>
          <w:b/>
          <w:sz w:val="22"/>
          <w:szCs w:val="22"/>
          <w:lang w:eastAsia="en-AU"/>
        </w:rPr>
        <w:t>6</w:t>
      </w:r>
      <w:r w:rsidRPr="006B2C62">
        <w:rPr>
          <w:rFonts w:ascii="Arial" w:hAnsi="Arial" w:cs="Arial"/>
          <w:b/>
          <w:sz w:val="22"/>
          <w:szCs w:val="22"/>
          <w:lang w:eastAsia="en-AU"/>
        </w:rPr>
        <w:t xml:space="preserve">: Microbial Eradication at Visit 2, Study Eyes, Study 434 </w:t>
      </w:r>
      <w:proofErr w:type="spellStart"/>
      <w:r w:rsidRPr="006B2C62">
        <w:rPr>
          <w:rFonts w:ascii="Arial" w:hAnsi="Arial" w:cs="Arial"/>
          <w:b/>
          <w:sz w:val="22"/>
          <w:szCs w:val="22"/>
          <w:lang w:eastAsia="en-AU"/>
        </w:rPr>
        <w:t>mITT</w:t>
      </w:r>
      <w:proofErr w:type="spellEnd"/>
      <w:r w:rsidRPr="006B2C62">
        <w:rPr>
          <w:rFonts w:ascii="Arial" w:hAnsi="Arial" w:cs="Arial"/>
          <w:b/>
          <w:sz w:val="22"/>
          <w:szCs w:val="22"/>
          <w:lang w:eastAsia="en-AU"/>
        </w:rPr>
        <w:t xml:space="preserve"> ‘as</w:t>
      </w:r>
      <w:r w:rsidR="006B2C62" w:rsidRPr="006B2C62">
        <w:rPr>
          <w:rFonts w:ascii="Arial" w:hAnsi="Arial" w:cs="Arial"/>
          <w:b/>
          <w:sz w:val="22"/>
          <w:szCs w:val="22"/>
          <w:lang w:eastAsia="en-AU"/>
        </w:rPr>
        <w:t xml:space="preserve"> </w:t>
      </w:r>
      <w:r w:rsidRPr="006B2C62">
        <w:rPr>
          <w:rFonts w:ascii="Arial" w:hAnsi="Arial" w:cs="Arial"/>
          <w:b/>
          <w:sz w:val="22"/>
          <w:szCs w:val="22"/>
          <w:lang w:eastAsia="en-AU"/>
        </w:rPr>
        <w:t>randomized’ Population</w:t>
      </w:r>
    </w:p>
    <w:p w:rsidR="00EE17FF" w:rsidRPr="00EE17FF" w:rsidRDefault="00567FF6" w:rsidP="005A459F">
      <w:pPr>
        <w:pStyle w:val="Default"/>
        <w:tabs>
          <w:tab w:val="left" w:pos="567"/>
        </w:tabs>
        <w:jc w:val="both"/>
        <w:rPr>
          <w:rFonts w:ascii="Times New Roman" w:hAnsi="Times New Roman" w:cs="Times New Roman"/>
          <w:b/>
          <w:bCs/>
          <w:color w:val="auto"/>
        </w:rPr>
      </w:pPr>
      <w:r>
        <w:rPr>
          <w:rFonts w:ascii="Times New Roman" w:hAnsi="Times New Roman" w:cs="Times New Roman"/>
          <w:b/>
          <w:bCs/>
          <w:noProof/>
          <w:color w:val="auto"/>
          <w:lang w:val="en-AU" w:eastAsia="en-AU"/>
        </w:rPr>
        <w:drawing>
          <wp:inline distT="0" distB="0" distL="0" distR="0">
            <wp:extent cx="5486400" cy="32111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211195"/>
                    </a:xfrm>
                    <a:prstGeom prst="rect">
                      <a:avLst/>
                    </a:prstGeom>
                    <a:noFill/>
                    <a:ln>
                      <a:noFill/>
                    </a:ln>
                  </pic:spPr>
                </pic:pic>
              </a:graphicData>
            </a:graphic>
          </wp:inline>
        </w:drawing>
      </w:r>
    </w:p>
    <w:p w:rsidR="00EE17FF" w:rsidRDefault="00EE17FF" w:rsidP="005A459F">
      <w:pPr>
        <w:pStyle w:val="Default"/>
        <w:tabs>
          <w:tab w:val="left" w:pos="567"/>
        </w:tabs>
        <w:jc w:val="both"/>
        <w:rPr>
          <w:rFonts w:ascii="Times New Roman" w:hAnsi="Times New Roman" w:cs="Times New Roman"/>
          <w:b/>
          <w:bCs/>
          <w:color w:val="auto"/>
        </w:rPr>
      </w:pPr>
    </w:p>
    <w:p w:rsidR="001C1C9C" w:rsidRDefault="001C1C9C" w:rsidP="005A459F">
      <w:pPr>
        <w:pStyle w:val="Default"/>
        <w:tabs>
          <w:tab w:val="left" w:pos="567"/>
        </w:tabs>
        <w:jc w:val="both"/>
        <w:rPr>
          <w:rFonts w:ascii="Times New Roman" w:hAnsi="Times New Roman" w:cs="Times New Roman"/>
          <w:b/>
          <w:bCs/>
          <w:color w:val="auto"/>
        </w:rPr>
      </w:pPr>
    </w:p>
    <w:p w:rsidR="009C1E08" w:rsidRDefault="009C1E08" w:rsidP="005A459F">
      <w:pPr>
        <w:pStyle w:val="Default"/>
        <w:tabs>
          <w:tab w:val="left" w:pos="567"/>
        </w:tabs>
        <w:jc w:val="both"/>
        <w:rPr>
          <w:rFonts w:ascii="Times New Roman" w:hAnsi="Times New Roman" w:cs="Times New Roman"/>
          <w:b/>
          <w:bCs/>
          <w:color w:val="auto"/>
        </w:rPr>
      </w:pPr>
      <w:r w:rsidRPr="00D206E8">
        <w:rPr>
          <w:rFonts w:ascii="Times New Roman" w:hAnsi="Times New Roman" w:cs="Times New Roman"/>
          <w:b/>
          <w:bCs/>
          <w:color w:val="auto"/>
        </w:rPr>
        <w:t>I</w:t>
      </w:r>
      <w:r w:rsidR="000078AD" w:rsidRPr="00D206E8">
        <w:rPr>
          <w:rFonts w:ascii="Times New Roman" w:hAnsi="Times New Roman" w:cs="Times New Roman"/>
          <w:b/>
          <w:bCs/>
          <w:color w:val="auto"/>
        </w:rPr>
        <w:t>ndications</w:t>
      </w:r>
      <w:r w:rsidRPr="00D206E8">
        <w:rPr>
          <w:rFonts w:ascii="Times New Roman" w:hAnsi="Times New Roman" w:cs="Times New Roman"/>
          <w:b/>
          <w:bCs/>
          <w:color w:val="auto"/>
        </w:rPr>
        <w:t xml:space="preserve"> </w:t>
      </w:r>
    </w:p>
    <w:p w:rsidR="005C7DBE" w:rsidRPr="007C4CEC" w:rsidRDefault="005C7DBE" w:rsidP="005C7DBE">
      <w:pPr>
        <w:pStyle w:val="Default"/>
        <w:tabs>
          <w:tab w:val="left" w:pos="567"/>
        </w:tabs>
        <w:jc w:val="both"/>
        <w:rPr>
          <w:rFonts w:ascii="Times New Roman" w:hAnsi="Times New Roman" w:cs="Times New Roman"/>
          <w:bCs/>
          <w:color w:val="auto"/>
        </w:rPr>
      </w:pPr>
      <w:proofErr w:type="spellStart"/>
      <w:r w:rsidRPr="00827A18">
        <w:rPr>
          <w:rFonts w:ascii="Times New Roman" w:hAnsi="Times New Roman" w:cs="Times New Roman"/>
          <w:bCs/>
          <w:color w:val="auto"/>
        </w:rPr>
        <w:t>Besivance</w:t>
      </w:r>
      <w:proofErr w:type="spellEnd"/>
      <w:r w:rsidRPr="007C4CEC">
        <w:rPr>
          <w:rFonts w:ascii="Times New Roman" w:hAnsi="Times New Roman" w:cs="Times New Roman"/>
          <w:bCs/>
          <w:color w:val="auto"/>
        </w:rPr>
        <w:t xml:space="preserve"> is indicated for the treatment of severe, confirmed bacterial conjunctivitis caused by </w:t>
      </w:r>
      <w:proofErr w:type="spellStart"/>
      <w:r w:rsidRPr="007C4CEC">
        <w:rPr>
          <w:rFonts w:ascii="Times New Roman" w:hAnsi="Times New Roman" w:cs="Times New Roman"/>
          <w:bCs/>
          <w:color w:val="auto"/>
        </w:rPr>
        <w:t>besifloxacin</w:t>
      </w:r>
      <w:proofErr w:type="spellEnd"/>
      <w:r w:rsidRPr="007C4CEC">
        <w:rPr>
          <w:rFonts w:ascii="Times New Roman" w:hAnsi="Times New Roman" w:cs="Times New Roman"/>
          <w:bCs/>
          <w:color w:val="auto"/>
        </w:rPr>
        <w:t xml:space="preserve"> sensitive bacteria. </w:t>
      </w:r>
    </w:p>
    <w:p w:rsidR="005C7DBE" w:rsidRPr="007C4CEC" w:rsidRDefault="005C7DBE" w:rsidP="005C7DBE">
      <w:pPr>
        <w:pStyle w:val="Default"/>
        <w:tabs>
          <w:tab w:val="left" w:pos="567"/>
        </w:tabs>
        <w:jc w:val="both"/>
        <w:rPr>
          <w:rFonts w:ascii="Times New Roman" w:hAnsi="Times New Roman" w:cs="Times New Roman"/>
          <w:bCs/>
          <w:color w:val="auto"/>
        </w:rPr>
      </w:pPr>
    </w:p>
    <w:p w:rsidR="00B52D73" w:rsidRPr="007C4CEC" w:rsidRDefault="005C7DBE" w:rsidP="005C7DBE">
      <w:pPr>
        <w:pStyle w:val="Default"/>
        <w:tabs>
          <w:tab w:val="left" w:pos="567"/>
        </w:tabs>
        <w:jc w:val="both"/>
        <w:rPr>
          <w:rFonts w:ascii="Times New Roman" w:hAnsi="Times New Roman" w:cs="Times New Roman"/>
          <w:bCs/>
          <w:color w:val="auto"/>
        </w:rPr>
      </w:pPr>
      <w:proofErr w:type="spellStart"/>
      <w:r w:rsidRPr="00827A18">
        <w:rPr>
          <w:rFonts w:ascii="Times New Roman" w:hAnsi="Times New Roman" w:cs="Times New Roman"/>
          <w:bCs/>
          <w:color w:val="auto"/>
        </w:rPr>
        <w:t>Besivance</w:t>
      </w:r>
      <w:proofErr w:type="spellEnd"/>
      <w:r w:rsidRPr="00827A18">
        <w:rPr>
          <w:rFonts w:ascii="Times New Roman" w:hAnsi="Times New Roman" w:cs="Times New Roman"/>
          <w:bCs/>
          <w:color w:val="auto"/>
        </w:rPr>
        <w:t xml:space="preserve"> </w:t>
      </w:r>
      <w:r w:rsidRPr="007C4CEC">
        <w:rPr>
          <w:rFonts w:ascii="Times New Roman" w:hAnsi="Times New Roman" w:cs="Times New Roman"/>
          <w:bCs/>
          <w:color w:val="auto"/>
        </w:rPr>
        <w:t>is indicated for adults and children 12 months and older.</w:t>
      </w:r>
    </w:p>
    <w:p w:rsidR="001C1C9C" w:rsidRDefault="001C1C9C" w:rsidP="00533B70">
      <w:pPr>
        <w:pStyle w:val="Default"/>
        <w:tabs>
          <w:tab w:val="left" w:pos="567"/>
        </w:tabs>
        <w:jc w:val="both"/>
        <w:rPr>
          <w:rFonts w:ascii="Times New Roman" w:hAnsi="Times New Roman" w:cs="Times New Roman"/>
          <w:b/>
          <w:bCs/>
          <w:color w:val="auto"/>
        </w:rPr>
      </w:pPr>
    </w:p>
    <w:p w:rsidR="001C1C9C" w:rsidRDefault="001C1C9C" w:rsidP="00533B70">
      <w:pPr>
        <w:pStyle w:val="Default"/>
        <w:tabs>
          <w:tab w:val="left" w:pos="567"/>
        </w:tabs>
        <w:jc w:val="both"/>
        <w:rPr>
          <w:rFonts w:ascii="Times New Roman" w:hAnsi="Times New Roman" w:cs="Times New Roman"/>
          <w:b/>
          <w:bCs/>
          <w:color w:val="auto"/>
        </w:rPr>
      </w:pPr>
    </w:p>
    <w:p w:rsidR="009C1E08" w:rsidRDefault="009C1E08" w:rsidP="00533B70">
      <w:pPr>
        <w:pStyle w:val="Default"/>
        <w:tabs>
          <w:tab w:val="left" w:pos="567"/>
        </w:tabs>
        <w:jc w:val="both"/>
        <w:rPr>
          <w:rFonts w:ascii="Times New Roman" w:hAnsi="Times New Roman" w:cs="Times New Roman"/>
          <w:b/>
          <w:bCs/>
          <w:color w:val="auto"/>
        </w:rPr>
      </w:pPr>
      <w:r w:rsidRPr="00D206E8">
        <w:rPr>
          <w:rFonts w:ascii="Times New Roman" w:hAnsi="Times New Roman" w:cs="Times New Roman"/>
          <w:b/>
          <w:bCs/>
          <w:color w:val="auto"/>
        </w:rPr>
        <w:t>C</w:t>
      </w:r>
      <w:r w:rsidR="000078AD" w:rsidRPr="00D206E8">
        <w:rPr>
          <w:rFonts w:ascii="Times New Roman" w:hAnsi="Times New Roman" w:cs="Times New Roman"/>
          <w:b/>
          <w:bCs/>
          <w:color w:val="auto"/>
        </w:rPr>
        <w:t xml:space="preserve">ontraindications </w:t>
      </w:r>
    </w:p>
    <w:p w:rsidR="009522BA" w:rsidRPr="00321828" w:rsidRDefault="004C00B1" w:rsidP="00321828">
      <w:pPr>
        <w:rPr>
          <w:sz w:val="24"/>
          <w:szCs w:val="24"/>
        </w:rPr>
      </w:pPr>
      <w:proofErr w:type="gramStart"/>
      <w:r w:rsidRPr="00321828">
        <w:rPr>
          <w:sz w:val="24"/>
          <w:szCs w:val="24"/>
        </w:rPr>
        <w:t>Hypersensitivity to any component of the product.</w:t>
      </w:r>
      <w:proofErr w:type="gramEnd"/>
      <w:r w:rsidRPr="00321828">
        <w:rPr>
          <w:sz w:val="24"/>
          <w:szCs w:val="24"/>
        </w:rPr>
        <w:t xml:space="preserve"> </w:t>
      </w:r>
    </w:p>
    <w:p w:rsidR="003305DB" w:rsidRPr="001C1C9C" w:rsidRDefault="003305DB" w:rsidP="003305DB">
      <w:pPr>
        <w:pStyle w:val="Default"/>
        <w:rPr>
          <w:rFonts w:ascii="Times New Roman" w:hAnsi="Times New Roman" w:cs="Times New Roman"/>
          <w:lang w:val="en-AU"/>
        </w:rPr>
      </w:pPr>
    </w:p>
    <w:p w:rsidR="001C1C9C" w:rsidRPr="001C1C9C" w:rsidRDefault="001C1C9C" w:rsidP="003305DB">
      <w:pPr>
        <w:pStyle w:val="Default"/>
        <w:rPr>
          <w:rFonts w:ascii="Times New Roman" w:hAnsi="Times New Roman" w:cs="Times New Roman"/>
          <w:lang w:val="en-AU"/>
        </w:rPr>
      </w:pPr>
    </w:p>
    <w:p w:rsidR="009C1E08" w:rsidRPr="00D206E8" w:rsidRDefault="009C1E08" w:rsidP="00533B70">
      <w:pPr>
        <w:pStyle w:val="Default"/>
        <w:tabs>
          <w:tab w:val="left" w:pos="567"/>
        </w:tabs>
        <w:jc w:val="both"/>
        <w:rPr>
          <w:rFonts w:ascii="Times New Roman" w:hAnsi="Times New Roman" w:cs="Times New Roman"/>
          <w:b/>
          <w:bCs/>
          <w:color w:val="auto"/>
        </w:rPr>
      </w:pPr>
      <w:r w:rsidRPr="00D206E8">
        <w:rPr>
          <w:rFonts w:ascii="Times New Roman" w:hAnsi="Times New Roman" w:cs="Times New Roman"/>
          <w:b/>
          <w:bCs/>
          <w:color w:val="auto"/>
        </w:rPr>
        <w:t>P</w:t>
      </w:r>
      <w:r w:rsidR="000078AD" w:rsidRPr="00D206E8">
        <w:rPr>
          <w:rFonts w:ascii="Times New Roman" w:hAnsi="Times New Roman" w:cs="Times New Roman"/>
          <w:b/>
          <w:bCs/>
          <w:color w:val="auto"/>
        </w:rPr>
        <w:t xml:space="preserve">recautions </w:t>
      </w:r>
    </w:p>
    <w:p w:rsidR="00B70EE3" w:rsidRPr="00321828" w:rsidRDefault="00B70EE3" w:rsidP="00321828">
      <w:pPr>
        <w:jc w:val="both"/>
        <w:rPr>
          <w:sz w:val="24"/>
          <w:szCs w:val="24"/>
        </w:rPr>
      </w:pPr>
      <w:proofErr w:type="spellStart"/>
      <w:r w:rsidRPr="00321828">
        <w:rPr>
          <w:sz w:val="24"/>
          <w:szCs w:val="24"/>
        </w:rPr>
        <w:t>Besivance</w:t>
      </w:r>
      <w:proofErr w:type="spellEnd"/>
      <w:r w:rsidRPr="00321828">
        <w:rPr>
          <w:sz w:val="24"/>
          <w:szCs w:val="24"/>
        </w:rPr>
        <w:t xml:space="preserve"> is for topical ophthalmic use only, and should not be injected </w:t>
      </w:r>
      <w:proofErr w:type="spellStart"/>
      <w:r w:rsidRPr="00321828">
        <w:rPr>
          <w:sz w:val="24"/>
          <w:szCs w:val="24"/>
        </w:rPr>
        <w:t>subconjunctivally</w:t>
      </w:r>
      <w:proofErr w:type="spellEnd"/>
      <w:r w:rsidRPr="00321828">
        <w:rPr>
          <w:sz w:val="24"/>
          <w:szCs w:val="24"/>
        </w:rPr>
        <w:t xml:space="preserve">, nor should it be introduced directly into the anterior chamber of the eye. </w:t>
      </w:r>
    </w:p>
    <w:p w:rsidR="00CC146A" w:rsidRPr="00321828" w:rsidRDefault="00CC146A" w:rsidP="00321828">
      <w:pPr>
        <w:jc w:val="both"/>
        <w:rPr>
          <w:sz w:val="24"/>
          <w:szCs w:val="24"/>
        </w:rPr>
      </w:pPr>
    </w:p>
    <w:p w:rsidR="00B70EE3" w:rsidRPr="00321828" w:rsidRDefault="00634C13" w:rsidP="00321828">
      <w:pPr>
        <w:jc w:val="both"/>
        <w:rPr>
          <w:sz w:val="24"/>
          <w:szCs w:val="24"/>
        </w:rPr>
      </w:pPr>
      <w:proofErr w:type="spellStart"/>
      <w:r>
        <w:rPr>
          <w:sz w:val="24"/>
          <w:szCs w:val="24"/>
        </w:rPr>
        <w:t>Besivance</w:t>
      </w:r>
      <w:proofErr w:type="spellEnd"/>
      <w:r>
        <w:rPr>
          <w:sz w:val="24"/>
          <w:szCs w:val="24"/>
        </w:rPr>
        <w:t xml:space="preserve"> is not indicated for long-term use and administration of this drug should not exceed the recommended 7 day course. </w:t>
      </w:r>
      <w:r w:rsidR="00B70EE3" w:rsidRPr="00321828">
        <w:rPr>
          <w:sz w:val="24"/>
          <w:szCs w:val="24"/>
        </w:rPr>
        <w:t>As with other anti-</w:t>
      </w:r>
      <w:proofErr w:type="spellStart"/>
      <w:r w:rsidR="00B70EE3" w:rsidRPr="00321828">
        <w:rPr>
          <w:sz w:val="24"/>
          <w:szCs w:val="24"/>
        </w:rPr>
        <w:t>infectiv</w:t>
      </w:r>
      <w:r w:rsidR="00B52D73" w:rsidRPr="00321828">
        <w:rPr>
          <w:sz w:val="24"/>
          <w:szCs w:val="24"/>
        </w:rPr>
        <w:t>es</w:t>
      </w:r>
      <w:proofErr w:type="spellEnd"/>
      <w:r w:rsidR="00B52D73" w:rsidRPr="00321828">
        <w:rPr>
          <w:sz w:val="24"/>
          <w:szCs w:val="24"/>
        </w:rPr>
        <w:t xml:space="preserve">, prolonged use of </w:t>
      </w:r>
      <w:proofErr w:type="spellStart"/>
      <w:r w:rsidR="00B52D73" w:rsidRPr="00321828">
        <w:rPr>
          <w:sz w:val="24"/>
          <w:szCs w:val="24"/>
        </w:rPr>
        <w:t>Besivance</w:t>
      </w:r>
      <w:proofErr w:type="spellEnd"/>
      <w:r w:rsidR="00B52D73" w:rsidRPr="00321828">
        <w:rPr>
          <w:sz w:val="24"/>
          <w:szCs w:val="24"/>
        </w:rPr>
        <w:t xml:space="preserve"> </w:t>
      </w:r>
      <w:r w:rsidR="00B70EE3" w:rsidRPr="00321828">
        <w:rPr>
          <w:sz w:val="24"/>
          <w:szCs w:val="24"/>
        </w:rPr>
        <w:t xml:space="preserve">may result in overgrowth of non-susceptible organisms, including fungi. If super-infection occurs, discontinue use and institute alternative therapy. Whenever clinical </w:t>
      </w:r>
      <w:r w:rsidR="00B70EE3" w:rsidRPr="00321828">
        <w:rPr>
          <w:sz w:val="24"/>
          <w:szCs w:val="24"/>
        </w:rPr>
        <w:lastRenderedPageBreak/>
        <w:t xml:space="preserve">judgment dictates, the patient should be examined with the aid of magnification, such as slit-lamp </w:t>
      </w:r>
      <w:proofErr w:type="spellStart"/>
      <w:r w:rsidR="00B70EE3" w:rsidRPr="00321828">
        <w:rPr>
          <w:sz w:val="24"/>
          <w:szCs w:val="24"/>
        </w:rPr>
        <w:t>biomicroscopy</w:t>
      </w:r>
      <w:proofErr w:type="spellEnd"/>
      <w:r w:rsidR="00B70EE3" w:rsidRPr="00321828">
        <w:rPr>
          <w:sz w:val="24"/>
          <w:szCs w:val="24"/>
        </w:rPr>
        <w:t xml:space="preserve">, and, where appropriate, fluorescein staining. </w:t>
      </w:r>
    </w:p>
    <w:p w:rsidR="00533B70" w:rsidRPr="00321828" w:rsidRDefault="00533B70" w:rsidP="00321828">
      <w:pPr>
        <w:jc w:val="both"/>
        <w:rPr>
          <w:sz w:val="24"/>
          <w:szCs w:val="24"/>
        </w:rPr>
      </w:pPr>
    </w:p>
    <w:p w:rsidR="00B70EE3" w:rsidRPr="00321828" w:rsidRDefault="00B70EE3" w:rsidP="00321828">
      <w:pPr>
        <w:jc w:val="both"/>
        <w:rPr>
          <w:sz w:val="24"/>
          <w:szCs w:val="24"/>
        </w:rPr>
      </w:pPr>
      <w:r w:rsidRPr="00321828">
        <w:rPr>
          <w:sz w:val="24"/>
          <w:szCs w:val="24"/>
        </w:rPr>
        <w:t xml:space="preserve">Patients should not wear contact lenses if they have signs or symptoms of bacterial conjunctivitis or during the course of therapy with </w:t>
      </w:r>
      <w:proofErr w:type="spellStart"/>
      <w:r w:rsidRPr="00321828">
        <w:rPr>
          <w:sz w:val="24"/>
          <w:szCs w:val="24"/>
        </w:rPr>
        <w:t>Besivance</w:t>
      </w:r>
      <w:proofErr w:type="spellEnd"/>
      <w:r w:rsidRPr="00321828">
        <w:rPr>
          <w:sz w:val="24"/>
          <w:szCs w:val="24"/>
        </w:rPr>
        <w:t xml:space="preserve">. </w:t>
      </w:r>
    </w:p>
    <w:p w:rsidR="00533B70" w:rsidRPr="00321828" w:rsidRDefault="00533B70" w:rsidP="00321828">
      <w:pPr>
        <w:jc w:val="both"/>
        <w:rPr>
          <w:sz w:val="24"/>
          <w:szCs w:val="24"/>
        </w:rPr>
      </w:pPr>
    </w:p>
    <w:p w:rsidR="004C00B1" w:rsidRPr="00321828" w:rsidRDefault="004C00B1" w:rsidP="00321828">
      <w:pPr>
        <w:jc w:val="both"/>
        <w:rPr>
          <w:sz w:val="24"/>
          <w:szCs w:val="24"/>
        </w:rPr>
      </w:pPr>
      <w:r w:rsidRPr="00321828">
        <w:rPr>
          <w:sz w:val="24"/>
          <w:szCs w:val="24"/>
        </w:rPr>
        <w:t xml:space="preserve">Although </w:t>
      </w:r>
      <w:proofErr w:type="spellStart"/>
      <w:r w:rsidRPr="00321828">
        <w:rPr>
          <w:sz w:val="24"/>
          <w:szCs w:val="24"/>
        </w:rPr>
        <w:t>Besivance</w:t>
      </w:r>
      <w:proofErr w:type="spellEnd"/>
      <w:r w:rsidRPr="00321828">
        <w:rPr>
          <w:sz w:val="24"/>
          <w:szCs w:val="24"/>
        </w:rPr>
        <w:t xml:space="preserve"> is not intended to be administered systemically, quinolones administered systemically have been associated with hypersensitivity reactions, even following a single dose. Patients should be advised to discontinue use immediately and contact their physician at the first sign of a rash or allergic reaction.</w:t>
      </w:r>
    </w:p>
    <w:p w:rsidR="003305DB" w:rsidRPr="00321828" w:rsidRDefault="003305DB" w:rsidP="00321828">
      <w:pPr>
        <w:jc w:val="both"/>
        <w:rPr>
          <w:sz w:val="24"/>
          <w:szCs w:val="24"/>
        </w:rPr>
      </w:pPr>
    </w:p>
    <w:p w:rsidR="004C00B1" w:rsidRPr="00EA6361" w:rsidRDefault="00224B4F" w:rsidP="00321828">
      <w:pPr>
        <w:jc w:val="both"/>
        <w:rPr>
          <w:rFonts w:eastAsia="Arial Unicode MS"/>
          <w:sz w:val="24"/>
          <w:szCs w:val="24"/>
          <w:u w:val="single"/>
        </w:rPr>
      </w:pPr>
      <w:r w:rsidRPr="00EA6361">
        <w:rPr>
          <w:rFonts w:eastAsia="Arial Unicode MS"/>
          <w:sz w:val="24"/>
          <w:szCs w:val="24"/>
          <w:u w:val="single"/>
        </w:rPr>
        <w:t>Effects on fertility</w:t>
      </w:r>
    </w:p>
    <w:p w:rsidR="00224B4F" w:rsidRPr="00321828" w:rsidRDefault="00224B4F" w:rsidP="00321828">
      <w:pPr>
        <w:jc w:val="both"/>
        <w:rPr>
          <w:rFonts w:eastAsia="Arial Unicode MS"/>
          <w:sz w:val="24"/>
          <w:szCs w:val="24"/>
        </w:rPr>
      </w:pPr>
      <w:r w:rsidRPr="00B52D73">
        <w:rPr>
          <w:sz w:val="24"/>
          <w:szCs w:val="24"/>
        </w:rPr>
        <w:t xml:space="preserve">In a fertility and early embryonic development study in rats, </w:t>
      </w:r>
      <w:proofErr w:type="spellStart"/>
      <w:r w:rsidRPr="00B52D73">
        <w:rPr>
          <w:sz w:val="24"/>
          <w:szCs w:val="24"/>
        </w:rPr>
        <w:t>besifloxacin</w:t>
      </w:r>
      <w:proofErr w:type="spellEnd"/>
      <w:r w:rsidRPr="00B52D73">
        <w:rPr>
          <w:sz w:val="24"/>
          <w:szCs w:val="24"/>
        </w:rPr>
        <w:t xml:space="preserve"> did not impair the fertility of male or female rats at oral doses of up to 500 mg/kg/day. This is over 10,000 times higher than the recommended total daily human ophthalmic dose</w:t>
      </w:r>
      <w:r w:rsidRPr="00D206E8">
        <w:t>.</w:t>
      </w:r>
    </w:p>
    <w:p w:rsidR="00224B4F" w:rsidRDefault="00224B4F" w:rsidP="007E0EA5">
      <w:pPr>
        <w:pStyle w:val="Default"/>
        <w:tabs>
          <w:tab w:val="left" w:pos="567"/>
        </w:tabs>
        <w:ind w:left="567" w:hanging="567"/>
        <w:jc w:val="both"/>
        <w:rPr>
          <w:rFonts w:ascii="Times New Roman" w:hAnsi="Times New Roman" w:cs="Times New Roman"/>
          <w:color w:val="auto"/>
          <w:u w:val="single"/>
        </w:rPr>
      </w:pPr>
    </w:p>
    <w:p w:rsidR="000F3615" w:rsidRDefault="009C1E08" w:rsidP="0051197D">
      <w:pPr>
        <w:pStyle w:val="Default"/>
        <w:tabs>
          <w:tab w:val="left" w:pos="567"/>
        </w:tabs>
        <w:ind w:left="567" w:hanging="567"/>
        <w:jc w:val="both"/>
        <w:rPr>
          <w:rFonts w:ascii="Times New Roman" w:hAnsi="Times New Roman" w:cs="Times New Roman"/>
          <w:b/>
        </w:rPr>
      </w:pPr>
      <w:r w:rsidRPr="00D206E8">
        <w:rPr>
          <w:rFonts w:ascii="Times New Roman" w:hAnsi="Times New Roman" w:cs="Times New Roman"/>
          <w:color w:val="auto"/>
          <w:u w:val="single"/>
        </w:rPr>
        <w:t>Use in pregn</w:t>
      </w:r>
      <w:r w:rsidR="000F3615" w:rsidRPr="00D206E8">
        <w:rPr>
          <w:rFonts w:ascii="Times New Roman" w:hAnsi="Times New Roman" w:cs="Times New Roman"/>
          <w:color w:val="auto"/>
          <w:u w:val="single"/>
        </w:rPr>
        <w:t>ancy</w:t>
      </w:r>
      <w:r w:rsidR="00CC146A">
        <w:rPr>
          <w:rFonts w:ascii="Times New Roman" w:hAnsi="Times New Roman" w:cs="Times New Roman"/>
          <w:b/>
          <w:color w:val="auto"/>
        </w:rPr>
        <w:t xml:space="preserve"> </w:t>
      </w:r>
      <w:r w:rsidR="00621908">
        <w:rPr>
          <w:rFonts w:ascii="Times New Roman" w:hAnsi="Times New Roman" w:cs="Times New Roman"/>
          <w:b/>
        </w:rPr>
        <w:t>Category B3</w:t>
      </w:r>
    </w:p>
    <w:p w:rsidR="0051197D" w:rsidRPr="0051197D" w:rsidRDefault="0051197D" w:rsidP="0051197D">
      <w:pPr>
        <w:pStyle w:val="Default"/>
        <w:tabs>
          <w:tab w:val="left" w:pos="0"/>
        </w:tabs>
        <w:jc w:val="both"/>
        <w:rPr>
          <w:rFonts w:ascii="Times New Roman" w:hAnsi="Times New Roman" w:cs="Times New Roman"/>
          <w:b/>
        </w:rPr>
      </w:pPr>
      <w:r w:rsidRPr="0051197D">
        <w:rPr>
          <w:rFonts w:ascii="Times New Roman" w:hAnsi="Times New Roman"/>
        </w:rPr>
        <w:t xml:space="preserve">Since there are no adequate and well-controlled studies in pregnant women, </w:t>
      </w:r>
      <w:proofErr w:type="spellStart"/>
      <w:r w:rsidRPr="0051197D">
        <w:rPr>
          <w:rFonts w:ascii="Times New Roman" w:hAnsi="Times New Roman"/>
        </w:rPr>
        <w:t>Besivance</w:t>
      </w:r>
      <w:proofErr w:type="spellEnd"/>
      <w:r w:rsidRPr="0051197D">
        <w:rPr>
          <w:rFonts w:ascii="Times New Roman" w:hAnsi="Times New Roman"/>
        </w:rPr>
        <w:t xml:space="preserve"> should be used during pregnancy only if the potential benefit justifies the potential risk to the</w:t>
      </w:r>
      <w:r w:rsidR="00476146">
        <w:rPr>
          <w:rFonts w:ascii="Times New Roman" w:hAnsi="Times New Roman"/>
        </w:rPr>
        <w:t xml:space="preserve"> </w:t>
      </w:r>
      <w:r w:rsidR="00224B4F">
        <w:rPr>
          <w:rFonts w:ascii="Times New Roman" w:hAnsi="Times New Roman"/>
        </w:rPr>
        <w:t>fetus</w:t>
      </w:r>
      <w:r w:rsidRPr="0051197D">
        <w:rPr>
          <w:rFonts w:ascii="Times New Roman" w:hAnsi="Times New Roman"/>
        </w:rPr>
        <w:t>.</w:t>
      </w:r>
    </w:p>
    <w:p w:rsidR="0059395F" w:rsidRDefault="0059395F" w:rsidP="003305DB">
      <w:pPr>
        <w:pStyle w:val="NormalWeb"/>
        <w:tabs>
          <w:tab w:val="left" w:pos="567"/>
        </w:tabs>
        <w:spacing w:before="0" w:beforeAutospacing="0" w:after="0" w:afterAutospacing="0"/>
        <w:jc w:val="both"/>
      </w:pPr>
    </w:p>
    <w:p w:rsidR="00385C1B" w:rsidRDefault="00B70EE3" w:rsidP="00385C1B">
      <w:pPr>
        <w:pStyle w:val="CM13"/>
        <w:tabs>
          <w:tab w:val="left" w:pos="0"/>
        </w:tabs>
        <w:spacing w:line="278" w:lineRule="atLeast"/>
        <w:jc w:val="both"/>
      </w:pPr>
      <w:r w:rsidRPr="00D206E8">
        <w:t xml:space="preserve">Oral doses of </w:t>
      </w:r>
      <w:proofErr w:type="spellStart"/>
      <w:r w:rsidRPr="00D206E8">
        <w:t>besifloxacin</w:t>
      </w:r>
      <w:proofErr w:type="spellEnd"/>
      <w:r w:rsidRPr="00D206E8">
        <w:t xml:space="preserve"> up to 1000 mg/kg/day were not associated with visceral or skeletal malformations in rat pups in a study of embryo-</w:t>
      </w:r>
      <w:proofErr w:type="spellStart"/>
      <w:r w:rsidR="00224B4F">
        <w:t>fetal</w:t>
      </w:r>
      <w:proofErr w:type="spellEnd"/>
      <w:r w:rsidR="00224B4F" w:rsidRPr="00D206E8">
        <w:t xml:space="preserve"> </w:t>
      </w:r>
      <w:r w:rsidRPr="00D206E8">
        <w:t xml:space="preserve">development, although this dose was associated with maternal toxicity (reduced body weight gain and food consumption) and maternal mortality. Increased post-implantation loss, decreased </w:t>
      </w:r>
      <w:proofErr w:type="spellStart"/>
      <w:r w:rsidR="00224B4F">
        <w:t>fetal</w:t>
      </w:r>
      <w:proofErr w:type="spellEnd"/>
      <w:r w:rsidR="00224B4F" w:rsidRPr="00D206E8">
        <w:t xml:space="preserve"> </w:t>
      </w:r>
      <w:r w:rsidRPr="00D206E8">
        <w:t xml:space="preserve">body weights, and decreased </w:t>
      </w:r>
      <w:proofErr w:type="spellStart"/>
      <w:r w:rsidR="00224B4F">
        <w:t>fetal</w:t>
      </w:r>
      <w:proofErr w:type="spellEnd"/>
      <w:r w:rsidR="00224B4F" w:rsidRPr="00D206E8">
        <w:t xml:space="preserve"> </w:t>
      </w:r>
      <w:r w:rsidRPr="00D206E8">
        <w:t xml:space="preserve">ossification were also observed. </w:t>
      </w:r>
      <w:r w:rsidR="00385C1B" w:rsidRPr="00D206E8">
        <w:t xml:space="preserve">At this dose, the mean </w:t>
      </w:r>
      <w:proofErr w:type="spellStart"/>
      <w:r w:rsidR="00385C1B" w:rsidRPr="00D206E8">
        <w:t>C</w:t>
      </w:r>
      <w:r w:rsidR="00385C1B" w:rsidRPr="007C4CEC">
        <w:rPr>
          <w:vertAlign w:val="subscript"/>
        </w:rPr>
        <w:t>max</w:t>
      </w:r>
      <w:proofErr w:type="spellEnd"/>
      <w:r w:rsidR="00385C1B" w:rsidRPr="00D206E8">
        <w:t xml:space="preserve"> in the rat dams was approximately </w:t>
      </w:r>
      <w:r w:rsidR="00385C1B">
        <w:t>12.34</w:t>
      </w:r>
      <w:r w:rsidR="00385C1B" w:rsidRPr="00D206E8">
        <w:t xml:space="preserve"> </w:t>
      </w:r>
      <w:r w:rsidR="00385C1B">
        <w:t>µ</w:t>
      </w:r>
      <w:r w:rsidR="00385C1B" w:rsidRPr="00D206E8">
        <w:t>g/mL, &gt;</w:t>
      </w:r>
      <w:r w:rsidR="00385C1B">
        <w:t>31</w:t>
      </w:r>
      <w:r w:rsidR="00385C1B" w:rsidRPr="00D206E8">
        <w:t>,000 times the mean plasma concentrations measured in humans. The No Observed Adverse Effect Level (NOAEL) for this embryo-f</w:t>
      </w:r>
      <w:r w:rsidR="00385C1B">
        <w:t>o</w:t>
      </w:r>
      <w:r w:rsidR="00385C1B" w:rsidRPr="00D206E8">
        <w:t>etal development study was 100 mg/kg/day (</w:t>
      </w:r>
      <w:proofErr w:type="spellStart"/>
      <w:r w:rsidR="00385C1B" w:rsidRPr="00D206E8">
        <w:t>C</w:t>
      </w:r>
      <w:r w:rsidR="00385C1B" w:rsidRPr="00321828">
        <w:rPr>
          <w:vertAlign w:val="subscript"/>
        </w:rPr>
        <w:t>max</w:t>
      </w:r>
      <w:proofErr w:type="spellEnd"/>
      <w:r w:rsidR="00385C1B" w:rsidRPr="00D206E8">
        <w:t>, 5</w:t>
      </w:r>
      <w:r w:rsidR="00385C1B">
        <w:t>.1</w:t>
      </w:r>
      <w:r w:rsidR="00385C1B" w:rsidRPr="00D206E8">
        <w:t xml:space="preserve"> </w:t>
      </w:r>
      <w:r w:rsidR="00385C1B">
        <w:t>µ</w:t>
      </w:r>
      <w:r w:rsidR="00385C1B" w:rsidRPr="00D206E8">
        <w:t>g/mL,</w:t>
      </w:r>
      <w:r w:rsidR="00385C1B">
        <w:t xml:space="preserve"> </w:t>
      </w:r>
      <w:r w:rsidR="00385C1B" w:rsidRPr="00D206E8">
        <w:t>&gt;</w:t>
      </w:r>
      <w:r w:rsidR="00385C1B">
        <w:t>12,750</w:t>
      </w:r>
      <w:r w:rsidR="00385C1B" w:rsidRPr="00D206E8">
        <w:t xml:space="preserve"> times the mean plasma concentrations measured in humans). </w:t>
      </w:r>
    </w:p>
    <w:p w:rsidR="0051197D" w:rsidRPr="00B52D73" w:rsidRDefault="0051197D" w:rsidP="00B52D73">
      <w:pPr>
        <w:jc w:val="both"/>
        <w:rPr>
          <w:sz w:val="24"/>
          <w:szCs w:val="24"/>
        </w:rPr>
      </w:pPr>
    </w:p>
    <w:p w:rsidR="00B70EE3" w:rsidRPr="00B52D73" w:rsidRDefault="00B70EE3" w:rsidP="00B52D73">
      <w:pPr>
        <w:jc w:val="both"/>
        <w:rPr>
          <w:sz w:val="24"/>
          <w:szCs w:val="24"/>
        </w:rPr>
      </w:pPr>
      <w:r w:rsidRPr="00B52D73">
        <w:rPr>
          <w:sz w:val="24"/>
          <w:szCs w:val="24"/>
        </w:rPr>
        <w:t xml:space="preserve">In a prenatal and postnatal development study in rats, the NOAELs for both </w:t>
      </w:r>
      <w:proofErr w:type="spellStart"/>
      <w:r w:rsidR="00224B4F">
        <w:rPr>
          <w:sz w:val="24"/>
          <w:szCs w:val="24"/>
        </w:rPr>
        <w:t>fetal</w:t>
      </w:r>
      <w:proofErr w:type="spellEnd"/>
      <w:r w:rsidR="00224B4F" w:rsidRPr="00B52D73">
        <w:rPr>
          <w:sz w:val="24"/>
          <w:szCs w:val="24"/>
        </w:rPr>
        <w:t xml:space="preserve"> </w:t>
      </w:r>
      <w:r w:rsidRPr="00B52D73">
        <w:rPr>
          <w:sz w:val="24"/>
          <w:szCs w:val="24"/>
        </w:rPr>
        <w:t xml:space="preserve">and maternal toxicity were also 100 mg/kg/day. At 1000 mg/kg/day, the pups weighed significantly less than controls and had a reduced neonatal survival rate. Attainment of developmental landmarks and sexual maturation were delayed, although surviving pups from this dose group that were reared to maturity did not demonstrate deficits in </w:t>
      </w:r>
      <w:r w:rsidR="00E05FD1" w:rsidRPr="00B52D73">
        <w:rPr>
          <w:sz w:val="24"/>
          <w:szCs w:val="24"/>
        </w:rPr>
        <w:t>behaviour</w:t>
      </w:r>
      <w:r w:rsidRPr="00B52D73">
        <w:rPr>
          <w:sz w:val="24"/>
          <w:szCs w:val="24"/>
        </w:rPr>
        <w:t xml:space="preserve">, including activity, learning and memory, and their reproductive capacity appeared normal. </w:t>
      </w:r>
    </w:p>
    <w:p w:rsidR="00DD040A" w:rsidRDefault="00DD040A" w:rsidP="007E0EA5">
      <w:pPr>
        <w:pStyle w:val="Default"/>
        <w:tabs>
          <w:tab w:val="left" w:pos="567"/>
        </w:tabs>
        <w:ind w:left="567" w:hanging="567"/>
        <w:jc w:val="both"/>
        <w:rPr>
          <w:rFonts w:ascii="Times New Roman" w:hAnsi="Times New Roman" w:cs="Times New Roman"/>
          <w:color w:val="auto"/>
          <w:u w:val="single"/>
        </w:rPr>
      </w:pPr>
    </w:p>
    <w:p w:rsidR="009C1E08" w:rsidRPr="00D206E8" w:rsidRDefault="0021121E" w:rsidP="007E0EA5">
      <w:pPr>
        <w:pStyle w:val="Default"/>
        <w:tabs>
          <w:tab w:val="left" w:pos="567"/>
        </w:tabs>
        <w:ind w:left="567" w:hanging="567"/>
        <w:jc w:val="both"/>
        <w:rPr>
          <w:rFonts w:ascii="Times New Roman" w:hAnsi="Times New Roman" w:cs="Times New Roman"/>
          <w:color w:val="auto"/>
          <w:u w:val="single"/>
        </w:rPr>
      </w:pPr>
      <w:r w:rsidRPr="00D206E8">
        <w:rPr>
          <w:rFonts w:ascii="Times New Roman" w:hAnsi="Times New Roman" w:cs="Times New Roman"/>
          <w:color w:val="auto"/>
          <w:u w:val="single"/>
        </w:rPr>
        <w:t>Use in lactation</w:t>
      </w:r>
    </w:p>
    <w:p w:rsidR="00B70EE3" w:rsidRPr="00B52D73" w:rsidRDefault="00B70EE3" w:rsidP="00B52D73">
      <w:pPr>
        <w:jc w:val="both"/>
        <w:rPr>
          <w:sz w:val="24"/>
          <w:szCs w:val="24"/>
        </w:rPr>
      </w:pPr>
      <w:proofErr w:type="spellStart"/>
      <w:r w:rsidRPr="00B52D73">
        <w:rPr>
          <w:sz w:val="24"/>
          <w:szCs w:val="24"/>
        </w:rPr>
        <w:t>Besifloxacin</w:t>
      </w:r>
      <w:proofErr w:type="spellEnd"/>
      <w:r w:rsidRPr="00B52D73">
        <w:rPr>
          <w:sz w:val="24"/>
          <w:szCs w:val="24"/>
        </w:rPr>
        <w:t xml:space="preserve"> has not been measured in human milk, although it can be presumed to be excreted in human milk. Caution should be exercised when </w:t>
      </w:r>
      <w:proofErr w:type="spellStart"/>
      <w:r w:rsidRPr="00B52D73">
        <w:rPr>
          <w:sz w:val="24"/>
          <w:szCs w:val="24"/>
        </w:rPr>
        <w:t>Besivance</w:t>
      </w:r>
      <w:proofErr w:type="spellEnd"/>
      <w:r w:rsidR="00621908" w:rsidRPr="00B52D73">
        <w:rPr>
          <w:sz w:val="24"/>
          <w:szCs w:val="24"/>
        </w:rPr>
        <w:t xml:space="preserve"> </w:t>
      </w:r>
      <w:r w:rsidRPr="00B52D73">
        <w:rPr>
          <w:sz w:val="24"/>
          <w:szCs w:val="24"/>
        </w:rPr>
        <w:t xml:space="preserve">is administered to a nursing mother. </w:t>
      </w:r>
    </w:p>
    <w:p w:rsidR="00CC146A" w:rsidRDefault="00CC146A" w:rsidP="0051197D">
      <w:pPr>
        <w:pStyle w:val="Default"/>
        <w:rPr>
          <w:lang w:val="en-AU"/>
        </w:rPr>
      </w:pPr>
    </w:p>
    <w:p w:rsidR="00224B4F" w:rsidRDefault="00224B4F" w:rsidP="00EA6361">
      <w:pPr>
        <w:pStyle w:val="Default"/>
        <w:tabs>
          <w:tab w:val="left" w:pos="567"/>
        </w:tabs>
        <w:ind w:left="567" w:hanging="567"/>
        <w:jc w:val="both"/>
        <w:rPr>
          <w:rFonts w:ascii="Times New Roman" w:hAnsi="Times New Roman" w:cs="Times New Roman"/>
          <w:color w:val="auto"/>
          <w:u w:val="single"/>
        </w:rPr>
      </w:pPr>
      <w:proofErr w:type="spellStart"/>
      <w:r w:rsidRPr="00EA6361">
        <w:rPr>
          <w:rFonts w:ascii="Times New Roman" w:hAnsi="Times New Roman" w:cs="Times New Roman"/>
          <w:color w:val="auto"/>
          <w:u w:val="single"/>
        </w:rPr>
        <w:t>Genotoxicity</w:t>
      </w:r>
      <w:proofErr w:type="spellEnd"/>
    </w:p>
    <w:p w:rsidR="00224B4F" w:rsidRPr="00B52D73" w:rsidRDefault="00224B4F" w:rsidP="00224B4F">
      <w:pPr>
        <w:jc w:val="both"/>
        <w:rPr>
          <w:sz w:val="24"/>
          <w:szCs w:val="24"/>
        </w:rPr>
      </w:pPr>
      <w:r w:rsidRPr="00B52D73">
        <w:rPr>
          <w:sz w:val="24"/>
          <w:szCs w:val="24"/>
        </w:rPr>
        <w:t xml:space="preserve">No </w:t>
      </w:r>
      <w:r>
        <w:rPr>
          <w:sz w:val="24"/>
          <w:szCs w:val="24"/>
        </w:rPr>
        <w:t>in-</w:t>
      </w:r>
      <w:r w:rsidRPr="00B52D73">
        <w:rPr>
          <w:sz w:val="24"/>
          <w:szCs w:val="24"/>
        </w:rPr>
        <w:t xml:space="preserve">vitro mutagenic activity of </w:t>
      </w:r>
      <w:proofErr w:type="spellStart"/>
      <w:r w:rsidRPr="00B52D73">
        <w:rPr>
          <w:sz w:val="24"/>
          <w:szCs w:val="24"/>
        </w:rPr>
        <w:t>besifloxacin</w:t>
      </w:r>
      <w:proofErr w:type="spellEnd"/>
      <w:r w:rsidRPr="00B52D73">
        <w:rPr>
          <w:sz w:val="24"/>
          <w:szCs w:val="24"/>
        </w:rPr>
        <w:t xml:space="preserve"> was observed in an Ames test </w:t>
      </w:r>
      <w:proofErr w:type="gramStart"/>
      <w:r w:rsidRPr="00B52D73">
        <w:rPr>
          <w:sz w:val="24"/>
          <w:szCs w:val="24"/>
        </w:rPr>
        <w:t>(up to 3.33 mcg/plate)</w:t>
      </w:r>
      <w:proofErr w:type="gramEnd"/>
      <w:r w:rsidRPr="00B52D73">
        <w:rPr>
          <w:sz w:val="24"/>
          <w:szCs w:val="24"/>
        </w:rPr>
        <w:t xml:space="preserve"> on bacterial tester strains </w:t>
      </w:r>
      <w:r w:rsidRPr="00B52D73">
        <w:rPr>
          <w:i/>
          <w:sz w:val="24"/>
          <w:szCs w:val="24"/>
        </w:rPr>
        <w:t xml:space="preserve">Salmonella </w:t>
      </w:r>
      <w:proofErr w:type="spellStart"/>
      <w:r w:rsidRPr="00B52D73">
        <w:rPr>
          <w:i/>
          <w:sz w:val="24"/>
          <w:szCs w:val="24"/>
        </w:rPr>
        <w:t>typhimurium</w:t>
      </w:r>
      <w:proofErr w:type="spellEnd"/>
      <w:r w:rsidRPr="00B52D73">
        <w:rPr>
          <w:sz w:val="24"/>
          <w:szCs w:val="24"/>
        </w:rPr>
        <w:t xml:space="preserve"> TA98, TA100, TA1535, </w:t>
      </w:r>
      <w:r w:rsidRPr="00B52D73">
        <w:rPr>
          <w:sz w:val="24"/>
          <w:szCs w:val="24"/>
        </w:rPr>
        <w:lastRenderedPageBreak/>
        <w:t xml:space="preserve">TA1537 and </w:t>
      </w:r>
      <w:r w:rsidRPr="00B52D73">
        <w:rPr>
          <w:i/>
          <w:sz w:val="24"/>
          <w:szCs w:val="24"/>
        </w:rPr>
        <w:t>Escherichia coli</w:t>
      </w:r>
      <w:r w:rsidRPr="00B52D73">
        <w:rPr>
          <w:sz w:val="24"/>
          <w:szCs w:val="24"/>
        </w:rPr>
        <w:t xml:space="preserve"> WP2uvrA. However, it was mutagenic in </w:t>
      </w:r>
      <w:r w:rsidRPr="00321828">
        <w:rPr>
          <w:i/>
          <w:sz w:val="24"/>
          <w:szCs w:val="24"/>
        </w:rPr>
        <w:t xml:space="preserve">S. </w:t>
      </w:r>
      <w:proofErr w:type="spellStart"/>
      <w:r w:rsidRPr="00321828">
        <w:rPr>
          <w:i/>
          <w:sz w:val="24"/>
          <w:szCs w:val="24"/>
        </w:rPr>
        <w:t>typhimurium</w:t>
      </w:r>
      <w:proofErr w:type="spellEnd"/>
      <w:r w:rsidRPr="00B52D73">
        <w:rPr>
          <w:sz w:val="24"/>
          <w:szCs w:val="24"/>
        </w:rPr>
        <w:t xml:space="preserve"> strain TA102 and </w:t>
      </w:r>
      <w:r w:rsidRPr="00321828">
        <w:rPr>
          <w:i/>
          <w:sz w:val="24"/>
          <w:szCs w:val="24"/>
        </w:rPr>
        <w:t>E. coli</w:t>
      </w:r>
      <w:r w:rsidRPr="00B52D73">
        <w:rPr>
          <w:sz w:val="24"/>
          <w:szCs w:val="24"/>
        </w:rPr>
        <w:t xml:space="preserve"> strain </w:t>
      </w:r>
      <w:proofErr w:type="gramStart"/>
      <w:r w:rsidRPr="00B52D73">
        <w:rPr>
          <w:sz w:val="24"/>
          <w:szCs w:val="24"/>
        </w:rPr>
        <w:t>WP2(</w:t>
      </w:r>
      <w:proofErr w:type="gramEnd"/>
      <w:r w:rsidRPr="00B52D73">
        <w:rPr>
          <w:sz w:val="24"/>
          <w:szCs w:val="24"/>
        </w:rPr>
        <w:t xml:space="preserve">pKM101). Positive responses in these strains have been observed with other quinolones and are likely related to topoisomerase inhibition. </w:t>
      </w:r>
    </w:p>
    <w:p w:rsidR="00224B4F" w:rsidRPr="00B52D73" w:rsidRDefault="00224B4F" w:rsidP="00224B4F">
      <w:pPr>
        <w:jc w:val="both"/>
        <w:rPr>
          <w:sz w:val="24"/>
          <w:szCs w:val="24"/>
        </w:rPr>
      </w:pPr>
    </w:p>
    <w:p w:rsidR="00224B4F" w:rsidRDefault="00224B4F" w:rsidP="00EA6361">
      <w:pPr>
        <w:pStyle w:val="Default"/>
        <w:tabs>
          <w:tab w:val="left" w:pos="567"/>
        </w:tabs>
        <w:ind w:left="567" w:hanging="567"/>
        <w:jc w:val="both"/>
        <w:rPr>
          <w:rFonts w:ascii="Times New Roman" w:hAnsi="Times New Roman" w:cs="Times New Roman"/>
          <w:color w:val="auto"/>
          <w:lang w:val="en-AU"/>
        </w:rPr>
      </w:pPr>
      <w:proofErr w:type="spellStart"/>
      <w:r w:rsidRPr="00EA6361">
        <w:rPr>
          <w:rFonts w:ascii="Times New Roman" w:hAnsi="Times New Roman" w:cs="Times New Roman"/>
          <w:color w:val="auto"/>
          <w:lang w:val="en-AU"/>
        </w:rPr>
        <w:t>Besifloxacin</w:t>
      </w:r>
      <w:proofErr w:type="spellEnd"/>
      <w:r w:rsidRPr="00EA6361">
        <w:rPr>
          <w:rFonts w:ascii="Times New Roman" w:hAnsi="Times New Roman" w:cs="Times New Roman"/>
          <w:color w:val="auto"/>
          <w:lang w:val="en-AU"/>
        </w:rPr>
        <w:t xml:space="preserve"> induced chromosomal aberrations in CHO cells </w:t>
      </w:r>
      <w:r w:rsidRPr="00840BAA">
        <w:rPr>
          <w:rFonts w:ascii="Times New Roman" w:hAnsi="Times New Roman" w:cs="Times New Roman"/>
          <w:color w:val="auto"/>
          <w:lang w:val="en-AU"/>
        </w:rPr>
        <w:t>in vitro and it was positive in</w:t>
      </w:r>
    </w:p>
    <w:p w:rsidR="00224B4F" w:rsidRDefault="00224B4F" w:rsidP="00EA6361">
      <w:pPr>
        <w:pStyle w:val="Default"/>
        <w:tabs>
          <w:tab w:val="left" w:pos="567"/>
        </w:tabs>
        <w:ind w:left="567" w:hanging="567"/>
        <w:jc w:val="both"/>
        <w:rPr>
          <w:rFonts w:ascii="Times New Roman" w:hAnsi="Times New Roman" w:cs="Times New Roman"/>
          <w:color w:val="auto"/>
          <w:lang w:val="en-AU"/>
        </w:rPr>
      </w:pPr>
      <w:proofErr w:type="gramStart"/>
      <w:r w:rsidRPr="00EA6361">
        <w:rPr>
          <w:rFonts w:ascii="Times New Roman" w:hAnsi="Times New Roman" w:cs="Times New Roman"/>
          <w:color w:val="auto"/>
          <w:lang w:val="en-AU"/>
        </w:rPr>
        <w:t>an</w:t>
      </w:r>
      <w:proofErr w:type="gramEnd"/>
      <w:r w:rsidRPr="00EA6361">
        <w:rPr>
          <w:rFonts w:ascii="Times New Roman" w:hAnsi="Times New Roman" w:cs="Times New Roman"/>
          <w:color w:val="auto"/>
          <w:lang w:val="en-AU"/>
        </w:rPr>
        <w:t xml:space="preserve"> in vivo mouse micronucleus assay at oral doses ≥ 1</w:t>
      </w:r>
      <w:r w:rsidRPr="00840BAA">
        <w:rPr>
          <w:rFonts w:ascii="Times New Roman" w:hAnsi="Times New Roman" w:cs="Times New Roman"/>
          <w:color w:val="auto"/>
          <w:lang w:val="en-AU"/>
        </w:rPr>
        <w:t xml:space="preserve">500 mg/kg. </w:t>
      </w:r>
      <w:proofErr w:type="spellStart"/>
      <w:r w:rsidRPr="00840BAA">
        <w:rPr>
          <w:rFonts w:ascii="Times New Roman" w:hAnsi="Times New Roman" w:cs="Times New Roman"/>
          <w:color w:val="auto"/>
          <w:lang w:val="en-AU"/>
        </w:rPr>
        <w:t>Besifloxacin</w:t>
      </w:r>
      <w:proofErr w:type="spellEnd"/>
      <w:r w:rsidRPr="00840BAA">
        <w:rPr>
          <w:rFonts w:ascii="Times New Roman" w:hAnsi="Times New Roman" w:cs="Times New Roman"/>
          <w:color w:val="auto"/>
          <w:lang w:val="en-AU"/>
        </w:rPr>
        <w:t xml:space="preserve"> did not</w:t>
      </w:r>
    </w:p>
    <w:p w:rsidR="00224B4F" w:rsidRDefault="00224B4F" w:rsidP="00EA6361">
      <w:pPr>
        <w:pStyle w:val="Default"/>
        <w:tabs>
          <w:tab w:val="left" w:pos="567"/>
        </w:tabs>
        <w:ind w:left="567" w:hanging="567"/>
        <w:jc w:val="both"/>
        <w:rPr>
          <w:rFonts w:ascii="Times New Roman" w:hAnsi="Times New Roman" w:cs="Times New Roman"/>
          <w:color w:val="auto"/>
          <w:lang w:val="en-AU"/>
        </w:rPr>
      </w:pPr>
      <w:proofErr w:type="gramStart"/>
      <w:r w:rsidRPr="00EA6361">
        <w:rPr>
          <w:rFonts w:ascii="Times New Roman" w:hAnsi="Times New Roman" w:cs="Times New Roman"/>
          <w:color w:val="auto"/>
          <w:lang w:val="en-AU"/>
        </w:rPr>
        <w:t>induce</w:t>
      </w:r>
      <w:proofErr w:type="gramEnd"/>
      <w:r w:rsidRPr="00EA6361">
        <w:rPr>
          <w:rFonts w:ascii="Times New Roman" w:hAnsi="Times New Roman" w:cs="Times New Roman"/>
          <w:color w:val="auto"/>
          <w:lang w:val="en-AU"/>
        </w:rPr>
        <w:t xml:space="preserve"> unscheduled DNA synthesis in hepatocytes cu</w:t>
      </w:r>
      <w:r w:rsidRPr="00840BAA">
        <w:rPr>
          <w:rFonts w:ascii="Times New Roman" w:hAnsi="Times New Roman" w:cs="Times New Roman"/>
          <w:color w:val="auto"/>
          <w:lang w:val="en-AU"/>
        </w:rPr>
        <w:t>ltured from rats given the test</w:t>
      </w:r>
    </w:p>
    <w:p w:rsidR="00224B4F" w:rsidRPr="00EA6361" w:rsidRDefault="00224B4F" w:rsidP="00EA6361">
      <w:pPr>
        <w:pStyle w:val="Default"/>
        <w:tabs>
          <w:tab w:val="left" w:pos="567"/>
        </w:tabs>
        <w:ind w:left="567" w:hanging="567"/>
        <w:jc w:val="both"/>
        <w:rPr>
          <w:rFonts w:ascii="Times New Roman" w:hAnsi="Times New Roman" w:cs="Times New Roman"/>
          <w:color w:val="auto"/>
          <w:lang w:val="en-AU"/>
        </w:rPr>
      </w:pPr>
      <w:proofErr w:type="gramStart"/>
      <w:r w:rsidRPr="00EA6361">
        <w:rPr>
          <w:rFonts w:ascii="Times New Roman" w:hAnsi="Times New Roman" w:cs="Times New Roman"/>
          <w:color w:val="auto"/>
          <w:lang w:val="en-AU"/>
        </w:rPr>
        <w:t>compound</w:t>
      </w:r>
      <w:proofErr w:type="gramEnd"/>
      <w:r w:rsidRPr="00EA6361">
        <w:rPr>
          <w:rFonts w:ascii="Times New Roman" w:hAnsi="Times New Roman" w:cs="Times New Roman"/>
          <w:color w:val="auto"/>
          <w:lang w:val="en-AU"/>
        </w:rPr>
        <w:t xml:space="preserve"> up to 2,000 mg/kg by the oral route.</w:t>
      </w:r>
    </w:p>
    <w:p w:rsidR="00224B4F" w:rsidRDefault="00224B4F" w:rsidP="00EA6361">
      <w:pPr>
        <w:pStyle w:val="Default"/>
        <w:tabs>
          <w:tab w:val="left" w:pos="567"/>
        </w:tabs>
        <w:ind w:left="567" w:hanging="567"/>
        <w:jc w:val="both"/>
      </w:pPr>
    </w:p>
    <w:p w:rsidR="00224B4F" w:rsidRPr="00D206E8" w:rsidRDefault="00224B4F" w:rsidP="00224B4F">
      <w:pPr>
        <w:pStyle w:val="Default"/>
        <w:tabs>
          <w:tab w:val="left" w:pos="567"/>
        </w:tabs>
        <w:ind w:left="567" w:hanging="567"/>
        <w:jc w:val="both"/>
        <w:rPr>
          <w:rFonts w:ascii="Times New Roman" w:hAnsi="Times New Roman" w:cs="Times New Roman"/>
          <w:color w:val="auto"/>
          <w:u w:val="single"/>
        </w:rPr>
      </w:pPr>
      <w:r w:rsidRPr="00D206E8">
        <w:rPr>
          <w:rFonts w:ascii="Times New Roman" w:hAnsi="Times New Roman" w:cs="Times New Roman"/>
          <w:color w:val="auto"/>
          <w:u w:val="single"/>
        </w:rPr>
        <w:t>Carcinogenicity</w:t>
      </w:r>
    </w:p>
    <w:p w:rsidR="00224B4F" w:rsidRPr="00B52D73" w:rsidRDefault="00224B4F" w:rsidP="00224B4F">
      <w:pPr>
        <w:jc w:val="both"/>
        <w:rPr>
          <w:sz w:val="24"/>
          <w:szCs w:val="24"/>
        </w:rPr>
      </w:pPr>
      <w:r w:rsidRPr="00B52D73">
        <w:rPr>
          <w:sz w:val="24"/>
          <w:szCs w:val="24"/>
        </w:rPr>
        <w:t xml:space="preserve">Long-term studies in animals to determine the carcinogenic potential of </w:t>
      </w:r>
      <w:proofErr w:type="spellStart"/>
      <w:r w:rsidRPr="00B52D73">
        <w:rPr>
          <w:sz w:val="24"/>
          <w:szCs w:val="24"/>
        </w:rPr>
        <w:t>besifloxacin</w:t>
      </w:r>
      <w:proofErr w:type="spellEnd"/>
      <w:r w:rsidRPr="00B52D73">
        <w:rPr>
          <w:sz w:val="24"/>
          <w:szCs w:val="24"/>
        </w:rPr>
        <w:t xml:space="preserve"> have not been performed. </w:t>
      </w:r>
    </w:p>
    <w:p w:rsidR="00224B4F" w:rsidRPr="00EA6361" w:rsidRDefault="00224B4F" w:rsidP="00EA6361">
      <w:pPr>
        <w:pStyle w:val="Default"/>
        <w:tabs>
          <w:tab w:val="left" w:pos="567"/>
        </w:tabs>
        <w:ind w:left="567" w:hanging="567"/>
        <w:jc w:val="both"/>
        <w:rPr>
          <w:rFonts w:ascii="Times New Roman" w:hAnsi="Times New Roman" w:cs="Times New Roman"/>
          <w:color w:val="auto"/>
        </w:rPr>
      </w:pPr>
    </w:p>
    <w:p w:rsidR="004A6386" w:rsidRPr="004A6386" w:rsidRDefault="00E05FD1" w:rsidP="007E0EA5">
      <w:pPr>
        <w:tabs>
          <w:tab w:val="left" w:pos="567"/>
        </w:tabs>
        <w:autoSpaceDE w:val="0"/>
        <w:autoSpaceDN w:val="0"/>
        <w:adjustRightInd w:val="0"/>
        <w:ind w:left="567" w:hanging="567"/>
        <w:jc w:val="both"/>
        <w:rPr>
          <w:iCs/>
          <w:sz w:val="24"/>
          <w:szCs w:val="24"/>
          <w:u w:val="single"/>
          <w:lang w:val="en-US"/>
        </w:rPr>
      </w:pPr>
      <w:r>
        <w:rPr>
          <w:iCs/>
          <w:sz w:val="24"/>
          <w:szCs w:val="24"/>
          <w:u w:val="single"/>
          <w:lang w:val="en-US"/>
        </w:rPr>
        <w:t>Use in children</w:t>
      </w:r>
    </w:p>
    <w:p w:rsidR="004A6386" w:rsidRPr="00B52D73" w:rsidRDefault="004A6386" w:rsidP="00B52D73">
      <w:pPr>
        <w:jc w:val="both"/>
        <w:rPr>
          <w:sz w:val="24"/>
          <w:szCs w:val="24"/>
        </w:rPr>
      </w:pPr>
      <w:r w:rsidRPr="00B52D73">
        <w:rPr>
          <w:sz w:val="24"/>
          <w:szCs w:val="24"/>
        </w:rPr>
        <w:t xml:space="preserve">The safety and effectiveness of </w:t>
      </w:r>
      <w:proofErr w:type="spellStart"/>
      <w:r w:rsidRPr="00B52D73">
        <w:rPr>
          <w:sz w:val="24"/>
          <w:szCs w:val="24"/>
        </w:rPr>
        <w:t>Besivance</w:t>
      </w:r>
      <w:proofErr w:type="spellEnd"/>
      <w:r w:rsidRPr="00B52D73">
        <w:rPr>
          <w:sz w:val="24"/>
          <w:szCs w:val="24"/>
        </w:rPr>
        <w:t xml:space="preserve"> in infants below one year of age have not been established. The efficacy of </w:t>
      </w:r>
      <w:proofErr w:type="spellStart"/>
      <w:r w:rsidRPr="00B52D73">
        <w:rPr>
          <w:sz w:val="24"/>
          <w:szCs w:val="24"/>
        </w:rPr>
        <w:t>Besivance</w:t>
      </w:r>
      <w:proofErr w:type="spellEnd"/>
      <w:r w:rsidRPr="00B52D73">
        <w:rPr>
          <w:sz w:val="24"/>
          <w:szCs w:val="24"/>
        </w:rPr>
        <w:t xml:space="preserve"> in treating bacterial conjunctivitis in paediatric patients one year or older has been demonstrated in controlled clinical trials. There is no evidence that the ophthalmic administration of quinolones has any effect on weight bearing joints, even though systemic administration of some quinolones has been shown to cause </w:t>
      </w:r>
      <w:proofErr w:type="spellStart"/>
      <w:r w:rsidRPr="00B52D73">
        <w:rPr>
          <w:sz w:val="24"/>
          <w:szCs w:val="24"/>
        </w:rPr>
        <w:t>arthropathy</w:t>
      </w:r>
      <w:proofErr w:type="spellEnd"/>
      <w:r w:rsidRPr="00B52D73">
        <w:rPr>
          <w:sz w:val="24"/>
          <w:szCs w:val="24"/>
        </w:rPr>
        <w:t xml:space="preserve"> in immature animals. </w:t>
      </w:r>
    </w:p>
    <w:p w:rsidR="00621908" w:rsidRPr="00B52D73" w:rsidRDefault="00621908" w:rsidP="00B52D73">
      <w:pPr>
        <w:jc w:val="both"/>
        <w:rPr>
          <w:sz w:val="24"/>
          <w:szCs w:val="24"/>
        </w:rPr>
      </w:pPr>
    </w:p>
    <w:p w:rsidR="004A6386" w:rsidRPr="003305DB" w:rsidRDefault="00E05FD1" w:rsidP="007E0EA5">
      <w:pPr>
        <w:tabs>
          <w:tab w:val="left" w:pos="567"/>
        </w:tabs>
        <w:autoSpaceDE w:val="0"/>
        <w:autoSpaceDN w:val="0"/>
        <w:adjustRightInd w:val="0"/>
        <w:ind w:left="567" w:hanging="567"/>
        <w:jc w:val="both"/>
        <w:rPr>
          <w:iCs/>
          <w:sz w:val="24"/>
          <w:szCs w:val="24"/>
          <w:u w:val="single"/>
          <w:lang w:val="en-US"/>
        </w:rPr>
      </w:pPr>
      <w:r w:rsidRPr="003305DB">
        <w:rPr>
          <w:iCs/>
          <w:sz w:val="24"/>
          <w:szCs w:val="24"/>
          <w:u w:val="single"/>
          <w:lang w:val="en-US"/>
        </w:rPr>
        <w:t>Use in the e</w:t>
      </w:r>
      <w:r w:rsidR="004A6386" w:rsidRPr="003305DB">
        <w:rPr>
          <w:iCs/>
          <w:sz w:val="24"/>
          <w:szCs w:val="24"/>
          <w:u w:val="single"/>
          <w:lang w:val="en-US"/>
        </w:rPr>
        <w:t>lderly</w:t>
      </w:r>
    </w:p>
    <w:p w:rsidR="00621908" w:rsidRPr="00B52D73" w:rsidRDefault="004A6386" w:rsidP="00B52D73">
      <w:pPr>
        <w:jc w:val="both"/>
        <w:rPr>
          <w:sz w:val="24"/>
          <w:szCs w:val="24"/>
        </w:rPr>
      </w:pPr>
      <w:r w:rsidRPr="00B52D73">
        <w:rPr>
          <w:sz w:val="24"/>
          <w:szCs w:val="24"/>
        </w:rPr>
        <w:t>No overall differences in safety and effectiveness have been observed between elderly and younger patients.</w:t>
      </w:r>
    </w:p>
    <w:p w:rsidR="00621908" w:rsidRDefault="00621908" w:rsidP="00CC146A">
      <w:pPr>
        <w:pStyle w:val="CM5"/>
        <w:tabs>
          <w:tab w:val="left" w:pos="0"/>
        </w:tabs>
        <w:ind w:right="287"/>
        <w:jc w:val="both"/>
      </w:pPr>
    </w:p>
    <w:p w:rsidR="001C1C9C" w:rsidRPr="001C1C9C" w:rsidRDefault="001C1C9C" w:rsidP="001C1C9C">
      <w:pPr>
        <w:pStyle w:val="Default"/>
        <w:rPr>
          <w:lang w:val="en-AU" w:eastAsia="en-AU"/>
        </w:rPr>
      </w:pPr>
    </w:p>
    <w:p w:rsidR="00A260FC" w:rsidRPr="00CC146A" w:rsidRDefault="00A260FC" w:rsidP="00CC146A">
      <w:pPr>
        <w:pStyle w:val="CM5"/>
        <w:tabs>
          <w:tab w:val="left" w:pos="0"/>
        </w:tabs>
        <w:ind w:right="287"/>
        <w:jc w:val="both"/>
      </w:pPr>
      <w:r>
        <w:rPr>
          <w:b/>
          <w:bCs/>
          <w:caps/>
        </w:rPr>
        <w:t>i</w:t>
      </w:r>
      <w:r w:rsidR="000078AD">
        <w:rPr>
          <w:b/>
          <w:bCs/>
        </w:rPr>
        <w:t>nteractions with other medicines</w:t>
      </w:r>
    </w:p>
    <w:p w:rsidR="00A260FC" w:rsidRPr="00B52D73" w:rsidRDefault="001B0938" w:rsidP="00B52D73">
      <w:pPr>
        <w:jc w:val="both"/>
        <w:rPr>
          <w:sz w:val="24"/>
          <w:szCs w:val="24"/>
        </w:rPr>
      </w:pPr>
      <w:r w:rsidRPr="00B52D73">
        <w:rPr>
          <w:sz w:val="24"/>
          <w:szCs w:val="24"/>
        </w:rPr>
        <w:t xml:space="preserve">There have been no formal clinical studies to evaluate the medicine interactions of </w:t>
      </w:r>
      <w:proofErr w:type="spellStart"/>
      <w:r w:rsidRPr="00B52D73">
        <w:rPr>
          <w:sz w:val="24"/>
          <w:szCs w:val="24"/>
        </w:rPr>
        <w:t>Besivance</w:t>
      </w:r>
      <w:proofErr w:type="spellEnd"/>
      <w:r w:rsidRPr="00B52D73">
        <w:rPr>
          <w:sz w:val="24"/>
          <w:szCs w:val="24"/>
        </w:rPr>
        <w:t xml:space="preserve">. </w:t>
      </w:r>
    </w:p>
    <w:p w:rsidR="00E05FD1" w:rsidRDefault="00E05FD1" w:rsidP="007E0EA5">
      <w:pPr>
        <w:pStyle w:val="Default"/>
        <w:jc w:val="both"/>
        <w:rPr>
          <w:lang w:val="en-AU" w:eastAsia="en-AU"/>
        </w:rPr>
      </w:pPr>
    </w:p>
    <w:p w:rsidR="001C1C9C" w:rsidRDefault="001C1C9C" w:rsidP="007E0EA5">
      <w:pPr>
        <w:pStyle w:val="Default"/>
        <w:jc w:val="both"/>
        <w:rPr>
          <w:lang w:val="en-AU" w:eastAsia="en-AU"/>
        </w:rPr>
      </w:pPr>
    </w:p>
    <w:p w:rsidR="00C17415" w:rsidRPr="00C17415" w:rsidRDefault="00C17415" w:rsidP="001C1C9C">
      <w:pPr>
        <w:tabs>
          <w:tab w:val="left" w:pos="567"/>
        </w:tabs>
        <w:autoSpaceDE w:val="0"/>
        <w:autoSpaceDN w:val="0"/>
        <w:adjustRightInd w:val="0"/>
        <w:jc w:val="both"/>
        <w:rPr>
          <w:sz w:val="24"/>
          <w:szCs w:val="24"/>
        </w:rPr>
      </w:pPr>
      <w:r w:rsidRPr="00C17415">
        <w:rPr>
          <w:b/>
          <w:bCs/>
          <w:sz w:val="24"/>
          <w:szCs w:val="24"/>
          <w:lang w:val="en-US"/>
        </w:rPr>
        <w:t xml:space="preserve">Adverse effects </w:t>
      </w:r>
    </w:p>
    <w:p w:rsidR="00C17415" w:rsidRPr="00C17415" w:rsidRDefault="00C17415" w:rsidP="00C17415">
      <w:pPr>
        <w:autoSpaceDE w:val="0"/>
        <w:autoSpaceDN w:val="0"/>
        <w:adjustRightInd w:val="0"/>
        <w:jc w:val="both"/>
        <w:rPr>
          <w:sz w:val="24"/>
          <w:szCs w:val="24"/>
          <w:lang w:val="en-US"/>
        </w:rPr>
      </w:pPr>
      <w:r w:rsidRPr="00C17415">
        <w:rPr>
          <w:sz w:val="24"/>
          <w:szCs w:val="24"/>
          <w:lang w:val="en-US"/>
        </w:rPr>
        <w:t xml:space="preserve">The most frequently reported adverse </w:t>
      </w:r>
      <w:r w:rsidR="000128BA">
        <w:rPr>
          <w:sz w:val="24"/>
          <w:szCs w:val="24"/>
          <w:lang w:val="en-US"/>
        </w:rPr>
        <w:t xml:space="preserve"> events </w:t>
      </w:r>
      <w:r w:rsidRPr="00C17415">
        <w:rPr>
          <w:sz w:val="24"/>
          <w:szCs w:val="24"/>
          <w:lang w:val="en-US"/>
        </w:rPr>
        <w:t xml:space="preserve">(occurring in </w:t>
      </w:r>
      <w:r w:rsidR="00EA40AC">
        <w:rPr>
          <w:sz w:val="24"/>
          <w:szCs w:val="24"/>
          <w:lang w:val="en-US"/>
        </w:rPr>
        <w:t xml:space="preserve">&gt;1% </w:t>
      </w:r>
      <w:r w:rsidRPr="00C17415">
        <w:rPr>
          <w:sz w:val="24"/>
          <w:szCs w:val="24"/>
          <w:lang w:val="en-US"/>
        </w:rPr>
        <w:t>of subjects) in clinical trials (Studies 373, 433, 434) were blurred vision, eye pain and eye irritation, conjunctivitis</w:t>
      </w:r>
      <w:r w:rsidR="00D85657">
        <w:rPr>
          <w:sz w:val="24"/>
          <w:szCs w:val="24"/>
          <w:lang w:val="en-US"/>
        </w:rPr>
        <w:t>, conjunctivitis bacterial</w:t>
      </w:r>
      <w:r w:rsidR="0057092C">
        <w:rPr>
          <w:sz w:val="24"/>
          <w:szCs w:val="24"/>
          <w:lang w:val="en-US"/>
        </w:rPr>
        <w:t xml:space="preserve">, </w:t>
      </w:r>
      <w:r w:rsidRPr="00C17415">
        <w:rPr>
          <w:sz w:val="24"/>
          <w:szCs w:val="24"/>
          <w:lang w:val="en-US"/>
        </w:rPr>
        <w:t xml:space="preserve">and headache. </w:t>
      </w:r>
    </w:p>
    <w:p w:rsidR="00C17415" w:rsidRPr="00C17415"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lang w:val="en-US"/>
        </w:rPr>
        <w:t xml:space="preserve">Tabulated adverse </w:t>
      </w:r>
      <w:r w:rsidR="00385C1B">
        <w:rPr>
          <w:sz w:val="24"/>
          <w:szCs w:val="24"/>
          <w:lang w:val="en-US"/>
        </w:rPr>
        <w:t xml:space="preserve">events </w:t>
      </w:r>
      <w:r w:rsidRPr="00EA6361">
        <w:rPr>
          <w:sz w:val="24"/>
          <w:szCs w:val="24"/>
          <w:lang w:val="en-US"/>
        </w:rPr>
        <w:t xml:space="preserve">of incidence </w:t>
      </w:r>
      <w:r w:rsidR="00EA40AC">
        <w:rPr>
          <w:sz w:val="24"/>
          <w:szCs w:val="24"/>
          <w:lang w:val="en-US"/>
        </w:rPr>
        <w:t>&gt;</w:t>
      </w:r>
      <w:r w:rsidRPr="00206534">
        <w:rPr>
          <w:sz w:val="24"/>
          <w:szCs w:val="24"/>
          <w:lang w:val="en-US"/>
        </w:rPr>
        <w:t>1%</w:t>
      </w:r>
      <w:r w:rsidRPr="00EA6361">
        <w:rPr>
          <w:sz w:val="24"/>
          <w:szCs w:val="24"/>
          <w:lang w:val="en-US"/>
        </w:rPr>
        <w:t xml:space="preserve"> from clinical trials (studies 373, 433, 434)   comparing </w:t>
      </w:r>
      <w:proofErr w:type="spellStart"/>
      <w:r w:rsidRPr="00EA6361">
        <w:rPr>
          <w:sz w:val="24"/>
          <w:szCs w:val="24"/>
          <w:lang w:val="en-US"/>
        </w:rPr>
        <w:t>besivance</w:t>
      </w:r>
      <w:proofErr w:type="spellEnd"/>
      <w:r w:rsidRPr="00EA6361">
        <w:rPr>
          <w:sz w:val="24"/>
          <w:szCs w:val="24"/>
          <w:lang w:val="en-US"/>
        </w:rPr>
        <w:t xml:space="preserve"> to vehicle/comparator are provided in Table 7.</w:t>
      </w:r>
    </w:p>
    <w:p w:rsidR="001C1C9C" w:rsidRDefault="00C17415" w:rsidP="00C17415">
      <w:pPr>
        <w:autoSpaceDE w:val="0"/>
        <w:autoSpaceDN w:val="0"/>
        <w:adjustRightInd w:val="0"/>
        <w:jc w:val="both"/>
        <w:rPr>
          <w:sz w:val="24"/>
          <w:szCs w:val="24"/>
          <w:lang w:val="en-US"/>
        </w:rPr>
      </w:pPr>
      <w:r w:rsidRPr="00EA6361">
        <w:rPr>
          <w:sz w:val="24"/>
          <w:szCs w:val="24"/>
          <w:lang w:val="en-US"/>
        </w:rPr>
        <w:t xml:space="preserve"> </w:t>
      </w:r>
    </w:p>
    <w:p w:rsidR="001C1C9C" w:rsidRPr="005A459F" w:rsidRDefault="001C1C9C" w:rsidP="001C1C9C">
      <w:pPr>
        <w:autoSpaceDE w:val="0"/>
        <w:autoSpaceDN w:val="0"/>
        <w:adjustRightInd w:val="0"/>
        <w:jc w:val="both"/>
        <w:rPr>
          <w:color w:val="808080"/>
          <w:sz w:val="24"/>
          <w:szCs w:val="24"/>
          <w:lang w:eastAsia="en-AU"/>
        </w:rPr>
      </w:pPr>
      <w:r w:rsidRPr="005A459F">
        <w:rPr>
          <w:color w:val="808080"/>
          <w:sz w:val="24"/>
          <w:szCs w:val="24"/>
          <w:lang w:eastAsia="en-AU"/>
        </w:rPr>
        <w:t xml:space="preserve">[Table </w:t>
      </w:r>
      <w:r>
        <w:rPr>
          <w:color w:val="808080"/>
          <w:sz w:val="24"/>
          <w:szCs w:val="24"/>
          <w:lang w:eastAsia="en-AU"/>
        </w:rPr>
        <w:t>7</w:t>
      </w:r>
      <w:r w:rsidRPr="005A459F">
        <w:rPr>
          <w:color w:val="808080"/>
          <w:sz w:val="24"/>
          <w:szCs w:val="24"/>
          <w:lang w:eastAsia="en-AU"/>
        </w:rPr>
        <w:t xml:space="preserve"> next page] </w:t>
      </w:r>
    </w:p>
    <w:p w:rsidR="00C17415" w:rsidRPr="00EA6361" w:rsidRDefault="001C1C9C" w:rsidP="00C17415">
      <w:pPr>
        <w:autoSpaceDE w:val="0"/>
        <w:autoSpaceDN w:val="0"/>
        <w:adjustRightInd w:val="0"/>
        <w:jc w:val="both"/>
        <w:rPr>
          <w:sz w:val="24"/>
          <w:szCs w:val="24"/>
          <w:lang w:val="en-US"/>
        </w:rPr>
      </w:pPr>
      <w:r>
        <w:rPr>
          <w:sz w:val="24"/>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079"/>
        <w:gridCol w:w="1985"/>
        <w:gridCol w:w="2126"/>
      </w:tblGrid>
      <w:tr w:rsidR="00C17415" w:rsidRPr="00EA6361" w:rsidTr="00A93BA2">
        <w:tc>
          <w:tcPr>
            <w:tcW w:w="6062" w:type="dxa"/>
            <w:gridSpan w:val="3"/>
            <w:shd w:val="clear" w:color="auto" w:fill="auto"/>
          </w:tcPr>
          <w:p w:rsidR="00C17415" w:rsidRPr="00EA6361" w:rsidRDefault="00C17415" w:rsidP="00C17415">
            <w:pPr>
              <w:rPr>
                <w:b/>
                <w:lang w:val="en-US"/>
              </w:rPr>
            </w:pPr>
            <w:r w:rsidRPr="00EA6361">
              <w:rPr>
                <w:b/>
                <w:lang w:val="en-US"/>
              </w:rPr>
              <w:lastRenderedPageBreak/>
              <w:t xml:space="preserve">Table 7: Adverse events in </w:t>
            </w:r>
            <w:proofErr w:type="spellStart"/>
            <w:r w:rsidRPr="00EA6361">
              <w:rPr>
                <w:b/>
                <w:lang w:val="en-US"/>
              </w:rPr>
              <w:t>Besivance</w:t>
            </w:r>
            <w:proofErr w:type="spellEnd"/>
            <w:r w:rsidRPr="00EA6361">
              <w:rPr>
                <w:b/>
                <w:lang w:val="en-US"/>
              </w:rPr>
              <w:t xml:space="preserve"> and vehicle/comparator groups from clinical  studies 373</w:t>
            </w:r>
            <w:r w:rsidRPr="00EA6361">
              <w:rPr>
                <w:b/>
                <w:sz w:val="16"/>
                <w:szCs w:val="16"/>
                <w:lang w:val="en-US"/>
              </w:rPr>
              <w:t>†</w:t>
            </w:r>
            <w:r w:rsidRPr="00EA6361">
              <w:rPr>
                <w:b/>
                <w:lang w:val="en-US"/>
              </w:rPr>
              <w:t>, 433</w:t>
            </w:r>
            <w:r w:rsidRPr="00EA6361">
              <w:rPr>
                <w:b/>
                <w:sz w:val="16"/>
                <w:szCs w:val="16"/>
                <w:lang w:val="en-US"/>
              </w:rPr>
              <w:t>†</w:t>
            </w:r>
            <w:r w:rsidRPr="00EA6361">
              <w:rPr>
                <w:b/>
                <w:lang w:val="en-US"/>
              </w:rPr>
              <w:t>, 434</w:t>
            </w:r>
            <w:r w:rsidRPr="00EA6361">
              <w:rPr>
                <w:b/>
                <w:sz w:val="16"/>
                <w:szCs w:val="16"/>
                <w:lang w:val="en-US"/>
              </w:rPr>
              <w:t>††</w:t>
            </w:r>
          </w:p>
        </w:tc>
        <w:tc>
          <w:tcPr>
            <w:tcW w:w="2126" w:type="dxa"/>
          </w:tcPr>
          <w:p w:rsidR="00C17415" w:rsidRPr="00EA6361" w:rsidRDefault="00C17415" w:rsidP="00C17415">
            <w:pPr>
              <w:rPr>
                <w:b/>
                <w:lang w:val="en-US"/>
              </w:rPr>
            </w:pPr>
          </w:p>
        </w:tc>
      </w:tr>
      <w:tr w:rsidR="00C17415" w:rsidRPr="00EA6361" w:rsidTr="00A93BA2">
        <w:tc>
          <w:tcPr>
            <w:tcW w:w="1998" w:type="dxa"/>
            <w:shd w:val="clear" w:color="auto" w:fill="auto"/>
          </w:tcPr>
          <w:p w:rsidR="00C17415" w:rsidRPr="00EA6361" w:rsidRDefault="00EA40AC" w:rsidP="00C17415">
            <w:pPr>
              <w:rPr>
                <w:b/>
                <w:lang w:val="en-US"/>
              </w:rPr>
            </w:pPr>
            <w:r>
              <w:rPr>
                <w:b/>
                <w:lang w:val="en-US"/>
              </w:rPr>
              <w:t xml:space="preserve">Ocular </w:t>
            </w:r>
            <w:r w:rsidR="00C17415" w:rsidRPr="00EA6361">
              <w:rPr>
                <w:b/>
                <w:lang w:val="en-US"/>
              </w:rPr>
              <w:t>Adverse Events</w:t>
            </w:r>
            <w:r>
              <w:rPr>
                <w:b/>
                <w:lang w:val="en-US"/>
              </w:rPr>
              <w:t xml:space="preserve"> (all treated eyes)</w:t>
            </w:r>
          </w:p>
        </w:tc>
        <w:tc>
          <w:tcPr>
            <w:tcW w:w="2079" w:type="dxa"/>
            <w:shd w:val="clear" w:color="auto" w:fill="auto"/>
          </w:tcPr>
          <w:p w:rsidR="00C17415" w:rsidRDefault="00C17415" w:rsidP="00C17415">
            <w:pPr>
              <w:rPr>
                <w:b/>
                <w:lang w:val="en-US"/>
              </w:rPr>
            </w:pPr>
            <w:proofErr w:type="spellStart"/>
            <w:r w:rsidRPr="00EA6361">
              <w:rPr>
                <w:b/>
                <w:lang w:val="en-US"/>
              </w:rPr>
              <w:t>Besivance</w:t>
            </w:r>
            <w:proofErr w:type="spellEnd"/>
            <w:r w:rsidRPr="00EA6361">
              <w:rPr>
                <w:b/>
                <w:lang w:val="en-US"/>
              </w:rPr>
              <w:t xml:space="preserve"> (n=1</w:t>
            </w:r>
            <w:r w:rsidR="00C17ED4">
              <w:rPr>
                <w:b/>
                <w:lang w:val="en-US"/>
              </w:rPr>
              <w:t>810</w:t>
            </w:r>
            <w:r w:rsidRPr="00EA6361">
              <w:rPr>
                <w:b/>
                <w:lang w:val="en-US"/>
              </w:rPr>
              <w:t>)</w:t>
            </w:r>
            <w:r w:rsidR="00A93BA2">
              <w:rPr>
                <w:b/>
                <w:lang w:val="en-US"/>
              </w:rPr>
              <w:t>*</w:t>
            </w:r>
          </w:p>
          <w:p w:rsidR="00571648" w:rsidRPr="00EA6361" w:rsidRDefault="00571648" w:rsidP="00571648">
            <w:pPr>
              <w:rPr>
                <w:b/>
                <w:lang w:val="en-US"/>
              </w:rPr>
            </w:pPr>
            <w:r w:rsidRPr="00EA6361">
              <w:rPr>
                <w:lang w:val="en-US"/>
              </w:rPr>
              <w:t>(%)</w:t>
            </w:r>
          </w:p>
        </w:tc>
        <w:tc>
          <w:tcPr>
            <w:tcW w:w="1985" w:type="dxa"/>
            <w:shd w:val="clear" w:color="auto" w:fill="auto"/>
          </w:tcPr>
          <w:p w:rsidR="00C17415" w:rsidRDefault="00C17415" w:rsidP="00C17415">
            <w:pPr>
              <w:rPr>
                <w:b/>
                <w:lang w:val="en-US"/>
              </w:rPr>
            </w:pPr>
            <w:r w:rsidRPr="00EA6361">
              <w:rPr>
                <w:b/>
                <w:lang w:val="en-US"/>
              </w:rPr>
              <w:t>Vehicle</w:t>
            </w:r>
            <w:r w:rsidRPr="00EA6361">
              <w:rPr>
                <w:b/>
                <w:sz w:val="16"/>
                <w:szCs w:val="16"/>
                <w:lang w:val="en-US"/>
              </w:rPr>
              <w:t>†</w:t>
            </w:r>
            <w:r w:rsidRPr="00EA6361">
              <w:rPr>
                <w:b/>
                <w:lang w:val="en-US"/>
              </w:rPr>
              <w:t xml:space="preserve"> (n=</w:t>
            </w:r>
            <w:r w:rsidR="00C17ED4">
              <w:rPr>
                <w:b/>
                <w:lang w:val="en-US"/>
              </w:rPr>
              <w:t>961</w:t>
            </w:r>
            <w:r w:rsidRPr="00EA6361">
              <w:rPr>
                <w:b/>
                <w:lang w:val="en-US"/>
              </w:rPr>
              <w:t>)</w:t>
            </w:r>
            <w:r w:rsidR="00A93BA2">
              <w:rPr>
                <w:b/>
                <w:lang w:val="en-US"/>
              </w:rPr>
              <w:t>*</w:t>
            </w:r>
          </w:p>
          <w:p w:rsidR="00571648" w:rsidRPr="00EA6361" w:rsidRDefault="00571648" w:rsidP="00571648">
            <w:pPr>
              <w:rPr>
                <w:b/>
                <w:lang w:val="en-US"/>
              </w:rPr>
            </w:pPr>
            <w:r w:rsidRPr="00EA6361">
              <w:rPr>
                <w:lang w:val="en-US"/>
              </w:rPr>
              <w:t>(%)</w:t>
            </w:r>
          </w:p>
        </w:tc>
        <w:tc>
          <w:tcPr>
            <w:tcW w:w="2126" w:type="dxa"/>
          </w:tcPr>
          <w:p w:rsidR="00C17415" w:rsidRDefault="00C17415" w:rsidP="00C17415">
            <w:pPr>
              <w:rPr>
                <w:b/>
                <w:lang w:val="en-US"/>
              </w:rPr>
            </w:pPr>
            <w:proofErr w:type="spellStart"/>
            <w:r w:rsidRPr="00EA6361">
              <w:rPr>
                <w:b/>
                <w:lang w:val="en-US"/>
              </w:rPr>
              <w:t>Vigamox</w:t>
            </w:r>
            <w:proofErr w:type="spellEnd"/>
            <w:r w:rsidR="00BB6E58">
              <w:rPr>
                <w:b/>
                <w:lang w:val="en-US"/>
              </w:rPr>
              <w:t xml:space="preserve"> (</w:t>
            </w:r>
            <w:proofErr w:type="spellStart"/>
            <w:r w:rsidR="00BB6E58">
              <w:rPr>
                <w:b/>
                <w:lang w:val="en-US"/>
              </w:rPr>
              <w:t>moxifloxacin</w:t>
            </w:r>
            <w:proofErr w:type="spellEnd"/>
            <w:r w:rsidR="00BB6E58">
              <w:rPr>
                <w:b/>
                <w:lang w:val="en-US"/>
              </w:rPr>
              <w:t xml:space="preserve"> eye drops)</w:t>
            </w:r>
            <w:r w:rsidRPr="00EA6361">
              <w:rPr>
                <w:b/>
                <w:sz w:val="16"/>
                <w:szCs w:val="16"/>
                <w:lang w:val="en-US"/>
              </w:rPr>
              <w:t>††</w:t>
            </w:r>
            <w:r w:rsidRPr="00EA6361">
              <w:rPr>
                <w:b/>
                <w:lang w:val="en-US"/>
              </w:rPr>
              <w:t xml:space="preserve"> (n=</w:t>
            </w:r>
            <w:r w:rsidR="00C17ED4">
              <w:rPr>
                <w:b/>
                <w:lang w:val="en-US"/>
              </w:rPr>
              <w:t>855</w:t>
            </w:r>
            <w:r w:rsidRPr="00EA6361">
              <w:rPr>
                <w:b/>
                <w:lang w:val="en-US"/>
              </w:rPr>
              <w:t>)</w:t>
            </w:r>
            <w:r w:rsidR="00A93BA2">
              <w:rPr>
                <w:b/>
                <w:lang w:val="en-US"/>
              </w:rPr>
              <w:t>*</w:t>
            </w:r>
          </w:p>
          <w:p w:rsidR="00571648" w:rsidRPr="00EA6361" w:rsidRDefault="00571648" w:rsidP="00571648">
            <w:pPr>
              <w:rPr>
                <w:b/>
                <w:lang w:val="en-US"/>
              </w:rPr>
            </w:pPr>
            <w:r>
              <w:rPr>
                <w:lang w:val="en-US"/>
              </w:rPr>
              <w:t>(%)</w:t>
            </w:r>
          </w:p>
        </w:tc>
      </w:tr>
      <w:tr w:rsidR="00C17415" w:rsidRPr="00EA6361" w:rsidTr="00A93BA2">
        <w:tc>
          <w:tcPr>
            <w:tcW w:w="1998" w:type="dxa"/>
            <w:shd w:val="clear" w:color="auto" w:fill="auto"/>
          </w:tcPr>
          <w:p w:rsidR="00C17415" w:rsidRPr="00EA6361" w:rsidRDefault="00C17415" w:rsidP="00C17415">
            <w:pPr>
              <w:rPr>
                <w:lang w:val="en-US"/>
              </w:rPr>
            </w:pPr>
            <w:r w:rsidRPr="00EA6361">
              <w:rPr>
                <w:lang w:val="en-US"/>
              </w:rPr>
              <w:t>Conjunctivitis</w:t>
            </w:r>
          </w:p>
        </w:tc>
        <w:tc>
          <w:tcPr>
            <w:tcW w:w="2079" w:type="dxa"/>
            <w:shd w:val="clear" w:color="auto" w:fill="auto"/>
          </w:tcPr>
          <w:p w:rsidR="00C17415" w:rsidRPr="00EA6361" w:rsidRDefault="00C17ED4" w:rsidP="00C17415">
            <w:pPr>
              <w:rPr>
                <w:lang w:val="en-US"/>
              </w:rPr>
            </w:pPr>
            <w:r>
              <w:rPr>
                <w:lang w:val="en-US"/>
              </w:rPr>
              <w:t>2.6</w:t>
            </w:r>
          </w:p>
        </w:tc>
        <w:tc>
          <w:tcPr>
            <w:tcW w:w="1985" w:type="dxa"/>
            <w:shd w:val="clear" w:color="auto" w:fill="auto"/>
          </w:tcPr>
          <w:p w:rsidR="00C17415" w:rsidRPr="00EA6361" w:rsidRDefault="00C17ED4" w:rsidP="00C17415">
            <w:pPr>
              <w:rPr>
                <w:lang w:val="en-US"/>
              </w:rPr>
            </w:pPr>
            <w:r>
              <w:rPr>
                <w:lang w:val="en-US"/>
              </w:rPr>
              <w:t>4.3</w:t>
            </w:r>
          </w:p>
        </w:tc>
        <w:tc>
          <w:tcPr>
            <w:tcW w:w="2126" w:type="dxa"/>
          </w:tcPr>
          <w:p w:rsidR="00C17415" w:rsidRPr="00EA6361" w:rsidRDefault="00C17ED4" w:rsidP="00C17415">
            <w:pPr>
              <w:rPr>
                <w:lang w:val="en-US"/>
              </w:rPr>
            </w:pPr>
            <w:r>
              <w:rPr>
                <w:lang w:val="en-US"/>
              </w:rPr>
              <w:t>3.9</w:t>
            </w:r>
          </w:p>
        </w:tc>
      </w:tr>
      <w:tr w:rsidR="00C17415" w:rsidRPr="00EA6361" w:rsidTr="00A93BA2">
        <w:tc>
          <w:tcPr>
            <w:tcW w:w="1998" w:type="dxa"/>
            <w:shd w:val="clear" w:color="auto" w:fill="auto"/>
          </w:tcPr>
          <w:p w:rsidR="00C17415" w:rsidRPr="00EA6361" w:rsidRDefault="00C17415" w:rsidP="00C17415">
            <w:pPr>
              <w:rPr>
                <w:lang w:val="en-US"/>
              </w:rPr>
            </w:pPr>
            <w:r w:rsidRPr="00EA6361">
              <w:rPr>
                <w:lang w:val="en-US"/>
              </w:rPr>
              <w:t>Eye pain</w:t>
            </w:r>
          </w:p>
        </w:tc>
        <w:tc>
          <w:tcPr>
            <w:tcW w:w="2079" w:type="dxa"/>
            <w:shd w:val="clear" w:color="auto" w:fill="auto"/>
          </w:tcPr>
          <w:p w:rsidR="00C17415" w:rsidRPr="00EA6361" w:rsidRDefault="00C17ED4" w:rsidP="00C17415">
            <w:pPr>
              <w:rPr>
                <w:lang w:val="en-US"/>
              </w:rPr>
            </w:pPr>
            <w:r>
              <w:rPr>
                <w:lang w:val="en-US"/>
              </w:rPr>
              <w:t>1.5</w:t>
            </w:r>
          </w:p>
        </w:tc>
        <w:tc>
          <w:tcPr>
            <w:tcW w:w="1985" w:type="dxa"/>
            <w:shd w:val="clear" w:color="auto" w:fill="auto"/>
          </w:tcPr>
          <w:p w:rsidR="00C17415" w:rsidRPr="00EA6361" w:rsidRDefault="00C17ED4" w:rsidP="00C17415">
            <w:pPr>
              <w:rPr>
                <w:lang w:val="en-US"/>
              </w:rPr>
            </w:pPr>
            <w:r>
              <w:rPr>
                <w:lang w:val="en-US"/>
              </w:rPr>
              <w:t>1.8</w:t>
            </w:r>
          </w:p>
        </w:tc>
        <w:tc>
          <w:tcPr>
            <w:tcW w:w="2126" w:type="dxa"/>
          </w:tcPr>
          <w:p w:rsidR="00C17415" w:rsidRPr="00EA6361" w:rsidRDefault="00C17415" w:rsidP="00C17415">
            <w:pPr>
              <w:rPr>
                <w:lang w:val="en-US"/>
              </w:rPr>
            </w:pPr>
            <w:r w:rsidRPr="00EA6361">
              <w:rPr>
                <w:lang w:val="en-US"/>
              </w:rPr>
              <w:t>1.</w:t>
            </w:r>
            <w:r w:rsidR="00C17ED4">
              <w:rPr>
                <w:lang w:val="en-US"/>
              </w:rPr>
              <w:t>1</w:t>
            </w:r>
          </w:p>
        </w:tc>
      </w:tr>
      <w:tr w:rsidR="00C17415" w:rsidRPr="00EA6361" w:rsidTr="00A93BA2">
        <w:tc>
          <w:tcPr>
            <w:tcW w:w="1998" w:type="dxa"/>
            <w:shd w:val="clear" w:color="auto" w:fill="auto"/>
          </w:tcPr>
          <w:p w:rsidR="00C17415" w:rsidRPr="00EA6361" w:rsidRDefault="00C17415" w:rsidP="00C17415">
            <w:pPr>
              <w:rPr>
                <w:lang w:val="en-US"/>
              </w:rPr>
            </w:pPr>
            <w:r w:rsidRPr="00EA6361">
              <w:rPr>
                <w:lang w:val="en-US"/>
              </w:rPr>
              <w:t>Eye irritation</w:t>
            </w:r>
          </w:p>
        </w:tc>
        <w:tc>
          <w:tcPr>
            <w:tcW w:w="2079" w:type="dxa"/>
            <w:shd w:val="clear" w:color="auto" w:fill="auto"/>
          </w:tcPr>
          <w:p w:rsidR="00C17415" w:rsidRPr="00EA6361" w:rsidRDefault="00C17ED4" w:rsidP="00C17415">
            <w:pPr>
              <w:rPr>
                <w:lang w:val="en-US"/>
              </w:rPr>
            </w:pPr>
            <w:r>
              <w:rPr>
                <w:lang w:val="en-US"/>
              </w:rPr>
              <w:t>1.4</w:t>
            </w:r>
          </w:p>
        </w:tc>
        <w:tc>
          <w:tcPr>
            <w:tcW w:w="1985" w:type="dxa"/>
            <w:shd w:val="clear" w:color="auto" w:fill="auto"/>
          </w:tcPr>
          <w:p w:rsidR="00C17415" w:rsidRPr="00EA6361" w:rsidRDefault="00C17ED4" w:rsidP="00C17415">
            <w:pPr>
              <w:rPr>
                <w:lang w:val="en-US"/>
              </w:rPr>
            </w:pPr>
            <w:r>
              <w:rPr>
                <w:lang w:val="en-US"/>
              </w:rPr>
              <w:t>2.8</w:t>
            </w:r>
          </w:p>
        </w:tc>
        <w:tc>
          <w:tcPr>
            <w:tcW w:w="2126" w:type="dxa"/>
          </w:tcPr>
          <w:p w:rsidR="00C17415" w:rsidRPr="00EA6361" w:rsidRDefault="00C17415" w:rsidP="00C17415">
            <w:pPr>
              <w:rPr>
                <w:lang w:val="en-US"/>
              </w:rPr>
            </w:pPr>
            <w:r w:rsidRPr="00EA6361">
              <w:rPr>
                <w:lang w:val="en-US"/>
              </w:rPr>
              <w:t>1.4</w:t>
            </w:r>
          </w:p>
        </w:tc>
      </w:tr>
      <w:tr w:rsidR="00C17415" w:rsidRPr="00EA6361" w:rsidTr="00A93BA2">
        <w:tc>
          <w:tcPr>
            <w:tcW w:w="1998" w:type="dxa"/>
            <w:shd w:val="clear" w:color="auto" w:fill="auto"/>
          </w:tcPr>
          <w:p w:rsidR="00C17415" w:rsidRPr="00EA6361" w:rsidRDefault="00C17415" w:rsidP="00C17415">
            <w:pPr>
              <w:rPr>
                <w:lang w:val="en-US"/>
              </w:rPr>
            </w:pPr>
            <w:r w:rsidRPr="00EA6361">
              <w:rPr>
                <w:lang w:val="en-US"/>
              </w:rPr>
              <w:t>Vision Blurred</w:t>
            </w:r>
          </w:p>
        </w:tc>
        <w:tc>
          <w:tcPr>
            <w:tcW w:w="2079" w:type="dxa"/>
            <w:shd w:val="clear" w:color="auto" w:fill="auto"/>
          </w:tcPr>
          <w:p w:rsidR="00C17415" w:rsidRPr="00EA6361" w:rsidRDefault="00C17ED4" w:rsidP="00C17415">
            <w:pPr>
              <w:rPr>
                <w:lang w:val="en-US"/>
              </w:rPr>
            </w:pPr>
            <w:r>
              <w:rPr>
                <w:lang w:val="en-US"/>
              </w:rPr>
              <w:t>2.1</w:t>
            </w:r>
          </w:p>
        </w:tc>
        <w:tc>
          <w:tcPr>
            <w:tcW w:w="1985" w:type="dxa"/>
            <w:shd w:val="clear" w:color="auto" w:fill="auto"/>
          </w:tcPr>
          <w:p w:rsidR="00C17415" w:rsidRPr="00EA6361" w:rsidRDefault="00C17ED4" w:rsidP="00C17415">
            <w:pPr>
              <w:rPr>
                <w:lang w:val="en-US"/>
              </w:rPr>
            </w:pPr>
            <w:r>
              <w:rPr>
                <w:lang w:val="en-US"/>
              </w:rPr>
              <w:t>4.1</w:t>
            </w:r>
          </w:p>
        </w:tc>
        <w:tc>
          <w:tcPr>
            <w:tcW w:w="2126" w:type="dxa"/>
          </w:tcPr>
          <w:p w:rsidR="00C17415" w:rsidRPr="00EA6361" w:rsidRDefault="00C17415" w:rsidP="00C17415">
            <w:pPr>
              <w:rPr>
                <w:lang w:val="en-US"/>
              </w:rPr>
            </w:pPr>
            <w:r w:rsidRPr="00EA6361">
              <w:rPr>
                <w:lang w:val="en-US"/>
              </w:rPr>
              <w:t>0.5</w:t>
            </w:r>
          </w:p>
        </w:tc>
      </w:tr>
      <w:tr w:rsidR="00C17ED4" w:rsidRPr="00EA6361" w:rsidTr="00A93BA2">
        <w:tc>
          <w:tcPr>
            <w:tcW w:w="1998" w:type="dxa"/>
            <w:shd w:val="clear" w:color="auto" w:fill="auto"/>
          </w:tcPr>
          <w:p w:rsidR="00C17ED4" w:rsidRPr="00EA6361" w:rsidRDefault="00C17ED4" w:rsidP="00C17415">
            <w:pPr>
              <w:rPr>
                <w:lang w:val="en-US"/>
              </w:rPr>
            </w:pPr>
            <w:r>
              <w:rPr>
                <w:lang w:val="en-US"/>
              </w:rPr>
              <w:t>Conjunctivitis bacterial</w:t>
            </w:r>
          </w:p>
        </w:tc>
        <w:tc>
          <w:tcPr>
            <w:tcW w:w="2079" w:type="dxa"/>
            <w:shd w:val="clear" w:color="auto" w:fill="auto"/>
          </w:tcPr>
          <w:p w:rsidR="00C17ED4" w:rsidRPr="00EA6361" w:rsidRDefault="00C17ED4" w:rsidP="00C17415">
            <w:pPr>
              <w:rPr>
                <w:lang w:val="en-US"/>
              </w:rPr>
            </w:pPr>
            <w:r>
              <w:rPr>
                <w:lang w:val="en-US"/>
              </w:rPr>
              <w:t>1.8</w:t>
            </w:r>
          </w:p>
        </w:tc>
        <w:tc>
          <w:tcPr>
            <w:tcW w:w="1985" w:type="dxa"/>
            <w:shd w:val="clear" w:color="auto" w:fill="auto"/>
          </w:tcPr>
          <w:p w:rsidR="00C17ED4" w:rsidRPr="00EA6361" w:rsidRDefault="00C17ED4" w:rsidP="00C17415">
            <w:pPr>
              <w:rPr>
                <w:lang w:val="en-US"/>
              </w:rPr>
            </w:pPr>
            <w:r>
              <w:rPr>
                <w:lang w:val="en-US"/>
              </w:rPr>
              <w:t>2.8</w:t>
            </w:r>
          </w:p>
        </w:tc>
        <w:tc>
          <w:tcPr>
            <w:tcW w:w="2126" w:type="dxa"/>
          </w:tcPr>
          <w:p w:rsidR="00C17ED4" w:rsidRPr="00EA6361" w:rsidRDefault="00C17ED4" w:rsidP="00C17415">
            <w:pPr>
              <w:rPr>
                <w:lang w:val="en-US"/>
              </w:rPr>
            </w:pPr>
            <w:r>
              <w:rPr>
                <w:lang w:val="en-US"/>
              </w:rPr>
              <w:t>2.6</w:t>
            </w:r>
          </w:p>
        </w:tc>
      </w:tr>
      <w:tr w:rsidR="00EA40AC" w:rsidRPr="00EA6361" w:rsidTr="00A93BA2">
        <w:tc>
          <w:tcPr>
            <w:tcW w:w="1998" w:type="dxa"/>
            <w:shd w:val="clear" w:color="auto" w:fill="auto"/>
          </w:tcPr>
          <w:p w:rsidR="00EA40AC" w:rsidRPr="00571648" w:rsidRDefault="00EA40AC" w:rsidP="00C17415">
            <w:pPr>
              <w:rPr>
                <w:b/>
              </w:rPr>
            </w:pPr>
            <w:r>
              <w:rPr>
                <w:b/>
              </w:rPr>
              <w:t>Systemic Adverse Events</w:t>
            </w:r>
          </w:p>
        </w:tc>
        <w:tc>
          <w:tcPr>
            <w:tcW w:w="2079" w:type="dxa"/>
            <w:shd w:val="clear" w:color="auto" w:fill="auto"/>
          </w:tcPr>
          <w:p w:rsidR="00EA40AC" w:rsidRDefault="00EA40AC" w:rsidP="00C17415">
            <w:pPr>
              <w:rPr>
                <w:b/>
                <w:lang w:val="en-US"/>
              </w:rPr>
            </w:pPr>
            <w:proofErr w:type="spellStart"/>
            <w:r w:rsidRPr="00EA6361">
              <w:rPr>
                <w:b/>
                <w:lang w:val="en-US"/>
              </w:rPr>
              <w:t>Besivance</w:t>
            </w:r>
            <w:proofErr w:type="spellEnd"/>
            <w:r w:rsidRPr="00EA6361">
              <w:rPr>
                <w:b/>
                <w:lang w:val="en-US"/>
              </w:rPr>
              <w:t xml:space="preserve"> (n=1</w:t>
            </w:r>
            <w:r>
              <w:rPr>
                <w:b/>
                <w:lang w:val="en-US"/>
              </w:rPr>
              <w:t>192</w:t>
            </w:r>
            <w:r w:rsidRPr="00EA6361">
              <w:rPr>
                <w:b/>
                <w:lang w:val="en-US"/>
              </w:rPr>
              <w:t>)</w:t>
            </w:r>
            <w:r w:rsidR="00A93BA2">
              <w:rPr>
                <w:b/>
                <w:lang w:val="en-US"/>
              </w:rPr>
              <w:t>**</w:t>
            </w:r>
          </w:p>
          <w:p w:rsidR="00EA40AC" w:rsidRPr="00A93BA2" w:rsidRDefault="00EA40AC" w:rsidP="00C17415">
            <w:pPr>
              <w:rPr>
                <w:sz w:val="24"/>
                <w:szCs w:val="24"/>
              </w:rPr>
            </w:pPr>
            <w:r w:rsidRPr="00A93BA2">
              <w:rPr>
                <w:lang w:val="en-US"/>
              </w:rPr>
              <w:t>(%)</w:t>
            </w:r>
          </w:p>
        </w:tc>
        <w:tc>
          <w:tcPr>
            <w:tcW w:w="1985" w:type="dxa"/>
            <w:shd w:val="clear" w:color="auto" w:fill="auto"/>
          </w:tcPr>
          <w:p w:rsidR="00EA40AC" w:rsidRDefault="00EA40AC" w:rsidP="00C17415">
            <w:pPr>
              <w:rPr>
                <w:b/>
                <w:lang w:val="en-US"/>
              </w:rPr>
            </w:pPr>
            <w:r w:rsidRPr="00EA6361">
              <w:rPr>
                <w:b/>
                <w:lang w:val="en-US"/>
              </w:rPr>
              <w:t>Vehicle</w:t>
            </w:r>
            <w:r w:rsidRPr="00EA6361">
              <w:rPr>
                <w:b/>
                <w:sz w:val="16"/>
                <w:szCs w:val="16"/>
                <w:lang w:val="en-US"/>
              </w:rPr>
              <w:t>†</w:t>
            </w:r>
            <w:r w:rsidRPr="00EA6361">
              <w:rPr>
                <w:b/>
                <w:lang w:val="en-US"/>
              </w:rPr>
              <w:t xml:space="preserve"> (n=</w:t>
            </w:r>
            <w:r>
              <w:rPr>
                <w:b/>
                <w:lang w:val="en-US"/>
              </w:rPr>
              <w:t>616</w:t>
            </w:r>
            <w:r w:rsidRPr="00EA6361">
              <w:rPr>
                <w:b/>
                <w:lang w:val="en-US"/>
              </w:rPr>
              <w:t>)</w:t>
            </w:r>
            <w:r w:rsidR="00A93BA2">
              <w:rPr>
                <w:b/>
                <w:lang w:val="en-US"/>
              </w:rPr>
              <w:t>**</w:t>
            </w:r>
          </w:p>
          <w:p w:rsidR="00EA40AC" w:rsidRPr="00A93BA2" w:rsidRDefault="00EA40AC" w:rsidP="00C17415">
            <w:pPr>
              <w:rPr>
                <w:sz w:val="24"/>
                <w:szCs w:val="24"/>
              </w:rPr>
            </w:pPr>
            <w:r w:rsidRPr="00A93BA2">
              <w:rPr>
                <w:lang w:val="en-US"/>
              </w:rPr>
              <w:t>(%)</w:t>
            </w:r>
          </w:p>
        </w:tc>
        <w:tc>
          <w:tcPr>
            <w:tcW w:w="2126" w:type="dxa"/>
          </w:tcPr>
          <w:p w:rsidR="00EA40AC" w:rsidRDefault="00EA40AC" w:rsidP="00C17415">
            <w:pPr>
              <w:rPr>
                <w:b/>
                <w:lang w:val="en-US"/>
              </w:rPr>
            </w:pPr>
            <w:proofErr w:type="spellStart"/>
            <w:r w:rsidRPr="00EA6361">
              <w:rPr>
                <w:b/>
                <w:lang w:val="en-US"/>
              </w:rPr>
              <w:t>Vigamox</w:t>
            </w:r>
            <w:proofErr w:type="spellEnd"/>
            <w:r w:rsidRPr="00EA6361">
              <w:rPr>
                <w:b/>
                <w:sz w:val="16"/>
                <w:szCs w:val="16"/>
                <w:lang w:val="en-US"/>
              </w:rPr>
              <w:t>††</w:t>
            </w:r>
            <w:r w:rsidRPr="00EA6361">
              <w:rPr>
                <w:b/>
                <w:lang w:val="en-US"/>
              </w:rPr>
              <w:t xml:space="preserve"> (n=</w:t>
            </w:r>
            <w:r>
              <w:rPr>
                <w:b/>
                <w:lang w:val="en-US"/>
              </w:rPr>
              <w:t>579</w:t>
            </w:r>
            <w:r w:rsidRPr="00EA6361">
              <w:rPr>
                <w:b/>
                <w:lang w:val="en-US"/>
              </w:rPr>
              <w:t>)</w:t>
            </w:r>
            <w:r w:rsidR="00A93BA2">
              <w:rPr>
                <w:b/>
                <w:lang w:val="en-US"/>
              </w:rPr>
              <w:t>**</w:t>
            </w:r>
          </w:p>
          <w:p w:rsidR="00EA40AC" w:rsidRPr="00A93BA2" w:rsidRDefault="00EA40AC" w:rsidP="00C17415">
            <w:pPr>
              <w:rPr>
                <w:sz w:val="24"/>
                <w:szCs w:val="24"/>
              </w:rPr>
            </w:pPr>
            <w:r w:rsidRPr="00A93BA2">
              <w:rPr>
                <w:lang w:val="en-US"/>
              </w:rPr>
              <w:t>(%)</w:t>
            </w:r>
          </w:p>
        </w:tc>
      </w:tr>
      <w:tr w:rsidR="00EA40AC" w:rsidRPr="00EA6361" w:rsidTr="00A93BA2">
        <w:tc>
          <w:tcPr>
            <w:tcW w:w="1998" w:type="dxa"/>
            <w:shd w:val="clear" w:color="auto" w:fill="auto"/>
          </w:tcPr>
          <w:p w:rsidR="00EA40AC" w:rsidRPr="00EA6361" w:rsidRDefault="00EA40AC" w:rsidP="00C17415">
            <w:pPr>
              <w:rPr>
                <w:b/>
                <w:sz w:val="24"/>
                <w:szCs w:val="24"/>
              </w:rPr>
            </w:pPr>
            <w:r w:rsidRPr="00EA6361">
              <w:t xml:space="preserve">Headache </w:t>
            </w:r>
          </w:p>
        </w:tc>
        <w:tc>
          <w:tcPr>
            <w:tcW w:w="2079" w:type="dxa"/>
            <w:shd w:val="clear" w:color="auto" w:fill="auto"/>
          </w:tcPr>
          <w:p w:rsidR="00EA40AC" w:rsidRPr="00EA6361" w:rsidRDefault="00EA40AC" w:rsidP="00C17415">
            <w:pPr>
              <w:rPr>
                <w:b/>
                <w:sz w:val="24"/>
                <w:szCs w:val="24"/>
              </w:rPr>
            </w:pPr>
            <w:r w:rsidRPr="00EA6361">
              <w:t>1.8</w:t>
            </w:r>
          </w:p>
        </w:tc>
        <w:tc>
          <w:tcPr>
            <w:tcW w:w="1985" w:type="dxa"/>
            <w:shd w:val="clear" w:color="auto" w:fill="auto"/>
          </w:tcPr>
          <w:p w:rsidR="00EA40AC" w:rsidRPr="00EA6361" w:rsidRDefault="00EA40AC" w:rsidP="00C17415">
            <w:pPr>
              <w:rPr>
                <w:sz w:val="24"/>
                <w:szCs w:val="24"/>
              </w:rPr>
            </w:pPr>
            <w:r w:rsidRPr="00EA6361">
              <w:rPr>
                <w:sz w:val="24"/>
                <w:szCs w:val="24"/>
              </w:rPr>
              <w:t>1.8</w:t>
            </w:r>
          </w:p>
        </w:tc>
        <w:tc>
          <w:tcPr>
            <w:tcW w:w="2126" w:type="dxa"/>
          </w:tcPr>
          <w:p w:rsidR="00EA40AC" w:rsidRPr="00EA6361" w:rsidRDefault="00EA40AC" w:rsidP="00C17415">
            <w:pPr>
              <w:rPr>
                <w:sz w:val="24"/>
                <w:szCs w:val="24"/>
              </w:rPr>
            </w:pPr>
            <w:r w:rsidRPr="00EA6361">
              <w:rPr>
                <w:sz w:val="24"/>
                <w:szCs w:val="24"/>
              </w:rPr>
              <w:t>1.6</w:t>
            </w:r>
          </w:p>
        </w:tc>
      </w:tr>
    </w:tbl>
    <w:p w:rsidR="00A93BA2" w:rsidRDefault="00C17415" w:rsidP="00A93BA2">
      <w:pPr>
        <w:rPr>
          <w:lang w:val="en-US"/>
        </w:rPr>
      </w:pPr>
      <w:r w:rsidRPr="00EA6361">
        <w:rPr>
          <w:sz w:val="24"/>
          <w:szCs w:val="24"/>
          <w:lang w:val="en-US"/>
        </w:rPr>
        <w:t xml:space="preserve"> </w:t>
      </w:r>
      <w:r w:rsidR="00A93BA2">
        <w:rPr>
          <w:lang w:val="en-US"/>
        </w:rPr>
        <w:t>*n=all treated eyes for the specified treatment group and includes study and fellow eye</w:t>
      </w:r>
    </w:p>
    <w:p w:rsidR="00A93BA2" w:rsidRDefault="00A93BA2" w:rsidP="00A93BA2">
      <w:pPr>
        <w:rPr>
          <w:lang w:val="en-US"/>
        </w:rPr>
      </w:pPr>
      <w:r>
        <w:rPr>
          <w:lang w:val="en-US"/>
        </w:rPr>
        <w:t>**n= number of subjects for the specified treatment group</w:t>
      </w:r>
    </w:p>
    <w:p w:rsidR="001C1C9C" w:rsidRDefault="001C1C9C"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lang w:val="en-US"/>
        </w:rPr>
        <w:t>Uncommon ocular adverse events (occurring</w:t>
      </w:r>
      <w:r w:rsidR="00096C61">
        <w:rPr>
          <w:sz w:val="24"/>
          <w:szCs w:val="24"/>
          <w:lang w:val="en-US"/>
        </w:rPr>
        <w:t xml:space="preserve"> ≥0.1% to &lt;1%</w:t>
      </w:r>
      <w:r w:rsidRPr="00EA6361">
        <w:rPr>
          <w:sz w:val="24"/>
          <w:szCs w:val="24"/>
          <w:lang w:val="en-US"/>
        </w:rPr>
        <w:t xml:space="preserve"> of subjects) included  eyelid </w:t>
      </w:r>
      <w:proofErr w:type="spellStart"/>
      <w:r w:rsidRPr="00EA6361">
        <w:rPr>
          <w:sz w:val="24"/>
          <w:szCs w:val="24"/>
          <w:lang w:val="en-US"/>
        </w:rPr>
        <w:t>oedema</w:t>
      </w:r>
      <w:proofErr w:type="spellEnd"/>
      <w:r w:rsidRPr="00EA6361">
        <w:rPr>
          <w:sz w:val="24"/>
          <w:szCs w:val="24"/>
          <w:lang w:val="en-US"/>
        </w:rPr>
        <w:t xml:space="preserve">, </w:t>
      </w:r>
      <w:proofErr w:type="spellStart"/>
      <w:r w:rsidRPr="00EA6361">
        <w:rPr>
          <w:sz w:val="24"/>
          <w:szCs w:val="24"/>
          <w:lang w:val="en-US"/>
        </w:rPr>
        <w:t>conjunctival</w:t>
      </w:r>
      <w:proofErr w:type="spellEnd"/>
      <w:r w:rsidRPr="00EA6361">
        <w:rPr>
          <w:sz w:val="24"/>
          <w:szCs w:val="24"/>
          <w:lang w:val="en-US"/>
        </w:rPr>
        <w:t xml:space="preserve"> </w:t>
      </w:r>
      <w:proofErr w:type="spellStart"/>
      <w:r w:rsidRPr="00EA6361">
        <w:rPr>
          <w:sz w:val="24"/>
          <w:szCs w:val="24"/>
          <w:lang w:val="en-US"/>
        </w:rPr>
        <w:t>oedema</w:t>
      </w:r>
      <w:proofErr w:type="spellEnd"/>
      <w:r w:rsidRPr="00EA6361">
        <w:rPr>
          <w:sz w:val="24"/>
          <w:szCs w:val="24"/>
          <w:lang w:val="en-US"/>
        </w:rPr>
        <w:t xml:space="preserve">, corneal infiltrates, punctate keratitis, eye discharge, </w:t>
      </w:r>
      <w:proofErr w:type="spellStart"/>
      <w:r w:rsidRPr="00EA6361">
        <w:rPr>
          <w:sz w:val="24"/>
          <w:szCs w:val="24"/>
          <w:lang w:val="en-US"/>
        </w:rPr>
        <w:t>conjunctival</w:t>
      </w:r>
      <w:proofErr w:type="spellEnd"/>
      <w:r w:rsidRPr="00EA6361">
        <w:rPr>
          <w:sz w:val="24"/>
          <w:szCs w:val="24"/>
          <w:lang w:val="en-US"/>
        </w:rPr>
        <w:t xml:space="preserve"> hemorrhage, </w:t>
      </w:r>
      <w:proofErr w:type="spellStart"/>
      <w:r w:rsidRPr="00EA6361">
        <w:rPr>
          <w:sz w:val="24"/>
          <w:szCs w:val="24"/>
          <w:lang w:val="en-US"/>
        </w:rPr>
        <w:t>conjunctival</w:t>
      </w:r>
      <w:proofErr w:type="spellEnd"/>
      <w:r w:rsidRPr="00EA6361">
        <w:rPr>
          <w:sz w:val="24"/>
          <w:szCs w:val="24"/>
          <w:lang w:val="en-US"/>
        </w:rPr>
        <w:t xml:space="preserve"> disorder, dry eye, </w:t>
      </w:r>
      <w:proofErr w:type="spellStart"/>
      <w:r w:rsidRPr="00EA6361">
        <w:rPr>
          <w:sz w:val="24"/>
          <w:szCs w:val="24"/>
          <w:lang w:val="en-US"/>
        </w:rPr>
        <w:t>limbal</w:t>
      </w:r>
      <w:proofErr w:type="spellEnd"/>
      <w:r w:rsidRPr="00EA6361">
        <w:rPr>
          <w:sz w:val="24"/>
          <w:szCs w:val="24"/>
          <w:lang w:val="en-US"/>
        </w:rPr>
        <w:t xml:space="preserve"> hyperemia, </w:t>
      </w:r>
      <w:proofErr w:type="spellStart"/>
      <w:r w:rsidRPr="00EA6361">
        <w:rPr>
          <w:sz w:val="24"/>
          <w:szCs w:val="24"/>
          <w:lang w:val="en-US"/>
        </w:rPr>
        <w:t>conjunctival</w:t>
      </w:r>
      <w:proofErr w:type="spellEnd"/>
      <w:r w:rsidRPr="00EA6361">
        <w:rPr>
          <w:sz w:val="24"/>
          <w:szCs w:val="24"/>
          <w:lang w:val="en-US"/>
        </w:rPr>
        <w:t xml:space="preserve"> hyperemia,  conjunctivitis viral,  ocular hyperemia, visual acuity reduced, erythema eyelid, </w:t>
      </w:r>
      <w:proofErr w:type="spellStart"/>
      <w:r w:rsidRPr="00EA6361">
        <w:rPr>
          <w:sz w:val="24"/>
          <w:szCs w:val="24"/>
          <w:lang w:val="en-US"/>
        </w:rPr>
        <w:t>keratoconjunctivitis</w:t>
      </w:r>
      <w:proofErr w:type="spellEnd"/>
      <w:r w:rsidRPr="00EA6361">
        <w:rPr>
          <w:sz w:val="24"/>
          <w:szCs w:val="24"/>
          <w:lang w:val="en-US"/>
        </w:rPr>
        <w:t xml:space="preserve"> </w:t>
      </w:r>
      <w:proofErr w:type="spellStart"/>
      <w:r w:rsidRPr="00EA6361">
        <w:rPr>
          <w:sz w:val="24"/>
          <w:szCs w:val="24"/>
          <w:lang w:val="en-US"/>
        </w:rPr>
        <w:t>sicca</w:t>
      </w:r>
      <w:proofErr w:type="spellEnd"/>
      <w:r w:rsidRPr="00EA6361">
        <w:rPr>
          <w:sz w:val="24"/>
          <w:szCs w:val="24"/>
          <w:lang w:val="en-US"/>
        </w:rPr>
        <w:t xml:space="preserve">, corneal staining, eyelid margin crusting. </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lang w:val="en-US"/>
        </w:rPr>
        <w:t>Uncommon systemic adverse events (occurring</w:t>
      </w:r>
      <w:r w:rsidR="00096C61">
        <w:rPr>
          <w:sz w:val="24"/>
          <w:szCs w:val="24"/>
          <w:lang w:val="en-US"/>
        </w:rPr>
        <w:t xml:space="preserve"> ≥0.1% to &lt;1</w:t>
      </w:r>
      <w:proofErr w:type="gramStart"/>
      <w:r w:rsidR="00096C61">
        <w:rPr>
          <w:sz w:val="24"/>
          <w:szCs w:val="24"/>
          <w:lang w:val="en-US"/>
        </w:rPr>
        <w:t>%</w:t>
      </w:r>
      <w:r w:rsidR="00096C61" w:rsidRPr="00EA6361">
        <w:rPr>
          <w:sz w:val="24"/>
          <w:szCs w:val="24"/>
          <w:lang w:val="en-US"/>
        </w:rPr>
        <w:t xml:space="preserve"> </w:t>
      </w:r>
      <w:r w:rsidRPr="00EA6361">
        <w:rPr>
          <w:sz w:val="24"/>
          <w:szCs w:val="24"/>
          <w:lang w:val="en-US"/>
        </w:rPr>
        <w:t xml:space="preserve"> of</w:t>
      </w:r>
      <w:proofErr w:type="gramEnd"/>
      <w:r w:rsidRPr="00EA6361">
        <w:rPr>
          <w:sz w:val="24"/>
          <w:szCs w:val="24"/>
          <w:lang w:val="en-US"/>
        </w:rPr>
        <w:t xml:space="preserve"> subjects) included otitis media, ear infection, sinusitis, </w:t>
      </w:r>
      <w:proofErr w:type="spellStart"/>
      <w:r w:rsidRPr="00EA6361">
        <w:rPr>
          <w:sz w:val="24"/>
          <w:szCs w:val="24"/>
          <w:lang w:val="en-US"/>
        </w:rPr>
        <w:t>nasopharyngitis</w:t>
      </w:r>
      <w:proofErr w:type="spellEnd"/>
      <w:r w:rsidRPr="00EA6361">
        <w:rPr>
          <w:sz w:val="24"/>
          <w:szCs w:val="24"/>
          <w:lang w:val="en-US"/>
        </w:rPr>
        <w:t xml:space="preserve">, upper respiratory tract infection, </w:t>
      </w:r>
      <w:proofErr w:type="spellStart"/>
      <w:r w:rsidRPr="00EA6361">
        <w:rPr>
          <w:sz w:val="24"/>
          <w:szCs w:val="24"/>
          <w:lang w:val="en-US"/>
        </w:rPr>
        <w:t>pharyngolaryngeal</w:t>
      </w:r>
      <w:proofErr w:type="spellEnd"/>
      <w:r w:rsidRPr="00EA6361">
        <w:rPr>
          <w:sz w:val="24"/>
          <w:szCs w:val="24"/>
          <w:lang w:val="en-US"/>
        </w:rPr>
        <w:t xml:space="preserve"> pain, nasal congestion, respiratory tract congestion, asthma, cough and depression. </w:t>
      </w:r>
    </w:p>
    <w:p w:rsidR="00C17415" w:rsidRPr="00EA6361" w:rsidRDefault="00C17415" w:rsidP="00C17415">
      <w:pPr>
        <w:autoSpaceDE w:val="0"/>
        <w:autoSpaceDN w:val="0"/>
        <w:adjustRightInd w:val="0"/>
        <w:jc w:val="both"/>
        <w:rPr>
          <w:sz w:val="24"/>
          <w:szCs w:val="24"/>
          <w:lang w:val="en-US"/>
        </w:rPr>
      </w:pPr>
    </w:p>
    <w:p w:rsidR="001C1C9C" w:rsidRDefault="00C17415" w:rsidP="00C17415">
      <w:pPr>
        <w:autoSpaceDE w:val="0"/>
        <w:autoSpaceDN w:val="0"/>
        <w:adjustRightInd w:val="0"/>
        <w:jc w:val="both"/>
        <w:rPr>
          <w:sz w:val="24"/>
          <w:szCs w:val="24"/>
          <w:lang w:val="en-US"/>
        </w:rPr>
      </w:pPr>
      <w:r w:rsidRPr="00EA6361">
        <w:rPr>
          <w:b/>
          <w:sz w:val="24"/>
          <w:szCs w:val="24"/>
          <w:lang w:val="en-US"/>
        </w:rPr>
        <w:t>Post-marketing Events</w:t>
      </w:r>
      <w:r w:rsidRPr="00EA6361">
        <w:rPr>
          <w:sz w:val="24"/>
          <w:szCs w:val="24"/>
          <w:lang w:val="en-US"/>
        </w:rPr>
        <w:t>:</w:t>
      </w:r>
    </w:p>
    <w:p w:rsidR="00C17415" w:rsidRPr="00EA6361" w:rsidRDefault="00C17415" w:rsidP="00C17415">
      <w:pPr>
        <w:autoSpaceDE w:val="0"/>
        <w:autoSpaceDN w:val="0"/>
        <w:adjustRightInd w:val="0"/>
        <w:jc w:val="both"/>
        <w:rPr>
          <w:sz w:val="24"/>
          <w:szCs w:val="24"/>
          <w:lang w:val="en-US"/>
        </w:rPr>
      </w:pPr>
      <w:r w:rsidRPr="00EA6361">
        <w:rPr>
          <w:sz w:val="24"/>
          <w:szCs w:val="24"/>
          <w:lang w:val="en-US"/>
        </w:rPr>
        <w:t xml:space="preserve">The following adverse reactions are classified according to the following convention (% of total AEs reported for </w:t>
      </w:r>
      <w:proofErr w:type="spellStart"/>
      <w:r w:rsidRPr="00EA6361">
        <w:rPr>
          <w:sz w:val="24"/>
          <w:szCs w:val="24"/>
          <w:lang w:val="en-US"/>
        </w:rPr>
        <w:t>Besivance</w:t>
      </w:r>
      <w:proofErr w:type="spellEnd"/>
      <w:r w:rsidRPr="00EA6361">
        <w:rPr>
          <w:sz w:val="24"/>
          <w:szCs w:val="24"/>
          <w:lang w:val="en-US"/>
        </w:rPr>
        <w:t xml:space="preserve">): very common (≥10%), common (≥1% to &lt;10%), uncommon (≥0.1% to &lt;1%), rare (≥0.01% to &lt;0.1%), very rare (≥0.001% to &lt;0.01%), or not known (cannot be estimated from the available data) according to system organ classes. The adverse reactions have been observed during post-marketing experience. The frequency is based on the total number of adverse events reported in post-marketing data. </w:t>
      </w:r>
      <w:r w:rsidRPr="00EA6361">
        <w:rPr>
          <w:sz w:val="24"/>
          <w:szCs w:val="24"/>
          <w:lang w:val="en-US"/>
        </w:rPr>
        <w:cr/>
      </w:r>
    </w:p>
    <w:p w:rsidR="00C17415" w:rsidRPr="00EA6361" w:rsidRDefault="00C17415" w:rsidP="00C17415">
      <w:pPr>
        <w:autoSpaceDE w:val="0"/>
        <w:autoSpaceDN w:val="0"/>
        <w:adjustRightInd w:val="0"/>
        <w:jc w:val="both"/>
        <w:rPr>
          <w:sz w:val="24"/>
          <w:szCs w:val="24"/>
          <w:lang w:val="en-US"/>
        </w:rPr>
      </w:pPr>
      <w:r w:rsidRPr="00EA6361">
        <w:rPr>
          <w:sz w:val="24"/>
          <w:szCs w:val="24"/>
          <w:u w:val="single"/>
          <w:lang w:val="en-US"/>
        </w:rPr>
        <w:t>Congenital, familial and genetic disorders</w:t>
      </w:r>
      <w:r w:rsidRPr="00EA6361">
        <w:rPr>
          <w:sz w:val="24"/>
          <w:szCs w:val="24"/>
          <w:lang w:val="en-US"/>
        </w:rPr>
        <w:t>:</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lang w:val="en-US"/>
        </w:rPr>
        <w:t xml:space="preserve"> Uncommon (≥0.1 to &lt;1%): corneal dystrophy</w:t>
      </w:r>
    </w:p>
    <w:p w:rsidR="00206534" w:rsidRPr="00EA6361" w:rsidRDefault="00206534"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u w:val="single"/>
          <w:lang w:val="en-US"/>
        </w:rPr>
        <w:t>Eye disorders</w:t>
      </w:r>
      <w:r w:rsidRPr="00EA6361">
        <w:rPr>
          <w:sz w:val="24"/>
          <w:szCs w:val="24"/>
          <w:lang w:val="en-US"/>
        </w:rPr>
        <w:t xml:space="preserve">: </w:t>
      </w:r>
    </w:p>
    <w:p w:rsidR="00C17415" w:rsidRPr="00EA6361" w:rsidRDefault="00C17415" w:rsidP="00C17415">
      <w:pPr>
        <w:autoSpaceDE w:val="0"/>
        <w:autoSpaceDN w:val="0"/>
        <w:adjustRightInd w:val="0"/>
        <w:jc w:val="both"/>
        <w:rPr>
          <w:sz w:val="24"/>
          <w:szCs w:val="24"/>
          <w:lang w:val="en-US"/>
        </w:rPr>
      </w:pPr>
    </w:p>
    <w:p w:rsidR="00C17415" w:rsidRDefault="00C17415" w:rsidP="00C17415">
      <w:pPr>
        <w:autoSpaceDE w:val="0"/>
        <w:autoSpaceDN w:val="0"/>
        <w:adjustRightInd w:val="0"/>
        <w:jc w:val="both"/>
        <w:rPr>
          <w:sz w:val="24"/>
          <w:szCs w:val="24"/>
          <w:lang w:val="en-US"/>
        </w:rPr>
      </w:pPr>
      <w:r w:rsidRPr="00EA6361">
        <w:rPr>
          <w:sz w:val="24"/>
          <w:szCs w:val="24"/>
          <w:lang w:val="en-US"/>
        </w:rPr>
        <w:t xml:space="preserve">Common (≥1% to &lt;10%): corneal deposits, corneal disorders, corneal infiltrates, corneal </w:t>
      </w:r>
      <w:proofErr w:type="spellStart"/>
      <w:r w:rsidRPr="00EA6361">
        <w:rPr>
          <w:sz w:val="24"/>
          <w:szCs w:val="24"/>
          <w:lang w:val="en-US"/>
        </w:rPr>
        <w:t>oedema</w:t>
      </w:r>
      <w:proofErr w:type="spellEnd"/>
      <w:r w:rsidRPr="00EA6361">
        <w:rPr>
          <w:sz w:val="24"/>
          <w:szCs w:val="24"/>
          <w:lang w:val="en-US"/>
        </w:rPr>
        <w:t xml:space="preserve">, corneal opacity, corneal </w:t>
      </w:r>
      <w:proofErr w:type="spellStart"/>
      <w:r w:rsidRPr="00EA6361">
        <w:rPr>
          <w:sz w:val="24"/>
          <w:szCs w:val="24"/>
          <w:lang w:val="en-US"/>
        </w:rPr>
        <w:t>striae</w:t>
      </w:r>
      <w:proofErr w:type="spellEnd"/>
      <w:r w:rsidRPr="00EA6361">
        <w:rPr>
          <w:sz w:val="24"/>
          <w:szCs w:val="24"/>
          <w:lang w:val="en-US"/>
        </w:rPr>
        <w:t xml:space="preserve">, dry eye, eye irritation, eye </w:t>
      </w:r>
      <w:proofErr w:type="spellStart"/>
      <w:r w:rsidRPr="00EA6361">
        <w:rPr>
          <w:sz w:val="24"/>
          <w:szCs w:val="24"/>
          <w:lang w:val="en-US"/>
        </w:rPr>
        <w:t>oedema</w:t>
      </w:r>
      <w:proofErr w:type="spellEnd"/>
      <w:r w:rsidRPr="00EA6361">
        <w:rPr>
          <w:sz w:val="24"/>
          <w:szCs w:val="24"/>
          <w:lang w:val="en-US"/>
        </w:rPr>
        <w:t>, eye pain, foreign body sensation in eyes, lacrimation increased, ocular discomfort, ocular hyperemia, photophobia, punctate keratitis, vision blurred</w:t>
      </w:r>
      <w:r w:rsidR="0057092C">
        <w:rPr>
          <w:sz w:val="24"/>
          <w:szCs w:val="24"/>
          <w:lang w:val="en-US"/>
        </w:rPr>
        <w:t xml:space="preserve"> and off label use</w:t>
      </w:r>
      <w:r w:rsidRPr="00EA6361">
        <w:rPr>
          <w:sz w:val="24"/>
          <w:szCs w:val="24"/>
          <w:lang w:val="en-US"/>
        </w:rPr>
        <w:t>.</w:t>
      </w:r>
    </w:p>
    <w:p w:rsidR="001A2C7A" w:rsidRPr="00EA6361" w:rsidRDefault="001A2C7A"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lang w:val="en-US"/>
        </w:rPr>
        <w:lastRenderedPageBreak/>
        <w:t xml:space="preserve">Uncommon (≥0.1% to &lt;1%): anterior chamber disorder, </w:t>
      </w:r>
      <w:proofErr w:type="spellStart"/>
      <w:r w:rsidRPr="00EA6361">
        <w:rPr>
          <w:sz w:val="24"/>
          <w:szCs w:val="24"/>
          <w:lang w:val="en-US"/>
        </w:rPr>
        <w:t>blepharitis</w:t>
      </w:r>
      <w:proofErr w:type="spellEnd"/>
      <w:r w:rsidRPr="00EA6361">
        <w:rPr>
          <w:sz w:val="24"/>
          <w:szCs w:val="24"/>
          <w:lang w:val="en-US"/>
        </w:rPr>
        <w:t xml:space="preserve">, corneal pigmentation, corneal scar, corneal thickening, eye discharge, eye inflammation, eye pruritus, eye swelling, eyelid margin crusting, eyelid </w:t>
      </w:r>
      <w:proofErr w:type="spellStart"/>
      <w:r w:rsidRPr="00EA6361">
        <w:rPr>
          <w:sz w:val="24"/>
          <w:szCs w:val="24"/>
          <w:lang w:val="en-US"/>
        </w:rPr>
        <w:t>oedema</w:t>
      </w:r>
      <w:proofErr w:type="spellEnd"/>
      <w:r w:rsidRPr="00EA6361">
        <w:rPr>
          <w:sz w:val="24"/>
          <w:szCs w:val="24"/>
          <w:lang w:val="en-US"/>
        </w:rPr>
        <w:t xml:space="preserve">, glare, halo vision, </w:t>
      </w:r>
      <w:proofErr w:type="spellStart"/>
      <w:r w:rsidRPr="00EA6361">
        <w:rPr>
          <w:sz w:val="24"/>
          <w:szCs w:val="24"/>
          <w:lang w:val="en-US"/>
        </w:rPr>
        <w:t>Meibomian</w:t>
      </w:r>
      <w:proofErr w:type="spellEnd"/>
      <w:r w:rsidRPr="00EA6361">
        <w:rPr>
          <w:sz w:val="24"/>
          <w:szCs w:val="24"/>
          <w:lang w:val="en-US"/>
        </w:rPr>
        <w:t xml:space="preserve"> gland dysfunction, strabismus, ulcerative keratitis, visual acuity reduced, visual impairment.</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u w:val="single"/>
          <w:lang w:val="en-US"/>
        </w:rPr>
      </w:pPr>
      <w:r w:rsidRPr="00EA6361">
        <w:rPr>
          <w:sz w:val="24"/>
          <w:szCs w:val="24"/>
          <w:u w:val="single"/>
          <w:lang w:val="en-US"/>
        </w:rPr>
        <w:t>Gastrointestinal disorders:</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lang w:val="en-US"/>
        </w:rPr>
        <w:t xml:space="preserve">Uncommon (≥0.1% to &lt;1%): diarrhea, dysphagia, frequent bowel movements, gingival pain, </w:t>
      </w:r>
      <w:proofErr w:type="spellStart"/>
      <w:r w:rsidRPr="00EA6361">
        <w:rPr>
          <w:sz w:val="24"/>
          <w:szCs w:val="24"/>
          <w:lang w:val="en-US"/>
        </w:rPr>
        <w:t>glossodynia</w:t>
      </w:r>
      <w:proofErr w:type="spellEnd"/>
      <w:r w:rsidRPr="00EA6361">
        <w:rPr>
          <w:sz w:val="24"/>
          <w:szCs w:val="24"/>
          <w:lang w:val="en-US"/>
        </w:rPr>
        <w:t>, mucous stools, nausea, and sensitivity of teeth.</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u w:val="single"/>
          <w:lang w:val="en-US"/>
        </w:rPr>
        <w:t>General disorders and administrative site conditions</w:t>
      </w:r>
      <w:r w:rsidRPr="00EA6361">
        <w:rPr>
          <w:sz w:val="24"/>
          <w:szCs w:val="24"/>
          <w:lang w:val="en-US"/>
        </w:rPr>
        <w:t>:</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lang w:val="en-US"/>
        </w:rPr>
        <w:t xml:space="preserve">Common (≥1% to &lt;10%): Impaired healing, medication residue, </w:t>
      </w:r>
      <w:proofErr w:type="spellStart"/>
      <w:r w:rsidRPr="00EA6361">
        <w:rPr>
          <w:sz w:val="24"/>
          <w:szCs w:val="24"/>
          <w:lang w:val="en-US"/>
        </w:rPr>
        <w:t>oedema</w:t>
      </w:r>
      <w:proofErr w:type="spellEnd"/>
    </w:p>
    <w:p w:rsidR="00C17415" w:rsidRPr="00EA6361" w:rsidRDefault="00C17415" w:rsidP="00C17415">
      <w:pPr>
        <w:autoSpaceDE w:val="0"/>
        <w:autoSpaceDN w:val="0"/>
        <w:adjustRightInd w:val="0"/>
        <w:jc w:val="both"/>
        <w:rPr>
          <w:sz w:val="24"/>
          <w:szCs w:val="24"/>
          <w:lang w:val="en-US"/>
        </w:rPr>
      </w:pPr>
      <w:r w:rsidRPr="00EA6361">
        <w:rPr>
          <w:sz w:val="24"/>
          <w:szCs w:val="24"/>
          <w:lang w:val="en-US"/>
        </w:rPr>
        <w:t xml:space="preserve">Uncommon (≥0.1% to &lt;1%): drug ineffective, drug ineffective for unapproved indication, gait disturbance, instillation site pain, malaise, </w:t>
      </w:r>
      <w:proofErr w:type="spellStart"/>
      <w:r w:rsidRPr="00EA6361">
        <w:rPr>
          <w:sz w:val="24"/>
          <w:szCs w:val="24"/>
          <w:lang w:val="en-US"/>
        </w:rPr>
        <w:t>oedema</w:t>
      </w:r>
      <w:proofErr w:type="spellEnd"/>
      <w:r w:rsidRPr="00EA6361">
        <w:rPr>
          <w:sz w:val="24"/>
          <w:szCs w:val="24"/>
          <w:lang w:val="en-US"/>
        </w:rPr>
        <w:t xml:space="preserve"> peripheral, and pyrexia.</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u w:val="single"/>
          <w:lang w:val="en-US"/>
        </w:rPr>
        <w:t>Infections and infestations</w:t>
      </w:r>
      <w:r w:rsidRPr="00EA6361">
        <w:rPr>
          <w:sz w:val="24"/>
          <w:szCs w:val="24"/>
          <w:lang w:val="en-US"/>
        </w:rPr>
        <w:t xml:space="preserve">: </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lang w:val="en-US"/>
        </w:rPr>
        <w:t xml:space="preserve">Uncommon (≥0.1% to &lt;1%): candidiasis, </w:t>
      </w:r>
      <w:proofErr w:type="spellStart"/>
      <w:r w:rsidRPr="00EA6361">
        <w:rPr>
          <w:sz w:val="24"/>
          <w:szCs w:val="24"/>
          <w:lang w:val="en-US"/>
        </w:rPr>
        <w:t>endophthalmitis</w:t>
      </w:r>
      <w:proofErr w:type="spellEnd"/>
      <w:r w:rsidRPr="00EA6361">
        <w:rPr>
          <w:sz w:val="24"/>
          <w:szCs w:val="24"/>
          <w:lang w:val="en-US"/>
        </w:rPr>
        <w:t xml:space="preserve">, </w:t>
      </w:r>
      <w:proofErr w:type="spellStart"/>
      <w:r w:rsidRPr="00EA6361">
        <w:rPr>
          <w:sz w:val="24"/>
          <w:szCs w:val="24"/>
          <w:lang w:val="en-US"/>
        </w:rPr>
        <w:t>hypopyon</w:t>
      </w:r>
      <w:proofErr w:type="spellEnd"/>
      <w:r w:rsidRPr="00EA6361">
        <w:rPr>
          <w:sz w:val="24"/>
          <w:szCs w:val="24"/>
          <w:lang w:val="en-US"/>
        </w:rPr>
        <w:t>, staphylococcal infection.</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u w:val="single"/>
          <w:lang w:val="en-US"/>
        </w:rPr>
        <w:t>Injury, poisoning and procedural complications</w:t>
      </w:r>
      <w:r w:rsidRPr="00EA6361">
        <w:rPr>
          <w:sz w:val="24"/>
          <w:szCs w:val="24"/>
          <w:lang w:val="en-US"/>
        </w:rPr>
        <w:t>:</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lang w:val="en-US"/>
        </w:rPr>
        <w:t>Common (≥1% to &lt;10%): corneal flap complication, diffuse lamellar keratitis</w:t>
      </w:r>
    </w:p>
    <w:p w:rsidR="00C17415" w:rsidRPr="00EA6361" w:rsidRDefault="00C17415" w:rsidP="00C17415">
      <w:pPr>
        <w:autoSpaceDE w:val="0"/>
        <w:autoSpaceDN w:val="0"/>
        <w:adjustRightInd w:val="0"/>
        <w:jc w:val="both"/>
        <w:rPr>
          <w:sz w:val="24"/>
          <w:szCs w:val="24"/>
          <w:lang w:val="en-US"/>
        </w:rPr>
      </w:pPr>
      <w:r w:rsidRPr="00EA6361">
        <w:rPr>
          <w:sz w:val="24"/>
          <w:szCs w:val="24"/>
          <w:lang w:val="en-US"/>
        </w:rPr>
        <w:t>Uncommon(≥0.1% to &lt;1%): eye burn, eye injury, foreign body in eye, inappropriate schedule of drug administration, incorrect dose administered, incorrect drug dosage form administered.</w:t>
      </w:r>
    </w:p>
    <w:p w:rsidR="001C1C9C" w:rsidRDefault="001C1C9C" w:rsidP="00C17415">
      <w:pPr>
        <w:autoSpaceDE w:val="0"/>
        <w:autoSpaceDN w:val="0"/>
        <w:adjustRightInd w:val="0"/>
        <w:jc w:val="both"/>
        <w:rPr>
          <w:sz w:val="24"/>
          <w:szCs w:val="24"/>
          <w:u w:val="single"/>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u w:val="single"/>
          <w:lang w:val="en-US"/>
        </w:rPr>
        <w:t>Investigations</w:t>
      </w:r>
      <w:r w:rsidRPr="00EA6361">
        <w:rPr>
          <w:sz w:val="24"/>
          <w:szCs w:val="24"/>
          <w:lang w:val="en-US"/>
        </w:rPr>
        <w:t>:</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lang w:val="en-US"/>
        </w:rPr>
        <w:t>Uncommon (≥0.1% to &lt;1%): blood glucose increased, blood pressure increased, intraocular pressure increased, visual acuity test abnormal</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u w:val="single"/>
          <w:lang w:val="en-US"/>
        </w:rPr>
        <w:t>Metabolism and nutrition disorders</w:t>
      </w:r>
      <w:r w:rsidRPr="00EA6361">
        <w:rPr>
          <w:sz w:val="24"/>
          <w:szCs w:val="24"/>
          <w:lang w:val="en-US"/>
        </w:rPr>
        <w:t>:</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lang w:val="en-US"/>
        </w:rPr>
        <w:t>Uncommon (≥0.1% to &lt;1%): hypokalemia.</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u w:val="single"/>
          <w:lang w:val="en-US"/>
        </w:rPr>
        <w:t>Musculoskeletal and connective tissue disorders</w:t>
      </w:r>
      <w:r w:rsidRPr="00EA6361">
        <w:rPr>
          <w:sz w:val="24"/>
          <w:szCs w:val="24"/>
          <w:lang w:val="en-US"/>
        </w:rPr>
        <w:t xml:space="preserve">: </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lang w:val="en-US"/>
        </w:rPr>
        <w:t>Uncommon (≥0.1% to &lt;1%): muscle spasm.</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u w:val="single"/>
          <w:lang w:val="en-US"/>
        </w:rPr>
        <w:t>Nervous system disorder</w:t>
      </w:r>
      <w:r w:rsidRPr="00EA6361">
        <w:rPr>
          <w:sz w:val="24"/>
          <w:szCs w:val="24"/>
          <w:lang w:val="en-US"/>
        </w:rPr>
        <w:t>:</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lang w:val="en-US"/>
        </w:rPr>
        <w:t xml:space="preserve">Uncommon (≥0.1% to &lt;1%): dizziness, </w:t>
      </w:r>
      <w:proofErr w:type="spellStart"/>
      <w:r w:rsidRPr="00EA6361">
        <w:rPr>
          <w:sz w:val="24"/>
          <w:szCs w:val="24"/>
          <w:lang w:val="en-US"/>
        </w:rPr>
        <w:t>dysgeusia</w:t>
      </w:r>
      <w:proofErr w:type="spellEnd"/>
      <w:r w:rsidRPr="00EA6361">
        <w:rPr>
          <w:sz w:val="24"/>
          <w:szCs w:val="24"/>
          <w:lang w:val="en-US"/>
        </w:rPr>
        <w:t xml:space="preserve">, </w:t>
      </w:r>
      <w:proofErr w:type="gramStart"/>
      <w:r w:rsidRPr="00EA6361">
        <w:rPr>
          <w:sz w:val="24"/>
          <w:szCs w:val="24"/>
          <w:lang w:val="en-US"/>
        </w:rPr>
        <w:t>headache</w:t>
      </w:r>
      <w:proofErr w:type="gramEnd"/>
      <w:r w:rsidRPr="00EA6361">
        <w:rPr>
          <w:sz w:val="24"/>
          <w:szCs w:val="24"/>
          <w:lang w:val="en-US"/>
        </w:rPr>
        <w:t xml:space="preserve">, </w:t>
      </w:r>
      <w:proofErr w:type="spellStart"/>
      <w:r w:rsidRPr="00EA6361">
        <w:rPr>
          <w:sz w:val="24"/>
          <w:szCs w:val="24"/>
          <w:lang w:val="en-US"/>
        </w:rPr>
        <w:t>presyncope</w:t>
      </w:r>
      <w:proofErr w:type="spellEnd"/>
      <w:r w:rsidRPr="00EA6361">
        <w:rPr>
          <w:sz w:val="24"/>
          <w:szCs w:val="24"/>
          <w:lang w:val="en-US"/>
        </w:rPr>
        <w:t>.</w:t>
      </w:r>
    </w:p>
    <w:p w:rsidR="00C17415" w:rsidRDefault="00C17415" w:rsidP="00C17415">
      <w:pPr>
        <w:autoSpaceDE w:val="0"/>
        <w:autoSpaceDN w:val="0"/>
        <w:adjustRightInd w:val="0"/>
        <w:jc w:val="both"/>
        <w:rPr>
          <w:sz w:val="24"/>
          <w:szCs w:val="24"/>
          <w:lang w:val="en-US"/>
        </w:rPr>
      </w:pPr>
    </w:p>
    <w:p w:rsidR="001C1C9C" w:rsidRDefault="001C1C9C" w:rsidP="00C17415">
      <w:pPr>
        <w:autoSpaceDE w:val="0"/>
        <w:autoSpaceDN w:val="0"/>
        <w:adjustRightInd w:val="0"/>
        <w:jc w:val="both"/>
        <w:rPr>
          <w:sz w:val="24"/>
          <w:szCs w:val="24"/>
          <w:lang w:val="en-US"/>
        </w:rPr>
      </w:pPr>
    </w:p>
    <w:p w:rsidR="001C1C9C" w:rsidRPr="00EA6361" w:rsidRDefault="001C1C9C"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u w:val="single"/>
          <w:lang w:val="en-US"/>
        </w:rPr>
        <w:t>Psychiatric disorders</w:t>
      </w:r>
      <w:r w:rsidRPr="00EA6361">
        <w:rPr>
          <w:sz w:val="24"/>
          <w:szCs w:val="24"/>
          <w:lang w:val="en-US"/>
        </w:rPr>
        <w:t>:</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lang w:val="en-US"/>
        </w:rPr>
        <w:t>Uncommon (≥0.1% to &lt;1%): disorientation, insomnia.</w:t>
      </w:r>
    </w:p>
    <w:p w:rsidR="00DD040A" w:rsidRDefault="00DD040A" w:rsidP="00C17415">
      <w:pPr>
        <w:autoSpaceDE w:val="0"/>
        <w:autoSpaceDN w:val="0"/>
        <w:adjustRightInd w:val="0"/>
        <w:jc w:val="both"/>
        <w:rPr>
          <w:sz w:val="24"/>
          <w:szCs w:val="24"/>
          <w:u w:val="single"/>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u w:val="single"/>
          <w:lang w:val="en-US"/>
        </w:rPr>
        <w:t xml:space="preserve">Respiratory, thoracic and </w:t>
      </w:r>
      <w:proofErr w:type="spellStart"/>
      <w:r w:rsidRPr="00EA6361">
        <w:rPr>
          <w:sz w:val="24"/>
          <w:szCs w:val="24"/>
          <w:u w:val="single"/>
          <w:lang w:val="en-US"/>
        </w:rPr>
        <w:t>mediastinal</w:t>
      </w:r>
      <w:proofErr w:type="spellEnd"/>
      <w:r w:rsidRPr="00EA6361">
        <w:rPr>
          <w:sz w:val="24"/>
          <w:szCs w:val="24"/>
          <w:u w:val="single"/>
          <w:lang w:val="en-US"/>
        </w:rPr>
        <w:t xml:space="preserve"> disorders</w:t>
      </w:r>
      <w:r w:rsidRPr="00EA6361">
        <w:rPr>
          <w:sz w:val="24"/>
          <w:szCs w:val="24"/>
          <w:lang w:val="en-US"/>
        </w:rPr>
        <w:t>:</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lang w:val="en-US"/>
        </w:rPr>
        <w:t>Uncommon (≥0.1% to &lt;1%): dry throat, dyspnea, throat tightness.</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u w:val="single"/>
          <w:lang w:val="en-US"/>
        </w:rPr>
        <w:t>Skin and subcutaneous tissue disorders</w:t>
      </w:r>
      <w:r w:rsidRPr="00EA6361">
        <w:rPr>
          <w:sz w:val="24"/>
          <w:szCs w:val="24"/>
          <w:lang w:val="en-US"/>
        </w:rPr>
        <w:t xml:space="preserve">: </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lang w:val="en-US"/>
        </w:rPr>
        <w:t xml:space="preserve">Uncommon (≥0.1% to &lt;1%): cold sweat, </w:t>
      </w:r>
      <w:proofErr w:type="spellStart"/>
      <w:r w:rsidRPr="00EA6361">
        <w:rPr>
          <w:sz w:val="24"/>
          <w:szCs w:val="24"/>
          <w:lang w:val="en-US"/>
        </w:rPr>
        <w:t>madarosis</w:t>
      </w:r>
      <w:proofErr w:type="spellEnd"/>
      <w:r w:rsidRPr="00EA6361">
        <w:rPr>
          <w:sz w:val="24"/>
          <w:szCs w:val="24"/>
          <w:lang w:val="en-US"/>
        </w:rPr>
        <w:t>, photosensitivity reaction.</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u w:val="single"/>
          <w:lang w:val="en-US"/>
        </w:rPr>
        <w:t>Surgical and medical procedure</w:t>
      </w:r>
      <w:r w:rsidRPr="00EA6361">
        <w:rPr>
          <w:sz w:val="24"/>
          <w:szCs w:val="24"/>
          <w:lang w:val="en-US"/>
        </w:rPr>
        <w:t>:</w:t>
      </w:r>
    </w:p>
    <w:p w:rsidR="00C17415" w:rsidRPr="00EA6361"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lang w:val="en-US"/>
        </w:rPr>
        <w:t>Common (≥1% to &lt;10%): Off label use.</w:t>
      </w:r>
    </w:p>
    <w:p w:rsidR="00C17415" w:rsidRDefault="00C17415" w:rsidP="00C17415">
      <w:pPr>
        <w:autoSpaceDE w:val="0"/>
        <w:autoSpaceDN w:val="0"/>
        <w:adjustRightInd w:val="0"/>
        <w:jc w:val="both"/>
        <w:rPr>
          <w:sz w:val="24"/>
          <w:szCs w:val="24"/>
          <w:lang w:val="en-US"/>
        </w:rPr>
      </w:pPr>
    </w:p>
    <w:p w:rsidR="00C17415" w:rsidRPr="00EA6361" w:rsidRDefault="00C17415" w:rsidP="00C17415">
      <w:pPr>
        <w:autoSpaceDE w:val="0"/>
        <w:autoSpaceDN w:val="0"/>
        <w:adjustRightInd w:val="0"/>
        <w:jc w:val="both"/>
        <w:rPr>
          <w:sz w:val="24"/>
          <w:szCs w:val="24"/>
          <w:lang w:val="en-US"/>
        </w:rPr>
      </w:pPr>
      <w:r w:rsidRPr="00EA6361">
        <w:rPr>
          <w:sz w:val="24"/>
          <w:szCs w:val="24"/>
          <w:u w:val="single"/>
          <w:lang w:val="en-US"/>
        </w:rPr>
        <w:t>Vascular disorders</w:t>
      </w:r>
      <w:r w:rsidRPr="00EA6361">
        <w:rPr>
          <w:sz w:val="24"/>
          <w:szCs w:val="24"/>
          <w:lang w:val="en-US"/>
        </w:rPr>
        <w:t>:</w:t>
      </w:r>
    </w:p>
    <w:p w:rsidR="00C17415" w:rsidRPr="00EA6361" w:rsidRDefault="00C17415" w:rsidP="00C17415">
      <w:pPr>
        <w:autoSpaceDE w:val="0"/>
        <w:autoSpaceDN w:val="0"/>
        <w:adjustRightInd w:val="0"/>
        <w:jc w:val="both"/>
        <w:rPr>
          <w:sz w:val="24"/>
          <w:szCs w:val="24"/>
          <w:lang w:val="en-US"/>
        </w:rPr>
      </w:pPr>
    </w:p>
    <w:p w:rsidR="00C17415" w:rsidRPr="00C17415" w:rsidRDefault="00C17415" w:rsidP="00C17415">
      <w:pPr>
        <w:autoSpaceDE w:val="0"/>
        <w:autoSpaceDN w:val="0"/>
        <w:adjustRightInd w:val="0"/>
        <w:jc w:val="both"/>
        <w:rPr>
          <w:sz w:val="24"/>
          <w:szCs w:val="24"/>
          <w:lang w:val="en-US"/>
        </w:rPr>
      </w:pPr>
      <w:r w:rsidRPr="00EA6361">
        <w:rPr>
          <w:sz w:val="24"/>
          <w:szCs w:val="24"/>
          <w:lang w:val="en-US"/>
        </w:rPr>
        <w:t>Uncommon (≥0.1% to ≤1%): endothelial dysfunction.</w:t>
      </w:r>
    </w:p>
    <w:p w:rsidR="001C1C9C" w:rsidRDefault="001C1C9C" w:rsidP="0051197D">
      <w:pPr>
        <w:pStyle w:val="Default"/>
        <w:tabs>
          <w:tab w:val="left" w:pos="567"/>
        </w:tabs>
        <w:jc w:val="both"/>
        <w:rPr>
          <w:rFonts w:ascii="Times New Roman" w:hAnsi="Times New Roman" w:cs="Times New Roman"/>
          <w:b/>
          <w:bCs/>
          <w:color w:val="auto"/>
        </w:rPr>
      </w:pPr>
    </w:p>
    <w:p w:rsidR="001C1C9C" w:rsidRDefault="001C1C9C" w:rsidP="0051197D">
      <w:pPr>
        <w:pStyle w:val="Default"/>
        <w:tabs>
          <w:tab w:val="left" w:pos="567"/>
        </w:tabs>
        <w:jc w:val="both"/>
        <w:rPr>
          <w:rFonts w:ascii="Times New Roman" w:hAnsi="Times New Roman" w:cs="Times New Roman"/>
          <w:b/>
          <w:bCs/>
          <w:color w:val="auto"/>
        </w:rPr>
      </w:pPr>
    </w:p>
    <w:p w:rsidR="009C1E08" w:rsidRPr="00D206E8" w:rsidRDefault="009C1E08" w:rsidP="0051197D">
      <w:pPr>
        <w:pStyle w:val="Default"/>
        <w:tabs>
          <w:tab w:val="left" w:pos="567"/>
        </w:tabs>
        <w:jc w:val="both"/>
        <w:rPr>
          <w:rFonts w:ascii="Times New Roman" w:hAnsi="Times New Roman" w:cs="Times New Roman"/>
          <w:b/>
          <w:bCs/>
          <w:color w:val="auto"/>
        </w:rPr>
      </w:pPr>
      <w:r w:rsidRPr="00D206E8">
        <w:rPr>
          <w:rFonts w:ascii="Times New Roman" w:hAnsi="Times New Roman" w:cs="Times New Roman"/>
          <w:b/>
          <w:bCs/>
          <w:color w:val="auto"/>
        </w:rPr>
        <w:t>D</w:t>
      </w:r>
      <w:r w:rsidR="000078AD" w:rsidRPr="00D206E8">
        <w:rPr>
          <w:rFonts w:ascii="Times New Roman" w:hAnsi="Times New Roman" w:cs="Times New Roman"/>
          <w:b/>
          <w:bCs/>
          <w:color w:val="auto"/>
        </w:rPr>
        <w:t>osage and administration</w:t>
      </w:r>
      <w:r w:rsidRPr="00D206E8">
        <w:rPr>
          <w:rFonts w:ascii="Times New Roman" w:hAnsi="Times New Roman" w:cs="Times New Roman"/>
          <w:b/>
          <w:bCs/>
          <w:color w:val="auto"/>
        </w:rPr>
        <w:t xml:space="preserve"> </w:t>
      </w:r>
    </w:p>
    <w:p w:rsidR="00B70EE3" w:rsidRPr="00685742" w:rsidRDefault="00090CAA" w:rsidP="00685742">
      <w:pPr>
        <w:jc w:val="both"/>
        <w:rPr>
          <w:sz w:val="24"/>
          <w:szCs w:val="24"/>
        </w:rPr>
      </w:pPr>
      <w:r w:rsidRPr="00685742">
        <w:rPr>
          <w:sz w:val="24"/>
          <w:szCs w:val="24"/>
        </w:rPr>
        <w:t xml:space="preserve">Adults and children 12 months and older: </w:t>
      </w:r>
      <w:r w:rsidR="00B52D73">
        <w:rPr>
          <w:sz w:val="24"/>
          <w:szCs w:val="24"/>
        </w:rPr>
        <w:t>Instil</w:t>
      </w:r>
      <w:r w:rsidR="00B70EE3" w:rsidRPr="00685742">
        <w:rPr>
          <w:sz w:val="24"/>
          <w:szCs w:val="24"/>
        </w:rPr>
        <w:t xml:space="preserve"> one drop in the affected eye(s) 3 times a day, four to twelve hours apart for 7 days. </w:t>
      </w:r>
    </w:p>
    <w:p w:rsidR="0051197D" w:rsidRPr="00685742" w:rsidRDefault="0051197D" w:rsidP="00685742">
      <w:pPr>
        <w:pStyle w:val="Default"/>
        <w:jc w:val="both"/>
        <w:rPr>
          <w:rFonts w:ascii="Times New Roman" w:hAnsi="Times New Roman" w:cs="Times New Roman"/>
          <w:lang w:val="en-AU"/>
        </w:rPr>
      </w:pPr>
    </w:p>
    <w:p w:rsidR="00E33FCF" w:rsidRPr="00A86BC8" w:rsidRDefault="00890845" w:rsidP="00A86BC8">
      <w:pPr>
        <w:jc w:val="both"/>
        <w:rPr>
          <w:sz w:val="24"/>
          <w:szCs w:val="24"/>
        </w:rPr>
      </w:pPr>
      <w:r w:rsidRPr="00A86BC8">
        <w:rPr>
          <w:sz w:val="24"/>
          <w:szCs w:val="24"/>
        </w:rPr>
        <w:t>A</w:t>
      </w:r>
      <w:r w:rsidR="00B54BEA" w:rsidRPr="00A86BC8">
        <w:rPr>
          <w:sz w:val="24"/>
          <w:szCs w:val="24"/>
        </w:rPr>
        <w:t xml:space="preserve">void contaminating the applicator tip with material from the eye, fingers or other source. </w:t>
      </w:r>
      <w:r w:rsidR="004C00B1" w:rsidRPr="00A86BC8">
        <w:rPr>
          <w:sz w:val="24"/>
          <w:szCs w:val="24"/>
        </w:rPr>
        <w:t xml:space="preserve">Patients should be instructed to invert closed bottle (upside down) and shake once </w:t>
      </w:r>
    </w:p>
    <w:p w:rsidR="00E33FCF" w:rsidRPr="00A86BC8" w:rsidRDefault="004C00B1" w:rsidP="00A86BC8">
      <w:pPr>
        <w:jc w:val="both"/>
        <w:rPr>
          <w:sz w:val="24"/>
          <w:szCs w:val="24"/>
        </w:rPr>
      </w:pPr>
      <w:proofErr w:type="gramStart"/>
      <w:r w:rsidRPr="00A86BC8">
        <w:rPr>
          <w:sz w:val="24"/>
          <w:szCs w:val="24"/>
        </w:rPr>
        <w:t>before</w:t>
      </w:r>
      <w:proofErr w:type="gramEnd"/>
      <w:r w:rsidRPr="00A86BC8">
        <w:rPr>
          <w:sz w:val="24"/>
          <w:szCs w:val="24"/>
        </w:rPr>
        <w:t xml:space="preserve"> each use. Remove cap with bottle still in the inverted position. Tilt head back, and </w:t>
      </w:r>
    </w:p>
    <w:p w:rsidR="004C00B1" w:rsidRDefault="004C00B1" w:rsidP="00A86BC8">
      <w:pPr>
        <w:jc w:val="both"/>
        <w:rPr>
          <w:sz w:val="24"/>
          <w:szCs w:val="24"/>
        </w:rPr>
      </w:pPr>
      <w:proofErr w:type="gramStart"/>
      <w:r w:rsidRPr="00A86BC8">
        <w:rPr>
          <w:sz w:val="24"/>
          <w:szCs w:val="24"/>
        </w:rPr>
        <w:t>with</w:t>
      </w:r>
      <w:proofErr w:type="gramEnd"/>
      <w:r w:rsidRPr="00A86BC8">
        <w:rPr>
          <w:sz w:val="24"/>
          <w:szCs w:val="24"/>
        </w:rPr>
        <w:t xml:space="preserve"> bottle inverted, gently squeeze bottle to </w:t>
      </w:r>
      <w:proofErr w:type="spellStart"/>
      <w:r w:rsidRPr="00A86BC8">
        <w:rPr>
          <w:sz w:val="24"/>
          <w:szCs w:val="24"/>
        </w:rPr>
        <w:t>instill</w:t>
      </w:r>
      <w:proofErr w:type="spellEnd"/>
      <w:r w:rsidRPr="00A86BC8">
        <w:rPr>
          <w:sz w:val="24"/>
          <w:szCs w:val="24"/>
        </w:rPr>
        <w:t xml:space="preserve"> one drop into the affected eye(s).</w:t>
      </w:r>
    </w:p>
    <w:p w:rsidR="00A33541" w:rsidRDefault="00A33541" w:rsidP="00A86BC8">
      <w:pPr>
        <w:jc w:val="both"/>
        <w:rPr>
          <w:sz w:val="24"/>
          <w:szCs w:val="24"/>
        </w:rPr>
      </w:pPr>
    </w:p>
    <w:p w:rsidR="00A33541" w:rsidRPr="00A86BC8" w:rsidRDefault="00A33541" w:rsidP="00A86BC8">
      <w:pPr>
        <w:jc w:val="both"/>
        <w:rPr>
          <w:sz w:val="24"/>
          <w:szCs w:val="24"/>
        </w:rPr>
      </w:pPr>
      <w:proofErr w:type="spellStart"/>
      <w:r w:rsidRPr="00A33541">
        <w:rPr>
          <w:sz w:val="24"/>
          <w:szCs w:val="24"/>
        </w:rPr>
        <w:t>Besivance</w:t>
      </w:r>
      <w:proofErr w:type="spellEnd"/>
      <w:r w:rsidRPr="00A33541">
        <w:rPr>
          <w:sz w:val="24"/>
          <w:szCs w:val="24"/>
        </w:rPr>
        <w:t xml:space="preserve"> eye drops are not to be shared between patients to ensure minimisation of possible cross-contamination</w:t>
      </w:r>
      <w:r>
        <w:rPr>
          <w:sz w:val="24"/>
          <w:szCs w:val="24"/>
        </w:rPr>
        <w:t>.</w:t>
      </w:r>
    </w:p>
    <w:p w:rsidR="001F21EB" w:rsidRDefault="001F21EB" w:rsidP="00685742">
      <w:pPr>
        <w:pStyle w:val="NormalWeb"/>
        <w:tabs>
          <w:tab w:val="left" w:pos="567"/>
        </w:tabs>
        <w:spacing w:before="0" w:beforeAutospacing="0" w:after="0" w:afterAutospacing="0"/>
        <w:ind w:left="567" w:hanging="567"/>
        <w:jc w:val="both"/>
        <w:rPr>
          <w:rFonts w:eastAsia="Arial Unicode MS"/>
          <w:lang w:val="en"/>
        </w:rPr>
      </w:pPr>
    </w:p>
    <w:p w:rsidR="001C1C9C" w:rsidRDefault="001C1C9C" w:rsidP="00685742">
      <w:pPr>
        <w:pStyle w:val="Default"/>
        <w:tabs>
          <w:tab w:val="left" w:pos="567"/>
        </w:tabs>
        <w:jc w:val="both"/>
        <w:rPr>
          <w:rFonts w:ascii="Times New Roman" w:hAnsi="Times New Roman" w:cs="Times New Roman"/>
          <w:b/>
          <w:bCs/>
          <w:color w:val="auto"/>
        </w:rPr>
      </w:pPr>
    </w:p>
    <w:p w:rsidR="009C1E08" w:rsidRPr="00D206E8" w:rsidRDefault="009C1E08" w:rsidP="00685742">
      <w:pPr>
        <w:pStyle w:val="Default"/>
        <w:tabs>
          <w:tab w:val="left" w:pos="567"/>
        </w:tabs>
        <w:jc w:val="both"/>
        <w:rPr>
          <w:rFonts w:ascii="Times New Roman" w:hAnsi="Times New Roman" w:cs="Times New Roman"/>
          <w:b/>
          <w:bCs/>
          <w:color w:val="auto"/>
        </w:rPr>
      </w:pPr>
      <w:proofErr w:type="spellStart"/>
      <w:r w:rsidRPr="00D206E8">
        <w:rPr>
          <w:rFonts w:ascii="Times New Roman" w:hAnsi="Times New Roman" w:cs="Times New Roman"/>
          <w:b/>
          <w:bCs/>
          <w:color w:val="auto"/>
        </w:rPr>
        <w:t>O</w:t>
      </w:r>
      <w:r w:rsidR="000078AD" w:rsidRPr="00D206E8">
        <w:rPr>
          <w:rFonts w:ascii="Times New Roman" w:hAnsi="Times New Roman" w:cs="Times New Roman"/>
          <w:b/>
          <w:bCs/>
          <w:color w:val="auto"/>
        </w:rPr>
        <w:t>verdosage</w:t>
      </w:r>
      <w:proofErr w:type="spellEnd"/>
      <w:r w:rsidR="000078AD" w:rsidRPr="00D206E8">
        <w:rPr>
          <w:rFonts w:ascii="Times New Roman" w:hAnsi="Times New Roman" w:cs="Times New Roman"/>
          <w:b/>
          <w:bCs/>
          <w:color w:val="auto"/>
        </w:rPr>
        <w:t xml:space="preserve"> </w:t>
      </w:r>
    </w:p>
    <w:p w:rsidR="00A33541" w:rsidRPr="00A33541" w:rsidRDefault="00A33541" w:rsidP="00A33541">
      <w:pPr>
        <w:tabs>
          <w:tab w:val="left" w:pos="0"/>
        </w:tabs>
        <w:autoSpaceDE w:val="0"/>
        <w:autoSpaceDN w:val="0"/>
        <w:adjustRightInd w:val="0"/>
        <w:spacing w:line="240" w:lineRule="atLeast"/>
        <w:jc w:val="both"/>
        <w:rPr>
          <w:sz w:val="24"/>
          <w:szCs w:val="24"/>
          <w:lang w:val="en-US"/>
        </w:rPr>
      </w:pPr>
      <w:r w:rsidRPr="00A33541">
        <w:rPr>
          <w:sz w:val="24"/>
          <w:szCs w:val="24"/>
          <w:lang w:val="en-US"/>
        </w:rPr>
        <w:t xml:space="preserve">Systemic overdose: In the event of accidental ingestion of </w:t>
      </w:r>
      <w:proofErr w:type="spellStart"/>
      <w:r w:rsidRPr="00A33541">
        <w:rPr>
          <w:sz w:val="24"/>
          <w:szCs w:val="24"/>
          <w:lang w:val="en-US"/>
        </w:rPr>
        <w:t>Besivance</w:t>
      </w:r>
      <w:proofErr w:type="spellEnd"/>
      <w:r w:rsidRPr="00A33541">
        <w:rPr>
          <w:sz w:val="24"/>
          <w:szCs w:val="24"/>
          <w:lang w:val="en-US"/>
        </w:rPr>
        <w:t xml:space="preserve"> 5 mL, 30 mg of </w:t>
      </w:r>
      <w:proofErr w:type="spellStart"/>
      <w:r w:rsidRPr="00A33541">
        <w:rPr>
          <w:sz w:val="24"/>
          <w:szCs w:val="24"/>
          <w:lang w:val="en-US"/>
        </w:rPr>
        <w:t>besifloxacin</w:t>
      </w:r>
      <w:proofErr w:type="spellEnd"/>
      <w:r w:rsidRPr="00A33541">
        <w:rPr>
          <w:sz w:val="24"/>
          <w:szCs w:val="24"/>
          <w:lang w:val="en-US"/>
        </w:rPr>
        <w:t xml:space="preserve"> would be ingested. This amount does not appear to be clinically significant in terms of overdose. However, there would be an increased potential for systemic reactions (see Adverse Reactions).</w:t>
      </w:r>
    </w:p>
    <w:p w:rsidR="00A33541" w:rsidRDefault="00A33541" w:rsidP="00A33541">
      <w:pPr>
        <w:tabs>
          <w:tab w:val="left" w:pos="0"/>
        </w:tabs>
        <w:autoSpaceDE w:val="0"/>
        <w:autoSpaceDN w:val="0"/>
        <w:adjustRightInd w:val="0"/>
        <w:spacing w:line="240" w:lineRule="atLeast"/>
        <w:jc w:val="both"/>
        <w:rPr>
          <w:sz w:val="24"/>
          <w:szCs w:val="24"/>
          <w:lang w:val="en-US"/>
        </w:rPr>
      </w:pPr>
      <w:r w:rsidRPr="00A33541">
        <w:rPr>
          <w:sz w:val="24"/>
          <w:szCs w:val="24"/>
          <w:lang w:val="en-US"/>
        </w:rPr>
        <w:t xml:space="preserve">Topical overdose: Following the administration in the eyes overdose symptoms are unlikely to occur. </w:t>
      </w:r>
    </w:p>
    <w:p w:rsidR="004C00B1" w:rsidRPr="00D206E8" w:rsidRDefault="004C00B1" w:rsidP="00685742">
      <w:pPr>
        <w:tabs>
          <w:tab w:val="left" w:pos="0"/>
        </w:tabs>
        <w:autoSpaceDE w:val="0"/>
        <w:autoSpaceDN w:val="0"/>
        <w:adjustRightInd w:val="0"/>
        <w:spacing w:line="240" w:lineRule="atLeast"/>
        <w:jc w:val="both"/>
        <w:rPr>
          <w:sz w:val="24"/>
          <w:szCs w:val="24"/>
          <w:lang w:val="en-US"/>
        </w:rPr>
      </w:pPr>
      <w:r w:rsidRPr="00D206E8">
        <w:rPr>
          <w:sz w:val="24"/>
          <w:szCs w:val="24"/>
          <w:lang w:val="en-US"/>
        </w:rPr>
        <w:t xml:space="preserve">If the eye drops are accidently ingested by infants or young </w:t>
      </w:r>
      <w:r w:rsidR="00B54BEA" w:rsidRPr="00D206E8">
        <w:rPr>
          <w:sz w:val="24"/>
          <w:szCs w:val="24"/>
          <w:lang w:val="en-US"/>
        </w:rPr>
        <w:t>children,</w:t>
      </w:r>
      <w:r w:rsidRPr="00D206E8">
        <w:rPr>
          <w:sz w:val="24"/>
          <w:szCs w:val="24"/>
          <w:lang w:val="en-US"/>
        </w:rPr>
        <w:t xml:space="preserve"> contact the Poisons Information Centre on 131 126.  The medication should be kept out of reach of children. </w:t>
      </w:r>
    </w:p>
    <w:p w:rsidR="002D4D47" w:rsidRDefault="002D4D47" w:rsidP="00685742">
      <w:pPr>
        <w:tabs>
          <w:tab w:val="left" w:pos="567"/>
        </w:tabs>
        <w:autoSpaceDE w:val="0"/>
        <w:autoSpaceDN w:val="0"/>
        <w:adjustRightInd w:val="0"/>
        <w:ind w:left="567" w:hanging="567"/>
        <w:jc w:val="both"/>
        <w:rPr>
          <w:sz w:val="24"/>
          <w:szCs w:val="24"/>
        </w:rPr>
      </w:pPr>
    </w:p>
    <w:p w:rsidR="001C1C9C" w:rsidRDefault="001C1C9C" w:rsidP="0051197D">
      <w:pPr>
        <w:pStyle w:val="Default"/>
        <w:tabs>
          <w:tab w:val="left" w:pos="567"/>
        </w:tabs>
        <w:jc w:val="both"/>
        <w:rPr>
          <w:rFonts w:ascii="Times New Roman" w:hAnsi="Times New Roman" w:cs="Times New Roman"/>
          <w:b/>
          <w:bCs/>
          <w:color w:val="auto"/>
        </w:rPr>
      </w:pPr>
    </w:p>
    <w:p w:rsidR="001C1C9C" w:rsidRDefault="001C1C9C" w:rsidP="0051197D">
      <w:pPr>
        <w:pStyle w:val="Default"/>
        <w:tabs>
          <w:tab w:val="left" w:pos="567"/>
        </w:tabs>
        <w:jc w:val="both"/>
        <w:rPr>
          <w:rFonts w:ascii="Times New Roman" w:hAnsi="Times New Roman" w:cs="Times New Roman"/>
          <w:b/>
          <w:bCs/>
          <w:color w:val="auto"/>
        </w:rPr>
      </w:pPr>
    </w:p>
    <w:p w:rsidR="001C1C9C" w:rsidRDefault="001C1C9C" w:rsidP="0051197D">
      <w:pPr>
        <w:pStyle w:val="Default"/>
        <w:tabs>
          <w:tab w:val="left" w:pos="567"/>
        </w:tabs>
        <w:jc w:val="both"/>
        <w:rPr>
          <w:rFonts w:ascii="Times New Roman" w:hAnsi="Times New Roman" w:cs="Times New Roman"/>
          <w:b/>
          <w:bCs/>
          <w:color w:val="auto"/>
        </w:rPr>
      </w:pPr>
    </w:p>
    <w:p w:rsidR="002D4D47" w:rsidRPr="00D206E8" w:rsidRDefault="009C1E08" w:rsidP="0051197D">
      <w:pPr>
        <w:pStyle w:val="Default"/>
        <w:tabs>
          <w:tab w:val="left" w:pos="567"/>
        </w:tabs>
        <w:jc w:val="both"/>
        <w:rPr>
          <w:rFonts w:ascii="Times New Roman" w:hAnsi="Times New Roman" w:cs="Times New Roman"/>
          <w:color w:val="auto"/>
        </w:rPr>
      </w:pPr>
      <w:r w:rsidRPr="00D206E8">
        <w:rPr>
          <w:rFonts w:ascii="Times New Roman" w:hAnsi="Times New Roman" w:cs="Times New Roman"/>
          <w:b/>
          <w:bCs/>
          <w:color w:val="auto"/>
        </w:rPr>
        <w:t>P</w:t>
      </w:r>
      <w:r w:rsidR="000078AD" w:rsidRPr="00D206E8">
        <w:rPr>
          <w:rFonts w:ascii="Times New Roman" w:hAnsi="Times New Roman" w:cs="Times New Roman"/>
          <w:b/>
          <w:bCs/>
          <w:color w:val="auto"/>
        </w:rPr>
        <w:t xml:space="preserve">resentation </w:t>
      </w:r>
      <w:r w:rsidR="000078AD">
        <w:rPr>
          <w:rFonts w:ascii="Times New Roman" w:hAnsi="Times New Roman" w:cs="Times New Roman"/>
          <w:b/>
          <w:bCs/>
          <w:color w:val="auto"/>
        </w:rPr>
        <w:t>and storage conditions</w:t>
      </w:r>
    </w:p>
    <w:p w:rsidR="00A0698B" w:rsidRPr="00B52D73" w:rsidRDefault="00A0698B" w:rsidP="00B52D73">
      <w:pPr>
        <w:jc w:val="both"/>
        <w:rPr>
          <w:sz w:val="24"/>
          <w:szCs w:val="24"/>
          <w:u w:val="single"/>
        </w:rPr>
      </w:pPr>
      <w:r w:rsidRPr="00B52D73">
        <w:rPr>
          <w:sz w:val="24"/>
          <w:szCs w:val="24"/>
          <w:u w:val="single"/>
        </w:rPr>
        <w:t>Presentation</w:t>
      </w:r>
    </w:p>
    <w:p w:rsidR="00B70EE3" w:rsidRPr="00B52D73" w:rsidRDefault="00B70EE3" w:rsidP="00B52D73">
      <w:pPr>
        <w:jc w:val="both"/>
        <w:rPr>
          <w:sz w:val="24"/>
          <w:szCs w:val="24"/>
        </w:rPr>
      </w:pPr>
      <w:proofErr w:type="spellStart"/>
      <w:r w:rsidRPr="00B52D73">
        <w:rPr>
          <w:sz w:val="24"/>
          <w:szCs w:val="24"/>
        </w:rPr>
        <w:t>Besivance</w:t>
      </w:r>
      <w:proofErr w:type="spellEnd"/>
      <w:r w:rsidRPr="00B52D73">
        <w:rPr>
          <w:sz w:val="24"/>
          <w:szCs w:val="24"/>
        </w:rPr>
        <w:t xml:space="preserve"> (</w:t>
      </w:r>
      <w:proofErr w:type="spellStart"/>
      <w:r w:rsidRPr="00B52D73">
        <w:rPr>
          <w:sz w:val="24"/>
          <w:szCs w:val="24"/>
        </w:rPr>
        <w:t>besifloxacin</w:t>
      </w:r>
      <w:proofErr w:type="spellEnd"/>
      <w:r w:rsidRPr="00B52D73">
        <w:rPr>
          <w:sz w:val="24"/>
          <w:szCs w:val="24"/>
        </w:rPr>
        <w:t xml:space="preserve"> </w:t>
      </w:r>
      <w:r w:rsidR="00A633B2">
        <w:rPr>
          <w:sz w:val="24"/>
          <w:szCs w:val="24"/>
        </w:rPr>
        <w:t>eye drops,</w:t>
      </w:r>
      <w:r w:rsidR="00A633B2" w:rsidRPr="00B52D73">
        <w:rPr>
          <w:sz w:val="24"/>
          <w:szCs w:val="24"/>
        </w:rPr>
        <w:t xml:space="preserve"> </w:t>
      </w:r>
      <w:r w:rsidRPr="00B52D73">
        <w:rPr>
          <w:sz w:val="24"/>
          <w:szCs w:val="24"/>
        </w:rPr>
        <w:t xml:space="preserve">suspension) 0.6%, is supplied as a sterile </w:t>
      </w:r>
      <w:r w:rsidR="00A633B2">
        <w:rPr>
          <w:sz w:val="24"/>
          <w:szCs w:val="24"/>
        </w:rPr>
        <w:t xml:space="preserve">eye drops </w:t>
      </w:r>
      <w:r w:rsidRPr="00B52D73">
        <w:rPr>
          <w:sz w:val="24"/>
          <w:szCs w:val="24"/>
        </w:rPr>
        <w:t xml:space="preserve">suspension in a white low density polyethylene (LDPE) bottle with a controlled dropper tip and tan polypropylene cap. Tamper evidence is provided with a shrink band around the cap and neck area of the package. </w:t>
      </w:r>
    </w:p>
    <w:p w:rsidR="0051197D" w:rsidRPr="0051197D" w:rsidRDefault="0051197D" w:rsidP="0051197D">
      <w:pPr>
        <w:pStyle w:val="Default"/>
        <w:rPr>
          <w:lang w:val="en-AU"/>
        </w:rPr>
      </w:pPr>
    </w:p>
    <w:p w:rsidR="00981CA8" w:rsidRDefault="00F77DBE" w:rsidP="007E0EA5">
      <w:pPr>
        <w:pStyle w:val="CM15"/>
        <w:tabs>
          <w:tab w:val="left" w:pos="567"/>
        </w:tabs>
        <w:spacing w:line="278" w:lineRule="atLeast"/>
        <w:ind w:left="567" w:right="167" w:hanging="567"/>
        <w:jc w:val="both"/>
      </w:pPr>
      <w:proofErr w:type="spellStart"/>
      <w:r w:rsidRPr="00D206E8">
        <w:t>Besivance</w:t>
      </w:r>
      <w:proofErr w:type="spellEnd"/>
      <w:r w:rsidRPr="00D206E8">
        <w:t xml:space="preserve"> 0.6% </w:t>
      </w:r>
      <w:r w:rsidR="00A633B2">
        <w:t>eye drops,</w:t>
      </w:r>
      <w:r w:rsidR="00A633B2" w:rsidRPr="00D206E8">
        <w:t xml:space="preserve"> </w:t>
      </w:r>
      <w:r w:rsidR="00A633B2">
        <w:t>s</w:t>
      </w:r>
      <w:r w:rsidR="005D08AF">
        <w:t>uspension</w:t>
      </w:r>
      <w:r w:rsidRPr="00D206E8">
        <w:t xml:space="preserve">; </w:t>
      </w:r>
      <w:r w:rsidR="00090CAA">
        <w:t>2</w:t>
      </w:r>
      <w:r w:rsidR="007804C0">
        <w:t xml:space="preserve"> </w:t>
      </w:r>
      <w:r w:rsidR="00677367">
        <w:t>m</w:t>
      </w:r>
      <w:r w:rsidR="00A633B2">
        <w:t>L</w:t>
      </w:r>
      <w:r w:rsidR="00677367">
        <w:t xml:space="preserve"> and </w:t>
      </w:r>
      <w:r w:rsidRPr="00D206E8">
        <w:t xml:space="preserve">5 </w:t>
      </w:r>
      <w:proofErr w:type="spellStart"/>
      <w:r w:rsidRPr="00D206E8">
        <w:t>mL.</w:t>
      </w:r>
      <w:proofErr w:type="spellEnd"/>
      <w:r w:rsidRPr="00D206E8">
        <w:t xml:space="preserve"> </w:t>
      </w:r>
    </w:p>
    <w:p w:rsidR="00981CA8" w:rsidRDefault="00981CA8" w:rsidP="007E0EA5">
      <w:pPr>
        <w:pStyle w:val="CM15"/>
        <w:tabs>
          <w:tab w:val="left" w:pos="567"/>
        </w:tabs>
        <w:spacing w:line="278" w:lineRule="atLeast"/>
        <w:ind w:left="567" w:right="167" w:hanging="567"/>
        <w:jc w:val="both"/>
      </w:pPr>
    </w:p>
    <w:p w:rsidR="00547ED3" w:rsidRPr="00D206E8" w:rsidRDefault="00981CA8" w:rsidP="007E0EA5">
      <w:pPr>
        <w:pStyle w:val="CM15"/>
        <w:tabs>
          <w:tab w:val="left" w:pos="567"/>
        </w:tabs>
        <w:spacing w:line="278" w:lineRule="atLeast"/>
        <w:ind w:left="567" w:right="167" w:hanging="567"/>
        <w:jc w:val="both"/>
      </w:pPr>
      <w:proofErr w:type="gramStart"/>
      <w:r>
        <w:t>For individual patient use only</w:t>
      </w:r>
      <w:r w:rsidR="00A15F57">
        <w:t>.</w:t>
      </w:r>
      <w:proofErr w:type="gramEnd"/>
    </w:p>
    <w:p w:rsidR="000078AD" w:rsidRDefault="000078AD" w:rsidP="007E0EA5">
      <w:pPr>
        <w:pStyle w:val="CM10"/>
        <w:tabs>
          <w:tab w:val="left" w:pos="567"/>
        </w:tabs>
        <w:spacing w:line="276" w:lineRule="atLeast"/>
        <w:ind w:left="567" w:right="287" w:hanging="567"/>
        <w:jc w:val="both"/>
        <w:rPr>
          <w:b/>
        </w:rPr>
      </w:pPr>
    </w:p>
    <w:p w:rsidR="00A0698B" w:rsidRPr="000078AD" w:rsidRDefault="00A0698B" w:rsidP="007E0EA5">
      <w:pPr>
        <w:pStyle w:val="CM10"/>
        <w:tabs>
          <w:tab w:val="left" w:pos="567"/>
        </w:tabs>
        <w:spacing w:line="276" w:lineRule="atLeast"/>
        <w:ind w:left="567" w:right="287" w:hanging="567"/>
        <w:jc w:val="both"/>
        <w:rPr>
          <w:u w:val="single"/>
        </w:rPr>
      </w:pPr>
      <w:r w:rsidRPr="000078AD">
        <w:rPr>
          <w:u w:val="single"/>
        </w:rPr>
        <w:t>Storage Condition</w:t>
      </w:r>
      <w:r w:rsidR="000078AD">
        <w:rPr>
          <w:u w:val="single"/>
        </w:rPr>
        <w:t>s</w:t>
      </w:r>
    </w:p>
    <w:p w:rsidR="00F77DBE" w:rsidRPr="00B52D73" w:rsidRDefault="00F77DBE" w:rsidP="00B52D73">
      <w:pPr>
        <w:rPr>
          <w:sz w:val="24"/>
          <w:szCs w:val="24"/>
        </w:rPr>
      </w:pPr>
      <w:r w:rsidRPr="00B52D73">
        <w:rPr>
          <w:sz w:val="24"/>
          <w:szCs w:val="24"/>
        </w:rPr>
        <w:t xml:space="preserve">Store below 25°C. Protect from </w:t>
      </w:r>
      <w:r w:rsidR="008079B1">
        <w:rPr>
          <w:sz w:val="24"/>
          <w:szCs w:val="24"/>
        </w:rPr>
        <w:t>l</w:t>
      </w:r>
      <w:r w:rsidRPr="00B52D73">
        <w:rPr>
          <w:sz w:val="24"/>
          <w:szCs w:val="24"/>
        </w:rPr>
        <w:t>ight. Discard container four weeks after opening.</w:t>
      </w:r>
    </w:p>
    <w:p w:rsidR="003305DB" w:rsidRDefault="003305DB" w:rsidP="007E0EA5">
      <w:pPr>
        <w:pStyle w:val="Default"/>
        <w:tabs>
          <w:tab w:val="left" w:pos="567"/>
        </w:tabs>
        <w:ind w:left="567" w:hanging="567"/>
        <w:jc w:val="both"/>
        <w:rPr>
          <w:color w:val="auto"/>
        </w:rPr>
      </w:pPr>
    </w:p>
    <w:p w:rsidR="001C1C9C" w:rsidRDefault="001C1C9C" w:rsidP="0051197D">
      <w:pPr>
        <w:pStyle w:val="Default"/>
        <w:tabs>
          <w:tab w:val="left" w:pos="567"/>
        </w:tabs>
        <w:jc w:val="both"/>
        <w:rPr>
          <w:rFonts w:ascii="Times New Roman" w:hAnsi="Times New Roman" w:cs="Times New Roman"/>
          <w:b/>
          <w:bCs/>
          <w:color w:val="auto"/>
        </w:rPr>
      </w:pPr>
    </w:p>
    <w:p w:rsidR="009C1E08" w:rsidRPr="00D206E8" w:rsidRDefault="00CB5DCD" w:rsidP="0051197D">
      <w:pPr>
        <w:pStyle w:val="Default"/>
        <w:tabs>
          <w:tab w:val="left" w:pos="567"/>
        </w:tabs>
        <w:jc w:val="both"/>
        <w:rPr>
          <w:rFonts w:ascii="Times New Roman" w:hAnsi="Times New Roman" w:cs="Times New Roman"/>
          <w:b/>
          <w:bCs/>
          <w:color w:val="auto"/>
        </w:rPr>
      </w:pPr>
      <w:r>
        <w:rPr>
          <w:rFonts w:ascii="Times New Roman" w:hAnsi="Times New Roman" w:cs="Times New Roman"/>
          <w:b/>
          <w:bCs/>
          <w:color w:val="auto"/>
        </w:rPr>
        <w:t>N</w:t>
      </w:r>
      <w:r w:rsidR="000078AD">
        <w:rPr>
          <w:rFonts w:ascii="Times New Roman" w:hAnsi="Times New Roman" w:cs="Times New Roman"/>
          <w:b/>
          <w:bCs/>
          <w:color w:val="auto"/>
        </w:rPr>
        <w:t xml:space="preserve">ame and address of </w:t>
      </w:r>
      <w:r w:rsidR="000078AD" w:rsidRPr="00D206E8">
        <w:rPr>
          <w:rFonts w:ascii="Times New Roman" w:hAnsi="Times New Roman" w:cs="Times New Roman"/>
          <w:b/>
          <w:bCs/>
          <w:color w:val="auto"/>
        </w:rPr>
        <w:t>sponsor</w:t>
      </w:r>
      <w:r w:rsidR="009C1E08" w:rsidRPr="00D206E8">
        <w:rPr>
          <w:rFonts w:ascii="Times New Roman" w:hAnsi="Times New Roman" w:cs="Times New Roman"/>
          <w:b/>
          <w:bCs/>
          <w:color w:val="auto"/>
        </w:rPr>
        <w:t xml:space="preserve"> </w:t>
      </w:r>
    </w:p>
    <w:p w:rsidR="00565B2E" w:rsidRPr="00D206E8" w:rsidRDefault="003608CE" w:rsidP="007E0EA5">
      <w:pPr>
        <w:pStyle w:val="CM17"/>
        <w:tabs>
          <w:tab w:val="left" w:pos="567"/>
        </w:tabs>
        <w:spacing w:line="278" w:lineRule="atLeast"/>
        <w:ind w:left="567" w:hanging="567"/>
        <w:jc w:val="both"/>
      </w:pPr>
      <w:r w:rsidRPr="00D206E8">
        <w:t xml:space="preserve">Bausch &amp; Lomb </w:t>
      </w:r>
      <w:r w:rsidR="00565B2E" w:rsidRPr="00D206E8">
        <w:t xml:space="preserve">Australia Pty Ltd </w:t>
      </w:r>
    </w:p>
    <w:p w:rsidR="009D1875" w:rsidRDefault="009D1875" w:rsidP="007E0EA5">
      <w:pPr>
        <w:pStyle w:val="CM17"/>
        <w:tabs>
          <w:tab w:val="left" w:pos="567"/>
        </w:tabs>
        <w:spacing w:line="278" w:lineRule="atLeast"/>
        <w:ind w:left="567" w:hanging="567"/>
        <w:jc w:val="both"/>
      </w:pPr>
      <w:r>
        <w:t xml:space="preserve">Ground Floor, </w:t>
      </w:r>
      <w:r w:rsidR="00565B2E" w:rsidRPr="00D206E8">
        <w:t xml:space="preserve">16 </w:t>
      </w:r>
      <w:proofErr w:type="spellStart"/>
      <w:r w:rsidR="00565B2E" w:rsidRPr="00D206E8">
        <w:t>Giffnock</w:t>
      </w:r>
      <w:proofErr w:type="spellEnd"/>
      <w:r w:rsidR="00565B2E" w:rsidRPr="00D206E8">
        <w:t xml:space="preserve"> Avenue, </w:t>
      </w:r>
    </w:p>
    <w:p w:rsidR="003608CE" w:rsidRPr="00D206E8" w:rsidRDefault="00565B2E" w:rsidP="007E0EA5">
      <w:pPr>
        <w:pStyle w:val="CM17"/>
        <w:tabs>
          <w:tab w:val="left" w:pos="567"/>
        </w:tabs>
        <w:spacing w:line="278" w:lineRule="atLeast"/>
        <w:ind w:left="567" w:hanging="567"/>
        <w:jc w:val="both"/>
      </w:pPr>
      <w:r w:rsidRPr="00D206E8">
        <w:t xml:space="preserve">Macquarie Park NSW 2113 </w:t>
      </w:r>
    </w:p>
    <w:p w:rsidR="003305DB" w:rsidRPr="00D206E8" w:rsidRDefault="003305DB" w:rsidP="007E0EA5">
      <w:pPr>
        <w:pStyle w:val="Default"/>
        <w:tabs>
          <w:tab w:val="left" w:pos="567"/>
        </w:tabs>
        <w:ind w:left="567" w:hanging="567"/>
        <w:jc w:val="both"/>
        <w:rPr>
          <w:lang w:val="en-AU"/>
        </w:rPr>
      </w:pPr>
    </w:p>
    <w:p w:rsidR="001C1C9C" w:rsidRDefault="001C1C9C" w:rsidP="0051197D">
      <w:pPr>
        <w:pStyle w:val="Heading1"/>
        <w:tabs>
          <w:tab w:val="left" w:pos="567"/>
        </w:tabs>
        <w:jc w:val="both"/>
        <w:rPr>
          <w:szCs w:val="24"/>
        </w:rPr>
      </w:pPr>
    </w:p>
    <w:p w:rsidR="0040757C" w:rsidRPr="00D206E8" w:rsidRDefault="0040757C" w:rsidP="0051197D">
      <w:pPr>
        <w:pStyle w:val="Heading1"/>
        <w:tabs>
          <w:tab w:val="left" w:pos="567"/>
        </w:tabs>
        <w:jc w:val="both"/>
        <w:rPr>
          <w:szCs w:val="24"/>
        </w:rPr>
      </w:pPr>
      <w:r w:rsidRPr="00D206E8">
        <w:rPr>
          <w:szCs w:val="24"/>
        </w:rPr>
        <w:t>P</w:t>
      </w:r>
      <w:r w:rsidR="000078AD" w:rsidRPr="00D206E8">
        <w:rPr>
          <w:szCs w:val="24"/>
        </w:rPr>
        <w:t>oison schedule of the medicine</w:t>
      </w:r>
    </w:p>
    <w:p w:rsidR="0040757C" w:rsidRPr="00D206E8" w:rsidRDefault="0040757C" w:rsidP="007E0EA5">
      <w:pPr>
        <w:tabs>
          <w:tab w:val="left" w:pos="567"/>
        </w:tabs>
        <w:ind w:left="567" w:hanging="567"/>
        <w:jc w:val="both"/>
        <w:rPr>
          <w:sz w:val="24"/>
          <w:szCs w:val="24"/>
        </w:rPr>
      </w:pPr>
      <w:r w:rsidRPr="00D206E8">
        <w:rPr>
          <w:sz w:val="24"/>
          <w:szCs w:val="24"/>
        </w:rPr>
        <w:t>S4 – Prescription Only Medicine</w:t>
      </w:r>
    </w:p>
    <w:p w:rsidR="00565B2E" w:rsidRDefault="00565B2E" w:rsidP="007E0EA5">
      <w:pPr>
        <w:tabs>
          <w:tab w:val="left" w:pos="567"/>
        </w:tabs>
        <w:ind w:left="567" w:hanging="567"/>
        <w:jc w:val="both"/>
        <w:rPr>
          <w:b/>
          <w:sz w:val="24"/>
          <w:szCs w:val="24"/>
        </w:rPr>
      </w:pPr>
    </w:p>
    <w:p w:rsidR="00447013" w:rsidRDefault="000078AD" w:rsidP="00B52D73">
      <w:pPr>
        <w:tabs>
          <w:tab w:val="left" w:pos="567"/>
        </w:tabs>
        <w:jc w:val="both"/>
        <w:rPr>
          <w:b/>
          <w:sz w:val="24"/>
          <w:szCs w:val="24"/>
        </w:rPr>
      </w:pPr>
      <w:r>
        <w:rPr>
          <w:b/>
          <w:sz w:val="24"/>
          <w:szCs w:val="24"/>
        </w:rPr>
        <w:t>Date of first inclusion in the Australian Register of Therapeutic Goods</w:t>
      </w:r>
      <w:r w:rsidR="00B52D73">
        <w:rPr>
          <w:b/>
          <w:sz w:val="24"/>
          <w:szCs w:val="24"/>
        </w:rPr>
        <w:t xml:space="preserve"> (</w:t>
      </w:r>
      <w:r w:rsidR="00CB5DCD">
        <w:rPr>
          <w:b/>
          <w:sz w:val="24"/>
          <w:szCs w:val="24"/>
        </w:rPr>
        <w:t>ARTG</w:t>
      </w:r>
      <w:r w:rsidR="00B52D73">
        <w:rPr>
          <w:b/>
          <w:sz w:val="24"/>
          <w:szCs w:val="24"/>
        </w:rPr>
        <w:t xml:space="preserve">) </w:t>
      </w:r>
    </w:p>
    <w:p w:rsidR="006946ED" w:rsidRPr="00D206E8" w:rsidRDefault="00447013" w:rsidP="00B52D73">
      <w:pPr>
        <w:tabs>
          <w:tab w:val="left" w:pos="567"/>
        </w:tabs>
        <w:jc w:val="both"/>
        <w:rPr>
          <w:sz w:val="24"/>
          <w:szCs w:val="24"/>
        </w:rPr>
      </w:pPr>
      <w:r>
        <w:rPr>
          <w:sz w:val="24"/>
          <w:szCs w:val="24"/>
        </w:rPr>
        <w:t>07 November 2013</w:t>
      </w:r>
    </w:p>
    <w:sectPr w:rsidR="006946ED" w:rsidRPr="00D206E8" w:rsidSect="00EC4587">
      <w:headerReference w:type="default" r:id="rId16"/>
      <w:footerReference w:type="default" r:id="rId17"/>
      <w:pgSz w:w="12240" w:h="15840"/>
      <w:pgMar w:top="1440" w:right="1608" w:bottom="1260" w:left="1800" w:header="720" w:footer="5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7E9" w:rsidRDefault="00F367E9">
      <w:r>
        <w:separator/>
      </w:r>
    </w:p>
  </w:endnote>
  <w:endnote w:type="continuationSeparator" w:id="0">
    <w:p w:rsidR="00F367E9" w:rsidRDefault="00F3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BA" w:rsidRPr="008B43C0" w:rsidRDefault="009522BA" w:rsidP="00EC4587">
    <w:pPr>
      <w:pStyle w:val="Footer"/>
      <w:pBdr>
        <w:top w:val="single" w:sz="4" w:space="1" w:color="auto"/>
      </w:pBdr>
      <w:tabs>
        <w:tab w:val="left" w:pos="0"/>
      </w:tabs>
    </w:pPr>
    <w:r w:rsidRPr="008B43C0">
      <w:t>Besivance-PI-</w:t>
    </w:r>
    <w:r w:rsidR="00202CE6">
      <w:t>A</w:t>
    </w:r>
    <w:r w:rsidR="004D4EEC" w:rsidRPr="008B43C0">
      <w:t>13</w:t>
    </w:r>
    <w:r w:rsidR="00202CE6">
      <w:t>1107-v1</w:t>
    </w:r>
    <w:r w:rsidRPr="00032FDA">
      <w:t xml:space="preserve"> </w:t>
    </w:r>
    <w:r>
      <w:tab/>
    </w:r>
    <w:r>
      <w:tab/>
    </w:r>
    <w:r w:rsidRPr="008B43C0">
      <w:t xml:space="preserve">Page </w:t>
    </w:r>
    <w:r w:rsidRPr="008B43C0">
      <w:rPr>
        <w:bCs/>
        <w:sz w:val="24"/>
        <w:szCs w:val="24"/>
      </w:rPr>
      <w:fldChar w:fldCharType="begin"/>
    </w:r>
    <w:r w:rsidRPr="008B43C0">
      <w:rPr>
        <w:bCs/>
      </w:rPr>
      <w:instrText xml:space="preserve"> PAGE </w:instrText>
    </w:r>
    <w:r w:rsidRPr="008B43C0">
      <w:rPr>
        <w:bCs/>
        <w:sz w:val="24"/>
        <w:szCs w:val="24"/>
      </w:rPr>
      <w:fldChar w:fldCharType="separate"/>
    </w:r>
    <w:r w:rsidR="007C42CF">
      <w:rPr>
        <w:bCs/>
        <w:noProof/>
      </w:rPr>
      <w:t>4</w:t>
    </w:r>
    <w:r w:rsidRPr="008B43C0">
      <w:rPr>
        <w:bCs/>
        <w:sz w:val="24"/>
        <w:szCs w:val="24"/>
      </w:rPr>
      <w:fldChar w:fldCharType="end"/>
    </w:r>
    <w:r w:rsidRPr="008B43C0">
      <w:t xml:space="preserve"> of </w:t>
    </w:r>
    <w:r w:rsidRPr="008B43C0">
      <w:rPr>
        <w:bCs/>
        <w:sz w:val="24"/>
        <w:szCs w:val="24"/>
      </w:rPr>
      <w:fldChar w:fldCharType="begin"/>
    </w:r>
    <w:r w:rsidRPr="008B43C0">
      <w:rPr>
        <w:bCs/>
      </w:rPr>
      <w:instrText xml:space="preserve"> NUMPAGES  </w:instrText>
    </w:r>
    <w:r w:rsidRPr="008B43C0">
      <w:rPr>
        <w:bCs/>
        <w:sz w:val="24"/>
        <w:szCs w:val="24"/>
      </w:rPr>
      <w:fldChar w:fldCharType="separate"/>
    </w:r>
    <w:r w:rsidR="007C42CF">
      <w:rPr>
        <w:bCs/>
        <w:noProof/>
      </w:rPr>
      <w:t>14</w:t>
    </w:r>
    <w:r w:rsidRPr="008B43C0">
      <w:rPr>
        <w:bCs/>
        <w:sz w:val="24"/>
        <w:szCs w:val="24"/>
      </w:rPr>
      <w:fldChar w:fldCharType="end"/>
    </w:r>
  </w:p>
  <w:p w:rsidR="009522BA" w:rsidRPr="00032FDA" w:rsidRDefault="009522BA" w:rsidP="00B855C3">
    <w:pPr>
      <w:pStyle w:val="Footer"/>
      <w:ind w:right="4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7E9" w:rsidRDefault="00F367E9">
      <w:r>
        <w:separator/>
      </w:r>
    </w:p>
  </w:footnote>
  <w:footnote w:type="continuationSeparator" w:id="0">
    <w:p w:rsidR="00F367E9" w:rsidRDefault="00F36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shd w:val="clear" w:color="auto" w:fill="E4F2E0"/>
      <w:tblLook w:val="04A0" w:firstRow="1" w:lastRow="0" w:firstColumn="1" w:lastColumn="0" w:noHBand="0" w:noVBand="1"/>
    </w:tblPr>
    <w:tblGrid>
      <w:gridCol w:w="8720"/>
    </w:tblGrid>
    <w:tr w:rsidR="007C42CF" w:rsidRPr="007C42CF" w:rsidTr="00E8311B">
      <w:tc>
        <w:tcPr>
          <w:tcW w:w="8720" w:type="dxa"/>
          <w:shd w:val="clear" w:color="auto" w:fill="E4F2E0"/>
        </w:tcPr>
        <w:p w:rsidR="007C42CF" w:rsidRPr="007C42CF" w:rsidRDefault="007C42CF" w:rsidP="007C42CF">
          <w:pPr>
            <w:tabs>
              <w:tab w:val="center" w:pos="4513"/>
              <w:tab w:val="right" w:pos="9026"/>
            </w:tabs>
            <w:rPr>
              <w:b/>
              <w:sz w:val="20"/>
            </w:rPr>
          </w:pPr>
          <w:r w:rsidRPr="007C42CF">
            <w:rPr>
              <w:b/>
              <w:sz w:val="20"/>
            </w:rPr>
            <w:t xml:space="preserve">Attachment 1: Product information for </w:t>
          </w:r>
          <w:proofErr w:type="spellStart"/>
          <w:r w:rsidRPr="007C42CF">
            <w:rPr>
              <w:b/>
              <w:sz w:val="20"/>
            </w:rPr>
            <w:t>AusPAR</w:t>
          </w:r>
          <w:proofErr w:type="spellEnd"/>
          <w:r w:rsidRPr="007C42CF">
            <w:rPr>
              <w:b/>
              <w:sz w:val="20"/>
            </w:rPr>
            <w:t xml:space="preserve"> </w:t>
          </w:r>
          <w:proofErr w:type="spellStart"/>
          <w:r w:rsidRPr="007C42CF">
            <w:rPr>
              <w:b/>
              <w:sz w:val="20"/>
            </w:rPr>
            <w:t>Besifloxacin</w:t>
          </w:r>
          <w:proofErr w:type="spellEnd"/>
          <w:r w:rsidRPr="007C42CF">
            <w:rPr>
              <w:b/>
              <w:sz w:val="20"/>
            </w:rPr>
            <w:t xml:space="preserve"> hydrochloride (</w:t>
          </w:r>
          <w:proofErr w:type="spellStart"/>
          <w:r w:rsidRPr="007C42CF">
            <w:rPr>
              <w:b/>
              <w:sz w:val="20"/>
            </w:rPr>
            <w:t>Besivance</w:t>
          </w:r>
          <w:proofErr w:type="spellEnd"/>
          <w:r w:rsidRPr="007C42CF">
            <w:rPr>
              <w:b/>
              <w:sz w:val="20"/>
            </w:rPr>
            <w:t xml:space="preserve">) Bausch &amp; Lomb (Australia) Pty Ltd PM-2012-02740-3-2 Final 3 February 2014. This Product Information was approved at the time this </w:t>
          </w:r>
          <w:proofErr w:type="spellStart"/>
          <w:r w:rsidRPr="007C42CF">
            <w:rPr>
              <w:b/>
              <w:sz w:val="20"/>
            </w:rPr>
            <w:t>AusPAR</w:t>
          </w:r>
          <w:proofErr w:type="spellEnd"/>
          <w:r w:rsidRPr="007C42CF">
            <w:rPr>
              <w:b/>
              <w:sz w:val="20"/>
            </w:rPr>
            <w:t xml:space="preserve"> was published.</w:t>
          </w:r>
        </w:p>
      </w:tc>
    </w:tr>
  </w:tbl>
  <w:p w:rsidR="009522BA" w:rsidRPr="00D206E8" w:rsidRDefault="009522BA" w:rsidP="00B855C3">
    <w:pPr>
      <w:pStyle w:val="Header"/>
      <w:ind w:right="43"/>
      <w:rPr>
        <w:i/>
      </w:rPr>
    </w:pPr>
    <w:r>
      <w:rPr>
        <w:i/>
      </w:rPr>
      <w:t>_______</w:t>
    </w:r>
    <w:r>
      <w:t>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0314D"/>
    <w:multiLevelType w:val="hybridMultilevel"/>
    <w:tmpl w:val="B2F23E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E92635B"/>
    <w:multiLevelType w:val="hybridMultilevel"/>
    <w:tmpl w:val="0BC78E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9F6FAA"/>
    <w:multiLevelType w:val="hybridMultilevel"/>
    <w:tmpl w:val="3FA408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1FD7EDE"/>
    <w:multiLevelType w:val="hybridMultilevel"/>
    <w:tmpl w:val="C4744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5925E2B"/>
    <w:multiLevelType w:val="hybridMultilevel"/>
    <w:tmpl w:val="C7C217B6"/>
    <w:lvl w:ilvl="0" w:tplc="00AC122C">
      <w:start w:val="1"/>
      <w:numFmt w:val="bullet"/>
      <w:lvlText w:val=""/>
      <w:lvlJc w:val="left"/>
      <w:pPr>
        <w:tabs>
          <w:tab w:val="num" w:pos="624"/>
        </w:tabs>
        <w:ind w:left="624" w:hanging="2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96E7475"/>
    <w:multiLevelType w:val="hybridMultilevel"/>
    <w:tmpl w:val="035077D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A092A87"/>
    <w:multiLevelType w:val="hybridMultilevel"/>
    <w:tmpl w:val="7B7A94A0"/>
    <w:lvl w:ilvl="0" w:tplc="901E5938">
      <w:start w:val="1"/>
      <w:numFmt w:val="bullet"/>
      <w:lvlText w:val=""/>
      <w:lvlJc w:val="left"/>
      <w:pPr>
        <w:tabs>
          <w:tab w:val="num" w:pos="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3B606D"/>
    <w:multiLevelType w:val="multilevel"/>
    <w:tmpl w:val="FF0AA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3A023AC"/>
    <w:multiLevelType w:val="multilevel"/>
    <w:tmpl w:val="909419C4"/>
    <w:lvl w:ilvl="0">
      <w:numFmt w:val="bullet"/>
      <w:lvlText w:val="-"/>
      <w:lvlJc w:val="left"/>
      <w:pPr>
        <w:tabs>
          <w:tab w:val="num" w:pos="-240"/>
        </w:tabs>
        <w:ind w:left="-2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C116FBD"/>
    <w:multiLevelType w:val="hybridMultilevel"/>
    <w:tmpl w:val="CC986692"/>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1D381197"/>
    <w:multiLevelType w:val="hybridMultilevel"/>
    <w:tmpl w:val="909419C4"/>
    <w:lvl w:ilvl="0" w:tplc="A184BA1E">
      <w:numFmt w:val="bullet"/>
      <w:lvlText w:val="-"/>
      <w:lvlJc w:val="left"/>
      <w:pPr>
        <w:tabs>
          <w:tab w:val="num" w:pos="-240"/>
        </w:tabs>
        <w:ind w:left="-2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1446C8"/>
    <w:multiLevelType w:val="hybridMultilevel"/>
    <w:tmpl w:val="7A5813AE"/>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8A066D"/>
    <w:multiLevelType w:val="hybridMultilevel"/>
    <w:tmpl w:val="7794E3FA"/>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D12538"/>
    <w:multiLevelType w:val="hybridMultilevel"/>
    <w:tmpl w:val="358C83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B2F1365"/>
    <w:multiLevelType w:val="hybridMultilevel"/>
    <w:tmpl w:val="76DA1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C51A6C"/>
    <w:multiLevelType w:val="hybridMultilevel"/>
    <w:tmpl w:val="C1625042"/>
    <w:lvl w:ilvl="0" w:tplc="64709392">
      <w:start w:val="1"/>
      <w:numFmt w:val="lowerRoman"/>
      <w:lvlText w:val="%1)"/>
      <w:lvlJc w:val="left"/>
      <w:pPr>
        <w:ind w:left="720" w:hanging="720"/>
      </w:pPr>
      <w:rPr>
        <w:rFonts w:hint="default"/>
        <w:b/>
        <w:cap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9A60936"/>
    <w:multiLevelType w:val="hybridMultilevel"/>
    <w:tmpl w:val="FF0AA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4F65449"/>
    <w:multiLevelType w:val="multilevel"/>
    <w:tmpl w:val="909419C4"/>
    <w:lvl w:ilvl="0">
      <w:numFmt w:val="bullet"/>
      <w:lvlText w:val="-"/>
      <w:lvlJc w:val="left"/>
      <w:pPr>
        <w:tabs>
          <w:tab w:val="num" w:pos="-240"/>
        </w:tabs>
        <w:ind w:left="-2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5EB76FB"/>
    <w:multiLevelType w:val="hybridMultilevel"/>
    <w:tmpl w:val="97FE6206"/>
    <w:lvl w:ilvl="0" w:tplc="0C090001">
      <w:start w:val="7"/>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3"/>
  </w:num>
  <w:num w:numId="4">
    <w:abstractNumId w:val="14"/>
  </w:num>
  <w:num w:numId="5">
    <w:abstractNumId w:val="10"/>
  </w:num>
  <w:num w:numId="6">
    <w:abstractNumId w:val="8"/>
  </w:num>
  <w:num w:numId="7">
    <w:abstractNumId w:val="11"/>
  </w:num>
  <w:num w:numId="8">
    <w:abstractNumId w:val="17"/>
  </w:num>
  <w:num w:numId="9">
    <w:abstractNumId w:val="12"/>
  </w:num>
  <w:num w:numId="10">
    <w:abstractNumId w:val="1"/>
  </w:num>
  <w:num w:numId="11">
    <w:abstractNumId w:val="18"/>
  </w:num>
  <w:num w:numId="12">
    <w:abstractNumId w:val="15"/>
  </w:num>
  <w:num w:numId="13">
    <w:abstractNumId w:val="3"/>
  </w:num>
  <w:num w:numId="14">
    <w:abstractNumId w:val="16"/>
  </w:num>
  <w:num w:numId="15">
    <w:abstractNumId w:val="7"/>
  </w:num>
  <w:num w:numId="16">
    <w:abstractNumId w:val="6"/>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A6"/>
    <w:rsid w:val="000029A6"/>
    <w:rsid w:val="0000487B"/>
    <w:rsid w:val="000078AD"/>
    <w:rsid w:val="000128BA"/>
    <w:rsid w:val="0001581E"/>
    <w:rsid w:val="00027914"/>
    <w:rsid w:val="00032FDA"/>
    <w:rsid w:val="00044586"/>
    <w:rsid w:val="00047E86"/>
    <w:rsid w:val="00053DCE"/>
    <w:rsid w:val="00060410"/>
    <w:rsid w:val="00064348"/>
    <w:rsid w:val="00065068"/>
    <w:rsid w:val="00073122"/>
    <w:rsid w:val="00073620"/>
    <w:rsid w:val="000846D4"/>
    <w:rsid w:val="00090CAA"/>
    <w:rsid w:val="00096C61"/>
    <w:rsid w:val="000A59A1"/>
    <w:rsid w:val="000B5EA9"/>
    <w:rsid w:val="000B734D"/>
    <w:rsid w:val="000C0BFF"/>
    <w:rsid w:val="000D296B"/>
    <w:rsid w:val="000E1791"/>
    <w:rsid w:val="000E25B7"/>
    <w:rsid w:val="000F03D6"/>
    <w:rsid w:val="000F3615"/>
    <w:rsid w:val="000F62C4"/>
    <w:rsid w:val="0011687A"/>
    <w:rsid w:val="001241CE"/>
    <w:rsid w:val="0012563F"/>
    <w:rsid w:val="001333E5"/>
    <w:rsid w:val="0014124D"/>
    <w:rsid w:val="00141F80"/>
    <w:rsid w:val="00145D7B"/>
    <w:rsid w:val="00154433"/>
    <w:rsid w:val="00162B0C"/>
    <w:rsid w:val="00182390"/>
    <w:rsid w:val="001831FD"/>
    <w:rsid w:val="00187913"/>
    <w:rsid w:val="001945CA"/>
    <w:rsid w:val="001A2C7A"/>
    <w:rsid w:val="001B0938"/>
    <w:rsid w:val="001C0D24"/>
    <w:rsid w:val="001C1C9C"/>
    <w:rsid w:val="001C33AE"/>
    <w:rsid w:val="001D11DF"/>
    <w:rsid w:val="001D38B4"/>
    <w:rsid w:val="001D6D36"/>
    <w:rsid w:val="001E6D93"/>
    <w:rsid w:val="001F21EB"/>
    <w:rsid w:val="00202CE6"/>
    <w:rsid w:val="0020615C"/>
    <w:rsid w:val="002062D7"/>
    <w:rsid w:val="0020635F"/>
    <w:rsid w:val="00206534"/>
    <w:rsid w:val="0021121E"/>
    <w:rsid w:val="00224B4F"/>
    <w:rsid w:val="00232813"/>
    <w:rsid w:val="002369BA"/>
    <w:rsid w:val="00244B0C"/>
    <w:rsid w:val="002475BD"/>
    <w:rsid w:val="00262D65"/>
    <w:rsid w:val="00285E8A"/>
    <w:rsid w:val="00287DEC"/>
    <w:rsid w:val="00294684"/>
    <w:rsid w:val="00296A72"/>
    <w:rsid w:val="00297E2B"/>
    <w:rsid w:val="002A13C7"/>
    <w:rsid w:val="002A516F"/>
    <w:rsid w:val="002A6BA5"/>
    <w:rsid w:val="002B71C9"/>
    <w:rsid w:val="002D4D47"/>
    <w:rsid w:val="002D6846"/>
    <w:rsid w:val="002D781B"/>
    <w:rsid w:val="002E0CE6"/>
    <w:rsid w:val="00303B3C"/>
    <w:rsid w:val="00304AC7"/>
    <w:rsid w:val="00307BE1"/>
    <w:rsid w:val="00313F6D"/>
    <w:rsid w:val="0031551A"/>
    <w:rsid w:val="003166CB"/>
    <w:rsid w:val="00321828"/>
    <w:rsid w:val="003236FF"/>
    <w:rsid w:val="003305DB"/>
    <w:rsid w:val="0033154A"/>
    <w:rsid w:val="00332337"/>
    <w:rsid w:val="00343E35"/>
    <w:rsid w:val="00352770"/>
    <w:rsid w:val="003531F1"/>
    <w:rsid w:val="0035326D"/>
    <w:rsid w:val="00353A49"/>
    <w:rsid w:val="003608CE"/>
    <w:rsid w:val="003661E1"/>
    <w:rsid w:val="003810A6"/>
    <w:rsid w:val="00385C1B"/>
    <w:rsid w:val="00391BCC"/>
    <w:rsid w:val="00393420"/>
    <w:rsid w:val="00396A60"/>
    <w:rsid w:val="00397F6A"/>
    <w:rsid w:val="003A3101"/>
    <w:rsid w:val="003A4A07"/>
    <w:rsid w:val="003B29F1"/>
    <w:rsid w:val="003B3EFF"/>
    <w:rsid w:val="003C0EE1"/>
    <w:rsid w:val="003C6F47"/>
    <w:rsid w:val="003D709E"/>
    <w:rsid w:val="003E3C61"/>
    <w:rsid w:val="003F2209"/>
    <w:rsid w:val="0040757C"/>
    <w:rsid w:val="0042102E"/>
    <w:rsid w:val="0042138E"/>
    <w:rsid w:val="004320D8"/>
    <w:rsid w:val="00433A11"/>
    <w:rsid w:val="004351E6"/>
    <w:rsid w:val="00435AF1"/>
    <w:rsid w:val="00435DAF"/>
    <w:rsid w:val="00437B11"/>
    <w:rsid w:val="00440614"/>
    <w:rsid w:val="004449A6"/>
    <w:rsid w:val="00447013"/>
    <w:rsid w:val="00450437"/>
    <w:rsid w:val="0045164B"/>
    <w:rsid w:val="0045204B"/>
    <w:rsid w:val="004606F0"/>
    <w:rsid w:val="00471824"/>
    <w:rsid w:val="00476146"/>
    <w:rsid w:val="004762C7"/>
    <w:rsid w:val="00477818"/>
    <w:rsid w:val="00480BA4"/>
    <w:rsid w:val="00485044"/>
    <w:rsid w:val="004870FC"/>
    <w:rsid w:val="004905CD"/>
    <w:rsid w:val="004A0CE1"/>
    <w:rsid w:val="004A3339"/>
    <w:rsid w:val="004A6386"/>
    <w:rsid w:val="004B77A9"/>
    <w:rsid w:val="004C00B1"/>
    <w:rsid w:val="004C0414"/>
    <w:rsid w:val="004D367F"/>
    <w:rsid w:val="004D4EEC"/>
    <w:rsid w:val="004D70EF"/>
    <w:rsid w:val="004E074F"/>
    <w:rsid w:val="00503D49"/>
    <w:rsid w:val="0051197D"/>
    <w:rsid w:val="00520414"/>
    <w:rsid w:val="00525040"/>
    <w:rsid w:val="00525FEA"/>
    <w:rsid w:val="00532835"/>
    <w:rsid w:val="00533B70"/>
    <w:rsid w:val="0054650D"/>
    <w:rsid w:val="00547ED3"/>
    <w:rsid w:val="00552258"/>
    <w:rsid w:val="00553A16"/>
    <w:rsid w:val="0056357F"/>
    <w:rsid w:val="005639B9"/>
    <w:rsid w:val="00564336"/>
    <w:rsid w:val="00565B2E"/>
    <w:rsid w:val="00567FF6"/>
    <w:rsid w:val="0057092C"/>
    <w:rsid w:val="00571648"/>
    <w:rsid w:val="00573AAA"/>
    <w:rsid w:val="0057497D"/>
    <w:rsid w:val="00574F13"/>
    <w:rsid w:val="00592B61"/>
    <w:rsid w:val="0059395F"/>
    <w:rsid w:val="005A0891"/>
    <w:rsid w:val="005A459F"/>
    <w:rsid w:val="005B4221"/>
    <w:rsid w:val="005B7124"/>
    <w:rsid w:val="005C7DBE"/>
    <w:rsid w:val="005D08AF"/>
    <w:rsid w:val="005D0DD8"/>
    <w:rsid w:val="005D7603"/>
    <w:rsid w:val="005E2A31"/>
    <w:rsid w:val="005E320A"/>
    <w:rsid w:val="005E5FAB"/>
    <w:rsid w:val="005F2722"/>
    <w:rsid w:val="005F50CA"/>
    <w:rsid w:val="005F6717"/>
    <w:rsid w:val="006075A1"/>
    <w:rsid w:val="00615F92"/>
    <w:rsid w:val="006179B7"/>
    <w:rsid w:val="00621908"/>
    <w:rsid w:val="0063253E"/>
    <w:rsid w:val="00632815"/>
    <w:rsid w:val="00632EF7"/>
    <w:rsid w:val="00634C13"/>
    <w:rsid w:val="00635D59"/>
    <w:rsid w:val="00647EFD"/>
    <w:rsid w:val="006614DF"/>
    <w:rsid w:val="00666A02"/>
    <w:rsid w:val="00677367"/>
    <w:rsid w:val="00680932"/>
    <w:rsid w:val="00682C2B"/>
    <w:rsid w:val="00685742"/>
    <w:rsid w:val="006946ED"/>
    <w:rsid w:val="00696E2C"/>
    <w:rsid w:val="006B2C62"/>
    <w:rsid w:val="006B3435"/>
    <w:rsid w:val="006C21AC"/>
    <w:rsid w:val="006D0C2D"/>
    <w:rsid w:val="006E056A"/>
    <w:rsid w:val="006E5A6B"/>
    <w:rsid w:val="006E75D5"/>
    <w:rsid w:val="006F6120"/>
    <w:rsid w:val="006F7AAE"/>
    <w:rsid w:val="00713F8F"/>
    <w:rsid w:val="00731978"/>
    <w:rsid w:val="00733BE2"/>
    <w:rsid w:val="00737188"/>
    <w:rsid w:val="00740057"/>
    <w:rsid w:val="007804C0"/>
    <w:rsid w:val="00785AB7"/>
    <w:rsid w:val="007A2C0C"/>
    <w:rsid w:val="007A43D8"/>
    <w:rsid w:val="007C42CF"/>
    <w:rsid w:val="007C4CEC"/>
    <w:rsid w:val="007E099E"/>
    <w:rsid w:val="007E0EA5"/>
    <w:rsid w:val="007F079C"/>
    <w:rsid w:val="00800E10"/>
    <w:rsid w:val="00800F6C"/>
    <w:rsid w:val="008062CE"/>
    <w:rsid w:val="008079B1"/>
    <w:rsid w:val="00813B88"/>
    <w:rsid w:val="008222AC"/>
    <w:rsid w:val="00827A18"/>
    <w:rsid w:val="008325A1"/>
    <w:rsid w:val="00837F74"/>
    <w:rsid w:val="00837F89"/>
    <w:rsid w:val="008401EA"/>
    <w:rsid w:val="00840297"/>
    <w:rsid w:val="00840BAA"/>
    <w:rsid w:val="00843E68"/>
    <w:rsid w:val="0085109F"/>
    <w:rsid w:val="00852F75"/>
    <w:rsid w:val="0087262C"/>
    <w:rsid w:val="00872A30"/>
    <w:rsid w:val="00881E5E"/>
    <w:rsid w:val="008854B0"/>
    <w:rsid w:val="00890845"/>
    <w:rsid w:val="008B1E77"/>
    <w:rsid w:val="008B43C0"/>
    <w:rsid w:val="008B6FB2"/>
    <w:rsid w:val="008C2408"/>
    <w:rsid w:val="008C4182"/>
    <w:rsid w:val="008C5F7C"/>
    <w:rsid w:val="008D557A"/>
    <w:rsid w:val="008E1066"/>
    <w:rsid w:val="00907192"/>
    <w:rsid w:val="00911E82"/>
    <w:rsid w:val="00911F2E"/>
    <w:rsid w:val="00917E67"/>
    <w:rsid w:val="00921848"/>
    <w:rsid w:val="00924885"/>
    <w:rsid w:val="00931E58"/>
    <w:rsid w:val="00940545"/>
    <w:rsid w:val="009458CB"/>
    <w:rsid w:val="0095115D"/>
    <w:rsid w:val="009513A0"/>
    <w:rsid w:val="009522BA"/>
    <w:rsid w:val="00954921"/>
    <w:rsid w:val="00974BF7"/>
    <w:rsid w:val="00981CA8"/>
    <w:rsid w:val="00990496"/>
    <w:rsid w:val="009A4F65"/>
    <w:rsid w:val="009B2CB2"/>
    <w:rsid w:val="009C0F3C"/>
    <w:rsid w:val="009C0FD2"/>
    <w:rsid w:val="009C1E08"/>
    <w:rsid w:val="009C4F41"/>
    <w:rsid w:val="009D1875"/>
    <w:rsid w:val="009D3736"/>
    <w:rsid w:val="009E7BDE"/>
    <w:rsid w:val="009F13E1"/>
    <w:rsid w:val="009F6AC6"/>
    <w:rsid w:val="00A0698B"/>
    <w:rsid w:val="00A07793"/>
    <w:rsid w:val="00A07C48"/>
    <w:rsid w:val="00A115C7"/>
    <w:rsid w:val="00A15F57"/>
    <w:rsid w:val="00A25EE9"/>
    <w:rsid w:val="00A260FC"/>
    <w:rsid w:val="00A31F6C"/>
    <w:rsid w:val="00A33541"/>
    <w:rsid w:val="00A45F26"/>
    <w:rsid w:val="00A5492C"/>
    <w:rsid w:val="00A614F8"/>
    <w:rsid w:val="00A633B2"/>
    <w:rsid w:val="00A6677A"/>
    <w:rsid w:val="00A76402"/>
    <w:rsid w:val="00A866BD"/>
    <w:rsid w:val="00A86BC8"/>
    <w:rsid w:val="00A90D9F"/>
    <w:rsid w:val="00A934B7"/>
    <w:rsid w:val="00A93BA2"/>
    <w:rsid w:val="00AA145F"/>
    <w:rsid w:val="00AC1728"/>
    <w:rsid w:val="00AC3100"/>
    <w:rsid w:val="00AE1B3A"/>
    <w:rsid w:val="00AE43E2"/>
    <w:rsid w:val="00B0552B"/>
    <w:rsid w:val="00B059F6"/>
    <w:rsid w:val="00B05A1D"/>
    <w:rsid w:val="00B16FF1"/>
    <w:rsid w:val="00B21A1E"/>
    <w:rsid w:val="00B227EF"/>
    <w:rsid w:val="00B267AF"/>
    <w:rsid w:val="00B44D1C"/>
    <w:rsid w:val="00B52D73"/>
    <w:rsid w:val="00B54B99"/>
    <w:rsid w:val="00B54BEA"/>
    <w:rsid w:val="00B64F4B"/>
    <w:rsid w:val="00B66BBA"/>
    <w:rsid w:val="00B70436"/>
    <w:rsid w:val="00B707D4"/>
    <w:rsid w:val="00B70EE3"/>
    <w:rsid w:val="00B72DAD"/>
    <w:rsid w:val="00B741ED"/>
    <w:rsid w:val="00B75B86"/>
    <w:rsid w:val="00B76075"/>
    <w:rsid w:val="00B83291"/>
    <w:rsid w:val="00B855C3"/>
    <w:rsid w:val="00B91681"/>
    <w:rsid w:val="00B91AD0"/>
    <w:rsid w:val="00B96A3A"/>
    <w:rsid w:val="00BB0FE5"/>
    <w:rsid w:val="00BB20A1"/>
    <w:rsid w:val="00BB5C99"/>
    <w:rsid w:val="00BB6E58"/>
    <w:rsid w:val="00BD064A"/>
    <w:rsid w:val="00BD1C1B"/>
    <w:rsid w:val="00BD4D0A"/>
    <w:rsid w:val="00BF1AC4"/>
    <w:rsid w:val="00BF2858"/>
    <w:rsid w:val="00C01F7B"/>
    <w:rsid w:val="00C045F3"/>
    <w:rsid w:val="00C04686"/>
    <w:rsid w:val="00C1630F"/>
    <w:rsid w:val="00C17415"/>
    <w:rsid w:val="00C1760D"/>
    <w:rsid w:val="00C17ED4"/>
    <w:rsid w:val="00C245F3"/>
    <w:rsid w:val="00C255DC"/>
    <w:rsid w:val="00C277EE"/>
    <w:rsid w:val="00C30F5F"/>
    <w:rsid w:val="00C529A5"/>
    <w:rsid w:val="00C53D4E"/>
    <w:rsid w:val="00C57EF2"/>
    <w:rsid w:val="00C61E85"/>
    <w:rsid w:val="00C7642B"/>
    <w:rsid w:val="00C7667A"/>
    <w:rsid w:val="00C800E2"/>
    <w:rsid w:val="00CA192F"/>
    <w:rsid w:val="00CA4F4C"/>
    <w:rsid w:val="00CA510D"/>
    <w:rsid w:val="00CA6AE9"/>
    <w:rsid w:val="00CB5DCD"/>
    <w:rsid w:val="00CC1109"/>
    <w:rsid w:val="00CC146A"/>
    <w:rsid w:val="00CC5A85"/>
    <w:rsid w:val="00CE18C6"/>
    <w:rsid w:val="00CE2304"/>
    <w:rsid w:val="00CE7CA6"/>
    <w:rsid w:val="00CF4DAB"/>
    <w:rsid w:val="00D0180D"/>
    <w:rsid w:val="00D048FE"/>
    <w:rsid w:val="00D206E8"/>
    <w:rsid w:val="00D31BD7"/>
    <w:rsid w:val="00D5176F"/>
    <w:rsid w:val="00D52A43"/>
    <w:rsid w:val="00D54419"/>
    <w:rsid w:val="00D728D2"/>
    <w:rsid w:val="00D72928"/>
    <w:rsid w:val="00D82AD0"/>
    <w:rsid w:val="00D84D98"/>
    <w:rsid w:val="00D85657"/>
    <w:rsid w:val="00D91C58"/>
    <w:rsid w:val="00D94912"/>
    <w:rsid w:val="00D97CC5"/>
    <w:rsid w:val="00DA4794"/>
    <w:rsid w:val="00DA71C3"/>
    <w:rsid w:val="00DA7FE1"/>
    <w:rsid w:val="00DB3B31"/>
    <w:rsid w:val="00DB61D2"/>
    <w:rsid w:val="00DC6C82"/>
    <w:rsid w:val="00DD040A"/>
    <w:rsid w:val="00DD5872"/>
    <w:rsid w:val="00DD5C1A"/>
    <w:rsid w:val="00DF7CF1"/>
    <w:rsid w:val="00E015B5"/>
    <w:rsid w:val="00E02F4C"/>
    <w:rsid w:val="00E03362"/>
    <w:rsid w:val="00E03B52"/>
    <w:rsid w:val="00E05037"/>
    <w:rsid w:val="00E05FD1"/>
    <w:rsid w:val="00E272BF"/>
    <w:rsid w:val="00E33FCF"/>
    <w:rsid w:val="00E412D8"/>
    <w:rsid w:val="00E4284C"/>
    <w:rsid w:val="00E50290"/>
    <w:rsid w:val="00E555F4"/>
    <w:rsid w:val="00E57D3F"/>
    <w:rsid w:val="00E63271"/>
    <w:rsid w:val="00E64913"/>
    <w:rsid w:val="00E709F3"/>
    <w:rsid w:val="00E7181F"/>
    <w:rsid w:val="00E72B21"/>
    <w:rsid w:val="00E74033"/>
    <w:rsid w:val="00E94D51"/>
    <w:rsid w:val="00E95CD3"/>
    <w:rsid w:val="00E968D9"/>
    <w:rsid w:val="00EA2001"/>
    <w:rsid w:val="00EA40AC"/>
    <w:rsid w:val="00EA5A63"/>
    <w:rsid w:val="00EA6361"/>
    <w:rsid w:val="00EB2627"/>
    <w:rsid w:val="00EB40F9"/>
    <w:rsid w:val="00EB4D46"/>
    <w:rsid w:val="00EC0B21"/>
    <w:rsid w:val="00EC4587"/>
    <w:rsid w:val="00EC528E"/>
    <w:rsid w:val="00EC739C"/>
    <w:rsid w:val="00ED3B0B"/>
    <w:rsid w:val="00ED5328"/>
    <w:rsid w:val="00EE17FF"/>
    <w:rsid w:val="00EF10CF"/>
    <w:rsid w:val="00EF31A5"/>
    <w:rsid w:val="00F176C1"/>
    <w:rsid w:val="00F22211"/>
    <w:rsid w:val="00F2390F"/>
    <w:rsid w:val="00F367E9"/>
    <w:rsid w:val="00F37972"/>
    <w:rsid w:val="00F40B13"/>
    <w:rsid w:val="00F442E7"/>
    <w:rsid w:val="00F44C11"/>
    <w:rsid w:val="00F460F0"/>
    <w:rsid w:val="00F46958"/>
    <w:rsid w:val="00F47970"/>
    <w:rsid w:val="00F47C0A"/>
    <w:rsid w:val="00F51D69"/>
    <w:rsid w:val="00F64F8A"/>
    <w:rsid w:val="00F7198F"/>
    <w:rsid w:val="00F7262D"/>
    <w:rsid w:val="00F77DBE"/>
    <w:rsid w:val="00F87312"/>
    <w:rsid w:val="00F8772E"/>
    <w:rsid w:val="00FA0F80"/>
    <w:rsid w:val="00FA225E"/>
    <w:rsid w:val="00FB0082"/>
    <w:rsid w:val="00FB773B"/>
    <w:rsid w:val="00FD6431"/>
    <w:rsid w:val="00FE5F4F"/>
    <w:rsid w:val="00FE6913"/>
    <w:rsid w:val="00FF4F68"/>
    <w:rsid w:val="00FF50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SNormal"/>
    <w:qFormat/>
    <w:rsid w:val="00ED5328"/>
    <w:rPr>
      <w:lang w:eastAsia="en-US"/>
    </w:rPr>
  </w:style>
  <w:style w:type="paragraph" w:styleId="Heading1">
    <w:name w:val="heading 1"/>
    <w:basedOn w:val="Normal"/>
    <w:next w:val="Normal"/>
    <w:qFormat/>
    <w:rsid w:val="00D0180D"/>
    <w:pPr>
      <w:keepNext/>
      <w:outlineLvl w:val="0"/>
    </w:pPr>
    <w:rPr>
      <w:b/>
      <w:sz w:val="24"/>
    </w:rPr>
  </w:style>
  <w:style w:type="paragraph" w:styleId="Heading3">
    <w:name w:val="heading 3"/>
    <w:basedOn w:val="Normal"/>
    <w:next w:val="Normal"/>
    <w:qFormat/>
    <w:rsid w:val="000F361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1E08"/>
    <w:pPr>
      <w:autoSpaceDE w:val="0"/>
      <w:autoSpaceDN w:val="0"/>
      <w:adjustRightInd w:val="0"/>
    </w:pPr>
    <w:rPr>
      <w:rFonts w:ascii="Arial" w:hAnsi="Arial" w:cs="Arial"/>
      <w:color w:val="000000"/>
      <w:sz w:val="24"/>
      <w:szCs w:val="24"/>
      <w:lang w:val="en-US" w:eastAsia="en-US"/>
    </w:rPr>
  </w:style>
  <w:style w:type="paragraph" w:styleId="Header">
    <w:name w:val="header"/>
    <w:basedOn w:val="Normal"/>
    <w:rsid w:val="00332337"/>
    <w:pPr>
      <w:tabs>
        <w:tab w:val="center" w:pos="4153"/>
        <w:tab w:val="right" w:pos="8306"/>
      </w:tabs>
    </w:pPr>
  </w:style>
  <w:style w:type="paragraph" w:styleId="Footer">
    <w:name w:val="footer"/>
    <w:basedOn w:val="Normal"/>
    <w:link w:val="FooterChar"/>
    <w:uiPriority w:val="99"/>
    <w:rsid w:val="00332337"/>
    <w:pPr>
      <w:tabs>
        <w:tab w:val="center" w:pos="4153"/>
        <w:tab w:val="right" w:pos="8306"/>
      </w:tabs>
    </w:pPr>
  </w:style>
  <w:style w:type="character" w:styleId="PageNumber">
    <w:name w:val="page number"/>
    <w:basedOn w:val="DefaultParagraphFont"/>
    <w:rsid w:val="00332337"/>
  </w:style>
  <w:style w:type="paragraph" w:styleId="BodyText">
    <w:name w:val="Body Text"/>
    <w:basedOn w:val="Normal"/>
    <w:rsid w:val="00B267AF"/>
    <w:pPr>
      <w:jc w:val="both"/>
    </w:pPr>
    <w:rPr>
      <w:rFonts w:ascii="Arial" w:hAnsi="Arial"/>
      <w:color w:val="000000"/>
      <w:sz w:val="24"/>
      <w:lang w:val="en-GB"/>
    </w:rPr>
  </w:style>
  <w:style w:type="paragraph" w:styleId="NormalWeb">
    <w:name w:val="Normal (Web)"/>
    <w:basedOn w:val="Normal"/>
    <w:rsid w:val="00065068"/>
    <w:pPr>
      <w:spacing w:before="100" w:beforeAutospacing="1" w:after="100" w:afterAutospacing="1"/>
    </w:pPr>
    <w:rPr>
      <w:sz w:val="24"/>
      <w:szCs w:val="24"/>
      <w:lang w:val="en-US"/>
    </w:rPr>
  </w:style>
  <w:style w:type="paragraph" w:styleId="Title">
    <w:name w:val="Title"/>
    <w:basedOn w:val="Normal"/>
    <w:qFormat/>
    <w:rsid w:val="00D0180D"/>
    <w:pPr>
      <w:jc w:val="center"/>
    </w:pPr>
    <w:rPr>
      <w:b/>
      <w:sz w:val="24"/>
    </w:rPr>
  </w:style>
  <w:style w:type="character" w:styleId="Emphasis">
    <w:name w:val="Emphasis"/>
    <w:qFormat/>
    <w:rsid w:val="00E7181F"/>
    <w:rPr>
      <w:b/>
      <w:bCs/>
      <w:i w:val="0"/>
      <w:iCs w:val="0"/>
    </w:rPr>
  </w:style>
  <w:style w:type="paragraph" w:styleId="FootnoteText">
    <w:name w:val="footnote text"/>
    <w:basedOn w:val="Normal"/>
    <w:semiHidden/>
    <w:rsid w:val="00B72DAD"/>
  </w:style>
  <w:style w:type="character" w:styleId="FootnoteReference">
    <w:name w:val="footnote reference"/>
    <w:semiHidden/>
    <w:rsid w:val="00B72DAD"/>
    <w:rPr>
      <w:vertAlign w:val="superscript"/>
    </w:rPr>
  </w:style>
  <w:style w:type="paragraph" w:styleId="BalloonText">
    <w:name w:val="Balloon Text"/>
    <w:basedOn w:val="Normal"/>
    <w:semiHidden/>
    <w:rsid w:val="00872A30"/>
    <w:rPr>
      <w:rFonts w:ascii="Tahoma" w:hAnsi="Tahoma" w:cs="Tahoma"/>
      <w:sz w:val="16"/>
      <w:szCs w:val="16"/>
    </w:rPr>
  </w:style>
  <w:style w:type="table" w:styleId="TableGrid">
    <w:name w:val="Table Grid"/>
    <w:basedOn w:val="TableNormal"/>
    <w:rsid w:val="00297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440614"/>
  </w:style>
  <w:style w:type="character" w:styleId="EndnoteReference">
    <w:name w:val="endnote reference"/>
    <w:semiHidden/>
    <w:rsid w:val="00440614"/>
    <w:rPr>
      <w:vertAlign w:val="superscript"/>
    </w:rPr>
  </w:style>
  <w:style w:type="character" w:styleId="CommentReference">
    <w:name w:val="annotation reference"/>
    <w:semiHidden/>
    <w:rsid w:val="001D11DF"/>
    <w:rPr>
      <w:sz w:val="16"/>
      <w:szCs w:val="16"/>
    </w:rPr>
  </w:style>
  <w:style w:type="paragraph" w:styleId="CommentText">
    <w:name w:val="annotation text"/>
    <w:basedOn w:val="Normal"/>
    <w:link w:val="CommentTextChar"/>
    <w:semiHidden/>
    <w:rsid w:val="001D11DF"/>
  </w:style>
  <w:style w:type="paragraph" w:customStyle="1" w:styleId="CM10">
    <w:name w:val="CM10"/>
    <w:basedOn w:val="Default"/>
    <w:next w:val="Default"/>
    <w:rsid w:val="00B70EE3"/>
    <w:rPr>
      <w:rFonts w:ascii="Times New Roman" w:hAnsi="Times New Roman" w:cs="Times New Roman"/>
      <w:color w:val="auto"/>
      <w:lang w:val="en-AU" w:eastAsia="en-AU"/>
    </w:rPr>
  </w:style>
  <w:style w:type="paragraph" w:customStyle="1" w:styleId="CM1">
    <w:name w:val="CM1"/>
    <w:basedOn w:val="Default"/>
    <w:next w:val="Default"/>
    <w:rsid w:val="00B70EE3"/>
    <w:pPr>
      <w:spacing w:line="278" w:lineRule="atLeast"/>
    </w:pPr>
    <w:rPr>
      <w:rFonts w:ascii="Times New Roman" w:hAnsi="Times New Roman" w:cs="Times New Roman"/>
      <w:color w:val="auto"/>
      <w:lang w:val="en-AU" w:eastAsia="en-AU"/>
    </w:rPr>
  </w:style>
  <w:style w:type="paragraph" w:customStyle="1" w:styleId="CM13">
    <w:name w:val="CM13"/>
    <w:basedOn w:val="Default"/>
    <w:next w:val="Default"/>
    <w:rsid w:val="00B70EE3"/>
    <w:rPr>
      <w:rFonts w:ascii="Times New Roman" w:hAnsi="Times New Roman" w:cs="Times New Roman"/>
      <w:color w:val="auto"/>
      <w:lang w:val="en-AU" w:eastAsia="en-AU"/>
    </w:rPr>
  </w:style>
  <w:style w:type="paragraph" w:customStyle="1" w:styleId="CM14">
    <w:name w:val="CM14"/>
    <w:basedOn w:val="Default"/>
    <w:next w:val="Default"/>
    <w:rsid w:val="00B70EE3"/>
    <w:rPr>
      <w:rFonts w:ascii="Times New Roman" w:hAnsi="Times New Roman" w:cs="Times New Roman"/>
      <w:color w:val="auto"/>
      <w:lang w:val="en-AU" w:eastAsia="en-AU"/>
    </w:rPr>
  </w:style>
  <w:style w:type="paragraph" w:customStyle="1" w:styleId="CM15">
    <w:name w:val="CM15"/>
    <w:basedOn w:val="Default"/>
    <w:next w:val="Default"/>
    <w:rsid w:val="00B70EE3"/>
    <w:rPr>
      <w:rFonts w:ascii="Times New Roman" w:hAnsi="Times New Roman" w:cs="Times New Roman"/>
      <w:color w:val="auto"/>
      <w:lang w:val="en-AU" w:eastAsia="en-AU"/>
    </w:rPr>
  </w:style>
  <w:style w:type="paragraph" w:customStyle="1" w:styleId="CM12">
    <w:name w:val="CM12"/>
    <w:basedOn w:val="Default"/>
    <w:next w:val="Default"/>
    <w:rsid w:val="00B70EE3"/>
    <w:rPr>
      <w:rFonts w:ascii="Times New Roman" w:hAnsi="Times New Roman" w:cs="Times New Roman"/>
      <w:color w:val="auto"/>
      <w:lang w:val="en-AU" w:eastAsia="en-AU"/>
    </w:rPr>
  </w:style>
  <w:style w:type="paragraph" w:customStyle="1" w:styleId="CM5">
    <w:name w:val="CM5"/>
    <w:basedOn w:val="Default"/>
    <w:next w:val="Default"/>
    <w:rsid w:val="0056357F"/>
    <w:pPr>
      <w:spacing w:line="276" w:lineRule="atLeast"/>
    </w:pPr>
    <w:rPr>
      <w:rFonts w:ascii="Times New Roman" w:hAnsi="Times New Roman" w:cs="Times New Roman"/>
      <w:color w:val="auto"/>
      <w:lang w:val="en-AU" w:eastAsia="en-AU"/>
    </w:rPr>
  </w:style>
  <w:style w:type="paragraph" w:customStyle="1" w:styleId="CM16">
    <w:name w:val="CM16"/>
    <w:basedOn w:val="Default"/>
    <w:next w:val="Default"/>
    <w:rsid w:val="003608CE"/>
    <w:rPr>
      <w:rFonts w:ascii="Times New Roman" w:hAnsi="Times New Roman" w:cs="Times New Roman"/>
      <w:color w:val="auto"/>
      <w:lang w:val="en-AU" w:eastAsia="en-AU"/>
    </w:rPr>
  </w:style>
  <w:style w:type="paragraph" w:customStyle="1" w:styleId="CM17">
    <w:name w:val="CM17"/>
    <w:basedOn w:val="Default"/>
    <w:next w:val="Default"/>
    <w:rsid w:val="003608CE"/>
    <w:rPr>
      <w:rFonts w:ascii="Times New Roman" w:hAnsi="Times New Roman" w:cs="Times New Roman"/>
      <w:color w:val="auto"/>
      <w:lang w:val="en-AU" w:eastAsia="en-AU"/>
    </w:rPr>
  </w:style>
  <w:style w:type="character" w:styleId="Hyperlink">
    <w:name w:val="Hyperlink"/>
    <w:rsid w:val="004C00B1"/>
    <w:rPr>
      <w:color w:val="0000FF"/>
      <w:u w:val="single"/>
    </w:rPr>
  </w:style>
  <w:style w:type="paragraph" w:customStyle="1" w:styleId="first">
    <w:name w:val="first"/>
    <w:basedOn w:val="Normal"/>
    <w:rsid w:val="004C00B1"/>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uiPriority w:val="99"/>
    <w:semiHidden/>
    <w:unhideWhenUsed/>
    <w:rsid w:val="00A260FC"/>
    <w:rPr>
      <w:b/>
      <w:bCs/>
    </w:rPr>
  </w:style>
  <w:style w:type="character" w:customStyle="1" w:styleId="CommentTextChar">
    <w:name w:val="Comment Text Char"/>
    <w:link w:val="CommentText"/>
    <w:semiHidden/>
    <w:rsid w:val="00A260FC"/>
    <w:rPr>
      <w:lang w:eastAsia="en-US"/>
    </w:rPr>
  </w:style>
  <w:style w:type="character" w:customStyle="1" w:styleId="CommentSubjectChar">
    <w:name w:val="Comment Subject Char"/>
    <w:basedOn w:val="CommentTextChar"/>
    <w:link w:val="CommentSubject"/>
    <w:rsid w:val="00A260FC"/>
    <w:rPr>
      <w:lang w:eastAsia="en-US"/>
    </w:rPr>
  </w:style>
  <w:style w:type="paragraph" w:styleId="NoSpacing">
    <w:name w:val="No Spacing"/>
    <w:uiPriority w:val="1"/>
    <w:qFormat/>
    <w:rsid w:val="00B54B99"/>
    <w:rPr>
      <w:lang w:eastAsia="en-US"/>
    </w:rPr>
  </w:style>
  <w:style w:type="character" w:customStyle="1" w:styleId="FooterChar">
    <w:name w:val="Footer Char"/>
    <w:link w:val="Footer"/>
    <w:uiPriority w:val="99"/>
    <w:rsid w:val="00E50290"/>
    <w:rPr>
      <w:lang w:val="en-AU"/>
    </w:rPr>
  </w:style>
  <w:style w:type="table" w:customStyle="1" w:styleId="TableGrid1">
    <w:name w:val="Table Grid1"/>
    <w:basedOn w:val="TableNormal"/>
    <w:next w:val="TableGrid"/>
    <w:uiPriority w:val="59"/>
    <w:rsid w:val="007C42CF"/>
    <w:rPr>
      <w:rFonts w:ascii="Cambria" w:eastAsia="Cambria" w:hAnsi="Cambria"/>
      <w:sz w:val="22"/>
      <w:szCs w:val="22"/>
      <w:lang w:eastAsia="en-US"/>
    </w:rPr>
    <w:tblPr>
      <w:tblInd w:w="0"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SNormal"/>
    <w:qFormat/>
    <w:rsid w:val="00ED5328"/>
    <w:rPr>
      <w:lang w:eastAsia="en-US"/>
    </w:rPr>
  </w:style>
  <w:style w:type="paragraph" w:styleId="Heading1">
    <w:name w:val="heading 1"/>
    <w:basedOn w:val="Normal"/>
    <w:next w:val="Normal"/>
    <w:qFormat/>
    <w:rsid w:val="00D0180D"/>
    <w:pPr>
      <w:keepNext/>
      <w:outlineLvl w:val="0"/>
    </w:pPr>
    <w:rPr>
      <w:b/>
      <w:sz w:val="24"/>
    </w:rPr>
  </w:style>
  <w:style w:type="paragraph" w:styleId="Heading3">
    <w:name w:val="heading 3"/>
    <w:basedOn w:val="Normal"/>
    <w:next w:val="Normal"/>
    <w:qFormat/>
    <w:rsid w:val="000F361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1E08"/>
    <w:pPr>
      <w:autoSpaceDE w:val="0"/>
      <w:autoSpaceDN w:val="0"/>
      <w:adjustRightInd w:val="0"/>
    </w:pPr>
    <w:rPr>
      <w:rFonts w:ascii="Arial" w:hAnsi="Arial" w:cs="Arial"/>
      <w:color w:val="000000"/>
      <w:sz w:val="24"/>
      <w:szCs w:val="24"/>
      <w:lang w:val="en-US" w:eastAsia="en-US"/>
    </w:rPr>
  </w:style>
  <w:style w:type="paragraph" w:styleId="Header">
    <w:name w:val="header"/>
    <w:basedOn w:val="Normal"/>
    <w:rsid w:val="00332337"/>
    <w:pPr>
      <w:tabs>
        <w:tab w:val="center" w:pos="4153"/>
        <w:tab w:val="right" w:pos="8306"/>
      </w:tabs>
    </w:pPr>
  </w:style>
  <w:style w:type="paragraph" w:styleId="Footer">
    <w:name w:val="footer"/>
    <w:basedOn w:val="Normal"/>
    <w:link w:val="FooterChar"/>
    <w:uiPriority w:val="99"/>
    <w:rsid w:val="00332337"/>
    <w:pPr>
      <w:tabs>
        <w:tab w:val="center" w:pos="4153"/>
        <w:tab w:val="right" w:pos="8306"/>
      </w:tabs>
    </w:pPr>
  </w:style>
  <w:style w:type="character" w:styleId="PageNumber">
    <w:name w:val="page number"/>
    <w:basedOn w:val="DefaultParagraphFont"/>
    <w:rsid w:val="00332337"/>
  </w:style>
  <w:style w:type="paragraph" w:styleId="BodyText">
    <w:name w:val="Body Text"/>
    <w:basedOn w:val="Normal"/>
    <w:rsid w:val="00B267AF"/>
    <w:pPr>
      <w:jc w:val="both"/>
    </w:pPr>
    <w:rPr>
      <w:rFonts w:ascii="Arial" w:hAnsi="Arial"/>
      <w:color w:val="000000"/>
      <w:sz w:val="24"/>
      <w:lang w:val="en-GB"/>
    </w:rPr>
  </w:style>
  <w:style w:type="paragraph" w:styleId="NormalWeb">
    <w:name w:val="Normal (Web)"/>
    <w:basedOn w:val="Normal"/>
    <w:rsid w:val="00065068"/>
    <w:pPr>
      <w:spacing w:before="100" w:beforeAutospacing="1" w:after="100" w:afterAutospacing="1"/>
    </w:pPr>
    <w:rPr>
      <w:sz w:val="24"/>
      <w:szCs w:val="24"/>
      <w:lang w:val="en-US"/>
    </w:rPr>
  </w:style>
  <w:style w:type="paragraph" w:styleId="Title">
    <w:name w:val="Title"/>
    <w:basedOn w:val="Normal"/>
    <w:qFormat/>
    <w:rsid w:val="00D0180D"/>
    <w:pPr>
      <w:jc w:val="center"/>
    </w:pPr>
    <w:rPr>
      <w:b/>
      <w:sz w:val="24"/>
    </w:rPr>
  </w:style>
  <w:style w:type="character" w:styleId="Emphasis">
    <w:name w:val="Emphasis"/>
    <w:qFormat/>
    <w:rsid w:val="00E7181F"/>
    <w:rPr>
      <w:b/>
      <w:bCs/>
      <w:i w:val="0"/>
      <w:iCs w:val="0"/>
    </w:rPr>
  </w:style>
  <w:style w:type="paragraph" w:styleId="FootnoteText">
    <w:name w:val="footnote text"/>
    <w:basedOn w:val="Normal"/>
    <w:semiHidden/>
    <w:rsid w:val="00B72DAD"/>
  </w:style>
  <w:style w:type="character" w:styleId="FootnoteReference">
    <w:name w:val="footnote reference"/>
    <w:semiHidden/>
    <w:rsid w:val="00B72DAD"/>
    <w:rPr>
      <w:vertAlign w:val="superscript"/>
    </w:rPr>
  </w:style>
  <w:style w:type="paragraph" w:styleId="BalloonText">
    <w:name w:val="Balloon Text"/>
    <w:basedOn w:val="Normal"/>
    <w:semiHidden/>
    <w:rsid w:val="00872A30"/>
    <w:rPr>
      <w:rFonts w:ascii="Tahoma" w:hAnsi="Tahoma" w:cs="Tahoma"/>
      <w:sz w:val="16"/>
      <w:szCs w:val="16"/>
    </w:rPr>
  </w:style>
  <w:style w:type="table" w:styleId="TableGrid">
    <w:name w:val="Table Grid"/>
    <w:basedOn w:val="TableNormal"/>
    <w:rsid w:val="00297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440614"/>
  </w:style>
  <w:style w:type="character" w:styleId="EndnoteReference">
    <w:name w:val="endnote reference"/>
    <w:semiHidden/>
    <w:rsid w:val="00440614"/>
    <w:rPr>
      <w:vertAlign w:val="superscript"/>
    </w:rPr>
  </w:style>
  <w:style w:type="character" w:styleId="CommentReference">
    <w:name w:val="annotation reference"/>
    <w:semiHidden/>
    <w:rsid w:val="001D11DF"/>
    <w:rPr>
      <w:sz w:val="16"/>
      <w:szCs w:val="16"/>
    </w:rPr>
  </w:style>
  <w:style w:type="paragraph" w:styleId="CommentText">
    <w:name w:val="annotation text"/>
    <w:basedOn w:val="Normal"/>
    <w:link w:val="CommentTextChar"/>
    <w:semiHidden/>
    <w:rsid w:val="001D11DF"/>
  </w:style>
  <w:style w:type="paragraph" w:customStyle="1" w:styleId="CM10">
    <w:name w:val="CM10"/>
    <w:basedOn w:val="Default"/>
    <w:next w:val="Default"/>
    <w:rsid w:val="00B70EE3"/>
    <w:rPr>
      <w:rFonts w:ascii="Times New Roman" w:hAnsi="Times New Roman" w:cs="Times New Roman"/>
      <w:color w:val="auto"/>
      <w:lang w:val="en-AU" w:eastAsia="en-AU"/>
    </w:rPr>
  </w:style>
  <w:style w:type="paragraph" w:customStyle="1" w:styleId="CM1">
    <w:name w:val="CM1"/>
    <w:basedOn w:val="Default"/>
    <w:next w:val="Default"/>
    <w:rsid w:val="00B70EE3"/>
    <w:pPr>
      <w:spacing w:line="278" w:lineRule="atLeast"/>
    </w:pPr>
    <w:rPr>
      <w:rFonts w:ascii="Times New Roman" w:hAnsi="Times New Roman" w:cs="Times New Roman"/>
      <w:color w:val="auto"/>
      <w:lang w:val="en-AU" w:eastAsia="en-AU"/>
    </w:rPr>
  </w:style>
  <w:style w:type="paragraph" w:customStyle="1" w:styleId="CM13">
    <w:name w:val="CM13"/>
    <w:basedOn w:val="Default"/>
    <w:next w:val="Default"/>
    <w:rsid w:val="00B70EE3"/>
    <w:rPr>
      <w:rFonts w:ascii="Times New Roman" w:hAnsi="Times New Roman" w:cs="Times New Roman"/>
      <w:color w:val="auto"/>
      <w:lang w:val="en-AU" w:eastAsia="en-AU"/>
    </w:rPr>
  </w:style>
  <w:style w:type="paragraph" w:customStyle="1" w:styleId="CM14">
    <w:name w:val="CM14"/>
    <w:basedOn w:val="Default"/>
    <w:next w:val="Default"/>
    <w:rsid w:val="00B70EE3"/>
    <w:rPr>
      <w:rFonts w:ascii="Times New Roman" w:hAnsi="Times New Roman" w:cs="Times New Roman"/>
      <w:color w:val="auto"/>
      <w:lang w:val="en-AU" w:eastAsia="en-AU"/>
    </w:rPr>
  </w:style>
  <w:style w:type="paragraph" w:customStyle="1" w:styleId="CM15">
    <w:name w:val="CM15"/>
    <w:basedOn w:val="Default"/>
    <w:next w:val="Default"/>
    <w:rsid w:val="00B70EE3"/>
    <w:rPr>
      <w:rFonts w:ascii="Times New Roman" w:hAnsi="Times New Roman" w:cs="Times New Roman"/>
      <w:color w:val="auto"/>
      <w:lang w:val="en-AU" w:eastAsia="en-AU"/>
    </w:rPr>
  </w:style>
  <w:style w:type="paragraph" w:customStyle="1" w:styleId="CM12">
    <w:name w:val="CM12"/>
    <w:basedOn w:val="Default"/>
    <w:next w:val="Default"/>
    <w:rsid w:val="00B70EE3"/>
    <w:rPr>
      <w:rFonts w:ascii="Times New Roman" w:hAnsi="Times New Roman" w:cs="Times New Roman"/>
      <w:color w:val="auto"/>
      <w:lang w:val="en-AU" w:eastAsia="en-AU"/>
    </w:rPr>
  </w:style>
  <w:style w:type="paragraph" w:customStyle="1" w:styleId="CM5">
    <w:name w:val="CM5"/>
    <w:basedOn w:val="Default"/>
    <w:next w:val="Default"/>
    <w:rsid w:val="0056357F"/>
    <w:pPr>
      <w:spacing w:line="276" w:lineRule="atLeast"/>
    </w:pPr>
    <w:rPr>
      <w:rFonts w:ascii="Times New Roman" w:hAnsi="Times New Roman" w:cs="Times New Roman"/>
      <w:color w:val="auto"/>
      <w:lang w:val="en-AU" w:eastAsia="en-AU"/>
    </w:rPr>
  </w:style>
  <w:style w:type="paragraph" w:customStyle="1" w:styleId="CM16">
    <w:name w:val="CM16"/>
    <w:basedOn w:val="Default"/>
    <w:next w:val="Default"/>
    <w:rsid w:val="003608CE"/>
    <w:rPr>
      <w:rFonts w:ascii="Times New Roman" w:hAnsi="Times New Roman" w:cs="Times New Roman"/>
      <w:color w:val="auto"/>
      <w:lang w:val="en-AU" w:eastAsia="en-AU"/>
    </w:rPr>
  </w:style>
  <w:style w:type="paragraph" w:customStyle="1" w:styleId="CM17">
    <w:name w:val="CM17"/>
    <w:basedOn w:val="Default"/>
    <w:next w:val="Default"/>
    <w:rsid w:val="003608CE"/>
    <w:rPr>
      <w:rFonts w:ascii="Times New Roman" w:hAnsi="Times New Roman" w:cs="Times New Roman"/>
      <w:color w:val="auto"/>
      <w:lang w:val="en-AU" w:eastAsia="en-AU"/>
    </w:rPr>
  </w:style>
  <w:style w:type="character" w:styleId="Hyperlink">
    <w:name w:val="Hyperlink"/>
    <w:rsid w:val="004C00B1"/>
    <w:rPr>
      <w:color w:val="0000FF"/>
      <w:u w:val="single"/>
    </w:rPr>
  </w:style>
  <w:style w:type="paragraph" w:customStyle="1" w:styleId="first">
    <w:name w:val="first"/>
    <w:basedOn w:val="Normal"/>
    <w:rsid w:val="004C00B1"/>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uiPriority w:val="99"/>
    <w:semiHidden/>
    <w:unhideWhenUsed/>
    <w:rsid w:val="00A260FC"/>
    <w:rPr>
      <w:b/>
      <w:bCs/>
    </w:rPr>
  </w:style>
  <w:style w:type="character" w:customStyle="1" w:styleId="CommentTextChar">
    <w:name w:val="Comment Text Char"/>
    <w:link w:val="CommentText"/>
    <w:semiHidden/>
    <w:rsid w:val="00A260FC"/>
    <w:rPr>
      <w:lang w:eastAsia="en-US"/>
    </w:rPr>
  </w:style>
  <w:style w:type="character" w:customStyle="1" w:styleId="CommentSubjectChar">
    <w:name w:val="Comment Subject Char"/>
    <w:basedOn w:val="CommentTextChar"/>
    <w:link w:val="CommentSubject"/>
    <w:rsid w:val="00A260FC"/>
    <w:rPr>
      <w:lang w:eastAsia="en-US"/>
    </w:rPr>
  </w:style>
  <w:style w:type="paragraph" w:styleId="NoSpacing">
    <w:name w:val="No Spacing"/>
    <w:uiPriority w:val="1"/>
    <w:qFormat/>
    <w:rsid w:val="00B54B99"/>
    <w:rPr>
      <w:lang w:eastAsia="en-US"/>
    </w:rPr>
  </w:style>
  <w:style w:type="character" w:customStyle="1" w:styleId="FooterChar">
    <w:name w:val="Footer Char"/>
    <w:link w:val="Footer"/>
    <w:uiPriority w:val="99"/>
    <w:rsid w:val="00E50290"/>
    <w:rPr>
      <w:lang w:val="en-AU"/>
    </w:rPr>
  </w:style>
  <w:style w:type="table" w:customStyle="1" w:styleId="TableGrid1">
    <w:name w:val="Table Grid1"/>
    <w:basedOn w:val="TableNormal"/>
    <w:next w:val="TableGrid"/>
    <w:uiPriority w:val="59"/>
    <w:rsid w:val="007C42CF"/>
    <w:rPr>
      <w:rFonts w:ascii="Cambria" w:eastAsia="Cambria" w:hAnsi="Cambria"/>
      <w:sz w:val="22"/>
      <w:szCs w:val="22"/>
      <w:lang w:eastAsia="en-US"/>
    </w:rPr>
    <w:tblPr>
      <w:tblInd w:w="0"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51153">
      <w:bodyDiv w:val="1"/>
      <w:marLeft w:val="0"/>
      <w:marRight w:val="0"/>
      <w:marTop w:val="0"/>
      <w:marBottom w:val="0"/>
      <w:divBdr>
        <w:top w:val="none" w:sz="0" w:space="0" w:color="auto"/>
        <w:left w:val="none" w:sz="0" w:space="0" w:color="auto"/>
        <w:bottom w:val="none" w:sz="0" w:space="0" w:color="auto"/>
        <w:right w:val="none" w:sz="0" w:space="0" w:color="auto"/>
      </w:divBdr>
    </w:div>
    <w:div w:id="255788717">
      <w:bodyDiv w:val="1"/>
      <w:marLeft w:val="0"/>
      <w:marRight w:val="0"/>
      <w:marTop w:val="0"/>
      <w:marBottom w:val="0"/>
      <w:divBdr>
        <w:top w:val="none" w:sz="0" w:space="0" w:color="auto"/>
        <w:left w:val="none" w:sz="0" w:space="0" w:color="auto"/>
        <w:bottom w:val="none" w:sz="0" w:space="0" w:color="auto"/>
        <w:right w:val="none" w:sz="0" w:space="0" w:color="auto"/>
      </w:divBdr>
    </w:div>
    <w:div w:id="335618939">
      <w:bodyDiv w:val="1"/>
      <w:marLeft w:val="0"/>
      <w:marRight w:val="0"/>
      <w:marTop w:val="0"/>
      <w:marBottom w:val="0"/>
      <w:divBdr>
        <w:top w:val="none" w:sz="0" w:space="0" w:color="auto"/>
        <w:left w:val="none" w:sz="0" w:space="0" w:color="auto"/>
        <w:bottom w:val="none" w:sz="0" w:space="0" w:color="auto"/>
        <w:right w:val="none" w:sz="0" w:space="0" w:color="auto"/>
      </w:divBdr>
      <w:divsChild>
        <w:div w:id="1175996842">
          <w:marLeft w:val="0"/>
          <w:marRight w:val="0"/>
          <w:marTop w:val="0"/>
          <w:marBottom w:val="0"/>
          <w:divBdr>
            <w:top w:val="none" w:sz="0" w:space="0" w:color="auto"/>
            <w:left w:val="none" w:sz="0" w:space="0" w:color="auto"/>
            <w:bottom w:val="none" w:sz="0" w:space="0" w:color="auto"/>
            <w:right w:val="none" w:sz="0" w:space="0" w:color="auto"/>
          </w:divBdr>
          <w:divsChild>
            <w:div w:id="14655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7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3440</Words>
  <Characters>21104</Characters>
  <Application>Microsoft Office Word</Application>
  <DocSecurity>0</DocSecurity>
  <Lines>370</Lines>
  <Paragraphs>179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PRODUCT INFORMATION</vt:lpstr>
      <vt:lpstr>PRODUCT INFORMATION</vt:lpstr>
    </vt:vector>
  </TitlesOfParts>
  <Company>Bausch &amp; Lomb (Australia) Pty Ltd</Company>
  <LinksUpToDate>false</LinksUpToDate>
  <CharactersWithSpaces>24365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besifloxacin hydrochloride</dc:title>
  <dc:subject>prescription medicine regulation</dc:subject>
  <dc:creator>Bausch &amp; Lomb (Australia) Pty Ltd</dc:creator>
  <cp:keywords>product, information, prescription, medicine, regulation, besifloxacin, hydrochloride, besivance, bausch, lomb, australia</cp:keywords>
  <cp:lastModifiedBy>dixonj</cp:lastModifiedBy>
  <cp:revision>3</cp:revision>
  <cp:lastPrinted>2012-10-07T21:04:00Z</cp:lastPrinted>
  <dcterms:created xsi:type="dcterms:W3CDTF">2014-03-17T22:09:00Z</dcterms:created>
  <dcterms:modified xsi:type="dcterms:W3CDTF">2014-03-18T01:38:00Z</dcterms:modified>
</cp:coreProperties>
</file>