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000000" w:rsidRDefault="00391517">
            <w:pPr>
              <w:pStyle w:val="Date"/>
              <w:framePr w:hSpace="0" w:wrap="auto" w:vAnchor="margin" w:hAnchor="text" w:yAlign="inline"/>
              <w:suppressOverlap w:val="0"/>
            </w:pPr>
            <w:r>
              <w:t>March 2013</w:t>
            </w: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 xml:space="preserve">Australian Public Assessment Report for </w:t>
            </w:r>
            <w:proofErr w:type="spellStart"/>
            <w:r w:rsidR="00391517" w:rsidRPr="00391517">
              <w:rPr>
                <w:color w:val="FFFFFF" w:themeColor="background1"/>
              </w:rPr>
              <w:t>Bevacizumab</w:t>
            </w:r>
            <w:proofErr w:type="spellEnd"/>
            <w:r w:rsidR="00391517" w:rsidRPr="00391517">
              <w:rPr>
                <w:color w:val="FFFFFF" w:themeColor="background1"/>
              </w:rPr>
              <w:t xml:space="preserve"> (recombinant humanised)</w:t>
            </w:r>
          </w:p>
        </w:tc>
      </w:tr>
      <w:tr w:rsidR="0032583B" w:rsidRPr="00B64760" w:rsidTr="0032583B">
        <w:tc>
          <w:tcPr>
            <w:tcW w:w="9079" w:type="dxa"/>
          </w:tcPr>
          <w:p w:rsidR="0032583B" w:rsidRPr="008E7846" w:rsidRDefault="0032583B" w:rsidP="0032583B">
            <w:pPr>
              <w:pStyle w:val="Subtitle"/>
              <w:rPr>
                <w:color w:val="FFFFFF" w:themeColor="background1"/>
              </w:rPr>
            </w:pPr>
            <w:r w:rsidRPr="008E7846">
              <w:rPr>
                <w:color w:val="FFFFFF" w:themeColor="background1"/>
              </w:rPr>
              <w:t xml:space="preserve">Proprietary Product Name: </w:t>
            </w:r>
            <w:proofErr w:type="spellStart"/>
            <w:r w:rsidR="00391517" w:rsidRPr="00391517">
              <w:rPr>
                <w:color w:val="FFFFFF" w:themeColor="background1"/>
              </w:rPr>
              <w:t>Avastin</w:t>
            </w:r>
            <w:proofErr w:type="spellEnd"/>
          </w:p>
        </w:tc>
      </w:tr>
      <w:tr w:rsidR="0032583B" w:rsidRPr="00B64760" w:rsidTr="0032583B">
        <w:trPr>
          <w:trHeight w:val="486"/>
        </w:trPr>
        <w:tc>
          <w:tcPr>
            <w:tcW w:w="9079" w:type="dxa"/>
          </w:tcPr>
          <w:p w:rsidR="0032583B" w:rsidRPr="008E7846" w:rsidRDefault="0032583B" w:rsidP="0032583B">
            <w:pPr>
              <w:pStyle w:val="Subtitle"/>
              <w:rPr>
                <w:color w:val="FFFFFF" w:themeColor="background1"/>
              </w:rPr>
            </w:pPr>
            <w:r w:rsidRPr="008E7846">
              <w:rPr>
                <w:color w:val="FFFFFF" w:themeColor="background1"/>
              </w:rPr>
              <w:t xml:space="preserve">Sponsor: </w:t>
            </w:r>
            <w:r w:rsidR="00391517" w:rsidRPr="00391517">
              <w:rPr>
                <w:color w:val="FFFFFF" w:themeColor="background1"/>
              </w:rPr>
              <w:t>Roche Products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047969"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8" w:history="1">
        <w:r w:rsidR="00112F56" w:rsidRPr="00112F56">
          <w:rPr>
            <w:rStyle w:val="Hyperlink"/>
          </w:rPr>
          <w:t>www.tga.gov.au</w:t>
        </w:r>
      </w:hyperlink>
      <w:r w:rsidR="00112F56">
        <w:t>&gt;</w:t>
      </w:r>
      <w:r>
        <w:t>.</w:t>
      </w:r>
    </w:p>
    <w:p w:rsidR="008E7846" w:rsidRDefault="008E7846" w:rsidP="008E7846">
      <w:pPr>
        <w:pStyle w:val="NonTOCHeading2"/>
      </w:pPr>
      <w:r>
        <w:t xml:space="preserve">About </w:t>
      </w:r>
      <w:proofErr w:type="spellStart"/>
      <w:r>
        <w:t>AusPARs</w:t>
      </w:r>
      <w:proofErr w:type="spellEnd"/>
    </w:p>
    <w:p w:rsidR="008E7846" w:rsidRDefault="008E7846" w:rsidP="008E7846">
      <w:pPr>
        <w:pStyle w:val="ListBullet"/>
        <w:numPr>
          <w:ilvl w:val="0"/>
          <w:numId w:val="3"/>
        </w:numPr>
        <w:ind w:left="357" w:hanging="357"/>
      </w:pPr>
      <w:r>
        <w:t>An Australian Public Assessment Record (</w:t>
      </w:r>
      <w:proofErr w:type="spellStart"/>
      <w:r>
        <w:t>AusPAR</w:t>
      </w:r>
      <w:proofErr w:type="spellEnd"/>
      <w:r>
        <w:t xml:space="preserve">) provides information about the evaluation of a prescription medicine and the considerations that led the TGA to approve or not approve a prescription medicine submission. </w:t>
      </w:r>
    </w:p>
    <w:p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even" r:id="rId10"/>
          <w:headerReference w:type="default" r:id="rId11"/>
          <w:footerReference w:type="even" r:id="rId12"/>
          <w:footerReference w:type="default" r:id="rId13"/>
          <w:headerReference w:type="first" r:id="rId14"/>
          <w:footerReference w:type="first" r:id="rId15"/>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C31BFF" w:rsidRDefault="008A475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56206740" w:history="1">
            <w:r w:rsidR="00C31BFF" w:rsidRPr="00CD715B">
              <w:rPr>
                <w:rStyle w:val="Hyperlink"/>
                <w:noProof/>
              </w:rPr>
              <w:t>I. Introduction to product submission</w:t>
            </w:r>
            <w:r w:rsidR="00C31BFF">
              <w:rPr>
                <w:noProof/>
                <w:webHidden/>
              </w:rPr>
              <w:tab/>
            </w:r>
            <w:r>
              <w:rPr>
                <w:noProof/>
                <w:webHidden/>
              </w:rPr>
              <w:fldChar w:fldCharType="begin"/>
            </w:r>
            <w:r w:rsidR="00C31BFF">
              <w:rPr>
                <w:noProof/>
                <w:webHidden/>
              </w:rPr>
              <w:instrText xml:space="preserve"> PAGEREF _Toc356206740 \h </w:instrText>
            </w:r>
            <w:r>
              <w:rPr>
                <w:noProof/>
                <w:webHidden/>
              </w:rPr>
            </w:r>
            <w:r>
              <w:rPr>
                <w:noProof/>
                <w:webHidden/>
              </w:rPr>
              <w:fldChar w:fldCharType="separate"/>
            </w:r>
            <w:r w:rsidR="00C31BFF">
              <w:rPr>
                <w:noProof/>
                <w:webHidden/>
              </w:rPr>
              <w:t>4</w:t>
            </w:r>
            <w:r>
              <w:rPr>
                <w:noProof/>
                <w:webHidden/>
              </w:rPr>
              <w:fldChar w:fldCharType="end"/>
            </w:r>
          </w:hyperlink>
        </w:p>
        <w:p w:rsidR="00C31BFF" w:rsidRDefault="008A4754">
          <w:pPr>
            <w:pStyle w:val="TOC3"/>
            <w:rPr>
              <w:rFonts w:asciiTheme="minorHAnsi" w:eastAsiaTheme="minorEastAsia" w:hAnsiTheme="minorHAnsi" w:cstheme="minorBidi"/>
              <w:noProof/>
              <w:lang w:eastAsia="en-AU"/>
            </w:rPr>
          </w:pPr>
          <w:hyperlink w:anchor="_Toc356206741" w:history="1">
            <w:r w:rsidR="00C31BFF" w:rsidRPr="00CD715B">
              <w:rPr>
                <w:rStyle w:val="Hyperlink"/>
                <w:noProof/>
                <w:lang w:eastAsia="en-AU"/>
              </w:rPr>
              <w:t xml:space="preserve">Submission </w:t>
            </w:r>
            <w:r w:rsidR="00C31BFF" w:rsidRPr="00CD715B">
              <w:rPr>
                <w:rStyle w:val="Hyperlink"/>
                <w:noProof/>
              </w:rPr>
              <w:t>details</w:t>
            </w:r>
            <w:r w:rsidR="00C31BFF">
              <w:rPr>
                <w:noProof/>
                <w:webHidden/>
              </w:rPr>
              <w:tab/>
            </w:r>
            <w:r>
              <w:rPr>
                <w:noProof/>
                <w:webHidden/>
              </w:rPr>
              <w:fldChar w:fldCharType="begin"/>
            </w:r>
            <w:r w:rsidR="00C31BFF">
              <w:rPr>
                <w:noProof/>
                <w:webHidden/>
              </w:rPr>
              <w:instrText xml:space="preserve"> PAGEREF _Toc356206741 \h </w:instrText>
            </w:r>
            <w:r>
              <w:rPr>
                <w:noProof/>
                <w:webHidden/>
              </w:rPr>
            </w:r>
            <w:r>
              <w:rPr>
                <w:noProof/>
                <w:webHidden/>
              </w:rPr>
              <w:fldChar w:fldCharType="separate"/>
            </w:r>
            <w:r w:rsidR="00C31BFF">
              <w:rPr>
                <w:noProof/>
                <w:webHidden/>
              </w:rPr>
              <w:t>4</w:t>
            </w:r>
            <w:r>
              <w:rPr>
                <w:noProof/>
                <w:webHidden/>
              </w:rPr>
              <w:fldChar w:fldCharType="end"/>
            </w:r>
          </w:hyperlink>
        </w:p>
        <w:p w:rsidR="00C31BFF" w:rsidRDefault="008A4754">
          <w:pPr>
            <w:pStyle w:val="TOC3"/>
            <w:rPr>
              <w:rFonts w:asciiTheme="minorHAnsi" w:eastAsiaTheme="minorEastAsia" w:hAnsiTheme="minorHAnsi" w:cstheme="minorBidi"/>
              <w:noProof/>
              <w:lang w:eastAsia="en-AU"/>
            </w:rPr>
          </w:pPr>
          <w:hyperlink w:anchor="_Toc356206742" w:history="1">
            <w:r w:rsidR="00C31BFF" w:rsidRPr="00CD715B">
              <w:rPr>
                <w:rStyle w:val="Hyperlink"/>
                <w:noProof/>
              </w:rPr>
              <w:t>Product background</w:t>
            </w:r>
            <w:r w:rsidR="00C31BFF">
              <w:rPr>
                <w:noProof/>
                <w:webHidden/>
              </w:rPr>
              <w:tab/>
            </w:r>
            <w:r>
              <w:rPr>
                <w:noProof/>
                <w:webHidden/>
              </w:rPr>
              <w:fldChar w:fldCharType="begin"/>
            </w:r>
            <w:r w:rsidR="00C31BFF">
              <w:rPr>
                <w:noProof/>
                <w:webHidden/>
              </w:rPr>
              <w:instrText xml:space="preserve"> PAGEREF _Toc356206742 \h </w:instrText>
            </w:r>
            <w:r>
              <w:rPr>
                <w:noProof/>
                <w:webHidden/>
              </w:rPr>
            </w:r>
            <w:r>
              <w:rPr>
                <w:noProof/>
                <w:webHidden/>
              </w:rPr>
              <w:fldChar w:fldCharType="separate"/>
            </w:r>
            <w:r w:rsidR="00C31BFF">
              <w:rPr>
                <w:noProof/>
                <w:webHidden/>
              </w:rPr>
              <w:t>4</w:t>
            </w:r>
            <w:r>
              <w:rPr>
                <w:noProof/>
                <w:webHidden/>
              </w:rPr>
              <w:fldChar w:fldCharType="end"/>
            </w:r>
          </w:hyperlink>
        </w:p>
        <w:p w:rsidR="00C31BFF" w:rsidRDefault="008A4754">
          <w:pPr>
            <w:pStyle w:val="TOC3"/>
            <w:rPr>
              <w:rFonts w:asciiTheme="minorHAnsi" w:eastAsiaTheme="minorEastAsia" w:hAnsiTheme="minorHAnsi" w:cstheme="minorBidi"/>
              <w:noProof/>
              <w:lang w:eastAsia="en-AU"/>
            </w:rPr>
          </w:pPr>
          <w:hyperlink w:anchor="_Toc356206743" w:history="1">
            <w:r w:rsidR="00C31BFF" w:rsidRPr="00CD715B">
              <w:rPr>
                <w:rStyle w:val="Hyperlink"/>
                <w:noProof/>
              </w:rPr>
              <w:t>Regulatory status</w:t>
            </w:r>
            <w:r w:rsidR="00C31BFF">
              <w:rPr>
                <w:noProof/>
                <w:webHidden/>
              </w:rPr>
              <w:tab/>
            </w:r>
            <w:r>
              <w:rPr>
                <w:noProof/>
                <w:webHidden/>
              </w:rPr>
              <w:fldChar w:fldCharType="begin"/>
            </w:r>
            <w:r w:rsidR="00C31BFF">
              <w:rPr>
                <w:noProof/>
                <w:webHidden/>
              </w:rPr>
              <w:instrText xml:space="preserve"> PAGEREF _Toc356206743 \h </w:instrText>
            </w:r>
            <w:r>
              <w:rPr>
                <w:noProof/>
                <w:webHidden/>
              </w:rPr>
            </w:r>
            <w:r>
              <w:rPr>
                <w:noProof/>
                <w:webHidden/>
              </w:rPr>
              <w:fldChar w:fldCharType="separate"/>
            </w:r>
            <w:r w:rsidR="00C31BFF">
              <w:rPr>
                <w:noProof/>
                <w:webHidden/>
              </w:rPr>
              <w:t>5</w:t>
            </w:r>
            <w:r>
              <w:rPr>
                <w:noProof/>
                <w:webHidden/>
              </w:rPr>
              <w:fldChar w:fldCharType="end"/>
            </w:r>
          </w:hyperlink>
        </w:p>
        <w:p w:rsidR="00C31BFF" w:rsidRDefault="008A4754">
          <w:pPr>
            <w:pStyle w:val="TOC3"/>
            <w:rPr>
              <w:rFonts w:asciiTheme="minorHAnsi" w:eastAsiaTheme="minorEastAsia" w:hAnsiTheme="minorHAnsi" w:cstheme="minorBidi"/>
              <w:noProof/>
              <w:lang w:eastAsia="en-AU"/>
            </w:rPr>
          </w:pPr>
          <w:hyperlink w:anchor="_Toc356206744" w:history="1">
            <w:r w:rsidR="00C31BFF" w:rsidRPr="00CD715B">
              <w:rPr>
                <w:rStyle w:val="Hyperlink"/>
                <w:noProof/>
              </w:rPr>
              <w:t>Product Information</w:t>
            </w:r>
            <w:r w:rsidR="00C31BFF">
              <w:rPr>
                <w:noProof/>
                <w:webHidden/>
              </w:rPr>
              <w:tab/>
            </w:r>
            <w:r>
              <w:rPr>
                <w:noProof/>
                <w:webHidden/>
              </w:rPr>
              <w:fldChar w:fldCharType="begin"/>
            </w:r>
            <w:r w:rsidR="00C31BFF">
              <w:rPr>
                <w:noProof/>
                <w:webHidden/>
              </w:rPr>
              <w:instrText xml:space="preserve"> PAGEREF _Toc356206744 \h </w:instrText>
            </w:r>
            <w:r>
              <w:rPr>
                <w:noProof/>
                <w:webHidden/>
              </w:rPr>
            </w:r>
            <w:r>
              <w:rPr>
                <w:noProof/>
                <w:webHidden/>
              </w:rPr>
              <w:fldChar w:fldCharType="separate"/>
            </w:r>
            <w:r w:rsidR="00C31BFF">
              <w:rPr>
                <w:noProof/>
                <w:webHidden/>
              </w:rPr>
              <w:t>5</w:t>
            </w:r>
            <w:r>
              <w:rPr>
                <w:noProof/>
                <w:webHidden/>
              </w:rPr>
              <w:fldChar w:fldCharType="end"/>
            </w:r>
          </w:hyperlink>
        </w:p>
        <w:p w:rsidR="00C31BFF" w:rsidRDefault="008A4754">
          <w:pPr>
            <w:pStyle w:val="TOC2"/>
            <w:rPr>
              <w:rFonts w:asciiTheme="minorHAnsi" w:eastAsiaTheme="minorEastAsia" w:hAnsiTheme="minorHAnsi" w:cstheme="minorBidi"/>
              <w:b w:val="0"/>
              <w:noProof/>
              <w:sz w:val="22"/>
              <w:lang w:eastAsia="en-AU"/>
            </w:rPr>
          </w:pPr>
          <w:hyperlink w:anchor="_Toc356206745" w:history="1">
            <w:r w:rsidR="00C31BFF" w:rsidRPr="00CD715B">
              <w:rPr>
                <w:rStyle w:val="Hyperlink"/>
                <w:noProof/>
              </w:rPr>
              <w:t>II. Quality findings</w:t>
            </w:r>
            <w:r w:rsidR="00C31BFF">
              <w:rPr>
                <w:noProof/>
                <w:webHidden/>
              </w:rPr>
              <w:tab/>
            </w:r>
            <w:r>
              <w:rPr>
                <w:noProof/>
                <w:webHidden/>
              </w:rPr>
              <w:fldChar w:fldCharType="begin"/>
            </w:r>
            <w:r w:rsidR="00C31BFF">
              <w:rPr>
                <w:noProof/>
                <w:webHidden/>
              </w:rPr>
              <w:instrText xml:space="preserve"> PAGEREF _Toc356206745 \h </w:instrText>
            </w:r>
            <w:r>
              <w:rPr>
                <w:noProof/>
                <w:webHidden/>
              </w:rPr>
            </w:r>
            <w:r>
              <w:rPr>
                <w:noProof/>
                <w:webHidden/>
              </w:rPr>
              <w:fldChar w:fldCharType="separate"/>
            </w:r>
            <w:r w:rsidR="00C31BFF">
              <w:rPr>
                <w:noProof/>
                <w:webHidden/>
              </w:rPr>
              <w:t>5</w:t>
            </w:r>
            <w:r>
              <w:rPr>
                <w:noProof/>
                <w:webHidden/>
              </w:rPr>
              <w:fldChar w:fldCharType="end"/>
            </w:r>
          </w:hyperlink>
        </w:p>
        <w:p w:rsidR="00C31BFF" w:rsidRDefault="008A4754">
          <w:pPr>
            <w:pStyle w:val="TOC2"/>
            <w:rPr>
              <w:rFonts w:asciiTheme="minorHAnsi" w:eastAsiaTheme="minorEastAsia" w:hAnsiTheme="minorHAnsi" w:cstheme="minorBidi"/>
              <w:b w:val="0"/>
              <w:noProof/>
              <w:sz w:val="22"/>
              <w:lang w:eastAsia="en-AU"/>
            </w:rPr>
          </w:pPr>
          <w:hyperlink w:anchor="_Toc356206746" w:history="1">
            <w:r w:rsidR="00C31BFF" w:rsidRPr="00CD715B">
              <w:rPr>
                <w:rStyle w:val="Hyperlink"/>
                <w:noProof/>
              </w:rPr>
              <w:t>III. Nonclinical findings</w:t>
            </w:r>
            <w:r w:rsidR="00C31BFF">
              <w:rPr>
                <w:noProof/>
                <w:webHidden/>
              </w:rPr>
              <w:tab/>
            </w:r>
            <w:r>
              <w:rPr>
                <w:noProof/>
                <w:webHidden/>
              </w:rPr>
              <w:fldChar w:fldCharType="begin"/>
            </w:r>
            <w:r w:rsidR="00C31BFF">
              <w:rPr>
                <w:noProof/>
                <w:webHidden/>
              </w:rPr>
              <w:instrText xml:space="preserve"> PAGEREF _Toc356206746 \h </w:instrText>
            </w:r>
            <w:r>
              <w:rPr>
                <w:noProof/>
                <w:webHidden/>
              </w:rPr>
            </w:r>
            <w:r>
              <w:rPr>
                <w:noProof/>
                <w:webHidden/>
              </w:rPr>
              <w:fldChar w:fldCharType="separate"/>
            </w:r>
            <w:r w:rsidR="00C31BFF">
              <w:rPr>
                <w:noProof/>
                <w:webHidden/>
              </w:rPr>
              <w:t>5</w:t>
            </w:r>
            <w:r>
              <w:rPr>
                <w:noProof/>
                <w:webHidden/>
              </w:rPr>
              <w:fldChar w:fldCharType="end"/>
            </w:r>
          </w:hyperlink>
        </w:p>
        <w:p w:rsidR="00C31BFF" w:rsidRDefault="008A4754">
          <w:pPr>
            <w:pStyle w:val="TOC2"/>
            <w:rPr>
              <w:rFonts w:asciiTheme="minorHAnsi" w:eastAsiaTheme="minorEastAsia" w:hAnsiTheme="minorHAnsi" w:cstheme="minorBidi"/>
              <w:b w:val="0"/>
              <w:noProof/>
              <w:sz w:val="22"/>
              <w:lang w:eastAsia="en-AU"/>
            </w:rPr>
          </w:pPr>
          <w:hyperlink w:anchor="_Toc356206747" w:history="1">
            <w:r w:rsidR="00C31BFF" w:rsidRPr="00CD715B">
              <w:rPr>
                <w:rStyle w:val="Hyperlink"/>
                <w:noProof/>
              </w:rPr>
              <w:t>IV. Clinical findings</w:t>
            </w:r>
            <w:r w:rsidR="00C31BFF">
              <w:rPr>
                <w:noProof/>
                <w:webHidden/>
              </w:rPr>
              <w:tab/>
            </w:r>
            <w:r>
              <w:rPr>
                <w:noProof/>
                <w:webHidden/>
              </w:rPr>
              <w:fldChar w:fldCharType="begin"/>
            </w:r>
            <w:r w:rsidR="00C31BFF">
              <w:rPr>
                <w:noProof/>
                <w:webHidden/>
              </w:rPr>
              <w:instrText xml:space="preserve"> PAGEREF _Toc356206747 \h </w:instrText>
            </w:r>
            <w:r>
              <w:rPr>
                <w:noProof/>
                <w:webHidden/>
              </w:rPr>
            </w:r>
            <w:r>
              <w:rPr>
                <w:noProof/>
                <w:webHidden/>
              </w:rPr>
              <w:fldChar w:fldCharType="separate"/>
            </w:r>
            <w:r w:rsidR="00C31BFF">
              <w:rPr>
                <w:noProof/>
                <w:webHidden/>
              </w:rPr>
              <w:t>5</w:t>
            </w:r>
            <w:r>
              <w:rPr>
                <w:noProof/>
                <w:webHidden/>
              </w:rPr>
              <w:fldChar w:fldCharType="end"/>
            </w:r>
          </w:hyperlink>
        </w:p>
        <w:p w:rsidR="00C31BFF" w:rsidRDefault="008A4754">
          <w:pPr>
            <w:pStyle w:val="TOC3"/>
            <w:rPr>
              <w:rFonts w:asciiTheme="minorHAnsi" w:eastAsiaTheme="minorEastAsia" w:hAnsiTheme="minorHAnsi" w:cstheme="minorBidi"/>
              <w:noProof/>
              <w:lang w:eastAsia="en-AU"/>
            </w:rPr>
          </w:pPr>
          <w:hyperlink w:anchor="_Toc356206748" w:history="1">
            <w:r w:rsidR="00C31BFF" w:rsidRPr="00CD715B">
              <w:rPr>
                <w:rStyle w:val="Hyperlink"/>
                <w:noProof/>
              </w:rPr>
              <w:t>Introduction</w:t>
            </w:r>
            <w:r w:rsidR="00C31BFF">
              <w:rPr>
                <w:noProof/>
                <w:webHidden/>
              </w:rPr>
              <w:tab/>
            </w:r>
            <w:r>
              <w:rPr>
                <w:noProof/>
                <w:webHidden/>
              </w:rPr>
              <w:fldChar w:fldCharType="begin"/>
            </w:r>
            <w:r w:rsidR="00C31BFF">
              <w:rPr>
                <w:noProof/>
                <w:webHidden/>
              </w:rPr>
              <w:instrText xml:space="preserve"> PAGEREF _Toc356206748 \h </w:instrText>
            </w:r>
            <w:r>
              <w:rPr>
                <w:noProof/>
                <w:webHidden/>
              </w:rPr>
            </w:r>
            <w:r>
              <w:rPr>
                <w:noProof/>
                <w:webHidden/>
              </w:rPr>
              <w:fldChar w:fldCharType="separate"/>
            </w:r>
            <w:r w:rsidR="00C31BFF">
              <w:rPr>
                <w:noProof/>
                <w:webHidden/>
              </w:rPr>
              <w:t>5</w:t>
            </w:r>
            <w:r>
              <w:rPr>
                <w:noProof/>
                <w:webHidden/>
              </w:rPr>
              <w:fldChar w:fldCharType="end"/>
            </w:r>
          </w:hyperlink>
        </w:p>
        <w:p w:rsidR="00C31BFF" w:rsidRDefault="008A4754">
          <w:pPr>
            <w:pStyle w:val="TOC3"/>
            <w:rPr>
              <w:rFonts w:asciiTheme="minorHAnsi" w:eastAsiaTheme="minorEastAsia" w:hAnsiTheme="minorHAnsi" w:cstheme="minorBidi"/>
              <w:noProof/>
              <w:lang w:eastAsia="en-AU"/>
            </w:rPr>
          </w:pPr>
          <w:hyperlink w:anchor="_Toc356206749" w:history="1">
            <w:r w:rsidR="00C31BFF" w:rsidRPr="00CD715B">
              <w:rPr>
                <w:rStyle w:val="Hyperlink"/>
                <w:noProof/>
              </w:rPr>
              <w:t>Pharmacokinetics</w:t>
            </w:r>
            <w:r w:rsidR="00C31BFF">
              <w:rPr>
                <w:noProof/>
                <w:webHidden/>
              </w:rPr>
              <w:tab/>
            </w:r>
            <w:r>
              <w:rPr>
                <w:noProof/>
                <w:webHidden/>
              </w:rPr>
              <w:fldChar w:fldCharType="begin"/>
            </w:r>
            <w:r w:rsidR="00C31BFF">
              <w:rPr>
                <w:noProof/>
                <w:webHidden/>
              </w:rPr>
              <w:instrText xml:space="preserve"> PAGEREF _Toc356206749 \h </w:instrText>
            </w:r>
            <w:r>
              <w:rPr>
                <w:noProof/>
                <w:webHidden/>
              </w:rPr>
            </w:r>
            <w:r>
              <w:rPr>
                <w:noProof/>
                <w:webHidden/>
              </w:rPr>
              <w:fldChar w:fldCharType="separate"/>
            </w:r>
            <w:r w:rsidR="00C31BFF">
              <w:rPr>
                <w:noProof/>
                <w:webHidden/>
              </w:rPr>
              <w:t>6</w:t>
            </w:r>
            <w:r>
              <w:rPr>
                <w:noProof/>
                <w:webHidden/>
              </w:rPr>
              <w:fldChar w:fldCharType="end"/>
            </w:r>
          </w:hyperlink>
        </w:p>
        <w:p w:rsidR="00C31BFF" w:rsidRDefault="008A4754">
          <w:pPr>
            <w:pStyle w:val="TOC3"/>
            <w:rPr>
              <w:rFonts w:asciiTheme="minorHAnsi" w:eastAsiaTheme="minorEastAsia" w:hAnsiTheme="minorHAnsi" w:cstheme="minorBidi"/>
              <w:noProof/>
              <w:lang w:eastAsia="en-AU"/>
            </w:rPr>
          </w:pPr>
          <w:hyperlink w:anchor="_Toc356206750" w:history="1">
            <w:r w:rsidR="00C31BFF" w:rsidRPr="00CD715B">
              <w:rPr>
                <w:rStyle w:val="Hyperlink"/>
                <w:noProof/>
              </w:rPr>
              <w:t>Pharmacodynamics</w:t>
            </w:r>
            <w:r w:rsidR="00C31BFF">
              <w:rPr>
                <w:noProof/>
                <w:webHidden/>
              </w:rPr>
              <w:tab/>
            </w:r>
            <w:r>
              <w:rPr>
                <w:noProof/>
                <w:webHidden/>
              </w:rPr>
              <w:fldChar w:fldCharType="begin"/>
            </w:r>
            <w:r w:rsidR="00C31BFF">
              <w:rPr>
                <w:noProof/>
                <w:webHidden/>
              </w:rPr>
              <w:instrText xml:space="preserve"> PAGEREF _Toc356206750 \h </w:instrText>
            </w:r>
            <w:r>
              <w:rPr>
                <w:noProof/>
                <w:webHidden/>
              </w:rPr>
            </w:r>
            <w:r>
              <w:rPr>
                <w:noProof/>
                <w:webHidden/>
              </w:rPr>
              <w:fldChar w:fldCharType="separate"/>
            </w:r>
            <w:r w:rsidR="00C31BFF">
              <w:rPr>
                <w:noProof/>
                <w:webHidden/>
              </w:rPr>
              <w:t>6</w:t>
            </w:r>
            <w:r>
              <w:rPr>
                <w:noProof/>
                <w:webHidden/>
              </w:rPr>
              <w:fldChar w:fldCharType="end"/>
            </w:r>
          </w:hyperlink>
        </w:p>
        <w:p w:rsidR="00C31BFF" w:rsidRDefault="008A4754">
          <w:pPr>
            <w:pStyle w:val="TOC3"/>
            <w:rPr>
              <w:rFonts w:asciiTheme="minorHAnsi" w:eastAsiaTheme="minorEastAsia" w:hAnsiTheme="minorHAnsi" w:cstheme="minorBidi"/>
              <w:noProof/>
              <w:lang w:eastAsia="en-AU"/>
            </w:rPr>
          </w:pPr>
          <w:hyperlink w:anchor="_Toc356206751" w:history="1">
            <w:r w:rsidR="00C31BFF" w:rsidRPr="00CD715B">
              <w:rPr>
                <w:rStyle w:val="Hyperlink"/>
                <w:noProof/>
              </w:rPr>
              <w:t>Efficacy</w:t>
            </w:r>
            <w:r w:rsidR="00C31BFF">
              <w:rPr>
                <w:noProof/>
                <w:webHidden/>
              </w:rPr>
              <w:tab/>
            </w:r>
            <w:r>
              <w:rPr>
                <w:noProof/>
                <w:webHidden/>
              </w:rPr>
              <w:fldChar w:fldCharType="begin"/>
            </w:r>
            <w:r w:rsidR="00C31BFF">
              <w:rPr>
                <w:noProof/>
                <w:webHidden/>
              </w:rPr>
              <w:instrText xml:space="preserve"> PAGEREF _Toc356206751 \h </w:instrText>
            </w:r>
            <w:r>
              <w:rPr>
                <w:noProof/>
                <w:webHidden/>
              </w:rPr>
            </w:r>
            <w:r>
              <w:rPr>
                <w:noProof/>
                <w:webHidden/>
              </w:rPr>
              <w:fldChar w:fldCharType="separate"/>
            </w:r>
            <w:r w:rsidR="00C31BFF">
              <w:rPr>
                <w:noProof/>
                <w:webHidden/>
              </w:rPr>
              <w:t>6</w:t>
            </w:r>
            <w:r>
              <w:rPr>
                <w:noProof/>
                <w:webHidden/>
              </w:rPr>
              <w:fldChar w:fldCharType="end"/>
            </w:r>
          </w:hyperlink>
        </w:p>
        <w:p w:rsidR="00C31BFF" w:rsidRDefault="008A4754">
          <w:pPr>
            <w:pStyle w:val="TOC3"/>
            <w:rPr>
              <w:rFonts w:asciiTheme="minorHAnsi" w:eastAsiaTheme="minorEastAsia" w:hAnsiTheme="minorHAnsi" w:cstheme="minorBidi"/>
              <w:noProof/>
              <w:lang w:eastAsia="en-AU"/>
            </w:rPr>
          </w:pPr>
          <w:hyperlink w:anchor="_Toc356206752" w:history="1">
            <w:r w:rsidR="00C31BFF" w:rsidRPr="00CD715B">
              <w:rPr>
                <w:rStyle w:val="Hyperlink"/>
                <w:noProof/>
              </w:rPr>
              <w:t>Safety</w:t>
            </w:r>
            <w:r w:rsidR="00C31BFF">
              <w:rPr>
                <w:noProof/>
                <w:webHidden/>
              </w:rPr>
              <w:tab/>
            </w:r>
            <w:r>
              <w:rPr>
                <w:noProof/>
                <w:webHidden/>
              </w:rPr>
              <w:fldChar w:fldCharType="begin"/>
            </w:r>
            <w:r w:rsidR="00C31BFF">
              <w:rPr>
                <w:noProof/>
                <w:webHidden/>
              </w:rPr>
              <w:instrText xml:space="preserve"> PAGEREF _Toc356206752 \h </w:instrText>
            </w:r>
            <w:r>
              <w:rPr>
                <w:noProof/>
                <w:webHidden/>
              </w:rPr>
            </w:r>
            <w:r>
              <w:rPr>
                <w:noProof/>
                <w:webHidden/>
              </w:rPr>
              <w:fldChar w:fldCharType="separate"/>
            </w:r>
            <w:r w:rsidR="00C31BFF">
              <w:rPr>
                <w:noProof/>
                <w:webHidden/>
              </w:rPr>
              <w:t>7</w:t>
            </w:r>
            <w:r>
              <w:rPr>
                <w:noProof/>
                <w:webHidden/>
              </w:rPr>
              <w:fldChar w:fldCharType="end"/>
            </w:r>
          </w:hyperlink>
        </w:p>
        <w:p w:rsidR="00C31BFF" w:rsidRDefault="008A4754">
          <w:pPr>
            <w:pStyle w:val="TOC3"/>
            <w:rPr>
              <w:rFonts w:asciiTheme="minorHAnsi" w:eastAsiaTheme="minorEastAsia" w:hAnsiTheme="minorHAnsi" w:cstheme="minorBidi"/>
              <w:noProof/>
              <w:lang w:eastAsia="en-AU"/>
            </w:rPr>
          </w:pPr>
          <w:hyperlink w:anchor="_Toc356206753" w:history="1">
            <w:r w:rsidR="00C31BFF" w:rsidRPr="00CD715B">
              <w:rPr>
                <w:rStyle w:val="Hyperlink"/>
                <w:noProof/>
              </w:rPr>
              <w:t>List of questions</w:t>
            </w:r>
            <w:r w:rsidR="00C31BFF">
              <w:rPr>
                <w:noProof/>
                <w:webHidden/>
              </w:rPr>
              <w:tab/>
            </w:r>
            <w:r>
              <w:rPr>
                <w:noProof/>
                <w:webHidden/>
              </w:rPr>
              <w:fldChar w:fldCharType="begin"/>
            </w:r>
            <w:r w:rsidR="00C31BFF">
              <w:rPr>
                <w:noProof/>
                <w:webHidden/>
              </w:rPr>
              <w:instrText xml:space="preserve"> PAGEREF _Toc356206753 \h </w:instrText>
            </w:r>
            <w:r>
              <w:rPr>
                <w:noProof/>
                <w:webHidden/>
              </w:rPr>
            </w:r>
            <w:r>
              <w:rPr>
                <w:noProof/>
                <w:webHidden/>
              </w:rPr>
              <w:fldChar w:fldCharType="separate"/>
            </w:r>
            <w:r w:rsidR="00C31BFF">
              <w:rPr>
                <w:noProof/>
                <w:webHidden/>
              </w:rPr>
              <w:t>8</w:t>
            </w:r>
            <w:r>
              <w:rPr>
                <w:noProof/>
                <w:webHidden/>
              </w:rPr>
              <w:fldChar w:fldCharType="end"/>
            </w:r>
          </w:hyperlink>
        </w:p>
        <w:p w:rsidR="00C31BFF" w:rsidRDefault="008A4754">
          <w:pPr>
            <w:pStyle w:val="TOC3"/>
            <w:rPr>
              <w:rFonts w:asciiTheme="minorHAnsi" w:eastAsiaTheme="minorEastAsia" w:hAnsiTheme="minorHAnsi" w:cstheme="minorBidi"/>
              <w:noProof/>
              <w:lang w:eastAsia="en-AU"/>
            </w:rPr>
          </w:pPr>
          <w:hyperlink w:anchor="_Toc356206754" w:history="1">
            <w:r w:rsidR="00C31BFF" w:rsidRPr="00CD715B">
              <w:rPr>
                <w:rStyle w:val="Hyperlink"/>
                <w:noProof/>
              </w:rPr>
              <w:t>Clinical summary and conclusions</w:t>
            </w:r>
            <w:r w:rsidR="00C31BFF">
              <w:rPr>
                <w:noProof/>
                <w:webHidden/>
              </w:rPr>
              <w:tab/>
            </w:r>
            <w:r>
              <w:rPr>
                <w:noProof/>
                <w:webHidden/>
              </w:rPr>
              <w:fldChar w:fldCharType="begin"/>
            </w:r>
            <w:r w:rsidR="00C31BFF">
              <w:rPr>
                <w:noProof/>
                <w:webHidden/>
              </w:rPr>
              <w:instrText xml:space="preserve"> PAGEREF _Toc356206754 \h </w:instrText>
            </w:r>
            <w:r>
              <w:rPr>
                <w:noProof/>
                <w:webHidden/>
              </w:rPr>
            </w:r>
            <w:r>
              <w:rPr>
                <w:noProof/>
                <w:webHidden/>
              </w:rPr>
              <w:fldChar w:fldCharType="separate"/>
            </w:r>
            <w:r w:rsidR="00C31BFF">
              <w:rPr>
                <w:noProof/>
                <w:webHidden/>
              </w:rPr>
              <w:t>9</w:t>
            </w:r>
            <w:r>
              <w:rPr>
                <w:noProof/>
                <w:webHidden/>
              </w:rPr>
              <w:fldChar w:fldCharType="end"/>
            </w:r>
          </w:hyperlink>
        </w:p>
        <w:p w:rsidR="00C31BFF" w:rsidRDefault="008A4754">
          <w:pPr>
            <w:pStyle w:val="TOC2"/>
            <w:rPr>
              <w:rFonts w:asciiTheme="minorHAnsi" w:eastAsiaTheme="minorEastAsia" w:hAnsiTheme="minorHAnsi" w:cstheme="minorBidi"/>
              <w:b w:val="0"/>
              <w:noProof/>
              <w:sz w:val="22"/>
              <w:lang w:eastAsia="en-AU"/>
            </w:rPr>
          </w:pPr>
          <w:hyperlink w:anchor="_Toc356206755" w:history="1">
            <w:r w:rsidR="00C31BFF" w:rsidRPr="00CD715B">
              <w:rPr>
                <w:rStyle w:val="Hyperlink"/>
                <w:noProof/>
              </w:rPr>
              <w:t>V. Pharmacovigilance findings</w:t>
            </w:r>
            <w:r w:rsidR="00C31BFF">
              <w:rPr>
                <w:noProof/>
                <w:webHidden/>
              </w:rPr>
              <w:tab/>
            </w:r>
            <w:r>
              <w:rPr>
                <w:noProof/>
                <w:webHidden/>
              </w:rPr>
              <w:fldChar w:fldCharType="begin"/>
            </w:r>
            <w:r w:rsidR="00C31BFF">
              <w:rPr>
                <w:noProof/>
                <w:webHidden/>
              </w:rPr>
              <w:instrText xml:space="preserve"> PAGEREF _Toc356206755 \h </w:instrText>
            </w:r>
            <w:r>
              <w:rPr>
                <w:noProof/>
                <w:webHidden/>
              </w:rPr>
            </w:r>
            <w:r>
              <w:rPr>
                <w:noProof/>
                <w:webHidden/>
              </w:rPr>
              <w:fldChar w:fldCharType="separate"/>
            </w:r>
            <w:r w:rsidR="00C31BFF">
              <w:rPr>
                <w:noProof/>
                <w:webHidden/>
              </w:rPr>
              <w:t>10</w:t>
            </w:r>
            <w:r>
              <w:rPr>
                <w:noProof/>
                <w:webHidden/>
              </w:rPr>
              <w:fldChar w:fldCharType="end"/>
            </w:r>
          </w:hyperlink>
        </w:p>
        <w:p w:rsidR="00C31BFF" w:rsidRDefault="008A4754">
          <w:pPr>
            <w:pStyle w:val="TOC3"/>
            <w:rPr>
              <w:rFonts w:asciiTheme="minorHAnsi" w:eastAsiaTheme="minorEastAsia" w:hAnsiTheme="minorHAnsi" w:cstheme="minorBidi"/>
              <w:noProof/>
              <w:lang w:eastAsia="en-AU"/>
            </w:rPr>
          </w:pPr>
          <w:hyperlink w:anchor="_Toc356206756" w:history="1">
            <w:r w:rsidR="00C31BFF" w:rsidRPr="00CD715B">
              <w:rPr>
                <w:rStyle w:val="Hyperlink"/>
                <w:noProof/>
                <w:lang w:eastAsia="en-AU"/>
              </w:rPr>
              <w:t xml:space="preserve">Risk </w:t>
            </w:r>
            <w:r w:rsidR="00C31BFF" w:rsidRPr="00CD715B">
              <w:rPr>
                <w:rStyle w:val="Hyperlink"/>
                <w:noProof/>
              </w:rPr>
              <w:t>management</w:t>
            </w:r>
            <w:r w:rsidR="00C31BFF" w:rsidRPr="00CD715B">
              <w:rPr>
                <w:rStyle w:val="Hyperlink"/>
                <w:noProof/>
                <w:lang w:eastAsia="en-AU"/>
              </w:rPr>
              <w:t xml:space="preserve"> plan</w:t>
            </w:r>
            <w:r w:rsidR="00C31BFF">
              <w:rPr>
                <w:noProof/>
                <w:webHidden/>
              </w:rPr>
              <w:tab/>
            </w:r>
            <w:r>
              <w:rPr>
                <w:noProof/>
                <w:webHidden/>
              </w:rPr>
              <w:fldChar w:fldCharType="begin"/>
            </w:r>
            <w:r w:rsidR="00C31BFF">
              <w:rPr>
                <w:noProof/>
                <w:webHidden/>
              </w:rPr>
              <w:instrText xml:space="preserve"> PAGEREF _Toc356206756 \h </w:instrText>
            </w:r>
            <w:r>
              <w:rPr>
                <w:noProof/>
                <w:webHidden/>
              </w:rPr>
            </w:r>
            <w:r>
              <w:rPr>
                <w:noProof/>
                <w:webHidden/>
              </w:rPr>
              <w:fldChar w:fldCharType="separate"/>
            </w:r>
            <w:r w:rsidR="00C31BFF">
              <w:rPr>
                <w:noProof/>
                <w:webHidden/>
              </w:rPr>
              <w:t>10</w:t>
            </w:r>
            <w:r>
              <w:rPr>
                <w:noProof/>
                <w:webHidden/>
              </w:rPr>
              <w:fldChar w:fldCharType="end"/>
            </w:r>
          </w:hyperlink>
        </w:p>
        <w:p w:rsidR="00C31BFF" w:rsidRDefault="008A4754">
          <w:pPr>
            <w:pStyle w:val="TOC2"/>
            <w:rPr>
              <w:rFonts w:asciiTheme="minorHAnsi" w:eastAsiaTheme="minorEastAsia" w:hAnsiTheme="minorHAnsi" w:cstheme="minorBidi"/>
              <w:b w:val="0"/>
              <w:noProof/>
              <w:sz w:val="22"/>
              <w:lang w:eastAsia="en-AU"/>
            </w:rPr>
          </w:pPr>
          <w:hyperlink w:anchor="_Toc356206757" w:history="1">
            <w:r w:rsidR="00C31BFF" w:rsidRPr="00CD715B">
              <w:rPr>
                <w:rStyle w:val="Hyperlink"/>
                <w:noProof/>
              </w:rPr>
              <w:t>VI. Overall conclusion and risk/benefit assessment</w:t>
            </w:r>
            <w:r w:rsidR="00C31BFF">
              <w:rPr>
                <w:noProof/>
                <w:webHidden/>
              </w:rPr>
              <w:tab/>
            </w:r>
            <w:r>
              <w:rPr>
                <w:noProof/>
                <w:webHidden/>
              </w:rPr>
              <w:fldChar w:fldCharType="begin"/>
            </w:r>
            <w:r w:rsidR="00C31BFF">
              <w:rPr>
                <w:noProof/>
                <w:webHidden/>
              </w:rPr>
              <w:instrText xml:space="preserve"> PAGEREF _Toc356206757 \h </w:instrText>
            </w:r>
            <w:r>
              <w:rPr>
                <w:noProof/>
                <w:webHidden/>
              </w:rPr>
            </w:r>
            <w:r>
              <w:rPr>
                <w:noProof/>
                <w:webHidden/>
              </w:rPr>
              <w:fldChar w:fldCharType="separate"/>
            </w:r>
            <w:r w:rsidR="00C31BFF">
              <w:rPr>
                <w:noProof/>
                <w:webHidden/>
              </w:rPr>
              <w:t>12</w:t>
            </w:r>
            <w:r>
              <w:rPr>
                <w:noProof/>
                <w:webHidden/>
              </w:rPr>
              <w:fldChar w:fldCharType="end"/>
            </w:r>
          </w:hyperlink>
        </w:p>
        <w:p w:rsidR="00C31BFF" w:rsidRDefault="008A4754">
          <w:pPr>
            <w:pStyle w:val="TOC3"/>
            <w:rPr>
              <w:rFonts w:asciiTheme="minorHAnsi" w:eastAsiaTheme="minorEastAsia" w:hAnsiTheme="minorHAnsi" w:cstheme="minorBidi"/>
              <w:noProof/>
              <w:lang w:eastAsia="en-AU"/>
            </w:rPr>
          </w:pPr>
          <w:hyperlink w:anchor="_Toc356206758" w:history="1">
            <w:r w:rsidR="00C31BFF" w:rsidRPr="00CD715B">
              <w:rPr>
                <w:rStyle w:val="Hyperlink"/>
                <w:noProof/>
              </w:rPr>
              <w:t>Quality</w:t>
            </w:r>
            <w:r w:rsidR="00C31BFF">
              <w:rPr>
                <w:noProof/>
                <w:webHidden/>
              </w:rPr>
              <w:tab/>
            </w:r>
            <w:r>
              <w:rPr>
                <w:noProof/>
                <w:webHidden/>
              </w:rPr>
              <w:fldChar w:fldCharType="begin"/>
            </w:r>
            <w:r w:rsidR="00C31BFF">
              <w:rPr>
                <w:noProof/>
                <w:webHidden/>
              </w:rPr>
              <w:instrText xml:space="preserve"> PAGEREF _Toc356206758 \h </w:instrText>
            </w:r>
            <w:r>
              <w:rPr>
                <w:noProof/>
                <w:webHidden/>
              </w:rPr>
            </w:r>
            <w:r>
              <w:rPr>
                <w:noProof/>
                <w:webHidden/>
              </w:rPr>
              <w:fldChar w:fldCharType="separate"/>
            </w:r>
            <w:r w:rsidR="00C31BFF">
              <w:rPr>
                <w:noProof/>
                <w:webHidden/>
              </w:rPr>
              <w:t>13</w:t>
            </w:r>
            <w:r>
              <w:rPr>
                <w:noProof/>
                <w:webHidden/>
              </w:rPr>
              <w:fldChar w:fldCharType="end"/>
            </w:r>
          </w:hyperlink>
        </w:p>
        <w:p w:rsidR="00C31BFF" w:rsidRDefault="008A4754">
          <w:pPr>
            <w:pStyle w:val="TOC3"/>
            <w:rPr>
              <w:rFonts w:asciiTheme="minorHAnsi" w:eastAsiaTheme="minorEastAsia" w:hAnsiTheme="minorHAnsi" w:cstheme="minorBidi"/>
              <w:noProof/>
              <w:lang w:eastAsia="en-AU"/>
            </w:rPr>
          </w:pPr>
          <w:hyperlink w:anchor="_Toc356206759" w:history="1">
            <w:r w:rsidR="00C31BFF" w:rsidRPr="00CD715B">
              <w:rPr>
                <w:rStyle w:val="Hyperlink"/>
                <w:noProof/>
              </w:rPr>
              <w:t>Nonclinical</w:t>
            </w:r>
            <w:r w:rsidR="00C31BFF">
              <w:rPr>
                <w:noProof/>
                <w:webHidden/>
              </w:rPr>
              <w:tab/>
            </w:r>
            <w:r>
              <w:rPr>
                <w:noProof/>
                <w:webHidden/>
              </w:rPr>
              <w:fldChar w:fldCharType="begin"/>
            </w:r>
            <w:r w:rsidR="00C31BFF">
              <w:rPr>
                <w:noProof/>
                <w:webHidden/>
              </w:rPr>
              <w:instrText xml:space="preserve"> PAGEREF _Toc356206759 \h </w:instrText>
            </w:r>
            <w:r>
              <w:rPr>
                <w:noProof/>
                <w:webHidden/>
              </w:rPr>
            </w:r>
            <w:r>
              <w:rPr>
                <w:noProof/>
                <w:webHidden/>
              </w:rPr>
              <w:fldChar w:fldCharType="separate"/>
            </w:r>
            <w:r w:rsidR="00C31BFF">
              <w:rPr>
                <w:noProof/>
                <w:webHidden/>
              </w:rPr>
              <w:t>13</w:t>
            </w:r>
            <w:r>
              <w:rPr>
                <w:noProof/>
                <w:webHidden/>
              </w:rPr>
              <w:fldChar w:fldCharType="end"/>
            </w:r>
          </w:hyperlink>
        </w:p>
        <w:p w:rsidR="00C31BFF" w:rsidRDefault="008A4754">
          <w:pPr>
            <w:pStyle w:val="TOC3"/>
            <w:rPr>
              <w:rFonts w:asciiTheme="minorHAnsi" w:eastAsiaTheme="minorEastAsia" w:hAnsiTheme="minorHAnsi" w:cstheme="minorBidi"/>
              <w:noProof/>
              <w:lang w:eastAsia="en-AU"/>
            </w:rPr>
          </w:pPr>
          <w:hyperlink w:anchor="_Toc356206760" w:history="1">
            <w:r w:rsidR="00C31BFF" w:rsidRPr="00CD715B">
              <w:rPr>
                <w:rStyle w:val="Hyperlink"/>
                <w:noProof/>
              </w:rPr>
              <w:t>Clinical</w:t>
            </w:r>
            <w:r w:rsidR="00C31BFF">
              <w:rPr>
                <w:noProof/>
                <w:webHidden/>
              </w:rPr>
              <w:tab/>
            </w:r>
            <w:r>
              <w:rPr>
                <w:noProof/>
                <w:webHidden/>
              </w:rPr>
              <w:fldChar w:fldCharType="begin"/>
            </w:r>
            <w:r w:rsidR="00C31BFF">
              <w:rPr>
                <w:noProof/>
                <w:webHidden/>
              </w:rPr>
              <w:instrText xml:space="preserve"> PAGEREF _Toc356206760 \h </w:instrText>
            </w:r>
            <w:r>
              <w:rPr>
                <w:noProof/>
                <w:webHidden/>
              </w:rPr>
            </w:r>
            <w:r>
              <w:rPr>
                <w:noProof/>
                <w:webHidden/>
              </w:rPr>
              <w:fldChar w:fldCharType="separate"/>
            </w:r>
            <w:r w:rsidR="00C31BFF">
              <w:rPr>
                <w:noProof/>
                <w:webHidden/>
              </w:rPr>
              <w:t>13</w:t>
            </w:r>
            <w:r>
              <w:rPr>
                <w:noProof/>
                <w:webHidden/>
              </w:rPr>
              <w:fldChar w:fldCharType="end"/>
            </w:r>
          </w:hyperlink>
        </w:p>
        <w:p w:rsidR="00C31BFF" w:rsidRDefault="008A4754">
          <w:pPr>
            <w:pStyle w:val="TOC3"/>
            <w:rPr>
              <w:rFonts w:asciiTheme="minorHAnsi" w:eastAsiaTheme="minorEastAsia" w:hAnsiTheme="minorHAnsi" w:cstheme="minorBidi"/>
              <w:noProof/>
              <w:lang w:eastAsia="en-AU"/>
            </w:rPr>
          </w:pPr>
          <w:hyperlink w:anchor="_Toc356206761" w:history="1">
            <w:r w:rsidR="00C31BFF" w:rsidRPr="00CD715B">
              <w:rPr>
                <w:rStyle w:val="Hyperlink"/>
                <w:noProof/>
              </w:rPr>
              <w:t>Risk-benefit analysis</w:t>
            </w:r>
            <w:r w:rsidR="00C31BFF">
              <w:rPr>
                <w:noProof/>
                <w:webHidden/>
              </w:rPr>
              <w:tab/>
            </w:r>
            <w:r>
              <w:rPr>
                <w:noProof/>
                <w:webHidden/>
              </w:rPr>
              <w:fldChar w:fldCharType="begin"/>
            </w:r>
            <w:r w:rsidR="00C31BFF">
              <w:rPr>
                <w:noProof/>
                <w:webHidden/>
              </w:rPr>
              <w:instrText xml:space="preserve"> PAGEREF _Toc356206761 \h </w:instrText>
            </w:r>
            <w:r>
              <w:rPr>
                <w:noProof/>
                <w:webHidden/>
              </w:rPr>
            </w:r>
            <w:r>
              <w:rPr>
                <w:noProof/>
                <w:webHidden/>
              </w:rPr>
              <w:fldChar w:fldCharType="separate"/>
            </w:r>
            <w:r w:rsidR="00C31BFF">
              <w:rPr>
                <w:noProof/>
                <w:webHidden/>
              </w:rPr>
              <w:t>15</w:t>
            </w:r>
            <w:r>
              <w:rPr>
                <w:noProof/>
                <w:webHidden/>
              </w:rPr>
              <w:fldChar w:fldCharType="end"/>
            </w:r>
          </w:hyperlink>
        </w:p>
        <w:p w:rsidR="00C31BFF" w:rsidRDefault="008A4754">
          <w:pPr>
            <w:pStyle w:val="TOC3"/>
            <w:rPr>
              <w:rFonts w:asciiTheme="minorHAnsi" w:eastAsiaTheme="minorEastAsia" w:hAnsiTheme="minorHAnsi" w:cstheme="minorBidi"/>
              <w:noProof/>
              <w:lang w:eastAsia="en-AU"/>
            </w:rPr>
          </w:pPr>
          <w:hyperlink w:anchor="_Toc356206762" w:history="1">
            <w:r w:rsidR="00C31BFF" w:rsidRPr="00CD715B">
              <w:rPr>
                <w:rStyle w:val="Hyperlink"/>
                <w:noProof/>
              </w:rPr>
              <w:t>Outcome</w:t>
            </w:r>
            <w:r w:rsidR="00C31BFF">
              <w:rPr>
                <w:noProof/>
                <w:webHidden/>
              </w:rPr>
              <w:tab/>
            </w:r>
            <w:r>
              <w:rPr>
                <w:noProof/>
                <w:webHidden/>
              </w:rPr>
              <w:fldChar w:fldCharType="begin"/>
            </w:r>
            <w:r w:rsidR="00C31BFF">
              <w:rPr>
                <w:noProof/>
                <w:webHidden/>
              </w:rPr>
              <w:instrText xml:space="preserve"> PAGEREF _Toc356206762 \h </w:instrText>
            </w:r>
            <w:r>
              <w:rPr>
                <w:noProof/>
                <w:webHidden/>
              </w:rPr>
            </w:r>
            <w:r>
              <w:rPr>
                <w:noProof/>
                <w:webHidden/>
              </w:rPr>
              <w:fldChar w:fldCharType="separate"/>
            </w:r>
            <w:r w:rsidR="00C31BFF">
              <w:rPr>
                <w:noProof/>
                <w:webHidden/>
              </w:rPr>
              <w:t>17</w:t>
            </w:r>
            <w:r>
              <w:rPr>
                <w:noProof/>
                <w:webHidden/>
              </w:rPr>
              <w:fldChar w:fldCharType="end"/>
            </w:r>
          </w:hyperlink>
        </w:p>
        <w:p w:rsidR="00C31BFF" w:rsidRDefault="008A4754">
          <w:pPr>
            <w:pStyle w:val="TOC2"/>
            <w:tabs>
              <w:tab w:val="left" w:pos="2448"/>
            </w:tabs>
            <w:rPr>
              <w:rFonts w:asciiTheme="minorHAnsi" w:eastAsiaTheme="minorEastAsia" w:hAnsiTheme="minorHAnsi" w:cstheme="minorBidi"/>
              <w:b w:val="0"/>
              <w:noProof/>
              <w:sz w:val="22"/>
              <w:lang w:eastAsia="en-AU"/>
            </w:rPr>
          </w:pPr>
          <w:hyperlink w:anchor="_Toc356206763" w:history="1">
            <w:r w:rsidR="00C31BFF" w:rsidRPr="00CD715B">
              <w:rPr>
                <w:rStyle w:val="Hyperlink"/>
                <w:noProof/>
              </w:rPr>
              <w:t>Attachment 1.</w:t>
            </w:r>
            <w:r w:rsidR="00C31BFF">
              <w:rPr>
                <w:rFonts w:asciiTheme="minorHAnsi" w:eastAsiaTheme="minorEastAsia" w:hAnsiTheme="minorHAnsi" w:cstheme="minorBidi"/>
                <w:b w:val="0"/>
                <w:noProof/>
                <w:sz w:val="22"/>
                <w:lang w:eastAsia="en-AU"/>
              </w:rPr>
              <w:tab/>
            </w:r>
            <w:r w:rsidR="00C31BFF" w:rsidRPr="00CD715B">
              <w:rPr>
                <w:rStyle w:val="Hyperlink"/>
                <w:noProof/>
              </w:rPr>
              <w:t>Product Information</w:t>
            </w:r>
            <w:r w:rsidR="00C31BFF">
              <w:rPr>
                <w:noProof/>
                <w:webHidden/>
              </w:rPr>
              <w:tab/>
            </w:r>
            <w:r>
              <w:rPr>
                <w:noProof/>
                <w:webHidden/>
              </w:rPr>
              <w:fldChar w:fldCharType="begin"/>
            </w:r>
            <w:r w:rsidR="00C31BFF">
              <w:rPr>
                <w:noProof/>
                <w:webHidden/>
              </w:rPr>
              <w:instrText xml:space="preserve"> PAGEREF _Toc356206763 \h </w:instrText>
            </w:r>
            <w:r>
              <w:rPr>
                <w:noProof/>
                <w:webHidden/>
              </w:rPr>
            </w:r>
            <w:r>
              <w:rPr>
                <w:noProof/>
                <w:webHidden/>
              </w:rPr>
              <w:fldChar w:fldCharType="separate"/>
            </w:r>
            <w:r w:rsidR="00C31BFF">
              <w:rPr>
                <w:noProof/>
                <w:webHidden/>
              </w:rPr>
              <w:t>18</w:t>
            </w:r>
            <w:r>
              <w:rPr>
                <w:noProof/>
                <w:webHidden/>
              </w:rPr>
              <w:fldChar w:fldCharType="end"/>
            </w:r>
          </w:hyperlink>
        </w:p>
        <w:p w:rsidR="00C31BFF" w:rsidRDefault="008A4754">
          <w:pPr>
            <w:pStyle w:val="TOC2"/>
            <w:rPr>
              <w:rFonts w:asciiTheme="minorHAnsi" w:eastAsiaTheme="minorEastAsia" w:hAnsiTheme="minorHAnsi" w:cstheme="minorBidi"/>
              <w:b w:val="0"/>
              <w:noProof/>
              <w:sz w:val="22"/>
              <w:lang w:eastAsia="en-AU"/>
            </w:rPr>
          </w:pPr>
          <w:hyperlink w:anchor="_Toc356206764" w:history="1">
            <w:r w:rsidR="00C31BFF" w:rsidRPr="00CD715B">
              <w:rPr>
                <w:rStyle w:val="Hyperlink"/>
                <w:noProof/>
                <w:lang w:eastAsia="en-AU"/>
              </w:rPr>
              <w:t>Attachment 2. Extract from the Clinical Evaluation Report</w:t>
            </w:r>
            <w:r w:rsidR="00C31BFF">
              <w:rPr>
                <w:noProof/>
                <w:webHidden/>
              </w:rPr>
              <w:tab/>
            </w:r>
            <w:r>
              <w:rPr>
                <w:noProof/>
                <w:webHidden/>
              </w:rPr>
              <w:fldChar w:fldCharType="begin"/>
            </w:r>
            <w:r w:rsidR="00C31BFF">
              <w:rPr>
                <w:noProof/>
                <w:webHidden/>
              </w:rPr>
              <w:instrText xml:space="preserve"> PAGEREF _Toc356206764 \h </w:instrText>
            </w:r>
            <w:r>
              <w:rPr>
                <w:noProof/>
                <w:webHidden/>
              </w:rPr>
            </w:r>
            <w:r>
              <w:rPr>
                <w:noProof/>
                <w:webHidden/>
              </w:rPr>
              <w:fldChar w:fldCharType="separate"/>
            </w:r>
            <w:r w:rsidR="00C31BFF">
              <w:rPr>
                <w:noProof/>
                <w:webHidden/>
              </w:rPr>
              <w:t>18</w:t>
            </w:r>
            <w:r>
              <w:rPr>
                <w:noProof/>
                <w:webHidden/>
              </w:rPr>
              <w:fldChar w:fldCharType="end"/>
            </w:r>
          </w:hyperlink>
        </w:p>
        <w:p w:rsidR="003A7F6C" w:rsidRPr="00B811C6" w:rsidRDefault="008A4754" w:rsidP="00B811C6">
          <w:pPr>
            <w:pStyle w:val="TOC2"/>
          </w:pPr>
          <w:r>
            <w:fldChar w:fldCharType="end"/>
          </w:r>
        </w:p>
      </w:sdtContent>
    </w:sdt>
    <w:bookmarkStart w:id="2" w:name="_Toc314842482" w:displacedByCustomXml="prev"/>
    <w:p w:rsidR="00A30B06" w:rsidRDefault="00A30B06">
      <w:pPr>
        <w:spacing w:before="0" w:after="200" w:line="0" w:lineRule="auto"/>
        <w:rPr>
          <w:rFonts w:ascii="Arial" w:eastAsia="Times New Roman" w:hAnsi="Arial"/>
          <w:b/>
          <w:bCs/>
          <w:sz w:val="32"/>
          <w:szCs w:val="26"/>
        </w:rPr>
      </w:pPr>
      <w:r>
        <w:br w:type="page"/>
      </w:r>
    </w:p>
    <w:p w:rsidR="008E7846" w:rsidRDefault="00F53C07" w:rsidP="00F85326">
      <w:pPr>
        <w:pStyle w:val="Heading2"/>
      </w:pPr>
      <w:bookmarkStart w:id="3" w:name="_Toc356206740"/>
      <w:r>
        <w:lastRenderedPageBreak/>
        <w:t>I.</w:t>
      </w:r>
      <w:r w:rsidR="008E7846">
        <w:t xml:space="preserve"> </w:t>
      </w:r>
      <w:r w:rsidR="008E7846" w:rsidRPr="00F85326">
        <w:t>Introduction</w:t>
      </w:r>
      <w:r w:rsidR="008E7846">
        <w:t xml:space="preserve"> to product submission</w:t>
      </w:r>
      <w:bookmarkEnd w:id="3"/>
      <w:bookmarkEnd w:id="0"/>
      <w:bookmarkEnd w:id="2"/>
    </w:p>
    <w:p w:rsidR="008E7846" w:rsidRDefault="008E7846" w:rsidP="00F85326">
      <w:pPr>
        <w:pStyle w:val="Heading3"/>
        <w:rPr>
          <w:lang w:eastAsia="en-AU"/>
        </w:rPr>
      </w:pPr>
      <w:bookmarkStart w:id="4" w:name="_Toc247691502"/>
      <w:bookmarkStart w:id="5" w:name="_Toc314842483"/>
      <w:bookmarkStart w:id="6" w:name="_Toc356206741"/>
      <w:r>
        <w:rPr>
          <w:lang w:eastAsia="en-AU"/>
        </w:rPr>
        <w:t xml:space="preserve">Submission </w:t>
      </w:r>
      <w:r w:rsidRPr="00F85326">
        <w:t>details</w:t>
      </w:r>
      <w:bookmarkEnd w:id="4"/>
      <w:bookmarkEnd w:id="5"/>
      <w:bookmarkEnd w:id="6"/>
    </w:p>
    <w:tbl>
      <w:tblPr>
        <w:tblW w:w="9497" w:type="dxa"/>
        <w:tblInd w:w="108" w:type="dxa"/>
        <w:tblLook w:val="01E0"/>
      </w:tblPr>
      <w:tblGrid>
        <w:gridCol w:w="2907"/>
        <w:gridCol w:w="6590"/>
      </w:tblGrid>
      <w:tr w:rsidR="00F85326" w:rsidRPr="00F85326" w:rsidTr="00F85326">
        <w:tc>
          <w:tcPr>
            <w:tcW w:w="2907" w:type="dxa"/>
          </w:tcPr>
          <w:p w:rsidR="00F85326" w:rsidRPr="00F85326" w:rsidRDefault="00F85326" w:rsidP="00F85326">
            <w:pPr>
              <w:rPr>
                <w:i/>
              </w:rPr>
            </w:pPr>
            <w:bookmarkStart w:id="7" w:name="_Toc247691533"/>
            <w:bookmarkStart w:id="8" w:name="_Toc314842517"/>
            <w:bookmarkEnd w:id="1"/>
            <w:r w:rsidRPr="00F85326">
              <w:rPr>
                <w:i/>
              </w:rPr>
              <w:t>Type of Submission</w:t>
            </w:r>
          </w:p>
        </w:tc>
        <w:tc>
          <w:tcPr>
            <w:tcW w:w="6590" w:type="dxa"/>
          </w:tcPr>
          <w:p w:rsidR="00F85326" w:rsidRPr="00F85326" w:rsidRDefault="00F85326" w:rsidP="00F85326">
            <w:r w:rsidRPr="00F85326">
              <w:t>Extension of indications</w:t>
            </w:r>
          </w:p>
        </w:tc>
      </w:tr>
      <w:tr w:rsidR="00F85326" w:rsidRPr="00F85326" w:rsidTr="00F85326">
        <w:tc>
          <w:tcPr>
            <w:tcW w:w="2907" w:type="dxa"/>
          </w:tcPr>
          <w:p w:rsidR="00F85326" w:rsidRPr="00F85326" w:rsidRDefault="00F85326" w:rsidP="00F85326">
            <w:pPr>
              <w:spacing w:before="0"/>
              <w:rPr>
                <w:i/>
              </w:rPr>
            </w:pPr>
            <w:r w:rsidRPr="00F85326">
              <w:rPr>
                <w:i/>
              </w:rPr>
              <w:t>Decision:</w:t>
            </w:r>
          </w:p>
        </w:tc>
        <w:tc>
          <w:tcPr>
            <w:tcW w:w="6590" w:type="dxa"/>
          </w:tcPr>
          <w:p w:rsidR="00F85326" w:rsidRPr="00F85326" w:rsidRDefault="00F85326" w:rsidP="00F85326">
            <w:pPr>
              <w:spacing w:before="0"/>
            </w:pPr>
            <w:r w:rsidRPr="00F85326">
              <w:t>Approve</w:t>
            </w:r>
          </w:p>
        </w:tc>
      </w:tr>
      <w:tr w:rsidR="00F85326" w:rsidRPr="00F85326" w:rsidTr="00F85326">
        <w:tc>
          <w:tcPr>
            <w:tcW w:w="2907" w:type="dxa"/>
          </w:tcPr>
          <w:p w:rsidR="00F85326" w:rsidRPr="00F85326" w:rsidRDefault="00F85326" w:rsidP="00F85326">
            <w:pPr>
              <w:spacing w:before="0"/>
              <w:rPr>
                <w:i/>
              </w:rPr>
            </w:pPr>
            <w:r w:rsidRPr="00F85326">
              <w:rPr>
                <w:i/>
              </w:rPr>
              <w:t>Date of Decision:</w:t>
            </w:r>
          </w:p>
        </w:tc>
        <w:tc>
          <w:tcPr>
            <w:tcW w:w="6590" w:type="dxa"/>
          </w:tcPr>
          <w:p w:rsidR="00F85326" w:rsidRPr="00F85326" w:rsidRDefault="00F85326" w:rsidP="00F85326">
            <w:pPr>
              <w:spacing w:before="0"/>
            </w:pPr>
            <w:r w:rsidRPr="00F85326">
              <w:t>24 August 2012</w:t>
            </w:r>
          </w:p>
        </w:tc>
      </w:tr>
    </w:tbl>
    <w:p w:rsidR="00F85326" w:rsidRPr="00F85326" w:rsidRDefault="00F85326" w:rsidP="00F85326">
      <w:pPr>
        <w:spacing w:before="0"/>
        <w:rPr>
          <w:highlight w:val="yellow"/>
        </w:rPr>
      </w:pPr>
    </w:p>
    <w:tbl>
      <w:tblPr>
        <w:tblW w:w="9497" w:type="dxa"/>
        <w:tblInd w:w="108" w:type="dxa"/>
        <w:tblLook w:val="01E0"/>
      </w:tblPr>
      <w:tblGrid>
        <w:gridCol w:w="2907"/>
        <w:gridCol w:w="6590"/>
      </w:tblGrid>
      <w:tr w:rsidR="00F85326" w:rsidRPr="00F85326" w:rsidTr="00F85326">
        <w:tc>
          <w:tcPr>
            <w:tcW w:w="2907" w:type="dxa"/>
          </w:tcPr>
          <w:p w:rsidR="00F85326" w:rsidRPr="00F85326" w:rsidRDefault="00F85326" w:rsidP="00F85326">
            <w:pPr>
              <w:spacing w:before="0"/>
              <w:rPr>
                <w:i/>
              </w:rPr>
            </w:pPr>
            <w:r w:rsidRPr="00F85326">
              <w:rPr>
                <w:i/>
              </w:rPr>
              <w:t xml:space="preserve">Active ingredient: </w:t>
            </w:r>
          </w:p>
        </w:tc>
        <w:tc>
          <w:tcPr>
            <w:tcW w:w="6590" w:type="dxa"/>
          </w:tcPr>
          <w:p w:rsidR="00F85326" w:rsidRPr="00F85326" w:rsidRDefault="00F85326" w:rsidP="00F85326">
            <w:pPr>
              <w:spacing w:before="0"/>
            </w:pPr>
            <w:proofErr w:type="spellStart"/>
            <w:r w:rsidRPr="00F85326">
              <w:t>Bevacizumab</w:t>
            </w:r>
            <w:proofErr w:type="spellEnd"/>
            <w:r w:rsidRPr="00F85326">
              <w:t xml:space="preserve"> (recombinant humanised)</w:t>
            </w:r>
          </w:p>
        </w:tc>
      </w:tr>
      <w:tr w:rsidR="00F85326" w:rsidRPr="00F85326" w:rsidTr="00F85326">
        <w:tc>
          <w:tcPr>
            <w:tcW w:w="2907" w:type="dxa"/>
          </w:tcPr>
          <w:p w:rsidR="00F85326" w:rsidRPr="00F85326" w:rsidRDefault="00F85326" w:rsidP="00F85326">
            <w:pPr>
              <w:spacing w:before="0"/>
              <w:rPr>
                <w:i/>
              </w:rPr>
            </w:pPr>
            <w:r w:rsidRPr="00F85326">
              <w:rPr>
                <w:i/>
              </w:rPr>
              <w:t xml:space="preserve">Product Name: </w:t>
            </w:r>
          </w:p>
        </w:tc>
        <w:tc>
          <w:tcPr>
            <w:tcW w:w="6590" w:type="dxa"/>
          </w:tcPr>
          <w:p w:rsidR="00F85326" w:rsidRPr="00F85326" w:rsidRDefault="00F85326" w:rsidP="00F85326">
            <w:pPr>
              <w:spacing w:before="0"/>
            </w:pPr>
            <w:proofErr w:type="spellStart"/>
            <w:r w:rsidRPr="00F85326">
              <w:t>Avastin</w:t>
            </w:r>
            <w:proofErr w:type="spellEnd"/>
          </w:p>
        </w:tc>
      </w:tr>
      <w:tr w:rsidR="00F85326" w:rsidRPr="00F85326" w:rsidTr="00F85326">
        <w:trPr>
          <w:trHeight w:val="862"/>
        </w:trPr>
        <w:tc>
          <w:tcPr>
            <w:tcW w:w="2907" w:type="dxa"/>
          </w:tcPr>
          <w:p w:rsidR="00F85326" w:rsidRPr="00F85326" w:rsidRDefault="00F85326" w:rsidP="00F85326">
            <w:pPr>
              <w:spacing w:before="0"/>
              <w:rPr>
                <w:i/>
              </w:rPr>
            </w:pPr>
            <w:r w:rsidRPr="00F85326">
              <w:rPr>
                <w:i/>
              </w:rPr>
              <w:t>Sponsor’s Name and Address</w:t>
            </w:r>
          </w:p>
        </w:tc>
        <w:tc>
          <w:tcPr>
            <w:tcW w:w="6590" w:type="dxa"/>
          </w:tcPr>
          <w:p w:rsidR="00F85326" w:rsidRPr="00F85326" w:rsidRDefault="00F85326" w:rsidP="00F85326">
            <w:pPr>
              <w:spacing w:before="0" w:after="0"/>
            </w:pPr>
            <w:r w:rsidRPr="00F85326">
              <w:t>Roche Products Pty Ltd</w:t>
            </w:r>
          </w:p>
          <w:p w:rsidR="00F85326" w:rsidRPr="00F85326" w:rsidRDefault="00F85326" w:rsidP="00F85326">
            <w:pPr>
              <w:spacing w:before="0" w:after="0"/>
            </w:pPr>
            <w:r w:rsidRPr="00F85326">
              <w:t>PO Box 255</w:t>
            </w:r>
          </w:p>
          <w:p w:rsidR="00F85326" w:rsidRPr="00F85326" w:rsidRDefault="00F85326" w:rsidP="00F85326">
            <w:pPr>
              <w:spacing w:before="0" w:after="0"/>
            </w:pPr>
            <w:r w:rsidRPr="00F85326">
              <w:t>Dee Why  NSW  2090</w:t>
            </w:r>
          </w:p>
        </w:tc>
      </w:tr>
      <w:tr w:rsidR="00F85326" w:rsidRPr="00F85326" w:rsidTr="00F85326">
        <w:tc>
          <w:tcPr>
            <w:tcW w:w="2907" w:type="dxa"/>
          </w:tcPr>
          <w:p w:rsidR="00F85326" w:rsidRPr="00F85326" w:rsidRDefault="00F85326" w:rsidP="00F85326">
            <w:pPr>
              <w:spacing w:before="0"/>
              <w:rPr>
                <w:i/>
              </w:rPr>
            </w:pPr>
            <w:r w:rsidRPr="00F85326">
              <w:rPr>
                <w:i/>
              </w:rPr>
              <w:t xml:space="preserve">Dose form: </w:t>
            </w:r>
          </w:p>
        </w:tc>
        <w:tc>
          <w:tcPr>
            <w:tcW w:w="6590" w:type="dxa"/>
          </w:tcPr>
          <w:p w:rsidR="00F85326" w:rsidRPr="00F85326" w:rsidRDefault="00F85326" w:rsidP="00F85326">
            <w:pPr>
              <w:spacing w:before="0"/>
            </w:pPr>
            <w:r w:rsidRPr="00F85326">
              <w:t>Injection concentrate</w:t>
            </w:r>
          </w:p>
        </w:tc>
      </w:tr>
      <w:tr w:rsidR="00F85326" w:rsidRPr="00F85326" w:rsidTr="00F85326">
        <w:trPr>
          <w:trHeight w:val="421"/>
        </w:trPr>
        <w:tc>
          <w:tcPr>
            <w:tcW w:w="2907" w:type="dxa"/>
          </w:tcPr>
          <w:p w:rsidR="00F85326" w:rsidRPr="00F85326" w:rsidRDefault="00F85326" w:rsidP="00F85326">
            <w:pPr>
              <w:spacing w:before="0"/>
              <w:rPr>
                <w:i/>
              </w:rPr>
            </w:pPr>
            <w:r w:rsidRPr="00F85326">
              <w:rPr>
                <w:i/>
              </w:rPr>
              <w:t xml:space="preserve">Strengths: </w:t>
            </w:r>
          </w:p>
        </w:tc>
        <w:tc>
          <w:tcPr>
            <w:tcW w:w="6590" w:type="dxa"/>
          </w:tcPr>
          <w:p w:rsidR="00F85326" w:rsidRPr="00F85326" w:rsidRDefault="00F85326" w:rsidP="00F85326">
            <w:pPr>
              <w:spacing w:before="0"/>
            </w:pPr>
            <w:r w:rsidRPr="00F85326">
              <w:t xml:space="preserve">100 mg/4 </w:t>
            </w:r>
            <w:proofErr w:type="spellStart"/>
            <w:r w:rsidRPr="00F85326">
              <w:t>mL</w:t>
            </w:r>
            <w:proofErr w:type="spellEnd"/>
            <w:r w:rsidRPr="00F85326">
              <w:t xml:space="preserve"> and 400 mg/16 </w:t>
            </w:r>
            <w:proofErr w:type="spellStart"/>
            <w:r w:rsidRPr="00F85326">
              <w:t>mL</w:t>
            </w:r>
            <w:proofErr w:type="spellEnd"/>
          </w:p>
        </w:tc>
      </w:tr>
      <w:tr w:rsidR="00F85326" w:rsidRPr="00F85326" w:rsidTr="00F85326">
        <w:tc>
          <w:tcPr>
            <w:tcW w:w="2907" w:type="dxa"/>
          </w:tcPr>
          <w:p w:rsidR="00F85326" w:rsidRPr="00F85326" w:rsidRDefault="00F85326" w:rsidP="00F85326">
            <w:pPr>
              <w:spacing w:before="0"/>
              <w:rPr>
                <w:i/>
              </w:rPr>
            </w:pPr>
            <w:r w:rsidRPr="00F85326">
              <w:rPr>
                <w:i/>
              </w:rPr>
              <w:t>Container:</w:t>
            </w:r>
          </w:p>
        </w:tc>
        <w:tc>
          <w:tcPr>
            <w:tcW w:w="6590" w:type="dxa"/>
          </w:tcPr>
          <w:p w:rsidR="00F85326" w:rsidRPr="00F85326" w:rsidRDefault="00F85326" w:rsidP="00F85326">
            <w:pPr>
              <w:spacing w:before="0"/>
            </w:pPr>
            <w:r w:rsidRPr="00F85326">
              <w:t>Vial</w:t>
            </w:r>
          </w:p>
        </w:tc>
      </w:tr>
      <w:tr w:rsidR="00F85326" w:rsidRPr="00F85326" w:rsidTr="00F85326">
        <w:trPr>
          <w:trHeight w:val="325"/>
        </w:trPr>
        <w:tc>
          <w:tcPr>
            <w:tcW w:w="2907" w:type="dxa"/>
          </w:tcPr>
          <w:p w:rsidR="00F85326" w:rsidRPr="00F85326" w:rsidRDefault="00F85326" w:rsidP="00F85326">
            <w:pPr>
              <w:spacing w:before="0"/>
              <w:rPr>
                <w:i/>
              </w:rPr>
            </w:pPr>
            <w:r w:rsidRPr="00F85326">
              <w:rPr>
                <w:i/>
              </w:rPr>
              <w:t>Pack size:</w:t>
            </w:r>
          </w:p>
        </w:tc>
        <w:tc>
          <w:tcPr>
            <w:tcW w:w="6590" w:type="dxa"/>
          </w:tcPr>
          <w:p w:rsidR="00F85326" w:rsidRPr="00F85326" w:rsidRDefault="00F85326" w:rsidP="00F85326">
            <w:pPr>
              <w:spacing w:before="0"/>
            </w:pPr>
            <w:r w:rsidRPr="00F85326">
              <w:t xml:space="preserve">1 </w:t>
            </w:r>
          </w:p>
        </w:tc>
      </w:tr>
      <w:tr w:rsidR="00F85326" w:rsidRPr="00F85326" w:rsidTr="00F85326">
        <w:trPr>
          <w:trHeight w:val="1221"/>
        </w:trPr>
        <w:tc>
          <w:tcPr>
            <w:tcW w:w="2907" w:type="dxa"/>
          </w:tcPr>
          <w:p w:rsidR="00F85326" w:rsidRPr="00F85326" w:rsidRDefault="00F85326" w:rsidP="00F85326">
            <w:pPr>
              <w:spacing w:before="0"/>
              <w:rPr>
                <w:i/>
              </w:rPr>
            </w:pPr>
            <w:r w:rsidRPr="00F85326">
              <w:rPr>
                <w:i/>
              </w:rPr>
              <w:t>Approved Therapeutic use:</w:t>
            </w:r>
          </w:p>
        </w:tc>
        <w:tc>
          <w:tcPr>
            <w:tcW w:w="6590" w:type="dxa"/>
          </w:tcPr>
          <w:p w:rsidR="00F85326" w:rsidRPr="00F85326" w:rsidRDefault="00F85326" w:rsidP="00F85326">
            <w:pPr>
              <w:spacing w:before="0"/>
            </w:pPr>
            <w:proofErr w:type="spellStart"/>
            <w:r w:rsidRPr="00F85326">
              <w:t>Avastin</w:t>
            </w:r>
            <w:proofErr w:type="spellEnd"/>
            <w:r w:rsidRPr="00F85326">
              <w:t xml:space="preserve"> (</w:t>
            </w:r>
            <w:proofErr w:type="spellStart"/>
            <w:r w:rsidRPr="00F85326">
              <w:t>bevacizumab</w:t>
            </w:r>
            <w:proofErr w:type="spellEnd"/>
            <w:r w:rsidRPr="00F85326">
              <w:t xml:space="preserve">), in combination with </w:t>
            </w:r>
            <w:proofErr w:type="spellStart"/>
            <w:r w:rsidRPr="00F85326">
              <w:t>carboplatin</w:t>
            </w:r>
            <w:proofErr w:type="spellEnd"/>
            <w:r w:rsidRPr="00F85326">
              <w:t xml:space="preserve"> and </w:t>
            </w:r>
            <w:proofErr w:type="spellStart"/>
            <w:r w:rsidRPr="00F85326">
              <w:t>gemcitabine</w:t>
            </w:r>
            <w:proofErr w:type="spellEnd"/>
            <w:r w:rsidRPr="00F85326">
              <w:t xml:space="preserve">, is indicated for the treatment of patients with recurrent, platinum-sensitive, epithelial ovarian, fallopian tube, or primary peritoneal cancer who have not received prior </w:t>
            </w:r>
            <w:proofErr w:type="spellStart"/>
            <w:r w:rsidRPr="00F85326">
              <w:t>bevacizumab</w:t>
            </w:r>
            <w:proofErr w:type="spellEnd"/>
            <w:r w:rsidRPr="00F85326">
              <w:t xml:space="preserve"> or other VEGF-targeted angiogenesis inhibitors.</w:t>
            </w:r>
          </w:p>
        </w:tc>
      </w:tr>
      <w:tr w:rsidR="00F85326" w:rsidRPr="00F85326" w:rsidTr="00F85326">
        <w:tc>
          <w:tcPr>
            <w:tcW w:w="2907" w:type="dxa"/>
          </w:tcPr>
          <w:p w:rsidR="00F85326" w:rsidRPr="00F85326" w:rsidRDefault="00F85326" w:rsidP="00F85326">
            <w:pPr>
              <w:spacing w:before="0"/>
              <w:rPr>
                <w:i/>
              </w:rPr>
            </w:pPr>
            <w:r w:rsidRPr="00F85326">
              <w:rPr>
                <w:i/>
              </w:rPr>
              <w:t>Route of administration:</w:t>
            </w:r>
          </w:p>
        </w:tc>
        <w:tc>
          <w:tcPr>
            <w:tcW w:w="6590" w:type="dxa"/>
          </w:tcPr>
          <w:p w:rsidR="00F85326" w:rsidRPr="00F85326" w:rsidRDefault="00F85326" w:rsidP="00F85326">
            <w:pPr>
              <w:spacing w:before="0"/>
            </w:pPr>
            <w:r w:rsidRPr="00F85326">
              <w:t>Intravenous infusion</w:t>
            </w:r>
          </w:p>
        </w:tc>
      </w:tr>
      <w:tr w:rsidR="00F85326" w:rsidRPr="00F85326" w:rsidTr="00F85326">
        <w:trPr>
          <w:trHeight w:val="314"/>
        </w:trPr>
        <w:tc>
          <w:tcPr>
            <w:tcW w:w="2907" w:type="dxa"/>
          </w:tcPr>
          <w:p w:rsidR="00F85326" w:rsidRPr="00F85326" w:rsidRDefault="00F85326" w:rsidP="00F85326">
            <w:pPr>
              <w:spacing w:before="0"/>
              <w:rPr>
                <w:i/>
              </w:rPr>
            </w:pPr>
            <w:r w:rsidRPr="00F85326">
              <w:rPr>
                <w:i/>
              </w:rPr>
              <w:t>Dosage (abbreviated):</w:t>
            </w:r>
          </w:p>
        </w:tc>
        <w:tc>
          <w:tcPr>
            <w:tcW w:w="6590" w:type="dxa"/>
          </w:tcPr>
          <w:p w:rsidR="00F85326" w:rsidRPr="00F85326" w:rsidRDefault="00F85326" w:rsidP="00F85326">
            <w:pPr>
              <w:spacing w:before="0" w:after="0" w:line="240" w:lineRule="auto"/>
            </w:pPr>
            <w:r w:rsidRPr="00F85326">
              <w:t>15 mg/kg once every 3weeks</w:t>
            </w:r>
          </w:p>
        </w:tc>
      </w:tr>
      <w:tr w:rsidR="00F85326" w:rsidRPr="00F85326" w:rsidTr="00F85326">
        <w:tc>
          <w:tcPr>
            <w:tcW w:w="2907" w:type="dxa"/>
          </w:tcPr>
          <w:p w:rsidR="00F85326" w:rsidRPr="00F85326" w:rsidRDefault="00F85326" w:rsidP="00F85326">
            <w:pPr>
              <w:spacing w:before="0"/>
              <w:rPr>
                <w:i/>
              </w:rPr>
            </w:pPr>
            <w:r w:rsidRPr="00F85326">
              <w:rPr>
                <w:i/>
              </w:rPr>
              <w:t>ARTG Numbers:</w:t>
            </w:r>
          </w:p>
        </w:tc>
        <w:tc>
          <w:tcPr>
            <w:tcW w:w="6590" w:type="dxa"/>
          </w:tcPr>
          <w:p w:rsidR="00F85326" w:rsidRPr="00F85326" w:rsidRDefault="00F85326" w:rsidP="00F85326">
            <w:pPr>
              <w:spacing w:before="0"/>
            </w:pPr>
            <w:r w:rsidRPr="00F85326">
              <w:t>99755, 99757</w:t>
            </w:r>
          </w:p>
        </w:tc>
      </w:tr>
    </w:tbl>
    <w:p w:rsidR="00F85326" w:rsidRPr="00F85326" w:rsidRDefault="00F85326" w:rsidP="00F85326">
      <w:pPr>
        <w:pStyle w:val="Heading3"/>
      </w:pPr>
      <w:bookmarkStart w:id="9" w:name="_Toc247691503"/>
      <w:bookmarkStart w:id="10" w:name="_Toc348946640"/>
      <w:bookmarkStart w:id="11" w:name="_Toc356206742"/>
      <w:r>
        <w:t>Product b</w:t>
      </w:r>
      <w:r w:rsidRPr="00F85326">
        <w:t>ackground</w:t>
      </w:r>
      <w:bookmarkEnd w:id="9"/>
      <w:bookmarkEnd w:id="10"/>
      <w:bookmarkEnd w:id="11"/>
    </w:p>
    <w:p w:rsidR="00F85326" w:rsidRPr="00F85326" w:rsidRDefault="00F85326" w:rsidP="00F85326">
      <w:proofErr w:type="spellStart"/>
      <w:r w:rsidRPr="00F85326">
        <w:t>Bevacizumab</w:t>
      </w:r>
      <w:proofErr w:type="spellEnd"/>
      <w:r w:rsidRPr="00F85326">
        <w:t xml:space="preserve"> is a recombinant humanised (</w:t>
      </w:r>
      <w:proofErr w:type="spellStart"/>
      <w:r w:rsidRPr="00F85326">
        <w:t>rch</w:t>
      </w:r>
      <w:proofErr w:type="spellEnd"/>
      <w:r w:rsidRPr="00F85326">
        <w:t>) monoclonal antibody that binds to and inhibits human vascular endothelial growth factor (VEGF). It is produced in Chinese Hamster Ovary cells. Inhibition of VEGF prevents new blood vessel formation, thereby inhibiting tumour growth and metastasis.</w:t>
      </w:r>
    </w:p>
    <w:p w:rsidR="00F85326" w:rsidRPr="00F85326" w:rsidRDefault="00F85326" w:rsidP="00F85326">
      <w:proofErr w:type="spellStart"/>
      <w:r w:rsidRPr="00F85326">
        <w:t>Bevacizumab</w:t>
      </w:r>
      <w:proofErr w:type="spellEnd"/>
      <w:r w:rsidRPr="00F85326">
        <w:t xml:space="preserve"> is registered in Australia for the first line treatment of epithelial ovarian, fallopian tube and primary peritoneal cancer, in combination with </w:t>
      </w:r>
      <w:proofErr w:type="spellStart"/>
      <w:r w:rsidRPr="00F85326">
        <w:t>carboplatin</w:t>
      </w:r>
      <w:proofErr w:type="spellEnd"/>
      <w:r w:rsidRPr="00F85326">
        <w:t xml:space="preserve"> and </w:t>
      </w:r>
      <w:proofErr w:type="spellStart"/>
      <w:r w:rsidRPr="00F85326">
        <w:t>paclitaxel</w:t>
      </w:r>
      <w:proofErr w:type="spellEnd"/>
      <w:r w:rsidRPr="00F85326">
        <w:t xml:space="preserve">. It is also registered for the treatment of several other cancers (breast, lung, colorectal, renal and </w:t>
      </w:r>
      <w:proofErr w:type="spellStart"/>
      <w:r w:rsidRPr="00F85326">
        <w:t>glioma</w:t>
      </w:r>
      <w:proofErr w:type="spellEnd"/>
      <w:r w:rsidRPr="00F85326">
        <w:t xml:space="preserve">). </w:t>
      </w:r>
    </w:p>
    <w:p w:rsidR="00F85326" w:rsidRPr="00F85326" w:rsidRDefault="00F85326" w:rsidP="00F85326">
      <w:r w:rsidRPr="00F85326">
        <w:t xml:space="preserve">This </w:t>
      </w:r>
      <w:proofErr w:type="spellStart"/>
      <w:r w:rsidRPr="00F85326">
        <w:t>AusPAR</w:t>
      </w:r>
      <w:proofErr w:type="spellEnd"/>
      <w:r w:rsidRPr="00F85326">
        <w:t xml:space="preserve"> describes the application by Roche Australia Pty Ltd (the sponsor) to extend the approved indications for </w:t>
      </w:r>
      <w:proofErr w:type="spellStart"/>
      <w:r w:rsidRPr="00F85326">
        <w:t>Avastin</w:t>
      </w:r>
      <w:proofErr w:type="spellEnd"/>
      <w:r w:rsidRPr="00F85326">
        <w:t xml:space="preserve"> to include the following: </w:t>
      </w:r>
    </w:p>
    <w:p w:rsidR="00F85326" w:rsidRPr="00F85326" w:rsidRDefault="00F85326" w:rsidP="00F85326">
      <w:pPr>
        <w:ind w:left="720"/>
        <w:rPr>
          <w:i/>
        </w:rPr>
      </w:pPr>
      <w:r w:rsidRPr="00F85326">
        <w:rPr>
          <w:i/>
        </w:rPr>
        <w:t>AVASTIN (</w:t>
      </w:r>
      <w:proofErr w:type="spellStart"/>
      <w:r w:rsidRPr="00F85326">
        <w:rPr>
          <w:i/>
        </w:rPr>
        <w:t>bevacizumab</w:t>
      </w:r>
      <w:proofErr w:type="spellEnd"/>
      <w:r w:rsidRPr="00F85326">
        <w:rPr>
          <w:i/>
        </w:rPr>
        <w:t xml:space="preserve">), in combination with </w:t>
      </w:r>
      <w:proofErr w:type="spellStart"/>
      <w:r w:rsidRPr="00F85326">
        <w:rPr>
          <w:i/>
        </w:rPr>
        <w:t>carboplatin</w:t>
      </w:r>
      <w:proofErr w:type="spellEnd"/>
      <w:r w:rsidRPr="00F85326">
        <w:rPr>
          <w:i/>
        </w:rPr>
        <w:t xml:space="preserve"> and </w:t>
      </w:r>
      <w:proofErr w:type="spellStart"/>
      <w:r w:rsidRPr="00F85326">
        <w:rPr>
          <w:i/>
        </w:rPr>
        <w:t>gemcitabine</w:t>
      </w:r>
      <w:proofErr w:type="spellEnd"/>
      <w:r w:rsidRPr="00F85326">
        <w:rPr>
          <w:i/>
        </w:rPr>
        <w:t>, is indicated for the treatment of patients with recurrent, platinum-sensitive, epithelial ovarian, fallopian tube, or primary peritoneal cancer.</w:t>
      </w:r>
    </w:p>
    <w:p w:rsidR="00F85326" w:rsidRPr="00F85326" w:rsidRDefault="00F85326" w:rsidP="00F85326">
      <w:pPr>
        <w:pStyle w:val="Heading3"/>
      </w:pPr>
      <w:bookmarkStart w:id="12" w:name="_Toc348946641"/>
      <w:bookmarkStart w:id="13" w:name="_Toc356206743"/>
      <w:bookmarkStart w:id="14" w:name="_Toc247691504"/>
      <w:r>
        <w:lastRenderedPageBreak/>
        <w:t>Regulatory s</w:t>
      </w:r>
      <w:r w:rsidRPr="00F85326">
        <w:t>tatus</w:t>
      </w:r>
      <w:bookmarkEnd w:id="12"/>
      <w:bookmarkEnd w:id="13"/>
      <w:r w:rsidRPr="00F85326">
        <w:t xml:space="preserve"> </w:t>
      </w:r>
      <w:bookmarkEnd w:id="14"/>
    </w:p>
    <w:p w:rsidR="00F85326" w:rsidRPr="00F85326" w:rsidRDefault="00F85326" w:rsidP="00F85326">
      <w:r w:rsidRPr="00F85326">
        <w:t>The product received initial registration on the Australian Register of Therapeutic Goods (ARTG) in February 2005.  Applications have been approved in the European Union (EU) (24 October 2012) and Switzerland (17 December 2012).</w:t>
      </w:r>
    </w:p>
    <w:p w:rsidR="00F85326" w:rsidRPr="00F85326" w:rsidRDefault="00F85326" w:rsidP="00F85326">
      <w:pPr>
        <w:pStyle w:val="Heading3"/>
      </w:pPr>
      <w:bookmarkStart w:id="15" w:name="_Toc247691505"/>
      <w:bookmarkStart w:id="16" w:name="_Toc348946642"/>
      <w:bookmarkStart w:id="17" w:name="_Toc356206744"/>
      <w:r w:rsidRPr="00F85326">
        <w:t>Product Information</w:t>
      </w:r>
      <w:bookmarkEnd w:id="15"/>
      <w:bookmarkEnd w:id="16"/>
      <w:bookmarkEnd w:id="17"/>
    </w:p>
    <w:p w:rsidR="00F85326" w:rsidRPr="00F85326" w:rsidRDefault="00F85326" w:rsidP="00F85326">
      <w:r w:rsidRPr="00F85326">
        <w:t xml:space="preserve">The approved product information (PI) current at the time this </w:t>
      </w:r>
      <w:proofErr w:type="spellStart"/>
      <w:r w:rsidRPr="00F85326">
        <w:t>AusPAR</w:t>
      </w:r>
      <w:proofErr w:type="spellEnd"/>
      <w:r w:rsidRPr="00F85326">
        <w:t xml:space="preserve"> was prepared can be found as Attachment 1.</w:t>
      </w:r>
    </w:p>
    <w:p w:rsidR="00F85326" w:rsidRPr="00F85326" w:rsidRDefault="00F85326" w:rsidP="00F85326">
      <w:pPr>
        <w:pStyle w:val="Heading2"/>
      </w:pPr>
      <w:bookmarkStart w:id="18" w:name="_Toc247691506"/>
      <w:bookmarkStart w:id="19" w:name="_Toc348946643"/>
      <w:bookmarkStart w:id="20" w:name="_Toc356206745"/>
      <w:r w:rsidRPr="00F85326">
        <w:t xml:space="preserve">II. </w:t>
      </w:r>
      <w:r>
        <w:t>Quality f</w:t>
      </w:r>
      <w:r w:rsidRPr="00F85326">
        <w:t>indings</w:t>
      </w:r>
      <w:bookmarkEnd w:id="18"/>
      <w:bookmarkEnd w:id="19"/>
      <w:bookmarkEnd w:id="20"/>
    </w:p>
    <w:p w:rsidR="00F85326" w:rsidRPr="00F85326" w:rsidRDefault="00F85326" w:rsidP="00F85326">
      <w:r w:rsidRPr="00F85326">
        <w:t>There was no requirement for a quality evaluation in a submission of this type.</w:t>
      </w:r>
    </w:p>
    <w:p w:rsidR="00F85326" w:rsidRPr="00F85326" w:rsidRDefault="00F85326" w:rsidP="00F85326">
      <w:pPr>
        <w:pStyle w:val="Heading2"/>
      </w:pPr>
      <w:bookmarkStart w:id="21" w:name="_Toc196046439"/>
      <w:bookmarkStart w:id="22" w:name="_Toc247691510"/>
      <w:bookmarkStart w:id="23" w:name="_Toc348946644"/>
      <w:bookmarkStart w:id="24" w:name="_Toc356206746"/>
      <w:r w:rsidRPr="00F85326">
        <w:t>III. Nonclinical</w:t>
      </w:r>
      <w:bookmarkEnd w:id="21"/>
      <w:r>
        <w:t xml:space="preserve"> f</w:t>
      </w:r>
      <w:r w:rsidRPr="00F85326">
        <w:t>indings</w:t>
      </w:r>
      <w:bookmarkEnd w:id="22"/>
      <w:bookmarkEnd w:id="23"/>
      <w:bookmarkEnd w:id="24"/>
    </w:p>
    <w:p w:rsidR="00F85326" w:rsidRPr="00F85326" w:rsidRDefault="00F85326" w:rsidP="00F85326">
      <w:r w:rsidRPr="00F85326">
        <w:t xml:space="preserve">There was no requirement for a nonclinical evaluation in a submission of this type. </w:t>
      </w:r>
      <w:bookmarkStart w:id="25" w:name="PIstart"/>
      <w:bookmarkEnd w:id="25"/>
    </w:p>
    <w:p w:rsidR="00F85326" w:rsidRPr="00F85326" w:rsidRDefault="00F85326" w:rsidP="00F85326">
      <w:pPr>
        <w:pStyle w:val="Heading2"/>
      </w:pPr>
      <w:bookmarkStart w:id="26" w:name="_Toc196046462"/>
      <w:bookmarkStart w:id="27" w:name="_Toc247691516"/>
      <w:bookmarkStart w:id="28" w:name="_Toc348946645"/>
      <w:bookmarkStart w:id="29" w:name="_Toc356206747"/>
      <w:bookmarkStart w:id="30" w:name="_Toc163441353"/>
      <w:bookmarkStart w:id="31" w:name="_Toc163441348"/>
      <w:r w:rsidRPr="00F85326">
        <w:t>IV. Clinical</w:t>
      </w:r>
      <w:bookmarkEnd w:id="26"/>
      <w:r>
        <w:t xml:space="preserve"> f</w:t>
      </w:r>
      <w:r w:rsidRPr="00F85326">
        <w:t>indings</w:t>
      </w:r>
      <w:bookmarkEnd w:id="27"/>
      <w:bookmarkEnd w:id="28"/>
      <w:bookmarkEnd w:id="29"/>
    </w:p>
    <w:p w:rsidR="00F85326" w:rsidRPr="00F85326" w:rsidRDefault="008B156F" w:rsidP="00F85326">
      <w:bookmarkStart w:id="32" w:name="_Toc196046463"/>
      <w:bookmarkStart w:id="33" w:name="_Toc247691517"/>
      <w:r w:rsidRPr="008B156F">
        <w:t>A summary of the clinical findings is presented in this section. The full clinical findings can be found in Attachment 2.</w:t>
      </w:r>
    </w:p>
    <w:p w:rsidR="00F85326" w:rsidRPr="00F85326" w:rsidRDefault="00F85326" w:rsidP="00F85326">
      <w:pPr>
        <w:pStyle w:val="Heading3"/>
      </w:pPr>
      <w:bookmarkStart w:id="34" w:name="_Toc348946646"/>
      <w:bookmarkStart w:id="35" w:name="_Toc356206748"/>
      <w:r w:rsidRPr="00F85326">
        <w:t>Introduction</w:t>
      </w:r>
      <w:bookmarkEnd w:id="32"/>
      <w:bookmarkEnd w:id="33"/>
      <w:bookmarkEnd w:id="34"/>
      <w:bookmarkEnd w:id="35"/>
    </w:p>
    <w:p w:rsidR="00F85326" w:rsidRPr="00F85326" w:rsidRDefault="00F85326" w:rsidP="00F85326">
      <w:pPr>
        <w:pStyle w:val="Heading4"/>
      </w:pPr>
      <w:r w:rsidRPr="00F85326">
        <w:t>Background and rationale</w:t>
      </w:r>
    </w:p>
    <w:p w:rsidR="00F85326" w:rsidRPr="00F85326" w:rsidRDefault="00F85326" w:rsidP="00F85326">
      <w:r w:rsidRPr="00F85326">
        <w:t xml:space="preserve">Earlier evidence has shown that the VEGF family plays a central role in ovarian cancer pathogenesis and progression. This led to the development of a comprehensive development programme for </w:t>
      </w:r>
      <w:proofErr w:type="spellStart"/>
      <w:r w:rsidRPr="00F85326">
        <w:t>bevacizumab</w:t>
      </w:r>
      <w:proofErr w:type="spellEnd"/>
      <w:r w:rsidRPr="00F85326">
        <w:t xml:space="preserve"> in ovarian cancer.  </w:t>
      </w:r>
    </w:p>
    <w:p w:rsidR="00F85326" w:rsidRPr="00F85326" w:rsidRDefault="00F85326" w:rsidP="00F85326">
      <w:r w:rsidRPr="00F85326">
        <w:t xml:space="preserve">An application to extend the use of </w:t>
      </w:r>
      <w:proofErr w:type="spellStart"/>
      <w:r w:rsidRPr="00F85326">
        <w:t>bevacizumab</w:t>
      </w:r>
      <w:proofErr w:type="spellEnd"/>
      <w:r w:rsidRPr="00F85326">
        <w:t xml:space="preserve"> in combination with </w:t>
      </w:r>
      <w:proofErr w:type="spellStart"/>
      <w:r w:rsidRPr="00F85326">
        <w:t>carboplatin</w:t>
      </w:r>
      <w:proofErr w:type="spellEnd"/>
      <w:r w:rsidRPr="00F85326">
        <w:t xml:space="preserve"> and </w:t>
      </w:r>
      <w:proofErr w:type="spellStart"/>
      <w:r w:rsidRPr="00F85326">
        <w:t>paclitaxel</w:t>
      </w:r>
      <w:proofErr w:type="spellEnd"/>
      <w:r w:rsidRPr="00F85326">
        <w:t xml:space="preserve"> for the front line treatment of patients with epithelial ovarian cancer, primary peritoneal cancer or fallopian tube cancer was approved by the TGA in February 2012</w:t>
      </w:r>
      <w:r w:rsidRPr="00F85326">
        <w:rPr>
          <w:vertAlign w:val="superscript"/>
        </w:rPr>
        <w:footnoteReference w:id="1"/>
      </w:r>
      <w:r w:rsidRPr="00F85326">
        <w:t xml:space="preserve">. The current application focuses on the use of </w:t>
      </w:r>
      <w:proofErr w:type="spellStart"/>
      <w:r w:rsidRPr="00F85326">
        <w:t>bevacizumab</w:t>
      </w:r>
      <w:proofErr w:type="spellEnd"/>
      <w:r w:rsidRPr="00F85326">
        <w:t xml:space="preserve"> in the recurrent setting.</w:t>
      </w:r>
    </w:p>
    <w:p w:rsidR="00F85326" w:rsidRPr="00F85326" w:rsidRDefault="00F85326" w:rsidP="00F85326">
      <w:pPr>
        <w:pStyle w:val="Heading5"/>
      </w:pPr>
      <w:r w:rsidRPr="00F85326">
        <w:t>Scope of the clinical dossier</w:t>
      </w:r>
    </w:p>
    <w:p w:rsidR="00F85326" w:rsidRPr="00F85326" w:rsidRDefault="00F85326" w:rsidP="00F85326">
      <w:bookmarkStart w:id="36" w:name="_Toc306022790"/>
      <w:bookmarkStart w:id="37" w:name="_Toc290846235"/>
      <w:r w:rsidRPr="00F85326">
        <w:t xml:space="preserve">The clinical data comprised full reports together with tabular summaries of the pivotal Study AVF4095g, also known as OCEANS, which was a multicentre, randomised, Phase III study of </w:t>
      </w:r>
      <w:proofErr w:type="spellStart"/>
      <w:r w:rsidRPr="00F85326">
        <w:t>Avastin</w:t>
      </w:r>
      <w:proofErr w:type="spellEnd"/>
      <w:r w:rsidRPr="00F85326">
        <w:t xml:space="preserve"> in combination with </w:t>
      </w:r>
      <w:proofErr w:type="spellStart"/>
      <w:r w:rsidRPr="00F85326">
        <w:t>carboplatin</w:t>
      </w:r>
      <w:proofErr w:type="spellEnd"/>
      <w:r w:rsidRPr="00F85326">
        <w:t xml:space="preserve"> and </w:t>
      </w:r>
      <w:proofErr w:type="spellStart"/>
      <w:r w:rsidRPr="00F85326">
        <w:t>gemcitabine</w:t>
      </w:r>
      <w:proofErr w:type="spellEnd"/>
      <w:r w:rsidRPr="00F85326">
        <w:t xml:space="preserve"> chemotherapy for the treatment of patients with recurrent, platinum sensitive epithelial ovarian carcinoma, primary peritoneal carcinoma, and fallopian carcinoma. Full reports of efficacy and safety in relation to this pivotal trial are provided. </w:t>
      </w:r>
    </w:p>
    <w:p w:rsidR="00F85326" w:rsidRPr="00F85326" w:rsidRDefault="00F85326" w:rsidP="00F85326">
      <w:r w:rsidRPr="00F85326">
        <w:t xml:space="preserve">Also submitted is data in relation to reviews of studies demonstrating adverse effects seen with the “off-label intraocular” use of </w:t>
      </w:r>
      <w:proofErr w:type="spellStart"/>
      <w:r w:rsidRPr="00F85326">
        <w:t>bevacizumab</w:t>
      </w:r>
      <w:proofErr w:type="spellEnd"/>
      <w:r w:rsidRPr="00F85326">
        <w:t xml:space="preserve"> for the treatment of macular degeneration. This involves two company study reports and four published papers to support changes in the PI: details of the PI revisions in relation to this issue are beyond the scope of this </w:t>
      </w:r>
      <w:proofErr w:type="spellStart"/>
      <w:r w:rsidRPr="00F85326">
        <w:t>AusPAR</w:t>
      </w:r>
      <w:proofErr w:type="spellEnd"/>
      <w:r w:rsidRPr="00F85326">
        <w:t xml:space="preserve">.  </w:t>
      </w:r>
    </w:p>
    <w:p w:rsidR="00F85326" w:rsidRPr="00F85326" w:rsidRDefault="00F85326" w:rsidP="00F85326">
      <w:pPr>
        <w:pStyle w:val="Heading5"/>
      </w:pPr>
      <w:r w:rsidRPr="00F85326">
        <w:lastRenderedPageBreak/>
        <w:t>Paediatric data</w:t>
      </w:r>
      <w:bookmarkEnd w:id="36"/>
      <w:bookmarkEnd w:id="37"/>
    </w:p>
    <w:p w:rsidR="00F85326" w:rsidRPr="00F85326" w:rsidRDefault="00F85326" w:rsidP="00F85326">
      <w:r w:rsidRPr="00F85326">
        <w:t xml:space="preserve">There are no specific paediatric clinical data in the submission. </w:t>
      </w:r>
    </w:p>
    <w:p w:rsidR="00F85326" w:rsidRPr="00F85326" w:rsidRDefault="00F85326" w:rsidP="00F85326">
      <w:pPr>
        <w:pStyle w:val="Heading5"/>
      </w:pPr>
      <w:bookmarkStart w:id="38" w:name="_Toc306022791"/>
      <w:bookmarkStart w:id="39" w:name="_Toc290846236"/>
      <w:bookmarkStart w:id="40" w:name="_Toc272414612"/>
      <w:r w:rsidRPr="00F85326">
        <w:t>Good clinical practice</w:t>
      </w:r>
      <w:bookmarkEnd w:id="38"/>
      <w:bookmarkEnd w:id="39"/>
      <w:bookmarkEnd w:id="40"/>
    </w:p>
    <w:p w:rsidR="00F85326" w:rsidRPr="00F85326" w:rsidRDefault="00F85326" w:rsidP="00F85326">
      <w:r w:rsidRPr="00F85326">
        <w:t xml:space="preserve">All aspects of good clinical practice have been observed. </w:t>
      </w:r>
    </w:p>
    <w:p w:rsidR="00F85326" w:rsidRPr="00F85326" w:rsidRDefault="00F85326" w:rsidP="00F85326">
      <w:pPr>
        <w:pStyle w:val="Heading3"/>
      </w:pPr>
      <w:bookmarkStart w:id="41" w:name="_Toc196046464"/>
      <w:bookmarkStart w:id="42" w:name="_Toc247691518"/>
      <w:bookmarkStart w:id="43" w:name="_Toc348946647"/>
      <w:bookmarkStart w:id="44" w:name="_Toc356206749"/>
      <w:r w:rsidRPr="00F85326">
        <w:t>Pharmacokinetics</w:t>
      </w:r>
      <w:bookmarkEnd w:id="30"/>
      <w:bookmarkEnd w:id="41"/>
      <w:bookmarkEnd w:id="42"/>
      <w:bookmarkEnd w:id="43"/>
      <w:bookmarkEnd w:id="44"/>
    </w:p>
    <w:p w:rsidR="00F85326" w:rsidRPr="00F85326" w:rsidRDefault="00F85326" w:rsidP="00F85326">
      <w:bookmarkStart w:id="45" w:name="_Ref271018934"/>
      <w:bookmarkStart w:id="46" w:name="_Ref271018924"/>
      <w:bookmarkStart w:id="47" w:name="_Ref271017296"/>
      <w:bookmarkStart w:id="48" w:name="_Toc306022793"/>
      <w:bookmarkStart w:id="49" w:name="_Toc290846238"/>
      <w:bookmarkStart w:id="50" w:name="_Toc272414614"/>
      <w:r w:rsidRPr="00F85326">
        <w:t>No new studies</w:t>
      </w:r>
      <w:bookmarkEnd w:id="45"/>
      <w:bookmarkEnd w:id="46"/>
      <w:bookmarkEnd w:id="47"/>
      <w:r w:rsidRPr="00F85326">
        <w:t xml:space="preserve"> were provided</w:t>
      </w:r>
      <w:bookmarkEnd w:id="48"/>
      <w:bookmarkEnd w:id="49"/>
      <w:bookmarkEnd w:id="50"/>
      <w:r w:rsidRPr="00F85326">
        <w:t>.</w:t>
      </w:r>
    </w:p>
    <w:p w:rsidR="00F85326" w:rsidRPr="00F85326" w:rsidRDefault="00F85326" w:rsidP="00F85326">
      <w:pPr>
        <w:pStyle w:val="Heading3"/>
      </w:pPr>
      <w:bookmarkStart w:id="51" w:name="_Toc196046481"/>
      <w:bookmarkStart w:id="52" w:name="_Toc247691520"/>
      <w:bookmarkStart w:id="53" w:name="_Toc348946648"/>
      <w:bookmarkStart w:id="54" w:name="_Toc356206750"/>
      <w:proofErr w:type="spellStart"/>
      <w:r w:rsidRPr="00F85326">
        <w:t>Pharmacodynamics</w:t>
      </w:r>
      <w:bookmarkEnd w:id="31"/>
      <w:bookmarkEnd w:id="51"/>
      <w:bookmarkEnd w:id="52"/>
      <w:bookmarkEnd w:id="53"/>
      <w:bookmarkEnd w:id="54"/>
      <w:proofErr w:type="spellEnd"/>
    </w:p>
    <w:p w:rsidR="00F85326" w:rsidRPr="00F85326" w:rsidRDefault="00F85326" w:rsidP="00F85326">
      <w:bookmarkStart w:id="55" w:name="_Toc163441372"/>
      <w:bookmarkStart w:id="56" w:name="_Toc196046485"/>
      <w:bookmarkStart w:id="57" w:name="_Toc247691521"/>
      <w:r w:rsidRPr="00F85326">
        <w:t>No new studies were provided.</w:t>
      </w:r>
    </w:p>
    <w:p w:rsidR="00F85326" w:rsidRPr="00F85326" w:rsidRDefault="00F85326" w:rsidP="00F85326">
      <w:pPr>
        <w:pStyle w:val="Heading3"/>
      </w:pPr>
      <w:bookmarkStart w:id="58" w:name="_Toc348946649"/>
      <w:bookmarkStart w:id="59" w:name="_Toc356206751"/>
      <w:r w:rsidRPr="00F85326">
        <w:t>Efficacy</w:t>
      </w:r>
      <w:bookmarkEnd w:id="55"/>
      <w:bookmarkEnd w:id="56"/>
      <w:bookmarkEnd w:id="57"/>
      <w:bookmarkEnd w:id="58"/>
      <w:bookmarkEnd w:id="59"/>
      <w:r w:rsidRPr="00F85326">
        <w:t xml:space="preserve"> </w:t>
      </w:r>
    </w:p>
    <w:p w:rsidR="00F85326" w:rsidRPr="00F85326" w:rsidRDefault="00F85326" w:rsidP="00F85326">
      <w:pPr>
        <w:pStyle w:val="Heading4"/>
      </w:pPr>
      <w:bookmarkStart w:id="60" w:name="_Toc306022822"/>
      <w:bookmarkStart w:id="61" w:name="_Toc290846271"/>
      <w:bookmarkStart w:id="62" w:name="_Toc272414649"/>
      <w:bookmarkStart w:id="63" w:name="_Ref271214453"/>
      <w:bookmarkStart w:id="64" w:name="_Toc306022880"/>
      <w:bookmarkStart w:id="65" w:name="_Toc290846282"/>
      <w:bookmarkStart w:id="66" w:name="_Toc272414657"/>
      <w:bookmarkStart w:id="67" w:name="_Ref271126605"/>
      <w:bookmarkStart w:id="68" w:name="_Toc184439992"/>
      <w:bookmarkStart w:id="69" w:name="_Toc184440279"/>
      <w:bookmarkStart w:id="70" w:name="_Toc184444657"/>
      <w:bookmarkStart w:id="71" w:name="_Toc196046487"/>
      <w:r w:rsidRPr="00F85326">
        <w:t>Dosage selection for the pivotal study</w:t>
      </w:r>
      <w:bookmarkEnd w:id="60"/>
      <w:bookmarkEnd w:id="61"/>
      <w:bookmarkEnd w:id="62"/>
      <w:bookmarkEnd w:id="63"/>
      <w:r w:rsidRPr="00F85326">
        <w:t xml:space="preserve"> </w:t>
      </w:r>
    </w:p>
    <w:p w:rsidR="00F85326" w:rsidRPr="00F85326" w:rsidRDefault="00F85326" w:rsidP="00F85326">
      <w:r w:rsidRPr="00F85326">
        <w:t xml:space="preserve">A dose of </w:t>
      </w:r>
      <w:proofErr w:type="spellStart"/>
      <w:r w:rsidRPr="00F85326">
        <w:t>bevacizumab</w:t>
      </w:r>
      <w:proofErr w:type="spellEnd"/>
      <w:r w:rsidRPr="00F85326">
        <w:t xml:space="preserve"> of 15 mg/kg every 21 days is equivalent to a dose of 5 mg/kg per week and is the most commonly used dose of </w:t>
      </w:r>
      <w:proofErr w:type="spellStart"/>
      <w:r w:rsidRPr="00F85326">
        <w:t>bevacizumab</w:t>
      </w:r>
      <w:proofErr w:type="spellEnd"/>
      <w:r w:rsidRPr="00F85326">
        <w:t xml:space="preserve"> that has been shown to be effective in clinical trials across multiple tumour types. This dose was also studied in two single arm Phase II studies in ovarian cancer by the Gynaecological Oncology Group (GOG), demonstrating definite activity of </w:t>
      </w:r>
      <w:proofErr w:type="spellStart"/>
      <w:r w:rsidRPr="00F85326">
        <w:t>bevacizumab</w:t>
      </w:r>
      <w:proofErr w:type="spellEnd"/>
      <w:r w:rsidRPr="00F85326">
        <w:t xml:space="preserve"> as a single agent. This was thus the dose chosen for the subsequent first line Phase III trial conducted by the GOG of </w:t>
      </w:r>
      <w:proofErr w:type="spellStart"/>
      <w:r w:rsidRPr="00F85326">
        <w:t>bevacizumab</w:t>
      </w:r>
      <w:proofErr w:type="spellEnd"/>
      <w:r w:rsidRPr="00F85326">
        <w:t xml:space="preserve"> in combination with </w:t>
      </w:r>
      <w:proofErr w:type="spellStart"/>
      <w:r w:rsidRPr="00F85326">
        <w:t>carboplatin</w:t>
      </w:r>
      <w:proofErr w:type="spellEnd"/>
      <w:r w:rsidRPr="00F85326">
        <w:t xml:space="preserve"> and </w:t>
      </w:r>
      <w:proofErr w:type="spellStart"/>
      <w:r w:rsidRPr="00F85326">
        <w:t>paclitaxel</w:t>
      </w:r>
      <w:proofErr w:type="spellEnd"/>
      <w:r w:rsidRPr="00F85326">
        <w:t>; this regimen has also been chosen by the GOG for the pivotal study in this submission (AVF4095g) in the recurrent setting.</w:t>
      </w:r>
    </w:p>
    <w:p w:rsidR="00F85326" w:rsidRPr="00F85326" w:rsidRDefault="00F85326" w:rsidP="00F85326">
      <w:r w:rsidRPr="00F85326">
        <w:t xml:space="preserve">It should also be noted that the combination chemotherapy regimen for this pivotal trial was based on the results of earlier studies in which patients with platinum sensitive recurrent disease received </w:t>
      </w:r>
      <w:proofErr w:type="spellStart"/>
      <w:r w:rsidRPr="00F85326">
        <w:t>gemcitabine</w:t>
      </w:r>
      <w:proofErr w:type="spellEnd"/>
      <w:r w:rsidRPr="00F85326">
        <w:t xml:space="preserve"> (</w:t>
      </w:r>
      <w:proofErr w:type="spellStart"/>
      <w:r w:rsidRPr="00F85326">
        <w:t>Gemzar</w:t>
      </w:r>
      <w:proofErr w:type="spellEnd"/>
      <w:r w:rsidRPr="00F85326">
        <w:t xml:space="preserve">) and </w:t>
      </w:r>
      <w:proofErr w:type="spellStart"/>
      <w:r w:rsidRPr="00F85326">
        <w:t>carboplatin</w:t>
      </w:r>
      <w:proofErr w:type="spellEnd"/>
      <w:r w:rsidRPr="00F85326">
        <w:t xml:space="preserve">. Results of this study showed an improvement in response rates and progression free survival (PFS) with this drug combination compared with single agent </w:t>
      </w:r>
      <w:proofErr w:type="spellStart"/>
      <w:r w:rsidRPr="00F85326">
        <w:t>carboplatin</w:t>
      </w:r>
      <w:proofErr w:type="spellEnd"/>
      <w:r w:rsidRPr="00F85326">
        <w:t xml:space="preserve">. These data have subsequently been approved in the United States and Europe thereby establishing </w:t>
      </w:r>
      <w:proofErr w:type="spellStart"/>
      <w:r w:rsidRPr="00F85326">
        <w:t>gemcitabine</w:t>
      </w:r>
      <w:proofErr w:type="spellEnd"/>
      <w:r w:rsidRPr="00F85326">
        <w:t xml:space="preserve"> in combination with </w:t>
      </w:r>
      <w:proofErr w:type="spellStart"/>
      <w:r w:rsidRPr="00F85326">
        <w:t>carboplatin</w:t>
      </w:r>
      <w:proofErr w:type="spellEnd"/>
      <w:r w:rsidRPr="00F85326">
        <w:t xml:space="preserve"> as a standard second line combination for the management of ovarian cancer.  </w:t>
      </w:r>
    </w:p>
    <w:p w:rsidR="00F85326" w:rsidRPr="00F85326" w:rsidRDefault="00F85326" w:rsidP="00F85326">
      <w:pPr>
        <w:pStyle w:val="Heading4"/>
      </w:pPr>
      <w:r w:rsidRPr="00F85326">
        <w:t>Summary of studies</w:t>
      </w:r>
    </w:p>
    <w:p w:rsidR="00F85326" w:rsidRPr="00F85326" w:rsidRDefault="00F85326" w:rsidP="00F85326">
      <w:r w:rsidRPr="00F85326">
        <w:t xml:space="preserve">A single study is presented in this submission, being the pivotal Phase III trial AVF4095g which was designed to support an extension of the indication for </w:t>
      </w:r>
      <w:proofErr w:type="spellStart"/>
      <w:r w:rsidRPr="00F85326">
        <w:t>bevacizumab</w:t>
      </w:r>
      <w:proofErr w:type="spellEnd"/>
      <w:r w:rsidRPr="00F85326">
        <w:t xml:space="preserve"> in combination with </w:t>
      </w:r>
      <w:proofErr w:type="spellStart"/>
      <w:r w:rsidRPr="00F85326">
        <w:t>carboplatin</w:t>
      </w:r>
      <w:proofErr w:type="spellEnd"/>
      <w:r w:rsidRPr="00F85326">
        <w:t xml:space="preserve"> and </w:t>
      </w:r>
      <w:proofErr w:type="spellStart"/>
      <w:r w:rsidRPr="00F85326">
        <w:t>gemcitabine</w:t>
      </w:r>
      <w:proofErr w:type="spellEnd"/>
      <w:r w:rsidRPr="00F85326">
        <w:t xml:space="preserve"> for the treatment of patients with recurrent, platinum sensitive epithelial ovarian cancer, fallopian tube cancer and primary peritoneal cancer. The study was sponsored and conducted by Genentech Inc. and enrolled 484 patients over 33 months in 96 sites in the United States. The first patient was enrolled in April 2007 and the last enrolled in January 2010, with a clinical cut-off date for efficacy endpoints on the 17</w:t>
      </w:r>
      <w:r w:rsidRPr="00F85326">
        <w:rPr>
          <w:vertAlign w:val="superscript"/>
        </w:rPr>
        <w:t>th</w:t>
      </w:r>
      <w:r w:rsidRPr="00F85326">
        <w:t xml:space="preserve"> September 2010.  </w:t>
      </w:r>
    </w:p>
    <w:p w:rsidR="00F85326" w:rsidRPr="00F85326" w:rsidRDefault="00F85326" w:rsidP="00F85326">
      <w:r w:rsidRPr="00F85326">
        <w:t xml:space="preserve">The pivotal study was a randomised, double blind, placebo controlled, multicentre Phase III study evaluating the efficacy and safety of IV </w:t>
      </w:r>
      <w:proofErr w:type="spellStart"/>
      <w:r w:rsidRPr="00F85326">
        <w:t>carboplatin</w:t>
      </w:r>
      <w:proofErr w:type="spellEnd"/>
      <w:r w:rsidRPr="00F85326">
        <w:t xml:space="preserve"> (area under the curve (AUC) dose of 4 mg/mL.min</w:t>
      </w:r>
      <w:r w:rsidRPr="00F85326">
        <w:rPr>
          <w:vertAlign w:val="superscript"/>
        </w:rPr>
        <w:footnoteReference w:id="2"/>
      </w:r>
      <w:r w:rsidRPr="00F85326">
        <w:t xml:space="preserve"> on Day 1, every 21 Days) and IV </w:t>
      </w:r>
      <w:proofErr w:type="spellStart"/>
      <w:r w:rsidRPr="00F85326">
        <w:t>gemcitabine</w:t>
      </w:r>
      <w:proofErr w:type="spellEnd"/>
      <w:r w:rsidRPr="00F85326">
        <w:t xml:space="preserve"> (1000 mg/m</w:t>
      </w:r>
      <w:r w:rsidRPr="00F85326">
        <w:rPr>
          <w:vertAlign w:val="superscript"/>
        </w:rPr>
        <w:t>2</w:t>
      </w:r>
      <w:r w:rsidRPr="00F85326">
        <w:t xml:space="preserve"> on Days </w:t>
      </w:r>
      <w:r w:rsidRPr="00F85326">
        <w:lastRenderedPageBreak/>
        <w:t xml:space="preserve">1 and 8, every 21 Days) plus concomitant and extended </w:t>
      </w:r>
      <w:proofErr w:type="spellStart"/>
      <w:r w:rsidRPr="00F85326">
        <w:t>bevacizumab</w:t>
      </w:r>
      <w:proofErr w:type="spellEnd"/>
      <w:r w:rsidRPr="00F85326">
        <w:t xml:space="preserve"> (IV dose of 15 mg/kg on Day 1, every 21 Days). This was compared to </w:t>
      </w:r>
      <w:proofErr w:type="spellStart"/>
      <w:r w:rsidRPr="00F85326">
        <w:t>carboplatin</w:t>
      </w:r>
      <w:proofErr w:type="spellEnd"/>
      <w:r w:rsidRPr="00F85326">
        <w:t xml:space="preserve"> and </w:t>
      </w:r>
      <w:proofErr w:type="spellStart"/>
      <w:r w:rsidRPr="00F85326">
        <w:t>gemcitabine</w:t>
      </w:r>
      <w:proofErr w:type="spellEnd"/>
      <w:r w:rsidRPr="00F85326">
        <w:t xml:space="preserve"> plus concomitant and extended placebo in women with recurrent, platinum sensitive epithelial ovarian cancer, fallopian tube cancer and primary peritoneal cancer. The design of the study is presented in Figure 1.</w:t>
      </w:r>
    </w:p>
    <w:p w:rsidR="00F85326" w:rsidRPr="00F85326" w:rsidRDefault="00F85326" w:rsidP="00F85326">
      <w:pPr>
        <w:pStyle w:val="FigureTitle"/>
      </w:pPr>
      <w:r w:rsidRPr="00F85326">
        <w:t>Figure 1. Study AVF4095g schema</w:t>
      </w:r>
    </w:p>
    <w:p w:rsidR="00F85326" w:rsidRPr="00F85326" w:rsidRDefault="00F85326" w:rsidP="00F85326">
      <w:r w:rsidRPr="00F85326">
        <w:rPr>
          <w:noProof/>
          <w:lang w:eastAsia="en-AU"/>
        </w:rPr>
        <w:drawing>
          <wp:inline distT="0" distB="0" distL="0" distR="0">
            <wp:extent cx="4214970" cy="2788920"/>
            <wp:effectExtent l="19050" t="0" r="0" b="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559" t="5360"/>
                    <a:stretch>
                      <a:fillRect/>
                    </a:stretch>
                  </pic:blipFill>
                  <pic:spPr bwMode="auto">
                    <a:xfrm>
                      <a:off x="0" y="0"/>
                      <a:ext cx="4214970" cy="2788920"/>
                    </a:xfrm>
                    <a:prstGeom prst="rect">
                      <a:avLst/>
                    </a:prstGeom>
                    <a:noFill/>
                    <a:ln w="9525">
                      <a:noFill/>
                      <a:miter lim="800000"/>
                      <a:headEnd/>
                      <a:tailEnd/>
                    </a:ln>
                  </pic:spPr>
                </pic:pic>
              </a:graphicData>
            </a:graphic>
          </wp:inline>
        </w:drawing>
      </w:r>
    </w:p>
    <w:p w:rsidR="00F85326" w:rsidRPr="00F85326" w:rsidRDefault="00F85326" w:rsidP="00F85326">
      <w:r w:rsidRPr="00F85326">
        <w:t xml:space="preserve">Key efficacy results from the pivotal study are summarised in the Delegate’s overview, under the section on </w:t>
      </w:r>
      <w:r w:rsidRPr="00F85326">
        <w:rPr>
          <w:i/>
        </w:rPr>
        <w:t>Overall Conclusion and Risk/benefit Assessment</w:t>
      </w:r>
      <w:r w:rsidRPr="00F85326">
        <w:t>, below.</w:t>
      </w:r>
    </w:p>
    <w:p w:rsidR="00F85326" w:rsidRPr="00F85326" w:rsidRDefault="00F85326" w:rsidP="00F85326">
      <w:pPr>
        <w:pStyle w:val="Heading4"/>
      </w:pPr>
      <w:r w:rsidRPr="00F85326">
        <w:t>Evaluator’s summary and conclusions on clinical efficacy for the proposed indication.</w:t>
      </w:r>
      <w:bookmarkEnd w:id="64"/>
      <w:r w:rsidRPr="00F85326">
        <w:t xml:space="preserve"> </w:t>
      </w:r>
      <w:bookmarkEnd w:id="65"/>
      <w:bookmarkEnd w:id="66"/>
      <w:bookmarkEnd w:id="67"/>
    </w:p>
    <w:p w:rsidR="00F85326" w:rsidRPr="00F85326" w:rsidRDefault="00F85326" w:rsidP="00F85326">
      <w:r w:rsidRPr="00F85326">
        <w:t xml:space="preserve">The data from a reasonably sized study have clearly shown that the addition of </w:t>
      </w:r>
      <w:proofErr w:type="spellStart"/>
      <w:r w:rsidRPr="00F85326">
        <w:t>bevacizumab</w:t>
      </w:r>
      <w:proofErr w:type="spellEnd"/>
      <w:r w:rsidRPr="00F85326">
        <w:t xml:space="preserve"> to combination chemotherapy of </w:t>
      </w:r>
      <w:proofErr w:type="spellStart"/>
      <w:r w:rsidRPr="00F85326">
        <w:t>carboplatin</w:t>
      </w:r>
      <w:proofErr w:type="spellEnd"/>
      <w:r w:rsidRPr="00F85326">
        <w:t xml:space="preserve"> and </w:t>
      </w:r>
      <w:proofErr w:type="spellStart"/>
      <w:r w:rsidRPr="00F85326">
        <w:t>gemcitabine</w:t>
      </w:r>
      <w:proofErr w:type="spellEnd"/>
      <w:r w:rsidRPr="00F85326">
        <w:t xml:space="preserve"> is associated with a statistically significant increase in PFS of four months, and also a significantly increased overall response rate (ORR). Nevertheless, at this time the data is not yet supported by the improvement in overall survival (OS), but as the data is relatively immature, with only 29% of patients having died at the time of final data cut-off, further follow up would be appropriate. Nevertheless, all sensitivity analyses and sub-group evaluations confirm the apparent benefit of the addition of </w:t>
      </w:r>
      <w:proofErr w:type="spellStart"/>
      <w:r w:rsidRPr="00F85326">
        <w:t>bevacizumab</w:t>
      </w:r>
      <w:proofErr w:type="spellEnd"/>
      <w:r w:rsidRPr="00F85326">
        <w:t xml:space="preserve"> to chemotherapy in these patients. </w:t>
      </w:r>
    </w:p>
    <w:p w:rsidR="00F85326" w:rsidRPr="00F85326" w:rsidRDefault="00F85326" w:rsidP="00F85326">
      <w:r w:rsidRPr="00F85326">
        <w:t xml:space="preserve">Even though the median duration of PFS improvement is only of the order of four months, in the context of recurrent disease in patients whose survival will be limited, this prolongation of PFS can be considered clinically meaningful.  </w:t>
      </w:r>
    </w:p>
    <w:p w:rsidR="00F85326" w:rsidRPr="00F85326" w:rsidRDefault="00F85326" w:rsidP="00F85326">
      <w:pPr>
        <w:pStyle w:val="Heading3"/>
      </w:pPr>
      <w:bookmarkStart w:id="72" w:name="_Toc163441378"/>
      <w:bookmarkStart w:id="73" w:name="_Toc196046495"/>
      <w:bookmarkStart w:id="74" w:name="_Toc247691522"/>
      <w:bookmarkStart w:id="75" w:name="_Toc348946650"/>
      <w:bookmarkStart w:id="76" w:name="_Toc356206752"/>
      <w:bookmarkEnd w:id="68"/>
      <w:bookmarkEnd w:id="69"/>
      <w:bookmarkEnd w:id="70"/>
      <w:bookmarkEnd w:id="71"/>
      <w:r w:rsidRPr="00F85326">
        <w:t>Safety</w:t>
      </w:r>
      <w:bookmarkEnd w:id="72"/>
      <w:bookmarkEnd w:id="73"/>
      <w:bookmarkEnd w:id="74"/>
      <w:bookmarkEnd w:id="75"/>
      <w:bookmarkEnd w:id="76"/>
    </w:p>
    <w:p w:rsidR="00F85326" w:rsidRPr="00F85326" w:rsidRDefault="00F85326" w:rsidP="00F85326">
      <w:pPr>
        <w:pStyle w:val="Heading4"/>
      </w:pPr>
      <w:bookmarkStart w:id="77" w:name="_Toc306022882"/>
      <w:bookmarkStart w:id="78" w:name="_Toc290846284"/>
      <w:bookmarkStart w:id="79" w:name="_Toc272414659"/>
      <w:r w:rsidRPr="00F85326">
        <w:t>Studies providing evaluable safety data</w:t>
      </w:r>
      <w:bookmarkEnd w:id="77"/>
      <w:bookmarkEnd w:id="78"/>
      <w:bookmarkEnd w:id="79"/>
    </w:p>
    <w:p w:rsidR="00F85326" w:rsidRPr="00F85326" w:rsidRDefault="00F85326" w:rsidP="00F85326">
      <w:bookmarkStart w:id="80" w:name="_Toc306022956"/>
      <w:r w:rsidRPr="00F85326">
        <w:t xml:space="preserve">Safety data for this evaluation comes from the pivotal study AVF4095g. Safety data was recorded up to the 17 September 2010 from a total of 480 safety evaluable patients.  </w:t>
      </w:r>
    </w:p>
    <w:p w:rsidR="00F85326" w:rsidRPr="00F85326" w:rsidRDefault="00F85326" w:rsidP="00F85326">
      <w:r w:rsidRPr="00F85326">
        <w:lastRenderedPageBreak/>
        <w:t xml:space="preserve">Safety data collected during the study was reviewed by an independent external Data Monitoring Committee (DMC) which periodically monitored previously determined safety signals and made recommendations regarding continuation of the study. </w:t>
      </w:r>
    </w:p>
    <w:p w:rsidR="00F85326" w:rsidRPr="00F85326" w:rsidRDefault="00F85326" w:rsidP="00F85326">
      <w:pPr>
        <w:pStyle w:val="Heading4"/>
      </w:pPr>
      <w:r w:rsidRPr="00F85326">
        <w:t>Evaluator’s summary and conclusion on clinical safety</w:t>
      </w:r>
      <w:bookmarkEnd w:id="80"/>
      <w:r w:rsidRPr="00F85326">
        <w:t xml:space="preserve"> </w:t>
      </w:r>
    </w:p>
    <w:p w:rsidR="00F85326" w:rsidRPr="00F85326" w:rsidRDefault="00F85326" w:rsidP="00F85326">
      <w:r w:rsidRPr="00F85326">
        <w:t xml:space="preserve">The safety profile demonstrated from this pivotal trial was generally in line with that presently recognised for patients receiving </w:t>
      </w:r>
      <w:proofErr w:type="spellStart"/>
      <w:r w:rsidRPr="00F85326">
        <w:t>bevacizumab</w:t>
      </w:r>
      <w:proofErr w:type="spellEnd"/>
      <w:r w:rsidRPr="00F85326">
        <w:t xml:space="preserve">. </w:t>
      </w:r>
      <w:proofErr w:type="spellStart"/>
      <w:r w:rsidRPr="00F85326">
        <w:t>Bevacizumab</w:t>
      </w:r>
      <w:proofErr w:type="spellEnd"/>
      <w:r w:rsidRPr="00F85326">
        <w:t xml:space="preserve"> is associated with a higher incidence overall and higher Grades of adverse effects than placebo. The most common of these adverse effects included arterial thrombotic events, at least Grade III hypertension, </w:t>
      </w:r>
      <w:proofErr w:type="spellStart"/>
      <w:r w:rsidRPr="00F85326">
        <w:t>proteinuria</w:t>
      </w:r>
      <w:proofErr w:type="spellEnd"/>
      <w:r w:rsidRPr="00F85326">
        <w:t xml:space="preserve">, and non-CNS bleeding. It was also noted that a small number of patients experienced reversible posterior </w:t>
      </w:r>
      <w:proofErr w:type="spellStart"/>
      <w:r w:rsidRPr="00F85326">
        <w:t>leukoencephalopathy</w:t>
      </w:r>
      <w:proofErr w:type="spellEnd"/>
      <w:r w:rsidRPr="00F85326">
        <w:t xml:space="preserve"> syndrome (RPLS) on </w:t>
      </w:r>
      <w:proofErr w:type="spellStart"/>
      <w:r w:rsidRPr="00F85326">
        <w:t>bevacizumab</w:t>
      </w:r>
      <w:proofErr w:type="spellEnd"/>
      <w:r w:rsidRPr="00F85326">
        <w:t xml:space="preserve"> in this study, which had not been previously recognised as a common adverse effect for with agent. </w:t>
      </w:r>
    </w:p>
    <w:p w:rsidR="00F85326" w:rsidRPr="00F85326" w:rsidRDefault="00F85326" w:rsidP="00F85326">
      <w:r w:rsidRPr="00F85326">
        <w:t xml:space="preserve">The proportion of patients requiring </w:t>
      </w:r>
      <w:proofErr w:type="spellStart"/>
      <w:r w:rsidRPr="00F85326">
        <w:t>bevacizumab</w:t>
      </w:r>
      <w:proofErr w:type="spellEnd"/>
      <w:r w:rsidRPr="00F85326">
        <w:t xml:space="preserve"> discontinuation given adverse events (AEs) was also clearly higher on the </w:t>
      </w:r>
      <w:proofErr w:type="spellStart"/>
      <w:r w:rsidRPr="00F85326">
        <w:t>bevacizumab</w:t>
      </w:r>
      <w:proofErr w:type="spellEnd"/>
      <w:r w:rsidRPr="00F85326">
        <w:t xml:space="preserve"> therapy, most often related to hypertension, </w:t>
      </w:r>
      <w:proofErr w:type="spellStart"/>
      <w:r w:rsidRPr="00F85326">
        <w:t>proteinuria</w:t>
      </w:r>
      <w:proofErr w:type="spellEnd"/>
      <w:r w:rsidRPr="00F85326">
        <w:t xml:space="preserve">, </w:t>
      </w:r>
      <w:proofErr w:type="spellStart"/>
      <w:r w:rsidRPr="00F85326">
        <w:t>epistaxis</w:t>
      </w:r>
      <w:proofErr w:type="spellEnd"/>
      <w:r w:rsidRPr="00F85326">
        <w:t xml:space="preserve"> and a small number of occasions of RPLS. Only one patient had experienced death as a direct result of </w:t>
      </w:r>
      <w:proofErr w:type="spellStart"/>
      <w:r w:rsidRPr="00F85326">
        <w:t>bevacizumab</w:t>
      </w:r>
      <w:proofErr w:type="spellEnd"/>
      <w:r w:rsidRPr="00F85326">
        <w:t xml:space="preserve"> therapy.  </w:t>
      </w:r>
    </w:p>
    <w:p w:rsidR="00F85326" w:rsidRPr="00F85326" w:rsidRDefault="00F85326" w:rsidP="00F85326">
      <w:r w:rsidRPr="00F85326">
        <w:t xml:space="preserve">Overall, it would appear that while there is a significant spectrum of adverse effects associated with </w:t>
      </w:r>
      <w:proofErr w:type="spellStart"/>
      <w:r w:rsidRPr="00F85326">
        <w:t>bevacizumab</w:t>
      </w:r>
      <w:proofErr w:type="spellEnd"/>
      <w:r w:rsidRPr="00F85326">
        <w:t xml:space="preserve">, these most often are manageable. Nevertheless, caution would be required in decisions regarding prescription of </w:t>
      </w:r>
      <w:proofErr w:type="spellStart"/>
      <w:r w:rsidRPr="00F85326">
        <w:t>bevacizumab</w:t>
      </w:r>
      <w:proofErr w:type="spellEnd"/>
      <w:r w:rsidRPr="00F85326">
        <w:t xml:space="preserve">, particularly in the context of patients whose malignancy is quite far advanced which would therefore require greater care in administration and management of adverse effects.  </w:t>
      </w:r>
    </w:p>
    <w:p w:rsidR="00F85326" w:rsidRPr="00F85326" w:rsidRDefault="00F85326" w:rsidP="00F85326">
      <w:pPr>
        <w:pStyle w:val="Heading5"/>
      </w:pPr>
      <w:r w:rsidRPr="00F85326">
        <w:t xml:space="preserve">Safety in relation to intraocular administration of </w:t>
      </w:r>
      <w:proofErr w:type="spellStart"/>
      <w:r w:rsidRPr="00F85326">
        <w:t>bevacizumab</w:t>
      </w:r>
      <w:proofErr w:type="spellEnd"/>
    </w:p>
    <w:p w:rsidR="00F85326" w:rsidRPr="00F85326" w:rsidRDefault="00F85326" w:rsidP="00F85326">
      <w:r w:rsidRPr="00F85326">
        <w:t xml:space="preserve">Off-label administration of intraocular </w:t>
      </w:r>
      <w:proofErr w:type="spellStart"/>
      <w:r w:rsidRPr="00F85326">
        <w:t>bevacizumab</w:t>
      </w:r>
      <w:proofErr w:type="spellEnd"/>
      <w:r w:rsidRPr="00F85326">
        <w:t xml:space="preserve"> for the treatment of age related macular degeneration has been occurring for approximately five years. There has been no organised assessment of this in relation to potential safety. Roche Pty Limited has undertaken a safety review of data presented to the company together with those from a </w:t>
      </w:r>
      <w:r>
        <w:t xml:space="preserve">literature search. </w:t>
      </w:r>
    </w:p>
    <w:p w:rsidR="00F85326" w:rsidRPr="00F85326" w:rsidRDefault="00F85326" w:rsidP="00F85326">
      <w:pPr>
        <w:pStyle w:val="Heading6"/>
      </w:pPr>
      <w:r w:rsidRPr="00F85326">
        <w:t>Evaluator’s conclusion</w:t>
      </w:r>
    </w:p>
    <w:p w:rsidR="00F85326" w:rsidRPr="00F85326" w:rsidRDefault="00F85326" w:rsidP="00F85326">
      <w:r w:rsidRPr="00F85326">
        <w:t>The data have led to new statements being placed in the proposed PI involving adverse reactions reported in the post-marketing setting. These include an outline of data from the studies showing evidence of increasing incidence of ocular inflammation and selected systemic events, including haemorrhagic stroke and overall mortality. The data presented is accurate in relation to the reported studies and appropriate for inclusion in the PI.</w:t>
      </w:r>
    </w:p>
    <w:p w:rsidR="00F85326" w:rsidRPr="00F85326" w:rsidRDefault="00F85326" w:rsidP="00F85326">
      <w:pPr>
        <w:pStyle w:val="Heading3"/>
      </w:pPr>
      <w:bookmarkStart w:id="81" w:name="_Toc255919423"/>
      <w:bookmarkStart w:id="82" w:name="_Toc241374329"/>
      <w:bookmarkStart w:id="83" w:name="_Toc270320087"/>
      <w:bookmarkStart w:id="84" w:name="_Toc348946651"/>
      <w:bookmarkStart w:id="85" w:name="_Toc356206753"/>
      <w:bookmarkStart w:id="86" w:name="_Toc163441387"/>
      <w:r>
        <w:t>List of q</w:t>
      </w:r>
      <w:r w:rsidRPr="00F85326">
        <w:t>uestions</w:t>
      </w:r>
      <w:bookmarkEnd w:id="81"/>
      <w:bookmarkEnd w:id="82"/>
      <w:bookmarkEnd w:id="83"/>
      <w:bookmarkEnd w:id="84"/>
      <w:bookmarkEnd w:id="85"/>
    </w:p>
    <w:p w:rsidR="00F85326" w:rsidRPr="00F85326" w:rsidRDefault="00F85326" w:rsidP="00F85326">
      <w:r w:rsidRPr="00F85326">
        <w:t>Please advise when the final analysis of OS in study AVF4095g is expected and commit to submitting this data when available</w:t>
      </w:r>
      <w:r w:rsidRPr="00F85326">
        <w:rPr>
          <w:vertAlign w:val="superscript"/>
        </w:rPr>
        <w:footnoteReference w:id="3"/>
      </w:r>
      <w:r w:rsidRPr="00F85326">
        <w:t>.</w:t>
      </w:r>
    </w:p>
    <w:p w:rsidR="00A30B06" w:rsidRDefault="00A30B06">
      <w:pPr>
        <w:spacing w:before="0" w:after="200" w:line="0" w:lineRule="auto"/>
        <w:rPr>
          <w:rFonts w:ascii="Arial" w:eastAsia="Times New Roman" w:hAnsi="Arial"/>
          <w:b/>
          <w:bCs/>
          <w:szCs w:val="21"/>
        </w:rPr>
      </w:pPr>
      <w:bookmarkStart w:id="87" w:name="_Toc247691523"/>
      <w:bookmarkStart w:id="88" w:name="_Toc348946652"/>
      <w:bookmarkStart w:id="89" w:name="_Toc184440295"/>
      <w:bookmarkStart w:id="90" w:name="_Toc184444673"/>
      <w:bookmarkStart w:id="91" w:name="_Toc196046503"/>
      <w:bookmarkEnd w:id="86"/>
      <w:r>
        <w:br w:type="page"/>
      </w:r>
    </w:p>
    <w:p w:rsidR="00F85326" w:rsidRPr="00F85326" w:rsidRDefault="00F85326" w:rsidP="00F85326">
      <w:pPr>
        <w:pStyle w:val="Heading3"/>
      </w:pPr>
      <w:bookmarkStart w:id="92" w:name="_Toc356206754"/>
      <w:r>
        <w:lastRenderedPageBreak/>
        <w:t>Clinical summary and c</w:t>
      </w:r>
      <w:r w:rsidRPr="00F85326">
        <w:t>onclusions</w:t>
      </w:r>
      <w:bookmarkEnd w:id="87"/>
      <w:bookmarkEnd w:id="88"/>
      <w:bookmarkEnd w:id="92"/>
    </w:p>
    <w:p w:rsidR="00F85326" w:rsidRPr="00F85326" w:rsidRDefault="00F85326" w:rsidP="00F85326">
      <w:pPr>
        <w:pStyle w:val="Heading4"/>
      </w:pPr>
      <w:bookmarkStart w:id="93" w:name="_Toc282171213"/>
      <w:bookmarkStart w:id="94" w:name="_Toc236802594"/>
      <w:bookmarkStart w:id="95" w:name="_Toc241374332"/>
      <w:bookmarkStart w:id="96" w:name="_Toc196046504"/>
      <w:bookmarkStart w:id="97" w:name="_Toc163441390"/>
      <w:bookmarkEnd w:id="89"/>
      <w:bookmarkEnd w:id="90"/>
      <w:bookmarkEnd w:id="91"/>
      <w:r w:rsidRPr="00F85326">
        <w:t>Benefit risk assessment</w:t>
      </w:r>
      <w:bookmarkEnd w:id="93"/>
      <w:bookmarkEnd w:id="94"/>
      <w:bookmarkEnd w:id="95"/>
    </w:p>
    <w:p w:rsidR="00F85326" w:rsidRPr="00F85326" w:rsidRDefault="00F85326" w:rsidP="00F85326">
      <w:pPr>
        <w:pStyle w:val="Heading5"/>
      </w:pPr>
      <w:bookmarkStart w:id="98" w:name="_Toc306022958"/>
      <w:bookmarkStart w:id="99" w:name="_Toc290846331"/>
      <w:bookmarkStart w:id="100" w:name="_Toc272414693"/>
      <w:bookmarkStart w:id="101" w:name="_Ref272160836"/>
      <w:bookmarkStart w:id="102" w:name="_Toc241374331"/>
      <w:bookmarkStart w:id="103" w:name="_Toc236802592"/>
      <w:bookmarkStart w:id="104" w:name="_Toc282171217"/>
      <w:bookmarkStart w:id="105" w:name="_Toc241374338"/>
      <w:r w:rsidRPr="00F85326">
        <w:t>Assessment of benefits</w:t>
      </w:r>
      <w:bookmarkEnd w:id="98"/>
      <w:bookmarkEnd w:id="99"/>
      <w:bookmarkEnd w:id="100"/>
      <w:bookmarkEnd w:id="101"/>
      <w:bookmarkEnd w:id="102"/>
      <w:bookmarkEnd w:id="103"/>
    </w:p>
    <w:p w:rsidR="00F85326" w:rsidRPr="00F85326" w:rsidRDefault="00F85326" w:rsidP="00F85326">
      <w:r w:rsidRPr="00F85326">
        <w:t xml:space="preserve">The efficacy results from the pivotal study AVF4095g have demonstrated a significant improvement in PFS for patients receiving </w:t>
      </w:r>
      <w:proofErr w:type="spellStart"/>
      <w:r w:rsidRPr="00F85326">
        <w:t>bevacizumab</w:t>
      </w:r>
      <w:proofErr w:type="spellEnd"/>
      <w:r w:rsidRPr="00F85326">
        <w:t xml:space="preserve"> in combination with </w:t>
      </w:r>
      <w:proofErr w:type="spellStart"/>
      <w:r w:rsidRPr="00F85326">
        <w:t>carboplatin</w:t>
      </w:r>
      <w:proofErr w:type="spellEnd"/>
      <w:r w:rsidRPr="00F85326">
        <w:t xml:space="preserve"> and </w:t>
      </w:r>
      <w:proofErr w:type="spellStart"/>
      <w:r w:rsidRPr="00F85326">
        <w:t>gemcitabine</w:t>
      </w:r>
      <w:proofErr w:type="spellEnd"/>
      <w:r w:rsidRPr="00F85326">
        <w:t xml:space="preserve"> compared to chemotherapy alone, with an improvement in median PFS of four months. This had statistical significance of p &lt; 0.0001. These primary efficacy results were consistent across various patient sub-groups, which included Eastern Cooperative Oncology Group (ECOG) performance status</w:t>
      </w:r>
      <w:r w:rsidRPr="00F85326">
        <w:rPr>
          <w:vertAlign w:val="superscript"/>
        </w:rPr>
        <w:footnoteReference w:id="4"/>
      </w:r>
      <w:r w:rsidRPr="00F85326">
        <w:t xml:space="preserve">, </w:t>
      </w:r>
      <w:proofErr w:type="spellStart"/>
      <w:r w:rsidRPr="00F85326">
        <w:t>histologic</w:t>
      </w:r>
      <w:proofErr w:type="spellEnd"/>
      <w:r w:rsidRPr="00F85326">
        <w:t xml:space="preserve"> sub-type, stratification variables and age. Various sensitivity analyses also confirmed the robustness of the data. Evidence of a significant improvement in ORR was also obtained, with an ORR of 79% for patients receiving </w:t>
      </w:r>
      <w:proofErr w:type="spellStart"/>
      <w:r w:rsidRPr="00F85326">
        <w:t>bevacizumab</w:t>
      </w:r>
      <w:proofErr w:type="spellEnd"/>
      <w:r w:rsidRPr="00F85326">
        <w:t xml:space="preserve"> compared to 57.4% for those receiving placebo (p value &lt; 0.0001). </w:t>
      </w:r>
    </w:p>
    <w:p w:rsidR="00F85326" w:rsidRPr="00F85326" w:rsidRDefault="00F85326" w:rsidP="00F85326">
      <w:r w:rsidRPr="00F85326">
        <w:t xml:space="preserve">Overall survival data remains immature and does not show a significant difference, although at the time of data analysis, 32.3% of patients receiving placebo died compared to 26% patients in the </w:t>
      </w:r>
      <w:proofErr w:type="spellStart"/>
      <w:r w:rsidRPr="00F85326">
        <w:t>bevacizumab</w:t>
      </w:r>
      <w:proofErr w:type="spellEnd"/>
      <w:r w:rsidRPr="00F85326">
        <w:t xml:space="preserve"> arm. This study was well conducted involving a reasonably sized patient population. Confirmation of the degree of activity determined by the improvement in PFS will await analysis of OS on a more mature analysis.</w:t>
      </w:r>
    </w:p>
    <w:p w:rsidR="00F85326" w:rsidRPr="00F85326" w:rsidRDefault="00F85326" w:rsidP="00F85326">
      <w:pPr>
        <w:pStyle w:val="Heading5"/>
      </w:pPr>
      <w:bookmarkStart w:id="106" w:name="_Toc306022959"/>
      <w:bookmarkStart w:id="107" w:name="_Toc290846332"/>
      <w:bookmarkStart w:id="108" w:name="_Toc272414694"/>
      <w:bookmarkStart w:id="109" w:name="_Ref272160964"/>
      <w:bookmarkStart w:id="110" w:name="_Toc241374334"/>
      <w:bookmarkStart w:id="111" w:name="_Toc236802596"/>
      <w:r w:rsidRPr="00F85326">
        <w:t>Assessment of risks</w:t>
      </w:r>
      <w:bookmarkEnd w:id="106"/>
      <w:bookmarkEnd w:id="107"/>
      <w:bookmarkEnd w:id="108"/>
      <w:bookmarkEnd w:id="109"/>
      <w:bookmarkEnd w:id="110"/>
      <w:bookmarkEnd w:id="111"/>
    </w:p>
    <w:p w:rsidR="00F85326" w:rsidRPr="00F85326" w:rsidRDefault="00F85326" w:rsidP="00F85326">
      <w:r w:rsidRPr="00F85326">
        <w:t xml:space="preserve">Safety data from the pivotal study has revealed that the incidence of at least Grade III AEs was higher in the </w:t>
      </w:r>
      <w:proofErr w:type="spellStart"/>
      <w:r w:rsidRPr="00F85326">
        <w:t>bevacizumab</w:t>
      </w:r>
      <w:proofErr w:type="spellEnd"/>
      <w:r w:rsidRPr="00F85326">
        <w:t xml:space="preserve"> arm, being 89.5%, compared to the placebo arm (82.4%). Adverse events of special interest were observed at a higher rate in the </w:t>
      </w:r>
      <w:proofErr w:type="spellStart"/>
      <w:r w:rsidRPr="00F85326">
        <w:t>bevacizumab</w:t>
      </w:r>
      <w:proofErr w:type="spellEnd"/>
      <w:r w:rsidRPr="00F85326">
        <w:t xml:space="preserve"> treated patients: the incidence of AEs of any Grade was: </w:t>
      </w:r>
      <w:proofErr w:type="spellStart"/>
      <w:r w:rsidRPr="00F85326">
        <w:t>bevacizumab</w:t>
      </w:r>
      <w:proofErr w:type="spellEnd"/>
      <w:r w:rsidRPr="00F85326">
        <w:t xml:space="preserve"> 94.3% versus placebo 85%, and for Grade III-IV AEs, the incidence was </w:t>
      </w:r>
      <w:proofErr w:type="spellStart"/>
      <w:r w:rsidRPr="00F85326">
        <w:t>bevacizumab</w:t>
      </w:r>
      <w:proofErr w:type="spellEnd"/>
      <w:r w:rsidRPr="00F85326">
        <w:t xml:space="preserve"> 73.7% versus placebo 61.8%. These AEs included arterial </w:t>
      </w:r>
      <w:proofErr w:type="spellStart"/>
      <w:r w:rsidRPr="00F85326">
        <w:t>thromboembolic</w:t>
      </w:r>
      <w:proofErr w:type="spellEnd"/>
      <w:r w:rsidRPr="00F85326">
        <w:t xml:space="preserve"> events of any Grade, at least Grade III hypertension, </w:t>
      </w:r>
      <w:proofErr w:type="spellStart"/>
      <w:r w:rsidRPr="00F85326">
        <w:t>proteinuria</w:t>
      </w:r>
      <w:proofErr w:type="spellEnd"/>
      <w:r w:rsidRPr="00F85326">
        <w:t xml:space="preserve">, non-CNS bleeding, and RPLS. Overall, these events were consistent with previous experience of </w:t>
      </w:r>
      <w:proofErr w:type="spellStart"/>
      <w:r w:rsidRPr="00F85326">
        <w:t>bevacizumab</w:t>
      </w:r>
      <w:proofErr w:type="spellEnd"/>
      <w:r w:rsidRPr="00F85326">
        <w:t xml:space="preserve"> in other tumour types, although the incidence of RPLS was a little higher than previously reported. It is also noted that the incidence of AEs leading to study drug discontinuation was higher in the </w:t>
      </w:r>
      <w:proofErr w:type="spellStart"/>
      <w:r w:rsidRPr="00F85326">
        <w:t>bevacizumab</w:t>
      </w:r>
      <w:proofErr w:type="spellEnd"/>
      <w:r w:rsidRPr="00F85326">
        <w:t xml:space="preserve"> arm, being 19.8%, compared to 4.7% for placebo, with the most common being Grade III or higher hypertension, </w:t>
      </w:r>
      <w:proofErr w:type="spellStart"/>
      <w:r w:rsidRPr="00F85326">
        <w:t>proteinuria</w:t>
      </w:r>
      <w:proofErr w:type="spellEnd"/>
      <w:r w:rsidRPr="00F85326">
        <w:t xml:space="preserve">, </w:t>
      </w:r>
      <w:proofErr w:type="spellStart"/>
      <w:r w:rsidRPr="00F85326">
        <w:t>epistaxis</w:t>
      </w:r>
      <w:proofErr w:type="spellEnd"/>
      <w:r w:rsidRPr="00F85326">
        <w:t xml:space="preserve"> and RPLS. Only one patient experienced a fatal intracranial haemorrhage as a result of </w:t>
      </w:r>
      <w:proofErr w:type="spellStart"/>
      <w:r w:rsidRPr="00F85326">
        <w:t>bevacizumab</w:t>
      </w:r>
      <w:proofErr w:type="spellEnd"/>
      <w:r w:rsidRPr="00F85326">
        <w:t xml:space="preserve"> therapy.  </w:t>
      </w:r>
    </w:p>
    <w:p w:rsidR="00F85326" w:rsidRPr="00F85326" w:rsidRDefault="00F85326" w:rsidP="00F85326">
      <w:r w:rsidRPr="00F85326">
        <w:t xml:space="preserve">The safety data confirmed the AEs profile of </w:t>
      </w:r>
      <w:proofErr w:type="spellStart"/>
      <w:r w:rsidRPr="00F85326">
        <w:t>bevacizumab</w:t>
      </w:r>
      <w:proofErr w:type="spellEnd"/>
      <w:r w:rsidRPr="00F85326">
        <w:t xml:space="preserve"> previously reported and indicates that this is an agent which needs to be managed with care. This is even more pertinent in patients with relatively advanced Stage 3 disease who have already failed first line therapy and therefore are facing further therapy with relatively limited survival prospects. </w:t>
      </w:r>
    </w:p>
    <w:p w:rsidR="00F85326" w:rsidRPr="00F85326" w:rsidRDefault="00F85326" w:rsidP="00F85326">
      <w:pPr>
        <w:pStyle w:val="Heading5"/>
      </w:pPr>
      <w:bookmarkStart w:id="112" w:name="_Toc306022960"/>
      <w:bookmarkStart w:id="113" w:name="_Toc290846333"/>
      <w:bookmarkStart w:id="114" w:name="_Toc272414695"/>
      <w:bookmarkStart w:id="115" w:name="_Toc241374335"/>
      <w:bookmarkStart w:id="116" w:name="_Toc236802597"/>
      <w:r w:rsidRPr="00F85326">
        <w:t>Assessment of benefit-risk balance</w:t>
      </w:r>
      <w:bookmarkEnd w:id="112"/>
      <w:bookmarkEnd w:id="113"/>
      <w:bookmarkEnd w:id="114"/>
      <w:bookmarkEnd w:id="115"/>
      <w:bookmarkEnd w:id="116"/>
    </w:p>
    <w:p w:rsidR="00F85326" w:rsidRPr="00F85326" w:rsidRDefault="00F85326" w:rsidP="00F85326">
      <w:r w:rsidRPr="00F85326">
        <w:t xml:space="preserve">The pivotal study has demonstrated that the addition of </w:t>
      </w:r>
      <w:proofErr w:type="spellStart"/>
      <w:r w:rsidRPr="00F85326">
        <w:t>bevacizumab</w:t>
      </w:r>
      <w:proofErr w:type="spellEnd"/>
      <w:r w:rsidRPr="00F85326">
        <w:t xml:space="preserve"> to chemotherapy, </w:t>
      </w:r>
      <w:proofErr w:type="spellStart"/>
      <w:r w:rsidRPr="00F85326">
        <w:t>carboplatin</w:t>
      </w:r>
      <w:proofErr w:type="spellEnd"/>
      <w:r w:rsidRPr="00F85326">
        <w:t xml:space="preserve"> and </w:t>
      </w:r>
      <w:proofErr w:type="spellStart"/>
      <w:r w:rsidRPr="00F85326">
        <w:t>gemcitabine</w:t>
      </w:r>
      <w:proofErr w:type="spellEnd"/>
      <w:r w:rsidRPr="00F85326">
        <w:t xml:space="preserve">, is associated with a significant improvement in PFS for patients with recurrent ovarian, fallopian tube and primary peritoneal carcinomas. An improvement of four months in PFS for the </w:t>
      </w:r>
      <w:proofErr w:type="spellStart"/>
      <w:r w:rsidRPr="00F85326">
        <w:t>bevacizumab</w:t>
      </w:r>
      <w:proofErr w:type="spellEnd"/>
      <w:r w:rsidRPr="00F85326">
        <w:t xml:space="preserve"> patients is pertinent in the clinical setting, but not to a large degree. The toxicity profile demonstrated in this study with </w:t>
      </w:r>
      <w:proofErr w:type="spellStart"/>
      <w:r w:rsidRPr="00F85326">
        <w:t>bevacizumab</w:t>
      </w:r>
      <w:proofErr w:type="spellEnd"/>
      <w:r w:rsidRPr="00F85326">
        <w:t xml:space="preserve"> is, while generally well recognised, not insignificant in its extent, and therefore requires careful management in this patient population.</w:t>
      </w:r>
    </w:p>
    <w:p w:rsidR="00F85326" w:rsidRPr="00F85326" w:rsidRDefault="00F85326" w:rsidP="00F85326">
      <w:r w:rsidRPr="00F85326">
        <w:lastRenderedPageBreak/>
        <w:t xml:space="preserve">The evaluator considers that the benefit-risk balance is in favour of approval of </w:t>
      </w:r>
      <w:proofErr w:type="spellStart"/>
      <w:r w:rsidRPr="00F85326">
        <w:t>bevacizumab</w:t>
      </w:r>
      <w:proofErr w:type="spellEnd"/>
      <w:r w:rsidRPr="00F85326">
        <w:t xml:space="preserve"> for the proposed indication: in combination with </w:t>
      </w:r>
      <w:proofErr w:type="spellStart"/>
      <w:r w:rsidRPr="00F85326">
        <w:t>carboplatin</w:t>
      </w:r>
      <w:proofErr w:type="spellEnd"/>
      <w:r w:rsidRPr="00F85326">
        <w:t xml:space="preserve"> and </w:t>
      </w:r>
      <w:proofErr w:type="spellStart"/>
      <w:r w:rsidRPr="00F85326">
        <w:t>gemcitabine</w:t>
      </w:r>
      <w:proofErr w:type="spellEnd"/>
      <w:r w:rsidRPr="00F85326">
        <w:t xml:space="preserve"> for the treatment of patients with recurrent, platinum sensitive epithelial ovarian, fallopian tube or primary peritoneal carcinoma. Nevertheless, follow up with mature OS data would be most pertinent to ensure that there is sufficient evidence to support the routine clinical incorporation of </w:t>
      </w:r>
      <w:proofErr w:type="spellStart"/>
      <w:r w:rsidRPr="00F85326">
        <w:t>bevacizumab</w:t>
      </w:r>
      <w:proofErr w:type="spellEnd"/>
      <w:r w:rsidRPr="00F85326">
        <w:t xml:space="preserve"> into patients receiving chemotherapy for recurrent ovarian malignancies.  </w:t>
      </w:r>
    </w:p>
    <w:p w:rsidR="00F85326" w:rsidRPr="00F85326" w:rsidRDefault="00F85326" w:rsidP="00F85326">
      <w:r w:rsidRPr="00F85326">
        <w:t xml:space="preserve">The data presented with regards to proposed additions to the PI in relation to intraocular use of </w:t>
      </w:r>
      <w:proofErr w:type="spellStart"/>
      <w:r w:rsidRPr="00F85326">
        <w:t>bevacizumab</w:t>
      </w:r>
      <w:proofErr w:type="spellEnd"/>
      <w:r w:rsidRPr="00F85326">
        <w:t>, and in particular potential adverse effects that have been recognised from recent retrospective reviews, is appropriate and in accord with what has been reported</w:t>
      </w:r>
      <w:r w:rsidRPr="00F85326">
        <w:rPr>
          <w:vertAlign w:val="superscript"/>
        </w:rPr>
        <w:footnoteReference w:id="5"/>
      </w:r>
      <w:r w:rsidRPr="00F85326">
        <w:t>.</w:t>
      </w:r>
    </w:p>
    <w:p w:rsidR="00F85326" w:rsidRPr="00F85326" w:rsidRDefault="00F85326" w:rsidP="00F85326">
      <w:pPr>
        <w:pStyle w:val="Heading4"/>
      </w:pPr>
      <w:bookmarkStart w:id="117" w:name="_Toc321391245"/>
      <w:bookmarkStart w:id="118" w:name="_Toc348946653"/>
      <w:bookmarkEnd w:id="104"/>
      <w:bookmarkEnd w:id="105"/>
      <w:r w:rsidRPr="00F85326">
        <w:t xml:space="preserve">Recommendation </w:t>
      </w:r>
      <w:r>
        <w:t>r</w:t>
      </w:r>
      <w:r w:rsidRPr="00F85326">
        <w:t xml:space="preserve">egarding </w:t>
      </w:r>
      <w:r>
        <w:t>a</w:t>
      </w:r>
      <w:r w:rsidRPr="00F85326">
        <w:t>uthorisation</w:t>
      </w:r>
      <w:bookmarkEnd w:id="117"/>
      <w:bookmarkEnd w:id="118"/>
      <w:r w:rsidRPr="00F85326">
        <w:t xml:space="preserve"> </w:t>
      </w:r>
    </w:p>
    <w:p w:rsidR="00F85326" w:rsidRPr="00F85326" w:rsidRDefault="00F85326" w:rsidP="00F85326">
      <w:r w:rsidRPr="00F85326">
        <w:t xml:space="preserve">The evaluator considers it appropriate to support approval for the proposed indication of </w:t>
      </w:r>
      <w:proofErr w:type="spellStart"/>
      <w:r w:rsidRPr="00F85326">
        <w:t>bevacizumab</w:t>
      </w:r>
      <w:proofErr w:type="spellEnd"/>
      <w:r w:rsidRPr="00F85326">
        <w:t xml:space="preserve"> in combination with </w:t>
      </w:r>
      <w:proofErr w:type="spellStart"/>
      <w:r w:rsidRPr="00F85326">
        <w:t>carboplatin</w:t>
      </w:r>
      <w:proofErr w:type="spellEnd"/>
      <w:r w:rsidRPr="00F85326">
        <w:t xml:space="preserve"> and </w:t>
      </w:r>
      <w:proofErr w:type="spellStart"/>
      <w:r w:rsidRPr="00F85326">
        <w:t>gemcitabine</w:t>
      </w:r>
      <w:proofErr w:type="spellEnd"/>
      <w:r w:rsidRPr="00F85326">
        <w:t xml:space="preserve"> for treatment of patients with recurrent, platinum sensitive epithelial ovarian, fallopian tube or primary peritoneal cancer. </w:t>
      </w:r>
    </w:p>
    <w:p w:rsidR="00F85326" w:rsidRPr="00F85326" w:rsidRDefault="00F85326" w:rsidP="00F85326">
      <w:r w:rsidRPr="00F85326">
        <w:t xml:space="preserve">The proposed additional statements with regards to adverse effects arising from the unapproved </w:t>
      </w:r>
      <w:proofErr w:type="spellStart"/>
      <w:r w:rsidRPr="00F85326">
        <w:t>intravitreal</w:t>
      </w:r>
      <w:proofErr w:type="spellEnd"/>
      <w:r w:rsidRPr="00F85326">
        <w:t xml:space="preserve"> use of </w:t>
      </w:r>
      <w:proofErr w:type="spellStart"/>
      <w:r w:rsidRPr="00F85326">
        <w:t>bevacizumab</w:t>
      </w:r>
      <w:proofErr w:type="spellEnd"/>
      <w:r w:rsidRPr="00F85326">
        <w:t xml:space="preserve"> are appropriate and in accord with recent retrospective reviews.  </w:t>
      </w:r>
    </w:p>
    <w:p w:rsidR="00F85326" w:rsidRPr="00F85326" w:rsidRDefault="00F85326" w:rsidP="00F85326">
      <w:r w:rsidRPr="00F85326">
        <w:t xml:space="preserve">The evaluator notes that </w:t>
      </w:r>
      <w:proofErr w:type="spellStart"/>
      <w:r w:rsidRPr="00F85326">
        <w:t>bevacizumab</w:t>
      </w:r>
      <w:proofErr w:type="spellEnd"/>
      <w:r w:rsidRPr="00F85326">
        <w:t xml:space="preserve"> in combination with </w:t>
      </w:r>
      <w:proofErr w:type="spellStart"/>
      <w:r w:rsidRPr="00F85326">
        <w:t>carboplatin</w:t>
      </w:r>
      <w:proofErr w:type="spellEnd"/>
      <w:r w:rsidRPr="00F85326">
        <w:t xml:space="preserve"> and </w:t>
      </w:r>
      <w:proofErr w:type="spellStart"/>
      <w:r w:rsidRPr="00F85326">
        <w:t>paclitaxel</w:t>
      </w:r>
      <w:proofErr w:type="spellEnd"/>
      <w:r w:rsidRPr="00F85326">
        <w:t xml:space="preserve"> has been proposed as a new indication for first line treatment of patients with epithelial ovarian, fallopian tube or primary peritoneal cancer</w:t>
      </w:r>
      <w:r w:rsidRPr="00F85326">
        <w:rPr>
          <w:vertAlign w:val="superscript"/>
        </w:rPr>
        <w:footnoteReference w:id="6"/>
      </w:r>
      <w:r w:rsidRPr="00F85326">
        <w:t xml:space="preserve">. This is based on data from two studies including the pivotal study GOG0218 and supportive study BO17707. It is noted that both studies demonstrate a significant improvement in PFS, while this is more clearly demonstrated in the pivotal study GOG0218. It is also noted that the dosage of </w:t>
      </w:r>
      <w:proofErr w:type="spellStart"/>
      <w:r w:rsidRPr="00F85326">
        <w:t>bevacizumab</w:t>
      </w:r>
      <w:proofErr w:type="spellEnd"/>
      <w:r w:rsidRPr="00F85326">
        <w:t xml:space="preserve"> in the former study was 15 mg/kg every 3 weeks, compared to the supportive study BO17707 where the dosage of </w:t>
      </w:r>
      <w:proofErr w:type="spellStart"/>
      <w:r w:rsidRPr="00F85326">
        <w:t>bevacizumab</w:t>
      </w:r>
      <w:proofErr w:type="spellEnd"/>
      <w:r w:rsidRPr="00F85326">
        <w:t xml:space="preserve"> was 7.5 mg/kg every 3 weeks. Data from both of these studies, however, still does not reveal a significant advantage in terms of OS.  </w:t>
      </w:r>
    </w:p>
    <w:p w:rsidR="00F85326" w:rsidRPr="00F85326" w:rsidRDefault="00F85326" w:rsidP="00F85326">
      <w:r w:rsidRPr="00F85326">
        <w:t xml:space="preserve">These data effectively support the fact that there is definite efficacy for combining </w:t>
      </w:r>
      <w:proofErr w:type="spellStart"/>
      <w:r w:rsidRPr="00F85326">
        <w:t>bevacizumab</w:t>
      </w:r>
      <w:proofErr w:type="spellEnd"/>
      <w:r w:rsidRPr="00F85326">
        <w:t xml:space="preserve"> with chemotherapy in ovarian cancer. The lack of evidence of definite improvement in OS awaits determination of more mature data. The evaluator still feels it appropriate to support approval for the proposed indication in patients with recurrent, platinum sensitive ovarian, fallopian tube and primary peritoneal cancers. </w:t>
      </w:r>
    </w:p>
    <w:p w:rsidR="00F85326" w:rsidRPr="00F85326" w:rsidRDefault="00F85326" w:rsidP="00F85326">
      <w:pPr>
        <w:spacing w:before="0"/>
      </w:pPr>
      <w:r w:rsidRPr="00F85326">
        <w:t xml:space="preserve">Note: Details of the evaluator’s recommendations regarding revisions to the proposed PI are beyond the scope of this </w:t>
      </w:r>
      <w:proofErr w:type="spellStart"/>
      <w:r w:rsidRPr="00F85326">
        <w:t>AusPAR</w:t>
      </w:r>
      <w:proofErr w:type="spellEnd"/>
      <w:r w:rsidRPr="00F85326">
        <w:t>.</w:t>
      </w:r>
    </w:p>
    <w:p w:rsidR="00F85326" w:rsidRPr="00F85326" w:rsidRDefault="00F85326" w:rsidP="00F85326">
      <w:pPr>
        <w:pStyle w:val="Heading2"/>
      </w:pPr>
      <w:bookmarkStart w:id="119" w:name="_Toc247691524"/>
      <w:bookmarkStart w:id="120" w:name="_Toc348946654"/>
      <w:bookmarkStart w:id="121" w:name="_Toc356206755"/>
      <w:r w:rsidRPr="00F85326">
        <w:t xml:space="preserve">V. </w:t>
      </w:r>
      <w:proofErr w:type="spellStart"/>
      <w:r>
        <w:t>Pharmacovigilance</w:t>
      </w:r>
      <w:proofErr w:type="spellEnd"/>
      <w:r>
        <w:t xml:space="preserve"> f</w:t>
      </w:r>
      <w:r w:rsidRPr="00F85326">
        <w:t>indings</w:t>
      </w:r>
      <w:bookmarkEnd w:id="119"/>
      <w:bookmarkEnd w:id="120"/>
      <w:bookmarkEnd w:id="121"/>
    </w:p>
    <w:p w:rsidR="00F85326" w:rsidRPr="00F85326" w:rsidRDefault="00F85326" w:rsidP="00F85326">
      <w:pPr>
        <w:pStyle w:val="Heading3"/>
        <w:rPr>
          <w:lang w:eastAsia="en-AU"/>
        </w:rPr>
      </w:pPr>
      <w:bookmarkStart w:id="122" w:name="_Toc247691526"/>
      <w:bookmarkStart w:id="123" w:name="_Toc348946655"/>
      <w:bookmarkStart w:id="124" w:name="_Toc356206756"/>
      <w:r>
        <w:rPr>
          <w:lang w:eastAsia="en-AU"/>
        </w:rPr>
        <w:t xml:space="preserve">Risk </w:t>
      </w:r>
      <w:r w:rsidRPr="00F85326">
        <w:t>management</w:t>
      </w:r>
      <w:r>
        <w:rPr>
          <w:lang w:eastAsia="en-AU"/>
        </w:rPr>
        <w:t xml:space="preserve"> p</w:t>
      </w:r>
      <w:r w:rsidRPr="00F85326">
        <w:rPr>
          <w:lang w:eastAsia="en-AU"/>
        </w:rPr>
        <w:t>lan</w:t>
      </w:r>
      <w:bookmarkEnd w:id="122"/>
      <w:bookmarkEnd w:id="123"/>
      <w:bookmarkEnd w:id="124"/>
    </w:p>
    <w:p w:rsidR="00F85326" w:rsidRPr="00F85326" w:rsidRDefault="00F85326" w:rsidP="00F85326">
      <w:pPr>
        <w:rPr>
          <w:lang w:eastAsia="en-AU"/>
        </w:rPr>
      </w:pPr>
      <w:r w:rsidRPr="00F85326">
        <w:rPr>
          <w:lang w:eastAsia="en-AU"/>
        </w:rPr>
        <w:t>The sponsor submitted a Risk Management Plan (RMP) which was reviewed by the TGA’s Office of Product Review (OPR).</w:t>
      </w:r>
    </w:p>
    <w:p w:rsidR="00F85326" w:rsidRPr="00F85326" w:rsidRDefault="00F85326" w:rsidP="00F85326">
      <w:pPr>
        <w:pStyle w:val="Heading4"/>
        <w:rPr>
          <w:lang w:eastAsia="en-AU"/>
        </w:rPr>
      </w:pPr>
      <w:r>
        <w:rPr>
          <w:lang w:eastAsia="en-AU"/>
        </w:rPr>
        <w:lastRenderedPageBreak/>
        <w:t>Safety s</w:t>
      </w:r>
      <w:r w:rsidRPr="00F85326">
        <w:rPr>
          <w:lang w:eastAsia="en-AU"/>
        </w:rPr>
        <w:t>pecification</w:t>
      </w:r>
    </w:p>
    <w:p w:rsidR="00F85326" w:rsidRPr="00F85326" w:rsidRDefault="00F85326" w:rsidP="00F85326">
      <w:r w:rsidRPr="00F85326">
        <w:t>Subject to the evaluation of the clinical aspects of the safety specifications (SS) by the TGA’s Office of Medicines Authorisation (OMA), the summary of the Ongoing Safety Concerns, as specified by the sponsor in the EU RMP, is as follows (Table 1):</w:t>
      </w:r>
    </w:p>
    <w:p w:rsidR="00F85326" w:rsidRPr="00F85326" w:rsidRDefault="00F85326" w:rsidP="00F85326">
      <w:pPr>
        <w:pStyle w:val="TableTitle"/>
      </w:pPr>
      <w:r w:rsidRPr="00F85326">
        <w:t>Table 1. Ongoing safety concerns.</w:t>
      </w:r>
    </w:p>
    <w:tbl>
      <w:tblPr>
        <w:tblStyle w:val="TableTGAblue"/>
        <w:tblW w:w="0" w:type="auto"/>
        <w:tblLook w:val="00BF"/>
      </w:tblPr>
      <w:tblGrid>
        <w:gridCol w:w="2410"/>
        <w:gridCol w:w="4961"/>
      </w:tblGrid>
      <w:tr w:rsidR="00F85326" w:rsidRPr="00F85326" w:rsidTr="00EA16E2">
        <w:trPr>
          <w:cnfStyle w:val="100000000000"/>
        </w:trPr>
        <w:tc>
          <w:tcPr>
            <w:tcW w:w="2410" w:type="dxa"/>
            <w:vMerge w:val="restart"/>
            <w:hideMark/>
          </w:tcPr>
          <w:p w:rsidR="00F85326" w:rsidRPr="00F85326" w:rsidRDefault="00F85326" w:rsidP="00F85326">
            <w:r w:rsidRPr="00F85326">
              <w:t>Important identified risks</w:t>
            </w:r>
          </w:p>
        </w:tc>
        <w:tc>
          <w:tcPr>
            <w:tcW w:w="4961" w:type="dxa"/>
            <w:shd w:val="clear" w:color="auto" w:fill="auto"/>
            <w:hideMark/>
          </w:tcPr>
          <w:p w:rsidR="00F85326" w:rsidRPr="00EA16E2" w:rsidRDefault="00F85326" w:rsidP="00F85326">
            <w:pPr>
              <w:rPr>
                <w:b w:val="0"/>
                <w:color w:val="auto"/>
              </w:rPr>
            </w:pPr>
            <w:r w:rsidRPr="00EA16E2">
              <w:rPr>
                <w:b w:val="0"/>
                <w:color w:val="auto"/>
              </w:rPr>
              <w:t>Bleeding/haemorrhage</w:t>
            </w:r>
          </w:p>
        </w:tc>
      </w:tr>
      <w:tr w:rsidR="00F85326" w:rsidRPr="00F85326" w:rsidTr="00F85326">
        <w:tc>
          <w:tcPr>
            <w:tcW w:w="2410" w:type="dxa"/>
            <w:vMerge/>
            <w:hideMark/>
          </w:tcPr>
          <w:p w:rsidR="00F85326" w:rsidRPr="00F85326" w:rsidRDefault="00F85326" w:rsidP="00F85326"/>
        </w:tc>
        <w:tc>
          <w:tcPr>
            <w:tcW w:w="4961" w:type="dxa"/>
            <w:hideMark/>
          </w:tcPr>
          <w:p w:rsidR="00F85326" w:rsidRPr="00F85326" w:rsidRDefault="00F85326" w:rsidP="00F85326">
            <w:r w:rsidRPr="00F85326">
              <w:t>Pulmonary haemorrhage</w:t>
            </w:r>
          </w:p>
        </w:tc>
      </w:tr>
      <w:tr w:rsidR="00F85326" w:rsidRPr="00F85326" w:rsidTr="00F85326">
        <w:tc>
          <w:tcPr>
            <w:tcW w:w="2410" w:type="dxa"/>
            <w:vMerge/>
            <w:hideMark/>
          </w:tcPr>
          <w:p w:rsidR="00F85326" w:rsidRPr="00F85326" w:rsidRDefault="00F85326" w:rsidP="00F85326"/>
        </w:tc>
        <w:tc>
          <w:tcPr>
            <w:tcW w:w="4961" w:type="dxa"/>
            <w:hideMark/>
          </w:tcPr>
          <w:p w:rsidR="00F85326" w:rsidRPr="00F85326" w:rsidRDefault="00F85326" w:rsidP="00F85326">
            <w:r w:rsidRPr="00F85326">
              <w:t xml:space="preserve">Arterial </w:t>
            </w:r>
            <w:proofErr w:type="spellStart"/>
            <w:r w:rsidRPr="00F85326">
              <w:t>thromboembolic</w:t>
            </w:r>
            <w:proofErr w:type="spellEnd"/>
            <w:r w:rsidRPr="00F85326">
              <w:t xml:space="preserve"> events (ATE)</w:t>
            </w:r>
          </w:p>
        </w:tc>
      </w:tr>
      <w:tr w:rsidR="00F85326" w:rsidRPr="00F85326" w:rsidTr="00F85326">
        <w:tc>
          <w:tcPr>
            <w:tcW w:w="2410" w:type="dxa"/>
            <w:vMerge/>
            <w:hideMark/>
          </w:tcPr>
          <w:p w:rsidR="00F85326" w:rsidRPr="00F85326" w:rsidRDefault="00F85326" w:rsidP="00F85326"/>
        </w:tc>
        <w:tc>
          <w:tcPr>
            <w:tcW w:w="4961" w:type="dxa"/>
            <w:hideMark/>
          </w:tcPr>
          <w:p w:rsidR="00F85326" w:rsidRPr="00F85326" w:rsidRDefault="00F85326" w:rsidP="00F85326">
            <w:r w:rsidRPr="00F85326">
              <w:t>Hypertension</w:t>
            </w:r>
          </w:p>
        </w:tc>
      </w:tr>
      <w:tr w:rsidR="00F85326" w:rsidRPr="00F85326" w:rsidTr="00F85326">
        <w:tc>
          <w:tcPr>
            <w:tcW w:w="2410" w:type="dxa"/>
            <w:vMerge/>
            <w:hideMark/>
          </w:tcPr>
          <w:p w:rsidR="00F85326" w:rsidRPr="00F85326" w:rsidRDefault="00F85326" w:rsidP="00F85326"/>
        </w:tc>
        <w:tc>
          <w:tcPr>
            <w:tcW w:w="4961" w:type="dxa"/>
            <w:hideMark/>
          </w:tcPr>
          <w:p w:rsidR="00F85326" w:rsidRPr="00F85326" w:rsidRDefault="00F85326" w:rsidP="00F85326">
            <w:proofErr w:type="spellStart"/>
            <w:r w:rsidRPr="00F85326">
              <w:t>Proteinuria</w:t>
            </w:r>
            <w:proofErr w:type="spellEnd"/>
          </w:p>
        </w:tc>
      </w:tr>
      <w:tr w:rsidR="00F85326" w:rsidRPr="00F85326" w:rsidTr="00F85326">
        <w:tc>
          <w:tcPr>
            <w:tcW w:w="2410" w:type="dxa"/>
            <w:vMerge/>
            <w:hideMark/>
          </w:tcPr>
          <w:p w:rsidR="00F85326" w:rsidRPr="00F85326" w:rsidRDefault="00F85326" w:rsidP="00F85326"/>
        </w:tc>
        <w:tc>
          <w:tcPr>
            <w:tcW w:w="4961" w:type="dxa"/>
            <w:hideMark/>
          </w:tcPr>
          <w:p w:rsidR="00F85326" w:rsidRPr="00F85326" w:rsidRDefault="00F85326" w:rsidP="00F85326">
            <w:r w:rsidRPr="00F85326">
              <w:t>Congestive heart failure (CHF)</w:t>
            </w:r>
          </w:p>
        </w:tc>
      </w:tr>
      <w:tr w:rsidR="00F85326" w:rsidRPr="00F85326" w:rsidTr="00F85326">
        <w:tc>
          <w:tcPr>
            <w:tcW w:w="2410" w:type="dxa"/>
            <w:vMerge/>
            <w:hideMark/>
          </w:tcPr>
          <w:p w:rsidR="00F85326" w:rsidRPr="00F85326" w:rsidRDefault="00F85326" w:rsidP="00F85326"/>
        </w:tc>
        <w:tc>
          <w:tcPr>
            <w:tcW w:w="4961" w:type="dxa"/>
            <w:hideMark/>
          </w:tcPr>
          <w:p w:rsidR="00F85326" w:rsidRPr="00F85326" w:rsidRDefault="00F85326" w:rsidP="00F85326">
            <w:r w:rsidRPr="00F85326">
              <w:t>Wound healing complications</w:t>
            </w:r>
          </w:p>
        </w:tc>
      </w:tr>
      <w:tr w:rsidR="00F85326" w:rsidRPr="00F85326" w:rsidTr="00F85326">
        <w:tc>
          <w:tcPr>
            <w:tcW w:w="2410" w:type="dxa"/>
            <w:vMerge/>
            <w:hideMark/>
          </w:tcPr>
          <w:p w:rsidR="00F85326" w:rsidRPr="00F85326" w:rsidRDefault="00F85326" w:rsidP="00F85326"/>
        </w:tc>
        <w:tc>
          <w:tcPr>
            <w:tcW w:w="4961" w:type="dxa"/>
            <w:hideMark/>
          </w:tcPr>
          <w:p w:rsidR="00F85326" w:rsidRPr="00F85326" w:rsidRDefault="00F85326" w:rsidP="00F85326">
            <w:r w:rsidRPr="00F85326">
              <w:t>Gastrointestinal perforations</w:t>
            </w:r>
          </w:p>
        </w:tc>
      </w:tr>
      <w:tr w:rsidR="00F85326" w:rsidRPr="00F85326" w:rsidTr="00F85326">
        <w:tc>
          <w:tcPr>
            <w:tcW w:w="2410" w:type="dxa"/>
            <w:vMerge/>
            <w:hideMark/>
          </w:tcPr>
          <w:p w:rsidR="00F85326" w:rsidRPr="00F85326" w:rsidRDefault="00F85326" w:rsidP="00F85326"/>
        </w:tc>
        <w:tc>
          <w:tcPr>
            <w:tcW w:w="4961" w:type="dxa"/>
            <w:hideMark/>
          </w:tcPr>
          <w:p w:rsidR="00F85326" w:rsidRPr="00F85326" w:rsidRDefault="00F85326" w:rsidP="00F85326">
            <w:r w:rsidRPr="00F85326">
              <w:t xml:space="preserve">Reversible posterior </w:t>
            </w:r>
            <w:proofErr w:type="spellStart"/>
            <w:r w:rsidRPr="00F85326">
              <w:t>leukencephalopathy</w:t>
            </w:r>
            <w:proofErr w:type="spellEnd"/>
            <w:r w:rsidRPr="00F85326">
              <w:t xml:space="preserve"> syndrome</w:t>
            </w:r>
          </w:p>
        </w:tc>
      </w:tr>
      <w:tr w:rsidR="00F85326" w:rsidRPr="00F85326" w:rsidTr="00F85326">
        <w:tc>
          <w:tcPr>
            <w:tcW w:w="2410" w:type="dxa"/>
            <w:vMerge/>
            <w:hideMark/>
          </w:tcPr>
          <w:p w:rsidR="00F85326" w:rsidRPr="00F85326" w:rsidRDefault="00F85326" w:rsidP="00F85326"/>
        </w:tc>
        <w:tc>
          <w:tcPr>
            <w:tcW w:w="4961" w:type="dxa"/>
            <w:hideMark/>
          </w:tcPr>
          <w:p w:rsidR="00F85326" w:rsidRPr="00F85326" w:rsidRDefault="00F85326" w:rsidP="00F85326">
            <w:proofErr w:type="spellStart"/>
            <w:r w:rsidRPr="00F85326">
              <w:t>Neutropenia</w:t>
            </w:r>
            <w:proofErr w:type="spellEnd"/>
          </w:p>
        </w:tc>
      </w:tr>
      <w:tr w:rsidR="00F85326" w:rsidRPr="00F85326" w:rsidTr="00F85326">
        <w:tc>
          <w:tcPr>
            <w:tcW w:w="2410" w:type="dxa"/>
            <w:vMerge/>
            <w:hideMark/>
          </w:tcPr>
          <w:p w:rsidR="00F85326" w:rsidRPr="00F85326" w:rsidRDefault="00F85326" w:rsidP="00F85326"/>
        </w:tc>
        <w:tc>
          <w:tcPr>
            <w:tcW w:w="4961" w:type="dxa"/>
            <w:hideMark/>
          </w:tcPr>
          <w:p w:rsidR="00F85326" w:rsidRPr="00F85326" w:rsidRDefault="00F85326" w:rsidP="00F85326">
            <w:r w:rsidRPr="00F85326">
              <w:t xml:space="preserve">Venous </w:t>
            </w:r>
            <w:proofErr w:type="spellStart"/>
            <w:r w:rsidRPr="00F85326">
              <w:t>thromboembolic</w:t>
            </w:r>
            <w:proofErr w:type="spellEnd"/>
            <w:r w:rsidRPr="00F85326">
              <w:t xml:space="preserve"> events (VTE)</w:t>
            </w:r>
          </w:p>
        </w:tc>
      </w:tr>
      <w:tr w:rsidR="00F85326" w:rsidRPr="00F85326" w:rsidTr="00F85326">
        <w:tc>
          <w:tcPr>
            <w:tcW w:w="2410" w:type="dxa"/>
            <w:vMerge/>
            <w:hideMark/>
          </w:tcPr>
          <w:p w:rsidR="00F85326" w:rsidRPr="00F85326" w:rsidRDefault="00F85326" w:rsidP="00F85326"/>
        </w:tc>
        <w:tc>
          <w:tcPr>
            <w:tcW w:w="4961" w:type="dxa"/>
            <w:hideMark/>
          </w:tcPr>
          <w:p w:rsidR="00F85326" w:rsidRPr="00F85326" w:rsidRDefault="00F85326" w:rsidP="00F85326">
            <w:r w:rsidRPr="00F85326">
              <w:t>Fistula (other than gastrointestinal)</w:t>
            </w:r>
          </w:p>
        </w:tc>
      </w:tr>
      <w:tr w:rsidR="00F85326" w:rsidRPr="00F85326" w:rsidTr="00F85326">
        <w:tc>
          <w:tcPr>
            <w:tcW w:w="2410" w:type="dxa"/>
            <w:vMerge/>
            <w:hideMark/>
          </w:tcPr>
          <w:p w:rsidR="00F85326" w:rsidRPr="00F85326" w:rsidRDefault="00F85326" w:rsidP="00F85326"/>
        </w:tc>
        <w:tc>
          <w:tcPr>
            <w:tcW w:w="4961" w:type="dxa"/>
            <w:hideMark/>
          </w:tcPr>
          <w:p w:rsidR="00F85326" w:rsidRPr="00F85326" w:rsidRDefault="00F85326" w:rsidP="00F85326">
            <w:r w:rsidRPr="00F85326">
              <w:t xml:space="preserve">Thrombotic </w:t>
            </w:r>
            <w:proofErr w:type="spellStart"/>
            <w:r w:rsidRPr="00F85326">
              <w:t>microangiopathy</w:t>
            </w:r>
            <w:proofErr w:type="spellEnd"/>
          </w:p>
        </w:tc>
      </w:tr>
      <w:tr w:rsidR="00F85326" w:rsidRPr="00F85326" w:rsidTr="00F85326">
        <w:tc>
          <w:tcPr>
            <w:tcW w:w="2410" w:type="dxa"/>
            <w:vMerge/>
            <w:hideMark/>
          </w:tcPr>
          <w:p w:rsidR="00F85326" w:rsidRPr="00F85326" w:rsidRDefault="00F85326" w:rsidP="00F85326"/>
        </w:tc>
        <w:tc>
          <w:tcPr>
            <w:tcW w:w="4961" w:type="dxa"/>
            <w:hideMark/>
          </w:tcPr>
          <w:p w:rsidR="00F85326" w:rsidRPr="00F85326" w:rsidRDefault="00F85326" w:rsidP="00F85326">
            <w:r w:rsidRPr="00F85326">
              <w:t>Pulmonary hypertension</w:t>
            </w:r>
          </w:p>
        </w:tc>
      </w:tr>
      <w:tr w:rsidR="00F85326" w:rsidRPr="00F85326" w:rsidTr="00F85326">
        <w:tc>
          <w:tcPr>
            <w:tcW w:w="2410" w:type="dxa"/>
            <w:vMerge/>
            <w:hideMark/>
          </w:tcPr>
          <w:p w:rsidR="00F85326" w:rsidRPr="00F85326" w:rsidRDefault="00F85326" w:rsidP="00F85326"/>
        </w:tc>
        <w:tc>
          <w:tcPr>
            <w:tcW w:w="4961" w:type="dxa"/>
            <w:hideMark/>
          </w:tcPr>
          <w:p w:rsidR="00F85326" w:rsidRPr="00F85326" w:rsidRDefault="00F85326" w:rsidP="00F85326">
            <w:r w:rsidRPr="00F85326">
              <w:t>*Ovarian failure</w:t>
            </w:r>
          </w:p>
        </w:tc>
      </w:tr>
      <w:tr w:rsidR="00F85326" w:rsidRPr="00F85326" w:rsidTr="00EA16E2">
        <w:tc>
          <w:tcPr>
            <w:tcW w:w="2410" w:type="dxa"/>
            <w:vMerge/>
            <w:tcBorders>
              <w:bottom w:val="single" w:sz="8" w:space="0" w:color="000000" w:themeColor="text1"/>
            </w:tcBorders>
            <w:hideMark/>
          </w:tcPr>
          <w:p w:rsidR="00F85326" w:rsidRPr="00F85326" w:rsidRDefault="00F85326" w:rsidP="00F85326"/>
        </w:tc>
        <w:tc>
          <w:tcPr>
            <w:tcW w:w="4961" w:type="dxa"/>
            <w:hideMark/>
          </w:tcPr>
          <w:p w:rsidR="00F85326" w:rsidRPr="00F85326" w:rsidRDefault="00F85326" w:rsidP="00F85326">
            <w:r w:rsidRPr="00F85326">
              <w:t>*Hypersensitivity/infusion reactions</w:t>
            </w:r>
          </w:p>
        </w:tc>
      </w:tr>
      <w:tr w:rsidR="00F85326" w:rsidRPr="00F85326" w:rsidTr="00EA16E2">
        <w:tc>
          <w:tcPr>
            <w:tcW w:w="2410" w:type="dxa"/>
            <w:vMerge w:val="restart"/>
            <w:shd w:val="clear" w:color="auto" w:fill="006DA7"/>
            <w:hideMark/>
          </w:tcPr>
          <w:p w:rsidR="00F85326" w:rsidRPr="00EA16E2" w:rsidRDefault="00F85326" w:rsidP="00F85326">
            <w:pPr>
              <w:rPr>
                <w:b/>
                <w:color w:val="FFFFFF" w:themeColor="background1"/>
              </w:rPr>
            </w:pPr>
            <w:r w:rsidRPr="00EA16E2">
              <w:rPr>
                <w:b/>
                <w:color w:val="FFFFFF" w:themeColor="background1"/>
              </w:rPr>
              <w:t>Important potential risks</w:t>
            </w:r>
          </w:p>
        </w:tc>
        <w:tc>
          <w:tcPr>
            <w:tcW w:w="4961" w:type="dxa"/>
            <w:hideMark/>
          </w:tcPr>
          <w:p w:rsidR="00F85326" w:rsidRPr="00F85326" w:rsidRDefault="00F85326" w:rsidP="00F85326">
            <w:proofErr w:type="spellStart"/>
            <w:r w:rsidRPr="00F85326">
              <w:t>Embro</w:t>
            </w:r>
            <w:proofErr w:type="spellEnd"/>
            <w:r w:rsidRPr="00F85326">
              <w:t>-foetal development disturbances</w:t>
            </w:r>
          </w:p>
        </w:tc>
      </w:tr>
      <w:tr w:rsidR="00F85326" w:rsidRPr="00F85326" w:rsidTr="00EA16E2">
        <w:tc>
          <w:tcPr>
            <w:tcW w:w="2410" w:type="dxa"/>
            <w:vMerge/>
            <w:shd w:val="clear" w:color="auto" w:fill="006DA7"/>
            <w:hideMark/>
          </w:tcPr>
          <w:p w:rsidR="00F85326" w:rsidRPr="00EA16E2" w:rsidRDefault="00F85326" w:rsidP="00F85326">
            <w:pPr>
              <w:rPr>
                <w:b/>
                <w:color w:val="FFFFFF" w:themeColor="background1"/>
              </w:rPr>
            </w:pPr>
          </w:p>
        </w:tc>
        <w:tc>
          <w:tcPr>
            <w:tcW w:w="4961" w:type="dxa"/>
            <w:hideMark/>
          </w:tcPr>
          <w:p w:rsidR="00F85326" w:rsidRPr="00F85326" w:rsidRDefault="00F85326" w:rsidP="00F85326">
            <w:proofErr w:type="spellStart"/>
            <w:r w:rsidRPr="00F85326">
              <w:t>Physeal</w:t>
            </w:r>
            <w:proofErr w:type="spellEnd"/>
            <w:r w:rsidRPr="00F85326">
              <w:t xml:space="preserve"> dysplasia</w:t>
            </w:r>
          </w:p>
        </w:tc>
      </w:tr>
      <w:tr w:rsidR="00F85326" w:rsidRPr="00F85326" w:rsidTr="00EA16E2">
        <w:tc>
          <w:tcPr>
            <w:tcW w:w="2410" w:type="dxa"/>
            <w:vMerge/>
            <w:shd w:val="clear" w:color="auto" w:fill="006DA7"/>
            <w:hideMark/>
          </w:tcPr>
          <w:p w:rsidR="00F85326" w:rsidRPr="00EA16E2" w:rsidRDefault="00F85326" w:rsidP="00F85326">
            <w:pPr>
              <w:rPr>
                <w:b/>
                <w:color w:val="FFFFFF" w:themeColor="background1"/>
              </w:rPr>
            </w:pPr>
          </w:p>
        </w:tc>
        <w:tc>
          <w:tcPr>
            <w:tcW w:w="4961" w:type="dxa"/>
            <w:hideMark/>
          </w:tcPr>
          <w:p w:rsidR="00F85326" w:rsidRPr="00F85326" w:rsidRDefault="00F85326" w:rsidP="00F85326">
            <w:r w:rsidRPr="00F85326">
              <w:t>Peripheral sensory neuropathy</w:t>
            </w:r>
          </w:p>
        </w:tc>
      </w:tr>
      <w:tr w:rsidR="00F85326" w:rsidRPr="00F85326" w:rsidTr="00EA16E2">
        <w:tc>
          <w:tcPr>
            <w:tcW w:w="2410" w:type="dxa"/>
            <w:vMerge/>
            <w:shd w:val="clear" w:color="auto" w:fill="006DA7"/>
            <w:hideMark/>
          </w:tcPr>
          <w:p w:rsidR="00F85326" w:rsidRPr="00EA16E2" w:rsidRDefault="00F85326" w:rsidP="00F85326">
            <w:pPr>
              <w:rPr>
                <w:b/>
                <w:color w:val="FFFFFF" w:themeColor="background1"/>
              </w:rPr>
            </w:pPr>
          </w:p>
        </w:tc>
        <w:tc>
          <w:tcPr>
            <w:tcW w:w="4961" w:type="dxa"/>
            <w:hideMark/>
          </w:tcPr>
          <w:p w:rsidR="00F85326" w:rsidRPr="00F85326" w:rsidRDefault="00F85326" w:rsidP="00F85326">
            <w:r w:rsidRPr="00F85326">
              <w:t>Cardiac disorders (excluding CHF and ATE)</w:t>
            </w:r>
          </w:p>
        </w:tc>
      </w:tr>
      <w:tr w:rsidR="00F85326" w:rsidRPr="00F85326" w:rsidTr="00EA16E2">
        <w:tc>
          <w:tcPr>
            <w:tcW w:w="2410" w:type="dxa"/>
            <w:vMerge/>
            <w:shd w:val="clear" w:color="auto" w:fill="006DA7"/>
            <w:hideMark/>
          </w:tcPr>
          <w:p w:rsidR="00F85326" w:rsidRPr="00EA16E2" w:rsidRDefault="00F85326" w:rsidP="00F85326">
            <w:pPr>
              <w:rPr>
                <w:b/>
                <w:color w:val="FFFFFF" w:themeColor="background1"/>
              </w:rPr>
            </w:pPr>
          </w:p>
        </w:tc>
        <w:tc>
          <w:tcPr>
            <w:tcW w:w="4961" w:type="dxa"/>
            <w:hideMark/>
          </w:tcPr>
          <w:p w:rsidR="00F85326" w:rsidRPr="00F85326" w:rsidRDefault="00F85326" w:rsidP="00F85326">
            <w:proofErr w:type="spellStart"/>
            <w:r w:rsidRPr="00F85326">
              <w:t>Osteonecrosis</w:t>
            </w:r>
            <w:proofErr w:type="spellEnd"/>
            <w:r w:rsidRPr="00F85326">
              <w:t xml:space="preserve"> of the jaw (ONJ)</w:t>
            </w:r>
          </w:p>
        </w:tc>
      </w:tr>
      <w:tr w:rsidR="00F85326" w:rsidRPr="00F85326" w:rsidTr="00EA16E2">
        <w:tc>
          <w:tcPr>
            <w:tcW w:w="2410" w:type="dxa"/>
            <w:vMerge w:val="restart"/>
            <w:shd w:val="clear" w:color="auto" w:fill="006DA7"/>
            <w:hideMark/>
          </w:tcPr>
          <w:p w:rsidR="00F85326" w:rsidRPr="00EA16E2" w:rsidRDefault="00F85326" w:rsidP="00F85326">
            <w:pPr>
              <w:rPr>
                <w:b/>
                <w:color w:val="FFFFFF" w:themeColor="background1"/>
              </w:rPr>
            </w:pPr>
            <w:r w:rsidRPr="00EA16E2">
              <w:rPr>
                <w:b/>
                <w:color w:val="FFFFFF" w:themeColor="background1"/>
              </w:rPr>
              <w:t>Important missing information</w:t>
            </w:r>
          </w:p>
        </w:tc>
        <w:tc>
          <w:tcPr>
            <w:tcW w:w="4961" w:type="dxa"/>
            <w:hideMark/>
          </w:tcPr>
          <w:p w:rsidR="00F85326" w:rsidRPr="00F85326" w:rsidRDefault="00F85326" w:rsidP="00F85326">
            <w:r w:rsidRPr="00F85326">
              <w:t>Safety profile of the different treatment combinations in patients with non-</w:t>
            </w:r>
            <w:proofErr w:type="spellStart"/>
            <w:r w:rsidRPr="00F85326">
              <w:t>squamous</w:t>
            </w:r>
            <w:proofErr w:type="spellEnd"/>
            <w:r w:rsidRPr="00F85326">
              <w:t xml:space="preserve"> NSCLC</w:t>
            </w:r>
          </w:p>
        </w:tc>
      </w:tr>
      <w:tr w:rsidR="00F85326" w:rsidRPr="00F85326" w:rsidTr="00EA16E2">
        <w:tc>
          <w:tcPr>
            <w:tcW w:w="2410" w:type="dxa"/>
            <w:vMerge/>
            <w:shd w:val="clear" w:color="auto" w:fill="006DA7"/>
            <w:hideMark/>
          </w:tcPr>
          <w:p w:rsidR="00F85326" w:rsidRPr="00F85326" w:rsidRDefault="00F85326" w:rsidP="00F85326"/>
        </w:tc>
        <w:tc>
          <w:tcPr>
            <w:tcW w:w="4961" w:type="dxa"/>
            <w:hideMark/>
          </w:tcPr>
          <w:p w:rsidR="00F85326" w:rsidRPr="00F85326" w:rsidRDefault="00F85326" w:rsidP="00F85326">
            <w:r w:rsidRPr="00F85326">
              <w:t xml:space="preserve">Long-term effects of </w:t>
            </w:r>
            <w:proofErr w:type="spellStart"/>
            <w:r w:rsidRPr="00F85326">
              <w:t>bevacizumab</w:t>
            </w:r>
            <w:proofErr w:type="spellEnd"/>
            <w:r w:rsidRPr="00F85326">
              <w:t xml:space="preserve"> when used in the paediatric population</w:t>
            </w:r>
          </w:p>
        </w:tc>
      </w:tr>
      <w:tr w:rsidR="00F85326" w:rsidRPr="00F85326" w:rsidTr="00EA16E2">
        <w:tc>
          <w:tcPr>
            <w:tcW w:w="2410" w:type="dxa"/>
            <w:vMerge/>
            <w:shd w:val="clear" w:color="auto" w:fill="006DA7"/>
            <w:hideMark/>
          </w:tcPr>
          <w:p w:rsidR="00F85326" w:rsidRPr="00F85326" w:rsidRDefault="00F85326" w:rsidP="00F85326"/>
        </w:tc>
        <w:tc>
          <w:tcPr>
            <w:tcW w:w="4961" w:type="dxa"/>
            <w:hideMark/>
          </w:tcPr>
          <w:p w:rsidR="00F85326" w:rsidRPr="00F85326" w:rsidRDefault="00F85326" w:rsidP="00F85326">
            <w:r w:rsidRPr="00F85326">
              <w:t>Patients with renal impairment</w:t>
            </w:r>
          </w:p>
        </w:tc>
      </w:tr>
      <w:tr w:rsidR="00F85326" w:rsidRPr="00F85326" w:rsidTr="00EA16E2">
        <w:tc>
          <w:tcPr>
            <w:tcW w:w="2410" w:type="dxa"/>
            <w:vMerge/>
            <w:shd w:val="clear" w:color="auto" w:fill="006DA7"/>
            <w:hideMark/>
          </w:tcPr>
          <w:p w:rsidR="00F85326" w:rsidRPr="00F85326" w:rsidRDefault="00F85326" w:rsidP="00F85326"/>
        </w:tc>
        <w:tc>
          <w:tcPr>
            <w:tcW w:w="4961" w:type="dxa"/>
            <w:hideMark/>
          </w:tcPr>
          <w:p w:rsidR="00F85326" w:rsidRPr="00F85326" w:rsidRDefault="00F85326" w:rsidP="00F85326">
            <w:r w:rsidRPr="00F85326">
              <w:t>Patients with hepatic impairment</w:t>
            </w:r>
          </w:p>
        </w:tc>
      </w:tr>
    </w:tbl>
    <w:p w:rsidR="00F85326" w:rsidRPr="00F85326" w:rsidRDefault="00F85326" w:rsidP="00CE7BAC">
      <w:pPr>
        <w:pStyle w:val="TableDescription"/>
        <w:rPr>
          <w:kern w:val="16"/>
        </w:rPr>
      </w:pPr>
      <w:r w:rsidRPr="00F85326">
        <w:t>* Previously classified in the EU RMP Version 9.0 as important potential risks.</w:t>
      </w:r>
    </w:p>
    <w:p w:rsidR="00F85326" w:rsidRPr="00F85326" w:rsidRDefault="00F85326" w:rsidP="002821DC">
      <w:r w:rsidRPr="00F85326">
        <w:t>Pursuant to the evaluation of the clinical aspects of the SS and in the absence of concerns raised from the clinical evaluation conducted by the OMA, the above summary of the Ongoing Safety Concerns is considered acceptable.</w:t>
      </w:r>
    </w:p>
    <w:p w:rsidR="00F85326" w:rsidRPr="00F85326" w:rsidRDefault="00CE7BAC" w:rsidP="002821DC">
      <w:pPr>
        <w:pStyle w:val="Heading4"/>
        <w:rPr>
          <w:lang w:eastAsia="en-AU"/>
        </w:rPr>
      </w:pPr>
      <w:proofErr w:type="spellStart"/>
      <w:r w:rsidRPr="002821DC">
        <w:t>Pharmacovigilance</w:t>
      </w:r>
      <w:proofErr w:type="spellEnd"/>
      <w:r>
        <w:rPr>
          <w:lang w:eastAsia="en-AU"/>
        </w:rPr>
        <w:t xml:space="preserve"> p</w:t>
      </w:r>
      <w:r w:rsidR="00F85326" w:rsidRPr="00F85326">
        <w:rPr>
          <w:lang w:eastAsia="en-AU"/>
        </w:rPr>
        <w:t>lan</w:t>
      </w:r>
    </w:p>
    <w:p w:rsidR="00F85326" w:rsidRPr="00F85326" w:rsidRDefault="00F85326" w:rsidP="002821DC">
      <w:r w:rsidRPr="00F85326">
        <w:t xml:space="preserve">Routine </w:t>
      </w:r>
      <w:proofErr w:type="spellStart"/>
      <w:r w:rsidRPr="00F85326">
        <w:t>pharmacovigilance</w:t>
      </w:r>
      <w:proofErr w:type="spellEnd"/>
      <w:r w:rsidRPr="00F85326">
        <w:t xml:space="preserve"> activities</w:t>
      </w:r>
      <w:r w:rsidRPr="00F85326">
        <w:rPr>
          <w:vertAlign w:val="superscript"/>
        </w:rPr>
        <w:footnoteReference w:id="7"/>
      </w:r>
      <w:r w:rsidRPr="00F85326">
        <w:t xml:space="preserve"> as well as ongoing post-authorisation studies are proposed to monitor the safety of </w:t>
      </w:r>
      <w:proofErr w:type="spellStart"/>
      <w:r w:rsidRPr="00F85326">
        <w:t>bevacizumab</w:t>
      </w:r>
      <w:proofErr w:type="spellEnd"/>
      <w:r w:rsidRPr="00F85326">
        <w:t xml:space="preserve">. This was acceptable. </w:t>
      </w:r>
    </w:p>
    <w:p w:rsidR="00F85326" w:rsidRPr="00F85326" w:rsidRDefault="002821DC" w:rsidP="002821DC">
      <w:pPr>
        <w:pStyle w:val="Heading4"/>
        <w:rPr>
          <w:lang w:eastAsia="en-AU"/>
        </w:rPr>
      </w:pPr>
      <w:r>
        <w:rPr>
          <w:lang w:eastAsia="en-AU"/>
        </w:rPr>
        <w:t>Risk minimisation a</w:t>
      </w:r>
      <w:r w:rsidR="00F85326" w:rsidRPr="00F85326">
        <w:rPr>
          <w:lang w:eastAsia="en-AU"/>
        </w:rPr>
        <w:t>ctivities</w:t>
      </w:r>
    </w:p>
    <w:p w:rsidR="00F85326" w:rsidRPr="00F85326" w:rsidRDefault="00F85326" w:rsidP="002821DC">
      <w:r w:rsidRPr="00F85326">
        <w:t xml:space="preserve">The sponsor has assessed that routine risk minimisation activities are sufficient for all important identified risks, all important potential risks and areas of important missing information. </w:t>
      </w:r>
    </w:p>
    <w:p w:rsidR="00F85326" w:rsidRPr="00F85326" w:rsidRDefault="00F85326" w:rsidP="002821DC">
      <w:r w:rsidRPr="00F85326">
        <w:t xml:space="preserve">Considering that </w:t>
      </w:r>
      <w:proofErr w:type="spellStart"/>
      <w:r w:rsidRPr="00F85326">
        <w:t>Avastin</w:t>
      </w:r>
      <w:proofErr w:type="spellEnd"/>
      <w:r w:rsidRPr="00F85326">
        <w:t xml:space="preserve"> will be used primarily under the care of specialists experienced in managing cancer patients, the evaluator considered the use of routine risk minimisation as proposed is acceptable. </w:t>
      </w:r>
    </w:p>
    <w:p w:rsidR="00F85326" w:rsidRPr="00F85326" w:rsidRDefault="002821DC" w:rsidP="002821DC">
      <w:pPr>
        <w:pStyle w:val="Heading4"/>
        <w:rPr>
          <w:lang w:eastAsia="en-AU"/>
        </w:rPr>
      </w:pPr>
      <w:r>
        <w:rPr>
          <w:lang w:eastAsia="en-AU"/>
        </w:rPr>
        <w:t>Summary of r</w:t>
      </w:r>
      <w:r w:rsidR="00F85326" w:rsidRPr="00F85326">
        <w:rPr>
          <w:lang w:eastAsia="en-AU"/>
        </w:rPr>
        <w:t>ecommendations</w:t>
      </w:r>
    </w:p>
    <w:p w:rsidR="00F85326" w:rsidRPr="00F85326" w:rsidRDefault="00F85326" w:rsidP="002821DC">
      <w:r w:rsidRPr="00F85326">
        <w:t>The OPR provides this recommendation to the Delegate in the context that the submitted RMP is supportive to the application:</w:t>
      </w:r>
    </w:p>
    <w:p w:rsidR="00F85326" w:rsidRPr="00F85326" w:rsidRDefault="00F85326" w:rsidP="002821DC">
      <w:pPr>
        <w:pStyle w:val="ListBullet"/>
      </w:pPr>
      <w:r w:rsidRPr="00F85326">
        <w:t>Approval should be conditional on the implementation of a RMP identified as the EU</w:t>
      </w:r>
      <w:r w:rsidRPr="00F85326">
        <w:noBreakHyphen/>
        <w:t>RMP Version 10 (7 July 2011) and with the Australian RMP Addendum Version 2.0 (September 2011).</w:t>
      </w:r>
    </w:p>
    <w:p w:rsidR="00F85326" w:rsidRPr="00F85326" w:rsidRDefault="00F85326" w:rsidP="002821DC">
      <w:r w:rsidRPr="00F85326">
        <w:t xml:space="preserve">Several revisions to the PI were recommended (details of these are beyond the scope of this </w:t>
      </w:r>
      <w:proofErr w:type="spellStart"/>
      <w:r w:rsidRPr="00F85326">
        <w:t>AusPAR</w:t>
      </w:r>
      <w:proofErr w:type="spellEnd"/>
      <w:r w:rsidRPr="00F85326">
        <w:t>)</w:t>
      </w:r>
    </w:p>
    <w:p w:rsidR="00F85326" w:rsidRPr="00F85326" w:rsidRDefault="002821DC" w:rsidP="002821DC">
      <w:pPr>
        <w:pStyle w:val="Heading2"/>
      </w:pPr>
      <w:bookmarkStart w:id="125" w:name="_Toc247691527"/>
      <w:bookmarkStart w:id="126" w:name="_Toc348946656"/>
      <w:bookmarkStart w:id="127" w:name="_Toc356206757"/>
      <w:r>
        <w:t>VI. Overall conclusion and risk/benefit a</w:t>
      </w:r>
      <w:r w:rsidR="00F85326" w:rsidRPr="00F85326">
        <w:t>ssessment</w:t>
      </w:r>
      <w:bookmarkEnd w:id="96"/>
      <w:bookmarkEnd w:id="125"/>
      <w:bookmarkEnd w:id="126"/>
      <w:bookmarkEnd w:id="127"/>
    </w:p>
    <w:p w:rsidR="00F85326" w:rsidRPr="00F85326" w:rsidRDefault="00F85326" w:rsidP="002821DC">
      <w:bookmarkStart w:id="128" w:name="_Toc247691528"/>
      <w:r w:rsidRPr="00F85326">
        <w:t>The submission was summarised in the following Delegate’s overview and recommendations:</w:t>
      </w:r>
    </w:p>
    <w:p w:rsidR="00F85326" w:rsidRPr="00F85326" w:rsidRDefault="00F85326" w:rsidP="002821DC">
      <w:pPr>
        <w:pStyle w:val="Heading3"/>
      </w:pPr>
      <w:bookmarkStart w:id="129" w:name="_Toc348946657"/>
      <w:bookmarkStart w:id="130" w:name="_Toc356206758"/>
      <w:r w:rsidRPr="00F85326">
        <w:lastRenderedPageBreak/>
        <w:t>Quality</w:t>
      </w:r>
      <w:bookmarkEnd w:id="128"/>
      <w:bookmarkEnd w:id="129"/>
      <w:bookmarkEnd w:id="130"/>
    </w:p>
    <w:p w:rsidR="00F85326" w:rsidRPr="00F85326" w:rsidRDefault="00F85326" w:rsidP="002821DC">
      <w:r w:rsidRPr="00F85326">
        <w:t>There was no requirement for a quality evaluation in a submission of this type.</w:t>
      </w:r>
    </w:p>
    <w:p w:rsidR="00F85326" w:rsidRPr="00F85326" w:rsidRDefault="00F85326" w:rsidP="002821DC">
      <w:pPr>
        <w:pStyle w:val="Heading3"/>
      </w:pPr>
      <w:bookmarkStart w:id="131" w:name="_Toc348946658"/>
      <w:bookmarkStart w:id="132" w:name="_Toc356206759"/>
      <w:r w:rsidRPr="00F85326">
        <w:t>Nonclinical</w:t>
      </w:r>
      <w:bookmarkEnd w:id="131"/>
      <w:bookmarkEnd w:id="132"/>
    </w:p>
    <w:p w:rsidR="00F85326" w:rsidRPr="00F85326" w:rsidRDefault="00F85326" w:rsidP="002821DC">
      <w:r w:rsidRPr="00F85326">
        <w:t>There was no requirement for a nonclinical evaluation in a submission of this type.</w:t>
      </w:r>
    </w:p>
    <w:p w:rsidR="00F85326" w:rsidRPr="00F85326" w:rsidRDefault="00F85326" w:rsidP="002821DC">
      <w:pPr>
        <w:pStyle w:val="Heading3"/>
      </w:pPr>
      <w:bookmarkStart w:id="133" w:name="_Toc247691530"/>
      <w:bookmarkStart w:id="134" w:name="_Toc348946659"/>
      <w:bookmarkStart w:id="135" w:name="_Toc356206760"/>
      <w:r w:rsidRPr="00F85326">
        <w:t>Clinical</w:t>
      </w:r>
      <w:bookmarkEnd w:id="133"/>
      <w:bookmarkEnd w:id="134"/>
      <w:bookmarkEnd w:id="135"/>
    </w:p>
    <w:p w:rsidR="00F85326" w:rsidRPr="00F85326" w:rsidRDefault="00F85326" w:rsidP="002821DC">
      <w:pPr>
        <w:pStyle w:val="Heading4"/>
      </w:pPr>
      <w:r w:rsidRPr="00F85326">
        <w:t>Efficacy</w:t>
      </w:r>
    </w:p>
    <w:p w:rsidR="00F85326" w:rsidRPr="00F85326" w:rsidRDefault="00F85326" w:rsidP="002821DC">
      <w:pPr>
        <w:pStyle w:val="ListBullet"/>
      </w:pPr>
      <w:r w:rsidRPr="00F85326">
        <w:t xml:space="preserve">The efficacy of </w:t>
      </w:r>
      <w:proofErr w:type="spellStart"/>
      <w:r w:rsidRPr="00F85326">
        <w:t>bevacizumab</w:t>
      </w:r>
      <w:proofErr w:type="spellEnd"/>
      <w:r w:rsidRPr="00F85326">
        <w:t xml:space="preserve"> in the proposed indication is based on a single randomised, double-blind, placebo controlled trial conducted in the USA (AVF4095g). Subjects were randomised to receive either </w:t>
      </w:r>
      <w:proofErr w:type="spellStart"/>
      <w:r w:rsidRPr="00F85326">
        <w:t>carboplatin</w:t>
      </w:r>
      <w:proofErr w:type="spellEnd"/>
      <w:r w:rsidRPr="00F85326">
        <w:t xml:space="preserve">, </w:t>
      </w:r>
      <w:proofErr w:type="spellStart"/>
      <w:r w:rsidRPr="00F85326">
        <w:t>gemcitabine</w:t>
      </w:r>
      <w:proofErr w:type="spellEnd"/>
      <w:r w:rsidRPr="00F85326">
        <w:t xml:space="preserve"> and placebo (“placebo group”) or </w:t>
      </w:r>
      <w:proofErr w:type="spellStart"/>
      <w:r w:rsidRPr="00F85326">
        <w:t>carboplatin</w:t>
      </w:r>
      <w:proofErr w:type="spellEnd"/>
      <w:r w:rsidRPr="00F85326">
        <w:t xml:space="preserve">, </w:t>
      </w:r>
      <w:proofErr w:type="spellStart"/>
      <w:r w:rsidRPr="00F85326">
        <w:t>gemcitabine</w:t>
      </w:r>
      <w:proofErr w:type="spellEnd"/>
      <w:r w:rsidRPr="00F85326">
        <w:t xml:space="preserve"> and </w:t>
      </w:r>
      <w:proofErr w:type="spellStart"/>
      <w:r w:rsidRPr="00F85326">
        <w:t>bevacizumab</w:t>
      </w:r>
      <w:proofErr w:type="spellEnd"/>
      <w:r w:rsidRPr="00F85326">
        <w:t xml:space="preserve"> (“</w:t>
      </w:r>
      <w:proofErr w:type="spellStart"/>
      <w:r w:rsidRPr="00F85326">
        <w:t>bevacizumab</w:t>
      </w:r>
      <w:proofErr w:type="spellEnd"/>
      <w:r w:rsidRPr="00F85326">
        <w:t xml:space="preserve"> group). Subjects were platinum-sensitive, defined as relapse greater than 6 months after last platinum treatment. Randomisation was stratified by degree of platinum sensitivity (relapse 6-12 months and &gt; 12 months after last platinum treatment) and </w:t>
      </w:r>
      <w:proofErr w:type="spellStart"/>
      <w:r w:rsidRPr="00F85326">
        <w:t>cyto</w:t>
      </w:r>
      <w:proofErr w:type="spellEnd"/>
      <w:r w:rsidRPr="00F85326">
        <w:t xml:space="preserve">-reductive surgery for recurrent disease. The doses of </w:t>
      </w:r>
      <w:proofErr w:type="spellStart"/>
      <w:r w:rsidRPr="00F85326">
        <w:t>carboplatin</w:t>
      </w:r>
      <w:proofErr w:type="spellEnd"/>
      <w:r w:rsidRPr="00F85326">
        <w:t xml:space="preserve"> and </w:t>
      </w:r>
      <w:proofErr w:type="spellStart"/>
      <w:r w:rsidRPr="00F85326">
        <w:t>gemcitabine</w:t>
      </w:r>
      <w:proofErr w:type="spellEnd"/>
      <w:r w:rsidRPr="00F85326">
        <w:t xml:space="preserve"> were the same in both groups: </w:t>
      </w:r>
      <w:proofErr w:type="spellStart"/>
      <w:r w:rsidRPr="00F85326">
        <w:t>carboplatin</w:t>
      </w:r>
      <w:proofErr w:type="spellEnd"/>
      <w:r w:rsidRPr="00F85326">
        <w:t xml:space="preserve"> AUC 4 mg/mL.min on Day 1 every 21 Days and </w:t>
      </w:r>
      <w:proofErr w:type="spellStart"/>
      <w:r w:rsidRPr="00F85326">
        <w:t>gemcitabine</w:t>
      </w:r>
      <w:proofErr w:type="spellEnd"/>
      <w:r w:rsidRPr="00F85326">
        <w:t xml:space="preserve"> 1,000 mg/m</w:t>
      </w:r>
      <w:r w:rsidRPr="00F85326">
        <w:rPr>
          <w:vertAlign w:val="superscript"/>
        </w:rPr>
        <w:t>2</w:t>
      </w:r>
      <w:r w:rsidRPr="00F85326">
        <w:t xml:space="preserve"> on Days 1 and 8 every 21 Days (median 6 cycles). The </w:t>
      </w:r>
      <w:proofErr w:type="spellStart"/>
      <w:r w:rsidRPr="00F85326">
        <w:t>bevacizumab</w:t>
      </w:r>
      <w:proofErr w:type="spellEnd"/>
      <w:r w:rsidRPr="00F85326">
        <w:t xml:space="preserve"> dose was 15 mg/kg every 3 weeks until disease progression or unacceptable toxicity. The median duration of treatment was 8.6 months with </w:t>
      </w:r>
      <w:proofErr w:type="spellStart"/>
      <w:r w:rsidRPr="00F85326">
        <w:t>bevacizumab</w:t>
      </w:r>
      <w:proofErr w:type="spellEnd"/>
      <w:r w:rsidRPr="00F85326">
        <w:t xml:space="preserve"> and 7.4 months with placebo.</w:t>
      </w:r>
    </w:p>
    <w:p w:rsidR="00F85326" w:rsidRPr="00F85326" w:rsidRDefault="00F85326" w:rsidP="002821DC">
      <w:pPr>
        <w:pStyle w:val="ListBullet"/>
      </w:pPr>
      <w:r w:rsidRPr="00F85326">
        <w:t xml:space="preserve">The majority of subjects had epithelial ovarian cancer (83% in the </w:t>
      </w:r>
      <w:proofErr w:type="spellStart"/>
      <w:r w:rsidRPr="00F85326">
        <w:t>bevacizumab</w:t>
      </w:r>
      <w:proofErr w:type="spellEnd"/>
      <w:r w:rsidRPr="00F85326">
        <w:t xml:space="preserve"> group and 86% in the placebo group). The median age of subjects was 60 years in the </w:t>
      </w:r>
      <w:proofErr w:type="spellStart"/>
      <w:r w:rsidRPr="00F85326">
        <w:t>bevacizumab</w:t>
      </w:r>
      <w:proofErr w:type="spellEnd"/>
      <w:r w:rsidRPr="00F85326">
        <w:t xml:space="preserve"> group and 61 years in the placebo group. ECOG performance status was 0 or 1.</w:t>
      </w:r>
    </w:p>
    <w:p w:rsidR="00F85326" w:rsidRPr="00F85326" w:rsidRDefault="00F85326" w:rsidP="002821DC">
      <w:pPr>
        <w:pStyle w:val="ListBullet"/>
      </w:pPr>
      <w:r w:rsidRPr="00F85326">
        <w:t>The primary efficacy endpoint was investigator-determined PFS. Progression free survival was assessed using modified RECIST</w:t>
      </w:r>
      <w:r w:rsidRPr="00F85326">
        <w:rPr>
          <w:vertAlign w:val="superscript"/>
        </w:rPr>
        <w:footnoteReference w:id="8"/>
      </w:r>
      <w:r w:rsidRPr="00F85326">
        <w:t xml:space="preserve"> criteria. </w:t>
      </w:r>
      <w:proofErr w:type="spellStart"/>
      <w:r w:rsidRPr="00F85326">
        <w:t>Bevacizumab</w:t>
      </w:r>
      <w:proofErr w:type="spellEnd"/>
      <w:r w:rsidRPr="00F85326">
        <w:t xml:space="preserve"> significantly increased PFS by a median 4 months based on the stratified analysis (Table 2). Similar results were achieved in the </w:t>
      </w:r>
      <w:proofErr w:type="spellStart"/>
      <w:r w:rsidRPr="00F85326">
        <w:t>unstratified</w:t>
      </w:r>
      <w:proofErr w:type="spellEnd"/>
      <w:r w:rsidRPr="00F85326">
        <w:t xml:space="preserve"> analysis and an analysis of independently assessed PFS. There was support from other endpoints. Complete responses were considerably lower in the independent assessment (1.2% for placebo and 0.8% for </w:t>
      </w:r>
      <w:proofErr w:type="spellStart"/>
      <w:r w:rsidRPr="00F85326">
        <w:t>bevacizumab</w:t>
      </w:r>
      <w:proofErr w:type="spellEnd"/>
      <w:r w:rsidRPr="00F85326">
        <w:t xml:space="preserve">) than the investigator assessment (9.1% for placebo and 17.4% for </w:t>
      </w:r>
      <w:proofErr w:type="spellStart"/>
      <w:r w:rsidRPr="00F85326">
        <w:t>bevacizumab</w:t>
      </w:r>
      <w:proofErr w:type="spellEnd"/>
      <w:r w:rsidRPr="00F85326">
        <w:t xml:space="preserve">). </w:t>
      </w:r>
    </w:p>
    <w:p w:rsidR="00F85326" w:rsidRPr="00F85326" w:rsidRDefault="00F85326" w:rsidP="002821DC">
      <w:pPr>
        <w:pStyle w:val="ListBullet"/>
      </w:pPr>
      <w:proofErr w:type="spellStart"/>
      <w:r w:rsidRPr="00F85326">
        <w:t>Bevacizumab</w:t>
      </w:r>
      <w:proofErr w:type="spellEnd"/>
      <w:r w:rsidRPr="00F85326">
        <w:t xml:space="preserve"> did not significantly increase OS but the trend was in favour based on preliminary data after 29% of subjects had died and median duration of follow-up of 2 years. The final analysis will be done after 73% of subjects have died, which is anticipated by the end of 2013.</w:t>
      </w:r>
    </w:p>
    <w:p w:rsidR="00F85326" w:rsidRPr="00F85326" w:rsidRDefault="00F85326" w:rsidP="002821DC">
      <w:pPr>
        <w:pStyle w:val="ListBullet"/>
      </w:pPr>
      <w:r w:rsidRPr="00F85326">
        <w:t xml:space="preserve">In the subgroup analysis, the significant increase in PFS in the </w:t>
      </w:r>
      <w:proofErr w:type="spellStart"/>
      <w:r w:rsidRPr="00F85326">
        <w:t>bevacizumab</w:t>
      </w:r>
      <w:proofErr w:type="spellEnd"/>
      <w:r w:rsidRPr="00F85326">
        <w:t xml:space="preserve"> group was seen in patients with epithelial ovarian cancer but not in patients with fallopian tube or primary peritoneal cancer. There were insufficient patients with these other cancers to show a significant difference between treatment groups; however, the trend </w:t>
      </w:r>
      <w:r w:rsidRPr="00F85326">
        <w:lastRenderedPageBreak/>
        <w:t xml:space="preserve">was in favour of </w:t>
      </w:r>
      <w:proofErr w:type="spellStart"/>
      <w:r w:rsidRPr="00F85326">
        <w:t>bevacizumab</w:t>
      </w:r>
      <w:proofErr w:type="spellEnd"/>
      <w:r w:rsidRPr="00F85326">
        <w:t xml:space="preserve">. The three cancers are reported to be </w:t>
      </w:r>
      <w:proofErr w:type="spellStart"/>
      <w:r w:rsidRPr="00F85326">
        <w:t>histologically</w:t>
      </w:r>
      <w:proofErr w:type="spellEnd"/>
      <w:r w:rsidRPr="00F85326">
        <w:t xml:space="preserve"> equivalent by the International Federation of </w:t>
      </w:r>
      <w:proofErr w:type="spellStart"/>
      <w:r w:rsidRPr="00F85326">
        <w:t>Gynecology</w:t>
      </w:r>
      <w:proofErr w:type="spellEnd"/>
      <w:r w:rsidRPr="00F85326">
        <w:t xml:space="preserve"> and Obstetrics (FIGO).</w:t>
      </w:r>
    </w:p>
    <w:p w:rsidR="00F85326" w:rsidRPr="00F85326" w:rsidRDefault="00F85326" w:rsidP="002821DC">
      <w:pPr>
        <w:pStyle w:val="TableTitle"/>
      </w:pPr>
      <w:r w:rsidRPr="00F85326">
        <w:t xml:space="preserve">Table 2. Efficacy Results. </w:t>
      </w:r>
      <w:r w:rsidRPr="002821DC">
        <w:t>Trial</w:t>
      </w:r>
      <w:r w:rsidRPr="00F85326">
        <w:t xml:space="preserve"> AVF4095g. Investigator Determined – Intent-to-Treat</w:t>
      </w:r>
    </w:p>
    <w:tbl>
      <w:tblPr>
        <w:tblStyle w:val="TableTGAblue"/>
        <w:tblW w:w="0" w:type="auto"/>
        <w:tblLook w:val="04A0"/>
      </w:tblPr>
      <w:tblGrid>
        <w:gridCol w:w="2126"/>
        <w:gridCol w:w="2268"/>
        <w:gridCol w:w="2155"/>
        <w:gridCol w:w="1779"/>
      </w:tblGrid>
      <w:tr w:rsidR="00F85326" w:rsidRPr="00F85326" w:rsidTr="002821DC">
        <w:trPr>
          <w:cnfStyle w:val="100000000000"/>
          <w:tblHeader/>
        </w:trPr>
        <w:tc>
          <w:tcPr>
            <w:tcW w:w="2126" w:type="dxa"/>
          </w:tcPr>
          <w:p w:rsidR="00F85326" w:rsidRPr="00F85326" w:rsidRDefault="00F85326" w:rsidP="002821DC">
            <w:pPr>
              <w:rPr>
                <w:lang w:eastAsia="ja-JP"/>
              </w:rPr>
            </w:pPr>
          </w:p>
        </w:tc>
        <w:tc>
          <w:tcPr>
            <w:tcW w:w="2268" w:type="dxa"/>
            <w:hideMark/>
          </w:tcPr>
          <w:p w:rsidR="00F85326" w:rsidRPr="00F85326" w:rsidRDefault="00F85326" w:rsidP="002821DC">
            <w:pPr>
              <w:rPr>
                <w:rFonts w:ascii="Times New Roman" w:hAnsi="Times New Roman"/>
                <w:lang w:eastAsia="ja-JP"/>
              </w:rPr>
            </w:pPr>
            <w:r w:rsidRPr="00F85326">
              <w:rPr>
                <w:lang w:eastAsia="ja-JP"/>
              </w:rPr>
              <w:t>Placebo Group</w:t>
            </w:r>
          </w:p>
          <w:p w:rsidR="00F85326" w:rsidRPr="00F85326" w:rsidRDefault="00F85326" w:rsidP="002821DC">
            <w:pPr>
              <w:rPr>
                <w:lang w:eastAsia="ja-JP"/>
              </w:rPr>
            </w:pPr>
            <w:r w:rsidRPr="00F85326">
              <w:rPr>
                <w:lang w:eastAsia="ja-JP"/>
              </w:rPr>
              <w:t>n=242</w:t>
            </w:r>
          </w:p>
        </w:tc>
        <w:tc>
          <w:tcPr>
            <w:tcW w:w="2155" w:type="dxa"/>
            <w:hideMark/>
          </w:tcPr>
          <w:p w:rsidR="00F85326" w:rsidRPr="00F85326" w:rsidRDefault="00F85326" w:rsidP="002821DC">
            <w:pPr>
              <w:rPr>
                <w:rFonts w:ascii="Times New Roman" w:hAnsi="Times New Roman"/>
                <w:lang w:eastAsia="ja-JP"/>
              </w:rPr>
            </w:pPr>
            <w:proofErr w:type="spellStart"/>
            <w:r w:rsidRPr="00F85326">
              <w:rPr>
                <w:lang w:eastAsia="ja-JP"/>
              </w:rPr>
              <w:t>Bevacizumab</w:t>
            </w:r>
            <w:proofErr w:type="spellEnd"/>
            <w:r w:rsidRPr="00F85326">
              <w:rPr>
                <w:lang w:eastAsia="ja-JP"/>
              </w:rPr>
              <w:t xml:space="preserve"> Group</w:t>
            </w:r>
          </w:p>
          <w:p w:rsidR="00F85326" w:rsidRPr="00F85326" w:rsidRDefault="00F85326" w:rsidP="002821DC">
            <w:pPr>
              <w:rPr>
                <w:lang w:eastAsia="ja-JP"/>
              </w:rPr>
            </w:pPr>
            <w:r w:rsidRPr="00F85326">
              <w:rPr>
                <w:lang w:eastAsia="ja-JP"/>
              </w:rPr>
              <w:t>n=242</w:t>
            </w:r>
          </w:p>
        </w:tc>
        <w:tc>
          <w:tcPr>
            <w:tcW w:w="1779" w:type="dxa"/>
            <w:hideMark/>
          </w:tcPr>
          <w:p w:rsidR="00F85326" w:rsidRPr="00F85326" w:rsidRDefault="00F85326" w:rsidP="002821DC">
            <w:pPr>
              <w:rPr>
                <w:rFonts w:ascii="Times New Roman" w:hAnsi="Times New Roman"/>
                <w:lang w:eastAsia="ja-JP"/>
              </w:rPr>
            </w:pPr>
            <w:r w:rsidRPr="00F85326">
              <w:rPr>
                <w:lang w:eastAsia="ja-JP"/>
              </w:rPr>
              <w:t>Hazard Ratio or Difference</w:t>
            </w:r>
          </w:p>
          <w:p w:rsidR="00F85326" w:rsidRPr="00F85326" w:rsidRDefault="00F85326" w:rsidP="002821DC">
            <w:pPr>
              <w:rPr>
                <w:lang w:eastAsia="ja-JP"/>
              </w:rPr>
            </w:pPr>
            <w:r w:rsidRPr="00F85326">
              <w:rPr>
                <w:lang w:eastAsia="ja-JP"/>
              </w:rPr>
              <w:t>[95% CI]</w:t>
            </w:r>
            <w:r w:rsidRPr="00F85326">
              <w:rPr>
                <w:vertAlign w:val="superscript"/>
                <w:lang w:eastAsia="ja-JP"/>
              </w:rPr>
              <w:t>1</w:t>
            </w:r>
          </w:p>
          <w:p w:rsidR="00F85326" w:rsidRPr="00F85326" w:rsidRDefault="00F85326" w:rsidP="002821DC">
            <w:pPr>
              <w:rPr>
                <w:lang w:eastAsia="ja-JP"/>
              </w:rPr>
            </w:pPr>
            <w:r w:rsidRPr="00F85326">
              <w:rPr>
                <w:lang w:eastAsia="ja-JP"/>
              </w:rPr>
              <w:t>p-value</w:t>
            </w:r>
          </w:p>
        </w:tc>
      </w:tr>
      <w:tr w:rsidR="00F85326" w:rsidRPr="00F85326" w:rsidTr="002821DC">
        <w:tc>
          <w:tcPr>
            <w:tcW w:w="2126" w:type="dxa"/>
            <w:hideMark/>
          </w:tcPr>
          <w:p w:rsidR="00F85326" w:rsidRPr="00F85326" w:rsidRDefault="00F85326" w:rsidP="002821DC">
            <w:pPr>
              <w:rPr>
                <w:rFonts w:ascii="Times New Roman" w:hAnsi="Times New Roman"/>
                <w:lang w:eastAsia="ja-JP"/>
              </w:rPr>
            </w:pPr>
            <w:r w:rsidRPr="00F85326">
              <w:rPr>
                <w:lang w:eastAsia="ja-JP"/>
              </w:rPr>
              <w:t xml:space="preserve">Progression-Free Survival </w:t>
            </w:r>
          </w:p>
          <w:p w:rsidR="00F85326" w:rsidRPr="00F85326" w:rsidRDefault="00F85326" w:rsidP="002821DC">
            <w:pPr>
              <w:rPr>
                <w:lang w:eastAsia="ja-JP"/>
              </w:rPr>
            </w:pPr>
            <w:r w:rsidRPr="00F85326">
              <w:rPr>
                <w:lang w:eastAsia="ja-JP"/>
              </w:rPr>
              <w:t>median (months)</w:t>
            </w:r>
          </w:p>
        </w:tc>
        <w:tc>
          <w:tcPr>
            <w:tcW w:w="2268" w:type="dxa"/>
            <w:hideMark/>
          </w:tcPr>
          <w:p w:rsidR="00F85326" w:rsidRPr="00F85326" w:rsidRDefault="00F85326" w:rsidP="002821DC">
            <w:pPr>
              <w:rPr>
                <w:lang w:eastAsia="ja-JP"/>
              </w:rPr>
            </w:pPr>
            <w:r w:rsidRPr="00F85326">
              <w:rPr>
                <w:lang w:eastAsia="ja-JP"/>
              </w:rPr>
              <w:t>8.4</w:t>
            </w:r>
          </w:p>
        </w:tc>
        <w:tc>
          <w:tcPr>
            <w:tcW w:w="2155" w:type="dxa"/>
            <w:hideMark/>
          </w:tcPr>
          <w:p w:rsidR="00F85326" w:rsidRPr="00F85326" w:rsidRDefault="00F85326" w:rsidP="002821DC">
            <w:pPr>
              <w:rPr>
                <w:lang w:eastAsia="ja-JP"/>
              </w:rPr>
            </w:pPr>
            <w:r w:rsidRPr="00F85326">
              <w:rPr>
                <w:lang w:eastAsia="ja-JP"/>
              </w:rPr>
              <w:t>12.4</w:t>
            </w:r>
          </w:p>
        </w:tc>
        <w:tc>
          <w:tcPr>
            <w:tcW w:w="1779" w:type="dxa"/>
            <w:hideMark/>
          </w:tcPr>
          <w:p w:rsidR="00F85326" w:rsidRPr="00F85326" w:rsidRDefault="00F85326" w:rsidP="002821DC">
            <w:pPr>
              <w:rPr>
                <w:rFonts w:ascii="Times New Roman" w:hAnsi="Times New Roman"/>
                <w:lang w:eastAsia="ja-JP"/>
              </w:rPr>
            </w:pPr>
            <w:r w:rsidRPr="00F85326">
              <w:rPr>
                <w:lang w:eastAsia="ja-JP"/>
              </w:rPr>
              <w:t>0.48</w:t>
            </w:r>
          </w:p>
          <w:p w:rsidR="00F85326" w:rsidRPr="00F85326" w:rsidRDefault="00F85326" w:rsidP="002821DC">
            <w:pPr>
              <w:rPr>
                <w:lang w:eastAsia="ja-JP"/>
              </w:rPr>
            </w:pPr>
            <w:r w:rsidRPr="00F85326">
              <w:rPr>
                <w:lang w:eastAsia="ja-JP"/>
              </w:rPr>
              <w:t>[0.39, 0.61]</w:t>
            </w:r>
          </w:p>
          <w:p w:rsidR="00F85326" w:rsidRPr="00F85326" w:rsidRDefault="00F85326" w:rsidP="002821DC">
            <w:pPr>
              <w:rPr>
                <w:lang w:eastAsia="ja-JP"/>
              </w:rPr>
            </w:pPr>
            <w:r w:rsidRPr="00F85326">
              <w:rPr>
                <w:lang w:eastAsia="ja-JP"/>
              </w:rPr>
              <w:t>p&lt;0.0001</w:t>
            </w:r>
            <w:r w:rsidRPr="00F85326">
              <w:rPr>
                <w:vertAlign w:val="superscript"/>
                <w:lang w:eastAsia="ja-JP"/>
              </w:rPr>
              <w:t>1</w:t>
            </w:r>
          </w:p>
        </w:tc>
      </w:tr>
      <w:tr w:rsidR="00F85326" w:rsidRPr="00F85326" w:rsidTr="002821DC">
        <w:tc>
          <w:tcPr>
            <w:tcW w:w="2126" w:type="dxa"/>
            <w:hideMark/>
          </w:tcPr>
          <w:p w:rsidR="00F85326" w:rsidRPr="00F85326" w:rsidRDefault="00F85326" w:rsidP="002821DC">
            <w:pPr>
              <w:rPr>
                <w:rFonts w:ascii="Times New Roman" w:hAnsi="Times New Roman"/>
                <w:lang w:eastAsia="ja-JP"/>
              </w:rPr>
            </w:pPr>
            <w:r w:rsidRPr="00F85326">
              <w:rPr>
                <w:lang w:eastAsia="ja-JP"/>
              </w:rPr>
              <w:t>ORR %</w:t>
            </w:r>
          </w:p>
          <w:p w:rsidR="00F85326" w:rsidRPr="00F85326" w:rsidRDefault="00F85326" w:rsidP="002821DC">
            <w:pPr>
              <w:rPr>
                <w:lang w:eastAsia="ja-JP"/>
              </w:rPr>
            </w:pPr>
            <w:r w:rsidRPr="00F85326">
              <w:rPr>
                <w:lang w:eastAsia="ja-JP"/>
              </w:rPr>
              <w:t>Complete</w:t>
            </w:r>
          </w:p>
          <w:p w:rsidR="00F85326" w:rsidRPr="00F85326" w:rsidRDefault="00F85326" w:rsidP="002821DC">
            <w:pPr>
              <w:rPr>
                <w:lang w:eastAsia="ja-JP"/>
              </w:rPr>
            </w:pPr>
            <w:r w:rsidRPr="00F85326">
              <w:rPr>
                <w:lang w:eastAsia="ja-JP"/>
              </w:rPr>
              <w:t>Partial</w:t>
            </w:r>
          </w:p>
        </w:tc>
        <w:tc>
          <w:tcPr>
            <w:tcW w:w="2268" w:type="dxa"/>
            <w:hideMark/>
          </w:tcPr>
          <w:p w:rsidR="00F85326" w:rsidRPr="00F85326" w:rsidRDefault="00F85326" w:rsidP="002821DC">
            <w:pPr>
              <w:rPr>
                <w:rFonts w:ascii="Times New Roman" w:hAnsi="Times New Roman"/>
                <w:lang w:eastAsia="ja-JP"/>
              </w:rPr>
            </w:pPr>
            <w:r w:rsidRPr="00F85326">
              <w:rPr>
                <w:lang w:eastAsia="ja-JP"/>
              </w:rPr>
              <w:t>57.4</w:t>
            </w:r>
          </w:p>
          <w:p w:rsidR="00F85326" w:rsidRPr="00F85326" w:rsidRDefault="00F85326" w:rsidP="002821DC">
            <w:pPr>
              <w:rPr>
                <w:lang w:eastAsia="ja-JP"/>
              </w:rPr>
            </w:pPr>
            <w:r w:rsidRPr="00F85326">
              <w:rPr>
                <w:lang w:eastAsia="ja-JP"/>
              </w:rPr>
              <w:t>9.1</w:t>
            </w:r>
          </w:p>
          <w:p w:rsidR="00F85326" w:rsidRPr="00F85326" w:rsidRDefault="00F85326" w:rsidP="002821DC">
            <w:pPr>
              <w:rPr>
                <w:lang w:eastAsia="ja-JP"/>
              </w:rPr>
            </w:pPr>
            <w:r w:rsidRPr="00F85326">
              <w:rPr>
                <w:lang w:eastAsia="ja-JP"/>
              </w:rPr>
              <w:t>48.3</w:t>
            </w:r>
          </w:p>
        </w:tc>
        <w:tc>
          <w:tcPr>
            <w:tcW w:w="2155" w:type="dxa"/>
            <w:hideMark/>
          </w:tcPr>
          <w:p w:rsidR="00F85326" w:rsidRPr="00F85326" w:rsidRDefault="00F85326" w:rsidP="002821DC">
            <w:pPr>
              <w:rPr>
                <w:rFonts w:ascii="Times New Roman" w:hAnsi="Times New Roman"/>
                <w:lang w:eastAsia="ja-JP"/>
              </w:rPr>
            </w:pPr>
            <w:r w:rsidRPr="00F85326">
              <w:rPr>
                <w:lang w:eastAsia="ja-JP"/>
              </w:rPr>
              <w:t>78.5</w:t>
            </w:r>
          </w:p>
          <w:p w:rsidR="00F85326" w:rsidRPr="00F85326" w:rsidRDefault="00F85326" w:rsidP="002821DC">
            <w:pPr>
              <w:rPr>
                <w:lang w:eastAsia="ja-JP"/>
              </w:rPr>
            </w:pPr>
            <w:r w:rsidRPr="00F85326">
              <w:rPr>
                <w:lang w:eastAsia="ja-JP"/>
              </w:rPr>
              <w:t>17.4</w:t>
            </w:r>
          </w:p>
          <w:p w:rsidR="00F85326" w:rsidRPr="00F85326" w:rsidRDefault="00F85326" w:rsidP="002821DC">
            <w:pPr>
              <w:rPr>
                <w:lang w:eastAsia="ja-JP"/>
              </w:rPr>
            </w:pPr>
            <w:r w:rsidRPr="00F85326">
              <w:rPr>
                <w:lang w:eastAsia="ja-JP"/>
              </w:rPr>
              <w:t>61.2</w:t>
            </w:r>
          </w:p>
        </w:tc>
        <w:tc>
          <w:tcPr>
            <w:tcW w:w="1779" w:type="dxa"/>
            <w:hideMark/>
          </w:tcPr>
          <w:p w:rsidR="00F85326" w:rsidRPr="00F85326" w:rsidRDefault="00F85326" w:rsidP="002821DC">
            <w:pPr>
              <w:rPr>
                <w:rFonts w:ascii="Times New Roman" w:hAnsi="Times New Roman"/>
                <w:lang w:eastAsia="ja-JP"/>
              </w:rPr>
            </w:pPr>
            <w:r w:rsidRPr="00F85326">
              <w:rPr>
                <w:lang w:eastAsia="ja-JP"/>
              </w:rPr>
              <w:t>21.1</w:t>
            </w:r>
          </w:p>
          <w:p w:rsidR="00F85326" w:rsidRPr="00F85326" w:rsidRDefault="00F85326" w:rsidP="002821DC">
            <w:pPr>
              <w:rPr>
                <w:lang w:eastAsia="ja-JP"/>
              </w:rPr>
            </w:pPr>
            <w:r w:rsidRPr="00F85326">
              <w:rPr>
                <w:lang w:eastAsia="ja-JP"/>
              </w:rPr>
              <w:t>[13.0, 29.2]</w:t>
            </w:r>
          </w:p>
          <w:p w:rsidR="00F85326" w:rsidRPr="00F85326" w:rsidRDefault="00F85326" w:rsidP="002821DC">
            <w:pPr>
              <w:rPr>
                <w:lang w:eastAsia="ja-JP"/>
              </w:rPr>
            </w:pPr>
            <w:r w:rsidRPr="00F85326">
              <w:rPr>
                <w:lang w:eastAsia="ja-JP"/>
              </w:rPr>
              <w:t>p&lt;0.0001</w:t>
            </w:r>
            <w:r w:rsidRPr="00F85326">
              <w:rPr>
                <w:vertAlign w:val="superscript"/>
                <w:lang w:eastAsia="ja-JP"/>
              </w:rPr>
              <w:t>2</w:t>
            </w:r>
          </w:p>
        </w:tc>
      </w:tr>
      <w:tr w:rsidR="00F85326" w:rsidRPr="00F85326" w:rsidTr="002821DC">
        <w:tc>
          <w:tcPr>
            <w:tcW w:w="2126" w:type="dxa"/>
            <w:hideMark/>
          </w:tcPr>
          <w:p w:rsidR="00F85326" w:rsidRPr="00F85326" w:rsidRDefault="00F85326" w:rsidP="002821DC">
            <w:pPr>
              <w:rPr>
                <w:rFonts w:ascii="Times New Roman" w:hAnsi="Times New Roman"/>
                <w:lang w:eastAsia="ja-JP"/>
              </w:rPr>
            </w:pPr>
            <w:r w:rsidRPr="00F85326">
              <w:rPr>
                <w:lang w:eastAsia="ja-JP"/>
              </w:rPr>
              <w:t>Duration of Response</w:t>
            </w:r>
          </w:p>
          <w:p w:rsidR="00F85326" w:rsidRPr="00F85326" w:rsidRDefault="00F85326" w:rsidP="002821DC">
            <w:pPr>
              <w:rPr>
                <w:lang w:eastAsia="ja-JP"/>
              </w:rPr>
            </w:pPr>
            <w:r w:rsidRPr="00F85326">
              <w:rPr>
                <w:lang w:eastAsia="ja-JP"/>
              </w:rPr>
              <w:t>median (months)</w:t>
            </w:r>
          </w:p>
        </w:tc>
        <w:tc>
          <w:tcPr>
            <w:tcW w:w="2268" w:type="dxa"/>
            <w:hideMark/>
          </w:tcPr>
          <w:p w:rsidR="00F85326" w:rsidRPr="00F85326" w:rsidRDefault="00F85326" w:rsidP="002821DC">
            <w:pPr>
              <w:rPr>
                <w:rFonts w:ascii="Times New Roman" w:hAnsi="Times New Roman"/>
                <w:lang w:eastAsia="ja-JP"/>
              </w:rPr>
            </w:pPr>
            <w:r w:rsidRPr="00F85326">
              <w:rPr>
                <w:lang w:eastAsia="ja-JP"/>
              </w:rPr>
              <w:t>7.4</w:t>
            </w:r>
          </w:p>
          <w:p w:rsidR="00F85326" w:rsidRPr="00F85326" w:rsidRDefault="00F85326" w:rsidP="002821DC">
            <w:pPr>
              <w:rPr>
                <w:lang w:eastAsia="ja-JP"/>
              </w:rPr>
            </w:pPr>
            <w:r w:rsidRPr="00F85326">
              <w:rPr>
                <w:lang w:eastAsia="ja-JP"/>
              </w:rPr>
              <w:t>n=139</w:t>
            </w:r>
          </w:p>
        </w:tc>
        <w:tc>
          <w:tcPr>
            <w:tcW w:w="2155" w:type="dxa"/>
            <w:hideMark/>
          </w:tcPr>
          <w:p w:rsidR="00F85326" w:rsidRPr="00F85326" w:rsidRDefault="00F85326" w:rsidP="002821DC">
            <w:pPr>
              <w:rPr>
                <w:rFonts w:ascii="Times New Roman" w:hAnsi="Times New Roman"/>
                <w:lang w:eastAsia="ja-JP"/>
              </w:rPr>
            </w:pPr>
            <w:r w:rsidRPr="00F85326">
              <w:rPr>
                <w:lang w:eastAsia="ja-JP"/>
              </w:rPr>
              <w:t>10.4</w:t>
            </w:r>
          </w:p>
          <w:p w:rsidR="00F85326" w:rsidRPr="00F85326" w:rsidRDefault="00F85326" w:rsidP="002821DC">
            <w:pPr>
              <w:rPr>
                <w:lang w:eastAsia="ja-JP"/>
              </w:rPr>
            </w:pPr>
            <w:r w:rsidRPr="00F85326">
              <w:rPr>
                <w:lang w:eastAsia="ja-JP"/>
              </w:rPr>
              <w:t>n=190</w:t>
            </w:r>
          </w:p>
        </w:tc>
        <w:tc>
          <w:tcPr>
            <w:tcW w:w="1779" w:type="dxa"/>
            <w:hideMark/>
          </w:tcPr>
          <w:p w:rsidR="00F85326" w:rsidRPr="00F85326" w:rsidRDefault="00F85326" w:rsidP="002821DC">
            <w:pPr>
              <w:rPr>
                <w:rFonts w:ascii="Times New Roman" w:hAnsi="Times New Roman"/>
                <w:lang w:eastAsia="ja-JP"/>
              </w:rPr>
            </w:pPr>
            <w:r w:rsidRPr="00F85326">
              <w:rPr>
                <w:lang w:eastAsia="ja-JP"/>
              </w:rPr>
              <w:t>0.53</w:t>
            </w:r>
          </w:p>
          <w:p w:rsidR="00F85326" w:rsidRPr="00F85326" w:rsidRDefault="00F85326" w:rsidP="002821DC">
            <w:pPr>
              <w:rPr>
                <w:lang w:eastAsia="ja-JP"/>
              </w:rPr>
            </w:pPr>
            <w:r w:rsidRPr="00F85326">
              <w:rPr>
                <w:lang w:eastAsia="ja-JP"/>
              </w:rPr>
              <w:t>[0.41, 0.70]</w:t>
            </w:r>
          </w:p>
          <w:p w:rsidR="00F85326" w:rsidRPr="00F85326" w:rsidRDefault="00F85326" w:rsidP="002821DC">
            <w:pPr>
              <w:rPr>
                <w:lang w:eastAsia="ja-JP"/>
              </w:rPr>
            </w:pPr>
            <w:r w:rsidRPr="00F85326">
              <w:rPr>
                <w:lang w:eastAsia="ja-JP"/>
              </w:rPr>
              <w:t>p&lt;0.0001</w:t>
            </w:r>
            <w:r w:rsidRPr="00F85326">
              <w:rPr>
                <w:vertAlign w:val="superscript"/>
                <w:lang w:eastAsia="ja-JP"/>
              </w:rPr>
              <w:t>1</w:t>
            </w:r>
          </w:p>
        </w:tc>
      </w:tr>
      <w:tr w:rsidR="00F85326" w:rsidRPr="00F85326" w:rsidTr="002821DC">
        <w:tc>
          <w:tcPr>
            <w:tcW w:w="2126" w:type="dxa"/>
            <w:hideMark/>
          </w:tcPr>
          <w:p w:rsidR="00F85326" w:rsidRPr="00F85326" w:rsidRDefault="00F85326" w:rsidP="002821DC">
            <w:pPr>
              <w:rPr>
                <w:rFonts w:ascii="Times New Roman" w:hAnsi="Times New Roman"/>
                <w:lang w:eastAsia="ja-JP"/>
              </w:rPr>
            </w:pPr>
            <w:r w:rsidRPr="00F85326">
              <w:rPr>
                <w:lang w:eastAsia="ja-JP"/>
              </w:rPr>
              <w:t>Overall Survival</w:t>
            </w:r>
          </w:p>
          <w:p w:rsidR="00F85326" w:rsidRPr="00F85326" w:rsidRDefault="00F85326" w:rsidP="002821DC">
            <w:pPr>
              <w:rPr>
                <w:lang w:eastAsia="ja-JP"/>
              </w:rPr>
            </w:pPr>
            <w:r w:rsidRPr="00F85326">
              <w:rPr>
                <w:lang w:eastAsia="ja-JP"/>
              </w:rPr>
              <w:t>median (months)</w:t>
            </w:r>
          </w:p>
        </w:tc>
        <w:tc>
          <w:tcPr>
            <w:tcW w:w="2268" w:type="dxa"/>
            <w:hideMark/>
          </w:tcPr>
          <w:p w:rsidR="00F85326" w:rsidRPr="00F85326" w:rsidRDefault="00F85326" w:rsidP="002821DC">
            <w:pPr>
              <w:rPr>
                <w:lang w:eastAsia="ja-JP"/>
              </w:rPr>
            </w:pPr>
            <w:r w:rsidRPr="00F85326">
              <w:rPr>
                <w:lang w:eastAsia="ja-JP"/>
              </w:rPr>
              <w:t>29.9</w:t>
            </w:r>
          </w:p>
        </w:tc>
        <w:tc>
          <w:tcPr>
            <w:tcW w:w="2155" w:type="dxa"/>
            <w:hideMark/>
          </w:tcPr>
          <w:p w:rsidR="00F85326" w:rsidRPr="00F85326" w:rsidRDefault="00F85326" w:rsidP="002821DC">
            <w:pPr>
              <w:rPr>
                <w:lang w:eastAsia="ja-JP"/>
              </w:rPr>
            </w:pPr>
            <w:r w:rsidRPr="00F85326">
              <w:rPr>
                <w:lang w:eastAsia="ja-JP"/>
              </w:rPr>
              <w:t>35.5</w:t>
            </w:r>
          </w:p>
        </w:tc>
        <w:tc>
          <w:tcPr>
            <w:tcW w:w="1779" w:type="dxa"/>
            <w:hideMark/>
          </w:tcPr>
          <w:p w:rsidR="00F85326" w:rsidRPr="00F85326" w:rsidRDefault="00F85326" w:rsidP="002821DC">
            <w:pPr>
              <w:rPr>
                <w:rFonts w:ascii="Times New Roman" w:hAnsi="Times New Roman"/>
                <w:lang w:eastAsia="ja-JP"/>
              </w:rPr>
            </w:pPr>
            <w:r w:rsidRPr="00F85326">
              <w:rPr>
                <w:lang w:eastAsia="ja-JP"/>
              </w:rPr>
              <w:t>0.75</w:t>
            </w:r>
          </w:p>
          <w:p w:rsidR="00F85326" w:rsidRPr="00F85326" w:rsidRDefault="00F85326" w:rsidP="002821DC">
            <w:pPr>
              <w:rPr>
                <w:lang w:eastAsia="ja-JP"/>
              </w:rPr>
            </w:pPr>
            <w:r w:rsidRPr="00F85326">
              <w:rPr>
                <w:lang w:eastAsia="ja-JP"/>
              </w:rPr>
              <w:t>[0.54, 1.05]</w:t>
            </w:r>
          </w:p>
          <w:p w:rsidR="00F85326" w:rsidRPr="00F85326" w:rsidRDefault="00F85326" w:rsidP="002821DC">
            <w:pPr>
              <w:rPr>
                <w:lang w:eastAsia="ja-JP"/>
              </w:rPr>
            </w:pPr>
            <w:r w:rsidRPr="00F85326">
              <w:rPr>
                <w:lang w:eastAsia="ja-JP"/>
              </w:rPr>
              <w:t>p=0.09</w:t>
            </w:r>
            <w:r w:rsidRPr="00F85326">
              <w:rPr>
                <w:vertAlign w:val="superscript"/>
                <w:lang w:eastAsia="ja-JP"/>
              </w:rPr>
              <w:t>1</w:t>
            </w:r>
          </w:p>
        </w:tc>
      </w:tr>
    </w:tbl>
    <w:p w:rsidR="00F85326" w:rsidRPr="00F85326" w:rsidRDefault="00F85326" w:rsidP="002821DC">
      <w:pPr>
        <w:pStyle w:val="TableDescription"/>
      </w:pPr>
      <w:r w:rsidRPr="00F85326">
        <w:t xml:space="preserve">Stratified hazard ratio of </w:t>
      </w:r>
      <w:proofErr w:type="spellStart"/>
      <w:r w:rsidRPr="00F85326">
        <w:t>bevacizumab</w:t>
      </w:r>
      <w:proofErr w:type="spellEnd"/>
      <w:r w:rsidRPr="00F85326">
        <w:t xml:space="preserve"> versus placebo determined by Cox regression. Difference in ORR is </w:t>
      </w:r>
      <w:proofErr w:type="spellStart"/>
      <w:r w:rsidRPr="00F85326">
        <w:t>bevacizumab</w:t>
      </w:r>
      <w:proofErr w:type="spellEnd"/>
      <w:r w:rsidRPr="00F85326">
        <w:t xml:space="preserve"> – placebo. </w:t>
      </w:r>
      <w:r w:rsidRPr="002821DC">
        <w:rPr>
          <w:szCs w:val="18"/>
        </w:rPr>
        <w:t>Medians</w:t>
      </w:r>
      <w:r w:rsidRPr="00F85326">
        <w:t xml:space="preserve"> are Kaplan-Meier estimates. </w:t>
      </w:r>
      <w:r w:rsidRPr="00F85326">
        <w:rPr>
          <w:vertAlign w:val="superscript"/>
        </w:rPr>
        <w:t>1</w:t>
      </w:r>
      <w:r w:rsidRPr="00F85326">
        <w:t xml:space="preserve"> Log-Rank. </w:t>
      </w:r>
      <w:r w:rsidRPr="00F85326">
        <w:rPr>
          <w:vertAlign w:val="superscript"/>
        </w:rPr>
        <w:t>2</w:t>
      </w:r>
      <w:r w:rsidRPr="00F85326">
        <w:t xml:space="preserve"> Cochran-Mantel-</w:t>
      </w:r>
      <w:proofErr w:type="spellStart"/>
      <w:r w:rsidRPr="00F85326">
        <w:t>Haenszel</w:t>
      </w:r>
      <w:proofErr w:type="spellEnd"/>
      <w:r w:rsidRPr="00F85326">
        <w:t>. ORR: Objective Response Rate (Complete Response + Partial Response).</w:t>
      </w:r>
    </w:p>
    <w:p w:rsidR="00F85326" w:rsidRPr="00F85326" w:rsidRDefault="00F85326" w:rsidP="002821DC">
      <w:pPr>
        <w:pStyle w:val="Heading4"/>
      </w:pPr>
      <w:r w:rsidRPr="00F85326">
        <w:t>Safety</w:t>
      </w:r>
    </w:p>
    <w:p w:rsidR="00F85326" w:rsidRPr="00F85326" w:rsidRDefault="00F85326" w:rsidP="002821DC">
      <w:pPr>
        <w:pStyle w:val="ListBullet"/>
      </w:pPr>
      <w:r w:rsidRPr="00F85326">
        <w:t xml:space="preserve">The safety of </w:t>
      </w:r>
      <w:proofErr w:type="spellStart"/>
      <w:r w:rsidRPr="00F85326">
        <w:t>bevacizumab</w:t>
      </w:r>
      <w:proofErr w:type="spellEnd"/>
      <w:r w:rsidRPr="00F85326">
        <w:t xml:space="preserve"> in the proposed indication was assessed in 247 </w:t>
      </w:r>
      <w:proofErr w:type="spellStart"/>
      <w:r w:rsidRPr="00F85326">
        <w:t>bevacizumab</w:t>
      </w:r>
      <w:proofErr w:type="spellEnd"/>
      <w:r w:rsidRPr="00F85326">
        <w:t xml:space="preserve"> subjects and 233 placebo subjects from the pivotal trial AVF4095g. The median duration of follow-up was 9.6 months (range 1-34 months) for </w:t>
      </w:r>
      <w:proofErr w:type="spellStart"/>
      <w:r w:rsidRPr="00F85326">
        <w:t>bevacizumab</w:t>
      </w:r>
      <w:proofErr w:type="spellEnd"/>
      <w:r w:rsidRPr="00F85326">
        <w:t xml:space="preserve"> and 8.4 months (range 1-29 months) for placebo. The greatest difference in incidence occurred for the following adverse effects: hypertension (</w:t>
      </w:r>
      <w:proofErr w:type="spellStart"/>
      <w:r w:rsidRPr="00F85326">
        <w:t>bevacizumab</w:t>
      </w:r>
      <w:proofErr w:type="spellEnd"/>
      <w:r w:rsidRPr="00F85326">
        <w:t xml:space="preserve"> 41% versus placebo 9%), </w:t>
      </w:r>
      <w:proofErr w:type="spellStart"/>
      <w:r w:rsidRPr="00F85326">
        <w:t>epistaxis</w:t>
      </w:r>
      <w:proofErr w:type="spellEnd"/>
      <w:r w:rsidRPr="00F85326">
        <w:t xml:space="preserve"> (</w:t>
      </w:r>
      <w:proofErr w:type="spellStart"/>
      <w:r w:rsidRPr="00F85326">
        <w:t>bevacizumab</w:t>
      </w:r>
      <w:proofErr w:type="spellEnd"/>
      <w:r w:rsidRPr="00F85326">
        <w:t xml:space="preserve"> 54% versus placebo 14%), headache (</w:t>
      </w:r>
      <w:proofErr w:type="spellStart"/>
      <w:r w:rsidRPr="00F85326">
        <w:t>bevacizumab</w:t>
      </w:r>
      <w:proofErr w:type="spellEnd"/>
      <w:r w:rsidRPr="00F85326">
        <w:t xml:space="preserve"> 49% versus placebo 30%) and </w:t>
      </w:r>
      <w:proofErr w:type="spellStart"/>
      <w:r w:rsidRPr="00F85326">
        <w:t>proteinuria</w:t>
      </w:r>
      <w:proofErr w:type="spellEnd"/>
      <w:r w:rsidRPr="00F85326">
        <w:t xml:space="preserve"> (</w:t>
      </w:r>
      <w:proofErr w:type="spellStart"/>
      <w:r w:rsidRPr="00F85326">
        <w:t>bevacizumab</w:t>
      </w:r>
      <w:proofErr w:type="spellEnd"/>
      <w:r w:rsidRPr="00F85326">
        <w:t xml:space="preserve"> 17% versus placebo 4%).</w:t>
      </w:r>
    </w:p>
    <w:p w:rsidR="00F85326" w:rsidRPr="00F85326" w:rsidRDefault="00F85326" w:rsidP="002821DC">
      <w:pPr>
        <w:pStyle w:val="ListBullet"/>
      </w:pPr>
      <w:r w:rsidRPr="00F85326">
        <w:t xml:space="preserve">The incidences of severe hypertension, </w:t>
      </w:r>
      <w:proofErr w:type="spellStart"/>
      <w:r w:rsidRPr="00F85326">
        <w:t>proteinuria</w:t>
      </w:r>
      <w:proofErr w:type="spellEnd"/>
      <w:r w:rsidRPr="00F85326">
        <w:t xml:space="preserve"> and thrombocytopenia were significantly higher with </w:t>
      </w:r>
      <w:proofErr w:type="spellStart"/>
      <w:r w:rsidRPr="00F85326">
        <w:t>bevacizumab</w:t>
      </w:r>
      <w:proofErr w:type="spellEnd"/>
      <w:r w:rsidRPr="00F85326">
        <w:t xml:space="preserve"> than placebo. There was a greater incidence of serious AEs with </w:t>
      </w:r>
      <w:proofErr w:type="spellStart"/>
      <w:r w:rsidRPr="00F85326">
        <w:t>bevacizumab</w:t>
      </w:r>
      <w:proofErr w:type="spellEnd"/>
      <w:r w:rsidRPr="00F85326">
        <w:t xml:space="preserve"> than placebo (35% versus 25%). Two </w:t>
      </w:r>
      <w:proofErr w:type="spellStart"/>
      <w:r w:rsidRPr="00F85326">
        <w:t>bevacizumab</w:t>
      </w:r>
      <w:proofErr w:type="spellEnd"/>
      <w:r w:rsidRPr="00F85326">
        <w:t xml:space="preserve"> subjects died due to AEs, one due to intracranial haemorrhage and one due to sepsis. One placebo subject died due to an AE (myocardial infarction).</w:t>
      </w:r>
    </w:p>
    <w:p w:rsidR="00F85326" w:rsidRPr="00F85326" w:rsidRDefault="00F85326" w:rsidP="002821DC">
      <w:pPr>
        <w:pStyle w:val="ListBullet"/>
      </w:pPr>
      <w:r w:rsidRPr="00F85326">
        <w:t xml:space="preserve">In general, AEs experienced with </w:t>
      </w:r>
      <w:proofErr w:type="spellStart"/>
      <w:r w:rsidRPr="00F85326">
        <w:t>bevacizumab</w:t>
      </w:r>
      <w:proofErr w:type="spellEnd"/>
      <w:r w:rsidRPr="00F85326">
        <w:t xml:space="preserve"> in the pivotal trial were consistent with the known safety profile of </w:t>
      </w:r>
      <w:proofErr w:type="spellStart"/>
      <w:r w:rsidRPr="00F85326">
        <w:t>bevacizumab</w:t>
      </w:r>
      <w:proofErr w:type="spellEnd"/>
      <w:r w:rsidRPr="00F85326">
        <w:t>.</w:t>
      </w:r>
    </w:p>
    <w:p w:rsidR="00F85326" w:rsidRPr="00F85326" w:rsidRDefault="002821DC" w:rsidP="002821DC">
      <w:pPr>
        <w:pStyle w:val="Heading4"/>
      </w:pPr>
      <w:r>
        <w:lastRenderedPageBreak/>
        <w:t>Clinical evaluator’s r</w:t>
      </w:r>
      <w:r w:rsidR="00F85326" w:rsidRPr="00F85326">
        <w:t xml:space="preserve">ecommendation </w:t>
      </w:r>
    </w:p>
    <w:p w:rsidR="00F85326" w:rsidRPr="002821DC" w:rsidRDefault="00F85326" w:rsidP="002821DC">
      <w:r w:rsidRPr="00F85326">
        <w:t>The clinical evaluator recommended approval of the new indication.</w:t>
      </w:r>
    </w:p>
    <w:p w:rsidR="00F85326" w:rsidRPr="00F85326" w:rsidRDefault="002821DC" w:rsidP="002821DC">
      <w:pPr>
        <w:pStyle w:val="Heading4"/>
      </w:pPr>
      <w:r>
        <w:t>Risk management p</w:t>
      </w:r>
      <w:r w:rsidR="00F85326" w:rsidRPr="00F85326">
        <w:t>lan</w:t>
      </w:r>
    </w:p>
    <w:p w:rsidR="00F85326" w:rsidRPr="00F85326" w:rsidRDefault="00F85326" w:rsidP="002821DC">
      <w:pPr>
        <w:pStyle w:val="ListBullet"/>
      </w:pPr>
      <w:r w:rsidRPr="00F85326">
        <w:t>The OPR has agreed to EU-RMP Version 10 (7 July 2011) with Australian Addendum Version 2.0 (September 2011).</w:t>
      </w:r>
    </w:p>
    <w:p w:rsidR="00F85326" w:rsidRPr="00F85326" w:rsidRDefault="00F85326" w:rsidP="002821DC">
      <w:pPr>
        <w:pStyle w:val="ListBullet"/>
      </w:pPr>
      <w:r w:rsidRPr="00F85326">
        <w:t>Based on the clinical data submitted with this application, the SS is adequate. There were some PI recommendations.</w:t>
      </w:r>
    </w:p>
    <w:p w:rsidR="00F85326" w:rsidRPr="00F85326" w:rsidRDefault="002821DC" w:rsidP="002821DC">
      <w:pPr>
        <w:pStyle w:val="Heading3"/>
      </w:pPr>
      <w:bookmarkStart w:id="136" w:name="_Toc247691531"/>
      <w:bookmarkStart w:id="137" w:name="_Toc348946660"/>
      <w:bookmarkStart w:id="138" w:name="_Toc356206761"/>
      <w:r>
        <w:t xml:space="preserve">Risk-benefit </w:t>
      </w:r>
      <w:r w:rsidRPr="002821DC">
        <w:t>a</w:t>
      </w:r>
      <w:r w:rsidR="00F85326" w:rsidRPr="002821DC">
        <w:t>nalysis</w:t>
      </w:r>
      <w:bookmarkEnd w:id="136"/>
      <w:bookmarkEnd w:id="137"/>
      <w:bookmarkEnd w:id="138"/>
    </w:p>
    <w:p w:rsidR="00F85326" w:rsidRPr="00F85326" w:rsidRDefault="002821DC" w:rsidP="002821DC">
      <w:pPr>
        <w:pStyle w:val="Heading4"/>
      </w:pPr>
      <w:r>
        <w:t>Delegate c</w:t>
      </w:r>
      <w:r w:rsidR="00F85326" w:rsidRPr="00F85326">
        <w:t>onsiderations</w:t>
      </w:r>
    </w:p>
    <w:p w:rsidR="00F85326" w:rsidRPr="00F85326" w:rsidRDefault="00F85326" w:rsidP="002821DC">
      <w:r w:rsidRPr="00F85326">
        <w:t xml:space="preserve">The pivotal trial showed that the addition of </w:t>
      </w:r>
      <w:proofErr w:type="spellStart"/>
      <w:r w:rsidRPr="00F85326">
        <w:t>bevacizumab</w:t>
      </w:r>
      <w:proofErr w:type="spellEnd"/>
      <w:r w:rsidRPr="00F85326">
        <w:t xml:space="preserve"> to </w:t>
      </w:r>
      <w:proofErr w:type="spellStart"/>
      <w:r w:rsidRPr="00F85326">
        <w:t>carboplatin</w:t>
      </w:r>
      <w:proofErr w:type="spellEnd"/>
      <w:r w:rsidRPr="00F85326">
        <w:t xml:space="preserve"> and </w:t>
      </w:r>
      <w:proofErr w:type="spellStart"/>
      <w:r w:rsidRPr="00F85326">
        <w:t>gemcitabine</w:t>
      </w:r>
      <w:proofErr w:type="spellEnd"/>
      <w:r w:rsidRPr="00F85326">
        <w:t xml:space="preserve"> resulted in a significant increase in PFS of median 4 months in patients with recurrent, platinum-sensitive epithelial ovarian, fallopian tube or primary peritoneal cancer. The combination of </w:t>
      </w:r>
      <w:proofErr w:type="spellStart"/>
      <w:r w:rsidRPr="00F85326">
        <w:t>carboplatin</w:t>
      </w:r>
      <w:proofErr w:type="spellEnd"/>
      <w:r w:rsidRPr="00F85326">
        <w:t xml:space="preserve"> and </w:t>
      </w:r>
      <w:proofErr w:type="spellStart"/>
      <w:r w:rsidRPr="00F85326">
        <w:t>gemcitabine</w:t>
      </w:r>
      <w:proofErr w:type="spellEnd"/>
      <w:r w:rsidRPr="00F85326">
        <w:t xml:space="preserve"> is one of several treatment options for recurrent, platinum-sensitive epithelial ovarian, fallopian tube or primary peritoneal cancer. There is no standard treatment</w:t>
      </w:r>
      <w:r w:rsidRPr="00F85326">
        <w:rPr>
          <w:vertAlign w:val="superscript"/>
        </w:rPr>
        <w:footnoteReference w:id="9"/>
      </w:r>
      <w:r w:rsidRPr="00F85326">
        <w:t>.</w:t>
      </w:r>
    </w:p>
    <w:p w:rsidR="00F85326" w:rsidRPr="00F85326" w:rsidRDefault="00F85326" w:rsidP="002821DC">
      <w:r w:rsidRPr="00F85326">
        <w:t xml:space="preserve">The trial included only small numbers of subjects with fallopian tube or primary peritoneal cancer and a statistically significant increase was not achieved in these cancers. However, the trend was in favour. Fallopian tube and primary peritoneal cancer are rare. </w:t>
      </w:r>
      <w:proofErr w:type="spellStart"/>
      <w:r w:rsidRPr="00F85326">
        <w:t>Histologically</w:t>
      </w:r>
      <w:proofErr w:type="spellEnd"/>
      <w:r w:rsidRPr="00F85326">
        <w:t>, these cancers and epithelial ovarian cancer are similar</w:t>
      </w:r>
      <w:r w:rsidRPr="00F85326">
        <w:rPr>
          <w:vertAlign w:val="superscript"/>
        </w:rPr>
        <w:footnoteReference w:id="10"/>
      </w:r>
      <w:r w:rsidRPr="00F85326">
        <w:t xml:space="preserve"> and it is likely that the PFS benefit applies to all three cancers. The benefit in PFS was supported by a significant increase in overall tumour response rate. The median increase in OS was similar to the increase in PFS; however, the data were immature.</w:t>
      </w:r>
    </w:p>
    <w:p w:rsidR="00F85326" w:rsidRPr="00F85326" w:rsidRDefault="00F85326" w:rsidP="002821DC">
      <w:r w:rsidRPr="00F85326">
        <w:t xml:space="preserve">The safety of </w:t>
      </w:r>
      <w:proofErr w:type="spellStart"/>
      <w:r w:rsidRPr="00F85326">
        <w:t>bevacizumab</w:t>
      </w:r>
      <w:proofErr w:type="spellEnd"/>
      <w:r w:rsidRPr="00F85326">
        <w:t xml:space="preserve"> in the proposed indication was consistent with the use of </w:t>
      </w:r>
      <w:proofErr w:type="spellStart"/>
      <w:r w:rsidRPr="00F85326">
        <w:t>bevacizumab</w:t>
      </w:r>
      <w:proofErr w:type="spellEnd"/>
      <w:r w:rsidRPr="00F85326">
        <w:t xml:space="preserve"> in other indications. </w:t>
      </w:r>
      <w:proofErr w:type="spellStart"/>
      <w:r w:rsidRPr="00F85326">
        <w:t>Bevacizumab</w:t>
      </w:r>
      <w:proofErr w:type="spellEnd"/>
      <w:r w:rsidRPr="00F85326">
        <w:t xml:space="preserve"> has some very serious adverse effects and patients receiving this drug need to be carefully monitored. The Delegate proposed to include increased precautionary statements in the PI (details of these are beyond the scope of this </w:t>
      </w:r>
      <w:proofErr w:type="spellStart"/>
      <w:r w:rsidRPr="00F85326">
        <w:t>AusPAR</w:t>
      </w:r>
      <w:proofErr w:type="spellEnd"/>
      <w:r w:rsidRPr="00F85326">
        <w:t>).</w:t>
      </w:r>
    </w:p>
    <w:p w:rsidR="00F85326" w:rsidRPr="00F85326" w:rsidRDefault="00F85326" w:rsidP="002821DC">
      <w:r w:rsidRPr="00F85326">
        <w:t xml:space="preserve">The median increase in PFS of 4 months was not large in this patient population which has a median survival of 2-3 years. The increase is of borderline clinical significance when viewed in the context of the significant toxicity of the drug. Confirmation of the benefit of </w:t>
      </w:r>
      <w:proofErr w:type="spellStart"/>
      <w:r w:rsidRPr="00F85326">
        <w:t>bevacizumab</w:t>
      </w:r>
      <w:proofErr w:type="spellEnd"/>
      <w:r w:rsidRPr="00F85326">
        <w:t xml:space="preserve"> would need to await the final OS analysis. Quality of life was not assessed.</w:t>
      </w:r>
    </w:p>
    <w:p w:rsidR="00F85326" w:rsidRPr="00F85326" w:rsidRDefault="00F85326" w:rsidP="002821DC">
      <w:r w:rsidRPr="00F85326">
        <w:t xml:space="preserve">The Delegate supports the clinical evaluator’s recommendation to approve </w:t>
      </w:r>
      <w:proofErr w:type="spellStart"/>
      <w:r w:rsidRPr="00F85326">
        <w:t>bevacizumab</w:t>
      </w:r>
      <w:proofErr w:type="spellEnd"/>
      <w:r w:rsidRPr="00F85326">
        <w:t xml:space="preserve"> for the proposed indication, conditional on review of the final OS analysis when available. </w:t>
      </w:r>
    </w:p>
    <w:p w:rsidR="00F85326" w:rsidRPr="00F85326" w:rsidRDefault="00F85326" w:rsidP="002821DC">
      <w:pPr>
        <w:pStyle w:val="Heading4"/>
      </w:pPr>
      <w:r w:rsidRPr="00F85326">
        <w:t>Proposed action</w:t>
      </w:r>
    </w:p>
    <w:p w:rsidR="00F85326" w:rsidRPr="00F85326" w:rsidRDefault="00F85326" w:rsidP="002821DC">
      <w:r w:rsidRPr="00F85326">
        <w:t xml:space="preserve">The Delegate proposed to approve </w:t>
      </w:r>
      <w:proofErr w:type="spellStart"/>
      <w:r w:rsidRPr="00F85326">
        <w:t>bevacizumab</w:t>
      </w:r>
      <w:proofErr w:type="spellEnd"/>
      <w:r w:rsidRPr="00F85326">
        <w:t xml:space="preserve"> (</w:t>
      </w:r>
      <w:proofErr w:type="spellStart"/>
      <w:r w:rsidRPr="00F85326">
        <w:t>Avastin</w:t>
      </w:r>
      <w:proofErr w:type="spellEnd"/>
      <w:r w:rsidRPr="00F85326">
        <w:t>) injection for the new indication:</w:t>
      </w:r>
    </w:p>
    <w:p w:rsidR="00F85326" w:rsidRPr="00F85326" w:rsidRDefault="00F85326" w:rsidP="002821DC">
      <w:pPr>
        <w:pStyle w:val="ListBullet"/>
      </w:pPr>
      <w:r w:rsidRPr="00F85326">
        <w:t xml:space="preserve">In combination with </w:t>
      </w:r>
      <w:proofErr w:type="spellStart"/>
      <w:r w:rsidRPr="00F85326">
        <w:t>carboplatin</w:t>
      </w:r>
      <w:proofErr w:type="spellEnd"/>
      <w:r w:rsidRPr="00F85326">
        <w:t xml:space="preserve"> and </w:t>
      </w:r>
      <w:proofErr w:type="spellStart"/>
      <w:r w:rsidRPr="00F85326">
        <w:t>gemcitabine</w:t>
      </w:r>
      <w:proofErr w:type="spellEnd"/>
      <w:r w:rsidRPr="00F85326">
        <w:t>, treatment of patients with recurrent, platinum-sensitive, epithelial ovarian, fallopian tube, or primary peritoneal cancer.</w:t>
      </w:r>
    </w:p>
    <w:p w:rsidR="00F85326" w:rsidRPr="00F85326" w:rsidRDefault="00F85326" w:rsidP="000977F6">
      <w:r w:rsidRPr="00F85326">
        <w:lastRenderedPageBreak/>
        <w:t>Approval will be subject to finalisation of the PI.</w:t>
      </w:r>
    </w:p>
    <w:p w:rsidR="00F85326" w:rsidRPr="00F85326" w:rsidRDefault="00F85326" w:rsidP="000977F6">
      <w:r w:rsidRPr="00F85326">
        <w:t>Proposed conditions of registration:</w:t>
      </w:r>
    </w:p>
    <w:p w:rsidR="00F85326" w:rsidRPr="00F85326" w:rsidRDefault="00F85326" w:rsidP="000977F6">
      <w:pPr>
        <w:pStyle w:val="ListBullet"/>
      </w:pPr>
      <w:r w:rsidRPr="00F85326">
        <w:t>Submission of the final analysis of OS in trial AVF4095g when available.</w:t>
      </w:r>
    </w:p>
    <w:p w:rsidR="00F85326" w:rsidRPr="00F85326" w:rsidRDefault="00F85326" w:rsidP="000977F6">
      <w:pPr>
        <w:pStyle w:val="ListBullet"/>
      </w:pPr>
      <w:r w:rsidRPr="00F85326">
        <w:t>Implementation of EU-RMP Version 10 (7 July 2011) with Australian Addendum Version 2.0 (September 2011) and subsequent revisions as agreed with the TGA Office of Product Review.</w:t>
      </w:r>
    </w:p>
    <w:p w:rsidR="00F85326" w:rsidRPr="00F85326" w:rsidRDefault="00F85326" w:rsidP="000977F6">
      <w:r w:rsidRPr="00F85326">
        <w:t xml:space="preserve">Details of the Delegate’s proposed revisions to the PI are beyond the scope of this </w:t>
      </w:r>
      <w:proofErr w:type="spellStart"/>
      <w:r w:rsidRPr="00F85326">
        <w:t>AusPAR</w:t>
      </w:r>
      <w:proofErr w:type="spellEnd"/>
      <w:r w:rsidRPr="00F85326">
        <w:t>.</w:t>
      </w:r>
    </w:p>
    <w:p w:rsidR="00F85326" w:rsidRPr="00F85326" w:rsidRDefault="00F85326" w:rsidP="000977F6">
      <w:pPr>
        <w:pStyle w:val="Heading5"/>
      </w:pPr>
      <w:r w:rsidRPr="00F85326">
        <w:t xml:space="preserve">Advice requested from ACPM </w:t>
      </w:r>
    </w:p>
    <w:p w:rsidR="00F85326" w:rsidRPr="00F85326" w:rsidRDefault="00F85326" w:rsidP="000977F6">
      <w:r w:rsidRPr="00F85326">
        <w:t>The Delegate proposed to seek general advice on this application from the ACPM.</w:t>
      </w:r>
    </w:p>
    <w:p w:rsidR="00F85326" w:rsidRPr="00F85326" w:rsidRDefault="000977F6" w:rsidP="000977F6">
      <w:pPr>
        <w:pStyle w:val="Heading4"/>
      </w:pPr>
      <w:bookmarkStart w:id="139" w:name="_Toc196046505"/>
      <w:bookmarkStart w:id="140" w:name="_Toc196046949"/>
      <w:r>
        <w:t xml:space="preserve">Response from </w:t>
      </w:r>
      <w:r w:rsidRPr="000977F6">
        <w:t>s</w:t>
      </w:r>
      <w:r w:rsidR="00F85326" w:rsidRPr="000977F6">
        <w:t>ponsor</w:t>
      </w:r>
    </w:p>
    <w:p w:rsidR="00F85326" w:rsidRPr="00F85326" w:rsidRDefault="00F85326" w:rsidP="000977F6">
      <w:r w:rsidRPr="00F85326">
        <w:t>The sponsor concurs with the Delegate’s proposed action to approve the application for the extension of indication to include:</w:t>
      </w:r>
    </w:p>
    <w:p w:rsidR="00F85326" w:rsidRPr="000977F6" w:rsidRDefault="00F85326" w:rsidP="000977F6">
      <w:pPr>
        <w:ind w:left="720"/>
        <w:rPr>
          <w:i/>
        </w:rPr>
      </w:pPr>
      <w:r w:rsidRPr="000977F6">
        <w:rPr>
          <w:i/>
        </w:rPr>
        <w:t>Epithelial Ovarian, Fallopian Tube or Primary Peritoneal Cancer</w:t>
      </w:r>
    </w:p>
    <w:p w:rsidR="00F85326" w:rsidRPr="000977F6" w:rsidRDefault="00F85326" w:rsidP="000977F6">
      <w:pPr>
        <w:ind w:left="720"/>
        <w:rPr>
          <w:i/>
        </w:rPr>
      </w:pPr>
      <w:proofErr w:type="spellStart"/>
      <w:r w:rsidRPr="000977F6">
        <w:rPr>
          <w:i/>
        </w:rPr>
        <w:t>Avastin</w:t>
      </w:r>
      <w:proofErr w:type="spellEnd"/>
      <w:r w:rsidRPr="000977F6">
        <w:rPr>
          <w:i/>
        </w:rPr>
        <w:t xml:space="preserve"> (</w:t>
      </w:r>
      <w:proofErr w:type="spellStart"/>
      <w:r w:rsidRPr="000977F6">
        <w:rPr>
          <w:i/>
        </w:rPr>
        <w:t>bevacizumab</w:t>
      </w:r>
      <w:proofErr w:type="spellEnd"/>
      <w:r w:rsidRPr="000977F6">
        <w:rPr>
          <w:i/>
        </w:rPr>
        <w:t xml:space="preserve">) in combination with </w:t>
      </w:r>
      <w:proofErr w:type="spellStart"/>
      <w:r w:rsidRPr="000977F6">
        <w:rPr>
          <w:i/>
        </w:rPr>
        <w:t>carboplatin</w:t>
      </w:r>
      <w:proofErr w:type="spellEnd"/>
      <w:r w:rsidRPr="000977F6">
        <w:rPr>
          <w:i/>
        </w:rPr>
        <w:t xml:space="preserve"> and </w:t>
      </w:r>
      <w:proofErr w:type="spellStart"/>
      <w:r w:rsidRPr="000977F6">
        <w:rPr>
          <w:i/>
        </w:rPr>
        <w:t>gemcitabine</w:t>
      </w:r>
      <w:proofErr w:type="spellEnd"/>
      <w:r w:rsidRPr="000977F6">
        <w:rPr>
          <w:i/>
        </w:rPr>
        <w:t>, is indicated for the treatment of patients with recurrent, platinum-sensitive, epithelial ovarian, fallopian tube, or primary peritoneal cancer.</w:t>
      </w:r>
    </w:p>
    <w:p w:rsidR="00F85326" w:rsidRPr="00F85326" w:rsidRDefault="00F85326" w:rsidP="000977F6">
      <w:r w:rsidRPr="00F85326">
        <w:t>The proposed dosing regimen for this indication is:</w:t>
      </w:r>
    </w:p>
    <w:p w:rsidR="00F85326" w:rsidRPr="00F85326" w:rsidRDefault="00F85326" w:rsidP="000977F6">
      <w:r w:rsidRPr="00F85326">
        <w:t xml:space="preserve">The recommended dose of </w:t>
      </w:r>
      <w:proofErr w:type="spellStart"/>
      <w:r w:rsidRPr="00F85326">
        <w:t>Avastin</w:t>
      </w:r>
      <w:proofErr w:type="spellEnd"/>
      <w:r w:rsidRPr="00F85326">
        <w:t xml:space="preserve"> is 15 mg/kg of body weight given once every 3 weeks as an IV infusion as follows:</w:t>
      </w:r>
    </w:p>
    <w:p w:rsidR="00F85326" w:rsidRPr="00F85326" w:rsidRDefault="00F85326" w:rsidP="000977F6">
      <w:pPr>
        <w:pStyle w:val="Heading6"/>
      </w:pPr>
      <w:r w:rsidRPr="00F85326">
        <w:t>Treatment of recurrent disease</w:t>
      </w:r>
    </w:p>
    <w:p w:rsidR="00F85326" w:rsidRPr="00F85326" w:rsidRDefault="00F85326" w:rsidP="000977F6">
      <w:proofErr w:type="spellStart"/>
      <w:r w:rsidRPr="00F85326">
        <w:t>Avastin</w:t>
      </w:r>
      <w:proofErr w:type="spellEnd"/>
      <w:r w:rsidRPr="00F85326">
        <w:t xml:space="preserve"> should be given in combination with </w:t>
      </w:r>
      <w:proofErr w:type="spellStart"/>
      <w:r w:rsidRPr="00F85326">
        <w:t>carboplatin</w:t>
      </w:r>
      <w:proofErr w:type="spellEnd"/>
      <w:r w:rsidRPr="00F85326">
        <w:t xml:space="preserve"> and </w:t>
      </w:r>
      <w:proofErr w:type="spellStart"/>
      <w:r w:rsidRPr="00F85326">
        <w:t>gemcitabine</w:t>
      </w:r>
      <w:proofErr w:type="spellEnd"/>
      <w:r w:rsidRPr="00F85326">
        <w:t xml:space="preserve"> for 6 cycles (up to 10 cycles), followed by continued use of </w:t>
      </w:r>
      <w:proofErr w:type="spellStart"/>
      <w:r w:rsidRPr="00F85326">
        <w:t>Avastin</w:t>
      </w:r>
      <w:proofErr w:type="spellEnd"/>
      <w:r w:rsidRPr="00F85326">
        <w:t xml:space="preserve"> as single agent until disease progression. </w:t>
      </w:r>
    </w:p>
    <w:p w:rsidR="00F85326" w:rsidRPr="00F85326" w:rsidRDefault="00F85326" w:rsidP="000977F6">
      <w:r w:rsidRPr="00F85326">
        <w:t xml:space="preserve">The sponsor clarified the following aspects of the Delegate’s overview: </w:t>
      </w:r>
    </w:p>
    <w:p w:rsidR="00F85326" w:rsidRPr="00F85326" w:rsidRDefault="00F85326" w:rsidP="000977F6">
      <w:pPr>
        <w:pStyle w:val="Heading6"/>
      </w:pPr>
      <w:r w:rsidRPr="00F85326">
        <w:t>Efficacy:</w:t>
      </w:r>
    </w:p>
    <w:p w:rsidR="00F85326" w:rsidRPr="00F85326" w:rsidRDefault="00F85326" w:rsidP="000977F6">
      <w:pPr>
        <w:pStyle w:val="ListBullet"/>
      </w:pPr>
      <w:r w:rsidRPr="00F85326">
        <w:t>(fifth bullet point) information concerning sub-group analysis: As formal hypothesis testing on the subgroup analyses was not conducted, the sponsor considered it inappropriate to draw conclusions on the statistical significance for sub-groups.</w:t>
      </w:r>
    </w:p>
    <w:p w:rsidR="00F85326" w:rsidRPr="00F85326" w:rsidRDefault="00F85326" w:rsidP="000977F6">
      <w:pPr>
        <w:pStyle w:val="Heading6"/>
      </w:pPr>
      <w:r w:rsidRPr="00F85326">
        <w:t>Safety:</w:t>
      </w:r>
    </w:p>
    <w:p w:rsidR="00F85326" w:rsidRPr="00F85326" w:rsidRDefault="00F85326" w:rsidP="000977F6">
      <w:pPr>
        <w:pStyle w:val="ListBullet"/>
      </w:pPr>
      <w:r w:rsidRPr="00F85326">
        <w:t xml:space="preserve">(second dot bullet point): only one of the two </w:t>
      </w:r>
      <w:proofErr w:type="spellStart"/>
      <w:r w:rsidRPr="00F85326">
        <w:t>bevacizumab</w:t>
      </w:r>
      <w:proofErr w:type="spellEnd"/>
      <w:r w:rsidRPr="00F85326">
        <w:t xml:space="preserve"> subjects who died due to adverse events was treatment emergent (that is, within 30 days of last study treatment); the subject who died from sepsis was not considered treatment related.</w:t>
      </w:r>
    </w:p>
    <w:p w:rsidR="00F85326" w:rsidRPr="00F85326" w:rsidRDefault="00F85326" w:rsidP="000977F6">
      <w:r w:rsidRPr="00F85326">
        <w:t xml:space="preserve">The sponsor also provided responses to recommended PI revisions; details of these are beyond the scope of this </w:t>
      </w:r>
      <w:proofErr w:type="spellStart"/>
      <w:r w:rsidRPr="00F85326">
        <w:t>AusPAR</w:t>
      </w:r>
      <w:proofErr w:type="spellEnd"/>
      <w:r w:rsidRPr="00F85326">
        <w:t xml:space="preserve">. </w:t>
      </w:r>
    </w:p>
    <w:p w:rsidR="00F85326" w:rsidRPr="00F85326" w:rsidRDefault="000977F6" w:rsidP="000977F6">
      <w:pPr>
        <w:pStyle w:val="Heading4"/>
      </w:pPr>
      <w:r>
        <w:t>Advisory committee c</w:t>
      </w:r>
      <w:r w:rsidR="00F85326" w:rsidRPr="00F85326">
        <w:t>onsiderations</w:t>
      </w:r>
    </w:p>
    <w:p w:rsidR="00F85326" w:rsidRPr="00F85326" w:rsidRDefault="00F85326" w:rsidP="000977F6">
      <w:r w:rsidRPr="00F85326">
        <w:t>The ACPM, having considered the evaluations and the Delegate’s overview, as well as the sponsor’s response to these documents, advised the following:</w:t>
      </w:r>
    </w:p>
    <w:p w:rsidR="00F85326" w:rsidRPr="00F85326" w:rsidRDefault="00F85326" w:rsidP="000977F6">
      <w:pPr>
        <w:rPr>
          <w:bCs/>
        </w:rPr>
      </w:pPr>
      <w:r w:rsidRPr="00F85326">
        <w:t>The ACPM, taking into account the submitted evidence of efficacy and safety considered these products to have an overall positive benefit–risk profile for the indication:</w:t>
      </w:r>
    </w:p>
    <w:p w:rsidR="00F85326" w:rsidRPr="000977F6" w:rsidRDefault="00F85326" w:rsidP="000977F6">
      <w:pPr>
        <w:ind w:left="720"/>
        <w:rPr>
          <w:i/>
        </w:rPr>
      </w:pPr>
      <w:r w:rsidRPr="000977F6">
        <w:rPr>
          <w:i/>
        </w:rPr>
        <w:lastRenderedPageBreak/>
        <w:t xml:space="preserve">For the treatment of recurrent, platinum-sensitive, epithelial ovarian, fallopian tube, or primary peritoneal cancer in combination with </w:t>
      </w:r>
      <w:proofErr w:type="spellStart"/>
      <w:r w:rsidRPr="000977F6">
        <w:rPr>
          <w:i/>
        </w:rPr>
        <w:t>carboplatin</w:t>
      </w:r>
      <w:proofErr w:type="spellEnd"/>
      <w:r w:rsidRPr="000977F6">
        <w:rPr>
          <w:i/>
        </w:rPr>
        <w:t xml:space="preserve"> and </w:t>
      </w:r>
      <w:proofErr w:type="spellStart"/>
      <w:r w:rsidRPr="000977F6">
        <w:rPr>
          <w:i/>
        </w:rPr>
        <w:t>gemcitabine</w:t>
      </w:r>
      <w:proofErr w:type="spellEnd"/>
      <w:r w:rsidRPr="000977F6">
        <w:rPr>
          <w:i/>
        </w:rPr>
        <w:t xml:space="preserve"> in patients who have not received prior VEGF targeted or other angiogenesis inhibitors.</w:t>
      </w:r>
    </w:p>
    <w:p w:rsidR="00F85326" w:rsidRPr="00F85326" w:rsidRDefault="00F85326" w:rsidP="000977F6">
      <w:r w:rsidRPr="00F85326">
        <w:t xml:space="preserve">In making this recommendation the ACPM advised that the indication should be revised to align with the population in the trials submitted and hence limited to patients that have not received prior </w:t>
      </w:r>
      <w:proofErr w:type="spellStart"/>
      <w:r w:rsidRPr="00F85326">
        <w:t>bevacizumab</w:t>
      </w:r>
      <w:proofErr w:type="spellEnd"/>
      <w:r w:rsidRPr="00F85326">
        <w:t xml:space="preserve"> treatment.</w:t>
      </w:r>
    </w:p>
    <w:p w:rsidR="00F85326" w:rsidRPr="00F85326" w:rsidRDefault="00F85326" w:rsidP="000977F6">
      <w:r w:rsidRPr="00F85326">
        <w:t>The ACPM expressed concern that the sponsor has not submitted all the available data on OS and that the TGA request further detail.</w:t>
      </w:r>
    </w:p>
    <w:p w:rsidR="00F85326" w:rsidRPr="00F85326" w:rsidRDefault="00F85326" w:rsidP="000977F6">
      <w:r w:rsidRPr="00F85326">
        <w:t>The ACPM agreed with the Delegate on the proposed amendments to the PI and Consumer Medicine Information (CMI) and specifically advised on the inclusion of the following;</w:t>
      </w:r>
    </w:p>
    <w:p w:rsidR="00F85326" w:rsidRPr="00F85326" w:rsidRDefault="00F85326" w:rsidP="000977F6">
      <w:pPr>
        <w:pStyle w:val="ListBullet"/>
      </w:pPr>
      <w:r w:rsidRPr="00F85326">
        <w:t xml:space="preserve">a statement in the </w:t>
      </w:r>
      <w:r w:rsidRPr="00F85326">
        <w:rPr>
          <w:i/>
        </w:rPr>
        <w:t xml:space="preserve">Clinical Trials </w:t>
      </w:r>
      <w:r w:rsidRPr="00F85326">
        <w:t xml:space="preserve">section of the PI to more accurately and completely reflect the study design and outcomes. </w:t>
      </w:r>
    </w:p>
    <w:p w:rsidR="00F85326" w:rsidRPr="00F85326" w:rsidRDefault="00F85326" w:rsidP="000977F6">
      <w:r w:rsidRPr="00F85326">
        <w:t xml:space="preserve">The ACPM agreed with the Delegate on the proposed conditions of registration and specifically advised on the inclusion of the following; </w:t>
      </w:r>
    </w:p>
    <w:p w:rsidR="00F85326" w:rsidRPr="00F85326" w:rsidRDefault="00F85326" w:rsidP="000977F6">
      <w:pPr>
        <w:pStyle w:val="ListBullet"/>
      </w:pPr>
      <w:r w:rsidRPr="00F85326">
        <w:t xml:space="preserve">a submission of the available results on OS. </w:t>
      </w:r>
    </w:p>
    <w:p w:rsidR="00F85326" w:rsidRPr="00F85326" w:rsidRDefault="00F85326" w:rsidP="000977F6">
      <w:r w:rsidRPr="00F85326">
        <w:t xml:space="preserve">The ACPM advised that the implementation by the sponsor of the recommendations outlined above to the satisfaction of the TGA, in addition to the evidence of efficacy and safety provided would support the safe and effective use of these products. </w:t>
      </w:r>
    </w:p>
    <w:p w:rsidR="00F85326" w:rsidRPr="00F85326" w:rsidRDefault="00F85326" w:rsidP="000977F6">
      <w:pPr>
        <w:pStyle w:val="Heading3"/>
      </w:pPr>
      <w:bookmarkStart w:id="141" w:name="_Toc247691532"/>
      <w:bookmarkStart w:id="142" w:name="_Toc348946661"/>
      <w:bookmarkStart w:id="143" w:name="_Toc356206762"/>
      <w:bookmarkEnd w:id="97"/>
      <w:bookmarkEnd w:id="139"/>
      <w:bookmarkEnd w:id="140"/>
      <w:r w:rsidRPr="00F85326">
        <w:t>Outcome</w:t>
      </w:r>
      <w:bookmarkEnd w:id="141"/>
      <w:bookmarkEnd w:id="142"/>
      <w:bookmarkEnd w:id="143"/>
    </w:p>
    <w:p w:rsidR="00F85326" w:rsidRPr="00F85326" w:rsidRDefault="00F85326" w:rsidP="000977F6">
      <w:r w:rsidRPr="00F85326">
        <w:t xml:space="preserve">Based on a review of quality, safety and efficacy, TGA approved the registration of </w:t>
      </w:r>
      <w:proofErr w:type="spellStart"/>
      <w:r w:rsidRPr="00F85326">
        <w:t>Avastin</w:t>
      </w:r>
      <w:proofErr w:type="spellEnd"/>
      <w:r w:rsidRPr="00F85326">
        <w:t xml:space="preserve"> injection concentrate, containing </w:t>
      </w:r>
      <w:proofErr w:type="spellStart"/>
      <w:r w:rsidRPr="00F85326">
        <w:t>bevacizumab</w:t>
      </w:r>
      <w:proofErr w:type="spellEnd"/>
      <w:r w:rsidRPr="00F85326">
        <w:t xml:space="preserve"> (</w:t>
      </w:r>
      <w:proofErr w:type="spellStart"/>
      <w:r w:rsidRPr="00F85326">
        <w:t>rch</w:t>
      </w:r>
      <w:proofErr w:type="spellEnd"/>
      <w:r w:rsidRPr="00F85326">
        <w:t xml:space="preserve">) 100/4 </w:t>
      </w:r>
      <w:proofErr w:type="spellStart"/>
      <w:r w:rsidRPr="00F85326">
        <w:t>mL</w:t>
      </w:r>
      <w:proofErr w:type="spellEnd"/>
      <w:r w:rsidRPr="00F85326">
        <w:t xml:space="preserve"> and 400 mg/16 </w:t>
      </w:r>
      <w:proofErr w:type="spellStart"/>
      <w:r w:rsidRPr="00F85326">
        <w:t>mL</w:t>
      </w:r>
      <w:proofErr w:type="spellEnd"/>
      <w:r w:rsidRPr="00F85326">
        <w:t>, for the following indication:</w:t>
      </w:r>
    </w:p>
    <w:p w:rsidR="00F85326" w:rsidRPr="000977F6" w:rsidRDefault="00F85326" w:rsidP="000977F6">
      <w:pPr>
        <w:ind w:left="720"/>
        <w:rPr>
          <w:i/>
        </w:rPr>
      </w:pPr>
      <w:r w:rsidRPr="000977F6">
        <w:rPr>
          <w:i/>
        </w:rPr>
        <w:t>AVASTIN (</w:t>
      </w:r>
      <w:proofErr w:type="spellStart"/>
      <w:r w:rsidRPr="000977F6">
        <w:rPr>
          <w:i/>
        </w:rPr>
        <w:t>bevacizumab</w:t>
      </w:r>
      <w:proofErr w:type="spellEnd"/>
      <w:r w:rsidRPr="000977F6">
        <w:rPr>
          <w:i/>
        </w:rPr>
        <w:t xml:space="preserve">), in combination with </w:t>
      </w:r>
      <w:proofErr w:type="spellStart"/>
      <w:r w:rsidRPr="000977F6">
        <w:rPr>
          <w:i/>
        </w:rPr>
        <w:t>carboplatin</w:t>
      </w:r>
      <w:proofErr w:type="spellEnd"/>
      <w:r w:rsidRPr="000977F6">
        <w:rPr>
          <w:i/>
        </w:rPr>
        <w:t xml:space="preserve"> and </w:t>
      </w:r>
      <w:proofErr w:type="spellStart"/>
      <w:r w:rsidRPr="000977F6">
        <w:rPr>
          <w:i/>
        </w:rPr>
        <w:t>gemcitabine</w:t>
      </w:r>
      <w:proofErr w:type="spellEnd"/>
      <w:r w:rsidRPr="000977F6">
        <w:rPr>
          <w:i/>
        </w:rPr>
        <w:t xml:space="preserve">, is indicated for the treatment of patients with recurrent, platinum-sensitive, epithelial ovarian, fallopian tube, or primary peritoneal cancer who have not received prior </w:t>
      </w:r>
      <w:proofErr w:type="spellStart"/>
      <w:r w:rsidRPr="000977F6">
        <w:rPr>
          <w:i/>
        </w:rPr>
        <w:t>bevacizumab</w:t>
      </w:r>
      <w:proofErr w:type="spellEnd"/>
      <w:r w:rsidRPr="000977F6">
        <w:rPr>
          <w:i/>
        </w:rPr>
        <w:t xml:space="preserve"> or other VEGF-targeted angiogenesis inhibitors.</w:t>
      </w:r>
    </w:p>
    <w:p w:rsidR="00F85326" w:rsidRPr="00F85326" w:rsidRDefault="00F85326" w:rsidP="000977F6">
      <w:r w:rsidRPr="00F85326">
        <w:t xml:space="preserve">The full indications are now: </w:t>
      </w:r>
    </w:p>
    <w:p w:rsidR="00F85326" w:rsidRPr="000977F6" w:rsidRDefault="00F85326" w:rsidP="000977F6">
      <w:pPr>
        <w:ind w:left="720"/>
        <w:rPr>
          <w:i/>
        </w:rPr>
      </w:pPr>
      <w:r w:rsidRPr="000977F6">
        <w:rPr>
          <w:i/>
        </w:rPr>
        <w:t xml:space="preserve">Metastatic Colorectal Cancer. </w:t>
      </w:r>
    </w:p>
    <w:p w:rsidR="00F85326" w:rsidRPr="000977F6" w:rsidRDefault="00F85326" w:rsidP="000977F6">
      <w:pPr>
        <w:ind w:left="720"/>
        <w:rPr>
          <w:i/>
        </w:rPr>
      </w:pPr>
      <w:proofErr w:type="spellStart"/>
      <w:r w:rsidRPr="000977F6">
        <w:rPr>
          <w:i/>
        </w:rPr>
        <w:t>Avastin</w:t>
      </w:r>
      <w:proofErr w:type="spellEnd"/>
      <w:r w:rsidRPr="000977F6">
        <w:rPr>
          <w:i/>
        </w:rPr>
        <w:t xml:space="preserve"> (</w:t>
      </w:r>
      <w:proofErr w:type="spellStart"/>
      <w:r w:rsidRPr="000977F6">
        <w:rPr>
          <w:i/>
        </w:rPr>
        <w:t>bevacizumab</w:t>
      </w:r>
      <w:proofErr w:type="spellEnd"/>
      <w:r w:rsidRPr="000977F6">
        <w:rPr>
          <w:i/>
        </w:rPr>
        <w:t xml:space="preserve">) in combination with </w:t>
      </w:r>
      <w:proofErr w:type="spellStart"/>
      <w:r w:rsidRPr="000977F6">
        <w:rPr>
          <w:i/>
        </w:rPr>
        <w:t>fluoropyrimidine</w:t>
      </w:r>
      <w:proofErr w:type="spellEnd"/>
      <w:r w:rsidRPr="000977F6">
        <w:rPr>
          <w:i/>
        </w:rPr>
        <w:t xml:space="preserve"> based chemotherapy is indicated for the treatment of patients with metastatic colorectal cancer.</w:t>
      </w:r>
    </w:p>
    <w:p w:rsidR="00F85326" w:rsidRPr="000977F6" w:rsidRDefault="00F85326" w:rsidP="000977F6">
      <w:pPr>
        <w:ind w:left="720"/>
        <w:rPr>
          <w:i/>
        </w:rPr>
      </w:pPr>
      <w:r w:rsidRPr="000977F6">
        <w:rPr>
          <w:i/>
        </w:rPr>
        <w:t>Locally recurrent or metastatic Breast Cancer.</w:t>
      </w:r>
    </w:p>
    <w:p w:rsidR="00F85326" w:rsidRPr="000977F6" w:rsidRDefault="00F85326" w:rsidP="000977F6">
      <w:pPr>
        <w:ind w:left="720"/>
        <w:rPr>
          <w:i/>
        </w:rPr>
      </w:pPr>
      <w:proofErr w:type="spellStart"/>
      <w:r w:rsidRPr="000977F6">
        <w:rPr>
          <w:i/>
        </w:rPr>
        <w:t>Avastin</w:t>
      </w:r>
      <w:proofErr w:type="spellEnd"/>
      <w:r w:rsidRPr="000977F6">
        <w:rPr>
          <w:i/>
        </w:rPr>
        <w:t xml:space="preserve"> (</w:t>
      </w:r>
      <w:proofErr w:type="spellStart"/>
      <w:r w:rsidRPr="000977F6">
        <w:rPr>
          <w:i/>
        </w:rPr>
        <w:t>bevacizumab</w:t>
      </w:r>
      <w:proofErr w:type="spellEnd"/>
      <w:r w:rsidRPr="000977F6">
        <w:rPr>
          <w:i/>
        </w:rPr>
        <w:t xml:space="preserve">) in combination with </w:t>
      </w:r>
      <w:proofErr w:type="spellStart"/>
      <w:r w:rsidRPr="000977F6">
        <w:rPr>
          <w:i/>
        </w:rPr>
        <w:t>paclitaxel</w:t>
      </w:r>
      <w:proofErr w:type="spellEnd"/>
      <w:r w:rsidRPr="000977F6">
        <w:rPr>
          <w:i/>
        </w:rPr>
        <w:t xml:space="preserve"> is indicated for the first-line treatment of metastatic breast cancer in patients in whom an </w:t>
      </w:r>
      <w:proofErr w:type="spellStart"/>
      <w:r w:rsidRPr="000977F6">
        <w:rPr>
          <w:i/>
        </w:rPr>
        <w:t>anthracycline</w:t>
      </w:r>
      <w:proofErr w:type="spellEnd"/>
      <w:r w:rsidRPr="000977F6">
        <w:rPr>
          <w:i/>
        </w:rPr>
        <w:t xml:space="preserve">-based therapy is contraindicated (see Clinical Trials). </w:t>
      </w:r>
    </w:p>
    <w:p w:rsidR="00F85326" w:rsidRPr="000977F6" w:rsidRDefault="00F85326" w:rsidP="000977F6">
      <w:pPr>
        <w:ind w:left="720"/>
        <w:rPr>
          <w:i/>
        </w:rPr>
      </w:pPr>
      <w:r w:rsidRPr="000977F6">
        <w:rPr>
          <w:i/>
        </w:rPr>
        <w:t>Advanced, metastatic or recurrent, non-</w:t>
      </w:r>
      <w:proofErr w:type="spellStart"/>
      <w:r w:rsidRPr="000977F6">
        <w:rPr>
          <w:i/>
        </w:rPr>
        <w:t>squamous</w:t>
      </w:r>
      <w:proofErr w:type="spellEnd"/>
      <w:r w:rsidRPr="000977F6">
        <w:rPr>
          <w:i/>
        </w:rPr>
        <w:t xml:space="preserve"> Non Small Cell Lung Cancer (NSCLC).</w:t>
      </w:r>
    </w:p>
    <w:p w:rsidR="00F85326" w:rsidRPr="000977F6" w:rsidRDefault="00F85326" w:rsidP="000977F6">
      <w:pPr>
        <w:ind w:left="720"/>
        <w:rPr>
          <w:i/>
        </w:rPr>
      </w:pPr>
      <w:proofErr w:type="spellStart"/>
      <w:r w:rsidRPr="000977F6">
        <w:rPr>
          <w:i/>
        </w:rPr>
        <w:t>Avastin</w:t>
      </w:r>
      <w:proofErr w:type="spellEnd"/>
      <w:r w:rsidRPr="000977F6">
        <w:rPr>
          <w:i/>
        </w:rPr>
        <w:t xml:space="preserve"> (</w:t>
      </w:r>
      <w:proofErr w:type="spellStart"/>
      <w:r w:rsidRPr="000977F6">
        <w:rPr>
          <w:i/>
        </w:rPr>
        <w:t>bevacizumab</w:t>
      </w:r>
      <w:proofErr w:type="spellEnd"/>
      <w:r w:rsidRPr="000977F6">
        <w:rPr>
          <w:i/>
        </w:rPr>
        <w:t xml:space="preserve">), in combination with </w:t>
      </w:r>
      <w:proofErr w:type="spellStart"/>
      <w:r w:rsidRPr="000977F6">
        <w:rPr>
          <w:i/>
        </w:rPr>
        <w:t>carboplatin</w:t>
      </w:r>
      <w:proofErr w:type="spellEnd"/>
      <w:r w:rsidRPr="000977F6">
        <w:rPr>
          <w:i/>
        </w:rPr>
        <w:t xml:space="preserve"> and </w:t>
      </w:r>
      <w:proofErr w:type="spellStart"/>
      <w:r w:rsidRPr="000977F6">
        <w:rPr>
          <w:i/>
        </w:rPr>
        <w:t>paclitaxel</w:t>
      </w:r>
      <w:proofErr w:type="spellEnd"/>
      <w:r w:rsidRPr="000977F6">
        <w:rPr>
          <w:i/>
        </w:rPr>
        <w:t xml:space="preserve">, is indicated for first-line treatment of patients with </w:t>
      </w:r>
      <w:proofErr w:type="spellStart"/>
      <w:r w:rsidRPr="000977F6">
        <w:rPr>
          <w:i/>
        </w:rPr>
        <w:t>unresectable</w:t>
      </w:r>
      <w:proofErr w:type="spellEnd"/>
      <w:r w:rsidRPr="000977F6">
        <w:rPr>
          <w:i/>
        </w:rPr>
        <w:t xml:space="preserve"> advanced, metastatic or recurrent, non-</w:t>
      </w:r>
      <w:proofErr w:type="spellStart"/>
      <w:r w:rsidRPr="000977F6">
        <w:rPr>
          <w:i/>
        </w:rPr>
        <w:t>squamous</w:t>
      </w:r>
      <w:proofErr w:type="spellEnd"/>
      <w:r w:rsidRPr="000977F6">
        <w:rPr>
          <w:i/>
        </w:rPr>
        <w:t xml:space="preserve">, non-small cell lung cancer. </w:t>
      </w:r>
    </w:p>
    <w:p w:rsidR="00F85326" w:rsidRPr="000977F6" w:rsidRDefault="00F85326" w:rsidP="000977F6">
      <w:pPr>
        <w:ind w:left="720"/>
        <w:rPr>
          <w:i/>
        </w:rPr>
      </w:pPr>
      <w:r w:rsidRPr="000977F6">
        <w:rPr>
          <w:i/>
        </w:rPr>
        <w:t>Advanced and/or metastatic Renal Cell Cancer.</w:t>
      </w:r>
    </w:p>
    <w:p w:rsidR="00F85326" w:rsidRPr="000977F6" w:rsidRDefault="00F85326" w:rsidP="000977F6">
      <w:pPr>
        <w:ind w:left="720"/>
        <w:rPr>
          <w:i/>
        </w:rPr>
      </w:pPr>
      <w:proofErr w:type="spellStart"/>
      <w:r w:rsidRPr="000977F6">
        <w:rPr>
          <w:i/>
        </w:rPr>
        <w:t>Avastin</w:t>
      </w:r>
      <w:proofErr w:type="spellEnd"/>
      <w:r w:rsidRPr="000977F6">
        <w:rPr>
          <w:i/>
        </w:rPr>
        <w:t xml:space="preserve"> (</w:t>
      </w:r>
      <w:proofErr w:type="spellStart"/>
      <w:r w:rsidRPr="000977F6">
        <w:rPr>
          <w:i/>
        </w:rPr>
        <w:t>bevacizumab</w:t>
      </w:r>
      <w:proofErr w:type="spellEnd"/>
      <w:r w:rsidRPr="000977F6">
        <w:rPr>
          <w:i/>
        </w:rPr>
        <w:t xml:space="preserve">) in combination with interferon alfa-2a is indicated for treatment of patients with advanced and/or metastatic renal cell cancer. </w:t>
      </w:r>
    </w:p>
    <w:p w:rsidR="00F85326" w:rsidRPr="000977F6" w:rsidRDefault="00F85326" w:rsidP="000977F6">
      <w:pPr>
        <w:ind w:left="720"/>
        <w:rPr>
          <w:i/>
        </w:rPr>
      </w:pPr>
      <w:r w:rsidRPr="000977F6">
        <w:rPr>
          <w:i/>
        </w:rPr>
        <w:t xml:space="preserve">Grade IV </w:t>
      </w:r>
      <w:proofErr w:type="spellStart"/>
      <w:r w:rsidRPr="000977F6">
        <w:rPr>
          <w:i/>
        </w:rPr>
        <w:t>glioma</w:t>
      </w:r>
      <w:proofErr w:type="spellEnd"/>
      <w:r w:rsidRPr="000977F6">
        <w:rPr>
          <w:i/>
        </w:rPr>
        <w:t xml:space="preserve">. </w:t>
      </w:r>
    </w:p>
    <w:p w:rsidR="00F85326" w:rsidRPr="000977F6" w:rsidRDefault="00F85326" w:rsidP="000977F6">
      <w:pPr>
        <w:ind w:left="720"/>
        <w:rPr>
          <w:i/>
        </w:rPr>
      </w:pPr>
      <w:proofErr w:type="spellStart"/>
      <w:r w:rsidRPr="000977F6">
        <w:rPr>
          <w:i/>
        </w:rPr>
        <w:lastRenderedPageBreak/>
        <w:t>Avastin</w:t>
      </w:r>
      <w:proofErr w:type="spellEnd"/>
      <w:r w:rsidRPr="000977F6">
        <w:rPr>
          <w:i/>
        </w:rPr>
        <w:t xml:space="preserve"> (</w:t>
      </w:r>
      <w:proofErr w:type="spellStart"/>
      <w:r w:rsidRPr="000977F6">
        <w:rPr>
          <w:i/>
        </w:rPr>
        <w:t>bevacizumab</w:t>
      </w:r>
      <w:proofErr w:type="spellEnd"/>
      <w:r w:rsidRPr="000977F6">
        <w:rPr>
          <w:i/>
        </w:rPr>
        <w:t xml:space="preserve">) as a single agent, is indicated for the treatment of patients with Grade IV </w:t>
      </w:r>
      <w:proofErr w:type="spellStart"/>
      <w:r w:rsidRPr="000977F6">
        <w:rPr>
          <w:i/>
        </w:rPr>
        <w:t>glioma</w:t>
      </w:r>
      <w:proofErr w:type="spellEnd"/>
      <w:r w:rsidRPr="000977F6">
        <w:rPr>
          <w:i/>
        </w:rPr>
        <w:t xml:space="preserve"> after relapse or disease progression after standard therapy, including chemotherapy. </w:t>
      </w:r>
    </w:p>
    <w:p w:rsidR="00F85326" w:rsidRPr="000977F6" w:rsidRDefault="00F85326" w:rsidP="000977F6">
      <w:pPr>
        <w:ind w:left="720"/>
        <w:rPr>
          <w:i/>
        </w:rPr>
      </w:pPr>
      <w:r w:rsidRPr="000977F6">
        <w:rPr>
          <w:i/>
        </w:rPr>
        <w:t>Epithelial Ovarian, Fallopian Tube or Primary Peritoneal cancer</w:t>
      </w:r>
    </w:p>
    <w:p w:rsidR="00F85326" w:rsidRPr="000977F6" w:rsidRDefault="00F85326" w:rsidP="000977F6">
      <w:pPr>
        <w:ind w:left="720"/>
        <w:rPr>
          <w:i/>
        </w:rPr>
      </w:pPr>
      <w:proofErr w:type="spellStart"/>
      <w:r w:rsidRPr="000977F6">
        <w:rPr>
          <w:bCs/>
          <w:i/>
          <w:lang w:val="en-GB"/>
        </w:rPr>
        <w:t>Avastin</w:t>
      </w:r>
      <w:proofErr w:type="spellEnd"/>
      <w:r w:rsidRPr="000977F6">
        <w:rPr>
          <w:bCs/>
          <w:i/>
          <w:lang w:val="en-GB"/>
        </w:rPr>
        <w:t xml:space="preserve"> (</w:t>
      </w:r>
      <w:proofErr w:type="spellStart"/>
      <w:r w:rsidRPr="000977F6">
        <w:rPr>
          <w:bCs/>
          <w:i/>
          <w:lang w:val="en-GB"/>
        </w:rPr>
        <w:t>bevacizumab</w:t>
      </w:r>
      <w:proofErr w:type="spellEnd"/>
      <w:r w:rsidRPr="000977F6">
        <w:rPr>
          <w:bCs/>
          <w:i/>
          <w:lang w:val="en-GB"/>
        </w:rPr>
        <w:t xml:space="preserve">) in combination with </w:t>
      </w:r>
      <w:proofErr w:type="spellStart"/>
      <w:r w:rsidRPr="000977F6">
        <w:rPr>
          <w:bCs/>
          <w:i/>
          <w:lang w:val="en-GB"/>
        </w:rPr>
        <w:t>carboplatin</w:t>
      </w:r>
      <w:proofErr w:type="spellEnd"/>
      <w:r w:rsidRPr="000977F6">
        <w:rPr>
          <w:bCs/>
          <w:i/>
          <w:lang w:val="en-GB"/>
        </w:rPr>
        <w:t xml:space="preserve"> and </w:t>
      </w:r>
      <w:proofErr w:type="spellStart"/>
      <w:r w:rsidRPr="000977F6">
        <w:rPr>
          <w:bCs/>
          <w:i/>
          <w:lang w:val="en-GB"/>
        </w:rPr>
        <w:t>paclitaxel</w:t>
      </w:r>
      <w:proofErr w:type="spellEnd"/>
      <w:r w:rsidRPr="000977F6">
        <w:rPr>
          <w:bCs/>
          <w:i/>
          <w:lang w:val="en-GB"/>
        </w:rPr>
        <w:t xml:space="preserve"> for the first line treatment of patients with advanced (FIGO stages IIIB, IIIC and IV) epithelial ovarian, fallopian tube or primary peritoneal cancer.</w:t>
      </w:r>
      <w:r w:rsidRPr="000977F6">
        <w:rPr>
          <w:i/>
          <w:lang w:val="en-GB"/>
        </w:rPr>
        <w:t xml:space="preserve">  </w:t>
      </w:r>
    </w:p>
    <w:p w:rsidR="00F85326" w:rsidRPr="000977F6" w:rsidRDefault="00F85326" w:rsidP="000977F6">
      <w:pPr>
        <w:ind w:left="720"/>
        <w:rPr>
          <w:i/>
        </w:rPr>
      </w:pPr>
      <w:r w:rsidRPr="000977F6">
        <w:rPr>
          <w:i/>
        </w:rPr>
        <w:t xml:space="preserve">Recurrent Epithelial Ovarian, </w:t>
      </w:r>
      <w:proofErr w:type="spellStart"/>
      <w:r w:rsidRPr="000977F6">
        <w:rPr>
          <w:i/>
        </w:rPr>
        <w:t>FallopianTube</w:t>
      </w:r>
      <w:proofErr w:type="spellEnd"/>
      <w:r w:rsidRPr="000977F6">
        <w:rPr>
          <w:i/>
        </w:rPr>
        <w:t xml:space="preserve"> or Primary Peritoneal Cancer.</w:t>
      </w:r>
    </w:p>
    <w:p w:rsidR="00F85326" w:rsidRPr="000977F6" w:rsidRDefault="00F85326" w:rsidP="000977F6">
      <w:pPr>
        <w:ind w:left="720"/>
        <w:rPr>
          <w:i/>
        </w:rPr>
      </w:pPr>
      <w:proofErr w:type="spellStart"/>
      <w:r w:rsidRPr="000977F6">
        <w:rPr>
          <w:i/>
        </w:rPr>
        <w:t>Avastin</w:t>
      </w:r>
      <w:proofErr w:type="spellEnd"/>
      <w:r w:rsidRPr="000977F6">
        <w:rPr>
          <w:i/>
        </w:rPr>
        <w:t xml:space="preserve"> (</w:t>
      </w:r>
      <w:proofErr w:type="spellStart"/>
      <w:r w:rsidRPr="000977F6">
        <w:rPr>
          <w:i/>
        </w:rPr>
        <w:t>bevacizumab</w:t>
      </w:r>
      <w:proofErr w:type="spellEnd"/>
      <w:r w:rsidRPr="000977F6">
        <w:rPr>
          <w:i/>
        </w:rPr>
        <w:t xml:space="preserve">), in combination with </w:t>
      </w:r>
      <w:proofErr w:type="spellStart"/>
      <w:r w:rsidRPr="000977F6">
        <w:rPr>
          <w:i/>
        </w:rPr>
        <w:t>carboplatin</w:t>
      </w:r>
      <w:proofErr w:type="spellEnd"/>
      <w:r w:rsidRPr="000977F6">
        <w:rPr>
          <w:i/>
        </w:rPr>
        <w:t xml:space="preserve"> and </w:t>
      </w:r>
      <w:proofErr w:type="spellStart"/>
      <w:r w:rsidRPr="000977F6">
        <w:rPr>
          <w:i/>
        </w:rPr>
        <w:t>gemcitabine</w:t>
      </w:r>
      <w:proofErr w:type="spellEnd"/>
      <w:r w:rsidRPr="000977F6">
        <w:rPr>
          <w:i/>
        </w:rPr>
        <w:t xml:space="preserve">, is indicated for the treatment of patients with recurrent, platinum-sensitive, epithelial ovarian, fallopian tube, or primary peritoneal cancer who have not received prior </w:t>
      </w:r>
      <w:proofErr w:type="spellStart"/>
      <w:r w:rsidRPr="000977F6">
        <w:rPr>
          <w:i/>
        </w:rPr>
        <w:t>bevacizumab</w:t>
      </w:r>
      <w:proofErr w:type="spellEnd"/>
      <w:r w:rsidRPr="000977F6">
        <w:rPr>
          <w:i/>
        </w:rPr>
        <w:t xml:space="preserve"> or other VEGF-targeted angiogenesis inhibitors.</w:t>
      </w:r>
    </w:p>
    <w:p w:rsidR="00F85326" w:rsidRPr="00F85326" w:rsidRDefault="00F85326" w:rsidP="000977F6">
      <w:pPr>
        <w:pStyle w:val="Heading4"/>
      </w:pPr>
      <w:r w:rsidRPr="00F85326">
        <w:t>Specific conditions of registration applying to these goods</w:t>
      </w:r>
    </w:p>
    <w:p w:rsidR="00F85326" w:rsidRPr="00F85326" w:rsidRDefault="00F85326" w:rsidP="000977F6">
      <w:pPr>
        <w:pStyle w:val="ListBullet"/>
      </w:pPr>
      <w:r w:rsidRPr="00F85326">
        <w:t>The implementation in Australia of the EU RMP version 10.0 dated 7 July 2011, with Australian Addendum Version 2.0 dated September 2011, and any subsequent revisions, as agreed with the TGA and its OPR.</w:t>
      </w:r>
    </w:p>
    <w:p w:rsidR="00F85326" w:rsidRPr="00F85326" w:rsidRDefault="00F85326" w:rsidP="000977F6">
      <w:pPr>
        <w:pStyle w:val="ListBullet"/>
      </w:pPr>
      <w:r w:rsidRPr="00F85326">
        <w:t>The final analysis of OS in trial AVF4095g will be submitted when available.</w:t>
      </w:r>
    </w:p>
    <w:p w:rsidR="008E7846" w:rsidRDefault="008E7846" w:rsidP="008E7846">
      <w:pPr>
        <w:pStyle w:val="Heading2"/>
      </w:pPr>
      <w:bookmarkStart w:id="144" w:name="_Toc356206763"/>
      <w:r>
        <w:t>Attachment 1.</w:t>
      </w:r>
      <w:r>
        <w:tab/>
        <w:t xml:space="preserve">Product </w:t>
      </w:r>
      <w:r w:rsidR="00AA0ED0">
        <w:t>I</w:t>
      </w:r>
      <w:r>
        <w:t>nformation</w:t>
      </w:r>
      <w:bookmarkEnd w:id="7"/>
      <w:bookmarkEnd w:id="8"/>
      <w:bookmarkEnd w:id="144"/>
    </w:p>
    <w:p w:rsidR="003D1E62" w:rsidRDefault="008E7846" w:rsidP="00A12C42">
      <w:pPr>
        <w:autoSpaceDE w:val="0"/>
        <w:autoSpaceDN w:val="0"/>
        <w:adjustRightInd w:val="0"/>
        <w:spacing w:after="0"/>
        <w:rPr>
          <w:color w:val="000000"/>
          <w:lang w:eastAsia="en-AU"/>
        </w:rPr>
      </w:pPr>
      <w:r w:rsidRPr="0037352E">
        <w:t xml:space="preserve">The Product Information approved at the time this </w:t>
      </w:r>
      <w:proofErr w:type="spellStart"/>
      <w:r w:rsidRPr="0037352E">
        <w:t>AusPAR</w:t>
      </w:r>
      <w:proofErr w:type="spellEnd"/>
      <w:r w:rsidRPr="0037352E">
        <w:t xml:space="preserve"> was published</w:t>
      </w:r>
      <w:r w:rsidR="008B156F">
        <w:t xml:space="preserve"> is at Attachment 1</w:t>
      </w:r>
      <w:r w:rsidRPr="0037352E">
        <w:t>. For the current Product Information please refer to the TGA website at</w:t>
      </w:r>
      <w:r w:rsidR="008F6943">
        <w:t xml:space="preserve"> &lt;</w:t>
      </w:r>
      <w:r w:rsidR="00722B57" w:rsidRPr="00722B57">
        <w:rPr>
          <w:rStyle w:val="Hyperlink"/>
        </w:rPr>
        <w:t>http://www.tga.gov.au/hp/information-medicines-pi.htm</w:t>
      </w:r>
      <w:hyperlink w:history="1"/>
      <w:r w:rsidR="008F6943">
        <w:rPr>
          <w:color w:val="000000"/>
          <w:lang w:eastAsia="en-AU"/>
        </w:rPr>
        <w:t>&gt;.</w:t>
      </w:r>
    </w:p>
    <w:p w:rsidR="00881827" w:rsidRDefault="008B156F">
      <w:pPr>
        <w:pStyle w:val="Heading2"/>
        <w:rPr>
          <w:lang w:eastAsia="en-AU"/>
        </w:rPr>
      </w:pPr>
      <w:bookmarkStart w:id="145" w:name="_Toc356206764"/>
      <w:r>
        <w:rPr>
          <w:lang w:eastAsia="en-AU"/>
        </w:rPr>
        <w:t>Attachment 2. Extract from the Clinical Evaluation Report</w:t>
      </w:r>
      <w:bookmarkEnd w:id="145"/>
    </w:p>
    <w:p w:rsidR="003D1E62" w:rsidRPr="001D043B" w:rsidRDefault="008E7846" w:rsidP="00CC51C5">
      <w:pPr>
        <w:sectPr w:rsidR="003D1E62" w:rsidRPr="001D043B" w:rsidSect="00B452CE">
          <w:headerReference w:type="even" r:id="rId17"/>
          <w:headerReference w:type="default" r:id="rId18"/>
          <w:footerReference w:type="default" r:id="rId19"/>
          <w:headerReference w:type="first" r:id="rId20"/>
          <w:footerReference w:type="first" r:id="rId21"/>
          <w:pgSz w:w="11906" w:h="16838" w:code="9"/>
          <w:pgMar w:top="834" w:right="1701" w:bottom="1191" w:left="1701" w:header="907" w:footer="216" w:gutter="0"/>
          <w:cols w:space="708"/>
          <w:docGrid w:linePitch="360"/>
        </w:sectPr>
      </w:pPr>
      <w:r>
        <w:br w:type="page"/>
      </w:r>
    </w:p>
    <w:p w:rsidR="00774E1D" w:rsidRPr="008A5E0B" w:rsidRDefault="00774E1D" w:rsidP="008A5E0B"/>
    <w:sectPr w:rsidR="00774E1D" w:rsidRPr="008A5E0B" w:rsidSect="00E45619">
      <w:headerReference w:type="even" r:id="rId22"/>
      <w:headerReference w:type="default" r:id="rId23"/>
      <w:footerReference w:type="default" r:id="rId24"/>
      <w:headerReference w:type="first" r:id="rId25"/>
      <w:footerReference w:type="first" r:id="rId26"/>
      <w:pgSz w:w="11906" w:h="16838" w:code="9"/>
      <w:pgMar w:top="2211"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56F" w:rsidRDefault="008B156F" w:rsidP="00C40A36">
      <w:pPr>
        <w:spacing w:after="0"/>
      </w:pPr>
      <w:r>
        <w:separator/>
      </w:r>
    </w:p>
  </w:endnote>
  <w:endnote w:type="continuationSeparator" w:id="0">
    <w:p w:rsidR="008B156F" w:rsidRDefault="008B156F"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C5" w:rsidRDefault="00CC51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8B156F" w:rsidRPr="00487162" w:rsidTr="0053625B">
      <w:trPr>
        <w:trHeight w:val="269"/>
      </w:trPr>
      <w:tc>
        <w:tcPr>
          <w:tcW w:w="7938" w:type="dxa"/>
          <w:tcMar>
            <w:top w:w="142" w:type="dxa"/>
            <w:bottom w:w="0" w:type="dxa"/>
          </w:tcMar>
        </w:tcPr>
        <w:p w:rsidR="008B156F" w:rsidRDefault="008B156F" w:rsidP="00391517">
          <w:pPr>
            <w:pStyle w:val="Footer"/>
          </w:pPr>
          <w:proofErr w:type="spellStart"/>
          <w:r>
            <w:t>AusPAR</w:t>
          </w:r>
          <w:proofErr w:type="spellEnd"/>
          <w:r>
            <w:t xml:space="preserve"> </w:t>
          </w:r>
          <w:proofErr w:type="spellStart"/>
          <w:r>
            <w:t>Avastin</w:t>
          </w:r>
          <w:proofErr w:type="spellEnd"/>
          <w:r>
            <w:t xml:space="preserve"> </w:t>
          </w:r>
          <w:proofErr w:type="spellStart"/>
          <w:r>
            <w:t>Bevacizumab</w:t>
          </w:r>
          <w:proofErr w:type="spellEnd"/>
          <w:r>
            <w:t xml:space="preserve"> (</w:t>
          </w:r>
          <w:proofErr w:type="spellStart"/>
          <w:r>
            <w:t>rch</w:t>
          </w:r>
          <w:proofErr w:type="spellEnd"/>
          <w:r>
            <w:t xml:space="preserve">) Roche Products Pty Ltd </w:t>
          </w:r>
        </w:p>
        <w:p w:rsidR="008B156F" w:rsidRPr="00487162" w:rsidRDefault="008B156F" w:rsidP="00391517">
          <w:pPr>
            <w:pStyle w:val="Footer"/>
          </w:pPr>
          <w:r>
            <w:t>PM-2011-02308-3-4 Final 7 March 2013</w:t>
          </w:r>
        </w:p>
      </w:tc>
      <w:tc>
        <w:tcPr>
          <w:tcW w:w="923" w:type="dxa"/>
          <w:tcMar>
            <w:top w:w="142" w:type="dxa"/>
            <w:bottom w:w="0" w:type="dxa"/>
          </w:tcMar>
        </w:tcPr>
        <w:p w:rsidR="008B156F" w:rsidRPr="00487162" w:rsidRDefault="008B156F" w:rsidP="00D855D4">
          <w:pPr>
            <w:pStyle w:val="Footer"/>
            <w:jc w:val="right"/>
          </w:pPr>
          <w:r w:rsidRPr="00487162">
            <w:t xml:space="preserve">Page </w:t>
          </w:r>
          <w:r>
            <w:t>2</w:t>
          </w:r>
          <w:r w:rsidRPr="00487162">
            <w:t xml:space="preserve"> of </w:t>
          </w:r>
          <w:r w:rsidR="008A4754">
            <w:fldChar w:fldCharType="begin"/>
          </w:r>
          <w:r w:rsidR="008A4754">
            <w:instrText xml:space="preserve"> NUMPAGES  \* Arabic </w:instrText>
          </w:r>
          <w:r w:rsidR="008A4754">
            <w:fldChar w:fldCharType="separate"/>
          </w:r>
          <w:r w:rsidR="00047969">
            <w:rPr>
              <w:noProof/>
            </w:rPr>
            <w:t>19</w:t>
          </w:r>
          <w:r w:rsidR="008A4754">
            <w:fldChar w:fldCharType="end"/>
          </w:r>
        </w:p>
      </w:tc>
    </w:tr>
  </w:tbl>
  <w:p w:rsidR="008B156F" w:rsidRDefault="008B156F" w:rsidP="003D1E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6F" w:rsidRDefault="008B156F" w:rsidP="00165389"/>
  <w:p w:rsidR="008B156F" w:rsidRDefault="008B156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4519"/>
      <w:gridCol w:w="4342"/>
    </w:tblGrid>
    <w:tr w:rsidR="008B156F" w:rsidRPr="00487162" w:rsidTr="00E26130">
      <w:trPr>
        <w:trHeight w:val="269"/>
      </w:trPr>
      <w:tc>
        <w:tcPr>
          <w:tcW w:w="4519" w:type="dxa"/>
          <w:tcMar>
            <w:top w:w="142" w:type="dxa"/>
            <w:bottom w:w="0" w:type="dxa"/>
          </w:tcMar>
        </w:tcPr>
        <w:p w:rsidR="008B156F" w:rsidRDefault="008B156F" w:rsidP="00391517">
          <w:pPr>
            <w:pStyle w:val="Footer"/>
          </w:pPr>
          <w:proofErr w:type="spellStart"/>
          <w:r>
            <w:t>AusPAR</w:t>
          </w:r>
          <w:proofErr w:type="spellEnd"/>
          <w:r>
            <w:t xml:space="preserve"> </w:t>
          </w:r>
          <w:proofErr w:type="spellStart"/>
          <w:r>
            <w:t>Avastin</w:t>
          </w:r>
          <w:proofErr w:type="spellEnd"/>
          <w:r>
            <w:t xml:space="preserve"> </w:t>
          </w:r>
          <w:proofErr w:type="spellStart"/>
          <w:r>
            <w:t>Bevacizumab</w:t>
          </w:r>
          <w:proofErr w:type="spellEnd"/>
          <w:r>
            <w:t xml:space="preserve"> (</w:t>
          </w:r>
          <w:proofErr w:type="spellStart"/>
          <w:r>
            <w:t>rch</w:t>
          </w:r>
          <w:proofErr w:type="spellEnd"/>
          <w:r>
            <w:t xml:space="preserve">) Roche Products Pty Ltd </w:t>
          </w:r>
        </w:p>
        <w:p w:rsidR="008B156F" w:rsidRPr="00487162" w:rsidRDefault="008B156F" w:rsidP="00391517">
          <w:pPr>
            <w:pStyle w:val="Footer"/>
          </w:pPr>
          <w:r>
            <w:t>PM-2011-02308-3-4 Final 7 March 2013</w:t>
          </w:r>
        </w:p>
      </w:tc>
      <w:tc>
        <w:tcPr>
          <w:tcW w:w="4342" w:type="dxa"/>
          <w:tcMar>
            <w:top w:w="142" w:type="dxa"/>
            <w:bottom w:w="0" w:type="dxa"/>
          </w:tcMar>
        </w:tcPr>
        <w:p w:rsidR="008B156F" w:rsidRPr="00487162" w:rsidRDefault="008B156F" w:rsidP="00E45619">
          <w:pPr>
            <w:pStyle w:val="Footer"/>
            <w:jc w:val="right"/>
          </w:pPr>
          <w:r w:rsidRPr="00487162">
            <w:t xml:space="preserve">Page </w:t>
          </w:r>
          <w:r w:rsidR="008A4754">
            <w:fldChar w:fldCharType="begin"/>
          </w:r>
          <w:r w:rsidR="008A4754">
            <w:instrText>PAGE</w:instrText>
          </w:r>
          <w:r w:rsidR="008A4754">
            <w:fldChar w:fldCharType="separate"/>
          </w:r>
          <w:r w:rsidR="00047969">
            <w:rPr>
              <w:noProof/>
            </w:rPr>
            <w:t>18</w:t>
          </w:r>
          <w:r w:rsidR="008A4754">
            <w:fldChar w:fldCharType="end"/>
          </w:r>
          <w:r w:rsidRPr="00487162">
            <w:t xml:space="preserve"> of </w:t>
          </w:r>
          <w:r w:rsidR="008A4754">
            <w:fldChar w:fldCharType="begin"/>
          </w:r>
          <w:r w:rsidR="008A4754">
            <w:instrText xml:space="preserve"> NUMPAGES  \* Arabic </w:instrText>
          </w:r>
          <w:r w:rsidR="008A4754">
            <w:fldChar w:fldCharType="separate"/>
          </w:r>
          <w:r w:rsidR="00047969">
            <w:rPr>
              <w:noProof/>
            </w:rPr>
            <w:t>18</w:t>
          </w:r>
          <w:r w:rsidR="008A4754">
            <w:fldChar w:fldCharType="end"/>
          </w:r>
        </w:p>
      </w:tc>
    </w:tr>
  </w:tbl>
  <w:p w:rsidR="008B156F" w:rsidRDefault="008B156F" w:rsidP="00E2613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8B156F" w:rsidRPr="00487162" w:rsidTr="00E45619">
      <w:trPr>
        <w:trHeight w:val="269"/>
      </w:trPr>
      <w:tc>
        <w:tcPr>
          <w:tcW w:w="4519" w:type="dxa"/>
          <w:tcBorders>
            <w:top w:val="single" w:sz="4" w:space="0" w:color="auto"/>
          </w:tcBorders>
          <w:tcMar>
            <w:top w:w="142" w:type="dxa"/>
            <w:bottom w:w="0" w:type="dxa"/>
          </w:tcMar>
        </w:tcPr>
        <w:p w:rsidR="008B156F" w:rsidRPr="00487162" w:rsidRDefault="008B156F" w:rsidP="00FE1DEE">
          <w:pPr>
            <w:pStyle w:val="Footer"/>
          </w:pPr>
          <w:r w:rsidRPr="00487162">
            <w:t>Document title, Part #, Section # - Section title</w:t>
          </w:r>
        </w:p>
        <w:p w:rsidR="008B156F" w:rsidRPr="00487162" w:rsidRDefault="008B156F" w:rsidP="00FE1DEE">
          <w:pPr>
            <w:pStyle w:val="Footer"/>
          </w:pPr>
          <w:r w:rsidRPr="00487162">
            <w:t>V1.0 October 2010</w:t>
          </w:r>
        </w:p>
      </w:tc>
      <w:tc>
        <w:tcPr>
          <w:tcW w:w="4342" w:type="dxa"/>
          <w:tcBorders>
            <w:top w:val="single" w:sz="4" w:space="0" w:color="auto"/>
          </w:tcBorders>
          <w:tcMar>
            <w:top w:w="142" w:type="dxa"/>
            <w:bottom w:w="0" w:type="dxa"/>
          </w:tcMar>
        </w:tcPr>
        <w:p w:rsidR="008B156F" w:rsidRPr="00487162" w:rsidRDefault="008B156F" w:rsidP="00E45619">
          <w:pPr>
            <w:pStyle w:val="Footer"/>
            <w:jc w:val="right"/>
          </w:pPr>
          <w:r w:rsidRPr="00487162">
            <w:t xml:space="preserve">Page </w:t>
          </w:r>
          <w:r w:rsidR="008A4754">
            <w:fldChar w:fldCharType="begin"/>
          </w:r>
          <w:r w:rsidR="008A4754">
            <w:instrText xml:space="preserve"> PAGE   \* MERGEFORMAT </w:instrText>
          </w:r>
          <w:r w:rsidR="008A4754">
            <w:fldChar w:fldCharType="separate"/>
          </w:r>
          <w:r w:rsidRPr="00487162">
            <w:rPr>
              <w:noProof/>
            </w:rPr>
            <w:t>3</w:t>
          </w:r>
          <w:r w:rsidR="008A4754">
            <w:fldChar w:fldCharType="end"/>
          </w:r>
          <w:r w:rsidRPr="00487162">
            <w:t xml:space="preserve"> of </w:t>
          </w:r>
          <w:r w:rsidR="008A4754">
            <w:fldChar w:fldCharType="begin"/>
          </w:r>
          <w:r w:rsidR="008A4754">
            <w:instrText xml:space="preserve"> NUMPAGES  </w:instrText>
          </w:r>
          <w:r w:rsidR="008A4754">
            <w:fldChar w:fldCharType="separate"/>
          </w:r>
          <w:r>
            <w:rPr>
              <w:noProof/>
            </w:rPr>
            <w:t>3</w:t>
          </w:r>
          <w:r w:rsidR="008A4754">
            <w:fldChar w:fldCharType="end"/>
          </w:r>
        </w:p>
      </w:tc>
    </w:tr>
  </w:tbl>
  <w:p w:rsidR="008B156F" w:rsidRDefault="008B156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sz w:val="16"/>
      </w:rPr>
      <w:id w:val="16144363"/>
      <w:docPartObj>
        <w:docPartGallery w:val="Page Numbers (Bottom of Page)"/>
        <w:docPartUnique/>
      </w:docPartObj>
    </w:sdtPr>
    <w:sdtContent>
      <w:sdt>
        <w:sdtPr>
          <w:rPr>
            <w:rFonts w:ascii="Arial" w:hAnsi="Arial"/>
            <w:sz w:val="16"/>
          </w:rPr>
          <w:id w:val="16144364"/>
          <w:docPartObj>
            <w:docPartGallery w:val="Page Numbers (Top of Page)"/>
            <w:docPartUnique/>
          </w:docPartObj>
        </w:sdtPr>
        <w:sdtContent>
          <w:p w:rsidR="008B156F" w:rsidRDefault="008B156F">
            <w:pPr>
              <w:pStyle w:val="Footer"/>
              <w:jc w:val="right"/>
            </w:pPr>
          </w:p>
          <w:tbl>
            <w:tblPr>
              <w:tblW w:w="9175" w:type="dxa"/>
              <w:tblInd w:w="-284" w:type="dxa"/>
              <w:tblLayout w:type="fixed"/>
              <w:tblCellMar>
                <w:left w:w="0" w:type="dxa"/>
                <w:right w:w="0" w:type="dxa"/>
              </w:tblCellMar>
              <w:tblLook w:val="04A0"/>
            </w:tblPr>
            <w:tblGrid>
              <w:gridCol w:w="9175"/>
            </w:tblGrid>
            <w:tr w:rsidR="008B156F" w:rsidRPr="00487162" w:rsidTr="00E45619">
              <w:trPr>
                <w:trHeight w:hRule="exact" w:val="704"/>
              </w:trPr>
              <w:tc>
                <w:tcPr>
                  <w:tcW w:w="9175" w:type="dxa"/>
                </w:tcPr>
                <w:p w:rsidR="008B156F" w:rsidRPr="00487162" w:rsidRDefault="008B156F" w:rsidP="008E7846">
                  <w:pPr>
                    <w:pStyle w:val="TGASignoff"/>
                  </w:pPr>
                  <w:r w:rsidRPr="00487162">
                    <w:t>Therapeutic Goods Administration</w:t>
                  </w:r>
                </w:p>
              </w:tc>
            </w:tr>
            <w:tr w:rsidR="008B156F" w:rsidRPr="00487162" w:rsidTr="00E45619">
              <w:trPr>
                <w:trHeight w:val="1221"/>
              </w:trPr>
              <w:tc>
                <w:tcPr>
                  <w:tcW w:w="9175" w:type="dxa"/>
                  <w:tcMar>
                    <w:top w:w="28" w:type="dxa"/>
                  </w:tcMar>
                </w:tcPr>
                <w:p w:rsidR="008B156F" w:rsidRPr="00487162" w:rsidRDefault="008B156F" w:rsidP="00E45619">
                  <w:pPr>
                    <w:pStyle w:val="Address"/>
                  </w:pPr>
                  <w:r w:rsidRPr="00487162">
                    <w:t>PO Box 100 Woden ACT 2606 Australia</w:t>
                  </w:r>
                </w:p>
                <w:p w:rsidR="008B156F" w:rsidRPr="00487162" w:rsidRDefault="008B156F" w:rsidP="00E45619">
                  <w:pPr>
                    <w:pStyle w:val="Address"/>
                  </w:pPr>
                  <w:r w:rsidRPr="00487162">
                    <w:t>Email: info@tga.gov.au  Phone: 1800 020 653  Fax: 02 6232 8605</w:t>
                  </w:r>
                </w:p>
                <w:p w:rsidR="008B156F" w:rsidRPr="00112F56" w:rsidRDefault="008A4754" w:rsidP="00E45619">
                  <w:pPr>
                    <w:pStyle w:val="Address"/>
                    <w:spacing w:line="260" w:lineRule="atLeast"/>
                    <w:rPr>
                      <w:rStyle w:val="Hyperlink"/>
                      <w:b/>
                    </w:rPr>
                  </w:pPr>
                  <w:hyperlink r:id="rId1" w:history="1">
                    <w:r w:rsidR="008B156F" w:rsidRPr="00112F56">
                      <w:rPr>
                        <w:rStyle w:val="Hyperlink"/>
                        <w:b/>
                      </w:rPr>
                      <w:t>www.tga.gov.au</w:t>
                    </w:r>
                  </w:hyperlink>
                </w:p>
                <w:p w:rsidR="00000000" w:rsidRDefault="00047969">
                  <w:pPr>
                    <w:pStyle w:val="Reference"/>
                  </w:pPr>
                </w:p>
              </w:tc>
            </w:tr>
          </w:tbl>
          <w:p w:rsidR="008B156F" w:rsidRDefault="008A4754" w:rsidP="008E7846">
            <w:pPr>
              <w:pStyle w:val="Notes"/>
            </w:pPr>
          </w:p>
        </w:sdtContent>
      </w:sdt>
    </w:sdtContent>
  </w:sdt>
  <w:p w:rsidR="008B156F" w:rsidRPr="008E7846" w:rsidRDefault="008B156F" w:rsidP="008E784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8B156F" w:rsidTr="0010601F">
      <w:trPr>
        <w:trHeight w:val="108"/>
      </w:trPr>
      <w:tc>
        <w:tcPr>
          <w:tcW w:w="8875" w:type="dxa"/>
          <w:gridSpan w:val="2"/>
          <w:tcBorders>
            <w:bottom w:val="single" w:sz="4" w:space="0" w:color="auto"/>
          </w:tcBorders>
          <w:tcMar>
            <w:right w:w="284" w:type="dxa"/>
          </w:tcMar>
        </w:tcPr>
        <w:p w:rsidR="008B156F" w:rsidRDefault="008B156F" w:rsidP="006E08B3">
          <w:pPr>
            <w:pStyle w:val="Heading3"/>
          </w:pPr>
          <w:r>
            <w:t>Copyright</w:t>
          </w:r>
        </w:p>
        <w:p w:rsidR="008B156F" w:rsidRDefault="008B156F" w:rsidP="006E08B3">
          <w:r>
            <w:rPr>
              <w:rFonts w:cs="Arial"/>
            </w:rPr>
            <w:t>©</w:t>
          </w:r>
          <w:r>
            <w:t xml:space="preserve"> Commonwealth of Australia [add year]</w:t>
          </w:r>
        </w:p>
        <w:p w:rsidR="008B156F" w:rsidRDefault="008B156F" w:rsidP="006E08B3"/>
        <w:p w:rsidR="008B156F" w:rsidRDefault="008B156F"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8B156F" w:rsidRDefault="008B156F" w:rsidP="006E08B3"/>
        <w:p w:rsidR="008B156F" w:rsidRDefault="008B156F" w:rsidP="006E08B3">
          <w:pPr>
            <w:pStyle w:val="Heading3"/>
          </w:pPr>
          <w:r>
            <w:t>Confidentiality</w:t>
          </w:r>
        </w:p>
        <w:p w:rsidR="008B156F" w:rsidRDefault="008B156F"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8B156F" w:rsidRDefault="008B156F" w:rsidP="006E08B3"/>
        <w:p w:rsidR="008B156F" w:rsidRDefault="008B156F" w:rsidP="006E08B3">
          <w:r>
            <w:t>For submission made by individuals, all personal details, other than your name, will be removed from your submission before it is published on the TGA’s Internet site.</w:t>
          </w:r>
        </w:p>
        <w:p w:rsidR="008B156F" w:rsidRDefault="008B156F" w:rsidP="006E08B3"/>
        <w:p w:rsidR="008B156F" w:rsidRDefault="008B156F"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8B156F" w:rsidTr="0010601F">
      <w:trPr>
        <w:trHeight w:val="417"/>
      </w:trPr>
      <w:tc>
        <w:tcPr>
          <w:tcW w:w="4519" w:type="dxa"/>
          <w:tcBorders>
            <w:top w:val="single" w:sz="4" w:space="0" w:color="auto"/>
          </w:tcBorders>
          <w:tcMar>
            <w:top w:w="142" w:type="dxa"/>
            <w:bottom w:w="0" w:type="dxa"/>
          </w:tcMar>
        </w:tcPr>
        <w:p w:rsidR="008B156F" w:rsidRDefault="008B156F" w:rsidP="006E08B3">
          <w:r>
            <w:t>Document title, Part #, Section # - Section title</w:t>
          </w:r>
        </w:p>
        <w:p w:rsidR="008B156F" w:rsidRDefault="008B156F" w:rsidP="006E08B3">
          <w:r>
            <w:t>V1.0 October 2010</w:t>
          </w:r>
        </w:p>
      </w:tc>
      <w:tc>
        <w:tcPr>
          <w:tcW w:w="4356" w:type="dxa"/>
          <w:tcBorders>
            <w:top w:val="single" w:sz="4" w:space="0" w:color="auto"/>
          </w:tcBorders>
          <w:tcMar>
            <w:top w:w="142" w:type="dxa"/>
            <w:bottom w:w="0" w:type="dxa"/>
          </w:tcMar>
        </w:tcPr>
        <w:p w:rsidR="008B156F" w:rsidRDefault="008B156F" w:rsidP="006E08B3">
          <w:pPr>
            <w:jc w:val="right"/>
          </w:pPr>
          <w:r>
            <w:t xml:space="preserve">Page </w:t>
          </w:r>
          <w:r w:rsidR="008A4754">
            <w:fldChar w:fldCharType="begin"/>
          </w:r>
          <w:r w:rsidR="008A4754">
            <w:instrText xml:space="preserve"> PAGE   \* MERGEFORMAT </w:instrText>
          </w:r>
          <w:r w:rsidR="008A4754">
            <w:fldChar w:fldCharType="separate"/>
          </w:r>
          <w:r>
            <w:rPr>
              <w:noProof/>
            </w:rPr>
            <w:t>1</w:t>
          </w:r>
          <w:r w:rsidR="008A4754">
            <w:fldChar w:fldCharType="end"/>
          </w:r>
          <w:r>
            <w:t xml:space="preserve"> of </w:t>
          </w:r>
          <w:r w:rsidR="008A4754">
            <w:fldChar w:fldCharType="begin"/>
          </w:r>
          <w:r w:rsidR="008A4754">
            <w:instrText xml:space="preserve"> NUMPAGES  \* Arabic </w:instrText>
          </w:r>
          <w:r w:rsidR="008A4754">
            <w:fldChar w:fldCharType="separate"/>
          </w:r>
          <w:r>
            <w:rPr>
              <w:noProof/>
            </w:rPr>
            <w:t>3</w:t>
          </w:r>
          <w:r w:rsidR="008A4754">
            <w:fldChar w:fldCharType="end"/>
          </w:r>
          <w:r>
            <w:t xml:space="preserve">  </w:t>
          </w:r>
        </w:p>
      </w:tc>
    </w:tr>
  </w:tbl>
  <w:p w:rsidR="008B156F" w:rsidRDefault="008B15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56F" w:rsidRDefault="008B156F" w:rsidP="00C40A36">
      <w:pPr>
        <w:spacing w:after="0"/>
      </w:pPr>
      <w:r>
        <w:separator/>
      </w:r>
    </w:p>
  </w:footnote>
  <w:footnote w:type="continuationSeparator" w:id="0">
    <w:p w:rsidR="008B156F" w:rsidRDefault="008B156F" w:rsidP="00C40A36">
      <w:pPr>
        <w:spacing w:after="0"/>
      </w:pPr>
      <w:r>
        <w:continuationSeparator/>
      </w:r>
    </w:p>
  </w:footnote>
  <w:footnote w:id="1">
    <w:p w:rsidR="008B156F" w:rsidRPr="00033806" w:rsidRDefault="008B156F" w:rsidP="00F85326">
      <w:pPr>
        <w:pStyle w:val="FootnoteText"/>
        <w:rPr>
          <w:rFonts w:ascii="Cambria" w:hAnsi="Cambria"/>
          <w:sz w:val="18"/>
          <w:szCs w:val="18"/>
        </w:rPr>
      </w:pPr>
      <w:r w:rsidRPr="00033806">
        <w:rPr>
          <w:rStyle w:val="FootnoteReference"/>
          <w:rFonts w:ascii="Cambria" w:hAnsi="Cambria"/>
          <w:sz w:val="18"/>
          <w:szCs w:val="18"/>
        </w:rPr>
        <w:footnoteRef/>
      </w:r>
      <w:r w:rsidRPr="00033806">
        <w:rPr>
          <w:rFonts w:ascii="Cambria" w:hAnsi="Cambria"/>
          <w:sz w:val="18"/>
          <w:szCs w:val="18"/>
        </w:rPr>
        <w:t xml:space="preserve"> The </w:t>
      </w:r>
      <w:proofErr w:type="spellStart"/>
      <w:r w:rsidRPr="00033806">
        <w:rPr>
          <w:rFonts w:ascii="Cambria" w:hAnsi="Cambria"/>
          <w:sz w:val="18"/>
          <w:szCs w:val="18"/>
        </w:rPr>
        <w:t>AusPAR</w:t>
      </w:r>
      <w:proofErr w:type="spellEnd"/>
      <w:r w:rsidRPr="00033806">
        <w:rPr>
          <w:rFonts w:ascii="Cambria" w:hAnsi="Cambria"/>
          <w:sz w:val="18"/>
          <w:szCs w:val="18"/>
        </w:rPr>
        <w:t xml:space="preserve"> for this application is located at http://www.tga.gov.au/pdf/auspar/auspar-bevacizumab-120806.pdf</w:t>
      </w:r>
    </w:p>
  </w:footnote>
  <w:footnote w:id="2">
    <w:p w:rsidR="008B156F" w:rsidRPr="009A5CBD" w:rsidRDefault="008B156F" w:rsidP="00F85326">
      <w:pPr>
        <w:spacing w:after="0" w:line="240" w:lineRule="auto"/>
        <w:rPr>
          <w:sz w:val="18"/>
          <w:szCs w:val="18"/>
        </w:rPr>
      </w:pPr>
      <w:r w:rsidRPr="00033806">
        <w:rPr>
          <w:sz w:val="18"/>
          <w:szCs w:val="18"/>
          <w:vertAlign w:val="superscript"/>
        </w:rPr>
        <w:footnoteRef/>
      </w:r>
      <w:r w:rsidRPr="009A5CBD">
        <w:rPr>
          <w:sz w:val="18"/>
          <w:szCs w:val="18"/>
        </w:rPr>
        <w:t xml:space="preserve"> From the AVF4095g study report: the </w:t>
      </w:r>
      <w:proofErr w:type="spellStart"/>
      <w:r w:rsidRPr="009A5CBD">
        <w:rPr>
          <w:sz w:val="18"/>
          <w:szCs w:val="18"/>
        </w:rPr>
        <w:t>carboplatin</w:t>
      </w:r>
      <w:proofErr w:type="spellEnd"/>
      <w:r w:rsidRPr="009A5CBD">
        <w:rPr>
          <w:sz w:val="18"/>
          <w:szCs w:val="18"/>
        </w:rPr>
        <w:t xml:space="preserve"> dose was calculated to reach a target AUC of concentration multiplied by time according to the Calvert formula with use of an estimated </w:t>
      </w:r>
      <w:proofErr w:type="spellStart"/>
      <w:r w:rsidRPr="009A5CBD">
        <w:rPr>
          <w:sz w:val="18"/>
          <w:szCs w:val="18"/>
        </w:rPr>
        <w:t>glomerular</w:t>
      </w:r>
      <w:proofErr w:type="spellEnd"/>
      <w:r w:rsidRPr="009A5CBD">
        <w:rPr>
          <w:sz w:val="18"/>
          <w:szCs w:val="18"/>
        </w:rPr>
        <w:t xml:space="preserve"> filtration rate (GFR); for the purposes of this protocol, the GFR was considered to be equivalent to the </w:t>
      </w:r>
      <w:proofErr w:type="spellStart"/>
      <w:r w:rsidRPr="009A5CBD">
        <w:rPr>
          <w:sz w:val="18"/>
          <w:szCs w:val="18"/>
        </w:rPr>
        <w:t>creatinine</w:t>
      </w:r>
      <w:proofErr w:type="spellEnd"/>
      <w:r w:rsidRPr="009A5CBD">
        <w:rPr>
          <w:sz w:val="18"/>
          <w:szCs w:val="18"/>
        </w:rPr>
        <w:t xml:space="preserve"> clearance (</w:t>
      </w:r>
      <w:proofErr w:type="spellStart"/>
      <w:r w:rsidRPr="009A5CBD">
        <w:rPr>
          <w:sz w:val="18"/>
          <w:szCs w:val="18"/>
        </w:rPr>
        <w:t>CrCl</w:t>
      </w:r>
      <w:proofErr w:type="spellEnd"/>
      <w:r w:rsidRPr="009A5CBD">
        <w:rPr>
          <w:sz w:val="18"/>
          <w:szCs w:val="18"/>
        </w:rPr>
        <w:t xml:space="preserve">): Calvert Formula for </w:t>
      </w:r>
      <w:proofErr w:type="spellStart"/>
      <w:r w:rsidRPr="009A5CBD">
        <w:rPr>
          <w:sz w:val="18"/>
          <w:szCs w:val="18"/>
        </w:rPr>
        <w:t>carboplatin</w:t>
      </w:r>
      <w:proofErr w:type="spellEnd"/>
      <w:r w:rsidRPr="009A5CBD">
        <w:rPr>
          <w:sz w:val="18"/>
          <w:szCs w:val="18"/>
        </w:rPr>
        <w:t xml:space="preserve"> (AUC) dosing: Total dose (mg) mul</w:t>
      </w:r>
      <w:r>
        <w:rPr>
          <w:sz w:val="18"/>
          <w:szCs w:val="18"/>
        </w:rPr>
        <w:t>tiplied by target AUC (in mg/</w:t>
      </w:r>
      <w:proofErr w:type="spellStart"/>
      <w:r>
        <w:rPr>
          <w:sz w:val="18"/>
          <w:szCs w:val="18"/>
        </w:rPr>
        <w:t>mL</w:t>
      </w:r>
      <w:proofErr w:type="spellEnd"/>
      <w:r>
        <w:rPr>
          <w:sz w:val="18"/>
          <w:szCs w:val="18"/>
        </w:rPr>
        <w:t>/min</w:t>
      </w:r>
      <w:r w:rsidRPr="009A5CBD">
        <w:rPr>
          <w:sz w:val="18"/>
          <w:szCs w:val="18"/>
        </w:rPr>
        <w:t xml:space="preserve">) multiplied by [GFR (in </w:t>
      </w:r>
      <w:proofErr w:type="spellStart"/>
      <w:r w:rsidRPr="009A5CBD">
        <w:rPr>
          <w:sz w:val="18"/>
          <w:szCs w:val="18"/>
        </w:rPr>
        <w:t>mL</w:t>
      </w:r>
      <w:proofErr w:type="spellEnd"/>
      <w:r w:rsidRPr="009A5CBD">
        <w:rPr>
          <w:sz w:val="18"/>
          <w:szCs w:val="18"/>
        </w:rPr>
        <w:t>/minute) + 25].</w:t>
      </w:r>
    </w:p>
  </w:footnote>
  <w:footnote w:id="3">
    <w:p w:rsidR="008B156F" w:rsidRPr="002D64FB" w:rsidRDefault="008B156F" w:rsidP="00F85326">
      <w:pPr>
        <w:pStyle w:val="FootnoteText"/>
        <w:rPr>
          <w:rFonts w:ascii="Cambria" w:hAnsi="Cambria"/>
          <w:sz w:val="18"/>
          <w:szCs w:val="18"/>
        </w:rPr>
      </w:pPr>
      <w:r w:rsidRPr="002D64FB">
        <w:rPr>
          <w:rStyle w:val="FootnoteReference"/>
          <w:rFonts w:ascii="Cambria" w:hAnsi="Cambria"/>
          <w:sz w:val="18"/>
          <w:szCs w:val="18"/>
        </w:rPr>
        <w:footnoteRef/>
      </w:r>
      <w:r w:rsidRPr="002D64FB">
        <w:rPr>
          <w:rFonts w:ascii="Cambria" w:hAnsi="Cambria"/>
          <w:sz w:val="18"/>
          <w:szCs w:val="18"/>
        </w:rPr>
        <w:t xml:space="preserve"> In response, the sponsor advised that the final OS analysis is anticipated at the end of 2013 with approximately 353 deaths (73% of patients). The company commits to submit the final OS analysis, when available.</w:t>
      </w:r>
    </w:p>
  </w:footnote>
  <w:footnote w:id="4">
    <w:p w:rsidR="008B156F" w:rsidRPr="002D64FB" w:rsidRDefault="008B156F" w:rsidP="00F85326">
      <w:pPr>
        <w:pStyle w:val="FootnoteText"/>
        <w:rPr>
          <w:rFonts w:ascii="Cambria" w:hAnsi="Cambria"/>
          <w:sz w:val="18"/>
          <w:szCs w:val="18"/>
        </w:rPr>
      </w:pPr>
      <w:r w:rsidRPr="002D64FB">
        <w:rPr>
          <w:rStyle w:val="FootnoteReference"/>
          <w:rFonts w:ascii="Cambria" w:hAnsi="Cambria"/>
          <w:sz w:val="18"/>
          <w:szCs w:val="18"/>
        </w:rPr>
        <w:footnoteRef/>
      </w:r>
      <w:r w:rsidRPr="002D64FB">
        <w:rPr>
          <w:rFonts w:ascii="Cambria" w:hAnsi="Cambria"/>
          <w:sz w:val="18"/>
          <w:szCs w:val="18"/>
        </w:rPr>
        <w:t xml:space="preserve"> Eastern Cooperative Oncology Group (ECOG) status: These scales and criteria are used by doctors and researchers to assess how a patient's disease is progressing, assess how the disease affects the daily living abilities of the patient, and determine appropriate treatment and prognosis.</w:t>
      </w:r>
    </w:p>
  </w:footnote>
  <w:footnote w:id="5">
    <w:p w:rsidR="008B156F" w:rsidRPr="002D64FB" w:rsidRDefault="008B156F" w:rsidP="00F85326">
      <w:pPr>
        <w:pStyle w:val="FootnoteText"/>
        <w:rPr>
          <w:rFonts w:ascii="Cambria" w:hAnsi="Cambria"/>
          <w:sz w:val="18"/>
          <w:szCs w:val="18"/>
        </w:rPr>
      </w:pPr>
      <w:r w:rsidRPr="002D64FB">
        <w:rPr>
          <w:rStyle w:val="FootnoteReference"/>
          <w:rFonts w:ascii="Cambria" w:hAnsi="Cambria"/>
          <w:sz w:val="18"/>
          <w:szCs w:val="18"/>
        </w:rPr>
        <w:footnoteRef/>
      </w:r>
      <w:r w:rsidRPr="002D64FB">
        <w:rPr>
          <w:rFonts w:ascii="Cambria" w:hAnsi="Cambria"/>
          <w:sz w:val="18"/>
          <w:szCs w:val="18"/>
        </w:rPr>
        <w:t xml:space="preserve"> Details of PI revisions are beyond the scope of this </w:t>
      </w:r>
      <w:proofErr w:type="spellStart"/>
      <w:r w:rsidRPr="002D64FB">
        <w:rPr>
          <w:rFonts w:ascii="Cambria" w:hAnsi="Cambria"/>
          <w:sz w:val="18"/>
          <w:szCs w:val="18"/>
        </w:rPr>
        <w:t>AusPAR</w:t>
      </w:r>
      <w:proofErr w:type="spellEnd"/>
      <w:r w:rsidRPr="002D64FB">
        <w:rPr>
          <w:rFonts w:ascii="Cambria" w:hAnsi="Cambria"/>
          <w:sz w:val="18"/>
          <w:szCs w:val="18"/>
        </w:rPr>
        <w:t>.</w:t>
      </w:r>
    </w:p>
  </w:footnote>
  <w:footnote w:id="6">
    <w:p w:rsidR="008B156F" w:rsidRPr="002D64FB" w:rsidRDefault="008B156F" w:rsidP="00F85326">
      <w:pPr>
        <w:pStyle w:val="FootnoteText"/>
        <w:rPr>
          <w:rFonts w:ascii="Cambria" w:hAnsi="Cambria"/>
          <w:sz w:val="18"/>
          <w:szCs w:val="18"/>
        </w:rPr>
      </w:pPr>
      <w:r w:rsidRPr="002D64FB">
        <w:rPr>
          <w:rStyle w:val="FootnoteReference"/>
          <w:rFonts w:ascii="Cambria" w:hAnsi="Cambria"/>
          <w:sz w:val="18"/>
          <w:szCs w:val="18"/>
        </w:rPr>
        <w:footnoteRef/>
      </w:r>
      <w:r w:rsidRPr="002D64FB">
        <w:rPr>
          <w:rFonts w:ascii="Cambria" w:hAnsi="Cambria"/>
          <w:sz w:val="18"/>
          <w:szCs w:val="18"/>
        </w:rPr>
        <w:t xml:space="preserve"> This indication was </w:t>
      </w:r>
      <w:r>
        <w:rPr>
          <w:rFonts w:ascii="Cambria" w:hAnsi="Cambria"/>
          <w:sz w:val="18"/>
          <w:szCs w:val="18"/>
        </w:rPr>
        <w:t>under evaluation at the time the clinical evaluation for the current application was prepared. The application for first line treatment received TGA approval</w:t>
      </w:r>
      <w:r w:rsidRPr="002D64FB">
        <w:rPr>
          <w:rFonts w:ascii="Cambria" w:hAnsi="Cambria"/>
          <w:sz w:val="18"/>
          <w:szCs w:val="18"/>
        </w:rPr>
        <w:t xml:space="preserve"> in February 2012 </w:t>
      </w:r>
      <w:r>
        <w:rPr>
          <w:rFonts w:ascii="Cambria" w:hAnsi="Cambria"/>
          <w:sz w:val="18"/>
          <w:szCs w:val="18"/>
        </w:rPr>
        <w:t>(</w:t>
      </w:r>
      <w:proofErr w:type="spellStart"/>
      <w:r>
        <w:rPr>
          <w:rFonts w:ascii="Cambria" w:hAnsi="Cambria"/>
          <w:sz w:val="18"/>
          <w:szCs w:val="18"/>
        </w:rPr>
        <w:t>AusPAR</w:t>
      </w:r>
      <w:proofErr w:type="spellEnd"/>
      <w:r>
        <w:rPr>
          <w:rFonts w:ascii="Cambria" w:hAnsi="Cambria"/>
          <w:sz w:val="18"/>
          <w:szCs w:val="18"/>
        </w:rPr>
        <w:t xml:space="preserve"> available at </w:t>
      </w:r>
      <w:hyperlink r:id="rId1" w:history="1">
        <w:r w:rsidRPr="00EA188A">
          <w:rPr>
            <w:rStyle w:val="Hyperlink"/>
            <w:rFonts w:ascii="Cambria" w:hAnsi="Cambria"/>
            <w:sz w:val="18"/>
            <w:szCs w:val="18"/>
          </w:rPr>
          <w:t>http://www.tga.gov.au/pdf/auspar/auspar-bevacizumab-120806.pdf</w:t>
        </w:r>
      </w:hyperlink>
      <w:r>
        <w:rPr>
          <w:rFonts w:ascii="Cambria" w:hAnsi="Cambria"/>
          <w:sz w:val="18"/>
          <w:szCs w:val="18"/>
        </w:rPr>
        <w:t xml:space="preserve">) </w:t>
      </w:r>
    </w:p>
  </w:footnote>
  <w:footnote w:id="7">
    <w:p w:rsidR="008B156F" w:rsidRPr="00AF1AC2" w:rsidRDefault="008B156F" w:rsidP="00F85326">
      <w:pPr>
        <w:autoSpaceDE w:val="0"/>
        <w:autoSpaceDN w:val="0"/>
        <w:adjustRightInd w:val="0"/>
        <w:spacing w:after="0" w:line="240" w:lineRule="auto"/>
        <w:rPr>
          <w:color w:val="000000"/>
          <w:sz w:val="18"/>
          <w:szCs w:val="18"/>
        </w:rPr>
      </w:pPr>
      <w:r w:rsidRPr="00AF1AC2">
        <w:rPr>
          <w:rStyle w:val="FootnoteReference"/>
          <w:sz w:val="18"/>
          <w:szCs w:val="18"/>
        </w:rPr>
        <w:footnoteRef/>
      </w:r>
      <w:r w:rsidRPr="00AF1AC2">
        <w:rPr>
          <w:sz w:val="18"/>
          <w:szCs w:val="18"/>
        </w:rPr>
        <w:t xml:space="preserve"> </w:t>
      </w:r>
      <w:r w:rsidRPr="00AF1AC2">
        <w:rPr>
          <w:color w:val="000000"/>
          <w:sz w:val="18"/>
          <w:szCs w:val="18"/>
          <w:lang w:val="en-US"/>
        </w:rPr>
        <w:t xml:space="preserve">Routine </w:t>
      </w:r>
      <w:proofErr w:type="spellStart"/>
      <w:r w:rsidRPr="00AF1AC2">
        <w:rPr>
          <w:color w:val="000000"/>
          <w:sz w:val="18"/>
          <w:szCs w:val="18"/>
          <w:lang w:val="en-US"/>
        </w:rPr>
        <w:t>pharmacovigilance</w:t>
      </w:r>
      <w:proofErr w:type="spellEnd"/>
      <w:r w:rsidRPr="00AF1AC2">
        <w:rPr>
          <w:color w:val="000000"/>
          <w:sz w:val="18"/>
          <w:szCs w:val="18"/>
          <w:lang w:val="en-US"/>
        </w:rPr>
        <w:t xml:space="preserve"> practices involve the following activities:</w:t>
      </w:r>
    </w:p>
    <w:p w:rsidR="008B156F" w:rsidRPr="00AF1AC2" w:rsidRDefault="008B156F" w:rsidP="00F85326">
      <w:pPr>
        <w:pStyle w:val="ListBullet"/>
        <w:numPr>
          <w:ilvl w:val="0"/>
          <w:numId w:val="3"/>
        </w:numPr>
        <w:spacing w:before="0" w:after="0" w:line="240" w:lineRule="auto"/>
        <w:ind w:left="357" w:hanging="357"/>
        <w:rPr>
          <w:sz w:val="18"/>
          <w:szCs w:val="18"/>
        </w:rPr>
      </w:pPr>
      <w:r w:rsidRPr="00AF1AC2">
        <w:rPr>
          <w:sz w:val="18"/>
          <w:szCs w:val="18"/>
          <w:lang w:val="en-US"/>
        </w:rPr>
        <w:t>All suspected adverse reactions that are reported to the personnel of the company are collected and collated in an accessible manner;</w:t>
      </w:r>
    </w:p>
    <w:p w:rsidR="008B156F" w:rsidRPr="00AF1AC2" w:rsidRDefault="008B156F" w:rsidP="00F85326">
      <w:pPr>
        <w:pStyle w:val="ListBullet"/>
        <w:numPr>
          <w:ilvl w:val="0"/>
          <w:numId w:val="3"/>
        </w:numPr>
        <w:spacing w:before="0" w:after="0" w:line="240" w:lineRule="auto"/>
        <w:ind w:left="357" w:hanging="357"/>
        <w:rPr>
          <w:sz w:val="18"/>
          <w:szCs w:val="18"/>
        </w:rPr>
      </w:pPr>
      <w:r w:rsidRPr="00AF1AC2">
        <w:rPr>
          <w:sz w:val="18"/>
          <w:szCs w:val="18"/>
          <w:lang w:val="en-US"/>
        </w:rPr>
        <w:t>Reporting to regulatory authorities;</w:t>
      </w:r>
    </w:p>
    <w:p w:rsidR="008B156F" w:rsidRPr="00AF1AC2" w:rsidRDefault="008B156F" w:rsidP="00F85326">
      <w:pPr>
        <w:pStyle w:val="ListBullet"/>
        <w:numPr>
          <w:ilvl w:val="0"/>
          <w:numId w:val="3"/>
        </w:numPr>
        <w:spacing w:before="0" w:after="0" w:line="240" w:lineRule="auto"/>
        <w:ind w:left="357" w:hanging="357"/>
        <w:rPr>
          <w:sz w:val="18"/>
          <w:szCs w:val="18"/>
        </w:rPr>
      </w:pPr>
      <w:r w:rsidRPr="00AF1AC2">
        <w:rPr>
          <w:sz w:val="18"/>
          <w:szCs w:val="18"/>
          <w:lang w:val="en-US"/>
        </w:rPr>
        <w:t>Continuous monitoring of the safety profiles of approved products including signal detection and updating of labeling;</w:t>
      </w:r>
    </w:p>
    <w:p w:rsidR="008B156F" w:rsidRPr="00AF1AC2" w:rsidRDefault="008B156F" w:rsidP="00F85326">
      <w:pPr>
        <w:pStyle w:val="ListBullet"/>
        <w:numPr>
          <w:ilvl w:val="0"/>
          <w:numId w:val="3"/>
        </w:numPr>
        <w:spacing w:before="0" w:after="0" w:line="240" w:lineRule="auto"/>
        <w:ind w:left="357" w:hanging="357"/>
        <w:rPr>
          <w:sz w:val="18"/>
          <w:szCs w:val="18"/>
        </w:rPr>
      </w:pPr>
      <w:r w:rsidRPr="00AF1AC2">
        <w:rPr>
          <w:sz w:val="18"/>
          <w:szCs w:val="18"/>
          <w:lang w:val="en-US"/>
        </w:rPr>
        <w:t>Submission of PSURs;</w:t>
      </w:r>
    </w:p>
    <w:p w:rsidR="008B156F" w:rsidRPr="00AF1AC2" w:rsidRDefault="008B156F" w:rsidP="00F85326">
      <w:pPr>
        <w:pStyle w:val="ListBullet"/>
        <w:numPr>
          <w:ilvl w:val="0"/>
          <w:numId w:val="3"/>
        </w:numPr>
        <w:spacing w:before="0" w:after="0" w:line="240" w:lineRule="auto"/>
        <w:ind w:left="357" w:hanging="357"/>
        <w:rPr>
          <w:sz w:val="18"/>
          <w:szCs w:val="18"/>
        </w:rPr>
      </w:pPr>
      <w:r w:rsidRPr="00AF1AC2">
        <w:rPr>
          <w:sz w:val="18"/>
          <w:szCs w:val="18"/>
          <w:lang w:val="en-US"/>
        </w:rPr>
        <w:t>Meeting other local regulatory agency requirements.</w:t>
      </w:r>
    </w:p>
    <w:p w:rsidR="008B156F" w:rsidRPr="00AF1AC2" w:rsidRDefault="008B156F" w:rsidP="00F85326">
      <w:pPr>
        <w:pStyle w:val="FootnoteText"/>
        <w:rPr>
          <w:rFonts w:ascii="Cambria" w:hAnsi="Cambria"/>
          <w:sz w:val="18"/>
          <w:szCs w:val="18"/>
        </w:rPr>
      </w:pPr>
      <w:r w:rsidRPr="00AF1AC2">
        <w:rPr>
          <w:rFonts w:ascii="Cambria" w:hAnsi="Cambria"/>
          <w:sz w:val="18"/>
          <w:szCs w:val="18"/>
        </w:rPr>
        <w:t xml:space="preserve">See </w:t>
      </w:r>
      <w:r w:rsidRPr="00AF1AC2">
        <w:rPr>
          <w:rFonts w:ascii="Cambria" w:hAnsi="Cambria"/>
          <w:i/>
          <w:sz w:val="18"/>
          <w:szCs w:val="18"/>
        </w:rPr>
        <w:t xml:space="preserve">3.1.2 Routine </w:t>
      </w:r>
      <w:proofErr w:type="spellStart"/>
      <w:r w:rsidRPr="00AF1AC2">
        <w:rPr>
          <w:rFonts w:ascii="Cambria" w:hAnsi="Cambria"/>
          <w:i/>
          <w:sz w:val="18"/>
          <w:szCs w:val="18"/>
        </w:rPr>
        <w:t>pharmacovigilance</w:t>
      </w:r>
      <w:proofErr w:type="spellEnd"/>
      <w:r w:rsidRPr="00AF1AC2">
        <w:rPr>
          <w:rFonts w:ascii="Cambria" w:hAnsi="Cambria"/>
          <w:i/>
          <w:sz w:val="18"/>
          <w:szCs w:val="18"/>
        </w:rPr>
        <w:t xml:space="preserve"> practices, Note for Guidance on Planning </w:t>
      </w:r>
      <w:proofErr w:type="spellStart"/>
      <w:r w:rsidRPr="00AF1AC2">
        <w:rPr>
          <w:rFonts w:ascii="Cambria" w:hAnsi="Cambria"/>
          <w:i/>
          <w:sz w:val="18"/>
          <w:szCs w:val="18"/>
        </w:rPr>
        <w:t>Pharmacovigilance</w:t>
      </w:r>
      <w:proofErr w:type="spellEnd"/>
      <w:r w:rsidRPr="00AF1AC2">
        <w:rPr>
          <w:rFonts w:ascii="Cambria" w:hAnsi="Cambria"/>
          <w:i/>
          <w:sz w:val="18"/>
          <w:szCs w:val="18"/>
        </w:rPr>
        <w:t xml:space="preserve"> Activities</w:t>
      </w:r>
      <w:r w:rsidRPr="00AF1AC2">
        <w:rPr>
          <w:rFonts w:ascii="Cambria" w:hAnsi="Cambria"/>
          <w:bCs/>
          <w:i/>
          <w:sz w:val="18"/>
          <w:szCs w:val="18"/>
        </w:rPr>
        <w:t xml:space="preserve"> </w:t>
      </w:r>
      <w:r w:rsidRPr="00AF1AC2">
        <w:rPr>
          <w:rFonts w:ascii="Cambria" w:hAnsi="Cambria"/>
          <w:i/>
          <w:sz w:val="18"/>
          <w:szCs w:val="18"/>
        </w:rPr>
        <w:t>(CPMP/ICH/5716/03)</w:t>
      </w:r>
    </w:p>
  </w:footnote>
  <w:footnote w:id="8">
    <w:p w:rsidR="008B156F" w:rsidRPr="00AF1AC2" w:rsidRDefault="008B156F" w:rsidP="00F85326">
      <w:pPr>
        <w:pStyle w:val="FootnoteText"/>
        <w:rPr>
          <w:rFonts w:ascii="Cambria" w:hAnsi="Cambria"/>
          <w:sz w:val="18"/>
          <w:szCs w:val="18"/>
        </w:rPr>
      </w:pPr>
      <w:r w:rsidRPr="00AF1AC2">
        <w:rPr>
          <w:rStyle w:val="FootnoteReference"/>
          <w:rFonts w:ascii="Cambria" w:hAnsi="Cambria"/>
          <w:sz w:val="18"/>
          <w:szCs w:val="18"/>
        </w:rPr>
        <w:footnoteRef/>
      </w:r>
      <w:r w:rsidRPr="00AF1AC2">
        <w:rPr>
          <w:rFonts w:ascii="Cambria" w:hAnsi="Cambria"/>
          <w:sz w:val="18"/>
          <w:szCs w:val="18"/>
        </w:rPr>
        <w:t xml:space="preserve"> RECIST (Response Evaluation Criteria In Solid </w:t>
      </w:r>
      <w:proofErr w:type="spellStart"/>
      <w:r w:rsidRPr="00AF1AC2">
        <w:rPr>
          <w:rFonts w:ascii="Cambria" w:hAnsi="Cambria"/>
          <w:sz w:val="18"/>
          <w:szCs w:val="18"/>
        </w:rPr>
        <w:t>Tumors</w:t>
      </w:r>
      <w:proofErr w:type="spellEnd"/>
      <w:r w:rsidRPr="00AF1AC2">
        <w:rPr>
          <w:rFonts w:ascii="Cambria" w:hAnsi="Cambria"/>
          <w:sz w:val="18"/>
          <w:szCs w:val="18"/>
        </w:rPr>
        <w:t>) is a set of published rules that define</w:t>
      </w:r>
      <w:r>
        <w:rPr>
          <w:rFonts w:ascii="Cambria" w:hAnsi="Cambria"/>
          <w:sz w:val="18"/>
          <w:szCs w:val="18"/>
        </w:rPr>
        <w:t xml:space="preserve"> when cancer patients improve (“</w:t>
      </w:r>
      <w:r w:rsidRPr="00AF1AC2">
        <w:rPr>
          <w:rFonts w:ascii="Cambria" w:hAnsi="Cambria"/>
          <w:sz w:val="18"/>
          <w:szCs w:val="18"/>
        </w:rPr>
        <w:t>respond</w:t>
      </w:r>
      <w:r>
        <w:rPr>
          <w:rFonts w:ascii="Cambria" w:hAnsi="Cambria"/>
          <w:sz w:val="18"/>
          <w:szCs w:val="18"/>
        </w:rPr>
        <w:t>”</w:t>
      </w:r>
      <w:r w:rsidRPr="00AF1AC2">
        <w:rPr>
          <w:rFonts w:ascii="Cambria" w:hAnsi="Cambria"/>
          <w:sz w:val="18"/>
          <w:szCs w:val="18"/>
        </w:rPr>
        <w:t>), stay the same (</w:t>
      </w:r>
      <w:r>
        <w:rPr>
          <w:rFonts w:ascii="Cambria" w:hAnsi="Cambria"/>
          <w:sz w:val="18"/>
          <w:szCs w:val="18"/>
        </w:rPr>
        <w:t>“</w:t>
      </w:r>
      <w:r w:rsidRPr="00AF1AC2">
        <w:rPr>
          <w:rFonts w:ascii="Cambria" w:hAnsi="Cambria"/>
          <w:sz w:val="18"/>
          <w:szCs w:val="18"/>
        </w:rPr>
        <w:t>stable</w:t>
      </w:r>
      <w:r>
        <w:rPr>
          <w:rFonts w:ascii="Cambria" w:hAnsi="Cambria"/>
          <w:sz w:val="18"/>
          <w:szCs w:val="18"/>
        </w:rPr>
        <w:t>”) or worsen (“</w:t>
      </w:r>
      <w:r w:rsidRPr="00AF1AC2">
        <w:rPr>
          <w:rFonts w:ascii="Cambria" w:hAnsi="Cambria"/>
          <w:sz w:val="18"/>
          <w:szCs w:val="18"/>
        </w:rPr>
        <w:t>progression</w:t>
      </w:r>
      <w:r>
        <w:rPr>
          <w:rFonts w:ascii="Cambria" w:hAnsi="Cambria"/>
          <w:sz w:val="18"/>
          <w:szCs w:val="18"/>
        </w:rPr>
        <w:t>”</w:t>
      </w:r>
      <w:r w:rsidRPr="00AF1AC2">
        <w:rPr>
          <w:rFonts w:ascii="Cambria" w:hAnsi="Cambria"/>
          <w:sz w:val="18"/>
          <w:szCs w:val="18"/>
        </w:rPr>
        <w:t>) during treatments. The criteria were published in February, 2000 by an international collaboration including the European Organisation for Research and Treatment of Cancer (EORTC), National Cancer Institute of the United States, and the National Cancer Institute of Canada Clinical Trials Group.</w:t>
      </w:r>
    </w:p>
  </w:footnote>
  <w:footnote w:id="9">
    <w:p w:rsidR="008B156F" w:rsidRDefault="008B156F" w:rsidP="00F85326">
      <w:pPr>
        <w:pStyle w:val="FootnoteText"/>
        <w:rPr>
          <w:rFonts w:ascii="Cambria" w:hAnsi="Cambria"/>
          <w:sz w:val="18"/>
          <w:szCs w:val="18"/>
        </w:rPr>
      </w:pPr>
      <w:r w:rsidRPr="00D10353">
        <w:rPr>
          <w:rStyle w:val="FootnoteReference"/>
          <w:rFonts w:ascii="Cambria" w:hAnsi="Cambria"/>
          <w:sz w:val="18"/>
          <w:szCs w:val="18"/>
        </w:rPr>
        <w:footnoteRef/>
      </w:r>
      <w:r w:rsidRPr="00D10353">
        <w:rPr>
          <w:rFonts w:ascii="Cambria" w:hAnsi="Cambria"/>
          <w:sz w:val="18"/>
          <w:szCs w:val="18"/>
        </w:rPr>
        <w:t xml:space="preserve"> Clinical Practice Guideline</w:t>
      </w:r>
      <w:r>
        <w:rPr>
          <w:rFonts w:ascii="Cambria" w:hAnsi="Cambria"/>
          <w:sz w:val="18"/>
          <w:szCs w:val="18"/>
        </w:rPr>
        <w:t>:</w:t>
      </w:r>
      <w:r w:rsidRPr="00D10353">
        <w:t xml:space="preserve"> </w:t>
      </w:r>
      <w:r w:rsidRPr="00D10353">
        <w:rPr>
          <w:rFonts w:ascii="Cambria" w:hAnsi="Cambria"/>
          <w:sz w:val="18"/>
          <w:szCs w:val="18"/>
        </w:rPr>
        <w:t>epithelial ovarian, fallopian tube,</w:t>
      </w:r>
      <w:r>
        <w:rPr>
          <w:rFonts w:ascii="Cambria" w:hAnsi="Cambria"/>
          <w:sz w:val="18"/>
          <w:szCs w:val="18"/>
        </w:rPr>
        <w:t xml:space="preserve"> </w:t>
      </w:r>
      <w:r w:rsidRPr="00D10353">
        <w:rPr>
          <w:rFonts w:ascii="Cambria" w:hAnsi="Cambria"/>
          <w:sz w:val="18"/>
          <w:szCs w:val="18"/>
        </w:rPr>
        <w:t>and primary peritoneal cancer</w:t>
      </w:r>
      <w:r>
        <w:rPr>
          <w:rFonts w:ascii="Cambria" w:hAnsi="Cambria"/>
          <w:sz w:val="18"/>
          <w:szCs w:val="18"/>
        </w:rPr>
        <w:t xml:space="preserve">. </w:t>
      </w:r>
    </w:p>
    <w:p w:rsidR="008B156F" w:rsidRPr="00D10353" w:rsidRDefault="008B156F" w:rsidP="00F85326">
      <w:pPr>
        <w:pStyle w:val="FootnoteText"/>
        <w:rPr>
          <w:rFonts w:ascii="Cambria" w:eastAsia="MS Mincho" w:hAnsi="Cambria"/>
          <w:sz w:val="18"/>
          <w:szCs w:val="18"/>
          <w:lang w:eastAsia="ja-JP"/>
        </w:rPr>
      </w:pPr>
      <w:r>
        <w:rPr>
          <w:rFonts w:ascii="Cambria" w:hAnsi="Cambria"/>
          <w:sz w:val="18"/>
          <w:szCs w:val="18"/>
        </w:rPr>
        <w:t xml:space="preserve">Developed July 2010, by </w:t>
      </w:r>
      <w:r w:rsidRPr="00D10353">
        <w:rPr>
          <w:rFonts w:ascii="Cambria" w:hAnsi="Cambria"/>
          <w:sz w:val="18"/>
          <w:szCs w:val="18"/>
        </w:rPr>
        <w:t xml:space="preserve">consensus of the Alberta Provincial </w:t>
      </w:r>
      <w:proofErr w:type="spellStart"/>
      <w:r w:rsidRPr="00D10353">
        <w:rPr>
          <w:rFonts w:ascii="Cambria" w:hAnsi="Cambria"/>
          <w:sz w:val="18"/>
          <w:szCs w:val="18"/>
        </w:rPr>
        <w:t>Gynecologic</w:t>
      </w:r>
      <w:proofErr w:type="spellEnd"/>
      <w:r w:rsidRPr="00D10353">
        <w:rPr>
          <w:rFonts w:ascii="Cambria" w:hAnsi="Cambria"/>
          <w:sz w:val="18"/>
          <w:szCs w:val="18"/>
        </w:rPr>
        <w:t xml:space="preserve"> Oncology Tumour Team</w:t>
      </w:r>
      <w:r>
        <w:rPr>
          <w:rFonts w:ascii="Cambria" w:hAnsi="Cambria"/>
          <w:sz w:val="18"/>
          <w:szCs w:val="18"/>
        </w:rPr>
        <w:t xml:space="preserve">. </w:t>
      </w:r>
      <w:hyperlink r:id="rId2" w:history="1">
        <w:r w:rsidRPr="00D10353">
          <w:rPr>
            <w:rStyle w:val="Hyperlink"/>
            <w:rFonts w:ascii="Cambria" w:hAnsi="Cambria"/>
            <w:sz w:val="18"/>
            <w:szCs w:val="18"/>
          </w:rPr>
          <w:t>http://www.albertahealthservices.ca/hp/if-hp-cancer-guide-gyne005-epithelialovarian.pdf</w:t>
        </w:r>
      </w:hyperlink>
      <w:r w:rsidRPr="00D10353">
        <w:rPr>
          <w:rFonts w:ascii="Cambria" w:hAnsi="Cambria"/>
          <w:sz w:val="18"/>
          <w:szCs w:val="18"/>
        </w:rPr>
        <w:t>.</w:t>
      </w:r>
    </w:p>
  </w:footnote>
  <w:footnote w:id="10">
    <w:p w:rsidR="008B156F" w:rsidRPr="00D10353" w:rsidRDefault="008B156F" w:rsidP="00F85326">
      <w:pPr>
        <w:pStyle w:val="FootnoteText"/>
        <w:rPr>
          <w:rFonts w:ascii="Cambria" w:hAnsi="Cambria"/>
          <w:sz w:val="18"/>
          <w:szCs w:val="18"/>
        </w:rPr>
      </w:pPr>
      <w:r w:rsidRPr="00D10353">
        <w:rPr>
          <w:rStyle w:val="FootnoteReference"/>
          <w:rFonts w:ascii="Cambria" w:hAnsi="Cambria"/>
          <w:sz w:val="18"/>
          <w:szCs w:val="18"/>
        </w:rPr>
        <w:footnoteRef/>
      </w:r>
      <w:r w:rsidRPr="00D10353">
        <w:rPr>
          <w:rFonts w:ascii="Cambria" w:hAnsi="Cambria"/>
          <w:sz w:val="18"/>
          <w:szCs w:val="18"/>
        </w:rPr>
        <w:t xml:space="preserve"> 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C5" w:rsidRDefault="00CC51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6F" w:rsidRDefault="008B156F" w:rsidP="00E45619">
    <w:pPr>
      <w:pStyle w:val="Header"/>
    </w:pPr>
    <w:r>
      <w:t>Therapeutic Goods Administration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6F" w:rsidRDefault="008A4754">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5"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8B156F" w:rsidRDefault="00047969" w:rsidP="00593AD1">
    <w:pPr>
      <w:pStyle w:val="HeaderNoLine"/>
    </w:pPr>
    <w:r>
      <w:rPr>
        <w:noProof/>
        <w:lang w:eastAsia="en-AU"/>
      </w:rPr>
      <w:pict>
        <v:shape id="_x0000_i1025" type="#_x0000_t75" alt="Lightblue.jpg" style="width:424pt;height:601pt;visibility:visible">
          <v:imagedata r:id="rId2" o:title="Lightblu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6F" w:rsidRDefault="008B156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6F" w:rsidRDefault="008B156F">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6F" w:rsidRDefault="008B156F">
    <w:pPr>
      <w:pStyle w:val="Header"/>
    </w:pPr>
    <w:r>
      <w:t>Therapeutic Goods Administration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6F" w:rsidRDefault="008B156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6F" w:rsidRDefault="008B156F">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6F" w:rsidRDefault="008B156F" w:rsidP="006E08B3">
    <w:r>
      <w:t>Therapeutic Goods Administration</w:t>
    </w:r>
  </w:p>
  <w:p w:rsidR="008B156F" w:rsidRDefault="008B156F"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1D8C3305"/>
    <w:multiLevelType w:val="hybridMultilevel"/>
    <w:tmpl w:val="BB1EDFF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284B750E"/>
    <w:multiLevelType w:val="hybridMultilevel"/>
    <w:tmpl w:val="DB8C165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2E70362D"/>
    <w:multiLevelType w:val="hybridMultilevel"/>
    <w:tmpl w:val="D4F2BFF0"/>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2F417C7A"/>
    <w:multiLevelType w:val="hybridMultilevel"/>
    <w:tmpl w:val="80023638"/>
    <w:lvl w:ilvl="0" w:tplc="0C090001">
      <w:start w:val="1"/>
      <w:numFmt w:val="bullet"/>
      <w:lvlText w:val=""/>
      <w:lvlJc w:val="left"/>
      <w:pPr>
        <w:ind w:left="927" w:hanging="360"/>
      </w:pPr>
      <w:rPr>
        <w:rFonts w:ascii="Symbol" w:hAnsi="Symbol" w:hint="default"/>
      </w:rPr>
    </w:lvl>
    <w:lvl w:ilvl="1" w:tplc="0C090001">
      <w:start w:val="1"/>
      <w:numFmt w:val="bullet"/>
      <w:lvlText w:val=""/>
      <w:lvlJc w:val="left"/>
      <w:pPr>
        <w:ind w:left="1647" w:hanging="360"/>
      </w:pPr>
      <w:rPr>
        <w:rFonts w:ascii="Symbol" w:hAnsi="Symbol" w:hint="default"/>
      </w:rPr>
    </w:lvl>
    <w:lvl w:ilvl="2" w:tplc="0C090005">
      <w:start w:val="1"/>
      <w:numFmt w:val="bullet"/>
      <w:lvlText w:val=""/>
      <w:lvlJc w:val="left"/>
      <w:pPr>
        <w:ind w:left="2367"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2FE65043"/>
    <w:multiLevelType w:val="hybridMultilevel"/>
    <w:tmpl w:val="AAC00EC8"/>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30CC42AA"/>
    <w:multiLevelType w:val="hybridMultilevel"/>
    <w:tmpl w:val="6FEE88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433542E"/>
    <w:multiLevelType w:val="hybridMultilevel"/>
    <w:tmpl w:val="2E56FF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3C7C1FD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3C833CDF"/>
    <w:multiLevelType w:val="hybridMultilevel"/>
    <w:tmpl w:val="14D8EF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155186F"/>
    <w:multiLevelType w:val="hybridMultilevel"/>
    <w:tmpl w:val="01184B90"/>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45214AB9"/>
    <w:multiLevelType w:val="hybridMultilevel"/>
    <w:tmpl w:val="A24CD30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nsid w:val="52FF395D"/>
    <w:multiLevelType w:val="hybridMultilevel"/>
    <w:tmpl w:val="8C704D2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nsid w:val="70CE4CB3"/>
    <w:multiLevelType w:val="hybridMultilevel"/>
    <w:tmpl w:val="62FCB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37B74BF"/>
    <w:multiLevelType w:val="hybridMultilevel"/>
    <w:tmpl w:val="2B0CC2BE"/>
    <w:lvl w:ilvl="0" w:tplc="0C090019">
      <w:start w:val="1"/>
      <w:numFmt w:val="bullet"/>
      <w:lvlText w:val=""/>
      <w:lvlJc w:val="left"/>
      <w:pPr>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nsid w:val="788305D3"/>
    <w:multiLevelType w:val="hybridMultilevel"/>
    <w:tmpl w:val="4F166CF8"/>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nsid w:val="796A3221"/>
    <w:multiLevelType w:val="hybridMultilevel"/>
    <w:tmpl w:val="2CB4645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nsid w:val="7E9D2CF3"/>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5"/>
  </w:num>
  <w:num w:numId="14">
    <w:abstractNumId w:val="5"/>
  </w:num>
  <w:num w:numId="15">
    <w:abstractNumId w:val="5"/>
  </w:num>
  <w:num w:numId="16">
    <w:abstractNumId w:val="4"/>
  </w:num>
  <w:num w:numId="17">
    <w:abstractNumId w:val="4"/>
  </w:num>
  <w:num w:numId="18">
    <w:abstractNumId w:val="4"/>
  </w:num>
  <w:num w:numId="19">
    <w:abstractNumId w:val="5"/>
  </w:num>
  <w:num w:numId="20">
    <w:abstractNumId w:val="5"/>
  </w:num>
  <w:num w:numId="21">
    <w:abstractNumId w:val="5"/>
  </w:num>
  <w:num w:numId="22">
    <w:abstractNumId w:val="4"/>
  </w:num>
  <w:num w:numId="23">
    <w:abstractNumId w:val="4"/>
  </w:num>
  <w:num w:numId="24">
    <w:abstractNumId w:val="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attachedTemplate r:id="rId1"/>
  <w:stylePaneFormatFilter w:val="1008"/>
  <w:stylePaneSortMethod w:val="0000"/>
  <w:revisionView w:markup="0"/>
  <w:defaultTabStop w:val="720"/>
  <w:drawingGridHorizontalSpacing w:val="110"/>
  <w:displayHorizontalDrawingGridEvery w:val="2"/>
  <w:characterSpacingControl w:val="doNotCompress"/>
  <w:hdrShapeDefaults>
    <o:shapedefaults v:ext="edit" spidmax="47107">
      <o:colormenu v:ext="edit" fillcolor="none [3206]"/>
    </o:shapedefaults>
    <o:shapelayout v:ext="edit">
      <o:idmap v:ext="edit" data="46"/>
    </o:shapelayout>
  </w:hdrShapeDefaults>
  <w:footnotePr>
    <w:footnote w:id="-1"/>
    <w:footnote w:id="0"/>
  </w:footnotePr>
  <w:endnotePr>
    <w:endnote w:id="-1"/>
    <w:endnote w:id="0"/>
  </w:endnotePr>
  <w:compat/>
  <w:rsids>
    <w:rsidRoot w:val="00F85326"/>
    <w:rsid w:val="00002031"/>
    <w:rsid w:val="00004734"/>
    <w:rsid w:val="00006B22"/>
    <w:rsid w:val="000125CC"/>
    <w:rsid w:val="0001276A"/>
    <w:rsid w:val="000246AE"/>
    <w:rsid w:val="00025C67"/>
    <w:rsid w:val="00047969"/>
    <w:rsid w:val="0005559E"/>
    <w:rsid w:val="00077775"/>
    <w:rsid w:val="00090471"/>
    <w:rsid w:val="000977F6"/>
    <w:rsid w:val="000B3532"/>
    <w:rsid w:val="000B3A75"/>
    <w:rsid w:val="000C2F96"/>
    <w:rsid w:val="000C690F"/>
    <w:rsid w:val="000D1295"/>
    <w:rsid w:val="000D391B"/>
    <w:rsid w:val="000D3D6D"/>
    <w:rsid w:val="000D4FC7"/>
    <w:rsid w:val="000F4869"/>
    <w:rsid w:val="000F5B42"/>
    <w:rsid w:val="000F6E6F"/>
    <w:rsid w:val="0010601F"/>
    <w:rsid w:val="0010788A"/>
    <w:rsid w:val="00107A31"/>
    <w:rsid w:val="00110EA5"/>
    <w:rsid w:val="00112F56"/>
    <w:rsid w:val="00114C7E"/>
    <w:rsid w:val="00125318"/>
    <w:rsid w:val="001305A2"/>
    <w:rsid w:val="00133238"/>
    <w:rsid w:val="0014197B"/>
    <w:rsid w:val="001447CD"/>
    <w:rsid w:val="001516B1"/>
    <w:rsid w:val="00154EBB"/>
    <w:rsid w:val="00156316"/>
    <w:rsid w:val="00165389"/>
    <w:rsid w:val="0017693F"/>
    <w:rsid w:val="0018110E"/>
    <w:rsid w:val="00181684"/>
    <w:rsid w:val="001843C6"/>
    <w:rsid w:val="001850E0"/>
    <w:rsid w:val="001A2158"/>
    <w:rsid w:val="001A525F"/>
    <w:rsid w:val="001B09F9"/>
    <w:rsid w:val="001B6448"/>
    <w:rsid w:val="001E07CF"/>
    <w:rsid w:val="001E59F1"/>
    <w:rsid w:val="001F49EB"/>
    <w:rsid w:val="001F6CBA"/>
    <w:rsid w:val="00201D4E"/>
    <w:rsid w:val="00220B8A"/>
    <w:rsid w:val="002257F3"/>
    <w:rsid w:val="00233456"/>
    <w:rsid w:val="002339A5"/>
    <w:rsid w:val="00257848"/>
    <w:rsid w:val="0027084A"/>
    <w:rsid w:val="002821DC"/>
    <w:rsid w:val="00286434"/>
    <w:rsid w:val="00286C59"/>
    <w:rsid w:val="002942D1"/>
    <w:rsid w:val="0029501A"/>
    <w:rsid w:val="002B1638"/>
    <w:rsid w:val="002B6D6F"/>
    <w:rsid w:val="002E4C9A"/>
    <w:rsid w:val="002E5D15"/>
    <w:rsid w:val="002F11F8"/>
    <w:rsid w:val="002F3F56"/>
    <w:rsid w:val="002F44B5"/>
    <w:rsid w:val="00311AC0"/>
    <w:rsid w:val="0032583B"/>
    <w:rsid w:val="00327883"/>
    <w:rsid w:val="00335504"/>
    <w:rsid w:val="003521E8"/>
    <w:rsid w:val="003728F3"/>
    <w:rsid w:val="0037496E"/>
    <w:rsid w:val="00386150"/>
    <w:rsid w:val="003874CE"/>
    <w:rsid w:val="00390900"/>
    <w:rsid w:val="00391517"/>
    <w:rsid w:val="003A7F6C"/>
    <w:rsid w:val="003B4D60"/>
    <w:rsid w:val="003B7E39"/>
    <w:rsid w:val="003C58DC"/>
    <w:rsid w:val="003D1E62"/>
    <w:rsid w:val="003E2486"/>
    <w:rsid w:val="003E3208"/>
    <w:rsid w:val="003F0B04"/>
    <w:rsid w:val="0040134E"/>
    <w:rsid w:val="00430708"/>
    <w:rsid w:val="00440A2D"/>
    <w:rsid w:val="004564A7"/>
    <w:rsid w:val="004617BF"/>
    <w:rsid w:val="00463658"/>
    <w:rsid w:val="004722CC"/>
    <w:rsid w:val="004936E4"/>
    <w:rsid w:val="00494E60"/>
    <w:rsid w:val="00497487"/>
    <w:rsid w:val="004B7B76"/>
    <w:rsid w:val="004C2DCA"/>
    <w:rsid w:val="004F0F38"/>
    <w:rsid w:val="00501921"/>
    <w:rsid w:val="00530354"/>
    <w:rsid w:val="0053625B"/>
    <w:rsid w:val="005434C6"/>
    <w:rsid w:val="00543B39"/>
    <w:rsid w:val="00550096"/>
    <w:rsid w:val="00557FF9"/>
    <w:rsid w:val="00576378"/>
    <w:rsid w:val="00577945"/>
    <w:rsid w:val="00577E38"/>
    <w:rsid w:val="00585322"/>
    <w:rsid w:val="005857C6"/>
    <w:rsid w:val="00592F6E"/>
    <w:rsid w:val="00593AD1"/>
    <w:rsid w:val="005A68B6"/>
    <w:rsid w:val="005C5570"/>
    <w:rsid w:val="005C79A4"/>
    <w:rsid w:val="005D5442"/>
    <w:rsid w:val="0060248A"/>
    <w:rsid w:val="00603F32"/>
    <w:rsid w:val="00632398"/>
    <w:rsid w:val="00640FC3"/>
    <w:rsid w:val="00642020"/>
    <w:rsid w:val="0065337B"/>
    <w:rsid w:val="0065419D"/>
    <w:rsid w:val="006604D8"/>
    <w:rsid w:val="00664A5B"/>
    <w:rsid w:val="006763D2"/>
    <w:rsid w:val="00680C08"/>
    <w:rsid w:val="006931B1"/>
    <w:rsid w:val="006A15C0"/>
    <w:rsid w:val="006C3E2A"/>
    <w:rsid w:val="006C642F"/>
    <w:rsid w:val="006D03E5"/>
    <w:rsid w:val="006D5D3E"/>
    <w:rsid w:val="006E08B3"/>
    <w:rsid w:val="006F17AC"/>
    <w:rsid w:val="006F572E"/>
    <w:rsid w:val="007046D6"/>
    <w:rsid w:val="00705DB0"/>
    <w:rsid w:val="00722B57"/>
    <w:rsid w:val="0074253D"/>
    <w:rsid w:val="0074429B"/>
    <w:rsid w:val="007615BC"/>
    <w:rsid w:val="00762F05"/>
    <w:rsid w:val="007652FF"/>
    <w:rsid w:val="00770EF1"/>
    <w:rsid w:val="00773EF7"/>
    <w:rsid w:val="00774E1D"/>
    <w:rsid w:val="0077675A"/>
    <w:rsid w:val="00780355"/>
    <w:rsid w:val="00785721"/>
    <w:rsid w:val="00793A59"/>
    <w:rsid w:val="007B6E9F"/>
    <w:rsid w:val="007C1216"/>
    <w:rsid w:val="007C1AF7"/>
    <w:rsid w:val="00805D27"/>
    <w:rsid w:val="00821776"/>
    <w:rsid w:val="008321F5"/>
    <w:rsid w:val="00832369"/>
    <w:rsid w:val="0083259E"/>
    <w:rsid w:val="00834660"/>
    <w:rsid w:val="00836BC2"/>
    <w:rsid w:val="0085641B"/>
    <w:rsid w:val="00857136"/>
    <w:rsid w:val="00881827"/>
    <w:rsid w:val="00886D15"/>
    <w:rsid w:val="00887DD8"/>
    <w:rsid w:val="00896018"/>
    <w:rsid w:val="008960DD"/>
    <w:rsid w:val="0089635C"/>
    <w:rsid w:val="008A2B9D"/>
    <w:rsid w:val="008A4754"/>
    <w:rsid w:val="008A5E0B"/>
    <w:rsid w:val="008A6D59"/>
    <w:rsid w:val="008B156F"/>
    <w:rsid w:val="008B4B03"/>
    <w:rsid w:val="008B596F"/>
    <w:rsid w:val="008C159F"/>
    <w:rsid w:val="008C1623"/>
    <w:rsid w:val="008C1850"/>
    <w:rsid w:val="008C51A9"/>
    <w:rsid w:val="008E7846"/>
    <w:rsid w:val="008F1CCC"/>
    <w:rsid w:val="008F2967"/>
    <w:rsid w:val="008F6943"/>
    <w:rsid w:val="00902A21"/>
    <w:rsid w:val="00920330"/>
    <w:rsid w:val="009219D7"/>
    <w:rsid w:val="00922D53"/>
    <w:rsid w:val="00923B70"/>
    <w:rsid w:val="00924482"/>
    <w:rsid w:val="00930237"/>
    <w:rsid w:val="00946EA5"/>
    <w:rsid w:val="00963C08"/>
    <w:rsid w:val="0098585A"/>
    <w:rsid w:val="009A4CED"/>
    <w:rsid w:val="009A690D"/>
    <w:rsid w:val="009B1D12"/>
    <w:rsid w:val="009B416B"/>
    <w:rsid w:val="009C4BD5"/>
    <w:rsid w:val="009D7B77"/>
    <w:rsid w:val="009E0BB0"/>
    <w:rsid w:val="009E3FBB"/>
    <w:rsid w:val="00A102E4"/>
    <w:rsid w:val="00A12C42"/>
    <w:rsid w:val="00A14DF7"/>
    <w:rsid w:val="00A30B06"/>
    <w:rsid w:val="00A3246D"/>
    <w:rsid w:val="00A36FA7"/>
    <w:rsid w:val="00A475B7"/>
    <w:rsid w:val="00A47AF7"/>
    <w:rsid w:val="00A47C3E"/>
    <w:rsid w:val="00A50226"/>
    <w:rsid w:val="00A60BAD"/>
    <w:rsid w:val="00A964D1"/>
    <w:rsid w:val="00AA0ED0"/>
    <w:rsid w:val="00AC2B40"/>
    <w:rsid w:val="00AC2BB2"/>
    <w:rsid w:val="00AC2C3C"/>
    <w:rsid w:val="00AC512D"/>
    <w:rsid w:val="00AE5475"/>
    <w:rsid w:val="00AE65EB"/>
    <w:rsid w:val="00AE67A7"/>
    <w:rsid w:val="00AF1D94"/>
    <w:rsid w:val="00AF60C5"/>
    <w:rsid w:val="00B009C6"/>
    <w:rsid w:val="00B01548"/>
    <w:rsid w:val="00B21D29"/>
    <w:rsid w:val="00B25034"/>
    <w:rsid w:val="00B33588"/>
    <w:rsid w:val="00B33863"/>
    <w:rsid w:val="00B37D17"/>
    <w:rsid w:val="00B4175E"/>
    <w:rsid w:val="00B44526"/>
    <w:rsid w:val="00B452CE"/>
    <w:rsid w:val="00B54C25"/>
    <w:rsid w:val="00B76B91"/>
    <w:rsid w:val="00B77EB1"/>
    <w:rsid w:val="00B811C6"/>
    <w:rsid w:val="00B92E08"/>
    <w:rsid w:val="00BC622A"/>
    <w:rsid w:val="00BE0A78"/>
    <w:rsid w:val="00BE79F0"/>
    <w:rsid w:val="00BF046D"/>
    <w:rsid w:val="00BF1190"/>
    <w:rsid w:val="00BF5D04"/>
    <w:rsid w:val="00C1164D"/>
    <w:rsid w:val="00C16861"/>
    <w:rsid w:val="00C31BFF"/>
    <w:rsid w:val="00C404A6"/>
    <w:rsid w:val="00C40A36"/>
    <w:rsid w:val="00C44419"/>
    <w:rsid w:val="00C45E7B"/>
    <w:rsid w:val="00C471B1"/>
    <w:rsid w:val="00C57FB2"/>
    <w:rsid w:val="00C6316B"/>
    <w:rsid w:val="00C634A9"/>
    <w:rsid w:val="00C64586"/>
    <w:rsid w:val="00C70D53"/>
    <w:rsid w:val="00C73D0B"/>
    <w:rsid w:val="00C772FF"/>
    <w:rsid w:val="00C801AF"/>
    <w:rsid w:val="00C80256"/>
    <w:rsid w:val="00CB6BC0"/>
    <w:rsid w:val="00CC1B7C"/>
    <w:rsid w:val="00CC51C5"/>
    <w:rsid w:val="00CC727F"/>
    <w:rsid w:val="00CE7BAC"/>
    <w:rsid w:val="00CF15C3"/>
    <w:rsid w:val="00CF2B6F"/>
    <w:rsid w:val="00CF58B6"/>
    <w:rsid w:val="00D017ED"/>
    <w:rsid w:val="00D040D3"/>
    <w:rsid w:val="00D04C65"/>
    <w:rsid w:val="00D224FE"/>
    <w:rsid w:val="00D6493E"/>
    <w:rsid w:val="00D7301E"/>
    <w:rsid w:val="00D83AE1"/>
    <w:rsid w:val="00D855D4"/>
    <w:rsid w:val="00D93466"/>
    <w:rsid w:val="00DA1124"/>
    <w:rsid w:val="00DB75B7"/>
    <w:rsid w:val="00DC6E02"/>
    <w:rsid w:val="00DE02AE"/>
    <w:rsid w:val="00DF1D7F"/>
    <w:rsid w:val="00DF488F"/>
    <w:rsid w:val="00DF4BE4"/>
    <w:rsid w:val="00E02FB4"/>
    <w:rsid w:val="00E20571"/>
    <w:rsid w:val="00E235F7"/>
    <w:rsid w:val="00E23659"/>
    <w:rsid w:val="00E239D4"/>
    <w:rsid w:val="00E26130"/>
    <w:rsid w:val="00E40B22"/>
    <w:rsid w:val="00E45619"/>
    <w:rsid w:val="00E4588F"/>
    <w:rsid w:val="00E46DA3"/>
    <w:rsid w:val="00E51BB1"/>
    <w:rsid w:val="00E624A5"/>
    <w:rsid w:val="00E7344E"/>
    <w:rsid w:val="00EA16E2"/>
    <w:rsid w:val="00EB0798"/>
    <w:rsid w:val="00EB40AD"/>
    <w:rsid w:val="00EB586E"/>
    <w:rsid w:val="00EB5FC8"/>
    <w:rsid w:val="00ED3CAD"/>
    <w:rsid w:val="00ED5A41"/>
    <w:rsid w:val="00EE1DE8"/>
    <w:rsid w:val="00F033EC"/>
    <w:rsid w:val="00F04F68"/>
    <w:rsid w:val="00F12670"/>
    <w:rsid w:val="00F14B27"/>
    <w:rsid w:val="00F3148D"/>
    <w:rsid w:val="00F325C5"/>
    <w:rsid w:val="00F32FE0"/>
    <w:rsid w:val="00F35298"/>
    <w:rsid w:val="00F47333"/>
    <w:rsid w:val="00F47E37"/>
    <w:rsid w:val="00F53C07"/>
    <w:rsid w:val="00F54B65"/>
    <w:rsid w:val="00F640B6"/>
    <w:rsid w:val="00F80E40"/>
    <w:rsid w:val="00F848D9"/>
    <w:rsid w:val="00F85326"/>
    <w:rsid w:val="00FA5B82"/>
    <w:rsid w:val="00FA639E"/>
    <w:rsid w:val="00FC25E4"/>
    <w:rsid w:val="00FC4EF7"/>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7">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nhideWhenUsed="0"/>
    <w:lsdException w:name="footer" w:semiHidden="0" w:unhideWhenUsed="0"/>
    <w:lsdException w:name="caption" w:semiHidden="0" w:uiPriority="0" w:unhideWhenUsed="0" w:qFormat="1"/>
    <w:lsdException w:name="footnote reference" w:uiPriority="0"/>
    <w:lsdException w:name="annotation reference" w:uiPriority="0"/>
    <w:lsdException w:name="List Bullet" w:semiHidden="0" w:unhideWhenUsed="0" w:qFormat="1"/>
    <w:lsdException w:name="List Bullet 2" w:semiHidden="0" w:unhideWhenUsed="0" w:qFormat="1"/>
    <w:lsdException w:name="List Bullet 3" w:qFormat="1"/>
    <w:lsdException w:name="Title" w:semiHidden="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30B06"/>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4722CC"/>
    <w:pPr>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qFormat/>
    <w:rsid w:val="004722CC"/>
    <w:pPr>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4722CC"/>
    <w:pPr>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uiPriority w:val="99"/>
    <w:qFormat/>
    <w:rsid w:val="00E45619"/>
    <w:pPr>
      <w:spacing w:before="0" w:after="0" w:line="280" w:lineRule="atLeast"/>
      <w:jc w:val="center"/>
    </w:pPr>
  </w:style>
  <w:style w:type="paragraph" w:customStyle="1" w:styleId="AxisLabel">
    <w:name w:val="Axis Label"/>
    <w:basedOn w:val="Normal"/>
    <w:uiPriority w:val="99"/>
    <w:qFormat/>
    <w:rsid w:val="00F3148D"/>
    <w:pPr>
      <w:spacing w:after="0" w:line="240" w:lineRule="auto"/>
    </w:pPr>
    <w:rPr>
      <w:rFonts w:ascii="Arial" w:hAnsi="Arial"/>
      <w:noProof/>
      <w:sz w:val="14"/>
      <w:lang w:eastAsia="en-AU"/>
    </w:rPr>
  </w:style>
  <w:style w:type="paragraph" w:customStyle="1" w:styleId="AxisTitle">
    <w:name w:val="Axis Title"/>
    <w:basedOn w:val="Normal"/>
    <w:uiPriority w:val="99"/>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uiPriority w:val="99"/>
    <w:rsid w:val="003B4D60"/>
    <w:pPr>
      <w:spacing w:before="0" w:after="0"/>
    </w:pPr>
    <w:rPr>
      <w:rFonts w:ascii="Arial" w:hAnsi="Arial"/>
      <w:b/>
      <w:sz w:val="48"/>
    </w:rPr>
  </w:style>
  <w:style w:type="paragraph" w:styleId="Date">
    <w:name w:val="Date"/>
    <w:basedOn w:val="Normal"/>
    <w:next w:val="Normal"/>
    <w:link w:val="DateChar"/>
    <w:uiPriority w:val="99"/>
    <w:rsid w:val="00CC51C5"/>
    <w:pPr>
      <w:framePr w:hSpace="180" w:wrap="around" w:vAnchor="text" w:hAnchor="margin" w:y="9863"/>
      <w:suppressOverlap/>
    </w:pPr>
    <w:rPr>
      <w:rFonts w:ascii="Arial" w:hAnsi="Arial" w:cs="Arial"/>
      <w:b/>
      <w:color w:val="002C47"/>
      <w:sz w:val="36"/>
      <w:szCs w:val="36"/>
    </w:rPr>
  </w:style>
  <w:style w:type="character" w:customStyle="1" w:styleId="DateChar">
    <w:name w:val="Date Char"/>
    <w:basedOn w:val="DefaultParagraphFont"/>
    <w:link w:val="Date"/>
    <w:uiPriority w:val="99"/>
    <w:rsid w:val="00CC51C5"/>
    <w:rPr>
      <w:rFonts w:ascii="Arial" w:eastAsia="Cambria" w:hAnsi="Arial" w:cs="Arial"/>
      <w:b/>
      <w:color w:val="002C47"/>
      <w:sz w:val="36"/>
      <w:szCs w:val="36"/>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29501A"/>
    <w:rPr>
      <w:rFonts w:ascii="Cambria" w:eastAsia="Cambria" w:hAnsi="Cambria" w:cs="Times New Roman"/>
      <w:b/>
      <w:bCs/>
      <w:szCs w:val="21"/>
    </w:rPr>
  </w:style>
  <w:style w:type="paragraph" w:customStyle="1" w:styleId="FlowChartWhiteHeading">
    <w:name w:val="Flow Chart White Heading"/>
    <w:basedOn w:val="Normal"/>
    <w:uiPriority w:val="99"/>
    <w:rsid w:val="00F3148D"/>
    <w:pPr>
      <w:spacing w:after="0"/>
      <w:jc w:val="center"/>
    </w:pPr>
    <w:rPr>
      <w:b/>
      <w:color w:val="FFFFFF"/>
    </w:rPr>
  </w:style>
  <w:style w:type="paragraph" w:customStyle="1" w:styleId="FlowChartBlackHeading">
    <w:name w:val="Flow Chart Black Heading"/>
    <w:basedOn w:val="FlowChartWhiteHeading"/>
    <w:uiPriority w:val="99"/>
    <w:rsid w:val="00F3148D"/>
    <w:rPr>
      <w:color w:val="auto"/>
    </w:rPr>
  </w:style>
  <w:style w:type="paragraph" w:customStyle="1" w:styleId="FlowChartWhiteText">
    <w:name w:val="Flow Chart White Text"/>
    <w:basedOn w:val="Normal"/>
    <w:uiPriority w:val="99"/>
    <w:rsid w:val="00F3148D"/>
    <w:pPr>
      <w:spacing w:after="0"/>
      <w:jc w:val="center"/>
    </w:pPr>
    <w:rPr>
      <w:color w:val="FFFFFF"/>
    </w:rPr>
  </w:style>
  <w:style w:type="paragraph" w:customStyle="1" w:styleId="FlowchartText">
    <w:name w:val="Flowchart Text"/>
    <w:basedOn w:val="Normal"/>
    <w:uiPriority w:val="99"/>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uiPriority w:val="99"/>
    <w:rsid w:val="00F3148D"/>
    <w:pPr>
      <w:pBdr>
        <w:bottom w:val="none" w:sz="0" w:space="0" w:color="auto"/>
      </w:pBdr>
      <w:jc w:val="left"/>
    </w:pPr>
  </w:style>
  <w:style w:type="character" w:customStyle="1" w:styleId="Heading5Char">
    <w:name w:val="Heading 5 Char"/>
    <w:basedOn w:val="DefaultParagraphFont"/>
    <w:link w:val="Heading5"/>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rsid w:val="008960DD"/>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8960DD"/>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uiPriority w:val="99"/>
    <w:qFormat/>
    <w:rsid w:val="00F3148D"/>
    <w:rPr>
      <w:sz w:val="14"/>
    </w:rPr>
  </w:style>
  <w:style w:type="paragraph" w:customStyle="1" w:styleId="LegalCopy">
    <w:name w:val="Legal Copy"/>
    <w:basedOn w:val="Footer"/>
    <w:uiPriority w:val="99"/>
    <w:qFormat/>
    <w:rsid w:val="00F3148D"/>
  </w:style>
  <w:style w:type="paragraph" w:customStyle="1" w:styleId="LegalSubheading">
    <w:name w:val="Legal Subheading"/>
    <w:basedOn w:val="Footer"/>
    <w:uiPriority w:val="99"/>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uiPriority w:val="99"/>
    <w:qFormat/>
    <w:rsid w:val="006763D2"/>
    <w:pPr>
      <w:spacing w:before="240"/>
    </w:pPr>
    <w:rPr>
      <w:rFonts w:ascii="Arial" w:hAnsi="Arial"/>
      <w:b/>
      <w:sz w:val="32"/>
    </w:rPr>
  </w:style>
  <w:style w:type="paragraph" w:customStyle="1" w:styleId="Notes">
    <w:name w:val="Notes"/>
    <w:basedOn w:val="Normal"/>
    <w:uiPriority w:val="99"/>
    <w:qFormat/>
    <w:locked/>
    <w:rsid w:val="00F3148D"/>
    <w:pPr>
      <w:spacing w:after="0" w:line="240" w:lineRule="auto"/>
    </w:pPr>
    <w:rPr>
      <w:rFonts w:ascii="Arial" w:hAnsi="Arial"/>
      <w:sz w:val="16"/>
    </w:rPr>
  </w:style>
  <w:style w:type="paragraph" w:customStyle="1" w:styleId="Numberbullet0">
    <w:name w:val="Number bullet"/>
    <w:basedOn w:val="ListBullet"/>
    <w:uiPriority w:val="99"/>
    <w:qFormat/>
    <w:rsid w:val="004C2DCA"/>
    <w:pPr>
      <w:numPr>
        <w:numId w:val="24"/>
      </w:numPr>
    </w:pPr>
  </w:style>
  <w:style w:type="paragraph" w:customStyle="1" w:styleId="Numberbullet2">
    <w:name w:val="Number bullet 2"/>
    <w:basedOn w:val="ListBullet2"/>
    <w:uiPriority w:val="99"/>
    <w:qFormat/>
    <w:rsid w:val="004C2DCA"/>
    <w:pPr>
      <w:numPr>
        <w:numId w:val="24"/>
      </w:numPr>
    </w:pPr>
  </w:style>
  <w:style w:type="paragraph" w:customStyle="1" w:styleId="Numberbullet3">
    <w:name w:val="Number bullet 3"/>
    <w:basedOn w:val="ListBullet3"/>
    <w:uiPriority w:val="99"/>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uiPriority w:val="99"/>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uiPriority w:val="99"/>
    <w:qFormat/>
    <w:rsid w:val="00F3148D"/>
    <w:rPr>
      <w:b/>
      <w:sz w:val="19"/>
    </w:r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A16E2"/>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uiPriority w:val="99"/>
    <w:qFormat/>
    <w:rsid w:val="00770EF1"/>
    <w:pPr>
      <w:keepNext/>
    </w:pPr>
    <w:rPr>
      <w:b/>
      <w:sz w:val="20"/>
    </w:rPr>
  </w:style>
  <w:style w:type="paragraph" w:customStyle="1" w:styleId="TGASignoff">
    <w:name w:val="TGA Signoff"/>
    <w:basedOn w:val="Normal"/>
    <w:uiPriority w:val="99"/>
    <w:qFormat/>
    <w:rsid w:val="00F3148D"/>
    <w:pPr>
      <w:jc w:val="center"/>
    </w:pPr>
    <w:rPr>
      <w:rFonts w:ascii="Arial" w:hAnsi="Arial"/>
      <w:b/>
      <w:sz w:val="28"/>
    </w:rPr>
  </w:style>
  <w:style w:type="paragraph" w:styleId="Title">
    <w:name w:val="Title"/>
    <w:next w:val="Normal"/>
    <w:link w:val="TitleChar"/>
    <w:uiPriority w:val="99"/>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numbering" w:customStyle="1" w:styleId="NoList1">
    <w:name w:val="No List1"/>
    <w:next w:val="NoList"/>
    <w:uiPriority w:val="99"/>
    <w:semiHidden/>
    <w:unhideWhenUsed/>
    <w:rsid w:val="00F85326"/>
  </w:style>
  <w:style w:type="table" w:customStyle="1" w:styleId="TableGrid1">
    <w:name w:val="Table Grid1"/>
    <w:basedOn w:val="TableNormal"/>
    <w:next w:val="TableGrid"/>
    <w:rsid w:val="00F85326"/>
    <w:pPr>
      <w:spacing w:after="0" w:line="240" w:lineRule="auto"/>
    </w:pPr>
    <w:rPr>
      <w:rFonts w:ascii="Cambria" w:eastAsia="Cambria" w:hAnsi="Cambria"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Caption">
    <w:name w:val="Figure Caption"/>
    <w:basedOn w:val="Normal"/>
    <w:qFormat/>
    <w:rsid w:val="00F85326"/>
    <w:pPr>
      <w:spacing w:before="0" w:after="0"/>
    </w:pPr>
  </w:style>
  <w:style w:type="table" w:customStyle="1" w:styleId="TableTGA1">
    <w:name w:val="Table_TGA_1"/>
    <w:basedOn w:val="TableNormal"/>
    <w:uiPriority w:val="99"/>
    <w:rsid w:val="00F85326"/>
    <w:pPr>
      <w:spacing w:after="0" w:line="240" w:lineRule="auto"/>
    </w:pPr>
    <w:rPr>
      <w:rFonts w:ascii="Minion Pro" w:eastAsia="Cambria" w:hAnsi="Minion Pro" w:cs="Times New Roman"/>
      <w:sz w:val="20"/>
      <w:szCs w:val="20"/>
      <w:lang w:eastAsia="en-AU"/>
    </w:rPr>
    <w:tblPr>
      <w:tblInd w:w="113"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113" w:type="dxa"/>
        <w:left w:w="108" w:type="dxa"/>
        <w:bottom w:w="57" w:type="dxa"/>
        <w:right w:w="108" w:type="dxa"/>
      </w:tblCellMar>
    </w:tblPr>
    <w:tblStylePr w:type="firstRow">
      <w:pPr>
        <w:wordWrap/>
        <w:spacing w:beforeLines="0" w:beforeAutospacing="0" w:afterLines="0" w:afterAutospacing="0" w:line="240" w:lineRule="auto"/>
      </w:pPr>
      <w:rPr>
        <w:rFonts w:ascii="Tahoma" w:hAnsi="Tahoma"/>
        <w:b/>
        <w:color w:val="FFFFFF"/>
        <w:sz w:val="20"/>
      </w:rPr>
      <w:tblPr/>
      <w:trPr>
        <w:cantSplit/>
        <w:tblHeader/>
      </w:trPr>
      <w:tcPr>
        <w:tcBorders>
          <w:top w:val="single" w:sz="4" w:space="0" w:color="002C47"/>
          <w:left w:val="single" w:sz="4" w:space="0" w:color="002C47"/>
          <w:bottom w:val="single" w:sz="4" w:space="0" w:color="002C47"/>
          <w:right w:val="single" w:sz="4" w:space="0" w:color="002C47"/>
          <w:insideH w:val="nil"/>
          <w:insideV w:val="nil"/>
          <w:tl2br w:val="nil"/>
          <w:tr2bl w:val="nil"/>
        </w:tcBorders>
        <w:shd w:val="clear" w:color="auto" w:fill="006DA7"/>
      </w:tcPr>
    </w:tblStylePr>
  </w:style>
  <w:style w:type="paragraph" w:customStyle="1" w:styleId="TableCaption">
    <w:name w:val="Table Caption"/>
    <w:basedOn w:val="FigureCaption"/>
    <w:link w:val="TableCaptionChar"/>
    <w:qFormat/>
    <w:rsid w:val="00F85326"/>
  </w:style>
  <w:style w:type="table" w:customStyle="1" w:styleId="TableTGA2">
    <w:name w:val="Table_TGA_2"/>
    <w:basedOn w:val="TableNormal"/>
    <w:uiPriority w:val="99"/>
    <w:qFormat/>
    <w:rsid w:val="00F85326"/>
    <w:pPr>
      <w:spacing w:after="0" w:line="240" w:lineRule="auto"/>
    </w:pPr>
    <w:rPr>
      <w:rFonts w:ascii="Cambria" w:eastAsia="Cambria" w:hAnsi="Cambria" w:cs="Times New Roman"/>
      <w:sz w:val="20"/>
      <w:szCs w:val="20"/>
      <w:lang w:eastAsia="en-AU"/>
    </w:rPr>
    <w:tblP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108" w:type="dxa"/>
        <w:bottom w:w="0" w:type="dxa"/>
        <w:right w:w="108" w:type="dxa"/>
      </w:tblCellMar>
    </w:tblPr>
    <w:tblStylePr w:type="firstRow">
      <w:rPr>
        <w:rFonts w:ascii="Cambria" w:hAnsi="Cambria"/>
        <w:b/>
        <w:color w:val="FFFFFF"/>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0000"/>
      </w:tcPr>
    </w:tblStylePr>
  </w:style>
  <w:style w:type="numbering" w:customStyle="1" w:styleId="ListBullets1">
    <w:name w:val="ListBullets1"/>
    <w:uiPriority w:val="99"/>
    <w:rsid w:val="00F85326"/>
  </w:style>
  <w:style w:type="numbering" w:customStyle="1" w:styleId="NumberBullet1">
    <w:name w:val="NumberBullet1"/>
    <w:uiPriority w:val="99"/>
    <w:rsid w:val="00F85326"/>
  </w:style>
  <w:style w:type="paragraph" w:styleId="ListParagraph">
    <w:name w:val="List Paragraph"/>
    <w:basedOn w:val="Normal"/>
    <w:uiPriority w:val="34"/>
    <w:qFormat/>
    <w:rsid w:val="00F85326"/>
    <w:pPr>
      <w:adjustRightInd w:val="0"/>
      <w:snapToGrid w:val="0"/>
      <w:spacing w:before="0" w:after="0"/>
      <w:ind w:left="720"/>
      <w:contextualSpacing/>
    </w:pPr>
    <w:rPr>
      <w:rFonts w:eastAsia="MS Mincho"/>
      <w:szCs w:val="20"/>
      <w:lang w:eastAsia="ja-JP"/>
    </w:rPr>
  </w:style>
  <w:style w:type="paragraph" w:customStyle="1" w:styleId="Abbreviations">
    <w:name w:val="Abbreviations"/>
    <w:basedOn w:val="Normal"/>
    <w:rsid w:val="00F85326"/>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styleId="FootnoteText">
    <w:name w:val="footnote text"/>
    <w:basedOn w:val="Normal"/>
    <w:link w:val="FootnoteTextChar"/>
    <w:unhideWhenUsed/>
    <w:rsid w:val="00F853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imes New Roman" w:eastAsia="Times New Roman" w:hAnsi="Times New Roman"/>
      <w:kern w:val="16"/>
      <w:sz w:val="20"/>
      <w:szCs w:val="20"/>
      <w:lang w:eastAsia="en-AU"/>
    </w:rPr>
  </w:style>
  <w:style w:type="character" w:customStyle="1" w:styleId="FootnoteTextChar">
    <w:name w:val="Footnote Text Char"/>
    <w:basedOn w:val="DefaultParagraphFont"/>
    <w:link w:val="FootnoteText"/>
    <w:rsid w:val="00F85326"/>
    <w:rPr>
      <w:rFonts w:ascii="Times New Roman" w:eastAsia="Times New Roman" w:hAnsi="Times New Roman" w:cs="Times New Roman"/>
      <w:kern w:val="16"/>
      <w:sz w:val="20"/>
      <w:szCs w:val="20"/>
      <w:lang w:eastAsia="en-AU"/>
    </w:rPr>
  </w:style>
  <w:style w:type="character" w:styleId="FootnoteReference">
    <w:name w:val="footnote reference"/>
    <w:basedOn w:val="DefaultParagraphFont"/>
    <w:semiHidden/>
    <w:unhideWhenUsed/>
    <w:rsid w:val="00F85326"/>
    <w:rPr>
      <w:vertAlign w:val="superscript"/>
    </w:rPr>
  </w:style>
  <w:style w:type="character" w:customStyle="1" w:styleId="citation">
    <w:name w:val="citation"/>
    <w:basedOn w:val="DefaultParagraphFont"/>
    <w:rsid w:val="00F85326"/>
  </w:style>
  <w:style w:type="paragraph" w:customStyle="1" w:styleId="citationstext">
    <w:name w:val="citationstext"/>
    <w:basedOn w:val="Normal"/>
    <w:rsid w:val="00F85326"/>
    <w:pPr>
      <w:spacing w:before="100" w:beforeAutospacing="1" w:after="100" w:afterAutospacing="1" w:line="240" w:lineRule="auto"/>
    </w:pPr>
    <w:rPr>
      <w:rFonts w:ascii="Times New Roman" w:eastAsia="Times New Roman" w:hAnsi="Times New Roman"/>
      <w:sz w:val="24"/>
      <w:szCs w:val="24"/>
      <w:lang w:eastAsia="en-AU"/>
    </w:rPr>
  </w:style>
  <w:style w:type="paragraph" w:styleId="EndnoteText">
    <w:name w:val="endnote text"/>
    <w:basedOn w:val="Normal"/>
    <w:link w:val="EndnoteTextChar"/>
    <w:uiPriority w:val="99"/>
    <w:semiHidden/>
    <w:unhideWhenUsed/>
    <w:rsid w:val="00F853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imes New Roman" w:eastAsia="Times New Roman" w:hAnsi="Times New Roman"/>
      <w:kern w:val="16"/>
      <w:sz w:val="20"/>
      <w:szCs w:val="20"/>
      <w:lang w:eastAsia="en-AU"/>
    </w:rPr>
  </w:style>
  <w:style w:type="character" w:customStyle="1" w:styleId="EndnoteTextChar">
    <w:name w:val="Endnote Text Char"/>
    <w:basedOn w:val="DefaultParagraphFont"/>
    <w:link w:val="EndnoteText"/>
    <w:uiPriority w:val="99"/>
    <w:semiHidden/>
    <w:rsid w:val="00F85326"/>
    <w:rPr>
      <w:rFonts w:ascii="Times New Roman" w:eastAsia="Times New Roman" w:hAnsi="Times New Roman" w:cs="Times New Roman"/>
      <w:kern w:val="16"/>
      <w:sz w:val="20"/>
      <w:szCs w:val="20"/>
      <w:lang w:eastAsia="en-AU"/>
    </w:rPr>
  </w:style>
  <w:style w:type="character" w:styleId="EndnoteReference">
    <w:name w:val="endnote reference"/>
    <w:basedOn w:val="DefaultParagraphFont"/>
    <w:uiPriority w:val="99"/>
    <w:semiHidden/>
    <w:unhideWhenUsed/>
    <w:rsid w:val="00F85326"/>
    <w:rPr>
      <w:vertAlign w:val="superscript"/>
    </w:rPr>
  </w:style>
  <w:style w:type="paragraph" w:customStyle="1" w:styleId="Default">
    <w:name w:val="Default"/>
    <w:rsid w:val="00F85326"/>
    <w:pPr>
      <w:autoSpaceDE w:val="0"/>
      <w:autoSpaceDN w:val="0"/>
      <w:adjustRightInd w:val="0"/>
      <w:spacing w:after="0" w:line="240" w:lineRule="auto"/>
    </w:pPr>
    <w:rPr>
      <w:rFonts w:ascii="Times New Roman" w:eastAsia="Cambria" w:hAnsi="Times New Roman" w:cs="Times New Roman"/>
      <w:color w:val="000000"/>
      <w:sz w:val="24"/>
      <w:szCs w:val="24"/>
      <w:lang w:eastAsia="en-AU"/>
    </w:rPr>
  </w:style>
  <w:style w:type="paragraph" w:styleId="CommentText">
    <w:name w:val="annotation text"/>
    <w:basedOn w:val="Normal"/>
    <w:link w:val="CommentTextChar"/>
    <w:semiHidden/>
    <w:unhideWhenUsed/>
    <w:rsid w:val="00F85326"/>
    <w:pPr>
      <w:adjustRightInd w:val="0"/>
      <w:snapToGrid w:val="0"/>
      <w:spacing w:before="0" w:after="0" w:line="240" w:lineRule="auto"/>
    </w:pPr>
    <w:rPr>
      <w:rFonts w:eastAsia="MS Mincho"/>
      <w:sz w:val="20"/>
      <w:szCs w:val="20"/>
      <w:lang w:eastAsia="ja-JP"/>
    </w:rPr>
  </w:style>
  <w:style w:type="character" w:customStyle="1" w:styleId="CommentTextChar">
    <w:name w:val="Comment Text Char"/>
    <w:basedOn w:val="DefaultParagraphFont"/>
    <w:link w:val="CommentText"/>
    <w:semiHidden/>
    <w:rsid w:val="00F85326"/>
    <w:rPr>
      <w:rFonts w:ascii="Cambria" w:eastAsia="MS Mincho" w:hAnsi="Cambria" w:cs="Times New Roman"/>
      <w:sz w:val="20"/>
      <w:szCs w:val="20"/>
      <w:lang w:eastAsia="ja-JP"/>
    </w:rPr>
  </w:style>
  <w:style w:type="character" w:styleId="CommentReference">
    <w:name w:val="annotation reference"/>
    <w:basedOn w:val="DefaultParagraphFont"/>
    <w:semiHidden/>
    <w:unhideWhenUsed/>
    <w:rsid w:val="00F85326"/>
    <w:rPr>
      <w:sz w:val="16"/>
      <w:szCs w:val="16"/>
    </w:rPr>
  </w:style>
  <w:style w:type="paragraph" w:customStyle="1" w:styleId="Standard">
    <w:name w:val="Standard"/>
    <w:basedOn w:val="Normal"/>
    <w:link w:val="StandardChar"/>
    <w:rsid w:val="00F85326"/>
    <w:pPr>
      <w:snapToGrid w:val="0"/>
      <w:spacing w:before="0" w:after="220" w:line="252" w:lineRule="auto"/>
    </w:pPr>
    <w:rPr>
      <w:rFonts w:eastAsia="Times New Roman"/>
      <w:kern w:val="16"/>
      <w:sz w:val="23"/>
      <w:szCs w:val="24"/>
    </w:rPr>
  </w:style>
  <w:style w:type="character" w:customStyle="1" w:styleId="TableCaptionChar">
    <w:name w:val="Table Caption Char"/>
    <w:basedOn w:val="TabletextChar"/>
    <w:link w:val="TableCaption"/>
    <w:locked/>
    <w:rsid w:val="00F85326"/>
    <w:rPr>
      <w:rFonts w:ascii="Cambria" w:eastAsia="Cambria" w:hAnsi="Cambria" w:cs="Times New Roman"/>
    </w:rPr>
  </w:style>
  <w:style w:type="character" w:customStyle="1" w:styleId="StandardChar">
    <w:name w:val="Standard Char"/>
    <w:basedOn w:val="DefaultParagraphFont"/>
    <w:link w:val="Standard"/>
    <w:locked/>
    <w:rsid w:val="00F85326"/>
    <w:rPr>
      <w:rFonts w:ascii="Cambria" w:eastAsia="Times New Roman" w:hAnsi="Cambria" w:cs="Times New Roman"/>
      <w:kern w:val="16"/>
      <w:sz w:val="23"/>
      <w:szCs w:val="24"/>
    </w:rPr>
  </w:style>
  <w:style w:type="paragraph" w:customStyle="1" w:styleId="PISection">
    <w:name w:val="PI Section"/>
    <w:basedOn w:val="Standard"/>
    <w:next w:val="Standard"/>
    <w:uiPriority w:val="99"/>
    <w:semiHidden/>
    <w:rsid w:val="00F85326"/>
    <w:pPr>
      <w:keepNext/>
      <w:spacing w:after="160"/>
      <w:outlineLvl w:val="1"/>
    </w:pPr>
    <w:rPr>
      <w:b/>
      <w:smallCaps/>
      <w:kern w:val="2"/>
    </w:rPr>
  </w:style>
  <w:style w:type="paragraph" w:customStyle="1" w:styleId="PISubsection">
    <w:name w:val="PI Subsection"/>
    <w:basedOn w:val="Standard"/>
    <w:next w:val="Standard"/>
    <w:uiPriority w:val="99"/>
    <w:semiHidden/>
    <w:rsid w:val="00F85326"/>
    <w:pPr>
      <w:spacing w:after="120"/>
    </w:pPr>
    <w:rPr>
      <w:b/>
      <w:i/>
      <w:kern w:val="2"/>
    </w:rPr>
  </w:style>
  <w:style w:type="character" w:customStyle="1" w:styleId="SectionHeadingCharChar">
    <w:name w:val="Section Heading Char Char"/>
    <w:basedOn w:val="DefaultParagraphFont"/>
    <w:link w:val="SectionHeading"/>
    <w:locked/>
    <w:rsid w:val="00F85326"/>
    <w:rPr>
      <w:rFonts w:eastAsia="Times New Roman"/>
      <w:b/>
      <w:caps/>
      <w:snapToGrid w:val="0"/>
      <w:kern w:val="16"/>
      <w:sz w:val="23"/>
      <w:szCs w:val="24"/>
    </w:rPr>
  </w:style>
  <w:style w:type="paragraph" w:customStyle="1" w:styleId="SectionHeading">
    <w:name w:val="Section Heading"/>
    <w:basedOn w:val="Standard"/>
    <w:next w:val="Standard"/>
    <w:link w:val="SectionHeadingCharChar"/>
    <w:rsid w:val="00F85326"/>
    <w:pPr>
      <w:keepNext/>
      <w:outlineLvl w:val="0"/>
    </w:pPr>
    <w:rPr>
      <w:rFonts w:asciiTheme="minorHAnsi" w:hAnsiTheme="minorHAnsi" w:cstheme="minorBidi"/>
      <w:b/>
      <w:caps/>
      <w:snapToGrid w:val="0"/>
    </w:rPr>
  </w:style>
  <w:style w:type="character" w:customStyle="1" w:styleId="TabletextChar">
    <w:name w:val="Table text Char"/>
    <w:basedOn w:val="DefaultParagraphFont"/>
    <w:link w:val="Tabletext"/>
    <w:locked/>
    <w:rsid w:val="00F85326"/>
    <w:rPr>
      <w:rFonts w:ascii="Cambria" w:eastAsia="Cambria" w:hAnsi="Cambria" w:cs="Times New Roman"/>
      <w:sz w:val="19"/>
    </w:rPr>
  </w:style>
  <w:style w:type="character" w:customStyle="1" w:styleId="WhiteSpaceChar">
    <w:name w:val="White Space Char"/>
    <w:basedOn w:val="TabletextChar"/>
    <w:link w:val="WhiteSpace"/>
    <w:semiHidden/>
    <w:locked/>
    <w:rsid w:val="00F85326"/>
    <w:rPr>
      <w:sz w:val="16"/>
      <w:szCs w:val="16"/>
    </w:rPr>
  </w:style>
  <w:style w:type="paragraph" w:customStyle="1" w:styleId="WhiteSpace">
    <w:name w:val="White Space"/>
    <w:basedOn w:val="Standard"/>
    <w:link w:val="WhiteSpaceChar"/>
    <w:semiHidden/>
    <w:rsid w:val="00F85326"/>
    <w:pPr>
      <w:spacing w:after="0"/>
    </w:pPr>
    <w:rPr>
      <w:rFonts w:eastAsia="Cambria"/>
      <w:kern w:val="0"/>
      <w:sz w:val="16"/>
      <w:szCs w:val="16"/>
    </w:rPr>
  </w:style>
  <w:style w:type="paragraph" w:customStyle="1" w:styleId="AssessmentSubsection">
    <w:name w:val="Assessment Subsection"/>
    <w:basedOn w:val="Standard"/>
    <w:next w:val="Standard"/>
    <w:uiPriority w:val="99"/>
    <w:semiHidden/>
    <w:rsid w:val="00F85326"/>
    <w:pPr>
      <w:keepNext/>
      <w:spacing w:after="110"/>
      <w:outlineLvl w:val="2"/>
    </w:pPr>
    <w:rPr>
      <w:b/>
      <w:i/>
    </w:rPr>
  </w:style>
  <w:style w:type="paragraph" w:customStyle="1" w:styleId="AssessmentSection">
    <w:name w:val="Assessment Section"/>
    <w:basedOn w:val="AssessmentSubsection"/>
    <w:next w:val="Standard"/>
    <w:uiPriority w:val="99"/>
    <w:semiHidden/>
    <w:rsid w:val="00F85326"/>
    <w:pPr>
      <w:outlineLvl w:val="1"/>
    </w:pPr>
    <w:rPr>
      <w:i w:val="0"/>
    </w:rPr>
  </w:style>
  <w:style w:type="paragraph" w:customStyle="1" w:styleId="AssessmentSubsection2">
    <w:name w:val="Assessment Subsection 2"/>
    <w:basedOn w:val="AssessmentSubsection"/>
    <w:next w:val="Standard"/>
    <w:uiPriority w:val="99"/>
    <w:semiHidden/>
    <w:rsid w:val="00F85326"/>
    <w:pPr>
      <w:outlineLvl w:val="3"/>
    </w:pPr>
    <w:rPr>
      <w:b w:val="0"/>
    </w:rPr>
  </w:style>
  <w:style w:type="paragraph" w:customStyle="1" w:styleId="Bulletpoint">
    <w:name w:val="Bullet point"/>
    <w:basedOn w:val="Standard"/>
    <w:rsid w:val="00F85326"/>
    <w:pPr>
      <w:numPr>
        <w:numId w:val="26"/>
      </w:numPr>
      <w:tabs>
        <w:tab w:val="clear" w:pos="369"/>
        <w:tab w:val="left" w:pos="397"/>
        <w:tab w:val="num" w:pos="511"/>
      </w:tabs>
      <w:spacing w:after="180"/>
      <w:ind w:left="397" w:firstLine="0"/>
    </w:pPr>
    <w:rPr>
      <w:snapToGrid w:val="0"/>
      <w:lang w:eastAsia="en-AU"/>
    </w:rPr>
  </w:style>
  <w:style w:type="paragraph" w:customStyle="1" w:styleId="Bullet1">
    <w:name w:val="Bullet 1"/>
    <w:basedOn w:val="Normal"/>
    <w:rsid w:val="00F85326"/>
    <w:pPr>
      <w:numPr>
        <w:numId w:val="27"/>
      </w:numPr>
      <w:spacing w:line="240" w:lineRule="auto"/>
      <w:jc w:val="both"/>
    </w:pPr>
    <w:rPr>
      <w:rFonts w:eastAsia="Times New Roman" w:cs="Arial"/>
      <w:color w:val="000000"/>
      <w:kern w:val="24"/>
      <w:szCs w:val="24"/>
      <w:lang w:eastAsia="en-AU"/>
    </w:rPr>
  </w:style>
  <w:style w:type="paragraph" w:customStyle="1" w:styleId="Bullet2">
    <w:name w:val="Bullet 2"/>
    <w:basedOn w:val="Bullet1"/>
    <w:rsid w:val="00F85326"/>
    <w:pPr>
      <w:numPr>
        <w:numId w:val="28"/>
      </w:numPr>
    </w:pPr>
  </w:style>
  <w:style w:type="paragraph" w:styleId="NormalWeb">
    <w:name w:val="Normal (Web)"/>
    <w:basedOn w:val="Normal"/>
    <w:uiPriority w:val="99"/>
    <w:unhideWhenUsed/>
    <w:rsid w:val="00F85326"/>
    <w:pPr>
      <w:spacing w:before="100" w:beforeAutospacing="1" w:after="100" w:afterAutospacing="1" w:line="240" w:lineRule="auto"/>
    </w:pPr>
    <w:rPr>
      <w:rFonts w:ascii="Times New Roman" w:eastAsia="Times New Roman" w:hAnsi="Times New Roman"/>
      <w:sz w:val="24"/>
      <w:szCs w:val="24"/>
      <w:lang w:eastAsia="en-AU"/>
    </w:rPr>
  </w:style>
  <w:style w:type="paragraph" w:styleId="NoSpacing">
    <w:name w:val="No Spacing"/>
    <w:uiPriority w:val="1"/>
    <w:qFormat/>
    <w:rsid w:val="00F85326"/>
    <w:pPr>
      <w:spacing w:after="0" w:line="240" w:lineRule="auto"/>
    </w:pPr>
    <w:rPr>
      <w:rFonts w:ascii="Calibri" w:eastAsia="Calibri" w:hAnsi="Calibri" w:cs="Times New Roman"/>
    </w:rPr>
  </w:style>
  <w:style w:type="paragraph" w:customStyle="1" w:styleId="a">
    <w:name w:val="_"/>
    <w:basedOn w:val="Normal"/>
    <w:rsid w:val="00F85326"/>
    <w:pPr>
      <w:widowControl w:val="0"/>
      <w:snapToGrid w:val="0"/>
      <w:spacing w:before="0" w:after="0" w:line="240" w:lineRule="auto"/>
      <w:ind w:left="720" w:hanging="720"/>
    </w:pPr>
    <w:rPr>
      <w:rFonts w:ascii="Times New Roman" w:eastAsia="Times New Roman" w:hAnsi="Times New Roman"/>
      <w:sz w:val="24"/>
      <w:szCs w:val="20"/>
      <w:lang w:val="en-US"/>
    </w:rPr>
  </w:style>
  <w:style w:type="paragraph" w:styleId="CommentSubject">
    <w:name w:val="annotation subject"/>
    <w:basedOn w:val="CommentText"/>
    <w:next w:val="CommentText"/>
    <w:link w:val="CommentSubjectChar"/>
    <w:uiPriority w:val="99"/>
    <w:semiHidden/>
    <w:unhideWhenUsed/>
    <w:rsid w:val="00F85326"/>
    <w:pPr>
      <w:adjustRightInd/>
      <w:snapToGrid/>
      <w:spacing w:after="120"/>
    </w:pPr>
    <w:rPr>
      <w:rFonts w:eastAsia="Cambria"/>
      <w:b/>
      <w:bCs/>
      <w:lang w:eastAsia="en-US"/>
    </w:rPr>
  </w:style>
  <w:style w:type="character" w:customStyle="1" w:styleId="CommentSubjectChar">
    <w:name w:val="Comment Subject Char"/>
    <w:basedOn w:val="CommentTextChar"/>
    <w:link w:val="CommentSubject"/>
    <w:uiPriority w:val="99"/>
    <w:semiHidden/>
    <w:rsid w:val="00F85326"/>
    <w:rPr>
      <w:rFonts w:eastAsia="Cambria"/>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hyperlink" Target="http://www.tg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lbertahealthservices.ca/hp/if-hp-cancer-guide-gyne005-epithelialovarian.pdf" TargetMode="External"/><Relationship Id="rId1" Type="http://schemas.openxmlformats.org/officeDocument/2006/relationships/hyperlink" Target="http://www.tga.gov.au/pdf/auspar/auspar-bevacizumab-120806.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rsl\Desktop\auspar-template-130325.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FCABE-FDC2-4D54-A8FC-C0CF0144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auspar-template-130325</Template>
  <TotalTime>11</TotalTime>
  <Pages>19</Pages>
  <Words>5877</Words>
  <Characters>33499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Australian Public Assessment Report for Bevacizumab (recombinant humanised)</vt:lpstr>
    </vt:vector>
  </TitlesOfParts>
  <Company>Department of Health and Ageing Therapeutic Goods Administration</Company>
  <LinksUpToDate>false</LinksUpToDate>
  <CharactersWithSpaces>39298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Bevacizumab (recombinant humanised)</dc:title>
  <dc:subject>prescription medicine regulation</dc:subject>
  <dc:creator>Therapeutic Goods Administration</dc:creator>
  <cp:keywords>auspar, prescription, medicine, assessment, regulation, australia, bevacizumab, avastin, roche</cp:keywords>
  <cp:lastModifiedBy>Searson, Lisa</cp:lastModifiedBy>
  <cp:revision>5</cp:revision>
  <cp:lastPrinted>2010-12-20T22:59:00Z</cp:lastPrinted>
  <dcterms:created xsi:type="dcterms:W3CDTF">2013-05-13T01:13:00Z</dcterms:created>
  <dcterms:modified xsi:type="dcterms:W3CDTF">2013-06-11T06:08:00Z</dcterms:modified>
  <cp:category>External Guidelines</cp:category>
</cp:coreProperties>
</file>