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874B8F" w:rsidP="00096AA7">
            <w:pPr>
              <w:rPr>
                <w:rFonts w:ascii="Arial" w:hAnsi="Arial" w:cs="Arial"/>
                <w:b/>
                <w:color w:val="002C47"/>
                <w:sz w:val="36"/>
                <w:szCs w:val="36"/>
              </w:rPr>
            </w:pPr>
            <w:bookmarkStart w:id="0" w:name="_GoBack"/>
            <w:bookmarkEnd w:id="0"/>
            <w:r>
              <w:rPr>
                <w:rFonts w:ascii="Arial" w:hAnsi="Arial" w:cs="Arial"/>
                <w:b/>
                <w:color w:val="002C47"/>
                <w:sz w:val="36"/>
                <w:szCs w:val="36"/>
              </w:rPr>
              <w:t xml:space="preserve">November </w:t>
            </w:r>
            <w:r w:rsidR="00073D4D">
              <w:rPr>
                <w:rFonts w:ascii="Arial" w:hAnsi="Arial" w:cs="Arial"/>
                <w:b/>
                <w:color w:val="002C47"/>
                <w:sz w:val="36"/>
                <w:szCs w:val="36"/>
              </w:rPr>
              <w:t>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073D4D">
            <w:pPr>
              <w:pStyle w:val="Title"/>
              <w:rPr>
                <w:color w:val="FFFFFF" w:themeColor="background1"/>
              </w:rPr>
            </w:pPr>
            <w:r w:rsidRPr="00A964D1">
              <w:rPr>
                <w:color w:val="FFFFFF" w:themeColor="background1"/>
              </w:rPr>
              <w:t xml:space="preserve">Australian Public Assessment Report for </w:t>
            </w:r>
            <w:proofErr w:type="spellStart"/>
            <w:r w:rsidR="00166F6A">
              <w:rPr>
                <w:color w:val="FFFFFF" w:themeColor="background1"/>
              </w:rPr>
              <w:t>Bevacizumab</w:t>
            </w:r>
            <w:proofErr w:type="spellEnd"/>
          </w:p>
        </w:tc>
      </w:tr>
      <w:tr w:rsidR="0032583B" w:rsidRPr="00B64760" w:rsidTr="0032583B">
        <w:tc>
          <w:tcPr>
            <w:tcW w:w="9079" w:type="dxa"/>
          </w:tcPr>
          <w:p w:rsidR="0032583B" w:rsidRPr="008E7846" w:rsidRDefault="0032583B" w:rsidP="00073D4D">
            <w:pPr>
              <w:pStyle w:val="Subtitle"/>
              <w:rPr>
                <w:color w:val="FFFFFF" w:themeColor="background1"/>
              </w:rPr>
            </w:pPr>
            <w:r w:rsidRPr="008E7846">
              <w:rPr>
                <w:color w:val="FFFFFF" w:themeColor="background1"/>
              </w:rPr>
              <w:t xml:space="preserve">Proprietary Product Name: </w:t>
            </w:r>
            <w:proofErr w:type="spellStart"/>
            <w:r w:rsidR="00073D4D">
              <w:rPr>
                <w:color w:val="FFFFFF" w:themeColor="background1"/>
              </w:rPr>
              <w:t>Avastin</w:t>
            </w:r>
            <w:proofErr w:type="spellEnd"/>
          </w:p>
        </w:tc>
      </w:tr>
      <w:tr w:rsidR="0032583B" w:rsidRPr="00B64760" w:rsidTr="0032583B">
        <w:trPr>
          <w:trHeight w:val="486"/>
        </w:trPr>
        <w:tc>
          <w:tcPr>
            <w:tcW w:w="9079" w:type="dxa"/>
          </w:tcPr>
          <w:p w:rsidR="0032583B" w:rsidRPr="008E7846" w:rsidRDefault="0032583B" w:rsidP="00073D4D">
            <w:pPr>
              <w:pStyle w:val="Subtitle"/>
              <w:rPr>
                <w:color w:val="FFFFFF" w:themeColor="background1"/>
              </w:rPr>
            </w:pPr>
            <w:r w:rsidRPr="008E7846">
              <w:rPr>
                <w:color w:val="FFFFFF" w:themeColor="background1"/>
              </w:rPr>
              <w:t xml:space="preserve">Sponsor: </w:t>
            </w:r>
            <w:r w:rsidR="00073D4D">
              <w:rPr>
                <w:color w:val="FFFFFF" w:themeColor="background1"/>
              </w:rPr>
              <w:t>Roche Products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1D5E5F">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1D5E5F">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1D5E5F">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1D5E5F">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1D5E5F">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1D5E5F">
      <w:pPr>
        <w:pStyle w:val="ListBullet"/>
        <w:numPr>
          <w:ilvl w:val="0"/>
          <w:numId w:val="1"/>
        </w:numPr>
        <w:ind w:left="357" w:hanging="357"/>
      </w:pPr>
      <w:r>
        <w:t>An Australian Public Assessment Record (AusPAR) provides information about the evaluation of a prescription medicine and the considerations that led the TGA to approve or not approve a pr</w:t>
      </w:r>
      <w:r w:rsidR="00E11AF3">
        <w:t>escription medicine submission.</w:t>
      </w:r>
    </w:p>
    <w:p w:rsidR="008E7846" w:rsidRDefault="008E7846" w:rsidP="001D5E5F">
      <w:pPr>
        <w:pStyle w:val="ListBullet"/>
        <w:numPr>
          <w:ilvl w:val="0"/>
          <w:numId w:val="1"/>
        </w:numPr>
        <w:ind w:left="357" w:hanging="357"/>
      </w:pPr>
      <w:r>
        <w:t>AusPARs are prepared and published by the TGA.</w:t>
      </w:r>
    </w:p>
    <w:p w:rsidR="008E7846" w:rsidRDefault="008E7846" w:rsidP="001D5E5F">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1D5E5F">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1D5E5F">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B20578" w:rsidRDefault="00CC42CD">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04950758" w:history="1">
            <w:r w:rsidR="00B20578" w:rsidRPr="00176500">
              <w:rPr>
                <w:rStyle w:val="Hyperlink"/>
                <w:noProof/>
              </w:rPr>
              <w:t>List of commonly used abbreviations</w:t>
            </w:r>
            <w:r w:rsidR="00B20578">
              <w:rPr>
                <w:noProof/>
                <w:webHidden/>
              </w:rPr>
              <w:tab/>
            </w:r>
            <w:r w:rsidR="00B20578">
              <w:rPr>
                <w:noProof/>
                <w:webHidden/>
              </w:rPr>
              <w:fldChar w:fldCharType="begin"/>
            </w:r>
            <w:r w:rsidR="00B20578">
              <w:rPr>
                <w:noProof/>
                <w:webHidden/>
              </w:rPr>
              <w:instrText xml:space="preserve"> PAGEREF _Toc404950758 \h </w:instrText>
            </w:r>
            <w:r w:rsidR="00B20578">
              <w:rPr>
                <w:noProof/>
                <w:webHidden/>
              </w:rPr>
            </w:r>
            <w:r w:rsidR="00B20578">
              <w:rPr>
                <w:noProof/>
                <w:webHidden/>
              </w:rPr>
              <w:fldChar w:fldCharType="separate"/>
            </w:r>
            <w:r w:rsidR="00B20578">
              <w:rPr>
                <w:noProof/>
                <w:webHidden/>
              </w:rPr>
              <w:t>4</w:t>
            </w:r>
            <w:r w:rsidR="00B20578">
              <w:rPr>
                <w:noProof/>
                <w:webHidden/>
              </w:rPr>
              <w:fldChar w:fldCharType="end"/>
            </w:r>
          </w:hyperlink>
        </w:p>
        <w:p w:rsidR="00B20578" w:rsidRDefault="00602F5D">
          <w:pPr>
            <w:pStyle w:val="TOC2"/>
            <w:rPr>
              <w:rFonts w:asciiTheme="minorHAnsi" w:eastAsiaTheme="minorEastAsia" w:hAnsiTheme="minorHAnsi" w:cstheme="minorBidi"/>
              <w:b w:val="0"/>
              <w:noProof/>
              <w:sz w:val="22"/>
              <w:lang w:eastAsia="en-AU"/>
            </w:rPr>
          </w:pPr>
          <w:hyperlink w:anchor="_Toc404950759" w:history="1">
            <w:r w:rsidR="00B20578" w:rsidRPr="00176500">
              <w:rPr>
                <w:rStyle w:val="Hyperlink"/>
                <w:noProof/>
              </w:rPr>
              <w:t>I. Introduction to product submission</w:t>
            </w:r>
            <w:r w:rsidR="00B20578">
              <w:rPr>
                <w:noProof/>
                <w:webHidden/>
              </w:rPr>
              <w:tab/>
            </w:r>
            <w:r w:rsidR="00B20578">
              <w:rPr>
                <w:noProof/>
                <w:webHidden/>
              </w:rPr>
              <w:fldChar w:fldCharType="begin"/>
            </w:r>
            <w:r w:rsidR="00B20578">
              <w:rPr>
                <w:noProof/>
                <w:webHidden/>
              </w:rPr>
              <w:instrText xml:space="preserve"> PAGEREF _Toc404950759 \h </w:instrText>
            </w:r>
            <w:r w:rsidR="00B20578">
              <w:rPr>
                <w:noProof/>
                <w:webHidden/>
              </w:rPr>
            </w:r>
            <w:r w:rsidR="00B20578">
              <w:rPr>
                <w:noProof/>
                <w:webHidden/>
              </w:rPr>
              <w:fldChar w:fldCharType="separate"/>
            </w:r>
            <w:r w:rsidR="00B20578">
              <w:rPr>
                <w:noProof/>
                <w:webHidden/>
              </w:rPr>
              <w:t>5</w:t>
            </w:r>
            <w:r w:rsidR="00B20578">
              <w:rPr>
                <w:noProof/>
                <w:webHidden/>
              </w:rPr>
              <w:fldChar w:fldCharType="end"/>
            </w:r>
          </w:hyperlink>
        </w:p>
        <w:p w:rsidR="00B20578" w:rsidRDefault="00602F5D">
          <w:pPr>
            <w:pStyle w:val="TOC3"/>
            <w:rPr>
              <w:rFonts w:asciiTheme="minorHAnsi" w:eastAsiaTheme="minorEastAsia" w:hAnsiTheme="minorHAnsi" w:cstheme="minorBidi"/>
              <w:noProof/>
              <w:lang w:eastAsia="en-AU"/>
            </w:rPr>
          </w:pPr>
          <w:hyperlink w:anchor="_Toc404950760" w:history="1">
            <w:r w:rsidR="00B20578" w:rsidRPr="00176500">
              <w:rPr>
                <w:rStyle w:val="Hyperlink"/>
                <w:noProof/>
                <w:lang w:eastAsia="en-AU"/>
              </w:rPr>
              <w:t>Submission details</w:t>
            </w:r>
            <w:r w:rsidR="00B20578">
              <w:rPr>
                <w:noProof/>
                <w:webHidden/>
              </w:rPr>
              <w:tab/>
            </w:r>
            <w:r w:rsidR="00B20578">
              <w:rPr>
                <w:noProof/>
                <w:webHidden/>
              </w:rPr>
              <w:fldChar w:fldCharType="begin"/>
            </w:r>
            <w:r w:rsidR="00B20578">
              <w:rPr>
                <w:noProof/>
                <w:webHidden/>
              </w:rPr>
              <w:instrText xml:space="preserve"> PAGEREF _Toc404950760 \h </w:instrText>
            </w:r>
            <w:r w:rsidR="00B20578">
              <w:rPr>
                <w:noProof/>
                <w:webHidden/>
              </w:rPr>
            </w:r>
            <w:r w:rsidR="00B20578">
              <w:rPr>
                <w:noProof/>
                <w:webHidden/>
              </w:rPr>
              <w:fldChar w:fldCharType="separate"/>
            </w:r>
            <w:r w:rsidR="00B20578">
              <w:rPr>
                <w:noProof/>
                <w:webHidden/>
              </w:rPr>
              <w:t>5</w:t>
            </w:r>
            <w:r w:rsidR="00B20578">
              <w:rPr>
                <w:noProof/>
                <w:webHidden/>
              </w:rPr>
              <w:fldChar w:fldCharType="end"/>
            </w:r>
          </w:hyperlink>
        </w:p>
        <w:p w:rsidR="00B20578" w:rsidRDefault="00602F5D">
          <w:pPr>
            <w:pStyle w:val="TOC3"/>
            <w:rPr>
              <w:rFonts w:asciiTheme="minorHAnsi" w:eastAsiaTheme="minorEastAsia" w:hAnsiTheme="minorHAnsi" w:cstheme="minorBidi"/>
              <w:noProof/>
              <w:lang w:eastAsia="en-AU"/>
            </w:rPr>
          </w:pPr>
          <w:hyperlink w:anchor="_Toc404950761" w:history="1">
            <w:r w:rsidR="00B20578" w:rsidRPr="00176500">
              <w:rPr>
                <w:rStyle w:val="Hyperlink"/>
                <w:noProof/>
              </w:rPr>
              <w:t>Product background</w:t>
            </w:r>
            <w:r w:rsidR="00B20578">
              <w:rPr>
                <w:noProof/>
                <w:webHidden/>
              </w:rPr>
              <w:tab/>
            </w:r>
            <w:r w:rsidR="00B20578">
              <w:rPr>
                <w:noProof/>
                <w:webHidden/>
              </w:rPr>
              <w:fldChar w:fldCharType="begin"/>
            </w:r>
            <w:r w:rsidR="00B20578">
              <w:rPr>
                <w:noProof/>
                <w:webHidden/>
              </w:rPr>
              <w:instrText xml:space="preserve"> PAGEREF _Toc404950761 \h </w:instrText>
            </w:r>
            <w:r w:rsidR="00B20578">
              <w:rPr>
                <w:noProof/>
                <w:webHidden/>
              </w:rPr>
            </w:r>
            <w:r w:rsidR="00B20578">
              <w:rPr>
                <w:noProof/>
                <w:webHidden/>
              </w:rPr>
              <w:fldChar w:fldCharType="separate"/>
            </w:r>
            <w:r w:rsidR="00B20578">
              <w:rPr>
                <w:noProof/>
                <w:webHidden/>
              </w:rPr>
              <w:t>5</w:t>
            </w:r>
            <w:r w:rsidR="00B20578">
              <w:rPr>
                <w:noProof/>
                <w:webHidden/>
              </w:rPr>
              <w:fldChar w:fldCharType="end"/>
            </w:r>
          </w:hyperlink>
        </w:p>
        <w:p w:rsidR="00B20578" w:rsidRDefault="00602F5D">
          <w:pPr>
            <w:pStyle w:val="TOC3"/>
            <w:rPr>
              <w:rFonts w:asciiTheme="minorHAnsi" w:eastAsiaTheme="minorEastAsia" w:hAnsiTheme="minorHAnsi" w:cstheme="minorBidi"/>
              <w:noProof/>
              <w:lang w:eastAsia="en-AU"/>
            </w:rPr>
          </w:pPr>
          <w:hyperlink w:anchor="_Toc404950762" w:history="1">
            <w:r w:rsidR="00B20578" w:rsidRPr="00176500">
              <w:rPr>
                <w:rStyle w:val="Hyperlink"/>
                <w:noProof/>
              </w:rPr>
              <w:t>Regulatory status</w:t>
            </w:r>
            <w:r w:rsidR="00B20578">
              <w:rPr>
                <w:noProof/>
                <w:webHidden/>
              </w:rPr>
              <w:tab/>
            </w:r>
            <w:r w:rsidR="00B20578">
              <w:rPr>
                <w:noProof/>
                <w:webHidden/>
              </w:rPr>
              <w:fldChar w:fldCharType="begin"/>
            </w:r>
            <w:r w:rsidR="00B20578">
              <w:rPr>
                <w:noProof/>
                <w:webHidden/>
              </w:rPr>
              <w:instrText xml:space="preserve"> PAGEREF _Toc404950762 \h </w:instrText>
            </w:r>
            <w:r w:rsidR="00B20578">
              <w:rPr>
                <w:noProof/>
                <w:webHidden/>
              </w:rPr>
            </w:r>
            <w:r w:rsidR="00B20578">
              <w:rPr>
                <w:noProof/>
                <w:webHidden/>
              </w:rPr>
              <w:fldChar w:fldCharType="separate"/>
            </w:r>
            <w:r w:rsidR="00B20578">
              <w:rPr>
                <w:noProof/>
                <w:webHidden/>
              </w:rPr>
              <w:t>7</w:t>
            </w:r>
            <w:r w:rsidR="00B20578">
              <w:rPr>
                <w:noProof/>
                <w:webHidden/>
              </w:rPr>
              <w:fldChar w:fldCharType="end"/>
            </w:r>
          </w:hyperlink>
        </w:p>
        <w:p w:rsidR="00B20578" w:rsidRDefault="00602F5D">
          <w:pPr>
            <w:pStyle w:val="TOC2"/>
            <w:rPr>
              <w:rFonts w:asciiTheme="minorHAnsi" w:eastAsiaTheme="minorEastAsia" w:hAnsiTheme="minorHAnsi" w:cstheme="minorBidi"/>
              <w:b w:val="0"/>
              <w:noProof/>
              <w:sz w:val="22"/>
              <w:lang w:eastAsia="en-AU"/>
            </w:rPr>
          </w:pPr>
          <w:hyperlink w:anchor="_Toc404950763" w:history="1">
            <w:r w:rsidR="00B20578" w:rsidRPr="00176500">
              <w:rPr>
                <w:rStyle w:val="Hyperlink"/>
                <w:noProof/>
              </w:rPr>
              <w:t>II. Quality findings</w:t>
            </w:r>
            <w:r w:rsidR="00B20578">
              <w:rPr>
                <w:noProof/>
                <w:webHidden/>
              </w:rPr>
              <w:tab/>
            </w:r>
            <w:r w:rsidR="00B20578">
              <w:rPr>
                <w:noProof/>
                <w:webHidden/>
              </w:rPr>
              <w:fldChar w:fldCharType="begin"/>
            </w:r>
            <w:r w:rsidR="00B20578">
              <w:rPr>
                <w:noProof/>
                <w:webHidden/>
              </w:rPr>
              <w:instrText xml:space="preserve"> PAGEREF _Toc404950763 \h </w:instrText>
            </w:r>
            <w:r w:rsidR="00B20578">
              <w:rPr>
                <w:noProof/>
                <w:webHidden/>
              </w:rPr>
            </w:r>
            <w:r w:rsidR="00B20578">
              <w:rPr>
                <w:noProof/>
                <w:webHidden/>
              </w:rPr>
              <w:fldChar w:fldCharType="separate"/>
            </w:r>
            <w:r w:rsidR="00B20578">
              <w:rPr>
                <w:noProof/>
                <w:webHidden/>
              </w:rPr>
              <w:t>7</w:t>
            </w:r>
            <w:r w:rsidR="00B20578">
              <w:rPr>
                <w:noProof/>
                <w:webHidden/>
              </w:rPr>
              <w:fldChar w:fldCharType="end"/>
            </w:r>
          </w:hyperlink>
        </w:p>
        <w:p w:rsidR="00B20578" w:rsidRDefault="00602F5D">
          <w:pPr>
            <w:pStyle w:val="TOC2"/>
            <w:rPr>
              <w:rFonts w:asciiTheme="minorHAnsi" w:eastAsiaTheme="minorEastAsia" w:hAnsiTheme="minorHAnsi" w:cstheme="minorBidi"/>
              <w:b w:val="0"/>
              <w:noProof/>
              <w:sz w:val="22"/>
              <w:lang w:eastAsia="en-AU"/>
            </w:rPr>
          </w:pPr>
          <w:hyperlink w:anchor="_Toc404950764" w:history="1">
            <w:r w:rsidR="00B20578" w:rsidRPr="00176500">
              <w:rPr>
                <w:rStyle w:val="Hyperlink"/>
                <w:noProof/>
              </w:rPr>
              <w:t>III. Nonclinical findings</w:t>
            </w:r>
            <w:r w:rsidR="00B20578">
              <w:rPr>
                <w:noProof/>
                <w:webHidden/>
              </w:rPr>
              <w:tab/>
            </w:r>
            <w:r w:rsidR="00B20578">
              <w:rPr>
                <w:noProof/>
                <w:webHidden/>
              </w:rPr>
              <w:fldChar w:fldCharType="begin"/>
            </w:r>
            <w:r w:rsidR="00B20578">
              <w:rPr>
                <w:noProof/>
                <w:webHidden/>
              </w:rPr>
              <w:instrText xml:space="preserve"> PAGEREF _Toc404950764 \h </w:instrText>
            </w:r>
            <w:r w:rsidR="00B20578">
              <w:rPr>
                <w:noProof/>
                <w:webHidden/>
              </w:rPr>
            </w:r>
            <w:r w:rsidR="00B20578">
              <w:rPr>
                <w:noProof/>
                <w:webHidden/>
              </w:rPr>
              <w:fldChar w:fldCharType="separate"/>
            </w:r>
            <w:r w:rsidR="00B20578">
              <w:rPr>
                <w:noProof/>
                <w:webHidden/>
              </w:rPr>
              <w:t>7</w:t>
            </w:r>
            <w:r w:rsidR="00B20578">
              <w:rPr>
                <w:noProof/>
                <w:webHidden/>
              </w:rPr>
              <w:fldChar w:fldCharType="end"/>
            </w:r>
          </w:hyperlink>
        </w:p>
        <w:p w:rsidR="00B20578" w:rsidRDefault="00602F5D">
          <w:pPr>
            <w:pStyle w:val="TOC2"/>
            <w:rPr>
              <w:rFonts w:asciiTheme="minorHAnsi" w:eastAsiaTheme="minorEastAsia" w:hAnsiTheme="minorHAnsi" w:cstheme="minorBidi"/>
              <w:b w:val="0"/>
              <w:noProof/>
              <w:sz w:val="22"/>
              <w:lang w:eastAsia="en-AU"/>
            </w:rPr>
          </w:pPr>
          <w:hyperlink w:anchor="_Toc404950765" w:history="1">
            <w:r w:rsidR="00B20578" w:rsidRPr="00176500">
              <w:rPr>
                <w:rStyle w:val="Hyperlink"/>
                <w:noProof/>
              </w:rPr>
              <w:t>IV. Clinical findings</w:t>
            </w:r>
            <w:r w:rsidR="00B20578">
              <w:rPr>
                <w:noProof/>
                <w:webHidden/>
              </w:rPr>
              <w:tab/>
            </w:r>
            <w:r w:rsidR="00B20578">
              <w:rPr>
                <w:noProof/>
                <w:webHidden/>
              </w:rPr>
              <w:fldChar w:fldCharType="begin"/>
            </w:r>
            <w:r w:rsidR="00B20578">
              <w:rPr>
                <w:noProof/>
                <w:webHidden/>
              </w:rPr>
              <w:instrText xml:space="preserve"> PAGEREF _Toc404950765 \h </w:instrText>
            </w:r>
            <w:r w:rsidR="00B20578">
              <w:rPr>
                <w:noProof/>
                <w:webHidden/>
              </w:rPr>
            </w:r>
            <w:r w:rsidR="00B20578">
              <w:rPr>
                <w:noProof/>
                <w:webHidden/>
              </w:rPr>
              <w:fldChar w:fldCharType="separate"/>
            </w:r>
            <w:r w:rsidR="00B20578">
              <w:rPr>
                <w:noProof/>
                <w:webHidden/>
              </w:rPr>
              <w:t>7</w:t>
            </w:r>
            <w:r w:rsidR="00B20578">
              <w:rPr>
                <w:noProof/>
                <w:webHidden/>
              </w:rPr>
              <w:fldChar w:fldCharType="end"/>
            </w:r>
          </w:hyperlink>
        </w:p>
        <w:p w:rsidR="00B20578" w:rsidRDefault="00602F5D">
          <w:pPr>
            <w:pStyle w:val="TOC3"/>
            <w:rPr>
              <w:rFonts w:asciiTheme="minorHAnsi" w:eastAsiaTheme="minorEastAsia" w:hAnsiTheme="minorHAnsi" w:cstheme="minorBidi"/>
              <w:noProof/>
              <w:lang w:eastAsia="en-AU"/>
            </w:rPr>
          </w:pPr>
          <w:hyperlink w:anchor="_Toc404950766" w:history="1">
            <w:r w:rsidR="00B20578" w:rsidRPr="00176500">
              <w:rPr>
                <w:rStyle w:val="Hyperlink"/>
                <w:noProof/>
              </w:rPr>
              <w:t>Introduction</w:t>
            </w:r>
            <w:r w:rsidR="00B20578">
              <w:rPr>
                <w:noProof/>
                <w:webHidden/>
              </w:rPr>
              <w:tab/>
            </w:r>
            <w:r w:rsidR="00B20578">
              <w:rPr>
                <w:noProof/>
                <w:webHidden/>
              </w:rPr>
              <w:fldChar w:fldCharType="begin"/>
            </w:r>
            <w:r w:rsidR="00B20578">
              <w:rPr>
                <w:noProof/>
                <w:webHidden/>
              </w:rPr>
              <w:instrText xml:space="preserve"> PAGEREF _Toc404950766 \h </w:instrText>
            </w:r>
            <w:r w:rsidR="00B20578">
              <w:rPr>
                <w:noProof/>
                <w:webHidden/>
              </w:rPr>
            </w:r>
            <w:r w:rsidR="00B20578">
              <w:rPr>
                <w:noProof/>
                <w:webHidden/>
              </w:rPr>
              <w:fldChar w:fldCharType="separate"/>
            </w:r>
            <w:r w:rsidR="00B20578">
              <w:rPr>
                <w:noProof/>
                <w:webHidden/>
              </w:rPr>
              <w:t>7</w:t>
            </w:r>
            <w:r w:rsidR="00B20578">
              <w:rPr>
                <w:noProof/>
                <w:webHidden/>
              </w:rPr>
              <w:fldChar w:fldCharType="end"/>
            </w:r>
          </w:hyperlink>
        </w:p>
        <w:p w:rsidR="00B20578" w:rsidRDefault="00602F5D">
          <w:pPr>
            <w:pStyle w:val="TOC3"/>
            <w:rPr>
              <w:rFonts w:asciiTheme="minorHAnsi" w:eastAsiaTheme="minorEastAsia" w:hAnsiTheme="minorHAnsi" w:cstheme="minorBidi"/>
              <w:noProof/>
              <w:lang w:eastAsia="en-AU"/>
            </w:rPr>
          </w:pPr>
          <w:hyperlink w:anchor="_Toc404950767" w:history="1">
            <w:r w:rsidR="00B20578" w:rsidRPr="00176500">
              <w:rPr>
                <w:rStyle w:val="Hyperlink"/>
                <w:noProof/>
              </w:rPr>
              <w:t>Pharmacokinetics</w:t>
            </w:r>
            <w:r w:rsidR="00B20578">
              <w:rPr>
                <w:noProof/>
                <w:webHidden/>
              </w:rPr>
              <w:tab/>
            </w:r>
            <w:r w:rsidR="00B20578">
              <w:rPr>
                <w:noProof/>
                <w:webHidden/>
              </w:rPr>
              <w:fldChar w:fldCharType="begin"/>
            </w:r>
            <w:r w:rsidR="00B20578">
              <w:rPr>
                <w:noProof/>
                <w:webHidden/>
              </w:rPr>
              <w:instrText xml:space="preserve"> PAGEREF _Toc404950767 \h </w:instrText>
            </w:r>
            <w:r w:rsidR="00B20578">
              <w:rPr>
                <w:noProof/>
                <w:webHidden/>
              </w:rPr>
            </w:r>
            <w:r w:rsidR="00B20578">
              <w:rPr>
                <w:noProof/>
                <w:webHidden/>
              </w:rPr>
              <w:fldChar w:fldCharType="separate"/>
            </w:r>
            <w:r w:rsidR="00B20578">
              <w:rPr>
                <w:noProof/>
                <w:webHidden/>
              </w:rPr>
              <w:t>9</w:t>
            </w:r>
            <w:r w:rsidR="00B20578">
              <w:rPr>
                <w:noProof/>
                <w:webHidden/>
              </w:rPr>
              <w:fldChar w:fldCharType="end"/>
            </w:r>
          </w:hyperlink>
        </w:p>
        <w:p w:rsidR="00B20578" w:rsidRDefault="00602F5D">
          <w:pPr>
            <w:pStyle w:val="TOC3"/>
            <w:rPr>
              <w:rFonts w:asciiTheme="minorHAnsi" w:eastAsiaTheme="minorEastAsia" w:hAnsiTheme="minorHAnsi" w:cstheme="minorBidi"/>
              <w:noProof/>
              <w:lang w:eastAsia="en-AU"/>
            </w:rPr>
          </w:pPr>
          <w:hyperlink w:anchor="_Toc404950768" w:history="1">
            <w:r w:rsidR="00B20578" w:rsidRPr="00176500">
              <w:rPr>
                <w:rStyle w:val="Hyperlink"/>
                <w:noProof/>
              </w:rPr>
              <w:t>Pharmacodynamics</w:t>
            </w:r>
            <w:r w:rsidR="00B20578">
              <w:rPr>
                <w:noProof/>
                <w:webHidden/>
              </w:rPr>
              <w:tab/>
            </w:r>
            <w:r w:rsidR="00B20578">
              <w:rPr>
                <w:noProof/>
                <w:webHidden/>
              </w:rPr>
              <w:fldChar w:fldCharType="begin"/>
            </w:r>
            <w:r w:rsidR="00B20578">
              <w:rPr>
                <w:noProof/>
                <w:webHidden/>
              </w:rPr>
              <w:instrText xml:space="preserve"> PAGEREF _Toc404950768 \h </w:instrText>
            </w:r>
            <w:r w:rsidR="00B20578">
              <w:rPr>
                <w:noProof/>
                <w:webHidden/>
              </w:rPr>
            </w:r>
            <w:r w:rsidR="00B20578">
              <w:rPr>
                <w:noProof/>
                <w:webHidden/>
              </w:rPr>
              <w:fldChar w:fldCharType="separate"/>
            </w:r>
            <w:r w:rsidR="00B20578">
              <w:rPr>
                <w:noProof/>
                <w:webHidden/>
              </w:rPr>
              <w:t>10</w:t>
            </w:r>
            <w:r w:rsidR="00B20578">
              <w:rPr>
                <w:noProof/>
                <w:webHidden/>
              </w:rPr>
              <w:fldChar w:fldCharType="end"/>
            </w:r>
          </w:hyperlink>
        </w:p>
        <w:p w:rsidR="00B20578" w:rsidRDefault="00602F5D">
          <w:pPr>
            <w:pStyle w:val="TOC3"/>
            <w:rPr>
              <w:rFonts w:asciiTheme="minorHAnsi" w:eastAsiaTheme="minorEastAsia" w:hAnsiTheme="minorHAnsi" w:cstheme="minorBidi"/>
              <w:noProof/>
              <w:lang w:eastAsia="en-AU"/>
            </w:rPr>
          </w:pPr>
          <w:hyperlink w:anchor="_Toc404950769" w:history="1">
            <w:r w:rsidR="00B20578" w:rsidRPr="00176500">
              <w:rPr>
                <w:rStyle w:val="Hyperlink"/>
                <w:noProof/>
              </w:rPr>
              <w:t>Dosage selection for the pivotal studies</w:t>
            </w:r>
            <w:r w:rsidR="00B20578">
              <w:rPr>
                <w:noProof/>
                <w:webHidden/>
              </w:rPr>
              <w:tab/>
            </w:r>
            <w:r w:rsidR="00B20578">
              <w:rPr>
                <w:noProof/>
                <w:webHidden/>
              </w:rPr>
              <w:fldChar w:fldCharType="begin"/>
            </w:r>
            <w:r w:rsidR="00B20578">
              <w:rPr>
                <w:noProof/>
                <w:webHidden/>
              </w:rPr>
              <w:instrText xml:space="preserve"> PAGEREF _Toc404950769 \h </w:instrText>
            </w:r>
            <w:r w:rsidR="00B20578">
              <w:rPr>
                <w:noProof/>
                <w:webHidden/>
              </w:rPr>
            </w:r>
            <w:r w:rsidR="00B20578">
              <w:rPr>
                <w:noProof/>
                <w:webHidden/>
              </w:rPr>
              <w:fldChar w:fldCharType="separate"/>
            </w:r>
            <w:r w:rsidR="00B20578">
              <w:rPr>
                <w:noProof/>
                <w:webHidden/>
              </w:rPr>
              <w:t>11</w:t>
            </w:r>
            <w:r w:rsidR="00B20578">
              <w:rPr>
                <w:noProof/>
                <w:webHidden/>
              </w:rPr>
              <w:fldChar w:fldCharType="end"/>
            </w:r>
          </w:hyperlink>
        </w:p>
        <w:p w:rsidR="00B20578" w:rsidRDefault="00602F5D">
          <w:pPr>
            <w:pStyle w:val="TOC3"/>
            <w:rPr>
              <w:rFonts w:asciiTheme="minorHAnsi" w:eastAsiaTheme="minorEastAsia" w:hAnsiTheme="minorHAnsi" w:cstheme="minorBidi"/>
              <w:noProof/>
              <w:lang w:eastAsia="en-AU"/>
            </w:rPr>
          </w:pPr>
          <w:hyperlink w:anchor="_Toc404950770" w:history="1">
            <w:r w:rsidR="00B20578" w:rsidRPr="00176500">
              <w:rPr>
                <w:rStyle w:val="Hyperlink"/>
                <w:noProof/>
              </w:rPr>
              <w:t>Efficacy</w:t>
            </w:r>
            <w:r w:rsidR="00B20578">
              <w:rPr>
                <w:noProof/>
                <w:webHidden/>
              </w:rPr>
              <w:tab/>
            </w:r>
            <w:r w:rsidR="00B20578">
              <w:rPr>
                <w:noProof/>
                <w:webHidden/>
              </w:rPr>
              <w:fldChar w:fldCharType="begin"/>
            </w:r>
            <w:r w:rsidR="00B20578">
              <w:rPr>
                <w:noProof/>
                <w:webHidden/>
              </w:rPr>
              <w:instrText xml:space="preserve"> PAGEREF _Toc404950770 \h </w:instrText>
            </w:r>
            <w:r w:rsidR="00B20578">
              <w:rPr>
                <w:noProof/>
                <w:webHidden/>
              </w:rPr>
            </w:r>
            <w:r w:rsidR="00B20578">
              <w:rPr>
                <w:noProof/>
                <w:webHidden/>
              </w:rPr>
              <w:fldChar w:fldCharType="separate"/>
            </w:r>
            <w:r w:rsidR="00B20578">
              <w:rPr>
                <w:noProof/>
                <w:webHidden/>
              </w:rPr>
              <w:t>11</w:t>
            </w:r>
            <w:r w:rsidR="00B20578">
              <w:rPr>
                <w:noProof/>
                <w:webHidden/>
              </w:rPr>
              <w:fldChar w:fldCharType="end"/>
            </w:r>
          </w:hyperlink>
        </w:p>
        <w:p w:rsidR="00B20578" w:rsidRDefault="00602F5D">
          <w:pPr>
            <w:pStyle w:val="TOC3"/>
            <w:rPr>
              <w:rFonts w:asciiTheme="minorHAnsi" w:eastAsiaTheme="minorEastAsia" w:hAnsiTheme="minorHAnsi" w:cstheme="minorBidi"/>
              <w:noProof/>
              <w:lang w:eastAsia="en-AU"/>
            </w:rPr>
          </w:pPr>
          <w:hyperlink w:anchor="_Toc404950771" w:history="1">
            <w:r w:rsidR="00B20578" w:rsidRPr="00176500">
              <w:rPr>
                <w:rStyle w:val="Hyperlink"/>
                <w:noProof/>
              </w:rPr>
              <w:t>Safety</w:t>
            </w:r>
            <w:r w:rsidR="00B20578">
              <w:rPr>
                <w:noProof/>
                <w:webHidden/>
              </w:rPr>
              <w:tab/>
            </w:r>
            <w:r w:rsidR="00B20578">
              <w:rPr>
                <w:noProof/>
                <w:webHidden/>
              </w:rPr>
              <w:fldChar w:fldCharType="begin"/>
            </w:r>
            <w:r w:rsidR="00B20578">
              <w:rPr>
                <w:noProof/>
                <w:webHidden/>
              </w:rPr>
              <w:instrText xml:space="preserve"> PAGEREF _Toc404950771 \h </w:instrText>
            </w:r>
            <w:r w:rsidR="00B20578">
              <w:rPr>
                <w:noProof/>
                <w:webHidden/>
              </w:rPr>
            </w:r>
            <w:r w:rsidR="00B20578">
              <w:rPr>
                <w:noProof/>
                <w:webHidden/>
              </w:rPr>
              <w:fldChar w:fldCharType="separate"/>
            </w:r>
            <w:r w:rsidR="00B20578">
              <w:rPr>
                <w:noProof/>
                <w:webHidden/>
              </w:rPr>
              <w:t>11</w:t>
            </w:r>
            <w:r w:rsidR="00B20578">
              <w:rPr>
                <w:noProof/>
                <w:webHidden/>
              </w:rPr>
              <w:fldChar w:fldCharType="end"/>
            </w:r>
          </w:hyperlink>
        </w:p>
        <w:p w:rsidR="00B20578" w:rsidRDefault="00602F5D">
          <w:pPr>
            <w:pStyle w:val="TOC3"/>
            <w:rPr>
              <w:rFonts w:asciiTheme="minorHAnsi" w:eastAsiaTheme="minorEastAsia" w:hAnsiTheme="minorHAnsi" w:cstheme="minorBidi"/>
              <w:noProof/>
              <w:lang w:eastAsia="en-AU"/>
            </w:rPr>
          </w:pPr>
          <w:hyperlink w:anchor="_Toc404950772" w:history="1">
            <w:r w:rsidR="00B20578" w:rsidRPr="00176500">
              <w:rPr>
                <w:rStyle w:val="Hyperlink"/>
                <w:noProof/>
              </w:rPr>
              <w:t>First round benefit-risk assessment</w:t>
            </w:r>
            <w:r w:rsidR="00B20578">
              <w:rPr>
                <w:noProof/>
                <w:webHidden/>
              </w:rPr>
              <w:tab/>
            </w:r>
            <w:r w:rsidR="00B20578">
              <w:rPr>
                <w:noProof/>
                <w:webHidden/>
              </w:rPr>
              <w:fldChar w:fldCharType="begin"/>
            </w:r>
            <w:r w:rsidR="00B20578">
              <w:rPr>
                <w:noProof/>
                <w:webHidden/>
              </w:rPr>
              <w:instrText xml:space="preserve"> PAGEREF _Toc404950772 \h </w:instrText>
            </w:r>
            <w:r w:rsidR="00B20578">
              <w:rPr>
                <w:noProof/>
                <w:webHidden/>
              </w:rPr>
            </w:r>
            <w:r w:rsidR="00B20578">
              <w:rPr>
                <w:noProof/>
                <w:webHidden/>
              </w:rPr>
              <w:fldChar w:fldCharType="separate"/>
            </w:r>
            <w:r w:rsidR="00B20578">
              <w:rPr>
                <w:noProof/>
                <w:webHidden/>
              </w:rPr>
              <w:t>13</w:t>
            </w:r>
            <w:r w:rsidR="00B20578">
              <w:rPr>
                <w:noProof/>
                <w:webHidden/>
              </w:rPr>
              <w:fldChar w:fldCharType="end"/>
            </w:r>
          </w:hyperlink>
        </w:p>
        <w:p w:rsidR="00B20578" w:rsidRDefault="00602F5D">
          <w:pPr>
            <w:pStyle w:val="TOC3"/>
            <w:rPr>
              <w:rFonts w:asciiTheme="minorHAnsi" w:eastAsiaTheme="minorEastAsia" w:hAnsiTheme="minorHAnsi" w:cstheme="minorBidi"/>
              <w:noProof/>
              <w:lang w:eastAsia="en-AU"/>
            </w:rPr>
          </w:pPr>
          <w:hyperlink w:anchor="_Toc404950773" w:history="1">
            <w:r w:rsidR="00B20578" w:rsidRPr="00176500">
              <w:rPr>
                <w:rStyle w:val="Hyperlink"/>
                <w:noProof/>
              </w:rPr>
              <w:t>First round recommendation regarding authorisation</w:t>
            </w:r>
            <w:r w:rsidR="00B20578">
              <w:rPr>
                <w:noProof/>
                <w:webHidden/>
              </w:rPr>
              <w:tab/>
            </w:r>
            <w:r w:rsidR="00B20578">
              <w:rPr>
                <w:noProof/>
                <w:webHidden/>
              </w:rPr>
              <w:fldChar w:fldCharType="begin"/>
            </w:r>
            <w:r w:rsidR="00B20578">
              <w:rPr>
                <w:noProof/>
                <w:webHidden/>
              </w:rPr>
              <w:instrText xml:space="preserve"> PAGEREF _Toc404950773 \h </w:instrText>
            </w:r>
            <w:r w:rsidR="00B20578">
              <w:rPr>
                <w:noProof/>
                <w:webHidden/>
              </w:rPr>
            </w:r>
            <w:r w:rsidR="00B20578">
              <w:rPr>
                <w:noProof/>
                <w:webHidden/>
              </w:rPr>
              <w:fldChar w:fldCharType="separate"/>
            </w:r>
            <w:r w:rsidR="00B20578">
              <w:rPr>
                <w:noProof/>
                <w:webHidden/>
              </w:rPr>
              <w:t>14</w:t>
            </w:r>
            <w:r w:rsidR="00B20578">
              <w:rPr>
                <w:noProof/>
                <w:webHidden/>
              </w:rPr>
              <w:fldChar w:fldCharType="end"/>
            </w:r>
          </w:hyperlink>
        </w:p>
        <w:p w:rsidR="00B20578" w:rsidRDefault="00602F5D">
          <w:pPr>
            <w:pStyle w:val="TOC3"/>
            <w:rPr>
              <w:rFonts w:asciiTheme="minorHAnsi" w:eastAsiaTheme="minorEastAsia" w:hAnsiTheme="minorHAnsi" w:cstheme="minorBidi"/>
              <w:noProof/>
              <w:lang w:eastAsia="en-AU"/>
            </w:rPr>
          </w:pPr>
          <w:hyperlink w:anchor="_Toc404950774" w:history="1">
            <w:r w:rsidR="00B20578" w:rsidRPr="00176500">
              <w:rPr>
                <w:rStyle w:val="Hyperlink"/>
                <w:noProof/>
              </w:rPr>
              <w:t>Clinical questions</w:t>
            </w:r>
            <w:r w:rsidR="00B20578">
              <w:rPr>
                <w:noProof/>
                <w:webHidden/>
              </w:rPr>
              <w:tab/>
            </w:r>
            <w:r w:rsidR="00B20578">
              <w:rPr>
                <w:noProof/>
                <w:webHidden/>
              </w:rPr>
              <w:fldChar w:fldCharType="begin"/>
            </w:r>
            <w:r w:rsidR="00B20578">
              <w:rPr>
                <w:noProof/>
                <w:webHidden/>
              </w:rPr>
              <w:instrText xml:space="preserve"> PAGEREF _Toc404950774 \h </w:instrText>
            </w:r>
            <w:r w:rsidR="00B20578">
              <w:rPr>
                <w:noProof/>
                <w:webHidden/>
              </w:rPr>
            </w:r>
            <w:r w:rsidR="00B20578">
              <w:rPr>
                <w:noProof/>
                <w:webHidden/>
              </w:rPr>
              <w:fldChar w:fldCharType="separate"/>
            </w:r>
            <w:r w:rsidR="00B20578">
              <w:rPr>
                <w:noProof/>
                <w:webHidden/>
              </w:rPr>
              <w:t>14</w:t>
            </w:r>
            <w:r w:rsidR="00B20578">
              <w:rPr>
                <w:noProof/>
                <w:webHidden/>
              </w:rPr>
              <w:fldChar w:fldCharType="end"/>
            </w:r>
          </w:hyperlink>
        </w:p>
        <w:p w:rsidR="00B20578" w:rsidRDefault="00602F5D">
          <w:pPr>
            <w:pStyle w:val="TOC2"/>
            <w:rPr>
              <w:rFonts w:asciiTheme="minorHAnsi" w:eastAsiaTheme="minorEastAsia" w:hAnsiTheme="minorHAnsi" w:cstheme="minorBidi"/>
              <w:b w:val="0"/>
              <w:noProof/>
              <w:sz w:val="22"/>
              <w:lang w:eastAsia="en-AU"/>
            </w:rPr>
          </w:pPr>
          <w:hyperlink w:anchor="_Toc404950775" w:history="1">
            <w:r w:rsidR="00B20578" w:rsidRPr="00176500">
              <w:rPr>
                <w:rStyle w:val="Hyperlink"/>
                <w:noProof/>
              </w:rPr>
              <w:t>V. Pharmacovigilance findings</w:t>
            </w:r>
            <w:r w:rsidR="00B20578">
              <w:rPr>
                <w:noProof/>
                <w:webHidden/>
              </w:rPr>
              <w:tab/>
            </w:r>
            <w:r w:rsidR="00B20578">
              <w:rPr>
                <w:noProof/>
                <w:webHidden/>
              </w:rPr>
              <w:fldChar w:fldCharType="begin"/>
            </w:r>
            <w:r w:rsidR="00B20578">
              <w:rPr>
                <w:noProof/>
                <w:webHidden/>
              </w:rPr>
              <w:instrText xml:space="preserve"> PAGEREF _Toc404950775 \h </w:instrText>
            </w:r>
            <w:r w:rsidR="00B20578">
              <w:rPr>
                <w:noProof/>
                <w:webHidden/>
              </w:rPr>
            </w:r>
            <w:r w:rsidR="00B20578">
              <w:rPr>
                <w:noProof/>
                <w:webHidden/>
              </w:rPr>
              <w:fldChar w:fldCharType="separate"/>
            </w:r>
            <w:r w:rsidR="00B20578">
              <w:rPr>
                <w:noProof/>
                <w:webHidden/>
              </w:rPr>
              <w:t>14</w:t>
            </w:r>
            <w:r w:rsidR="00B20578">
              <w:rPr>
                <w:noProof/>
                <w:webHidden/>
              </w:rPr>
              <w:fldChar w:fldCharType="end"/>
            </w:r>
          </w:hyperlink>
        </w:p>
        <w:p w:rsidR="00B20578" w:rsidRDefault="00602F5D">
          <w:pPr>
            <w:pStyle w:val="TOC3"/>
            <w:rPr>
              <w:rFonts w:asciiTheme="minorHAnsi" w:eastAsiaTheme="minorEastAsia" w:hAnsiTheme="minorHAnsi" w:cstheme="minorBidi"/>
              <w:noProof/>
              <w:lang w:eastAsia="en-AU"/>
            </w:rPr>
          </w:pPr>
          <w:hyperlink w:anchor="_Toc404950776" w:history="1">
            <w:r w:rsidR="00B20578" w:rsidRPr="00176500">
              <w:rPr>
                <w:rStyle w:val="Hyperlink"/>
                <w:noProof/>
                <w:lang w:eastAsia="en-AU"/>
              </w:rPr>
              <w:t xml:space="preserve">Risk </w:t>
            </w:r>
            <w:r w:rsidR="00B20578" w:rsidRPr="00176500">
              <w:rPr>
                <w:rStyle w:val="Hyperlink"/>
                <w:noProof/>
              </w:rPr>
              <w:t>management</w:t>
            </w:r>
            <w:r w:rsidR="00B20578" w:rsidRPr="00176500">
              <w:rPr>
                <w:rStyle w:val="Hyperlink"/>
                <w:noProof/>
                <w:lang w:eastAsia="en-AU"/>
              </w:rPr>
              <w:t xml:space="preserve"> plan</w:t>
            </w:r>
            <w:r w:rsidR="00B20578">
              <w:rPr>
                <w:noProof/>
                <w:webHidden/>
              </w:rPr>
              <w:tab/>
            </w:r>
            <w:r w:rsidR="00B20578">
              <w:rPr>
                <w:noProof/>
                <w:webHidden/>
              </w:rPr>
              <w:fldChar w:fldCharType="begin"/>
            </w:r>
            <w:r w:rsidR="00B20578">
              <w:rPr>
                <w:noProof/>
                <w:webHidden/>
              </w:rPr>
              <w:instrText xml:space="preserve"> PAGEREF _Toc404950776 \h </w:instrText>
            </w:r>
            <w:r w:rsidR="00B20578">
              <w:rPr>
                <w:noProof/>
                <w:webHidden/>
              </w:rPr>
            </w:r>
            <w:r w:rsidR="00B20578">
              <w:rPr>
                <w:noProof/>
                <w:webHidden/>
              </w:rPr>
              <w:fldChar w:fldCharType="separate"/>
            </w:r>
            <w:r w:rsidR="00B20578">
              <w:rPr>
                <w:noProof/>
                <w:webHidden/>
              </w:rPr>
              <w:t>14</w:t>
            </w:r>
            <w:r w:rsidR="00B20578">
              <w:rPr>
                <w:noProof/>
                <w:webHidden/>
              </w:rPr>
              <w:fldChar w:fldCharType="end"/>
            </w:r>
          </w:hyperlink>
        </w:p>
        <w:p w:rsidR="00B20578" w:rsidRDefault="00602F5D">
          <w:pPr>
            <w:pStyle w:val="TOC2"/>
            <w:rPr>
              <w:rFonts w:asciiTheme="minorHAnsi" w:eastAsiaTheme="minorEastAsia" w:hAnsiTheme="minorHAnsi" w:cstheme="minorBidi"/>
              <w:b w:val="0"/>
              <w:noProof/>
              <w:sz w:val="22"/>
              <w:lang w:eastAsia="en-AU"/>
            </w:rPr>
          </w:pPr>
          <w:hyperlink w:anchor="_Toc404950777" w:history="1">
            <w:r w:rsidR="00B20578" w:rsidRPr="00176500">
              <w:rPr>
                <w:rStyle w:val="Hyperlink"/>
                <w:noProof/>
              </w:rPr>
              <w:t>VI. Overall conclusion and risk/benefit assessment</w:t>
            </w:r>
            <w:r w:rsidR="00B20578">
              <w:rPr>
                <w:noProof/>
                <w:webHidden/>
              </w:rPr>
              <w:tab/>
            </w:r>
            <w:r w:rsidR="00B20578">
              <w:rPr>
                <w:noProof/>
                <w:webHidden/>
              </w:rPr>
              <w:fldChar w:fldCharType="begin"/>
            </w:r>
            <w:r w:rsidR="00B20578">
              <w:rPr>
                <w:noProof/>
                <w:webHidden/>
              </w:rPr>
              <w:instrText xml:space="preserve"> PAGEREF _Toc404950777 \h </w:instrText>
            </w:r>
            <w:r w:rsidR="00B20578">
              <w:rPr>
                <w:noProof/>
                <w:webHidden/>
              </w:rPr>
            </w:r>
            <w:r w:rsidR="00B20578">
              <w:rPr>
                <w:noProof/>
                <w:webHidden/>
              </w:rPr>
              <w:fldChar w:fldCharType="separate"/>
            </w:r>
            <w:r w:rsidR="00B20578">
              <w:rPr>
                <w:noProof/>
                <w:webHidden/>
              </w:rPr>
              <w:t>25</w:t>
            </w:r>
            <w:r w:rsidR="00B20578">
              <w:rPr>
                <w:noProof/>
                <w:webHidden/>
              </w:rPr>
              <w:fldChar w:fldCharType="end"/>
            </w:r>
          </w:hyperlink>
        </w:p>
        <w:p w:rsidR="00B20578" w:rsidRDefault="00602F5D">
          <w:pPr>
            <w:pStyle w:val="TOC3"/>
            <w:rPr>
              <w:rFonts w:asciiTheme="minorHAnsi" w:eastAsiaTheme="minorEastAsia" w:hAnsiTheme="minorHAnsi" w:cstheme="minorBidi"/>
              <w:noProof/>
              <w:lang w:eastAsia="en-AU"/>
            </w:rPr>
          </w:pPr>
          <w:hyperlink w:anchor="_Toc404950778" w:history="1">
            <w:r w:rsidR="00B20578" w:rsidRPr="00176500">
              <w:rPr>
                <w:rStyle w:val="Hyperlink"/>
                <w:noProof/>
              </w:rPr>
              <w:t>Quality</w:t>
            </w:r>
            <w:r w:rsidR="00B20578">
              <w:rPr>
                <w:noProof/>
                <w:webHidden/>
              </w:rPr>
              <w:tab/>
            </w:r>
            <w:r w:rsidR="00B20578">
              <w:rPr>
                <w:noProof/>
                <w:webHidden/>
              </w:rPr>
              <w:fldChar w:fldCharType="begin"/>
            </w:r>
            <w:r w:rsidR="00B20578">
              <w:rPr>
                <w:noProof/>
                <w:webHidden/>
              </w:rPr>
              <w:instrText xml:space="preserve"> PAGEREF _Toc404950778 \h </w:instrText>
            </w:r>
            <w:r w:rsidR="00B20578">
              <w:rPr>
                <w:noProof/>
                <w:webHidden/>
              </w:rPr>
            </w:r>
            <w:r w:rsidR="00B20578">
              <w:rPr>
                <w:noProof/>
                <w:webHidden/>
              </w:rPr>
              <w:fldChar w:fldCharType="separate"/>
            </w:r>
            <w:r w:rsidR="00B20578">
              <w:rPr>
                <w:noProof/>
                <w:webHidden/>
              </w:rPr>
              <w:t>25</w:t>
            </w:r>
            <w:r w:rsidR="00B20578">
              <w:rPr>
                <w:noProof/>
                <w:webHidden/>
              </w:rPr>
              <w:fldChar w:fldCharType="end"/>
            </w:r>
          </w:hyperlink>
        </w:p>
        <w:p w:rsidR="00B20578" w:rsidRDefault="00602F5D">
          <w:pPr>
            <w:pStyle w:val="TOC3"/>
            <w:rPr>
              <w:rFonts w:asciiTheme="minorHAnsi" w:eastAsiaTheme="minorEastAsia" w:hAnsiTheme="minorHAnsi" w:cstheme="minorBidi"/>
              <w:noProof/>
              <w:lang w:eastAsia="en-AU"/>
            </w:rPr>
          </w:pPr>
          <w:hyperlink w:anchor="_Toc404950779" w:history="1">
            <w:r w:rsidR="00B20578" w:rsidRPr="00176500">
              <w:rPr>
                <w:rStyle w:val="Hyperlink"/>
                <w:noProof/>
              </w:rPr>
              <w:t>Nonclinical</w:t>
            </w:r>
            <w:r w:rsidR="00B20578">
              <w:rPr>
                <w:noProof/>
                <w:webHidden/>
              </w:rPr>
              <w:tab/>
            </w:r>
            <w:r w:rsidR="00B20578">
              <w:rPr>
                <w:noProof/>
                <w:webHidden/>
              </w:rPr>
              <w:fldChar w:fldCharType="begin"/>
            </w:r>
            <w:r w:rsidR="00B20578">
              <w:rPr>
                <w:noProof/>
                <w:webHidden/>
              </w:rPr>
              <w:instrText xml:space="preserve"> PAGEREF _Toc404950779 \h </w:instrText>
            </w:r>
            <w:r w:rsidR="00B20578">
              <w:rPr>
                <w:noProof/>
                <w:webHidden/>
              </w:rPr>
            </w:r>
            <w:r w:rsidR="00B20578">
              <w:rPr>
                <w:noProof/>
                <w:webHidden/>
              </w:rPr>
              <w:fldChar w:fldCharType="separate"/>
            </w:r>
            <w:r w:rsidR="00B20578">
              <w:rPr>
                <w:noProof/>
                <w:webHidden/>
              </w:rPr>
              <w:t>25</w:t>
            </w:r>
            <w:r w:rsidR="00B20578">
              <w:rPr>
                <w:noProof/>
                <w:webHidden/>
              </w:rPr>
              <w:fldChar w:fldCharType="end"/>
            </w:r>
          </w:hyperlink>
        </w:p>
        <w:p w:rsidR="00B20578" w:rsidRDefault="00602F5D">
          <w:pPr>
            <w:pStyle w:val="TOC3"/>
            <w:rPr>
              <w:rFonts w:asciiTheme="minorHAnsi" w:eastAsiaTheme="minorEastAsia" w:hAnsiTheme="minorHAnsi" w:cstheme="minorBidi"/>
              <w:noProof/>
              <w:lang w:eastAsia="en-AU"/>
            </w:rPr>
          </w:pPr>
          <w:hyperlink w:anchor="_Toc404950780" w:history="1">
            <w:r w:rsidR="00B20578" w:rsidRPr="00176500">
              <w:rPr>
                <w:rStyle w:val="Hyperlink"/>
                <w:noProof/>
              </w:rPr>
              <w:t>Clinical</w:t>
            </w:r>
            <w:r w:rsidR="00B20578">
              <w:rPr>
                <w:noProof/>
                <w:webHidden/>
              </w:rPr>
              <w:tab/>
            </w:r>
            <w:r w:rsidR="00B20578">
              <w:rPr>
                <w:noProof/>
                <w:webHidden/>
              </w:rPr>
              <w:fldChar w:fldCharType="begin"/>
            </w:r>
            <w:r w:rsidR="00B20578">
              <w:rPr>
                <w:noProof/>
                <w:webHidden/>
              </w:rPr>
              <w:instrText xml:space="preserve"> PAGEREF _Toc404950780 \h </w:instrText>
            </w:r>
            <w:r w:rsidR="00B20578">
              <w:rPr>
                <w:noProof/>
                <w:webHidden/>
              </w:rPr>
            </w:r>
            <w:r w:rsidR="00B20578">
              <w:rPr>
                <w:noProof/>
                <w:webHidden/>
              </w:rPr>
              <w:fldChar w:fldCharType="separate"/>
            </w:r>
            <w:r w:rsidR="00B20578">
              <w:rPr>
                <w:noProof/>
                <w:webHidden/>
              </w:rPr>
              <w:t>25</w:t>
            </w:r>
            <w:r w:rsidR="00B20578">
              <w:rPr>
                <w:noProof/>
                <w:webHidden/>
              </w:rPr>
              <w:fldChar w:fldCharType="end"/>
            </w:r>
          </w:hyperlink>
        </w:p>
        <w:p w:rsidR="00B20578" w:rsidRDefault="00602F5D">
          <w:pPr>
            <w:pStyle w:val="TOC3"/>
            <w:rPr>
              <w:rFonts w:asciiTheme="minorHAnsi" w:eastAsiaTheme="minorEastAsia" w:hAnsiTheme="minorHAnsi" w:cstheme="minorBidi"/>
              <w:noProof/>
              <w:lang w:eastAsia="en-AU"/>
            </w:rPr>
          </w:pPr>
          <w:hyperlink w:anchor="_Toc404950781" w:history="1">
            <w:r w:rsidR="00B20578" w:rsidRPr="00176500">
              <w:rPr>
                <w:rStyle w:val="Hyperlink"/>
                <w:noProof/>
                <w:lang w:eastAsia="en-AU"/>
              </w:rPr>
              <w:t xml:space="preserve">Risk </w:t>
            </w:r>
            <w:r w:rsidR="00B20578" w:rsidRPr="00176500">
              <w:rPr>
                <w:rStyle w:val="Hyperlink"/>
                <w:noProof/>
              </w:rPr>
              <w:t>management</w:t>
            </w:r>
            <w:r w:rsidR="00B20578" w:rsidRPr="00176500">
              <w:rPr>
                <w:rStyle w:val="Hyperlink"/>
                <w:noProof/>
                <w:lang w:eastAsia="en-AU"/>
              </w:rPr>
              <w:t xml:space="preserve"> plan</w:t>
            </w:r>
            <w:r w:rsidR="00B20578">
              <w:rPr>
                <w:noProof/>
                <w:webHidden/>
              </w:rPr>
              <w:tab/>
            </w:r>
            <w:r w:rsidR="00B20578">
              <w:rPr>
                <w:noProof/>
                <w:webHidden/>
              </w:rPr>
              <w:fldChar w:fldCharType="begin"/>
            </w:r>
            <w:r w:rsidR="00B20578">
              <w:rPr>
                <w:noProof/>
                <w:webHidden/>
              </w:rPr>
              <w:instrText xml:space="preserve"> PAGEREF _Toc404950781 \h </w:instrText>
            </w:r>
            <w:r w:rsidR="00B20578">
              <w:rPr>
                <w:noProof/>
                <w:webHidden/>
              </w:rPr>
            </w:r>
            <w:r w:rsidR="00B20578">
              <w:rPr>
                <w:noProof/>
                <w:webHidden/>
              </w:rPr>
              <w:fldChar w:fldCharType="separate"/>
            </w:r>
            <w:r w:rsidR="00B20578">
              <w:rPr>
                <w:noProof/>
                <w:webHidden/>
              </w:rPr>
              <w:t>35</w:t>
            </w:r>
            <w:r w:rsidR="00B20578">
              <w:rPr>
                <w:noProof/>
                <w:webHidden/>
              </w:rPr>
              <w:fldChar w:fldCharType="end"/>
            </w:r>
          </w:hyperlink>
        </w:p>
        <w:p w:rsidR="00B20578" w:rsidRDefault="00602F5D">
          <w:pPr>
            <w:pStyle w:val="TOC3"/>
            <w:rPr>
              <w:rFonts w:asciiTheme="minorHAnsi" w:eastAsiaTheme="minorEastAsia" w:hAnsiTheme="minorHAnsi" w:cstheme="minorBidi"/>
              <w:noProof/>
              <w:lang w:eastAsia="en-AU"/>
            </w:rPr>
          </w:pPr>
          <w:hyperlink w:anchor="_Toc404950782" w:history="1">
            <w:r w:rsidR="00B20578" w:rsidRPr="00176500">
              <w:rPr>
                <w:rStyle w:val="Hyperlink"/>
                <w:noProof/>
              </w:rPr>
              <w:t>Risk-benefit analysis</w:t>
            </w:r>
            <w:r w:rsidR="00B20578">
              <w:rPr>
                <w:noProof/>
                <w:webHidden/>
              </w:rPr>
              <w:tab/>
            </w:r>
            <w:r w:rsidR="00B20578">
              <w:rPr>
                <w:noProof/>
                <w:webHidden/>
              </w:rPr>
              <w:fldChar w:fldCharType="begin"/>
            </w:r>
            <w:r w:rsidR="00B20578">
              <w:rPr>
                <w:noProof/>
                <w:webHidden/>
              </w:rPr>
              <w:instrText xml:space="preserve"> PAGEREF _Toc404950782 \h </w:instrText>
            </w:r>
            <w:r w:rsidR="00B20578">
              <w:rPr>
                <w:noProof/>
                <w:webHidden/>
              </w:rPr>
            </w:r>
            <w:r w:rsidR="00B20578">
              <w:rPr>
                <w:noProof/>
                <w:webHidden/>
              </w:rPr>
              <w:fldChar w:fldCharType="separate"/>
            </w:r>
            <w:r w:rsidR="00B20578">
              <w:rPr>
                <w:noProof/>
                <w:webHidden/>
              </w:rPr>
              <w:t>35</w:t>
            </w:r>
            <w:r w:rsidR="00B20578">
              <w:rPr>
                <w:noProof/>
                <w:webHidden/>
              </w:rPr>
              <w:fldChar w:fldCharType="end"/>
            </w:r>
          </w:hyperlink>
        </w:p>
        <w:p w:rsidR="00B20578" w:rsidRDefault="00602F5D">
          <w:pPr>
            <w:pStyle w:val="TOC3"/>
            <w:rPr>
              <w:rFonts w:asciiTheme="minorHAnsi" w:eastAsiaTheme="minorEastAsia" w:hAnsiTheme="minorHAnsi" w:cstheme="minorBidi"/>
              <w:noProof/>
              <w:lang w:eastAsia="en-AU"/>
            </w:rPr>
          </w:pPr>
          <w:hyperlink w:anchor="_Toc404950783" w:history="1">
            <w:r w:rsidR="00B20578" w:rsidRPr="00176500">
              <w:rPr>
                <w:rStyle w:val="Hyperlink"/>
                <w:noProof/>
              </w:rPr>
              <w:t>Initial outcome</w:t>
            </w:r>
            <w:r w:rsidR="00B20578">
              <w:rPr>
                <w:noProof/>
                <w:webHidden/>
              </w:rPr>
              <w:tab/>
            </w:r>
            <w:r w:rsidR="00B20578">
              <w:rPr>
                <w:noProof/>
                <w:webHidden/>
              </w:rPr>
              <w:fldChar w:fldCharType="begin"/>
            </w:r>
            <w:r w:rsidR="00B20578">
              <w:rPr>
                <w:noProof/>
                <w:webHidden/>
              </w:rPr>
              <w:instrText xml:space="preserve"> PAGEREF _Toc404950783 \h </w:instrText>
            </w:r>
            <w:r w:rsidR="00B20578">
              <w:rPr>
                <w:noProof/>
                <w:webHidden/>
              </w:rPr>
            </w:r>
            <w:r w:rsidR="00B20578">
              <w:rPr>
                <w:noProof/>
                <w:webHidden/>
              </w:rPr>
              <w:fldChar w:fldCharType="separate"/>
            </w:r>
            <w:r w:rsidR="00B20578">
              <w:rPr>
                <w:noProof/>
                <w:webHidden/>
              </w:rPr>
              <w:t>48</w:t>
            </w:r>
            <w:r w:rsidR="00B20578">
              <w:rPr>
                <w:noProof/>
                <w:webHidden/>
              </w:rPr>
              <w:fldChar w:fldCharType="end"/>
            </w:r>
          </w:hyperlink>
        </w:p>
        <w:p w:rsidR="00B20578" w:rsidRDefault="00602F5D">
          <w:pPr>
            <w:pStyle w:val="TOC3"/>
            <w:rPr>
              <w:rFonts w:asciiTheme="minorHAnsi" w:eastAsiaTheme="minorEastAsia" w:hAnsiTheme="minorHAnsi" w:cstheme="minorBidi"/>
              <w:noProof/>
              <w:lang w:eastAsia="en-AU"/>
            </w:rPr>
          </w:pPr>
          <w:hyperlink w:anchor="_Toc404950784" w:history="1">
            <w:r w:rsidR="00B20578" w:rsidRPr="00176500">
              <w:rPr>
                <w:rStyle w:val="Hyperlink"/>
                <w:noProof/>
              </w:rPr>
              <w:t>Final outcome</w:t>
            </w:r>
            <w:r w:rsidR="00B20578">
              <w:rPr>
                <w:noProof/>
                <w:webHidden/>
              </w:rPr>
              <w:tab/>
            </w:r>
            <w:r w:rsidR="00B20578">
              <w:rPr>
                <w:noProof/>
                <w:webHidden/>
              </w:rPr>
              <w:fldChar w:fldCharType="begin"/>
            </w:r>
            <w:r w:rsidR="00B20578">
              <w:rPr>
                <w:noProof/>
                <w:webHidden/>
              </w:rPr>
              <w:instrText xml:space="preserve"> PAGEREF _Toc404950784 \h </w:instrText>
            </w:r>
            <w:r w:rsidR="00B20578">
              <w:rPr>
                <w:noProof/>
                <w:webHidden/>
              </w:rPr>
            </w:r>
            <w:r w:rsidR="00B20578">
              <w:rPr>
                <w:noProof/>
                <w:webHidden/>
              </w:rPr>
              <w:fldChar w:fldCharType="separate"/>
            </w:r>
            <w:r w:rsidR="00B20578">
              <w:rPr>
                <w:noProof/>
                <w:webHidden/>
              </w:rPr>
              <w:t>49</w:t>
            </w:r>
            <w:r w:rsidR="00B20578">
              <w:rPr>
                <w:noProof/>
                <w:webHidden/>
              </w:rPr>
              <w:fldChar w:fldCharType="end"/>
            </w:r>
          </w:hyperlink>
        </w:p>
        <w:p w:rsidR="00B20578" w:rsidRDefault="00602F5D">
          <w:pPr>
            <w:pStyle w:val="TOC2"/>
            <w:rPr>
              <w:rFonts w:asciiTheme="minorHAnsi" w:eastAsiaTheme="minorEastAsia" w:hAnsiTheme="minorHAnsi" w:cstheme="minorBidi"/>
              <w:b w:val="0"/>
              <w:noProof/>
              <w:sz w:val="22"/>
              <w:lang w:eastAsia="en-AU"/>
            </w:rPr>
          </w:pPr>
          <w:hyperlink w:anchor="_Toc404950785" w:history="1">
            <w:r w:rsidR="00B20578" w:rsidRPr="00176500">
              <w:rPr>
                <w:rStyle w:val="Hyperlink"/>
                <w:noProof/>
                <w:lang w:eastAsia="en-AU"/>
              </w:rPr>
              <w:t>Attachment 1. Extract from the Clinical Evaluation Report</w:t>
            </w:r>
            <w:r w:rsidR="00B20578">
              <w:rPr>
                <w:noProof/>
                <w:webHidden/>
              </w:rPr>
              <w:tab/>
            </w:r>
            <w:r w:rsidR="00B20578">
              <w:rPr>
                <w:noProof/>
                <w:webHidden/>
              </w:rPr>
              <w:fldChar w:fldCharType="begin"/>
            </w:r>
            <w:r w:rsidR="00B20578">
              <w:rPr>
                <w:noProof/>
                <w:webHidden/>
              </w:rPr>
              <w:instrText xml:space="preserve"> PAGEREF _Toc404950785 \h </w:instrText>
            </w:r>
            <w:r w:rsidR="00B20578">
              <w:rPr>
                <w:noProof/>
                <w:webHidden/>
              </w:rPr>
            </w:r>
            <w:r w:rsidR="00B20578">
              <w:rPr>
                <w:noProof/>
                <w:webHidden/>
              </w:rPr>
              <w:fldChar w:fldCharType="separate"/>
            </w:r>
            <w:r w:rsidR="00B20578">
              <w:rPr>
                <w:noProof/>
                <w:webHidden/>
              </w:rPr>
              <w:t>58</w:t>
            </w:r>
            <w:r w:rsidR="00B20578">
              <w:rPr>
                <w:noProof/>
                <w:webHidden/>
              </w:rPr>
              <w:fldChar w:fldCharType="end"/>
            </w:r>
          </w:hyperlink>
        </w:p>
        <w:p w:rsidR="003A7F6C" w:rsidRPr="00B811C6" w:rsidRDefault="00CC42CD" w:rsidP="00B811C6">
          <w:pPr>
            <w:pStyle w:val="TOC2"/>
          </w:pPr>
          <w:r>
            <w:fldChar w:fldCharType="end"/>
          </w:r>
        </w:p>
      </w:sdtContent>
    </w:sdt>
    <w:bookmarkStart w:id="3" w:name="_Toc314842482" w:displacedByCustomXml="prev"/>
    <w:p w:rsidR="003F0465" w:rsidRDefault="003F0465">
      <w:pPr>
        <w:spacing w:before="0" w:after="200" w:line="0" w:lineRule="auto"/>
        <w:rPr>
          <w:rFonts w:ascii="Arial" w:eastAsia="Times New Roman" w:hAnsi="Arial"/>
          <w:b/>
          <w:bCs/>
          <w:sz w:val="32"/>
          <w:szCs w:val="26"/>
        </w:rPr>
      </w:pPr>
      <w:r>
        <w:br w:type="page"/>
      </w:r>
    </w:p>
    <w:p w:rsidR="00372263" w:rsidRDefault="00372263" w:rsidP="00E11AF3">
      <w:pPr>
        <w:pStyle w:val="Heading2"/>
      </w:pPr>
      <w:bookmarkStart w:id="4" w:name="_Toc404950758"/>
      <w:r>
        <w:lastRenderedPageBreak/>
        <w:t xml:space="preserve">List of commonly used </w:t>
      </w:r>
      <w:r w:rsidRPr="00E11AF3">
        <w:t>abbreviations</w:t>
      </w:r>
      <w:bookmarkEnd w:id="4"/>
    </w:p>
    <w:tbl>
      <w:tblPr>
        <w:tblStyle w:val="TableTGAblue"/>
        <w:tblW w:w="0" w:type="auto"/>
        <w:tblLook w:val="04A0" w:firstRow="1" w:lastRow="0" w:firstColumn="1" w:lastColumn="0" w:noHBand="0" w:noVBand="1"/>
      </w:tblPr>
      <w:tblGrid>
        <w:gridCol w:w="2328"/>
        <w:gridCol w:w="6392"/>
      </w:tblGrid>
      <w:tr w:rsidR="00372263" w:rsidTr="00E11AF3">
        <w:trPr>
          <w:cnfStyle w:val="100000000000" w:firstRow="1" w:lastRow="0" w:firstColumn="0" w:lastColumn="0" w:oddVBand="0" w:evenVBand="0" w:oddHBand="0" w:evenHBand="0" w:firstRowFirstColumn="0" w:firstRowLastColumn="0" w:lastRowFirstColumn="0" w:lastRowLastColumn="0"/>
        </w:trPr>
        <w:tc>
          <w:tcPr>
            <w:tcW w:w="2376" w:type="dxa"/>
          </w:tcPr>
          <w:p w:rsidR="00372263" w:rsidRPr="00874B8F" w:rsidRDefault="00372263" w:rsidP="00E11AF3">
            <w:r w:rsidRPr="00874B8F">
              <w:t>Abbreviation</w:t>
            </w:r>
          </w:p>
        </w:tc>
        <w:tc>
          <w:tcPr>
            <w:tcW w:w="6866" w:type="dxa"/>
          </w:tcPr>
          <w:p w:rsidR="00372263" w:rsidRPr="00874B8F" w:rsidRDefault="00372263" w:rsidP="00E11AF3">
            <w:r w:rsidRPr="00874B8F">
              <w:t>Meaning</w:t>
            </w:r>
          </w:p>
        </w:tc>
      </w:tr>
      <w:tr w:rsidR="00372263" w:rsidRPr="0017697C" w:rsidTr="00E11AF3">
        <w:tc>
          <w:tcPr>
            <w:tcW w:w="2376" w:type="dxa"/>
          </w:tcPr>
          <w:p w:rsidR="00372263" w:rsidRPr="00874B8F" w:rsidRDefault="00372263" w:rsidP="0034030B">
            <w:pPr>
              <w:pStyle w:val="NoSpacing"/>
              <w:spacing w:before="120" w:after="120"/>
              <w:rPr>
                <w:sz w:val="20"/>
                <w:szCs w:val="20"/>
              </w:rPr>
            </w:pPr>
            <w:r w:rsidRPr="00874B8F">
              <w:rPr>
                <w:sz w:val="20"/>
                <w:szCs w:val="20"/>
              </w:rPr>
              <w:t>AE</w:t>
            </w:r>
          </w:p>
        </w:tc>
        <w:tc>
          <w:tcPr>
            <w:tcW w:w="6866" w:type="dxa"/>
          </w:tcPr>
          <w:p w:rsidR="00372263" w:rsidRPr="00874B8F" w:rsidRDefault="00372263" w:rsidP="0034030B">
            <w:pPr>
              <w:pStyle w:val="NoSpacing"/>
              <w:spacing w:before="120" w:after="120"/>
              <w:rPr>
                <w:sz w:val="20"/>
                <w:szCs w:val="20"/>
              </w:rPr>
            </w:pPr>
            <w:r w:rsidRPr="00874B8F">
              <w:rPr>
                <w:sz w:val="20"/>
                <w:szCs w:val="20"/>
              </w:rPr>
              <w:t>Adverse Event</w:t>
            </w:r>
          </w:p>
        </w:tc>
      </w:tr>
      <w:tr w:rsidR="00372263" w:rsidRPr="0017697C" w:rsidTr="00E11AF3">
        <w:tc>
          <w:tcPr>
            <w:tcW w:w="2376" w:type="dxa"/>
          </w:tcPr>
          <w:p w:rsidR="00372263" w:rsidRPr="00874B8F" w:rsidRDefault="00E11AF3" w:rsidP="0034030B">
            <w:pPr>
              <w:pStyle w:val="NoSpacing"/>
              <w:spacing w:before="120" w:after="120"/>
              <w:rPr>
                <w:sz w:val="20"/>
                <w:szCs w:val="20"/>
              </w:rPr>
            </w:pPr>
            <w:r>
              <w:rPr>
                <w:sz w:val="20"/>
                <w:szCs w:val="20"/>
              </w:rPr>
              <w:t>AESI</w:t>
            </w:r>
          </w:p>
        </w:tc>
        <w:tc>
          <w:tcPr>
            <w:tcW w:w="6866" w:type="dxa"/>
          </w:tcPr>
          <w:p w:rsidR="00372263" w:rsidRPr="00874B8F" w:rsidRDefault="00372263" w:rsidP="0034030B">
            <w:pPr>
              <w:pStyle w:val="NoSpacing"/>
              <w:spacing w:before="120" w:after="120"/>
              <w:rPr>
                <w:sz w:val="20"/>
                <w:szCs w:val="20"/>
              </w:rPr>
            </w:pPr>
            <w:r w:rsidRPr="00874B8F">
              <w:rPr>
                <w:sz w:val="20"/>
                <w:szCs w:val="20"/>
              </w:rPr>
              <w:t>Adverse events of special interest</w:t>
            </w:r>
          </w:p>
        </w:tc>
      </w:tr>
      <w:tr w:rsidR="00372263" w:rsidRPr="0017697C" w:rsidTr="00E11AF3">
        <w:tc>
          <w:tcPr>
            <w:tcW w:w="2376" w:type="dxa"/>
          </w:tcPr>
          <w:p w:rsidR="00372263" w:rsidRPr="00874B8F" w:rsidRDefault="00372263" w:rsidP="0034030B">
            <w:pPr>
              <w:pStyle w:val="NoSpacing"/>
              <w:spacing w:before="120" w:after="120"/>
              <w:rPr>
                <w:sz w:val="20"/>
                <w:szCs w:val="20"/>
              </w:rPr>
            </w:pPr>
            <w:r w:rsidRPr="00874B8F">
              <w:rPr>
                <w:sz w:val="20"/>
                <w:szCs w:val="20"/>
              </w:rPr>
              <w:t>AUC</w:t>
            </w:r>
          </w:p>
        </w:tc>
        <w:tc>
          <w:tcPr>
            <w:tcW w:w="6866" w:type="dxa"/>
          </w:tcPr>
          <w:p w:rsidR="00372263" w:rsidRPr="00874B8F" w:rsidRDefault="00372263" w:rsidP="0034030B">
            <w:pPr>
              <w:pStyle w:val="NoSpacing"/>
              <w:spacing w:before="120" w:after="120"/>
              <w:rPr>
                <w:sz w:val="20"/>
                <w:szCs w:val="20"/>
              </w:rPr>
            </w:pPr>
            <w:r w:rsidRPr="00874B8F">
              <w:rPr>
                <w:sz w:val="20"/>
                <w:szCs w:val="20"/>
              </w:rPr>
              <w:t>Area under plasma concentration versus time curve</w:t>
            </w:r>
          </w:p>
        </w:tc>
      </w:tr>
      <w:tr w:rsidR="00372263" w:rsidRPr="0017697C" w:rsidTr="00E11AF3">
        <w:tc>
          <w:tcPr>
            <w:tcW w:w="2376" w:type="dxa"/>
          </w:tcPr>
          <w:p w:rsidR="00372263" w:rsidRPr="00874B8F" w:rsidRDefault="00372263" w:rsidP="0034030B">
            <w:pPr>
              <w:pStyle w:val="NoSpacing"/>
              <w:spacing w:before="120" w:after="120"/>
              <w:rPr>
                <w:sz w:val="20"/>
                <w:szCs w:val="20"/>
              </w:rPr>
            </w:pPr>
            <w:r w:rsidRPr="00874B8F">
              <w:rPr>
                <w:sz w:val="20"/>
                <w:szCs w:val="20"/>
              </w:rPr>
              <w:t>C</w:t>
            </w:r>
            <w:r w:rsidRPr="00874B8F">
              <w:rPr>
                <w:sz w:val="20"/>
                <w:szCs w:val="20"/>
                <w:vertAlign w:val="subscript"/>
              </w:rPr>
              <w:t>max</w:t>
            </w:r>
          </w:p>
        </w:tc>
        <w:tc>
          <w:tcPr>
            <w:tcW w:w="6866" w:type="dxa"/>
          </w:tcPr>
          <w:p w:rsidR="00372263" w:rsidRPr="00874B8F" w:rsidRDefault="00372263" w:rsidP="0034030B">
            <w:pPr>
              <w:pStyle w:val="NoSpacing"/>
              <w:spacing w:before="120" w:after="120"/>
              <w:rPr>
                <w:sz w:val="20"/>
                <w:szCs w:val="20"/>
              </w:rPr>
            </w:pPr>
            <w:r w:rsidRPr="00874B8F">
              <w:rPr>
                <w:sz w:val="20"/>
                <w:szCs w:val="20"/>
              </w:rPr>
              <w:t>Peak plasma concentration</w:t>
            </w:r>
          </w:p>
        </w:tc>
      </w:tr>
      <w:tr w:rsidR="00372263" w:rsidRPr="0017697C" w:rsidTr="00E11AF3">
        <w:tc>
          <w:tcPr>
            <w:tcW w:w="2376" w:type="dxa"/>
          </w:tcPr>
          <w:p w:rsidR="00372263" w:rsidRPr="00874B8F" w:rsidRDefault="00E11AF3" w:rsidP="0034030B">
            <w:pPr>
              <w:pStyle w:val="NoSpacing"/>
              <w:spacing w:before="120" w:after="120"/>
              <w:rPr>
                <w:sz w:val="20"/>
                <w:szCs w:val="20"/>
              </w:rPr>
            </w:pPr>
            <w:r>
              <w:rPr>
                <w:sz w:val="20"/>
                <w:szCs w:val="20"/>
              </w:rPr>
              <w:t>DDI</w:t>
            </w:r>
          </w:p>
        </w:tc>
        <w:tc>
          <w:tcPr>
            <w:tcW w:w="6866" w:type="dxa"/>
          </w:tcPr>
          <w:p w:rsidR="00372263" w:rsidRPr="00874B8F" w:rsidRDefault="00372263" w:rsidP="0034030B">
            <w:pPr>
              <w:pStyle w:val="NoSpacing"/>
              <w:spacing w:before="120" w:after="120"/>
              <w:rPr>
                <w:sz w:val="20"/>
                <w:szCs w:val="20"/>
              </w:rPr>
            </w:pPr>
            <w:r w:rsidRPr="00874B8F">
              <w:rPr>
                <w:sz w:val="20"/>
                <w:szCs w:val="20"/>
              </w:rPr>
              <w:t>Drug to drug interaction</w:t>
            </w:r>
          </w:p>
        </w:tc>
      </w:tr>
      <w:tr w:rsidR="00372263" w:rsidRPr="0017697C" w:rsidTr="00E11AF3">
        <w:tc>
          <w:tcPr>
            <w:tcW w:w="2376" w:type="dxa"/>
          </w:tcPr>
          <w:p w:rsidR="00372263" w:rsidRPr="00874B8F" w:rsidRDefault="00E11AF3" w:rsidP="0034030B">
            <w:pPr>
              <w:pStyle w:val="NoSpacing"/>
              <w:spacing w:before="120" w:after="120"/>
              <w:rPr>
                <w:sz w:val="20"/>
                <w:szCs w:val="20"/>
              </w:rPr>
            </w:pPr>
            <w:r>
              <w:rPr>
                <w:sz w:val="20"/>
                <w:szCs w:val="20"/>
              </w:rPr>
              <w:t>GBM</w:t>
            </w:r>
          </w:p>
        </w:tc>
        <w:tc>
          <w:tcPr>
            <w:tcW w:w="6866" w:type="dxa"/>
          </w:tcPr>
          <w:p w:rsidR="00372263" w:rsidRPr="00874B8F" w:rsidRDefault="00372263" w:rsidP="0034030B">
            <w:pPr>
              <w:pStyle w:val="NoSpacing"/>
              <w:spacing w:before="120" w:after="120"/>
              <w:rPr>
                <w:sz w:val="20"/>
                <w:szCs w:val="20"/>
              </w:rPr>
            </w:pPr>
            <w:proofErr w:type="spellStart"/>
            <w:r w:rsidRPr="00874B8F">
              <w:rPr>
                <w:sz w:val="20"/>
                <w:szCs w:val="20"/>
              </w:rPr>
              <w:t>Glioblastoma</w:t>
            </w:r>
            <w:proofErr w:type="spellEnd"/>
            <w:r w:rsidRPr="00874B8F">
              <w:rPr>
                <w:sz w:val="20"/>
                <w:szCs w:val="20"/>
              </w:rPr>
              <w:t xml:space="preserve"> </w:t>
            </w:r>
            <w:proofErr w:type="spellStart"/>
            <w:r w:rsidRPr="00874B8F">
              <w:rPr>
                <w:sz w:val="20"/>
                <w:szCs w:val="20"/>
              </w:rPr>
              <w:t>multiforme</w:t>
            </w:r>
            <w:proofErr w:type="spellEnd"/>
          </w:p>
        </w:tc>
      </w:tr>
      <w:tr w:rsidR="00372263" w:rsidTr="00E11AF3">
        <w:tc>
          <w:tcPr>
            <w:tcW w:w="2376" w:type="dxa"/>
          </w:tcPr>
          <w:p w:rsidR="00372263" w:rsidRPr="00874B8F" w:rsidRDefault="00372263" w:rsidP="0034030B">
            <w:pPr>
              <w:pStyle w:val="NoSpacing"/>
              <w:spacing w:before="120" w:after="120"/>
              <w:rPr>
                <w:sz w:val="20"/>
                <w:szCs w:val="20"/>
              </w:rPr>
            </w:pPr>
            <w:r w:rsidRPr="00874B8F">
              <w:rPr>
                <w:sz w:val="20"/>
                <w:szCs w:val="20"/>
              </w:rPr>
              <w:t>IV</w:t>
            </w:r>
          </w:p>
        </w:tc>
        <w:tc>
          <w:tcPr>
            <w:tcW w:w="6866" w:type="dxa"/>
          </w:tcPr>
          <w:p w:rsidR="00372263" w:rsidRPr="00874B8F" w:rsidRDefault="00372263" w:rsidP="0034030B">
            <w:pPr>
              <w:pStyle w:val="NoSpacing"/>
              <w:spacing w:before="120" w:after="120"/>
              <w:rPr>
                <w:sz w:val="20"/>
                <w:szCs w:val="20"/>
              </w:rPr>
            </w:pPr>
            <w:r w:rsidRPr="00874B8F">
              <w:rPr>
                <w:sz w:val="20"/>
                <w:szCs w:val="20"/>
              </w:rPr>
              <w:t>Intravenous</w:t>
            </w:r>
          </w:p>
        </w:tc>
      </w:tr>
      <w:tr w:rsidR="00972154" w:rsidRPr="0017697C" w:rsidTr="00E11AF3">
        <w:tc>
          <w:tcPr>
            <w:tcW w:w="2376" w:type="dxa"/>
          </w:tcPr>
          <w:p w:rsidR="00972154" w:rsidRPr="00874B8F" w:rsidRDefault="00972154" w:rsidP="0034030B">
            <w:pPr>
              <w:pStyle w:val="NoSpacing"/>
              <w:spacing w:before="120" w:after="120"/>
              <w:rPr>
                <w:sz w:val="20"/>
                <w:szCs w:val="20"/>
              </w:rPr>
            </w:pPr>
            <w:r w:rsidRPr="00874B8F">
              <w:rPr>
                <w:sz w:val="20"/>
                <w:szCs w:val="20"/>
              </w:rPr>
              <w:t>PFS</w:t>
            </w:r>
          </w:p>
        </w:tc>
        <w:tc>
          <w:tcPr>
            <w:tcW w:w="6866" w:type="dxa"/>
          </w:tcPr>
          <w:p w:rsidR="00972154" w:rsidRPr="00874B8F" w:rsidRDefault="00972154" w:rsidP="0034030B">
            <w:pPr>
              <w:pStyle w:val="NoSpacing"/>
              <w:spacing w:before="120" w:after="120"/>
              <w:rPr>
                <w:sz w:val="20"/>
                <w:szCs w:val="20"/>
              </w:rPr>
            </w:pPr>
            <w:r w:rsidRPr="00874B8F">
              <w:rPr>
                <w:sz w:val="20"/>
                <w:szCs w:val="20"/>
              </w:rPr>
              <w:t>Progression-free survival</w:t>
            </w:r>
          </w:p>
        </w:tc>
      </w:tr>
      <w:tr w:rsidR="00372263" w:rsidRPr="0017697C" w:rsidTr="00E11AF3">
        <w:tc>
          <w:tcPr>
            <w:tcW w:w="2376" w:type="dxa"/>
          </w:tcPr>
          <w:p w:rsidR="00372263" w:rsidRPr="00874B8F" w:rsidRDefault="00372263" w:rsidP="0034030B">
            <w:pPr>
              <w:pStyle w:val="NoSpacing"/>
              <w:spacing w:before="120" w:after="120"/>
              <w:rPr>
                <w:sz w:val="20"/>
                <w:szCs w:val="20"/>
              </w:rPr>
            </w:pPr>
            <w:r w:rsidRPr="00874B8F">
              <w:rPr>
                <w:sz w:val="20"/>
                <w:szCs w:val="20"/>
              </w:rPr>
              <w:t>PPK</w:t>
            </w:r>
          </w:p>
        </w:tc>
        <w:tc>
          <w:tcPr>
            <w:tcW w:w="6866" w:type="dxa"/>
          </w:tcPr>
          <w:p w:rsidR="00372263" w:rsidRPr="00874B8F" w:rsidRDefault="00372263" w:rsidP="0034030B">
            <w:pPr>
              <w:pStyle w:val="NoSpacing"/>
              <w:spacing w:before="120" w:after="120"/>
              <w:rPr>
                <w:sz w:val="20"/>
                <w:szCs w:val="20"/>
              </w:rPr>
            </w:pPr>
            <w:r w:rsidRPr="00874B8F">
              <w:rPr>
                <w:sz w:val="20"/>
                <w:szCs w:val="20"/>
              </w:rPr>
              <w:t>Population pharmacokinetics</w:t>
            </w:r>
          </w:p>
        </w:tc>
      </w:tr>
      <w:tr w:rsidR="00372263" w:rsidRPr="0017697C" w:rsidTr="00E11AF3">
        <w:tc>
          <w:tcPr>
            <w:tcW w:w="2376" w:type="dxa"/>
          </w:tcPr>
          <w:p w:rsidR="00372263" w:rsidRPr="00874B8F" w:rsidRDefault="00E11AF3" w:rsidP="0034030B">
            <w:pPr>
              <w:pStyle w:val="NoSpacing"/>
              <w:spacing w:before="120" w:after="120"/>
              <w:rPr>
                <w:sz w:val="20"/>
                <w:szCs w:val="20"/>
              </w:rPr>
            </w:pPr>
            <w:proofErr w:type="spellStart"/>
            <w:r>
              <w:rPr>
                <w:sz w:val="20"/>
                <w:szCs w:val="20"/>
              </w:rPr>
              <w:t>PsPD</w:t>
            </w:r>
            <w:proofErr w:type="spellEnd"/>
          </w:p>
        </w:tc>
        <w:tc>
          <w:tcPr>
            <w:tcW w:w="6866" w:type="dxa"/>
          </w:tcPr>
          <w:p w:rsidR="00372263" w:rsidRPr="00874B8F" w:rsidRDefault="00372263" w:rsidP="0034030B">
            <w:pPr>
              <w:pStyle w:val="NoSpacing"/>
              <w:spacing w:before="120" w:after="120"/>
              <w:rPr>
                <w:sz w:val="20"/>
                <w:szCs w:val="20"/>
              </w:rPr>
            </w:pPr>
            <w:r w:rsidRPr="00874B8F">
              <w:rPr>
                <w:sz w:val="20"/>
                <w:szCs w:val="20"/>
              </w:rPr>
              <w:t>Pseudo progression</w:t>
            </w:r>
          </w:p>
        </w:tc>
      </w:tr>
      <w:tr w:rsidR="00372263" w:rsidTr="00E11AF3">
        <w:trPr>
          <w:trHeight w:val="70"/>
        </w:trPr>
        <w:tc>
          <w:tcPr>
            <w:tcW w:w="2376" w:type="dxa"/>
          </w:tcPr>
          <w:p w:rsidR="00372263" w:rsidRPr="00874B8F" w:rsidRDefault="00372263" w:rsidP="0034030B">
            <w:pPr>
              <w:pStyle w:val="NoSpacing"/>
              <w:spacing w:before="120" w:after="120"/>
              <w:rPr>
                <w:sz w:val="20"/>
                <w:szCs w:val="20"/>
              </w:rPr>
            </w:pPr>
            <w:r w:rsidRPr="00874B8F">
              <w:rPr>
                <w:sz w:val="20"/>
                <w:szCs w:val="20"/>
              </w:rPr>
              <w:t>RT</w:t>
            </w:r>
          </w:p>
        </w:tc>
        <w:tc>
          <w:tcPr>
            <w:tcW w:w="6866" w:type="dxa"/>
          </w:tcPr>
          <w:p w:rsidR="00372263" w:rsidRPr="00874B8F" w:rsidRDefault="00372263" w:rsidP="0034030B">
            <w:pPr>
              <w:pStyle w:val="NoSpacing"/>
              <w:spacing w:before="120" w:after="120"/>
              <w:rPr>
                <w:sz w:val="20"/>
                <w:szCs w:val="20"/>
              </w:rPr>
            </w:pPr>
            <w:r w:rsidRPr="00874B8F">
              <w:rPr>
                <w:sz w:val="20"/>
                <w:szCs w:val="20"/>
              </w:rPr>
              <w:t>Radiotherapy</w:t>
            </w:r>
          </w:p>
        </w:tc>
      </w:tr>
      <w:tr w:rsidR="00372263" w:rsidRPr="0017697C" w:rsidTr="00E11AF3">
        <w:trPr>
          <w:trHeight w:val="70"/>
        </w:trPr>
        <w:tc>
          <w:tcPr>
            <w:tcW w:w="2376" w:type="dxa"/>
          </w:tcPr>
          <w:p w:rsidR="00372263" w:rsidRPr="00874B8F" w:rsidRDefault="00372263" w:rsidP="0034030B">
            <w:pPr>
              <w:pStyle w:val="NoSpacing"/>
              <w:spacing w:before="120" w:after="120"/>
              <w:rPr>
                <w:sz w:val="20"/>
                <w:szCs w:val="20"/>
              </w:rPr>
            </w:pPr>
            <w:r w:rsidRPr="00874B8F">
              <w:rPr>
                <w:sz w:val="20"/>
                <w:szCs w:val="20"/>
              </w:rPr>
              <w:t>T</w:t>
            </w:r>
            <w:r w:rsidRPr="00874B8F">
              <w:rPr>
                <w:sz w:val="20"/>
                <w:szCs w:val="20"/>
                <w:vertAlign w:val="subscript"/>
              </w:rPr>
              <w:t>max</w:t>
            </w:r>
          </w:p>
        </w:tc>
        <w:tc>
          <w:tcPr>
            <w:tcW w:w="6866" w:type="dxa"/>
          </w:tcPr>
          <w:p w:rsidR="00372263" w:rsidRPr="00874B8F" w:rsidRDefault="00372263" w:rsidP="0034030B">
            <w:pPr>
              <w:pStyle w:val="NoSpacing"/>
              <w:spacing w:before="120" w:after="120"/>
              <w:rPr>
                <w:sz w:val="20"/>
                <w:szCs w:val="20"/>
              </w:rPr>
            </w:pPr>
            <w:r w:rsidRPr="00874B8F">
              <w:rPr>
                <w:sz w:val="20"/>
                <w:szCs w:val="20"/>
              </w:rPr>
              <w:t>Time to peak plasma concentration</w:t>
            </w:r>
          </w:p>
        </w:tc>
      </w:tr>
      <w:tr w:rsidR="00372263" w:rsidTr="00E11AF3">
        <w:trPr>
          <w:trHeight w:val="70"/>
        </w:trPr>
        <w:tc>
          <w:tcPr>
            <w:tcW w:w="2376" w:type="dxa"/>
          </w:tcPr>
          <w:p w:rsidR="00372263" w:rsidRPr="00874B8F" w:rsidRDefault="00372263" w:rsidP="0034030B">
            <w:pPr>
              <w:pStyle w:val="NoSpacing"/>
              <w:spacing w:before="120" w:after="120"/>
              <w:rPr>
                <w:sz w:val="20"/>
                <w:szCs w:val="20"/>
              </w:rPr>
            </w:pPr>
            <w:r w:rsidRPr="00874B8F">
              <w:rPr>
                <w:sz w:val="20"/>
                <w:szCs w:val="20"/>
              </w:rPr>
              <w:t>TMZ</w:t>
            </w:r>
          </w:p>
        </w:tc>
        <w:tc>
          <w:tcPr>
            <w:tcW w:w="6866" w:type="dxa"/>
          </w:tcPr>
          <w:p w:rsidR="00372263" w:rsidRPr="00874B8F" w:rsidRDefault="00372263" w:rsidP="0034030B">
            <w:pPr>
              <w:pStyle w:val="NoSpacing"/>
              <w:spacing w:before="120" w:after="120"/>
              <w:rPr>
                <w:sz w:val="20"/>
                <w:szCs w:val="20"/>
              </w:rPr>
            </w:pPr>
            <w:r w:rsidRPr="00874B8F">
              <w:rPr>
                <w:rFonts w:cs="Arial"/>
                <w:noProof/>
                <w:sz w:val="20"/>
                <w:szCs w:val="20"/>
              </w:rPr>
              <w:t>Temozolomide</w:t>
            </w:r>
          </w:p>
        </w:tc>
      </w:tr>
      <w:tr w:rsidR="00372263" w:rsidTr="00E11AF3">
        <w:trPr>
          <w:trHeight w:val="70"/>
        </w:trPr>
        <w:tc>
          <w:tcPr>
            <w:tcW w:w="2376" w:type="dxa"/>
          </w:tcPr>
          <w:p w:rsidR="00372263" w:rsidRPr="00874B8F" w:rsidRDefault="00372263" w:rsidP="0034030B">
            <w:pPr>
              <w:pStyle w:val="NoSpacing"/>
              <w:spacing w:before="120" w:after="120"/>
              <w:rPr>
                <w:sz w:val="20"/>
                <w:szCs w:val="20"/>
              </w:rPr>
            </w:pPr>
            <w:r w:rsidRPr="00874B8F">
              <w:rPr>
                <w:sz w:val="20"/>
                <w:szCs w:val="20"/>
              </w:rPr>
              <w:t>VEGF</w:t>
            </w:r>
          </w:p>
        </w:tc>
        <w:tc>
          <w:tcPr>
            <w:tcW w:w="6866" w:type="dxa"/>
          </w:tcPr>
          <w:p w:rsidR="00372263" w:rsidRPr="00874B8F" w:rsidRDefault="00372263" w:rsidP="0034030B">
            <w:pPr>
              <w:pStyle w:val="NoSpacing"/>
              <w:spacing w:before="120" w:after="120"/>
              <w:rPr>
                <w:rFonts w:cs="Arial"/>
                <w:noProof/>
                <w:sz w:val="20"/>
                <w:szCs w:val="20"/>
              </w:rPr>
            </w:pPr>
            <w:r w:rsidRPr="00874B8F">
              <w:rPr>
                <w:sz w:val="20"/>
                <w:szCs w:val="20"/>
              </w:rPr>
              <w:t>Vascular endothelial growth factor</w:t>
            </w:r>
          </w:p>
        </w:tc>
      </w:tr>
    </w:tbl>
    <w:p w:rsidR="00372263" w:rsidRDefault="00372263">
      <w:pPr>
        <w:spacing w:before="0" w:after="200" w:line="0" w:lineRule="auto"/>
        <w:rPr>
          <w:rFonts w:ascii="Arial" w:eastAsia="Times New Roman" w:hAnsi="Arial"/>
          <w:b/>
          <w:bCs/>
          <w:sz w:val="32"/>
          <w:szCs w:val="26"/>
        </w:rPr>
      </w:pPr>
      <w:r>
        <w:br w:type="page"/>
      </w:r>
    </w:p>
    <w:p w:rsidR="008E7846" w:rsidRDefault="00F53C07" w:rsidP="008E7846">
      <w:pPr>
        <w:pStyle w:val="Heading2"/>
      </w:pPr>
      <w:bookmarkStart w:id="5" w:name="_Toc404950759"/>
      <w:r>
        <w:lastRenderedPageBreak/>
        <w:t>I.</w:t>
      </w:r>
      <w:r w:rsidR="008E7846">
        <w:t xml:space="preserve"> Introduction to product submission</w:t>
      </w:r>
      <w:bookmarkEnd w:id="5"/>
      <w:bookmarkEnd w:id="3"/>
      <w:bookmarkEnd w:id="1"/>
    </w:p>
    <w:p w:rsidR="008E7846" w:rsidRDefault="008E7846" w:rsidP="008E7846">
      <w:pPr>
        <w:pStyle w:val="Heading3"/>
        <w:rPr>
          <w:lang w:eastAsia="en-AU"/>
        </w:rPr>
      </w:pPr>
      <w:bookmarkStart w:id="6" w:name="_Toc247691502"/>
      <w:bookmarkStart w:id="7" w:name="_Toc314842483"/>
      <w:bookmarkStart w:id="8" w:name="_Toc404950760"/>
      <w:r>
        <w:rPr>
          <w:lang w:eastAsia="en-AU"/>
        </w:rPr>
        <w:t>Submission details</w:t>
      </w:r>
      <w:bookmarkEnd w:id="6"/>
      <w:bookmarkEnd w:id="7"/>
      <w:bookmarkEnd w:id="8"/>
    </w:p>
    <w:tbl>
      <w:tblPr>
        <w:tblW w:w="9497" w:type="dxa"/>
        <w:tblInd w:w="108" w:type="dxa"/>
        <w:tblLook w:val="01E0" w:firstRow="1" w:lastRow="1" w:firstColumn="1" w:lastColumn="1" w:noHBand="0" w:noVBand="0"/>
      </w:tblPr>
      <w:tblGrid>
        <w:gridCol w:w="2907"/>
        <w:gridCol w:w="6307"/>
        <w:gridCol w:w="283"/>
      </w:tblGrid>
      <w:tr w:rsidR="008E7846" w:rsidRPr="00EA15B6" w:rsidTr="006D0DB5">
        <w:trPr>
          <w:trHeight w:hRule="exact" w:val="454"/>
        </w:trPr>
        <w:tc>
          <w:tcPr>
            <w:tcW w:w="2907" w:type="dxa"/>
          </w:tcPr>
          <w:p w:rsidR="008E7846" w:rsidRPr="00EA15B6" w:rsidRDefault="001B5C90" w:rsidP="001B5C90">
            <w:pPr>
              <w:rPr>
                <w:i/>
              </w:rPr>
            </w:pPr>
            <w:r w:rsidRPr="00EA15B6">
              <w:rPr>
                <w:i/>
              </w:rPr>
              <w:t>Type of s</w:t>
            </w:r>
            <w:r w:rsidR="008E7846" w:rsidRPr="00EA15B6">
              <w:rPr>
                <w:i/>
              </w:rPr>
              <w:t>ubmission</w:t>
            </w:r>
            <w:r w:rsidRPr="00EA15B6">
              <w:rPr>
                <w:i/>
              </w:rPr>
              <w:t>:</w:t>
            </w:r>
          </w:p>
        </w:tc>
        <w:tc>
          <w:tcPr>
            <w:tcW w:w="6590" w:type="dxa"/>
            <w:gridSpan w:val="2"/>
          </w:tcPr>
          <w:p w:rsidR="008E7846" w:rsidRPr="00EA15B6" w:rsidRDefault="00044660" w:rsidP="00044660">
            <w:r w:rsidRPr="00EA15B6">
              <w:t>M</w:t>
            </w:r>
            <w:r w:rsidR="008E7846" w:rsidRPr="00EA15B6">
              <w:t xml:space="preserve">ajor </w:t>
            </w:r>
            <w:r w:rsidR="001B5C90" w:rsidRPr="00EA15B6">
              <w:t>v</w:t>
            </w:r>
            <w:r w:rsidR="008E7846" w:rsidRPr="00EA15B6">
              <w:t>ariation (</w:t>
            </w:r>
            <w:r w:rsidR="001B5C90" w:rsidRPr="00EA15B6">
              <w:t>n</w:t>
            </w:r>
            <w:r w:rsidR="008E7846" w:rsidRPr="00EA15B6">
              <w:t xml:space="preserve">ew </w:t>
            </w:r>
            <w:r w:rsidRPr="00EA15B6">
              <w:t>indications</w:t>
            </w:r>
            <w:r w:rsidR="008E7846" w:rsidRPr="00EA15B6">
              <w:t>)</w:t>
            </w:r>
          </w:p>
        </w:tc>
      </w:tr>
      <w:tr w:rsidR="008E7846" w:rsidRPr="00EA15B6" w:rsidTr="006D0DB5">
        <w:trPr>
          <w:trHeight w:hRule="exact" w:val="454"/>
        </w:trPr>
        <w:tc>
          <w:tcPr>
            <w:tcW w:w="2907" w:type="dxa"/>
          </w:tcPr>
          <w:p w:rsidR="008E7846" w:rsidRPr="00EA15B6" w:rsidRDefault="008E7846" w:rsidP="003D1E62">
            <w:r w:rsidRPr="00EA15B6">
              <w:rPr>
                <w:i/>
              </w:rPr>
              <w:t>Decision</w:t>
            </w:r>
            <w:r w:rsidRPr="00EA15B6">
              <w:t>:</w:t>
            </w:r>
          </w:p>
        </w:tc>
        <w:tc>
          <w:tcPr>
            <w:tcW w:w="6590" w:type="dxa"/>
            <w:gridSpan w:val="2"/>
          </w:tcPr>
          <w:p w:rsidR="008E7846" w:rsidRPr="00EA15B6" w:rsidRDefault="00044660" w:rsidP="00044660">
            <w:r w:rsidRPr="00EA15B6">
              <w:t>R</w:t>
            </w:r>
            <w:r w:rsidR="006D0DB5">
              <w:t>ejected</w:t>
            </w:r>
          </w:p>
        </w:tc>
      </w:tr>
      <w:tr w:rsidR="008E7846" w:rsidRPr="00EA15B6" w:rsidTr="006D0DB5">
        <w:trPr>
          <w:trHeight w:hRule="exact" w:val="454"/>
        </w:trPr>
        <w:tc>
          <w:tcPr>
            <w:tcW w:w="2907" w:type="dxa"/>
          </w:tcPr>
          <w:p w:rsidR="008E7846" w:rsidRPr="00EA15B6" w:rsidRDefault="008E7846" w:rsidP="001B5C90">
            <w:pPr>
              <w:rPr>
                <w:i/>
              </w:rPr>
            </w:pPr>
            <w:r w:rsidRPr="00EA15B6">
              <w:rPr>
                <w:i/>
              </w:rPr>
              <w:t xml:space="preserve">Date of </w:t>
            </w:r>
            <w:r w:rsidR="00044660" w:rsidRPr="00EA15B6">
              <w:rPr>
                <w:i/>
              </w:rPr>
              <w:t xml:space="preserve">initial TGA </w:t>
            </w:r>
            <w:r w:rsidR="001B5C90" w:rsidRPr="00EA15B6">
              <w:rPr>
                <w:i/>
              </w:rPr>
              <w:t>d</w:t>
            </w:r>
            <w:r w:rsidRPr="00EA15B6">
              <w:rPr>
                <w:i/>
              </w:rPr>
              <w:t>ecision:</w:t>
            </w:r>
          </w:p>
        </w:tc>
        <w:tc>
          <w:tcPr>
            <w:tcW w:w="6590" w:type="dxa"/>
            <w:gridSpan w:val="2"/>
          </w:tcPr>
          <w:p w:rsidR="008E7846" w:rsidRPr="00EA15B6" w:rsidRDefault="009C5847" w:rsidP="001B5C90">
            <w:r w:rsidRPr="00EA15B6">
              <w:t>29 April 2014</w:t>
            </w:r>
          </w:p>
          <w:p w:rsidR="00044660" w:rsidRPr="00EA15B6" w:rsidRDefault="00044660" w:rsidP="001B5C90"/>
        </w:tc>
      </w:tr>
      <w:tr w:rsidR="006D0DB5" w:rsidRPr="00EA15B6" w:rsidTr="006D0DB5">
        <w:trPr>
          <w:trHeight w:hRule="exact" w:val="454"/>
        </w:trPr>
        <w:tc>
          <w:tcPr>
            <w:tcW w:w="2907" w:type="dxa"/>
          </w:tcPr>
          <w:p w:rsidR="006D0DB5" w:rsidRPr="00EA15B6" w:rsidRDefault="006D0DB5" w:rsidP="001B5C90">
            <w:pPr>
              <w:rPr>
                <w:i/>
              </w:rPr>
            </w:pPr>
            <w:r w:rsidRPr="00EA15B6">
              <w:rPr>
                <w:i/>
              </w:rPr>
              <w:t>Date of final TGA decision</w:t>
            </w:r>
            <w:r>
              <w:t>:</w:t>
            </w:r>
          </w:p>
        </w:tc>
        <w:tc>
          <w:tcPr>
            <w:tcW w:w="6590" w:type="dxa"/>
            <w:gridSpan w:val="2"/>
          </w:tcPr>
          <w:p w:rsidR="006D0DB5" w:rsidRPr="00EA15B6" w:rsidRDefault="006D0DB5" w:rsidP="001B5C90">
            <w:r w:rsidRPr="00EA15B6">
              <w:t>17 September 2014</w:t>
            </w:r>
          </w:p>
        </w:tc>
      </w:tr>
      <w:tr w:rsidR="008E7846" w:rsidRPr="00EA15B6" w:rsidTr="006D0DB5">
        <w:trPr>
          <w:gridAfter w:val="1"/>
          <w:wAfter w:w="283" w:type="dxa"/>
        </w:trPr>
        <w:tc>
          <w:tcPr>
            <w:tcW w:w="2907" w:type="dxa"/>
          </w:tcPr>
          <w:p w:rsidR="008E7846" w:rsidRPr="00EA15B6" w:rsidRDefault="006D0DB5" w:rsidP="006D0DB5">
            <w:pPr>
              <w:rPr>
                <w:i/>
              </w:rPr>
            </w:pPr>
            <w:r>
              <w:rPr>
                <w:i/>
              </w:rPr>
              <w:t>Active ingredient</w:t>
            </w:r>
            <w:r w:rsidR="001B5C90" w:rsidRPr="00EA15B6">
              <w:rPr>
                <w:i/>
              </w:rPr>
              <w:t>:</w:t>
            </w:r>
          </w:p>
        </w:tc>
        <w:tc>
          <w:tcPr>
            <w:tcW w:w="6307" w:type="dxa"/>
          </w:tcPr>
          <w:p w:rsidR="008E7846" w:rsidRPr="00EA15B6" w:rsidRDefault="00166F6A" w:rsidP="00E45619">
            <w:proofErr w:type="spellStart"/>
            <w:r>
              <w:t>Bevacizumab</w:t>
            </w:r>
            <w:proofErr w:type="spellEnd"/>
          </w:p>
        </w:tc>
      </w:tr>
      <w:tr w:rsidR="008E7846" w:rsidRPr="00EA15B6" w:rsidTr="006D0DB5">
        <w:trPr>
          <w:gridAfter w:val="1"/>
          <w:wAfter w:w="283" w:type="dxa"/>
        </w:trPr>
        <w:tc>
          <w:tcPr>
            <w:tcW w:w="2907" w:type="dxa"/>
          </w:tcPr>
          <w:p w:rsidR="008E7846" w:rsidRPr="00EA15B6" w:rsidRDefault="008E7846" w:rsidP="006D0DB5">
            <w:pPr>
              <w:rPr>
                <w:i/>
              </w:rPr>
            </w:pPr>
            <w:r w:rsidRPr="00EA15B6">
              <w:rPr>
                <w:i/>
              </w:rPr>
              <w:t>Product</w:t>
            </w:r>
            <w:r w:rsidR="001B5C90" w:rsidRPr="00EA15B6">
              <w:rPr>
                <w:i/>
              </w:rPr>
              <w:t xml:space="preserve"> name:</w:t>
            </w:r>
          </w:p>
        </w:tc>
        <w:tc>
          <w:tcPr>
            <w:tcW w:w="6307" w:type="dxa"/>
          </w:tcPr>
          <w:p w:rsidR="008E7846" w:rsidRPr="00EA15B6" w:rsidRDefault="00044660" w:rsidP="00E45619">
            <w:proofErr w:type="spellStart"/>
            <w:r w:rsidRPr="00EA15B6">
              <w:t>Avastin</w:t>
            </w:r>
            <w:proofErr w:type="spellEnd"/>
          </w:p>
        </w:tc>
      </w:tr>
      <w:tr w:rsidR="008E7846" w:rsidRPr="00EA15B6" w:rsidTr="006D0DB5">
        <w:trPr>
          <w:gridAfter w:val="1"/>
          <w:wAfter w:w="283" w:type="dxa"/>
        </w:trPr>
        <w:tc>
          <w:tcPr>
            <w:tcW w:w="2907" w:type="dxa"/>
          </w:tcPr>
          <w:p w:rsidR="008E7846" w:rsidRPr="00EA15B6" w:rsidRDefault="008E7846" w:rsidP="001B5C90">
            <w:pPr>
              <w:rPr>
                <w:i/>
              </w:rPr>
            </w:pPr>
            <w:r w:rsidRPr="00EA15B6">
              <w:rPr>
                <w:i/>
              </w:rPr>
              <w:t xml:space="preserve">Sponsor’s </w:t>
            </w:r>
            <w:r w:rsidR="001B5C90" w:rsidRPr="00EA15B6">
              <w:rPr>
                <w:i/>
              </w:rPr>
              <w:t>n</w:t>
            </w:r>
            <w:r w:rsidRPr="00EA15B6">
              <w:rPr>
                <w:i/>
              </w:rPr>
              <w:t xml:space="preserve">ame and </w:t>
            </w:r>
            <w:r w:rsidR="001B5C90" w:rsidRPr="00EA15B6">
              <w:rPr>
                <w:i/>
              </w:rPr>
              <w:t>a</w:t>
            </w:r>
            <w:r w:rsidRPr="00EA15B6">
              <w:rPr>
                <w:i/>
              </w:rPr>
              <w:t>ddress:</w:t>
            </w:r>
          </w:p>
        </w:tc>
        <w:tc>
          <w:tcPr>
            <w:tcW w:w="6307" w:type="dxa"/>
          </w:tcPr>
          <w:p w:rsidR="000A4D61" w:rsidRPr="00EA15B6" w:rsidRDefault="00044660" w:rsidP="006D0DB5">
            <w:r w:rsidRPr="00EA15B6">
              <w:t>Roche Products Pty Ltd</w:t>
            </w:r>
            <w:r w:rsidR="006D0DB5">
              <w:br/>
              <w:t>PO Box 255</w:t>
            </w:r>
            <w:r w:rsidR="006D0DB5">
              <w:br/>
            </w:r>
            <w:r w:rsidR="000A4D61">
              <w:t>Dee Why NSW 2099</w:t>
            </w:r>
          </w:p>
        </w:tc>
      </w:tr>
      <w:tr w:rsidR="008E7846" w:rsidRPr="00EA15B6" w:rsidTr="006D0DB5">
        <w:trPr>
          <w:gridAfter w:val="1"/>
          <w:wAfter w:w="283" w:type="dxa"/>
        </w:trPr>
        <w:tc>
          <w:tcPr>
            <w:tcW w:w="2907" w:type="dxa"/>
          </w:tcPr>
          <w:p w:rsidR="008E7846" w:rsidRPr="00EA15B6" w:rsidRDefault="001B5C90" w:rsidP="006D0DB5">
            <w:pPr>
              <w:rPr>
                <w:i/>
              </w:rPr>
            </w:pPr>
            <w:r w:rsidRPr="00EA15B6">
              <w:rPr>
                <w:i/>
              </w:rPr>
              <w:t>Dose form:</w:t>
            </w:r>
          </w:p>
        </w:tc>
        <w:tc>
          <w:tcPr>
            <w:tcW w:w="6307" w:type="dxa"/>
          </w:tcPr>
          <w:p w:rsidR="008E7846" w:rsidRPr="00EA15B6" w:rsidRDefault="006D0DB5" w:rsidP="006D0DB5">
            <w:r>
              <w:t>Solution for infusion</w:t>
            </w:r>
          </w:p>
        </w:tc>
      </w:tr>
      <w:tr w:rsidR="008E7846" w:rsidRPr="00EA15B6" w:rsidTr="006D0DB5">
        <w:trPr>
          <w:gridAfter w:val="1"/>
          <w:wAfter w:w="283" w:type="dxa"/>
        </w:trPr>
        <w:tc>
          <w:tcPr>
            <w:tcW w:w="2907" w:type="dxa"/>
          </w:tcPr>
          <w:p w:rsidR="008E7846" w:rsidRPr="00EA15B6" w:rsidRDefault="008E7846" w:rsidP="006D0DB5">
            <w:pPr>
              <w:rPr>
                <w:i/>
              </w:rPr>
            </w:pPr>
            <w:r w:rsidRPr="00EA15B6">
              <w:rPr>
                <w:i/>
              </w:rPr>
              <w:t>Strengths:</w:t>
            </w:r>
          </w:p>
        </w:tc>
        <w:tc>
          <w:tcPr>
            <w:tcW w:w="6307" w:type="dxa"/>
          </w:tcPr>
          <w:p w:rsidR="008E7846" w:rsidRPr="00EA15B6" w:rsidRDefault="00073D4D" w:rsidP="006D0DB5">
            <w:r w:rsidRPr="00EA15B6">
              <w:rPr>
                <w:rFonts w:cs="Calibri"/>
              </w:rPr>
              <w:t>100</w:t>
            </w:r>
            <w:r w:rsidR="00EA15B6" w:rsidRPr="00EA15B6">
              <w:rPr>
                <w:rFonts w:cs="Calibri"/>
              </w:rPr>
              <w:t xml:space="preserve"> </w:t>
            </w:r>
            <w:r w:rsidRPr="00EA15B6">
              <w:rPr>
                <w:rFonts w:cs="Calibri"/>
              </w:rPr>
              <w:t>mg in 4 mL and 400 mg in 16 mL (each 25 mg/mL)</w:t>
            </w:r>
          </w:p>
        </w:tc>
      </w:tr>
      <w:tr w:rsidR="008E7846" w:rsidRPr="00EA15B6" w:rsidTr="006D0DB5">
        <w:trPr>
          <w:gridAfter w:val="1"/>
          <w:wAfter w:w="283" w:type="dxa"/>
        </w:trPr>
        <w:tc>
          <w:tcPr>
            <w:tcW w:w="2907" w:type="dxa"/>
          </w:tcPr>
          <w:p w:rsidR="008E7846" w:rsidRPr="00EA15B6" w:rsidRDefault="008E7846" w:rsidP="006D0DB5">
            <w:pPr>
              <w:rPr>
                <w:i/>
              </w:rPr>
            </w:pPr>
            <w:r w:rsidRPr="00EA15B6">
              <w:rPr>
                <w:i/>
              </w:rPr>
              <w:t>Container:</w:t>
            </w:r>
          </w:p>
        </w:tc>
        <w:tc>
          <w:tcPr>
            <w:tcW w:w="6307" w:type="dxa"/>
          </w:tcPr>
          <w:p w:rsidR="008E7846" w:rsidRPr="00EA15B6" w:rsidRDefault="00073D4D" w:rsidP="006D0DB5">
            <w:r w:rsidRPr="00EA15B6">
              <w:t>Glass vials</w:t>
            </w:r>
          </w:p>
        </w:tc>
      </w:tr>
      <w:tr w:rsidR="008E7846" w:rsidRPr="00EA15B6" w:rsidTr="006D0DB5">
        <w:trPr>
          <w:gridAfter w:val="1"/>
          <w:wAfter w:w="283" w:type="dxa"/>
        </w:trPr>
        <w:tc>
          <w:tcPr>
            <w:tcW w:w="2907" w:type="dxa"/>
          </w:tcPr>
          <w:p w:rsidR="008E7846" w:rsidRPr="00EA15B6" w:rsidRDefault="008E7846" w:rsidP="006D0DB5">
            <w:pPr>
              <w:rPr>
                <w:i/>
              </w:rPr>
            </w:pPr>
            <w:r w:rsidRPr="00EA15B6">
              <w:rPr>
                <w:i/>
              </w:rPr>
              <w:t>Pack sizes:</w:t>
            </w:r>
          </w:p>
        </w:tc>
        <w:tc>
          <w:tcPr>
            <w:tcW w:w="6307" w:type="dxa"/>
          </w:tcPr>
          <w:p w:rsidR="00EA15B6" w:rsidRPr="00EA15B6" w:rsidRDefault="00EA15B6" w:rsidP="006D0DB5">
            <w:r w:rsidRPr="00EA15B6">
              <w:t xml:space="preserve">100 mg pack containing one 4 mL single-dose vial </w:t>
            </w:r>
          </w:p>
          <w:p w:rsidR="008E7846" w:rsidRPr="00EA15B6" w:rsidRDefault="00EA15B6" w:rsidP="006D0DB5">
            <w:r w:rsidRPr="00EA15B6">
              <w:t xml:space="preserve">400 mg pack containing one 16 mL single-dose vial </w:t>
            </w:r>
          </w:p>
        </w:tc>
      </w:tr>
      <w:tr w:rsidR="008E7846" w:rsidRPr="00EA15B6" w:rsidTr="006D0DB5">
        <w:trPr>
          <w:gridAfter w:val="1"/>
          <w:wAfter w:w="283" w:type="dxa"/>
        </w:trPr>
        <w:tc>
          <w:tcPr>
            <w:tcW w:w="2907" w:type="dxa"/>
          </w:tcPr>
          <w:p w:rsidR="008E7846" w:rsidRPr="00EA15B6" w:rsidRDefault="008E7846" w:rsidP="001B5C90">
            <w:pPr>
              <w:rPr>
                <w:i/>
              </w:rPr>
            </w:pPr>
            <w:r w:rsidRPr="00EA15B6">
              <w:rPr>
                <w:i/>
              </w:rPr>
              <w:t xml:space="preserve">Approved </w:t>
            </w:r>
            <w:r w:rsidR="001B5C90" w:rsidRPr="00EA15B6">
              <w:rPr>
                <w:i/>
              </w:rPr>
              <w:t>t</w:t>
            </w:r>
            <w:r w:rsidRPr="00EA15B6">
              <w:rPr>
                <w:i/>
              </w:rPr>
              <w:t>herapeutic use:</w:t>
            </w:r>
          </w:p>
        </w:tc>
        <w:tc>
          <w:tcPr>
            <w:tcW w:w="6307" w:type="dxa"/>
          </w:tcPr>
          <w:p w:rsidR="008E7846" w:rsidRPr="00EA15B6" w:rsidRDefault="006D0DB5" w:rsidP="00E45619">
            <w:pPr>
              <w:rPr>
                <w:rFonts w:eastAsia="MS Mincho"/>
                <w:lang w:eastAsia="ja-JP"/>
              </w:rPr>
            </w:pPr>
            <w:r>
              <w:t>Not applicable</w:t>
            </w:r>
          </w:p>
        </w:tc>
      </w:tr>
      <w:tr w:rsidR="008E7846" w:rsidRPr="00EA15B6" w:rsidTr="006D0DB5">
        <w:trPr>
          <w:gridAfter w:val="1"/>
          <w:wAfter w:w="283" w:type="dxa"/>
        </w:trPr>
        <w:tc>
          <w:tcPr>
            <w:tcW w:w="2907" w:type="dxa"/>
          </w:tcPr>
          <w:p w:rsidR="008E7846" w:rsidRPr="00EA15B6" w:rsidRDefault="008E7846" w:rsidP="006D0DB5">
            <w:pPr>
              <w:rPr>
                <w:i/>
              </w:rPr>
            </w:pPr>
            <w:r w:rsidRPr="00EA15B6">
              <w:rPr>
                <w:i/>
              </w:rPr>
              <w:t>Route of administration:</w:t>
            </w:r>
          </w:p>
        </w:tc>
        <w:tc>
          <w:tcPr>
            <w:tcW w:w="6307" w:type="dxa"/>
          </w:tcPr>
          <w:p w:rsidR="008E7846" w:rsidRPr="00EA15B6" w:rsidRDefault="00EA15B6" w:rsidP="00EA15B6">
            <w:r w:rsidRPr="00EA15B6">
              <w:t>Intravenous (IV) infusion</w:t>
            </w:r>
          </w:p>
        </w:tc>
      </w:tr>
      <w:tr w:rsidR="008E7846" w:rsidRPr="00EA15B6" w:rsidTr="006D0DB5">
        <w:trPr>
          <w:gridAfter w:val="1"/>
          <w:wAfter w:w="283" w:type="dxa"/>
        </w:trPr>
        <w:tc>
          <w:tcPr>
            <w:tcW w:w="2907" w:type="dxa"/>
          </w:tcPr>
          <w:p w:rsidR="008E7846" w:rsidRPr="00EA15B6" w:rsidRDefault="008E7846" w:rsidP="00E45619">
            <w:pPr>
              <w:rPr>
                <w:i/>
              </w:rPr>
            </w:pPr>
            <w:r w:rsidRPr="00EA15B6">
              <w:rPr>
                <w:i/>
              </w:rPr>
              <w:t>Dosage:</w:t>
            </w:r>
          </w:p>
        </w:tc>
        <w:tc>
          <w:tcPr>
            <w:tcW w:w="6307" w:type="dxa"/>
          </w:tcPr>
          <w:p w:rsidR="008E7846" w:rsidRPr="00EA15B6" w:rsidRDefault="00EA15B6" w:rsidP="000A4D61">
            <w:r w:rsidRPr="00EA15B6">
              <w:t>Not appl</w:t>
            </w:r>
            <w:r w:rsidR="000A4D61">
              <w:t>i</w:t>
            </w:r>
            <w:r w:rsidR="006D0DB5">
              <w:t>cable</w:t>
            </w:r>
          </w:p>
        </w:tc>
      </w:tr>
      <w:tr w:rsidR="008E7846" w:rsidRPr="00EA15B6" w:rsidTr="006D0DB5">
        <w:trPr>
          <w:gridAfter w:val="1"/>
          <w:wAfter w:w="283" w:type="dxa"/>
        </w:trPr>
        <w:tc>
          <w:tcPr>
            <w:tcW w:w="2907" w:type="dxa"/>
          </w:tcPr>
          <w:p w:rsidR="008E7846" w:rsidRPr="00EA15B6" w:rsidRDefault="008E7846" w:rsidP="006D0DB5">
            <w:pPr>
              <w:rPr>
                <w:i/>
              </w:rPr>
            </w:pPr>
            <w:r w:rsidRPr="00EA15B6">
              <w:rPr>
                <w:i/>
              </w:rPr>
              <w:t xml:space="preserve">ARTG </w:t>
            </w:r>
            <w:r w:rsidR="001B5C90" w:rsidRPr="00EA15B6">
              <w:rPr>
                <w:i/>
              </w:rPr>
              <w:t>n</w:t>
            </w:r>
            <w:r w:rsidRPr="00EA15B6">
              <w:rPr>
                <w:i/>
              </w:rPr>
              <w:t>umber</w:t>
            </w:r>
            <w:r w:rsidR="001B5C90" w:rsidRPr="00EA15B6">
              <w:rPr>
                <w:i/>
              </w:rPr>
              <w:t>:</w:t>
            </w:r>
          </w:p>
        </w:tc>
        <w:tc>
          <w:tcPr>
            <w:tcW w:w="6307" w:type="dxa"/>
          </w:tcPr>
          <w:p w:rsidR="008E7846" w:rsidRPr="00EA15B6" w:rsidRDefault="00EA15B6" w:rsidP="00E45619">
            <w:r w:rsidRPr="00EA15B6">
              <w:t>Not applicable</w:t>
            </w:r>
          </w:p>
        </w:tc>
      </w:tr>
    </w:tbl>
    <w:p w:rsidR="004C67AA" w:rsidRDefault="004C67AA" w:rsidP="008024B6">
      <w:pPr>
        <w:pStyle w:val="Heading3"/>
      </w:pPr>
      <w:bookmarkStart w:id="9" w:name="_Toc384807741"/>
      <w:bookmarkStart w:id="10" w:name="_Toc404950761"/>
      <w:bookmarkEnd w:id="2"/>
      <w:r>
        <w:t xml:space="preserve">Product </w:t>
      </w:r>
      <w:r w:rsidRPr="008024B6">
        <w:t>background</w:t>
      </w:r>
      <w:bookmarkEnd w:id="9"/>
      <w:bookmarkEnd w:id="10"/>
    </w:p>
    <w:p w:rsidR="00044660" w:rsidRPr="00874B8F" w:rsidRDefault="004C67AA" w:rsidP="008024B6">
      <w:r w:rsidRPr="008A44E9">
        <w:t>This AusPAR describes the application by the sponsor</w:t>
      </w:r>
      <w:r w:rsidR="000A4D61" w:rsidRPr="008A44E9">
        <w:t>, Roche products Pty Ltd,</w:t>
      </w:r>
      <w:r w:rsidRPr="008A44E9">
        <w:t xml:space="preserve"> </w:t>
      </w:r>
      <w:r w:rsidR="000A4D61" w:rsidRPr="008A44E9">
        <w:t>to extend the</w:t>
      </w:r>
      <w:r w:rsidR="00044660" w:rsidRPr="00874B8F">
        <w:t xml:space="preserve"> indication</w:t>
      </w:r>
      <w:r w:rsidR="000A4D61" w:rsidRPr="00874B8F">
        <w:t>s</w:t>
      </w:r>
      <w:r w:rsidR="00044660" w:rsidRPr="00874B8F">
        <w:t xml:space="preserve"> for </w:t>
      </w:r>
      <w:proofErr w:type="spellStart"/>
      <w:r w:rsidR="00044660" w:rsidRPr="00874B8F">
        <w:t>Avastin</w:t>
      </w:r>
      <w:proofErr w:type="spellEnd"/>
      <w:r w:rsidR="00EA15B6" w:rsidRPr="00874B8F">
        <w:t xml:space="preserve"> (</w:t>
      </w:r>
      <w:proofErr w:type="spellStart"/>
      <w:r w:rsidR="00166F6A" w:rsidRPr="00874B8F">
        <w:t>bevacizumab</w:t>
      </w:r>
      <w:proofErr w:type="spellEnd"/>
      <w:r w:rsidR="00EA15B6" w:rsidRPr="00874B8F">
        <w:t>)</w:t>
      </w:r>
      <w:r w:rsidR="000A4D61" w:rsidRPr="00874B8F">
        <w:t xml:space="preserve"> </w:t>
      </w:r>
      <w:r w:rsidR="000A4D61" w:rsidRPr="008A44E9">
        <w:t xml:space="preserve">in combination with radiotherapy </w:t>
      </w:r>
      <w:r w:rsidR="00166F6A" w:rsidRPr="008A44E9">
        <w:t xml:space="preserve">(RT) </w:t>
      </w:r>
      <w:r w:rsidR="000A4D61" w:rsidRPr="008A44E9">
        <w:t xml:space="preserve">and </w:t>
      </w:r>
      <w:r w:rsidR="000A4D61" w:rsidRPr="002E3621">
        <w:rPr>
          <w:rFonts w:cs="Arial"/>
          <w:noProof/>
        </w:rPr>
        <w:t>temozolomide (</w:t>
      </w:r>
      <w:r w:rsidR="000A4D61" w:rsidRPr="008A44E9">
        <w:t>TMZ) as follows</w:t>
      </w:r>
      <w:r w:rsidR="00EA15B6" w:rsidRPr="00874B8F">
        <w:t>:</w:t>
      </w:r>
    </w:p>
    <w:p w:rsidR="00073D4D" w:rsidRPr="00EA15B6" w:rsidRDefault="00073D4D" w:rsidP="000A4D61">
      <w:pPr>
        <w:ind w:left="720"/>
        <w:rPr>
          <w:i/>
          <w:sz w:val="24"/>
          <w:szCs w:val="24"/>
        </w:rPr>
      </w:pPr>
      <w:r w:rsidRPr="00EA15B6">
        <w:rPr>
          <w:rFonts w:cs="Arial"/>
          <w:i/>
          <w:noProof/>
        </w:rPr>
        <w:t>Avastin (</w:t>
      </w:r>
      <w:r w:rsidR="00166F6A">
        <w:rPr>
          <w:rFonts w:cs="Arial"/>
          <w:i/>
          <w:noProof/>
        </w:rPr>
        <w:t>bevacizumab</w:t>
      </w:r>
      <w:r w:rsidRPr="00EA15B6">
        <w:rPr>
          <w:rFonts w:cs="Arial"/>
          <w:i/>
          <w:noProof/>
        </w:rPr>
        <w:t>) in combination with radiotherapy and temozolomide is indicated for the treatment of adult patients with newly diagnosed glioblastoma.</w:t>
      </w:r>
    </w:p>
    <w:p w:rsidR="00044660" w:rsidRDefault="00166F6A" w:rsidP="008024B6">
      <w:proofErr w:type="spellStart"/>
      <w:r>
        <w:t>Bevacizumab</w:t>
      </w:r>
      <w:proofErr w:type="spellEnd"/>
      <w:r w:rsidR="00044660">
        <w:t xml:space="preserve"> has already been approved for therapeutic use in Australia for the treatment of several malignancies including colorectal cancer, non-small cell lung cancer, breast cancer and previously treated </w:t>
      </w:r>
      <w:proofErr w:type="spellStart"/>
      <w:r w:rsidR="00044660">
        <w:t>glioblastoma</w:t>
      </w:r>
      <w:proofErr w:type="spellEnd"/>
      <w:r w:rsidR="00044660">
        <w:t>.</w:t>
      </w:r>
    </w:p>
    <w:p w:rsidR="00044660" w:rsidRDefault="00166F6A" w:rsidP="000A4D61">
      <w:proofErr w:type="spellStart"/>
      <w:r>
        <w:t>Bevacizumab</w:t>
      </w:r>
      <w:proofErr w:type="spellEnd"/>
      <w:r w:rsidR="00044660">
        <w:t xml:space="preserve"> is currently available in 100</w:t>
      </w:r>
      <w:r w:rsidR="000A4D61">
        <w:t xml:space="preserve"> </w:t>
      </w:r>
      <w:r w:rsidR="00044660">
        <w:t>mg and 400</w:t>
      </w:r>
      <w:r w:rsidR="000A4D61">
        <w:t xml:space="preserve"> </w:t>
      </w:r>
      <w:r w:rsidR="00044660">
        <w:t>mg single dose vials containing 4</w:t>
      </w:r>
      <w:r w:rsidR="000A4D61">
        <w:t xml:space="preserve"> </w:t>
      </w:r>
      <w:r w:rsidR="00044660">
        <w:t>m</w:t>
      </w:r>
      <w:r w:rsidR="000A4D61">
        <w:t>L</w:t>
      </w:r>
      <w:r w:rsidR="00044660">
        <w:t xml:space="preserve"> and 16</w:t>
      </w:r>
      <w:r w:rsidR="000A4D61">
        <w:t xml:space="preserve"> </w:t>
      </w:r>
      <w:r w:rsidR="00044660">
        <w:t>m</w:t>
      </w:r>
      <w:r w:rsidR="000A4D61">
        <w:t>L</w:t>
      </w:r>
      <w:r w:rsidR="00044660">
        <w:t xml:space="preserve"> respectively of </w:t>
      </w:r>
      <w:proofErr w:type="spellStart"/>
      <w:r>
        <w:t>bevacizumab</w:t>
      </w:r>
      <w:proofErr w:type="spellEnd"/>
      <w:r w:rsidR="00044660">
        <w:t xml:space="preserve"> (25</w:t>
      </w:r>
      <w:r w:rsidR="000A4D61">
        <w:t xml:space="preserve"> </w:t>
      </w:r>
      <w:r w:rsidR="00044660">
        <w:t>mg/m</w:t>
      </w:r>
      <w:r w:rsidR="000A4D61">
        <w:t>L</w:t>
      </w:r>
      <w:r w:rsidR="00044660">
        <w:t>).</w:t>
      </w:r>
      <w:r w:rsidR="00AB7CEC">
        <w:t xml:space="preserve"> </w:t>
      </w:r>
      <w:r w:rsidR="00044660">
        <w:t>No new dosage forms or strengths are proposed in this current submission.</w:t>
      </w:r>
    </w:p>
    <w:p w:rsidR="00044660" w:rsidRDefault="00044660" w:rsidP="000A4D61">
      <w:r>
        <w:t xml:space="preserve">The proposed dosage regimen for the current study involves the induction phase of six weeks duration which would involve either placebo or </w:t>
      </w:r>
      <w:proofErr w:type="spellStart"/>
      <w:r w:rsidR="00166F6A">
        <w:t>bevacizumab</w:t>
      </w:r>
      <w:proofErr w:type="spellEnd"/>
      <w:r>
        <w:t xml:space="preserve"> in a dose of 10</w:t>
      </w:r>
      <w:r w:rsidR="000A4D61">
        <w:t xml:space="preserve"> </w:t>
      </w:r>
      <w:r>
        <w:t xml:space="preserve">mg/kg </w:t>
      </w:r>
      <w:r>
        <w:lastRenderedPageBreak/>
        <w:t>every two weeks in conjunction with radiotherapy and TMZ a dose of 75</w:t>
      </w:r>
      <w:r w:rsidR="000A4D61">
        <w:t xml:space="preserve"> </w:t>
      </w:r>
      <w:r>
        <w:t>mg/m</w:t>
      </w:r>
      <w:r w:rsidRPr="006F2482">
        <w:rPr>
          <w:vertAlign w:val="superscript"/>
        </w:rPr>
        <w:t>2</w:t>
      </w:r>
      <w:r>
        <w:t xml:space="preserve"> orally.</w:t>
      </w:r>
      <w:r w:rsidR="00AB7CEC">
        <w:t xml:space="preserve"> </w:t>
      </w:r>
      <w:r>
        <w:t xml:space="preserve">The maintenance phase which consisted of six 28 day cycles of either placebo or </w:t>
      </w:r>
      <w:proofErr w:type="spellStart"/>
      <w:r w:rsidR="00166F6A">
        <w:t>bevacizumab</w:t>
      </w:r>
      <w:proofErr w:type="spellEnd"/>
      <w:r>
        <w:t xml:space="preserve"> in a dose of 10</w:t>
      </w:r>
      <w:r w:rsidR="000A4D61">
        <w:t xml:space="preserve"> </w:t>
      </w:r>
      <w:r>
        <w:t>mg/kg every two weeks and TMZ 150</w:t>
      </w:r>
      <w:r w:rsidR="000A4D61">
        <w:t xml:space="preserve"> to </w:t>
      </w:r>
      <w:r>
        <w:t>200</w:t>
      </w:r>
      <w:r w:rsidR="000A4D61">
        <w:t xml:space="preserve"> </w:t>
      </w:r>
      <w:r>
        <w:t>mg/m</w:t>
      </w:r>
      <w:r w:rsidRPr="006F2482">
        <w:rPr>
          <w:vertAlign w:val="superscript"/>
        </w:rPr>
        <w:t>2</w:t>
      </w:r>
      <w:r>
        <w:t xml:space="preserve"> orally in the first five days of each cycle followed by a monotherapy phase of placebo or </w:t>
      </w:r>
      <w:proofErr w:type="spellStart"/>
      <w:r w:rsidR="00166F6A">
        <w:t>bevacizumab</w:t>
      </w:r>
      <w:proofErr w:type="spellEnd"/>
      <w:r>
        <w:t xml:space="preserve"> in a dose of 15</w:t>
      </w:r>
      <w:r w:rsidR="000A4D61">
        <w:t xml:space="preserve"> </w:t>
      </w:r>
      <w:r>
        <w:t>mg/kg every two weeks until disease progression.</w:t>
      </w:r>
    </w:p>
    <w:p w:rsidR="000A4D61" w:rsidRDefault="00166F6A" w:rsidP="000A4D61">
      <w:pPr>
        <w:rPr>
          <w:rFonts w:eastAsiaTheme="minorHAnsi" w:cs="ArialMT"/>
        </w:rPr>
      </w:pPr>
      <w:proofErr w:type="spellStart"/>
      <w:r>
        <w:t>Bevacizumab</w:t>
      </w:r>
      <w:proofErr w:type="spellEnd"/>
      <w:r w:rsidR="000A4D61">
        <w:t xml:space="preserve"> is a recombinant humanised monoclonal antibody that selectively binds to and neutralises the biologic activity of human vascular endothelial growth factor (VEGF).</w:t>
      </w:r>
      <w:r w:rsidR="00AB7CEC">
        <w:t xml:space="preserve"> </w:t>
      </w:r>
      <w:proofErr w:type="spellStart"/>
      <w:r>
        <w:t>Bevacizumab</w:t>
      </w:r>
      <w:proofErr w:type="spellEnd"/>
      <w:r w:rsidR="000A4D61">
        <w:t xml:space="preserve"> inhibits the binding of VEGF to its receptors Flt-1 and KDR on the surface of endothelial cells, thereby</w:t>
      </w:r>
      <w:r w:rsidR="000A4D61" w:rsidRPr="00E513FB">
        <w:rPr>
          <w:rFonts w:eastAsiaTheme="minorHAnsi" w:cs="ArialMT"/>
        </w:rPr>
        <w:t xml:space="preserve"> neutrali</w:t>
      </w:r>
      <w:r w:rsidR="000A4D61">
        <w:rPr>
          <w:rFonts w:eastAsiaTheme="minorHAnsi" w:cs="ArialMT"/>
        </w:rPr>
        <w:t>sing</w:t>
      </w:r>
      <w:r w:rsidR="000A4D61" w:rsidRPr="00E513FB">
        <w:rPr>
          <w:rFonts w:eastAsiaTheme="minorHAnsi" w:cs="ArialMT"/>
        </w:rPr>
        <w:t xml:space="preserve"> the biological activity of VEGF</w:t>
      </w:r>
      <w:r w:rsidR="000A4D61">
        <w:rPr>
          <w:rFonts w:eastAsiaTheme="minorHAnsi" w:cs="ArialMT"/>
        </w:rPr>
        <w:t>.</w:t>
      </w:r>
      <w:r w:rsidR="000A4D61">
        <w:t xml:space="preserve"> This reduces the vascularisation of tumours and limits tumour growth</w:t>
      </w:r>
      <w:r w:rsidR="000A4D61" w:rsidRPr="00E513FB">
        <w:rPr>
          <w:rFonts w:eastAsiaTheme="minorHAnsi" w:cs="ArialMT"/>
        </w:rPr>
        <w:t>.</w:t>
      </w:r>
    </w:p>
    <w:p w:rsidR="00073D4D" w:rsidRDefault="00073D4D" w:rsidP="000A4D61">
      <w:proofErr w:type="spellStart"/>
      <w:r>
        <w:t>Glioblastoma</w:t>
      </w:r>
      <w:proofErr w:type="spellEnd"/>
      <w:r>
        <w:t xml:space="preserve"> (GBM) is the most commonly occurring primary brain tumour in adults. The outcome for patients with </w:t>
      </w:r>
      <w:proofErr w:type="spellStart"/>
      <w:r>
        <w:t>glioblastoma</w:t>
      </w:r>
      <w:proofErr w:type="spellEnd"/>
      <w:r>
        <w:t xml:space="preserve"> is poor, with most patients dying within two years of diagnosis.</w:t>
      </w:r>
    </w:p>
    <w:p w:rsidR="00073D4D" w:rsidRPr="00C07D5E" w:rsidRDefault="00073D4D" w:rsidP="008024B6">
      <w:r>
        <w:t xml:space="preserve">The current standard of care is maximal safe surgical resection followed by adjuvant radiotherapy plus </w:t>
      </w:r>
      <w:proofErr w:type="spellStart"/>
      <w:r>
        <w:t>temozolomide</w:t>
      </w:r>
      <w:proofErr w:type="spellEnd"/>
      <w:r>
        <w:t>, shown to result in an improvement in progression-free survival and</w:t>
      </w:r>
      <w:r w:rsidRPr="00BF1049">
        <w:t xml:space="preserve"> </w:t>
      </w:r>
      <w:r>
        <w:t xml:space="preserve">overall survival, compared to </w:t>
      </w:r>
      <w:r w:rsidRPr="00AB7CEC">
        <w:t>radiotherapy alone.</w:t>
      </w:r>
      <w:bookmarkStart w:id="11" w:name="_Ref399405174"/>
      <w:r w:rsidR="00AB7CEC" w:rsidRPr="00AB7CEC">
        <w:rPr>
          <w:rStyle w:val="FootnoteReference"/>
        </w:rPr>
        <w:footnoteReference w:id="1"/>
      </w:r>
      <w:bookmarkEnd w:id="11"/>
      <w:r w:rsidRPr="00AB7CEC">
        <w:t xml:space="preserve"> Since</w:t>
      </w:r>
      <w:r>
        <w:t xml:space="preserve"> 2004 it has been </w:t>
      </w:r>
      <w:r w:rsidRPr="00AB7CEC">
        <w:t xml:space="preserve">shown that </w:t>
      </w:r>
      <w:proofErr w:type="spellStart"/>
      <w:r w:rsidRPr="00AB7CEC">
        <w:t>methylguanine</w:t>
      </w:r>
      <w:proofErr w:type="spellEnd"/>
      <w:r w:rsidRPr="00AB7CEC">
        <w:t xml:space="preserve"> methyl-</w:t>
      </w:r>
      <w:proofErr w:type="spellStart"/>
      <w:r w:rsidRPr="00AB7CEC">
        <w:t>transferase</w:t>
      </w:r>
      <w:proofErr w:type="spellEnd"/>
      <w:r w:rsidRPr="00AB7CEC">
        <w:t xml:space="preserve"> (MGMT) promoter status determines the response of a patient to </w:t>
      </w:r>
      <w:proofErr w:type="spellStart"/>
      <w:r w:rsidRPr="00AB7CEC">
        <w:t>temozolomide</w:t>
      </w:r>
      <w:proofErr w:type="spellEnd"/>
      <w:r w:rsidRPr="00AB7CEC">
        <w:t xml:space="preserve"> and also the pattern of, and time to, GBM recurrence.</w:t>
      </w:r>
      <w:r w:rsidR="00AB7CEC" w:rsidRPr="00AB7CEC">
        <w:rPr>
          <w:vertAlign w:val="superscript"/>
        </w:rPr>
        <w:fldChar w:fldCharType="begin"/>
      </w:r>
      <w:r w:rsidR="00AB7CEC" w:rsidRPr="00AB7CEC">
        <w:rPr>
          <w:vertAlign w:val="superscript"/>
        </w:rPr>
        <w:instrText xml:space="preserve"> NOTEREF _Ref399405174 \h  \* MERGEFORMAT </w:instrText>
      </w:r>
      <w:r w:rsidR="00AB7CEC" w:rsidRPr="00AB7CEC">
        <w:rPr>
          <w:vertAlign w:val="superscript"/>
        </w:rPr>
      </w:r>
      <w:r w:rsidR="00AB7CEC" w:rsidRPr="00AB7CEC">
        <w:rPr>
          <w:vertAlign w:val="superscript"/>
        </w:rPr>
        <w:fldChar w:fldCharType="separate"/>
      </w:r>
      <w:r w:rsidR="007516A6">
        <w:rPr>
          <w:vertAlign w:val="superscript"/>
        </w:rPr>
        <w:t>1</w:t>
      </w:r>
      <w:r w:rsidR="00AB7CEC" w:rsidRPr="00AB7CEC">
        <w:rPr>
          <w:vertAlign w:val="superscript"/>
        </w:rPr>
        <w:fldChar w:fldCharType="end"/>
      </w:r>
      <w:r w:rsidR="00AB7CEC" w:rsidRPr="00AB7CEC">
        <w:rPr>
          <w:vertAlign w:val="superscript"/>
        </w:rPr>
        <w:t>,</w:t>
      </w:r>
      <w:r w:rsidR="00AB7CEC" w:rsidRPr="00AB7CEC">
        <w:rPr>
          <w:rStyle w:val="FootnoteReference"/>
        </w:rPr>
        <w:footnoteReference w:id="2"/>
      </w:r>
      <w:proofErr w:type="gramStart"/>
      <w:r w:rsidR="00AB7CEC" w:rsidRPr="00AB7CEC">
        <w:rPr>
          <w:vertAlign w:val="superscript"/>
        </w:rPr>
        <w:t>,</w:t>
      </w:r>
      <w:proofErr w:type="gramEnd"/>
      <w:r w:rsidR="00AB7CEC" w:rsidRPr="00AB7CEC">
        <w:rPr>
          <w:rStyle w:val="FootnoteReference"/>
        </w:rPr>
        <w:footnoteReference w:id="3"/>
      </w:r>
    </w:p>
    <w:p w:rsidR="00073D4D" w:rsidRDefault="00073D4D" w:rsidP="000A4D61">
      <w:pPr>
        <w:rPr>
          <w:rFonts w:eastAsiaTheme="minorHAnsi" w:cs="AdvGulliv-R"/>
          <w:szCs w:val="16"/>
        </w:rPr>
      </w:pPr>
      <w:r w:rsidRPr="006E0DB1">
        <w:rPr>
          <w:rFonts w:eastAsiaTheme="minorHAnsi" w:cs="AdvGulliv-R"/>
          <w:szCs w:val="16"/>
        </w:rPr>
        <w:t xml:space="preserve">MGMT status </w:t>
      </w:r>
      <w:r>
        <w:rPr>
          <w:rFonts w:eastAsiaTheme="minorHAnsi" w:cs="AdvGulliv-R"/>
          <w:szCs w:val="16"/>
        </w:rPr>
        <w:t>is a demonstrated effect modifier of</w:t>
      </w:r>
      <w:r w:rsidRPr="006E0DB1">
        <w:rPr>
          <w:rFonts w:eastAsiaTheme="minorHAnsi" w:cs="AdvGulliv-R"/>
          <w:szCs w:val="16"/>
        </w:rPr>
        <w:t xml:space="preserve"> </w:t>
      </w:r>
      <w:r>
        <w:rPr>
          <w:rFonts w:eastAsiaTheme="minorHAnsi" w:cs="AdvGulliv-R"/>
          <w:szCs w:val="16"/>
        </w:rPr>
        <w:t>outcomes</w:t>
      </w:r>
      <w:r w:rsidRPr="006E0DB1">
        <w:rPr>
          <w:rFonts w:eastAsiaTheme="minorHAnsi" w:cs="AdvGulliv-R"/>
          <w:szCs w:val="16"/>
        </w:rPr>
        <w:t xml:space="preserve"> in newly diagnosed</w:t>
      </w:r>
      <w:r>
        <w:rPr>
          <w:rFonts w:eastAsiaTheme="minorHAnsi" w:cs="AdvGulliv-R"/>
          <w:szCs w:val="16"/>
        </w:rPr>
        <w:t xml:space="preserve"> or inoperable</w:t>
      </w:r>
      <w:r w:rsidRPr="006E0DB1">
        <w:rPr>
          <w:rFonts w:eastAsiaTheme="minorHAnsi" w:cs="AdvGulliv-R"/>
          <w:szCs w:val="16"/>
        </w:rPr>
        <w:t xml:space="preserve"> </w:t>
      </w:r>
      <w:proofErr w:type="spellStart"/>
      <w:r w:rsidRPr="006E0DB1">
        <w:rPr>
          <w:rFonts w:eastAsiaTheme="minorHAnsi" w:cs="AdvGulliv-R"/>
          <w:szCs w:val="16"/>
        </w:rPr>
        <w:t>glioblastoma</w:t>
      </w:r>
      <w:proofErr w:type="spellEnd"/>
      <w:r>
        <w:rPr>
          <w:rFonts w:eastAsiaTheme="minorHAnsi" w:cs="AdvGulliv-R"/>
          <w:szCs w:val="16"/>
        </w:rPr>
        <w:t xml:space="preserve">, treated with </w:t>
      </w:r>
      <w:proofErr w:type="spellStart"/>
      <w:r>
        <w:rPr>
          <w:rFonts w:eastAsiaTheme="minorHAnsi" w:cs="AdvGulliv-R"/>
          <w:szCs w:val="16"/>
        </w:rPr>
        <w:t>temozolomide</w:t>
      </w:r>
      <w:proofErr w:type="spellEnd"/>
      <w:r>
        <w:rPr>
          <w:rFonts w:eastAsiaTheme="minorHAnsi" w:cs="AdvGulliv-R"/>
          <w:szCs w:val="16"/>
        </w:rPr>
        <w:t xml:space="preserve"> and radiotherapy</w:t>
      </w:r>
      <w:r w:rsidR="000A4D61">
        <w:rPr>
          <w:rFonts w:eastAsiaTheme="minorHAnsi" w:cs="AdvGulliv-R"/>
          <w:szCs w:val="16"/>
        </w:rPr>
        <w:t>;</w:t>
      </w:r>
      <w:r w:rsidRPr="00A80353">
        <w:rPr>
          <w:rFonts w:eastAsiaTheme="minorHAnsi" w:cs="AdvGulliv-R"/>
          <w:szCs w:val="16"/>
        </w:rPr>
        <w:t xml:space="preserve"> </w:t>
      </w:r>
      <w:r>
        <w:rPr>
          <w:rFonts w:eastAsiaTheme="minorHAnsi" w:cs="AdvGulliv-R"/>
          <w:szCs w:val="16"/>
        </w:rPr>
        <w:t>methylated MGMT (‘positive’) status confers the benefit. The differential effect</w:t>
      </w:r>
      <w:r w:rsidRPr="006E0DB1">
        <w:rPr>
          <w:rFonts w:eastAsiaTheme="minorHAnsi" w:cs="AdvGulliv-R"/>
          <w:szCs w:val="16"/>
        </w:rPr>
        <w:t xml:space="preserve"> </w:t>
      </w:r>
      <w:r>
        <w:rPr>
          <w:rFonts w:eastAsiaTheme="minorHAnsi" w:cs="AdvGulliv-R"/>
          <w:szCs w:val="16"/>
        </w:rPr>
        <w:t xml:space="preserve">of MGMT methylation status on progression-free survival (PFS) </w:t>
      </w:r>
      <w:r w:rsidRPr="006E0DB1">
        <w:rPr>
          <w:rFonts w:eastAsiaTheme="minorHAnsi" w:cs="AdvGulliv-R"/>
          <w:szCs w:val="16"/>
        </w:rPr>
        <w:t xml:space="preserve">is </w:t>
      </w:r>
      <w:r>
        <w:rPr>
          <w:rFonts w:eastAsiaTheme="minorHAnsi" w:cs="AdvGulliv-R"/>
          <w:szCs w:val="16"/>
        </w:rPr>
        <w:t>in the order of 5 months for primary disease and 2 months for recurrent disease</w:t>
      </w:r>
      <w:r w:rsidR="000A4D61">
        <w:rPr>
          <w:rFonts w:eastAsiaTheme="minorHAnsi" w:cs="AdvGulliv-R"/>
          <w:szCs w:val="16"/>
        </w:rPr>
        <w:t xml:space="preserve"> (T</w:t>
      </w:r>
      <w:r>
        <w:rPr>
          <w:rFonts w:eastAsiaTheme="minorHAnsi" w:cs="AdvGulliv-R"/>
          <w:szCs w:val="16"/>
        </w:rPr>
        <w:t>able 1</w:t>
      </w:r>
      <w:r w:rsidR="000A4D61">
        <w:rPr>
          <w:rFonts w:eastAsiaTheme="minorHAnsi" w:cs="AdvGulliv-R"/>
          <w:szCs w:val="16"/>
        </w:rPr>
        <w:t>)</w:t>
      </w:r>
      <w:r>
        <w:rPr>
          <w:rFonts w:eastAsiaTheme="minorHAnsi" w:cs="AdvGulliv-R"/>
          <w:szCs w:val="16"/>
        </w:rPr>
        <w:t>.</w:t>
      </w:r>
    </w:p>
    <w:p w:rsidR="00073D4D" w:rsidRDefault="00073D4D" w:rsidP="000A4D61">
      <w:pPr>
        <w:pStyle w:val="TableTitle"/>
      </w:pPr>
      <w:r>
        <w:t>Table 1</w:t>
      </w:r>
      <w:r w:rsidR="000A4D61">
        <w:t>.</w:t>
      </w:r>
      <w:r>
        <w:t xml:space="preserve"> Effect of MGMT methylation status on outcomes in patients with GBM treated with radiotherapy and </w:t>
      </w:r>
      <w:proofErr w:type="spellStart"/>
      <w:r>
        <w:t>temozolomide</w:t>
      </w:r>
      <w:proofErr w:type="spellEnd"/>
    </w:p>
    <w:tbl>
      <w:tblPr>
        <w:tblStyle w:val="TableTGAblue"/>
        <w:tblW w:w="0" w:type="auto"/>
        <w:tblInd w:w="108" w:type="dxa"/>
        <w:tblLook w:val="04A0" w:firstRow="1" w:lastRow="0" w:firstColumn="1" w:lastColumn="0" w:noHBand="0" w:noVBand="1"/>
      </w:tblPr>
      <w:tblGrid>
        <w:gridCol w:w="1383"/>
        <w:gridCol w:w="1878"/>
        <w:gridCol w:w="2126"/>
        <w:gridCol w:w="1559"/>
        <w:gridCol w:w="1666"/>
      </w:tblGrid>
      <w:tr w:rsidR="00073D4D" w:rsidTr="008024B6">
        <w:trPr>
          <w:cnfStyle w:val="100000000000" w:firstRow="1" w:lastRow="0" w:firstColumn="0" w:lastColumn="0" w:oddVBand="0" w:evenVBand="0" w:oddHBand="0" w:evenHBand="0" w:firstRowFirstColumn="0" w:firstRowLastColumn="0" w:lastRowFirstColumn="0" w:lastRowLastColumn="0"/>
        </w:trPr>
        <w:tc>
          <w:tcPr>
            <w:tcW w:w="1383" w:type="dxa"/>
          </w:tcPr>
          <w:p w:rsidR="00073D4D" w:rsidRPr="00EA15B6" w:rsidRDefault="00073D4D" w:rsidP="008024B6">
            <w:pPr>
              <w:ind w:left="0" w:right="0"/>
              <w:rPr>
                <w:lang w:eastAsia="en-US"/>
              </w:rPr>
            </w:pPr>
            <w:r w:rsidRPr="00EA15B6">
              <w:rPr>
                <w:lang w:eastAsia="en-US"/>
              </w:rPr>
              <w:t>Study author</w:t>
            </w:r>
          </w:p>
        </w:tc>
        <w:tc>
          <w:tcPr>
            <w:tcW w:w="1878" w:type="dxa"/>
          </w:tcPr>
          <w:p w:rsidR="00073D4D" w:rsidRPr="00EA15B6" w:rsidRDefault="00073D4D" w:rsidP="008024B6">
            <w:pPr>
              <w:ind w:left="0" w:right="0"/>
              <w:rPr>
                <w:lang w:eastAsia="en-US"/>
              </w:rPr>
            </w:pPr>
            <w:r w:rsidRPr="00EA15B6">
              <w:rPr>
                <w:lang w:eastAsia="en-US"/>
              </w:rPr>
              <w:t>Disease</w:t>
            </w:r>
          </w:p>
        </w:tc>
        <w:tc>
          <w:tcPr>
            <w:tcW w:w="2126" w:type="dxa"/>
          </w:tcPr>
          <w:p w:rsidR="00073D4D" w:rsidRPr="00EA15B6" w:rsidRDefault="00073D4D" w:rsidP="008024B6">
            <w:pPr>
              <w:ind w:left="0" w:right="0"/>
              <w:rPr>
                <w:lang w:eastAsia="en-US"/>
              </w:rPr>
            </w:pPr>
            <w:r w:rsidRPr="00EA15B6">
              <w:rPr>
                <w:lang w:eastAsia="en-US"/>
              </w:rPr>
              <w:t>Outcome</w:t>
            </w:r>
          </w:p>
        </w:tc>
        <w:tc>
          <w:tcPr>
            <w:tcW w:w="1559" w:type="dxa"/>
          </w:tcPr>
          <w:p w:rsidR="00073D4D" w:rsidRPr="00EA15B6" w:rsidRDefault="00073D4D" w:rsidP="008024B6">
            <w:pPr>
              <w:ind w:left="0" w:right="0"/>
              <w:rPr>
                <w:lang w:eastAsia="en-US"/>
              </w:rPr>
            </w:pPr>
            <w:r w:rsidRPr="00EA15B6">
              <w:rPr>
                <w:lang w:eastAsia="en-US"/>
              </w:rPr>
              <w:t>MGMT methylated</w:t>
            </w:r>
          </w:p>
        </w:tc>
        <w:tc>
          <w:tcPr>
            <w:tcW w:w="1666" w:type="dxa"/>
          </w:tcPr>
          <w:p w:rsidR="00073D4D" w:rsidRPr="00EA15B6" w:rsidRDefault="00073D4D" w:rsidP="008024B6">
            <w:pPr>
              <w:ind w:left="0" w:right="0"/>
              <w:rPr>
                <w:lang w:eastAsia="en-US"/>
              </w:rPr>
            </w:pPr>
            <w:r w:rsidRPr="00EA15B6">
              <w:rPr>
                <w:lang w:eastAsia="en-US"/>
              </w:rPr>
              <w:t>MGMT non-methylated</w:t>
            </w:r>
          </w:p>
        </w:tc>
      </w:tr>
      <w:tr w:rsidR="00073D4D" w:rsidTr="008024B6">
        <w:tc>
          <w:tcPr>
            <w:tcW w:w="1383" w:type="dxa"/>
          </w:tcPr>
          <w:p w:rsidR="00073D4D" w:rsidRPr="00EA15B6" w:rsidRDefault="00073D4D" w:rsidP="008024B6">
            <w:pPr>
              <w:ind w:left="0" w:right="0"/>
              <w:rPr>
                <w:vertAlign w:val="superscript"/>
                <w:lang w:eastAsia="en-US"/>
              </w:rPr>
            </w:pPr>
            <w:r w:rsidRPr="00EA15B6">
              <w:rPr>
                <w:lang w:eastAsia="en-US"/>
              </w:rPr>
              <w:t>Hegi</w:t>
            </w:r>
            <w:r w:rsidRPr="00EA15B6">
              <w:rPr>
                <w:vertAlign w:val="superscript"/>
                <w:lang w:eastAsia="en-US"/>
              </w:rPr>
              <w:t>2</w:t>
            </w:r>
          </w:p>
        </w:tc>
        <w:tc>
          <w:tcPr>
            <w:tcW w:w="1878" w:type="dxa"/>
          </w:tcPr>
          <w:p w:rsidR="00073D4D" w:rsidRPr="00EA15B6" w:rsidRDefault="00073D4D" w:rsidP="008024B6">
            <w:pPr>
              <w:ind w:left="0" w:right="0"/>
              <w:rPr>
                <w:lang w:eastAsia="en-US"/>
              </w:rPr>
            </w:pPr>
            <w:r w:rsidRPr="00EA15B6">
              <w:rPr>
                <w:lang w:eastAsia="en-US"/>
              </w:rPr>
              <w:t>Newly diagnosed GBM</w:t>
            </w:r>
          </w:p>
        </w:tc>
        <w:tc>
          <w:tcPr>
            <w:tcW w:w="2126" w:type="dxa"/>
          </w:tcPr>
          <w:p w:rsidR="00073D4D" w:rsidRPr="00EA15B6" w:rsidRDefault="00073D4D" w:rsidP="008024B6">
            <w:pPr>
              <w:ind w:left="0" w:right="0"/>
              <w:rPr>
                <w:lang w:eastAsia="en-US"/>
              </w:rPr>
            </w:pPr>
            <w:r w:rsidRPr="00EA15B6">
              <w:rPr>
                <w:lang w:eastAsia="en-US"/>
              </w:rPr>
              <w:t>Median PFS</w:t>
            </w:r>
          </w:p>
        </w:tc>
        <w:tc>
          <w:tcPr>
            <w:tcW w:w="1559" w:type="dxa"/>
          </w:tcPr>
          <w:p w:rsidR="00073D4D" w:rsidRPr="00EA15B6" w:rsidRDefault="00073D4D" w:rsidP="008024B6">
            <w:pPr>
              <w:ind w:left="0" w:right="0"/>
              <w:rPr>
                <w:lang w:eastAsia="en-US"/>
              </w:rPr>
            </w:pPr>
            <w:r w:rsidRPr="00EA15B6">
              <w:rPr>
                <w:lang w:eastAsia="en-US"/>
              </w:rPr>
              <w:t>10.3 months</w:t>
            </w:r>
          </w:p>
        </w:tc>
        <w:tc>
          <w:tcPr>
            <w:tcW w:w="1666" w:type="dxa"/>
          </w:tcPr>
          <w:p w:rsidR="00073D4D" w:rsidRPr="00EA15B6" w:rsidRDefault="00073D4D" w:rsidP="008024B6">
            <w:pPr>
              <w:ind w:left="0" w:right="0"/>
              <w:rPr>
                <w:lang w:eastAsia="en-US"/>
              </w:rPr>
            </w:pPr>
            <w:r w:rsidRPr="00EA15B6">
              <w:rPr>
                <w:lang w:eastAsia="en-US"/>
              </w:rPr>
              <w:t>5.3 months*</w:t>
            </w:r>
          </w:p>
        </w:tc>
      </w:tr>
      <w:tr w:rsidR="00073D4D" w:rsidTr="008024B6">
        <w:tc>
          <w:tcPr>
            <w:tcW w:w="1383" w:type="dxa"/>
          </w:tcPr>
          <w:p w:rsidR="00073D4D" w:rsidRPr="00EA15B6" w:rsidRDefault="00073D4D" w:rsidP="008024B6">
            <w:pPr>
              <w:ind w:left="0" w:right="0"/>
              <w:rPr>
                <w:vertAlign w:val="superscript"/>
                <w:lang w:eastAsia="en-US"/>
              </w:rPr>
            </w:pPr>
            <w:r w:rsidRPr="00EA15B6">
              <w:rPr>
                <w:lang w:eastAsia="en-US"/>
              </w:rPr>
              <w:t>Niyazi</w:t>
            </w:r>
            <w:r w:rsidRPr="00EA15B6">
              <w:rPr>
                <w:vertAlign w:val="superscript"/>
                <w:lang w:eastAsia="en-US"/>
              </w:rPr>
              <w:t>5</w:t>
            </w:r>
          </w:p>
        </w:tc>
        <w:tc>
          <w:tcPr>
            <w:tcW w:w="1878" w:type="dxa"/>
          </w:tcPr>
          <w:p w:rsidR="00073D4D" w:rsidRPr="00EA15B6" w:rsidRDefault="00073D4D" w:rsidP="008024B6">
            <w:pPr>
              <w:ind w:left="0" w:right="0"/>
              <w:rPr>
                <w:lang w:eastAsia="en-US"/>
              </w:rPr>
            </w:pPr>
            <w:r w:rsidRPr="00EA15B6">
              <w:rPr>
                <w:lang w:eastAsia="en-US"/>
              </w:rPr>
              <w:t>Newly diagnosed GBM</w:t>
            </w:r>
          </w:p>
        </w:tc>
        <w:tc>
          <w:tcPr>
            <w:tcW w:w="2126" w:type="dxa"/>
          </w:tcPr>
          <w:p w:rsidR="00073D4D" w:rsidRPr="00EA15B6" w:rsidRDefault="00073D4D" w:rsidP="008024B6">
            <w:pPr>
              <w:ind w:left="0" w:right="0"/>
              <w:rPr>
                <w:lang w:eastAsia="en-US"/>
              </w:rPr>
            </w:pPr>
            <w:r w:rsidRPr="00EA15B6">
              <w:rPr>
                <w:lang w:eastAsia="en-US"/>
              </w:rPr>
              <w:t>Median PFS</w:t>
            </w:r>
          </w:p>
          <w:p w:rsidR="00073D4D" w:rsidRPr="00EA15B6" w:rsidRDefault="00073D4D" w:rsidP="008024B6">
            <w:pPr>
              <w:ind w:left="0" w:right="0"/>
              <w:rPr>
                <w:lang w:eastAsia="en-US"/>
              </w:rPr>
            </w:pPr>
            <w:r w:rsidRPr="00EA15B6">
              <w:rPr>
                <w:lang w:eastAsia="en-US"/>
              </w:rPr>
              <w:t>1year survival</w:t>
            </w:r>
          </w:p>
          <w:p w:rsidR="00073D4D" w:rsidRPr="00EA15B6" w:rsidRDefault="00073D4D" w:rsidP="008024B6">
            <w:pPr>
              <w:ind w:left="0" w:right="0"/>
              <w:rPr>
                <w:lang w:eastAsia="en-US"/>
              </w:rPr>
            </w:pPr>
            <w:r w:rsidRPr="00EA15B6">
              <w:rPr>
                <w:lang w:eastAsia="en-US"/>
              </w:rPr>
              <w:t>2 year survival</w:t>
            </w:r>
          </w:p>
        </w:tc>
        <w:tc>
          <w:tcPr>
            <w:tcW w:w="1559" w:type="dxa"/>
          </w:tcPr>
          <w:p w:rsidR="00073D4D" w:rsidRPr="00EA15B6" w:rsidRDefault="00073D4D" w:rsidP="008024B6">
            <w:pPr>
              <w:ind w:left="0" w:right="0"/>
              <w:rPr>
                <w:lang w:eastAsia="en-US"/>
              </w:rPr>
            </w:pPr>
            <w:r w:rsidRPr="00EA15B6">
              <w:rPr>
                <w:lang w:eastAsia="en-US"/>
              </w:rPr>
              <w:t>642 days</w:t>
            </w:r>
          </w:p>
          <w:p w:rsidR="00073D4D" w:rsidRPr="00EA15B6" w:rsidRDefault="00073D4D" w:rsidP="008024B6">
            <w:pPr>
              <w:ind w:left="0" w:right="0"/>
              <w:rPr>
                <w:lang w:eastAsia="en-US"/>
              </w:rPr>
            </w:pPr>
            <w:r w:rsidRPr="00EA15B6">
              <w:rPr>
                <w:lang w:eastAsia="en-US"/>
              </w:rPr>
              <w:t>93%</w:t>
            </w:r>
          </w:p>
          <w:p w:rsidR="00073D4D" w:rsidRPr="00EA15B6" w:rsidRDefault="00073D4D" w:rsidP="008024B6">
            <w:pPr>
              <w:ind w:left="0" w:right="0"/>
              <w:rPr>
                <w:lang w:eastAsia="en-US"/>
              </w:rPr>
            </w:pPr>
            <w:r w:rsidRPr="00EA15B6">
              <w:rPr>
                <w:lang w:eastAsia="en-US"/>
              </w:rPr>
              <w:t>78%</w:t>
            </w:r>
          </w:p>
        </w:tc>
        <w:tc>
          <w:tcPr>
            <w:tcW w:w="1666" w:type="dxa"/>
          </w:tcPr>
          <w:p w:rsidR="00073D4D" w:rsidRPr="00EA15B6" w:rsidRDefault="00073D4D" w:rsidP="008024B6">
            <w:pPr>
              <w:ind w:left="0" w:right="0"/>
              <w:rPr>
                <w:lang w:eastAsia="en-US"/>
              </w:rPr>
            </w:pPr>
            <w:r w:rsidRPr="00EA15B6">
              <w:rPr>
                <w:lang w:eastAsia="en-US"/>
              </w:rPr>
              <w:t>231 days**</w:t>
            </w:r>
          </w:p>
          <w:p w:rsidR="00073D4D" w:rsidRPr="00EA15B6" w:rsidRDefault="00073D4D" w:rsidP="008024B6">
            <w:pPr>
              <w:ind w:left="0" w:right="0"/>
              <w:rPr>
                <w:lang w:eastAsia="en-US"/>
              </w:rPr>
            </w:pPr>
            <w:r w:rsidRPr="00EA15B6">
              <w:rPr>
                <w:lang w:eastAsia="en-US"/>
              </w:rPr>
              <w:t>65%</w:t>
            </w:r>
          </w:p>
          <w:p w:rsidR="00073D4D" w:rsidRPr="00EA15B6" w:rsidRDefault="00073D4D" w:rsidP="008024B6">
            <w:pPr>
              <w:ind w:left="0" w:right="0"/>
              <w:rPr>
                <w:lang w:eastAsia="en-US"/>
              </w:rPr>
            </w:pPr>
            <w:r w:rsidRPr="00EA15B6">
              <w:rPr>
                <w:lang w:eastAsia="en-US"/>
              </w:rPr>
              <w:t>7%</w:t>
            </w:r>
          </w:p>
        </w:tc>
      </w:tr>
      <w:tr w:rsidR="00073D4D" w:rsidTr="008024B6">
        <w:tc>
          <w:tcPr>
            <w:tcW w:w="1383" w:type="dxa"/>
          </w:tcPr>
          <w:p w:rsidR="00073D4D" w:rsidRPr="00EA15B6" w:rsidRDefault="00073D4D" w:rsidP="008024B6">
            <w:pPr>
              <w:ind w:left="0" w:right="0"/>
              <w:rPr>
                <w:vertAlign w:val="superscript"/>
                <w:lang w:eastAsia="en-US"/>
              </w:rPr>
            </w:pPr>
            <w:r w:rsidRPr="00EA15B6">
              <w:rPr>
                <w:lang w:eastAsia="en-US"/>
              </w:rPr>
              <w:t>Thon</w:t>
            </w:r>
            <w:r w:rsidRPr="00EA15B6">
              <w:rPr>
                <w:vertAlign w:val="superscript"/>
                <w:lang w:eastAsia="en-US"/>
              </w:rPr>
              <w:t>6</w:t>
            </w:r>
          </w:p>
        </w:tc>
        <w:tc>
          <w:tcPr>
            <w:tcW w:w="1878" w:type="dxa"/>
          </w:tcPr>
          <w:p w:rsidR="00073D4D" w:rsidRPr="00EA15B6" w:rsidRDefault="00073D4D" w:rsidP="008024B6">
            <w:pPr>
              <w:ind w:left="0" w:right="0"/>
              <w:rPr>
                <w:lang w:eastAsia="en-US"/>
              </w:rPr>
            </w:pPr>
            <w:r w:rsidRPr="00EA15B6">
              <w:rPr>
                <w:lang w:eastAsia="en-US"/>
              </w:rPr>
              <w:t>Recurrent GBM</w:t>
            </w:r>
          </w:p>
        </w:tc>
        <w:tc>
          <w:tcPr>
            <w:tcW w:w="2126" w:type="dxa"/>
          </w:tcPr>
          <w:p w:rsidR="00073D4D" w:rsidRPr="00EA15B6" w:rsidRDefault="00073D4D" w:rsidP="008024B6">
            <w:pPr>
              <w:ind w:left="0" w:right="0"/>
              <w:rPr>
                <w:lang w:eastAsia="en-US"/>
              </w:rPr>
            </w:pPr>
            <w:r w:rsidRPr="00EA15B6">
              <w:rPr>
                <w:lang w:eastAsia="en-US"/>
              </w:rPr>
              <w:t>Median PFS</w:t>
            </w:r>
          </w:p>
          <w:p w:rsidR="00073D4D" w:rsidRPr="00EA15B6" w:rsidRDefault="00073D4D" w:rsidP="008024B6">
            <w:pPr>
              <w:ind w:left="0" w:right="0"/>
              <w:rPr>
                <w:lang w:eastAsia="en-US"/>
              </w:rPr>
            </w:pPr>
            <w:r w:rsidRPr="00EA15B6">
              <w:rPr>
                <w:lang w:eastAsia="en-US"/>
              </w:rPr>
              <w:t>Median Overall survival</w:t>
            </w:r>
          </w:p>
        </w:tc>
        <w:tc>
          <w:tcPr>
            <w:tcW w:w="1559" w:type="dxa"/>
          </w:tcPr>
          <w:p w:rsidR="00073D4D" w:rsidRPr="00EA15B6" w:rsidRDefault="00073D4D" w:rsidP="008024B6">
            <w:pPr>
              <w:ind w:left="0" w:right="0"/>
              <w:rPr>
                <w:lang w:eastAsia="en-US"/>
              </w:rPr>
            </w:pPr>
            <w:r w:rsidRPr="00EA15B6">
              <w:rPr>
                <w:lang w:eastAsia="en-US"/>
              </w:rPr>
              <w:t>56 weeks</w:t>
            </w:r>
          </w:p>
          <w:p w:rsidR="00073D4D" w:rsidRPr="00EA15B6" w:rsidRDefault="00073D4D" w:rsidP="008024B6">
            <w:pPr>
              <w:ind w:left="0" w:right="0"/>
              <w:rPr>
                <w:lang w:eastAsia="en-US"/>
              </w:rPr>
            </w:pPr>
            <w:r w:rsidRPr="00EA15B6">
              <w:rPr>
                <w:lang w:eastAsia="en-US"/>
              </w:rPr>
              <w:t>104 weeks</w:t>
            </w:r>
          </w:p>
        </w:tc>
        <w:tc>
          <w:tcPr>
            <w:tcW w:w="1666" w:type="dxa"/>
          </w:tcPr>
          <w:p w:rsidR="00073D4D" w:rsidRPr="00EA15B6" w:rsidRDefault="00073D4D" w:rsidP="008024B6">
            <w:pPr>
              <w:ind w:left="0" w:right="0"/>
              <w:rPr>
                <w:lang w:eastAsia="en-US"/>
              </w:rPr>
            </w:pPr>
            <w:r w:rsidRPr="00EA15B6">
              <w:rPr>
                <w:lang w:eastAsia="en-US"/>
              </w:rPr>
              <w:t>20 weeks†</w:t>
            </w:r>
          </w:p>
          <w:p w:rsidR="00073D4D" w:rsidRPr="00EA15B6" w:rsidRDefault="00073D4D" w:rsidP="008024B6">
            <w:pPr>
              <w:ind w:left="0" w:right="0"/>
              <w:rPr>
                <w:lang w:eastAsia="en-US"/>
              </w:rPr>
            </w:pPr>
            <w:r w:rsidRPr="00EA15B6">
              <w:rPr>
                <w:lang w:eastAsia="en-US"/>
              </w:rPr>
              <w:t>28 weeks‡</w:t>
            </w:r>
          </w:p>
        </w:tc>
      </w:tr>
    </w:tbl>
    <w:p w:rsidR="00073D4D" w:rsidRPr="00EA15B6" w:rsidRDefault="00073D4D" w:rsidP="008024B6">
      <w:pPr>
        <w:pStyle w:val="TableDescription"/>
      </w:pPr>
      <w:r w:rsidRPr="00EA15B6">
        <w:t xml:space="preserve">*PFS Hazard ratio 0.62 (95% </w:t>
      </w:r>
      <w:r w:rsidR="007013CE">
        <w:t>confidence interval (</w:t>
      </w:r>
      <w:r w:rsidRPr="00EA15B6">
        <w:t>CI</w:t>
      </w:r>
      <w:r w:rsidR="007013CE">
        <w:t>)</w:t>
      </w:r>
      <w:r w:rsidRPr="00EA15B6">
        <w:t xml:space="preserve"> 0.42, 0.92)</w:t>
      </w:r>
      <w:r w:rsidR="00EA15B6" w:rsidRPr="00EA15B6">
        <w:t xml:space="preserve"> </w:t>
      </w:r>
      <w:r w:rsidRPr="00EA15B6">
        <w:t>**p&lt;0.0001</w:t>
      </w:r>
      <w:r w:rsidR="00EA15B6" w:rsidRPr="00EA15B6">
        <w:t xml:space="preserve">, </w:t>
      </w:r>
      <w:r w:rsidRPr="00EA15B6">
        <w:t>†PFS Hazard ratio 0.15 (95% CI 0.07, 0.33), p&lt;0.0001</w:t>
      </w:r>
      <w:r w:rsidR="00EA15B6" w:rsidRPr="00EA15B6">
        <w:t xml:space="preserve">, </w:t>
      </w:r>
      <w:r w:rsidRPr="00EA15B6">
        <w:t>‡OS Hazard ratio 0.18 (95% CI 0.08, 0.38), P&lt;0.0001</w:t>
      </w:r>
    </w:p>
    <w:p w:rsidR="00073D4D" w:rsidRDefault="00073D4D" w:rsidP="000A4D61">
      <w:r>
        <w:lastRenderedPageBreak/>
        <w:t xml:space="preserve">In the current </w:t>
      </w:r>
      <w:r w:rsidR="000A4D61">
        <w:t>National Comprehensive Cancer Network (</w:t>
      </w:r>
      <w:r>
        <w:t>NCCN</w:t>
      </w:r>
      <w:r w:rsidR="000A4D61">
        <w:t>)</w:t>
      </w:r>
      <w:r>
        <w:t xml:space="preserve"> guideline for newly diagnosed </w:t>
      </w:r>
      <w:proofErr w:type="spellStart"/>
      <w:r>
        <w:t>glioblastoma</w:t>
      </w:r>
      <w:proofErr w:type="spellEnd"/>
      <w:r>
        <w:t xml:space="preserve">, </w:t>
      </w:r>
      <w:proofErr w:type="spellStart"/>
      <w:r>
        <w:t>temozolomide</w:t>
      </w:r>
      <w:proofErr w:type="spellEnd"/>
      <w:r>
        <w:t xml:space="preserve"> is indicated, in conjunction with radiotherapy, for all patients with good performance status (</w:t>
      </w:r>
      <w:proofErr w:type="spellStart"/>
      <w:r w:rsidR="000A4D61" w:rsidRPr="000A4D61">
        <w:rPr>
          <w:rStyle w:val="Emphasis"/>
          <w:rFonts w:cs="Arial"/>
          <w:b w:val="0"/>
          <w:color w:val="222222"/>
        </w:rPr>
        <w:t>Karnofsky</w:t>
      </w:r>
      <w:proofErr w:type="spellEnd"/>
      <w:r w:rsidR="000A4D61" w:rsidRPr="000A4D61">
        <w:rPr>
          <w:rStyle w:val="Emphasis"/>
          <w:rFonts w:cs="Arial"/>
          <w:b w:val="0"/>
          <w:color w:val="222222"/>
        </w:rPr>
        <w:t xml:space="preserve"> Performance Status</w:t>
      </w:r>
      <w:r w:rsidR="000A4D61">
        <w:t xml:space="preserve"> (</w:t>
      </w:r>
      <w:r>
        <w:t>KPS</w:t>
      </w:r>
      <w:r w:rsidR="000A4D61">
        <w:t>)</w:t>
      </w:r>
      <w:r w:rsidR="000A4D61">
        <w:rPr>
          <w:rStyle w:val="FootnoteReference"/>
        </w:rPr>
        <w:footnoteReference w:id="4"/>
      </w:r>
      <w:r>
        <w:t xml:space="preserve"> &gt;</w:t>
      </w:r>
      <w:r w:rsidR="000A4D61">
        <w:t xml:space="preserve"> </w:t>
      </w:r>
      <w:r>
        <w:t>70) (NCCN guideline-</w:t>
      </w:r>
      <w:r w:rsidR="000A4D61">
        <w:t>A</w:t>
      </w:r>
      <w:r>
        <w:t xml:space="preserve">naplastic </w:t>
      </w:r>
      <w:proofErr w:type="spellStart"/>
      <w:r>
        <w:t>glioma</w:t>
      </w:r>
      <w:proofErr w:type="spellEnd"/>
      <w:r>
        <w:t>/</w:t>
      </w:r>
      <w:proofErr w:type="spellStart"/>
      <w:r>
        <w:t>glioblastoma</w:t>
      </w:r>
      <w:proofErr w:type="spellEnd"/>
      <w:r>
        <w:t xml:space="preserve"> version 2.2013). In patients over 70 years of age, </w:t>
      </w:r>
      <w:proofErr w:type="spellStart"/>
      <w:r>
        <w:t>temozolomide</w:t>
      </w:r>
      <w:proofErr w:type="spellEnd"/>
      <w:r>
        <w:t xml:space="preserve"> is only indicated in those with positive MGMT methylation status. The currently approved PI for </w:t>
      </w:r>
      <w:proofErr w:type="spellStart"/>
      <w:r>
        <w:t>temozolomide</w:t>
      </w:r>
      <w:proofErr w:type="spellEnd"/>
      <w:r>
        <w:t xml:space="preserve"> has a precaution to co-administer </w:t>
      </w:r>
      <w:r w:rsidR="00AB7CEC" w:rsidRPr="00AB7CEC">
        <w:t xml:space="preserve">Pneumocystis </w:t>
      </w:r>
      <w:proofErr w:type="spellStart"/>
      <w:r w:rsidR="00AB7CEC" w:rsidRPr="00AB7CEC">
        <w:t>carinii</w:t>
      </w:r>
      <w:proofErr w:type="spellEnd"/>
      <w:r w:rsidR="00AB7CEC" w:rsidRPr="00AB7CEC">
        <w:t xml:space="preserve"> pneumonia (</w:t>
      </w:r>
      <w:r w:rsidRPr="00AB7CEC">
        <w:t>P</w:t>
      </w:r>
      <w:r>
        <w:t>CP</w:t>
      </w:r>
      <w:r w:rsidR="00AB7CEC">
        <w:t>)</w:t>
      </w:r>
      <w:r>
        <w:t xml:space="preserve"> prophylaxis during combination treatment with radiotherapy due to a risk of </w:t>
      </w:r>
      <w:proofErr w:type="spellStart"/>
      <w:r>
        <w:t>lymphopaenia</w:t>
      </w:r>
      <w:proofErr w:type="spellEnd"/>
      <w:r>
        <w:t>.</w:t>
      </w:r>
    </w:p>
    <w:p w:rsidR="00073D4D" w:rsidRDefault="00073D4D" w:rsidP="00087C8F">
      <w:pPr>
        <w:rPr>
          <w:rFonts w:ascii="AdvGulliv-R" w:eastAsiaTheme="minorHAnsi" w:hAnsi="AdvGulliv-R" w:cs="AdvGulliv-R"/>
          <w:sz w:val="16"/>
          <w:szCs w:val="16"/>
        </w:rPr>
      </w:pPr>
      <w:proofErr w:type="spellStart"/>
      <w:r>
        <w:t>Temozolomide</w:t>
      </w:r>
      <w:proofErr w:type="spellEnd"/>
      <w:r>
        <w:t xml:space="preserve"> has been available in Australia since 2005 for the treatment of </w:t>
      </w:r>
      <w:proofErr w:type="spellStart"/>
      <w:r>
        <w:t>glioblastoma</w:t>
      </w:r>
      <w:proofErr w:type="spellEnd"/>
      <w:r>
        <w:t>.</w:t>
      </w:r>
    </w:p>
    <w:p w:rsidR="00073D4D" w:rsidRPr="00087C8F" w:rsidRDefault="00073D4D" w:rsidP="00087C8F">
      <w:r>
        <w:t xml:space="preserve">The </w:t>
      </w:r>
      <w:r w:rsidR="00EA15B6">
        <w:t>s</w:t>
      </w:r>
      <w:r>
        <w:t xml:space="preserve">ponsor proposed rationale for </w:t>
      </w:r>
      <w:proofErr w:type="spellStart"/>
      <w:r w:rsidR="00166F6A">
        <w:t>bevacizumab</w:t>
      </w:r>
      <w:proofErr w:type="spellEnd"/>
      <w:r>
        <w:t xml:space="preserve"> use in </w:t>
      </w:r>
      <w:proofErr w:type="spellStart"/>
      <w:r>
        <w:t>glioblastoma</w:t>
      </w:r>
      <w:proofErr w:type="spellEnd"/>
      <w:r>
        <w:t xml:space="preserve"> is:</w:t>
      </w:r>
      <w:r w:rsidRPr="00496247">
        <w:t xml:space="preserve"> </w:t>
      </w:r>
      <w:r w:rsidR="00775109" w:rsidRPr="00087C8F">
        <w:rPr>
          <w:i/>
        </w:rPr>
        <w:t>‘</w:t>
      </w:r>
      <w:r w:rsidRPr="00087C8F">
        <w:rPr>
          <w:i/>
        </w:rPr>
        <w:t xml:space="preserve">In </w:t>
      </w:r>
      <w:proofErr w:type="spellStart"/>
      <w:r w:rsidRPr="00087C8F">
        <w:rPr>
          <w:i/>
        </w:rPr>
        <w:t>glioblastomas</w:t>
      </w:r>
      <w:proofErr w:type="spellEnd"/>
      <w:r w:rsidRPr="00087C8F">
        <w:rPr>
          <w:i/>
        </w:rPr>
        <w:t xml:space="preserve"> (WHO Grade IV malignant </w:t>
      </w:r>
      <w:proofErr w:type="spellStart"/>
      <w:r w:rsidRPr="00087C8F">
        <w:rPr>
          <w:i/>
        </w:rPr>
        <w:t>glioma</w:t>
      </w:r>
      <w:proofErr w:type="spellEnd"/>
      <w:r w:rsidRPr="00087C8F">
        <w:rPr>
          <w:i/>
        </w:rPr>
        <w:t xml:space="preserve">) and other </w:t>
      </w:r>
      <w:proofErr w:type="spellStart"/>
      <w:r w:rsidRPr="00087C8F">
        <w:rPr>
          <w:i/>
        </w:rPr>
        <w:t>tumors</w:t>
      </w:r>
      <w:proofErr w:type="spellEnd"/>
      <w:r w:rsidRPr="00087C8F">
        <w:rPr>
          <w:i/>
        </w:rPr>
        <w:t xml:space="preserve"> with a significant component of necrosis, VEGF mRNA was found to be highly expressed in ischemic </w:t>
      </w:r>
      <w:proofErr w:type="spellStart"/>
      <w:r w:rsidRPr="00087C8F">
        <w:rPr>
          <w:i/>
        </w:rPr>
        <w:t>tumor</w:t>
      </w:r>
      <w:proofErr w:type="spellEnd"/>
      <w:r w:rsidRPr="00087C8F">
        <w:rPr>
          <w:i/>
        </w:rPr>
        <w:t xml:space="preserve"> cells that are juxtaposed to areas of necrosis, indicating that local hypoxia is a major inducer of VEGF expression in the microenvironment of the </w:t>
      </w:r>
      <w:proofErr w:type="spellStart"/>
      <w:r w:rsidRPr="00087C8F">
        <w:rPr>
          <w:i/>
        </w:rPr>
        <w:t>tumor</w:t>
      </w:r>
      <w:proofErr w:type="spellEnd"/>
      <w:r w:rsidR="00775109" w:rsidRPr="00087C8F">
        <w:rPr>
          <w:i/>
        </w:rPr>
        <w:t>’</w:t>
      </w:r>
      <w:r w:rsidRPr="00087C8F">
        <w:t>.</w:t>
      </w:r>
    </w:p>
    <w:p w:rsidR="004C67AA" w:rsidRPr="003F31A2" w:rsidRDefault="00EA15B6" w:rsidP="00087C8F">
      <w:pPr>
        <w:pStyle w:val="Heading3"/>
      </w:pPr>
      <w:bookmarkStart w:id="12" w:name="_Toc314842485"/>
      <w:bookmarkStart w:id="13" w:name="_Toc384807742"/>
      <w:bookmarkStart w:id="14" w:name="_Toc247691504"/>
      <w:bookmarkStart w:id="15" w:name="_Toc404950762"/>
      <w:r>
        <w:t>R</w:t>
      </w:r>
      <w:r w:rsidR="004C67AA">
        <w:t>egulatory status</w:t>
      </w:r>
      <w:bookmarkEnd w:id="12"/>
      <w:bookmarkEnd w:id="13"/>
      <w:bookmarkEnd w:id="14"/>
      <w:bookmarkEnd w:id="15"/>
    </w:p>
    <w:p w:rsidR="00044660" w:rsidRPr="00874B8F" w:rsidRDefault="00166F6A" w:rsidP="00087C8F">
      <w:bookmarkStart w:id="16" w:name="_Toc247691505"/>
      <w:bookmarkStart w:id="17" w:name="_Toc314842486"/>
      <w:proofErr w:type="spellStart"/>
      <w:r w:rsidRPr="00874B8F">
        <w:t>Bevacizumab</w:t>
      </w:r>
      <w:proofErr w:type="spellEnd"/>
      <w:r w:rsidR="00044660" w:rsidRPr="00874B8F">
        <w:t xml:space="preserve"> was provided with orphan drug status for the treatment of malignant </w:t>
      </w:r>
      <w:proofErr w:type="spellStart"/>
      <w:r w:rsidR="00044660" w:rsidRPr="00874B8F">
        <w:t>glioma</w:t>
      </w:r>
      <w:proofErr w:type="spellEnd"/>
      <w:r w:rsidR="00044660" w:rsidRPr="00874B8F">
        <w:t xml:space="preserve"> </w:t>
      </w:r>
      <w:r w:rsidR="00AB7CEC" w:rsidRPr="00874B8F">
        <w:t xml:space="preserve">in Australia </w:t>
      </w:r>
      <w:r w:rsidR="00044660" w:rsidRPr="00874B8F">
        <w:t>on the 15 January 2009.</w:t>
      </w:r>
    </w:p>
    <w:p w:rsidR="002F781F" w:rsidRPr="008A44E9" w:rsidRDefault="002F781F" w:rsidP="00087C8F">
      <w:r w:rsidRPr="008A44E9">
        <w:t>The product received initial registration on the Australian Register of Therapeutic</w:t>
      </w:r>
      <w:r w:rsidR="00087C8F">
        <w:t xml:space="preserve"> Goods (ARTG) in February 2005.</w:t>
      </w:r>
    </w:p>
    <w:p w:rsidR="004C67AA" w:rsidRPr="008A44E9" w:rsidRDefault="004C67AA" w:rsidP="00087C8F">
      <w:r w:rsidRPr="002E3621">
        <w:t>At the time the TGA considered this application, a similar application had been approved</w:t>
      </w:r>
      <w:r w:rsidR="00073D4D" w:rsidRPr="008A44E9">
        <w:t xml:space="preserve"> in Japan </w:t>
      </w:r>
      <w:r w:rsidR="00AB7CEC" w:rsidRPr="008A44E9">
        <w:t>(</w:t>
      </w:r>
      <w:r w:rsidR="00073D4D" w:rsidRPr="008A44E9">
        <w:t>June 2013</w:t>
      </w:r>
      <w:r w:rsidR="00AB7CEC" w:rsidRPr="008A44E9">
        <w:t>)</w:t>
      </w:r>
      <w:r w:rsidRPr="008A44E9">
        <w:t>.</w:t>
      </w:r>
    </w:p>
    <w:p w:rsidR="004C67AA" w:rsidRPr="003602A9" w:rsidRDefault="004C67AA" w:rsidP="00087C8F">
      <w:pPr>
        <w:pStyle w:val="Heading2"/>
      </w:pPr>
      <w:bookmarkStart w:id="18" w:name="_Toc247691506"/>
      <w:bookmarkStart w:id="19" w:name="_Toc314842487"/>
      <w:bookmarkStart w:id="20" w:name="_Toc384807744"/>
      <w:bookmarkStart w:id="21" w:name="_Toc404950763"/>
      <w:bookmarkEnd w:id="16"/>
      <w:bookmarkEnd w:id="17"/>
      <w:r>
        <w:t xml:space="preserve">II. </w:t>
      </w:r>
      <w:r w:rsidRPr="00087C8F">
        <w:t>Quality</w:t>
      </w:r>
      <w:r>
        <w:t xml:space="preserve"> findings</w:t>
      </w:r>
      <w:bookmarkEnd w:id="18"/>
      <w:bookmarkEnd w:id="19"/>
      <w:bookmarkEnd w:id="20"/>
      <w:bookmarkEnd w:id="21"/>
    </w:p>
    <w:p w:rsidR="004C67AA" w:rsidRPr="00940A89" w:rsidRDefault="004C67AA" w:rsidP="00087C8F">
      <w:bookmarkStart w:id="22" w:name="_Toc247691507"/>
      <w:bookmarkStart w:id="23" w:name="_Toc314842488"/>
      <w:r w:rsidRPr="00940A89">
        <w:t>There was no requirement for a quality evaluation in a submission of this type.</w:t>
      </w:r>
    </w:p>
    <w:p w:rsidR="004C67AA" w:rsidRDefault="004C67AA" w:rsidP="00087C8F">
      <w:pPr>
        <w:pStyle w:val="Heading2"/>
      </w:pPr>
      <w:bookmarkStart w:id="24" w:name="_Toc196046439"/>
      <w:bookmarkStart w:id="25" w:name="_Toc247691510"/>
      <w:bookmarkStart w:id="26" w:name="_Toc314842494"/>
      <w:bookmarkStart w:id="27" w:name="_Toc384807751"/>
      <w:bookmarkStart w:id="28" w:name="_Toc404950764"/>
      <w:bookmarkEnd w:id="22"/>
      <w:bookmarkEnd w:id="23"/>
      <w:r>
        <w:t xml:space="preserve">III. </w:t>
      </w:r>
      <w:r w:rsidRPr="00087C8F">
        <w:t>Nonclinical</w:t>
      </w:r>
      <w:bookmarkEnd w:id="24"/>
      <w:r>
        <w:t xml:space="preserve"> findings</w:t>
      </w:r>
      <w:bookmarkEnd w:id="25"/>
      <w:bookmarkEnd w:id="26"/>
      <w:bookmarkEnd w:id="27"/>
      <w:bookmarkEnd w:id="28"/>
    </w:p>
    <w:p w:rsidR="004C67AA" w:rsidRDefault="004C67AA" w:rsidP="00087C8F">
      <w:bookmarkStart w:id="29" w:name="_Toc247691511"/>
      <w:bookmarkStart w:id="30" w:name="_Toc314842495"/>
      <w:r>
        <w:t>There was no requirement for a nonclinical evaluation in a submission of this type.</w:t>
      </w:r>
    </w:p>
    <w:p w:rsidR="004C67AA" w:rsidRPr="00254787" w:rsidRDefault="004C67AA" w:rsidP="00087C8F">
      <w:pPr>
        <w:pStyle w:val="Heading2"/>
      </w:pPr>
      <w:bookmarkStart w:id="31" w:name="_Toc196046462"/>
      <w:bookmarkStart w:id="32" w:name="_Toc247691516"/>
      <w:bookmarkStart w:id="33" w:name="_Toc314842500"/>
      <w:bookmarkStart w:id="34" w:name="_Toc384807757"/>
      <w:bookmarkStart w:id="35" w:name="_Toc404950765"/>
      <w:bookmarkStart w:id="36" w:name="_Toc163441353"/>
      <w:bookmarkStart w:id="37" w:name="_Toc163441348"/>
      <w:bookmarkEnd w:id="29"/>
      <w:bookmarkEnd w:id="30"/>
      <w:r>
        <w:t xml:space="preserve">IV. </w:t>
      </w:r>
      <w:r w:rsidRPr="00254787">
        <w:t>Clinical</w:t>
      </w:r>
      <w:bookmarkEnd w:id="31"/>
      <w:r>
        <w:t xml:space="preserve"> </w:t>
      </w:r>
      <w:r w:rsidRPr="00087C8F">
        <w:t>findings</w:t>
      </w:r>
      <w:bookmarkEnd w:id="32"/>
      <w:bookmarkEnd w:id="33"/>
      <w:bookmarkEnd w:id="34"/>
      <w:bookmarkEnd w:id="35"/>
    </w:p>
    <w:p w:rsidR="004C67AA" w:rsidRDefault="004C67AA" w:rsidP="00087C8F">
      <w:bookmarkStart w:id="38" w:name="_Toc196046463"/>
      <w:r>
        <w:t xml:space="preserve">A summary of the </w:t>
      </w:r>
      <w:r w:rsidRPr="00FD70B8">
        <w:t xml:space="preserve">clinical findings is presented in this section. </w:t>
      </w:r>
      <w:r>
        <w:t xml:space="preserve">Further details of these </w:t>
      </w:r>
      <w:r w:rsidRPr="00FD70B8">
        <w:t>clinical findi</w:t>
      </w:r>
      <w:r w:rsidR="007516A6">
        <w:t>ngs can be found in Attachment 1</w:t>
      </w:r>
      <w:r w:rsidRPr="00FD70B8">
        <w:t>.</w:t>
      </w:r>
    </w:p>
    <w:p w:rsidR="004C67AA" w:rsidRDefault="004C67AA" w:rsidP="00087C8F">
      <w:pPr>
        <w:pStyle w:val="Heading3"/>
      </w:pPr>
      <w:bookmarkStart w:id="39" w:name="_Toc247691517"/>
      <w:bookmarkStart w:id="40" w:name="_Toc314842501"/>
      <w:bookmarkStart w:id="41" w:name="_Toc384807758"/>
      <w:bookmarkStart w:id="42" w:name="_Toc404950766"/>
      <w:r w:rsidRPr="00087C8F">
        <w:t>Introduction</w:t>
      </w:r>
      <w:bookmarkEnd w:id="38"/>
      <w:bookmarkEnd w:id="39"/>
      <w:bookmarkEnd w:id="40"/>
      <w:bookmarkEnd w:id="41"/>
      <w:bookmarkEnd w:id="42"/>
    </w:p>
    <w:p w:rsidR="00044660" w:rsidRDefault="00044660" w:rsidP="00087C8F">
      <w:r>
        <w:t xml:space="preserve">Following determination of activity for </w:t>
      </w:r>
      <w:proofErr w:type="spellStart"/>
      <w:r w:rsidR="00166F6A">
        <w:t>bevacizumab</w:t>
      </w:r>
      <w:proofErr w:type="spellEnd"/>
      <w:r>
        <w:t xml:space="preserve"> in several tumour types, studies were undertaken in recurrent or relapsed </w:t>
      </w:r>
      <w:proofErr w:type="spellStart"/>
      <w:r>
        <w:t>glioblastoma</w:t>
      </w:r>
      <w:proofErr w:type="spellEnd"/>
      <w:r>
        <w:t xml:space="preserve"> which include evaluation of </w:t>
      </w:r>
      <w:proofErr w:type="spellStart"/>
      <w:r w:rsidR="00166F6A">
        <w:t>Bevacizumab</w:t>
      </w:r>
      <w:proofErr w:type="spellEnd"/>
      <w:r>
        <w:t xml:space="preserve"> either alone or in combination with </w:t>
      </w:r>
      <w:proofErr w:type="spellStart"/>
      <w:r>
        <w:t>Irinotecan</w:t>
      </w:r>
      <w:proofErr w:type="spellEnd"/>
      <w:r>
        <w:t xml:space="preserve"> which revealed encouraging results.</w:t>
      </w:r>
      <w:r w:rsidR="00AB7CEC">
        <w:t xml:space="preserve"> </w:t>
      </w:r>
      <w:r>
        <w:t xml:space="preserve">Subsequently further large safety studies were undertaken which ultimately </w:t>
      </w:r>
      <w:r>
        <w:lastRenderedPageBreak/>
        <w:t xml:space="preserve">resulted in approval in Australia, United States and forty countries total for the use of </w:t>
      </w:r>
      <w:proofErr w:type="spellStart"/>
      <w:r w:rsidR="00166F6A">
        <w:t>bevacizumab</w:t>
      </w:r>
      <w:proofErr w:type="spellEnd"/>
      <w:r>
        <w:t xml:space="preserve"> as a single agent for </w:t>
      </w:r>
      <w:r w:rsidR="00AB7CEC">
        <w:t>the treatment of patients with G</w:t>
      </w:r>
      <w:r>
        <w:t xml:space="preserve">rade IV </w:t>
      </w:r>
      <w:proofErr w:type="spellStart"/>
      <w:r>
        <w:t>glioma</w:t>
      </w:r>
      <w:proofErr w:type="spellEnd"/>
      <w:r>
        <w:t xml:space="preserve"> after relapse or disease progression following standard therapy including chemotherapy.</w:t>
      </w:r>
    </w:p>
    <w:p w:rsidR="00044660" w:rsidRDefault="00044660" w:rsidP="00087C8F">
      <w:r>
        <w:t xml:space="preserve">Further studies are now being conducted and the present submission involves presentation of a pivotal study in newly diagnosed GBM which is a </w:t>
      </w:r>
      <w:r w:rsidR="00AB7CEC">
        <w:t>P</w:t>
      </w:r>
      <w:r>
        <w:t>hase III randomised double blind placebo controlled multicentre study (BO21990).</w:t>
      </w:r>
    </w:p>
    <w:p w:rsidR="004C67AA" w:rsidRDefault="00087C8F" w:rsidP="00087C8F">
      <w:pPr>
        <w:pStyle w:val="Heading4"/>
      </w:pPr>
      <w:bookmarkStart w:id="43" w:name="_Toc196046464"/>
      <w:bookmarkStart w:id="44" w:name="_Toc247691518"/>
      <w:bookmarkStart w:id="45" w:name="_Toc314842502"/>
      <w:r>
        <w:t xml:space="preserve">Clinical </w:t>
      </w:r>
      <w:r w:rsidRPr="00087C8F">
        <w:t>r</w:t>
      </w:r>
      <w:r w:rsidR="004C67AA" w:rsidRPr="00087C8F">
        <w:t>ationale</w:t>
      </w:r>
    </w:p>
    <w:p w:rsidR="00044660" w:rsidRDefault="00044660" w:rsidP="00087C8F">
      <w:r>
        <w:t xml:space="preserve">It is worth noting that around the same time as </w:t>
      </w:r>
      <w:r w:rsidR="00AB7CEC">
        <w:t>S</w:t>
      </w:r>
      <w:r>
        <w:t xml:space="preserve">tudy BO21990 started the </w:t>
      </w:r>
      <w:r w:rsidR="00AB7CEC">
        <w:t>National Cancer Institute (</w:t>
      </w:r>
      <w:r>
        <w:t>NCI</w:t>
      </w:r>
      <w:r w:rsidR="00AB7CEC">
        <w:t>)</w:t>
      </w:r>
      <w:r>
        <w:t xml:space="preserve"> sponsored an inter-group </w:t>
      </w:r>
      <w:r w:rsidR="00AB7CEC">
        <w:t>P</w:t>
      </w:r>
      <w:r>
        <w:t xml:space="preserve">hase III multicentre study in the USA and Canada which was a randomised placebo controlled study in which patients with newly diagnosed GBM investigated the efficacy and safety of </w:t>
      </w:r>
      <w:proofErr w:type="spellStart"/>
      <w:r w:rsidR="00166F6A">
        <w:t>bevacizumab</w:t>
      </w:r>
      <w:proofErr w:type="spellEnd"/>
      <w:r w:rsidR="00AB7CEC">
        <w:t xml:space="preserve"> </w:t>
      </w:r>
      <w:r>
        <w:t>at a dose of 10</w:t>
      </w:r>
      <w:r w:rsidR="00AB7CEC">
        <w:t xml:space="preserve"> </w:t>
      </w:r>
      <w:r>
        <w:t>mg/kg every two weeks with the standard radiotherapy and TMZ.</w:t>
      </w:r>
      <w:r w:rsidR="00AB7CEC">
        <w:t xml:space="preserve"> </w:t>
      </w:r>
      <w:r>
        <w:t>This is an ongoing study.</w:t>
      </w:r>
    </w:p>
    <w:p w:rsidR="00044660" w:rsidRDefault="004C67AA" w:rsidP="00087C8F">
      <w:pPr>
        <w:pStyle w:val="Heading4"/>
        <w:rPr>
          <w:b w:val="0"/>
          <w:bCs w:val="0"/>
        </w:rPr>
      </w:pPr>
      <w:r w:rsidRPr="00605AD4">
        <w:t xml:space="preserve">Contents </w:t>
      </w:r>
      <w:r w:rsidRPr="00087C8F">
        <w:t>of</w:t>
      </w:r>
      <w:r w:rsidRPr="00605AD4">
        <w:t xml:space="preserve"> </w:t>
      </w:r>
      <w:r w:rsidRPr="00087C8F">
        <w:t>the</w:t>
      </w:r>
      <w:r w:rsidRPr="00605AD4">
        <w:t xml:space="preserve"> clinical dossier</w:t>
      </w:r>
    </w:p>
    <w:p w:rsidR="00044660" w:rsidRDefault="00044660" w:rsidP="00087C8F">
      <w:pPr>
        <w:pStyle w:val="Heading5"/>
      </w:pPr>
      <w:r w:rsidRPr="001A3E5D">
        <w:t xml:space="preserve">Scope of </w:t>
      </w:r>
      <w:r w:rsidRPr="00087C8F">
        <w:t>the</w:t>
      </w:r>
      <w:r w:rsidRPr="001A3E5D">
        <w:t xml:space="preserve"> clinical </w:t>
      </w:r>
      <w:r w:rsidRPr="00087C8F">
        <w:t>dossier</w:t>
      </w:r>
    </w:p>
    <w:p w:rsidR="008E75AB" w:rsidRDefault="00C7500A" w:rsidP="00087C8F">
      <w:r>
        <w:t>The clinical submission</w:t>
      </w:r>
      <w:r w:rsidR="00044660">
        <w:t xml:space="preserve"> contain</w:t>
      </w:r>
      <w:r>
        <w:t>ed</w:t>
      </w:r>
      <w:r w:rsidR="00044660">
        <w:t xml:space="preserve"> data on four population pharmacokinetic </w:t>
      </w:r>
      <w:r w:rsidR="00166F6A">
        <w:t xml:space="preserve">(PPK) </w:t>
      </w:r>
      <w:r w:rsidR="00044660">
        <w:t>studies</w:t>
      </w:r>
      <w:r w:rsidR="008E75AB">
        <w:t>:</w:t>
      </w:r>
    </w:p>
    <w:p w:rsidR="008E75AB" w:rsidRPr="00087C8F" w:rsidRDefault="008E75AB" w:rsidP="00087C8F">
      <w:pPr>
        <w:pStyle w:val="ListBullet"/>
      </w:pPr>
      <w:r>
        <w:t>P</w:t>
      </w:r>
      <w:r w:rsidR="00044660">
        <w:t xml:space="preserve">opulation pharmacokinetic report BO17704 which determines the population </w:t>
      </w:r>
      <w:r w:rsidR="00044660" w:rsidRPr="00087C8F">
        <w:t xml:space="preserve">pharmacokinetics of </w:t>
      </w:r>
      <w:proofErr w:type="spellStart"/>
      <w:r w:rsidR="00166F6A" w:rsidRPr="00087C8F">
        <w:t>bevacizumab</w:t>
      </w:r>
      <w:proofErr w:type="spellEnd"/>
      <w:r w:rsidR="00044660" w:rsidRPr="00087C8F">
        <w:t xml:space="preserve"> in non-small cell lung cancer patients compared to population pharmacokinetics previously described in an oncology patient population with different types of cancer.</w:t>
      </w:r>
    </w:p>
    <w:p w:rsidR="008E75AB" w:rsidRPr="00087C8F" w:rsidRDefault="00044660" w:rsidP="00087C8F">
      <w:pPr>
        <w:pStyle w:val="ListBullet"/>
      </w:pPr>
      <w:r w:rsidRPr="00087C8F">
        <w:t>Population pharmacokinetics report BO17706 which assessed the pharmacokinetics in metastatic pancreatic cancer patients and compared these to pharmacokinetic</w:t>
      </w:r>
      <w:r w:rsidR="00C7500A" w:rsidRPr="00087C8F">
        <w:t xml:space="preserve">s previously characterised for </w:t>
      </w:r>
      <w:proofErr w:type="spellStart"/>
      <w:r w:rsidR="00166F6A" w:rsidRPr="00087C8F">
        <w:t>bevacizumab</w:t>
      </w:r>
      <w:proofErr w:type="spellEnd"/>
      <w:r w:rsidRPr="00087C8F">
        <w:t xml:space="preserve"> in oncology patient populations with different types of cancer.</w:t>
      </w:r>
    </w:p>
    <w:p w:rsidR="008E75AB" w:rsidRPr="00087C8F" w:rsidRDefault="00044660" w:rsidP="00087C8F">
      <w:pPr>
        <w:pStyle w:val="ListBullet"/>
      </w:pPr>
      <w:r w:rsidRPr="00087C8F">
        <w:t xml:space="preserve">A Genentech report involving population pharmacokinetics of </w:t>
      </w:r>
      <w:proofErr w:type="spellStart"/>
      <w:r w:rsidR="00166F6A" w:rsidRPr="00087C8F">
        <w:t>bevacizumab</w:t>
      </w:r>
      <w:proofErr w:type="spellEnd"/>
      <w:r w:rsidRPr="00087C8F">
        <w:t xml:space="preserve"> report no. 03-0324-1751.</w:t>
      </w:r>
    </w:p>
    <w:p w:rsidR="00044660" w:rsidRPr="00087C8F" w:rsidRDefault="00044660" w:rsidP="00087C8F">
      <w:pPr>
        <w:pStyle w:val="ListBullet"/>
      </w:pPr>
      <w:r w:rsidRPr="00087C8F">
        <w:t xml:space="preserve">A final analysis report on the population pharmacokinetic analyses of </w:t>
      </w:r>
      <w:proofErr w:type="spellStart"/>
      <w:r w:rsidR="00166F6A" w:rsidRPr="00087C8F">
        <w:t>bevacizumab</w:t>
      </w:r>
      <w:proofErr w:type="spellEnd"/>
      <w:r w:rsidR="008C6424" w:rsidRPr="00087C8F">
        <w:t>.</w:t>
      </w:r>
    </w:p>
    <w:p w:rsidR="00972154" w:rsidRDefault="00044660" w:rsidP="00087C8F">
      <w:pPr>
        <w:pStyle w:val="ListBullet"/>
      </w:pPr>
      <w:r w:rsidRPr="00087C8F">
        <w:t>A pivotal efficacy and s</w:t>
      </w:r>
      <w:r>
        <w:t xml:space="preserve">afety </w:t>
      </w:r>
      <w:r w:rsidR="00166F6A">
        <w:t>S</w:t>
      </w:r>
      <w:r>
        <w:t xml:space="preserve">tudy BO21990, a randomised double-blind placebo controlled multicentre </w:t>
      </w:r>
      <w:r w:rsidR="00166F6A">
        <w:t>P</w:t>
      </w:r>
      <w:r>
        <w:t xml:space="preserve">hase III trial of </w:t>
      </w:r>
      <w:proofErr w:type="spellStart"/>
      <w:r w:rsidR="00166F6A">
        <w:t>bevacizumab</w:t>
      </w:r>
      <w:proofErr w:type="spellEnd"/>
      <w:r>
        <w:t xml:space="preserve">-placebo with TMZ and radiotherapy followed by </w:t>
      </w:r>
      <w:proofErr w:type="spellStart"/>
      <w:r w:rsidR="00166F6A">
        <w:t>bevacizumab</w:t>
      </w:r>
      <w:proofErr w:type="spellEnd"/>
      <w:r>
        <w:t xml:space="preserve">-placebo and TMZ in patients with newly diagnosed </w:t>
      </w:r>
      <w:proofErr w:type="spellStart"/>
      <w:r>
        <w:t>glioblastoma</w:t>
      </w:r>
      <w:proofErr w:type="spellEnd"/>
      <w:r>
        <w:t>.</w:t>
      </w:r>
    </w:p>
    <w:p w:rsidR="00044660" w:rsidRDefault="00044660" w:rsidP="00087C8F">
      <w:r>
        <w:t xml:space="preserve">Full study reports together with tabular and written summaries </w:t>
      </w:r>
      <w:r w:rsidR="00166F6A">
        <w:t>were</w:t>
      </w:r>
      <w:r>
        <w:t xml:space="preserve"> provided for all these studies.</w:t>
      </w:r>
    </w:p>
    <w:p w:rsidR="004C67AA" w:rsidRDefault="004C67AA" w:rsidP="00087C8F">
      <w:pPr>
        <w:pStyle w:val="Heading4"/>
      </w:pPr>
      <w:r w:rsidRPr="00605AD4">
        <w:t>Paediatric data</w:t>
      </w:r>
    </w:p>
    <w:p w:rsidR="00044660" w:rsidRPr="00044660" w:rsidRDefault="00044660" w:rsidP="00087C8F">
      <w:r>
        <w:t>Not applicable to this submission.</w:t>
      </w:r>
    </w:p>
    <w:p w:rsidR="004C67AA" w:rsidRDefault="004C67AA" w:rsidP="00087C8F">
      <w:pPr>
        <w:pStyle w:val="Heading4"/>
      </w:pPr>
      <w:r w:rsidRPr="00605AD4">
        <w:t xml:space="preserve">Good clinical </w:t>
      </w:r>
      <w:r w:rsidRPr="00087C8F">
        <w:t>practice</w:t>
      </w:r>
    </w:p>
    <w:p w:rsidR="00044660" w:rsidRPr="00044660" w:rsidRDefault="00044660" w:rsidP="00087C8F">
      <w:r>
        <w:t>All aspects of good clinical practice were observed in this submission.</w:t>
      </w:r>
    </w:p>
    <w:p w:rsidR="004C67AA" w:rsidRPr="00254787" w:rsidRDefault="004C67AA" w:rsidP="00087C8F">
      <w:pPr>
        <w:pStyle w:val="Heading3"/>
      </w:pPr>
      <w:bookmarkStart w:id="46" w:name="_Toc384807759"/>
      <w:bookmarkStart w:id="47" w:name="_Toc404950767"/>
      <w:r w:rsidRPr="00087C8F">
        <w:lastRenderedPageBreak/>
        <w:t>Pharmacokinetics</w:t>
      </w:r>
      <w:bookmarkEnd w:id="36"/>
      <w:bookmarkEnd w:id="43"/>
      <w:bookmarkEnd w:id="44"/>
      <w:bookmarkEnd w:id="45"/>
      <w:bookmarkEnd w:id="46"/>
      <w:bookmarkEnd w:id="47"/>
    </w:p>
    <w:p w:rsidR="004C67AA" w:rsidRPr="00166F6A" w:rsidRDefault="004C67AA" w:rsidP="00087C8F">
      <w:pPr>
        <w:pStyle w:val="Heading4"/>
      </w:pPr>
      <w:r w:rsidRPr="00166F6A">
        <w:t xml:space="preserve">Studies providing </w:t>
      </w:r>
      <w:r w:rsidRPr="00087C8F">
        <w:t>pharmacokinetic</w:t>
      </w:r>
      <w:r w:rsidRPr="00166F6A">
        <w:t xml:space="preserve"> </w:t>
      </w:r>
      <w:r w:rsidR="00166F6A">
        <w:t xml:space="preserve">(PK) </w:t>
      </w:r>
      <w:r w:rsidR="00087C8F">
        <w:t>data</w:t>
      </w:r>
    </w:p>
    <w:p w:rsidR="00166F6A" w:rsidRPr="00166F6A" w:rsidRDefault="00166F6A" w:rsidP="00087C8F">
      <w:r w:rsidRPr="00166F6A">
        <w:t xml:space="preserve">The clinical submission contained data on four </w:t>
      </w:r>
      <w:r>
        <w:t xml:space="preserve">PPK </w:t>
      </w:r>
      <w:r w:rsidRPr="00166F6A">
        <w:t xml:space="preserve">studies (for details see above and in Attachment </w:t>
      </w:r>
      <w:r w:rsidR="007516A6">
        <w:t>1</w:t>
      </w:r>
      <w:r w:rsidRPr="00166F6A">
        <w:t>).</w:t>
      </w:r>
    </w:p>
    <w:p w:rsidR="004C67AA" w:rsidRDefault="004C67AA" w:rsidP="00087C8F">
      <w:pPr>
        <w:pStyle w:val="Heading4"/>
      </w:pPr>
      <w:r>
        <w:t xml:space="preserve">Evaluator’s conclusions on </w:t>
      </w:r>
      <w:r w:rsidRPr="00087C8F">
        <w:t>pharmacokinetics</w:t>
      </w:r>
    </w:p>
    <w:p w:rsidR="00166F6A" w:rsidRDefault="00044660" w:rsidP="00087C8F">
      <w:r>
        <w:t xml:space="preserve">A total of 20 patients participated in the </w:t>
      </w:r>
      <w:r w:rsidR="00166F6A">
        <w:rPr>
          <w:sz w:val="24"/>
          <w:szCs w:val="24"/>
        </w:rPr>
        <w:t>drug to drug interaction</w:t>
      </w:r>
      <w:r w:rsidR="00166F6A">
        <w:t xml:space="preserve"> (</w:t>
      </w:r>
      <w:r>
        <w:t>DDI</w:t>
      </w:r>
      <w:r w:rsidR="00166F6A">
        <w:t>)</w:t>
      </w:r>
      <w:r>
        <w:t xml:space="preserve"> sub-study and had serum samples collected for </w:t>
      </w:r>
      <w:proofErr w:type="spellStart"/>
      <w:r w:rsidR="00166F6A">
        <w:t>bevacizumab</w:t>
      </w:r>
      <w:proofErr w:type="spellEnd"/>
      <w:r>
        <w:t xml:space="preserve"> concentration measurements.</w:t>
      </w:r>
      <w:r w:rsidR="00AB7CEC">
        <w:t xml:space="preserve"> </w:t>
      </w:r>
      <w:r>
        <w:t xml:space="preserve">Of these 20 patients 14 were in the </w:t>
      </w:r>
      <w:proofErr w:type="spellStart"/>
      <w:r w:rsidR="00166F6A">
        <w:t>bevacizumab</w:t>
      </w:r>
      <w:proofErr w:type="spellEnd"/>
      <w:r>
        <w:t xml:space="preserve"> treatment arm and six in the control arm.</w:t>
      </w:r>
    </w:p>
    <w:p w:rsidR="00A53634" w:rsidRDefault="00044660" w:rsidP="002F781F">
      <w:r>
        <w:t xml:space="preserve">The observed serum </w:t>
      </w:r>
      <w:proofErr w:type="spellStart"/>
      <w:r w:rsidR="00166F6A">
        <w:t>bevacizumab</w:t>
      </w:r>
      <w:proofErr w:type="spellEnd"/>
      <w:r>
        <w:t xml:space="preserve"> concentrations for patients in the DDI sub-study relative to predictions for the median and </w:t>
      </w:r>
      <w:r w:rsidR="00166F6A">
        <w:t>fifth</w:t>
      </w:r>
      <w:r>
        <w:t xml:space="preserve"> and </w:t>
      </w:r>
      <w:r w:rsidR="00166F6A">
        <w:t>ninety-fifth</w:t>
      </w:r>
      <w:r>
        <w:t xml:space="preserve"> percentiles for </w:t>
      </w:r>
      <w:proofErr w:type="spellStart"/>
      <w:r w:rsidR="00166F6A">
        <w:t>bevacizumab</w:t>
      </w:r>
      <w:proofErr w:type="spellEnd"/>
      <w:r>
        <w:t xml:space="preserve"> concentrations derived from PPK simulations using the </w:t>
      </w:r>
      <w:proofErr w:type="spellStart"/>
      <w:r w:rsidR="00166F6A">
        <w:t>bevacizumab</w:t>
      </w:r>
      <w:proofErr w:type="spellEnd"/>
      <w:r>
        <w:t xml:space="preserve"> dosage regimen in </w:t>
      </w:r>
      <w:r w:rsidR="00166F6A">
        <w:t>S</w:t>
      </w:r>
      <w:r>
        <w:t xml:space="preserve">tudy BO21990 is </w:t>
      </w:r>
      <w:r w:rsidRPr="00A53634">
        <w:t>indicated in Figure 1.</w:t>
      </w:r>
    </w:p>
    <w:p w:rsidR="00A53634" w:rsidRDefault="00A53634" w:rsidP="00087C8F">
      <w:pPr>
        <w:pStyle w:val="FigureTitle"/>
      </w:pPr>
      <w:proofErr w:type="gramStart"/>
      <w:r>
        <w:t>Figure 1.</w:t>
      </w:r>
      <w:proofErr w:type="gramEnd"/>
      <w:r>
        <w:t xml:space="preserve"> Study BO21990 DDI Substudy: Observed serum BVZ concentrations and visual predictive check</w:t>
      </w:r>
    </w:p>
    <w:p w:rsidR="00A53634" w:rsidRDefault="00A53634" w:rsidP="00087C8F">
      <w:r>
        <w:t>Observed serum BVZ concentrations compared with 90% prediction interval based on nominal dosing and collection times.</w:t>
      </w:r>
    </w:p>
    <w:p w:rsidR="00A53634" w:rsidRDefault="00A53634" w:rsidP="00A53634">
      <w:r>
        <w:rPr>
          <w:noProof/>
          <w:sz w:val="24"/>
          <w:szCs w:val="24"/>
          <w:lang w:eastAsia="en-AU"/>
        </w:rPr>
        <w:drawing>
          <wp:inline distT="0" distB="0" distL="0" distR="0" wp14:anchorId="76A438EA" wp14:editId="15284FBD">
            <wp:extent cx="3917305" cy="2381250"/>
            <wp:effectExtent l="0" t="0" r="0" b="0"/>
            <wp:docPr id="16" name="Picture 16" descr="Figure 1. Study BO21990 DDI Substudy: Observed serum BVZ concentrations and visual predictive check&#10;Observed serum BVZ concentrations compared with 90% prediction interval based on nominal dosing and collection tim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7410" t="20449"/>
                    <a:stretch/>
                  </pic:blipFill>
                  <pic:spPr bwMode="auto">
                    <a:xfrm>
                      <a:off x="0" y="0"/>
                      <a:ext cx="3918398" cy="2381914"/>
                    </a:xfrm>
                    <a:prstGeom prst="rect">
                      <a:avLst/>
                    </a:prstGeom>
                    <a:noFill/>
                    <a:ln>
                      <a:noFill/>
                    </a:ln>
                    <a:extLst>
                      <a:ext uri="{53640926-AAD7-44D8-BBD7-CCE9431645EC}">
                        <a14:shadowObscured xmlns:a14="http://schemas.microsoft.com/office/drawing/2010/main"/>
                      </a:ext>
                    </a:extLst>
                  </pic:spPr>
                </pic:pic>
              </a:graphicData>
            </a:graphic>
          </wp:inline>
        </w:drawing>
      </w:r>
    </w:p>
    <w:p w:rsidR="00044660" w:rsidRDefault="00044660" w:rsidP="00087C8F">
      <w:r>
        <w:t xml:space="preserve">As indicated the observed pre-dose and post-dose </w:t>
      </w:r>
      <w:proofErr w:type="spellStart"/>
      <w:r w:rsidR="00166F6A">
        <w:t>bevacizumab</w:t>
      </w:r>
      <w:proofErr w:type="spellEnd"/>
      <w:r>
        <w:t xml:space="preserve"> concentrations during </w:t>
      </w:r>
      <w:r w:rsidR="00166F6A">
        <w:t>C</w:t>
      </w:r>
      <w:r>
        <w:t xml:space="preserve">ycles 1-3 of the maintenance phase DDI sub-study had similar medians and fell within the 90% prediction interval based on simulations from the </w:t>
      </w:r>
      <w:proofErr w:type="spellStart"/>
      <w:r w:rsidR="00166F6A">
        <w:t>bevacizumab</w:t>
      </w:r>
      <w:proofErr w:type="spellEnd"/>
      <w:r>
        <w:t xml:space="preserve"> reference PPK model.</w:t>
      </w:r>
      <w:r w:rsidR="00AB7CEC">
        <w:t xml:space="preserve"> </w:t>
      </w:r>
      <w:r>
        <w:t xml:space="preserve">Therefore the PK of </w:t>
      </w:r>
      <w:proofErr w:type="spellStart"/>
      <w:r w:rsidR="00166F6A">
        <w:t>bevacizumab</w:t>
      </w:r>
      <w:proofErr w:type="spellEnd"/>
      <w:r>
        <w:t xml:space="preserve"> in patients with newly diagnosed </w:t>
      </w:r>
      <w:proofErr w:type="spellStart"/>
      <w:r>
        <w:t>glioblastoma</w:t>
      </w:r>
      <w:proofErr w:type="spellEnd"/>
      <w:r>
        <w:t xml:space="preserve"> are considered to be similar to the PK of </w:t>
      </w:r>
      <w:proofErr w:type="spellStart"/>
      <w:r w:rsidR="00166F6A">
        <w:t>bevacizumab</w:t>
      </w:r>
      <w:proofErr w:type="spellEnd"/>
      <w:r>
        <w:t xml:space="preserve"> in patients with different types of cancer contained in the reference </w:t>
      </w:r>
      <w:proofErr w:type="spellStart"/>
      <w:r w:rsidR="00166F6A">
        <w:t>bevacizumab</w:t>
      </w:r>
      <w:proofErr w:type="spellEnd"/>
      <w:r>
        <w:t xml:space="preserve"> PPK model and </w:t>
      </w:r>
      <w:proofErr w:type="spellStart"/>
      <w:r w:rsidR="00166F6A">
        <w:t>bevacizumab</w:t>
      </w:r>
      <w:proofErr w:type="spellEnd"/>
      <w:r>
        <w:t xml:space="preserve"> exposure did not appear to be influenced by the presence of TMZ</w:t>
      </w:r>
      <w:r w:rsidR="00166F6A">
        <w:t>.</w:t>
      </w:r>
    </w:p>
    <w:p w:rsidR="00044660" w:rsidRDefault="00044660" w:rsidP="00087C8F">
      <w:r>
        <w:t>In evaluating the TMZ pharmacokinetics, 13 patients were considered evaluable for this analysis.</w:t>
      </w:r>
      <w:r w:rsidR="00AB7CEC">
        <w:t xml:space="preserve"> </w:t>
      </w:r>
      <w:r>
        <w:t>Of the 13 patients evaluated for TMZ PK, six were in the control arm and seven in the treatment arm.</w:t>
      </w:r>
      <w:r w:rsidR="00AB7CEC">
        <w:t xml:space="preserve"> </w:t>
      </w:r>
      <w:r>
        <w:t xml:space="preserve">The mean plus or minus </w:t>
      </w:r>
      <w:r w:rsidR="00372263">
        <w:t>standard deviation (</w:t>
      </w:r>
      <w:r>
        <w:t>SD</w:t>
      </w:r>
      <w:r w:rsidR="00372263">
        <w:t>)</w:t>
      </w:r>
      <w:r>
        <w:t xml:space="preserve"> plasma TMZ concentration/time profiles for patients in the placebo and </w:t>
      </w:r>
      <w:proofErr w:type="spellStart"/>
      <w:r w:rsidR="00166F6A">
        <w:t>bevacizumab</w:t>
      </w:r>
      <w:proofErr w:type="spellEnd"/>
      <w:r>
        <w:t xml:space="preserve"> arms of the sub-study is </w:t>
      </w:r>
      <w:r w:rsidRPr="008E75AB">
        <w:t>indicated in Figure 2.</w:t>
      </w:r>
    </w:p>
    <w:p w:rsidR="00A53634" w:rsidRDefault="00A53634" w:rsidP="00087C8F">
      <w:pPr>
        <w:pStyle w:val="FigureTitle"/>
      </w:pPr>
      <w:proofErr w:type="gramStart"/>
      <w:r>
        <w:lastRenderedPageBreak/>
        <w:t>Figure 2.</w:t>
      </w:r>
      <w:proofErr w:type="gramEnd"/>
      <w:r>
        <w:t xml:space="preserve"> </w:t>
      </w:r>
      <w:r w:rsidRPr="00F35C31">
        <w:t xml:space="preserve">Study </w:t>
      </w:r>
      <w:r w:rsidRPr="00087C8F">
        <w:t>BO21990</w:t>
      </w:r>
      <w:r w:rsidRPr="00F35C31">
        <w:t xml:space="preserve"> DDI Substudy: </w:t>
      </w:r>
      <w:r>
        <w:t xml:space="preserve">Mean ± SD plasma </w:t>
      </w:r>
      <w:proofErr w:type="spellStart"/>
      <w:r>
        <w:t>temozolomide</w:t>
      </w:r>
      <w:proofErr w:type="spellEnd"/>
      <w:r>
        <w:t xml:space="preserve"> concentration time profiles by treatment arm</w:t>
      </w:r>
    </w:p>
    <w:p w:rsidR="00372263" w:rsidRDefault="00372263" w:rsidP="002F781F">
      <w:r>
        <w:rPr>
          <w:noProof/>
          <w:sz w:val="24"/>
          <w:szCs w:val="24"/>
          <w:lang w:eastAsia="en-AU"/>
        </w:rPr>
        <w:drawing>
          <wp:inline distT="0" distB="0" distL="0" distR="0" wp14:anchorId="4687BA56" wp14:editId="60044351">
            <wp:extent cx="3695700" cy="2695575"/>
            <wp:effectExtent l="0" t="0" r="0" b="9525"/>
            <wp:docPr id="17" name="Picture 17" descr="Figure 2. Study BO21990 DDI Substudy: Mean ± SD plasma temozolomide concentration time profiles by treatment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3738" t="10609" b="4597"/>
                    <a:stretch/>
                  </pic:blipFill>
                  <pic:spPr bwMode="auto">
                    <a:xfrm>
                      <a:off x="0" y="0"/>
                      <a:ext cx="3707036" cy="2703843"/>
                    </a:xfrm>
                    <a:prstGeom prst="rect">
                      <a:avLst/>
                    </a:prstGeom>
                    <a:noFill/>
                    <a:ln>
                      <a:noFill/>
                    </a:ln>
                    <a:extLst>
                      <a:ext uri="{53640926-AAD7-44D8-BBD7-CCE9431645EC}">
                        <a14:shadowObscured xmlns:a14="http://schemas.microsoft.com/office/drawing/2010/main"/>
                      </a:ext>
                    </a:extLst>
                  </pic:spPr>
                </pic:pic>
              </a:graphicData>
            </a:graphic>
          </wp:inline>
        </w:drawing>
      </w:r>
    </w:p>
    <w:p w:rsidR="00A53634" w:rsidRDefault="00A53634" w:rsidP="00087C8F">
      <w:r>
        <w:t xml:space="preserve">TMZ PK parameter estimates for patients in the placebo and BVZ arms are summarised in </w:t>
      </w:r>
      <w:r w:rsidR="001F2C3C">
        <w:t xml:space="preserve">Attachment </w:t>
      </w:r>
      <w:r w:rsidR="007516A6">
        <w:t>1</w:t>
      </w:r>
      <w:r w:rsidR="00087C8F">
        <w:t>.</w:t>
      </w:r>
    </w:p>
    <w:p w:rsidR="00044660" w:rsidRDefault="00044660" w:rsidP="00087C8F">
      <w:r>
        <w:t>The mean TMZ exposure (</w:t>
      </w:r>
      <w:proofErr w:type="spellStart"/>
      <w:r>
        <w:t>AUC</w:t>
      </w:r>
      <w:r w:rsidRPr="004D48FC">
        <w:rPr>
          <w:vertAlign w:val="subscript"/>
        </w:rPr>
        <w:t>all</w:t>
      </w:r>
      <w:proofErr w:type="spellEnd"/>
      <w:r>
        <w:t xml:space="preserve">) in the </w:t>
      </w:r>
      <w:proofErr w:type="spellStart"/>
      <w:r w:rsidR="00166F6A">
        <w:t>bevacizumab</w:t>
      </w:r>
      <w:proofErr w:type="spellEnd"/>
      <w:r>
        <w:t xml:space="preserve"> arm appears to be moderately increased by approximately 23% compared with the TMZ exposure in the placebo arm.</w:t>
      </w:r>
      <w:r w:rsidR="00AB7CEC">
        <w:t xml:space="preserve"> </w:t>
      </w:r>
      <w:r>
        <w:t>T</w:t>
      </w:r>
      <w:r w:rsidRPr="00390701">
        <w:rPr>
          <w:vertAlign w:val="subscript"/>
        </w:rPr>
        <w:t>max</w:t>
      </w:r>
      <w:r>
        <w:t xml:space="preserve"> was slightly delayed by 30 minutes and the maximum concentrations C</w:t>
      </w:r>
      <w:r w:rsidRPr="004D48FC">
        <w:rPr>
          <w:vertAlign w:val="subscript"/>
        </w:rPr>
        <w:t>max</w:t>
      </w:r>
      <w:r>
        <w:t xml:space="preserve"> were similar.</w:t>
      </w:r>
      <w:r w:rsidR="00AB7CEC">
        <w:t xml:space="preserve"> </w:t>
      </w:r>
      <w:r>
        <w:t xml:space="preserve">However owing to the limited number of patients in each treatment arm the evaluation of the effect of </w:t>
      </w:r>
      <w:proofErr w:type="spellStart"/>
      <w:r w:rsidR="00166F6A">
        <w:t>bevacizumab</w:t>
      </w:r>
      <w:proofErr w:type="spellEnd"/>
      <w:r>
        <w:t xml:space="preserve"> on TMZ pharmacokinetics must be observed with caution.</w:t>
      </w:r>
      <w:r w:rsidR="00AB7CEC">
        <w:t xml:space="preserve"> </w:t>
      </w:r>
      <w:r>
        <w:t>These data are similar to that already published for TMZ PK.</w:t>
      </w:r>
      <w:r w:rsidR="00AB7CEC">
        <w:t xml:space="preserve"> </w:t>
      </w:r>
      <w:r>
        <w:t>In the TMZ concentrations observed in patients in the two treatment cohorts are within the expected variability predicted from a TMZ PPK model.</w:t>
      </w:r>
    </w:p>
    <w:p w:rsidR="00044660" w:rsidRDefault="002F781F" w:rsidP="002065D4">
      <w:pPr>
        <w:ind w:left="720"/>
      </w:pPr>
      <w:r w:rsidRPr="008B1455">
        <w:t>Comment</w:t>
      </w:r>
      <w:r w:rsidR="002065D4">
        <w:t xml:space="preserve">: </w:t>
      </w:r>
      <w:r w:rsidR="00044660">
        <w:t>Accepting the fact that the number of patients in this sub-study were relatively small the moderate difference in TMZ exposure observed between the treatment groups is probably not clinically significant.</w:t>
      </w:r>
      <w:r w:rsidR="00AB7CEC">
        <w:t xml:space="preserve"> </w:t>
      </w:r>
      <w:r w:rsidR="00044660">
        <w:t xml:space="preserve">It is to be noted that TMZ and </w:t>
      </w:r>
      <w:proofErr w:type="spellStart"/>
      <w:r w:rsidR="00166F6A">
        <w:t>bevacizumab</w:t>
      </w:r>
      <w:proofErr w:type="spellEnd"/>
      <w:r w:rsidR="00044660">
        <w:t xml:space="preserve"> do not share the same clearance pathways and therefore are not expected to have potential interactions with one another.</w:t>
      </w:r>
    </w:p>
    <w:p w:rsidR="00044660" w:rsidRDefault="002F781F" w:rsidP="00087C8F">
      <w:pPr>
        <w:pStyle w:val="Heading4"/>
      </w:pPr>
      <w:r w:rsidRPr="008B1455">
        <w:t xml:space="preserve">Population </w:t>
      </w:r>
      <w:r w:rsidRPr="00087C8F">
        <w:t>pharmacokinetics</w:t>
      </w:r>
    </w:p>
    <w:p w:rsidR="001F2C3C" w:rsidRDefault="00044660" w:rsidP="00087C8F">
      <w:r>
        <w:t>Comprehensive PPK analyses have been conducted over the years.</w:t>
      </w:r>
      <w:r w:rsidR="00AB7CEC">
        <w:t xml:space="preserve"> </w:t>
      </w:r>
      <w:r w:rsidR="001F2C3C">
        <w:t xml:space="preserve"> See Attachment </w:t>
      </w:r>
      <w:r w:rsidR="007516A6">
        <w:t>1</w:t>
      </w:r>
      <w:r w:rsidR="001F2C3C">
        <w:t xml:space="preserve"> for details.</w:t>
      </w:r>
    </w:p>
    <w:p w:rsidR="00044660" w:rsidRPr="00972154" w:rsidRDefault="00044660" w:rsidP="00087C8F">
      <w:r w:rsidRPr="00972154">
        <w:t>Th</w:t>
      </w:r>
      <w:r w:rsidR="001F2C3C">
        <w:t>e</w:t>
      </w:r>
      <w:r w:rsidRPr="00972154">
        <w:t xml:space="preserve"> data from the various population PK studies together with the PK drug to drug interaction sub-study for the pivotal trial showed that for </w:t>
      </w:r>
      <w:proofErr w:type="spellStart"/>
      <w:r w:rsidR="00166F6A" w:rsidRPr="00972154">
        <w:t>bevacizumab</w:t>
      </w:r>
      <w:proofErr w:type="spellEnd"/>
      <w:r w:rsidRPr="00972154">
        <w:t xml:space="preserve"> given in combination with various chemotherapy agents across tumour types showed no obvious potential for PK drug to drug interaction between the various chemotherapy agents and </w:t>
      </w:r>
      <w:proofErr w:type="spellStart"/>
      <w:r w:rsidR="00166F6A" w:rsidRPr="00972154">
        <w:t>bevacizumab</w:t>
      </w:r>
      <w:proofErr w:type="spellEnd"/>
      <w:r w:rsidRPr="00972154">
        <w:t>.</w:t>
      </w:r>
      <w:r w:rsidR="00AB7CEC" w:rsidRPr="00972154">
        <w:t xml:space="preserve"> </w:t>
      </w:r>
      <w:r w:rsidRPr="00972154">
        <w:t xml:space="preserve">This also indicates that there appears to be no requirement for dose modification for other chemotherapeutic agents used in combination with </w:t>
      </w:r>
      <w:proofErr w:type="spellStart"/>
      <w:r w:rsidR="00166F6A" w:rsidRPr="00972154">
        <w:t>bevacizumab</w:t>
      </w:r>
      <w:proofErr w:type="spellEnd"/>
      <w:r w:rsidRPr="00972154">
        <w:t>.</w:t>
      </w:r>
    </w:p>
    <w:p w:rsidR="004C67AA" w:rsidRPr="00972154" w:rsidRDefault="004C67AA" w:rsidP="00087C8F">
      <w:pPr>
        <w:pStyle w:val="Heading3"/>
      </w:pPr>
      <w:bookmarkStart w:id="48" w:name="_Toc196046481"/>
      <w:bookmarkStart w:id="49" w:name="_Toc247691520"/>
      <w:bookmarkStart w:id="50" w:name="_Toc314842503"/>
      <w:bookmarkStart w:id="51" w:name="_Toc384807760"/>
      <w:bookmarkStart w:id="52" w:name="_Toc404950768"/>
      <w:r w:rsidRPr="00087C8F">
        <w:t>Pharmacodynamics</w:t>
      </w:r>
      <w:bookmarkEnd w:id="37"/>
      <w:bookmarkEnd w:id="48"/>
      <w:bookmarkEnd w:id="49"/>
      <w:bookmarkEnd w:id="50"/>
      <w:bookmarkEnd w:id="51"/>
      <w:bookmarkEnd w:id="52"/>
    </w:p>
    <w:p w:rsidR="004C67AA" w:rsidRDefault="00972154" w:rsidP="00087C8F">
      <w:r>
        <w:t>There were no new pharmacodynamic data submitted.</w:t>
      </w:r>
    </w:p>
    <w:p w:rsidR="004C67AA" w:rsidRDefault="004C67AA" w:rsidP="00087C8F">
      <w:pPr>
        <w:pStyle w:val="Heading3"/>
      </w:pPr>
      <w:bookmarkStart w:id="53" w:name="_Toc384807761"/>
      <w:bookmarkStart w:id="54" w:name="_Toc404950769"/>
      <w:r>
        <w:lastRenderedPageBreak/>
        <w:t xml:space="preserve">Dosage selection for the pivotal </w:t>
      </w:r>
      <w:r w:rsidRPr="00087C8F">
        <w:t>studies</w:t>
      </w:r>
      <w:bookmarkEnd w:id="53"/>
      <w:bookmarkEnd w:id="54"/>
    </w:p>
    <w:p w:rsidR="00044660" w:rsidRPr="00044660" w:rsidRDefault="00044660" w:rsidP="00087C8F">
      <w:r>
        <w:t xml:space="preserve">No formal dose finding study was performed to determine the optimal dose of </w:t>
      </w:r>
      <w:proofErr w:type="spellStart"/>
      <w:r w:rsidR="00166F6A">
        <w:t>bevacizumab</w:t>
      </w:r>
      <w:proofErr w:type="spellEnd"/>
      <w:r>
        <w:t xml:space="preserve"> for the proposed indication.</w:t>
      </w:r>
      <w:r w:rsidR="00AB7CEC">
        <w:t xml:space="preserve"> </w:t>
      </w:r>
      <w:r>
        <w:t>However previous clinical studies undertaken with doses ranging from 1</w:t>
      </w:r>
      <w:r w:rsidR="00972154">
        <w:t xml:space="preserve"> to </w:t>
      </w:r>
      <w:r>
        <w:t>20</w:t>
      </w:r>
      <w:r w:rsidR="00972154">
        <w:t xml:space="preserve"> </w:t>
      </w:r>
      <w:r>
        <w:t xml:space="preserve">mg/kg every 1 to 3 weeks have revealed a positive benefit/risk ratio of </w:t>
      </w:r>
      <w:proofErr w:type="spellStart"/>
      <w:r w:rsidR="00166F6A">
        <w:t>bevacizumab</w:t>
      </w:r>
      <w:proofErr w:type="spellEnd"/>
      <w:r>
        <w:t xml:space="preserve"> given the same weekly dose equivalent of 5</w:t>
      </w:r>
      <w:r w:rsidR="00972154">
        <w:t xml:space="preserve"> </w:t>
      </w:r>
      <w:r>
        <w:t xml:space="preserve">mg/kg per week as proposed for the pivotal </w:t>
      </w:r>
      <w:r w:rsidR="00972154">
        <w:t>S</w:t>
      </w:r>
      <w:r>
        <w:t>tudy BO21990.</w:t>
      </w:r>
      <w:r w:rsidR="00AB7CEC">
        <w:t xml:space="preserve"> </w:t>
      </w:r>
      <w:r>
        <w:t>Furthermore in the relapsed GBM setting this dose schedule has been utilised demonstrating clinical activity and acceptable safety.</w:t>
      </w:r>
      <w:r w:rsidR="00AB7CEC">
        <w:t xml:space="preserve"> </w:t>
      </w:r>
      <w:r>
        <w:t xml:space="preserve">It is also to be noted that a controlled assessment of benefit from the continuation of </w:t>
      </w:r>
      <w:proofErr w:type="spellStart"/>
      <w:r w:rsidR="00166F6A">
        <w:t>bevacizumab</w:t>
      </w:r>
      <w:proofErr w:type="spellEnd"/>
      <w:r>
        <w:t xml:space="preserve"> until disease progression including as a single agent after stopping </w:t>
      </w:r>
      <w:r w:rsidR="00972154">
        <w:t>maintenance TMZ as planned in S</w:t>
      </w:r>
      <w:r>
        <w:t>tudy BO21990 had not been addressed in the newly diagnosed GBM development program.</w:t>
      </w:r>
      <w:r w:rsidR="00AB7CEC">
        <w:t xml:space="preserve"> </w:t>
      </w:r>
      <w:r>
        <w:t>It is however considered that as every effort should be undertaken to prolong progression free survival after discontinuation of TMZ that this approach is justified.</w:t>
      </w:r>
      <w:r w:rsidR="00AB7CEC">
        <w:t xml:space="preserve"> </w:t>
      </w:r>
      <w:r>
        <w:t xml:space="preserve">It is not expected that there would be cumulative toxic risks associated with prolonged usage of </w:t>
      </w:r>
      <w:proofErr w:type="spellStart"/>
      <w:r w:rsidR="00166F6A">
        <w:t>bevacizumab</w:t>
      </w:r>
      <w:proofErr w:type="spellEnd"/>
      <w:r>
        <w:t xml:space="preserve"> in the maintenance situation.</w:t>
      </w:r>
    </w:p>
    <w:p w:rsidR="004C67AA" w:rsidRPr="00254787" w:rsidRDefault="004C67AA" w:rsidP="00087C8F">
      <w:pPr>
        <w:pStyle w:val="Heading3"/>
      </w:pPr>
      <w:bookmarkStart w:id="55" w:name="_Toc163441372"/>
      <w:bookmarkStart w:id="56" w:name="_Toc196046485"/>
      <w:bookmarkStart w:id="57" w:name="_Toc247691521"/>
      <w:bookmarkStart w:id="58" w:name="_Toc314842504"/>
      <w:bookmarkStart w:id="59" w:name="_Toc384807762"/>
      <w:bookmarkStart w:id="60" w:name="_Toc404950770"/>
      <w:r w:rsidRPr="00087C8F">
        <w:t>Efficacy</w:t>
      </w:r>
      <w:bookmarkEnd w:id="55"/>
      <w:bookmarkEnd w:id="56"/>
      <w:bookmarkEnd w:id="57"/>
      <w:bookmarkEnd w:id="58"/>
      <w:bookmarkEnd w:id="59"/>
      <w:bookmarkEnd w:id="60"/>
    </w:p>
    <w:p w:rsidR="004C67AA" w:rsidRDefault="004C67AA" w:rsidP="00087C8F">
      <w:pPr>
        <w:pStyle w:val="Heading4"/>
      </w:pPr>
      <w:bookmarkStart w:id="61" w:name="_Toc184439992"/>
      <w:bookmarkStart w:id="62" w:name="_Toc184440279"/>
      <w:bookmarkStart w:id="63" w:name="_Toc184444657"/>
      <w:bookmarkStart w:id="64" w:name="_Toc196046487"/>
      <w:r w:rsidRPr="00972154">
        <w:t xml:space="preserve">Studies providing </w:t>
      </w:r>
      <w:r w:rsidRPr="00087C8F">
        <w:t>efficacy</w:t>
      </w:r>
      <w:r w:rsidRPr="00972154">
        <w:t xml:space="preserve"> data</w:t>
      </w:r>
    </w:p>
    <w:p w:rsidR="00972154" w:rsidRDefault="00972154" w:rsidP="00087C8F">
      <w:r>
        <w:t xml:space="preserve">A pivotal efficacy and safety study (BO21990) was submitted; a randomised double-blind placebo controlled multicentre Phase III trial of </w:t>
      </w:r>
      <w:proofErr w:type="spellStart"/>
      <w:r>
        <w:t>bevacizumab</w:t>
      </w:r>
      <w:proofErr w:type="spellEnd"/>
      <w:r>
        <w:t xml:space="preserve">-placebo with TMZ and radiotherapy followed by </w:t>
      </w:r>
      <w:proofErr w:type="spellStart"/>
      <w:r>
        <w:t>bevacizumab</w:t>
      </w:r>
      <w:proofErr w:type="spellEnd"/>
      <w:r>
        <w:t xml:space="preserve">-placebo and TMZ in patients with newly diagnosed </w:t>
      </w:r>
      <w:proofErr w:type="spellStart"/>
      <w:r>
        <w:t>glio</w:t>
      </w:r>
      <w:r w:rsidR="00087C8F">
        <w:t>blastoma</w:t>
      </w:r>
      <w:proofErr w:type="spellEnd"/>
      <w:r w:rsidR="00087C8F">
        <w:t>.</w:t>
      </w:r>
    </w:p>
    <w:p w:rsidR="004C67AA" w:rsidRDefault="004C67AA" w:rsidP="00087C8F">
      <w:pPr>
        <w:pStyle w:val="Heading4"/>
      </w:pPr>
      <w:r>
        <w:t xml:space="preserve">Evaluator’s conclusions on </w:t>
      </w:r>
      <w:r w:rsidRPr="00087C8F">
        <w:t>efficacy</w:t>
      </w:r>
    </w:p>
    <w:p w:rsidR="00044660" w:rsidRDefault="00044660" w:rsidP="00087C8F">
      <w:r>
        <w:t xml:space="preserve">This quite large and well conducted study has demonstrated that for the primary endpoint of PFS the addition of </w:t>
      </w:r>
      <w:proofErr w:type="spellStart"/>
      <w:r w:rsidR="00166F6A">
        <w:t>bevacizumab</w:t>
      </w:r>
      <w:proofErr w:type="spellEnd"/>
      <w:r>
        <w:t xml:space="preserve"> to the combination of radiotherapy and TMZ for patients with newly diagnosed GBM results in a statistically significant benefit with a 36% reduction by investigator assessed PFS event to the time of data cut-off and a 39% reduction in the risk by </w:t>
      </w:r>
      <w:r w:rsidR="00972154" w:rsidRPr="00972154">
        <w:t>Independent review facility</w:t>
      </w:r>
      <w:r w:rsidR="00972154">
        <w:rPr>
          <w:rStyle w:val="Emphasis"/>
          <w:rFonts w:cs="Arial"/>
          <w:color w:val="222222"/>
        </w:rPr>
        <w:t xml:space="preserve"> </w:t>
      </w:r>
      <w:r w:rsidR="00972154" w:rsidRPr="00972154">
        <w:t>(</w:t>
      </w:r>
      <w:r>
        <w:t>IRF</w:t>
      </w:r>
      <w:r w:rsidR="00972154">
        <w:t>)</w:t>
      </w:r>
      <w:r>
        <w:t xml:space="preserve"> assessed PFS events.</w:t>
      </w:r>
      <w:r w:rsidR="00AB7CEC">
        <w:t xml:space="preserve"> </w:t>
      </w:r>
      <w:r>
        <w:t xml:space="preserve">This is associated with a median PFS of 10.6 months for the </w:t>
      </w:r>
      <w:proofErr w:type="spellStart"/>
      <w:r w:rsidR="00166F6A">
        <w:t>bevacizumab</w:t>
      </w:r>
      <w:proofErr w:type="spellEnd"/>
      <w:r>
        <w:t xml:space="preserve"> arm and 6.2 months for the placebo arm.</w:t>
      </w:r>
      <w:r w:rsidR="00AB7CEC">
        <w:t xml:space="preserve"> </w:t>
      </w:r>
      <w:r>
        <w:t>Similar benefits were apparent in relation to the various secondary efficacy parameters and were consistent across all sub-groups.</w:t>
      </w:r>
      <w:r w:rsidR="00AB7CEC">
        <w:t xml:space="preserve"> </w:t>
      </w:r>
      <w:r>
        <w:t xml:space="preserve">It was also noted that in relation to </w:t>
      </w:r>
      <w:r w:rsidR="00972154" w:rsidRPr="00972154">
        <w:t>health-related quality of life (</w:t>
      </w:r>
      <w:r w:rsidRPr="00972154">
        <w:t>HRQoL</w:t>
      </w:r>
      <w:r w:rsidR="00972154" w:rsidRPr="00972154">
        <w:t>)</w:t>
      </w:r>
      <w:r w:rsidR="00972154" w:rsidRPr="00087C8F">
        <w:rPr>
          <w:vertAlign w:val="superscript"/>
        </w:rPr>
        <w:footnoteReference w:id="5"/>
      </w:r>
      <w:r w:rsidRPr="00972154">
        <w:t xml:space="preserve"> that a significant benefit favoured the </w:t>
      </w:r>
      <w:proofErr w:type="spellStart"/>
      <w:r w:rsidR="00166F6A" w:rsidRPr="00972154">
        <w:t>bevacizumab</w:t>
      </w:r>
      <w:proofErr w:type="spellEnd"/>
      <w:r>
        <w:t xml:space="preserve"> arm of therapy.</w:t>
      </w:r>
      <w:r w:rsidR="00AB7CEC">
        <w:t xml:space="preserve"> </w:t>
      </w:r>
      <w:r>
        <w:t>The one area of uncertainty remains in relation to the co-primary endpoint of overall survival.</w:t>
      </w:r>
      <w:r w:rsidR="00AB7CEC">
        <w:t xml:space="preserve"> </w:t>
      </w:r>
      <w:r>
        <w:t xml:space="preserve">While there was an 11% reduction in risk of death to data cut-off for the </w:t>
      </w:r>
      <w:proofErr w:type="spellStart"/>
      <w:r w:rsidR="00166F6A">
        <w:t>bevacizumab</w:t>
      </w:r>
      <w:proofErr w:type="spellEnd"/>
      <w:r>
        <w:t xml:space="preserve"> patients, this is not translated to statistical significance with a </w:t>
      </w:r>
      <w:r w:rsidR="00972154">
        <w:t>p</w:t>
      </w:r>
      <w:r>
        <w:t xml:space="preserve"> value 0.2135.</w:t>
      </w:r>
      <w:r w:rsidR="00AB7CEC">
        <w:t xml:space="preserve"> </w:t>
      </w:r>
      <w:r>
        <w:t>It is noted that the expected final analysis of overall survival would occur later in 2013.</w:t>
      </w:r>
      <w:r w:rsidR="00AB7CEC">
        <w:t xml:space="preserve"> </w:t>
      </w:r>
      <w:r>
        <w:t xml:space="preserve">Review of this data </w:t>
      </w:r>
      <w:r w:rsidR="00087C8F">
        <w:t>at that time will be pertinent.</w:t>
      </w:r>
    </w:p>
    <w:p w:rsidR="004C67AA" w:rsidRPr="002E238E" w:rsidRDefault="004C67AA" w:rsidP="00087C8F">
      <w:pPr>
        <w:pStyle w:val="Heading3"/>
      </w:pPr>
      <w:bookmarkStart w:id="65" w:name="_Toc163441378"/>
      <w:bookmarkStart w:id="66" w:name="_Toc196046495"/>
      <w:bookmarkStart w:id="67" w:name="_Toc247691522"/>
      <w:bookmarkStart w:id="68" w:name="_Toc314842505"/>
      <w:bookmarkStart w:id="69" w:name="_Toc384807763"/>
      <w:bookmarkStart w:id="70" w:name="_Toc404950771"/>
      <w:bookmarkEnd w:id="61"/>
      <w:bookmarkEnd w:id="62"/>
      <w:bookmarkEnd w:id="63"/>
      <w:bookmarkEnd w:id="64"/>
      <w:r w:rsidRPr="00087C8F">
        <w:t>Safety</w:t>
      </w:r>
      <w:bookmarkEnd w:id="65"/>
      <w:bookmarkEnd w:id="66"/>
      <w:bookmarkEnd w:id="67"/>
      <w:bookmarkEnd w:id="68"/>
      <w:bookmarkEnd w:id="69"/>
      <w:bookmarkEnd w:id="70"/>
    </w:p>
    <w:p w:rsidR="004C67AA" w:rsidRDefault="004C67AA" w:rsidP="00087C8F">
      <w:pPr>
        <w:pStyle w:val="Heading4"/>
      </w:pPr>
      <w:bookmarkStart w:id="71" w:name="_Toc247691524"/>
      <w:bookmarkStart w:id="72" w:name="_Toc314842508"/>
      <w:bookmarkStart w:id="73" w:name="_Toc196046504"/>
      <w:bookmarkStart w:id="74" w:name="_Toc163441390"/>
      <w:r w:rsidRPr="00605AD4">
        <w:t xml:space="preserve">Studies providing </w:t>
      </w:r>
      <w:r w:rsidRPr="00087C8F">
        <w:t>safety</w:t>
      </w:r>
      <w:r w:rsidRPr="00605AD4">
        <w:t xml:space="preserve"> data</w:t>
      </w:r>
    </w:p>
    <w:p w:rsidR="00BD5879" w:rsidRDefault="00044660" w:rsidP="00087C8F">
      <w:r>
        <w:t>Evaluation of safety in this sub</w:t>
      </w:r>
      <w:r w:rsidR="00972154">
        <w:t>mission comes from the pivotal S</w:t>
      </w:r>
      <w:r>
        <w:t>tudy BO21990</w:t>
      </w:r>
      <w:r w:rsidR="00BD5879" w:rsidRPr="00BD5879">
        <w:t xml:space="preserve"> </w:t>
      </w:r>
      <w:r w:rsidR="00BD5879">
        <w:t xml:space="preserve">summarised in Table </w:t>
      </w:r>
      <w:r w:rsidR="00AD12FE">
        <w:t>2</w:t>
      </w:r>
      <w:r w:rsidR="00087C8F">
        <w:t>.</w:t>
      </w:r>
    </w:p>
    <w:p w:rsidR="00BD5879" w:rsidRDefault="00BD5879" w:rsidP="00087C8F">
      <w:pPr>
        <w:pStyle w:val="TableTitle"/>
      </w:pPr>
      <w:proofErr w:type="gramStart"/>
      <w:r>
        <w:lastRenderedPageBreak/>
        <w:t xml:space="preserve">Table </w:t>
      </w:r>
      <w:r w:rsidR="00AD12FE">
        <w:t>2</w:t>
      </w:r>
      <w:r>
        <w:t>.</w:t>
      </w:r>
      <w:proofErr w:type="gramEnd"/>
      <w:r>
        <w:t xml:space="preserve"> Summary of studies contributing to safety evaluation</w:t>
      </w:r>
    </w:p>
    <w:p w:rsidR="00BD5879" w:rsidRDefault="00BD5879" w:rsidP="00BD5879">
      <w:r>
        <w:rPr>
          <w:noProof/>
          <w:sz w:val="24"/>
          <w:szCs w:val="24"/>
          <w:lang w:eastAsia="en-AU"/>
        </w:rPr>
        <w:drawing>
          <wp:inline distT="0" distB="0" distL="0" distR="0" wp14:anchorId="7B3F3899" wp14:editId="436B4C61">
            <wp:extent cx="4400550" cy="2460959"/>
            <wp:effectExtent l="0" t="0" r="0" b="0"/>
            <wp:docPr id="60" name="Picture 60" descr="Table 2. Summary of studies contributing to safety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6">
                      <a:lum bright="-20000" contrast="40000"/>
                      <a:extLst>
                        <a:ext uri="{28A0092B-C50C-407E-A947-70E740481C1C}">
                          <a14:useLocalDpi xmlns:a14="http://schemas.microsoft.com/office/drawing/2010/main" val="0"/>
                        </a:ext>
                      </a:extLst>
                    </a:blip>
                    <a:srcRect l="2043" t="7940"/>
                    <a:stretch/>
                  </pic:blipFill>
                  <pic:spPr bwMode="auto">
                    <a:xfrm>
                      <a:off x="0" y="0"/>
                      <a:ext cx="4404193" cy="2462996"/>
                    </a:xfrm>
                    <a:prstGeom prst="rect">
                      <a:avLst/>
                    </a:prstGeom>
                    <a:noFill/>
                    <a:ln>
                      <a:noFill/>
                    </a:ln>
                    <a:extLst>
                      <a:ext uri="{53640926-AAD7-44D8-BBD7-CCE9431645EC}">
                        <a14:shadowObscured xmlns:a14="http://schemas.microsoft.com/office/drawing/2010/main"/>
                      </a:ext>
                    </a:extLst>
                  </pic:spPr>
                </pic:pic>
              </a:graphicData>
            </a:graphic>
          </wp:inline>
        </w:drawing>
      </w:r>
    </w:p>
    <w:p w:rsidR="004C67AA" w:rsidRDefault="004C67AA" w:rsidP="00087C8F">
      <w:pPr>
        <w:pStyle w:val="Heading4"/>
      </w:pPr>
      <w:r w:rsidRPr="00605AD4">
        <w:t xml:space="preserve">Patient </w:t>
      </w:r>
      <w:r w:rsidRPr="00087C8F">
        <w:t>exposure</w:t>
      </w:r>
    </w:p>
    <w:p w:rsidR="00044660" w:rsidRDefault="00044660" w:rsidP="002F781F">
      <w:r>
        <w:t>The safety analysis population comprised all randomised patients who received at least one dose of study</w:t>
      </w:r>
      <w:r w:rsidR="00972154">
        <w:t xml:space="preserve"> treatment</w:t>
      </w:r>
      <w:r>
        <w:t xml:space="preserve"> involving 464 patients from the </w:t>
      </w:r>
      <w:proofErr w:type="spellStart"/>
      <w:r w:rsidR="00166F6A">
        <w:t>bevacizumab</w:t>
      </w:r>
      <w:proofErr w:type="spellEnd"/>
      <w:r>
        <w:t xml:space="preserve"> arm and 447 patients on the placebo arm.</w:t>
      </w:r>
    </w:p>
    <w:p w:rsidR="00972154" w:rsidRDefault="00044660" w:rsidP="00087C8F">
      <w:r>
        <w:t xml:space="preserve">In relation to exposure to </w:t>
      </w:r>
      <w:proofErr w:type="spellStart"/>
      <w:r w:rsidR="00166F6A">
        <w:t>bevacizumab</w:t>
      </w:r>
      <w:proofErr w:type="spellEnd"/>
      <w:r>
        <w:t xml:space="preserve">, it is noted in the three phases of the study </w:t>
      </w:r>
      <w:proofErr w:type="spellStart"/>
      <w:r w:rsidR="00166F6A">
        <w:t>bevacizumab</w:t>
      </w:r>
      <w:proofErr w:type="spellEnd"/>
      <w:r>
        <w:t xml:space="preserve"> was administered at a dose of 10</w:t>
      </w:r>
      <w:r w:rsidR="00972154">
        <w:t xml:space="preserve"> </w:t>
      </w:r>
      <w:r>
        <w:t>mg/kg every two weeks during the concurrent and maintenance phases and 15</w:t>
      </w:r>
      <w:r w:rsidR="00972154">
        <w:t xml:space="preserve"> </w:t>
      </w:r>
      <w:r>
        <w:t>mg/kg every three weeks during the monotherapy phase.</w:t>
      </w:r>
      <w:r w:rsidR="00AB7CEC">
        <w:t xml:space="preserve"> </w:t>
      </w:r>
      <w:r>
        <w:t xml:space="preserve">A total of 464 patients in the </w:t>
      </w:r>
      <w:proofErr w:type="spellStart"/>
      <w:r w:rsidR="00166F6A">
        <w:t>bevacizumab</w:t>
      </w:r>
      <w:proofErr w:type="spellEnd"/>
      <w:r>
        <w:t xml:space="preserve"> arm received at least one dose of </w:t>
      </w:r>
      <w:proofErr w:type="spellStart"/>
      <w:r w:rsidR="00166F6A">
        <w:t>bevacizumab</w:t>
      </w:r>
      <w:proofErr w:type="spellEnd"/>
      <w:r>
        <w:t xml:space="preserve"> following randomisation and by the time of the clinical cut-off date on the 31 March 2012 the median total number of </w:t>
      </w:r>
      <w:proofErr w:type="spellStart"/>
      <w:r w:rsidR="00166F6A">
        <w:t>bevacizumab</w:t>
      </w:r>
      <w:proofErr w:type="spellEnd"/>
      <w:r>
        <w:t xml:space="preserve"> doses across all phases of study was 18.5 and a maximum number of doses in any one patient was 45.</w:t>
      </w:r>
    </w:p>
    <w:p w:rsidR="00044660" w:rsidRDefault="00044660" w:rsidP="00087C8F">
      <w:r>
        <w:t>In relation to exposure to radiotherapy which was delivered during the concurrent phase of the study definitive exposure to radiotherapy was similar for both treatment arms.</w:t>
      </w:r>
    </w:p>
    <w:p w:rsidR="00972154" w:rsidRDefault="00C23F70" w:rsidP="00087C8F">
      <w:r>
        <w:t>In relation to exposure to TMZ which was given during the concurrent phase of therapy at 75</w:t>
      </w:r>
      <w:r w:rsidR="00972154">
        <w:t xml:space="preserve"> </w:t>
      </w:r>
      <w:r>
        <w:t>mg/m</w:t>
      </w:r>
      <w:r w:rsidRPr="00CF0A8C">
        <w:rPr>
          <w:vertAlign w:val="superscript"/>
        </w:rPr>
        <w:t>2</w:t>
      </w:r>
      <w:r>
        <w:t xml:space="preserve"> every day and for the first five days of each 28 day cycle during the six cycles of the maintenance phase</w:t>
      </w:r>
      <w:r w:rsidR="00972154">
        <w:t>:</w:t>
      </w:r>
      <w:r w:rsidR="00AB7CEC">
        <w:t xml:space="preserve"> </w:t>
      </w:r>
      <w:r>
        <w:t>In cycle two of the maintenance phase a starting dose of 150</w:t>
      </w:r>
      <w:r w:rsidR="00972154">
        <w:t xml:space="preserve"> </w:t>
      </w:r>
      <w:r>
        <w:t>mg/m</w:t>
      </w:r>
      <w:r w:rsidRPr="000C56E9">
        <w:rPr>
          <w:vertAlign w:val="superscript"/>
        </w:rPr>
        <w:t>2</w:t>
      </w:r>
      <w:r>
        <w:t xml:space="preserve"> was increased to 200</w:t>
      </w:r>
      <w:r w:rsidR="00972154">
        <w:t xml:space="preserve"> </w:t>
      </w:r>
      <w:r>
        <w:t>mg/m</w:t>
      </w:r>
      <w:r w:rsidRPr="000C56E9">
        <w:rPr>
          <w:vertAlign w:val="superscript"/>
        </w:rPr>
        <w:t>2</w:t>
      </w:r>
      <w:r>
        <w:t xml:space="preserve"> providing there was no excessive toxicity.</w:t>
      </w:r>
      <w:r w:rsidR="00AB7CEC">
        <w:t xml:space="preserve"> </w:t>
      </w:r>
      <w:r>
        <w:t>The majority of patients in both treatment arms received the planned dose and duration of TMZ treatment during the concurrent phase</w:t>
      </w:r>
      <w:r w:rsidR="00BD5879">
        <w:t>.</w:t>
      </w:r>
    </w:p>
    <w:p w:rsidR="00C23F70" w:rsidRPr="00CF0A8C" w:rsidRDefault="00C23F70" w:rsidP="00087C8F">
      <w:r>
        <w:t xml:space="preserve">In the maintenance phase a higher proportion of patients in the </w:t>
      </w:r>
      <w:proofErr w:type="spellStart"/>
      <w:r w:rsidR="00166F6A">
        <w:t>bevacizumab</w:t>
      </w:r>
      <w:proofErr w:type="spellEnd"/>
      <w:r>
        <w:t xml:space="preserve"> </w:t>
      </w:r>
      <w:proofErr w:type="gramStart"/>
      <w:r>
        <w:t>arm</w:t>
      </w:r>
      <w:r w:rsidR="00AB7CEC">
        <w:t xml:space="preserve"> </w:t>
      </w:r>
      <w:r>
        <w:t xml:space="preserve"> completed</w:t>
      </w:r>
      <w:proofErr w:type="gramEnd"/>
      <w:r>
        <w:t xml:space="preserve"> the six cycles of TMZ than the placebo arm, 64% v</w:t>
      </w:r>
      <w:r w:rsidR="00972154">
        <w:t>ersu</w:t>
      </w:r>
      <w:r>
        <w:t>s 37% respectively.</w:t>
      </w:r>
      <w:r w:rsidR="00AB7CEC">
        <w:t xml:space="preserve"> </w:t>
      </w:r>
      <w:r>
        <w:t xml:space="preserve">These data confirm that the </w:t>
      </w:r>
      <w:r w:rsidRPr="00CF0A8C">
        <w:t xml:space="preserve">addition of </w:t>
      </w:r>
      <w:proofErr w:type="spellStart"/>
      <w:r w:rsidR="00166F6A">
        <w:t>bevacizumab</w:t>
      </w:r>
      <w:proofErr w:type="spellEnd"/>
      <w:r w:rsidRPr="00CF0A8C">
        <w:t xml:space="preserve"> does not appear to influence tolerance to TMZ.</w:t>
      </w:r>
    </w:p>
    <w:p w:rsidR="00C23F70" w:rsidRPr="00044660" w:rsidRDefault="00C23F70" w:rsidP="002F781F">
      <w:r>
        <w:t xml:space="preserve">In relation to duration of safety follow up the median duration of safety follow up was approximately 3.8 months longer in the </w:t>
      </w:r>
      <w:proofErr w:type="spellStart"/>
      <w:r w:rsidR="00166F6A">
        <w:t>bevacizumab</w:t>
      </w:r>
      <w:proofErr w:type="spellEnd"/>
      <w:r>
        <w:t xml:space="preserve"> arm compared to the placebo arm at 12.3 months v</w:t>
      </w:r>
      <w:r w:rsidR="00972154">
        <w:t>ersu</w:t>
      </w:r>
      <w:r>
        <w:t>s 8.5 months respectively</w:t>
      </w:r>
      <w:r w:rsidR="00087C8F">
        <w:t>.</w:t>
      </w:r>
    </w:p>
    <w:p w:rsidR="004C67AA" w:rsidRDefault="004C67AA" w:rsidP="00087C8F">
      <w:pPr>
        <w:pStyle w:val="Heading4"/>
      </w:pPr>
      <w:r w:rsidRPr="00605AD4">
        <w:t>Postmarketing data</w:t>
      </w:r>
    </w:p>
    <w:p w:rsidR="00044660" w:rsidRDefault="00044660" w:rsidP="00087C8F">
      <w:r>
        <w:t>There was no postmarketing data in relation to the current proposed indication.</w:t>
      </w:r>
    </w:p>
    <w:p w:rsidR="009259E3" w:rsidRDefault="00972154" w:rsidP="00087C8F">
      <w:proofErr w:type="spellStart"/>
      <w:r>
        <w:t>B</w:t>
      </w:r>
      <w:r w:rsidR="00166F6A">
        <w:t>evacizumab</w:t>
      </w:r>
      <w:proofErr w:type="spellEnd"/>
      <w:r w:rsidR="00044660">
        <w:t xml:space="preserve"> in combination with intravenous 5-FU based chemotherapy for the first line treatment of patients with metastatic carcinoma of the</w:t>
      </w:r>
      <w:r>
        <w:t xml:space="preserve"> </w:t>
      </w:r>
      <w:r w:rsidR="00044660">
        <w:t xml:space="preserve">colon-rectum has been marketed since 2004 and subsequently for several other indications including </w:t>
      </w:r>
      <w:proofErr w:type="spellStart"/>
      <w:r w:rsidR="00044660">
        <w:t>glioblastoma</w:t>
      </w:r>
      <w:proofErr w:type="spellEnd"/>
      <w:r w:rsidR="00044660">
        <w:t xml:space="preserve"> in </w:t>
      </w:r>
      <w:r w:rsidR="00044660">
        <w:lastRenderedPageBreak/>
        <w:t>patients with</w:t>
      </w:r>
      <w:r w:rsidR="00AB7CEC">
        <w:t xml:space="preserve"> </w:t>
      </w:r>
      <w:r w:rsidR="00044660">
        <w:t>progressive disease following prior therapy.</w:t>
      </w:r>
      <w:r w:rsidR="00AB7CEC">
        <w:t xml:space="preserve"> </w:t>
      </w:r>
      <w:r w:rsidR="00044660">
        <w:t xml:space="preserve">The </w:t>
      </w:r>
      <w:proofErr w:type="spellStart"/>
      <w:r w:rsidR="00044660">
        <w:t>postmarketing</w:t>
      </w:r>
      <w:proofErr w:type="spellEnd"/>
      <w:r w:rsidR="00044660">
        <w:t xml:space="preserve"> experience of </w:t>
      </w:r>
      <w:proofErr w:type="spellStart"/>
      <w:r w:rsidR="00166F6A">
        <w:t>bevacizumab</w:t>
      </w:r>
      <w:proofErr w:type="spellEnd"/>
      <w:r w:rsidR="00044660">
        <w:t xml:space="preserve"> on the basis of safety data contained in the nine previously scheduled periodic safety updated reports (PSUR) </w:t>
      </w:r>
      <w:r w:rsidR="009259E3">
        <w:t>was summarised</w:t>
      </w:r>
      <w:r w:rsidR="00044660">
        <w:t>.</w:t>
      </w:r>
    </w:p>
    <w:p w:rsidR="00044660" w:rsidRDefault="009259E3" w:rsidP="00087C8F">
      <w:r w:rsidRPr="00B11B95">
        <w:t>A</w:t>
      </w:r>
      <w:r w:rsidR="00044660" w:rsidRPr="00B11B95">
        <w:t>dverse event data with a clinical cut-off of the 25 February 2012</w:t>
      </w:r>
      <w:r w:rsidRPr="00B11B95">
        <w:t xml:space="preserve"> </w:t>
      </w:r>
      <w:r w:rsidR="00B11B95" w:rsidRPr="00B11B95">
        <w:t>were summarised</w:t>
      </w:r>
      <w:r w:rsidR="00044660" w:rsidRPr="00B11B95">
        <w:t>.</w:t>
      </w:r>
      <w:r w:rsidR="00AB7CEC" w:rsidRPr="00B11B95">
        <w:t xml:space="preserve"> </w:t>
      </w:r>
      <w:r w:rsidR="00044660" w:rsidRPr="00B11B95">
        <w:t>Overall the incidence of patients reporting adverse events, the proportion of adverse</w:t>
      </w:r>
      <w:r w:rsidR="00044660">
        <w:t xml:space="preserve"> events considered serious and the incidence of adverse events leading to death has remained stable over this period.</w:t>
      </w:r>
      <w:r w:rsidR="00AB7CEC">
        <w:t xml:space="preserve"> </w:t>
      </w:r>
      <w:r w:rsidR="00044660">
        <w:t xml:space="preserve">The most frequent adverse events reported have been </w:t>
      </w:r>
      <w:r>
        <w:t>Gastrointestinal (</w:t>
      </w:r>
      <w:r w:rsidR="00044660">
        <w:t>GI</w:t>
      </w:r>
      <w:r>
        <w:t>)</w:t>
      </w:r>
      <w:r w:rsidR="00044660">
        <w:t xml:space="preserve"> disorders in 19%, </w:t>
      </w:r>
      <w:r>
        <w:t>G</w:t>
      </w:r>
      <w:r w:rsidR="00044660">
        <w:t xml:space="preserve">eneral disorders and </w:t>
      </w:r>
      <w:r>
        <w:t>A</w:t>
      </w:r>
      <w:r w:rsidR="00044660">
        <w:t xml:space="preserve">dministration site disorders in 10.5% and </w:t>
      </w:r>
      <w:r>
        <w:t>I</w:t>
      </w:r>
      <w:r w:rsidR="00044660">
        <w:t>nfections and infestations in 9.2%.</w:t>
      </w:r>
    </w:p>
    <w:p w:rsidR="004C67AA" w:rsidRPr="002F781F" w:rsidRDefault="004C67AA" w:rsidP="00087C8F">
      <w:pPr>
        <w:pStyle w:val="Heading4"/>
      </w:pPr>
      <w:r w:rsidRPr="00605AD4">
        <w:t xml:space="preserve">Evaluator’s </w:t>
      </w:r>
      <w:r w:rsidRPr="00087C8F">
        <w:t>conclusions</w:t>
      </w:r>
      <w:r w:rsidRPr="00605AD4">
        <w:t xml:space="preserve"> on safety</w:t>
      </w:r>
    </w:p>
    <w:p w:rsidR="00044660" w:rsidRDefault="00044660" w:rsidP="002F781F">
      <w:r>
        <w:t xml:space="preserve">This safety data has essentially indicated the toxicity profiles recognised for the agents utilised in the combined regimen, namely radiotherapy, TMZ and </w:t>
      </w:r>
      <w:proofErr w:type="spellStart"/>
      <w:r w:rsidR="00166F6A">
        <w:t>bevacizumab</w:t>
      </w:r>
      <w:proofErr w:type="spellEnd"/>
      <w:r>
        <w:t>.</w:t>
      </w:r>
      <w:r w:rsidR="00AB7CEC">
        <w:t xml:space="preserve"> </w:t>
      </w:r>
      <w:r>
        <w:t xml:space="preserve">The addition of </w:t>
      </w:r>
      <w:proofErr w:type="spellStart"/>
      <w:r w:rsidR="00166F6A">
        <w:t>bevacizumab</w:t>
      </w:r>
      <w:proofErr w:type="spellEnd"/>
      <w:r>
        <w:t xml:space="preserve"> to the RT and TMZ have produced additional adverse effects but not had any apparent increase in previously recognised adverse effects for RT plus TMZ.</w:t>
      </w:r>
      <w:r w:rsidR="00AB7CEC">
        <w:t xml:space="preserve"> </w:t>
      </w:r>
      <w:r>
        <w:t xml:space="preserve">Similarly the extent of adverse effects associated with the </w:t>
      </w:r>
      <w:proofErr w:type="spellStart"/>
      <w:r w:rsidR="00166F6A">
        <w:t>bevacizumab</w:t>
      </w:r>
      <w:proofErr w:type="spellEnd"/>
      <w:r>
        <w:t xml:space="preserve"> administration is comparable to those for other indications and well recognised in the Product Information.</w:t>
      </w:r>
      <w:r w:rsidR="00AB7CEC">
        <w:t xml:space="preserve"> </w:t>
      </w:r>
      <w:r>
        <w:t>Accordingly</w:t>
      </w:r>
      <w:r w:rsidR="009259E3">
        <w:t>,</w:t>
      </w:r>
      <w:r>
        <w:t xml:space="preserve"> while the addition of </w:t>
      </w:r>
      <w:proofErr w:type="spellStart"/>
      <w:r w:rsidR="00166F6A">
        <w:t>bevacizumab</w:t>
      </w:r>
      <w:proofErr w:type="spellEnd"/>
      <w:r>
        <w:t xml:space="preserve"> to the combination has increased the toxicity profile in general these remain manageable with appropriate surveillance and intervention.</w:t>
      </w:r>
    </w:p>
    <w:p w:rsidR="004C67AA" w:rsidRPr="00605AD4" w:rsidRDefault="00087C8F" w:rsidP="00087C8F">
      <w:pPr>
        <w:pStyle w:val="Heading3"/>
        <w:rPr>
          <w:rFonts w:eastAsia="Cambria"/>
        </w:rPr>
      </w:pPr>
      <w:bookmarkStart w:id="75" w:name="_Toc384807764"/>
      <w:bookmarkStart w:id="76" w:name="_Toc404950772"/>
      <w:r>
        <w:rPr>
          <w:rFonts w:eastAsia="Cambria"/>
        </w:rPr>
        <w:t>First r</w:t>
      </w:r>
      <w:r w:rsidR="004C67AA" w:rsidRPr="00605AD4">
        <w:rPr>
          <w:rFonts w:eastAsia="Cambria"/>
        </w:rPr>
        <w:t xml:space="preserve">ound </w:t>
      </w:r>
      <w:r>
        <w:rPr>
          <w:rFonts w:eastAsia="Cambria"/>
        </w:rPr>
        <w:t>b</w:t>
      </w:r>
      <w:r w:rsidR="004C67AA" w:rsidRPr="00605AD4">
        <w:rPr>
          <w:rFonts w:eastAsia="Cambria"/>
        </w:rPr>
        <w:t>enefit-</w:t>
      </w:r>
      <w:r>
        <w:rPr>
          <w:rFonts w:eastAsia="Cambria"/>
        </w:rPr>
        <w:t>r</w:t>
      </w:r>
      <w:r w:rsidR="004C67AA" w:rsidRPr="00605AD4">
        <w:rPr>
          <w:rFonts w:eastAsia="Cambria"/>
        </w:rPr>
        <w:t xml:space="preserve">isk </w:t>
      </w:r>
      <w:r w:rsidRPr="00087C8F">
        <w:rPr>
          <w:rFonts w:eastAsia="Cambria"/>
        </w:rPr>
        <w:t>a</w:t>
      </w:r>
      <w:r w:rsidR="004C67AA" w:rsidRPr="00087C8F">
        <w:rPr>
          <w:rFonts w:eastAsia="Cambria"/>
        </w:rPr>
        <w:t>ssessment</w:t>
      </w:r>
      <w:bookmarkEnd w:id="75"/>
      <w:bookmarkEnd w:id="76"/>
    </w:p>
    <w:p w:rsidR="004C67AA" w:rsidRPr="00087C8F" w:rsidRDefault="004C67AA" w:rsidP="004C67AA">
      <w:pPr>
        <w:pStyle w:val="Heading4"/>
      </w:pPr>
      <w:r w:rsidRPr="00605AD4">
        <w:t>First round assessment o</w:t>
      </w:r>
      <w:r w:rsidRPr="00087C8F">
        <w:t>f benefits</w:t>
      </w:r>
    </w:p>
    <w:p w:rsidR="00C23F70" w:rsidRDefault="00C23F70" w:rsidP="00087C8F">
      <w:r>
        <w:t xml:space="preserve">The pivotal </w:t>
      </w:r>
      <w:r w:rsidR="009259E3">
        <w:t>S</w:t>
      </w:r>
      <w:r>
        <w:t xml:space="preserve">tudy BO21990 has demonstrated the addition of </w:t>
      </w:r>
      <w:proofErr w:type="spellStart"/>
      <w:r w:rsidR="00166F6A">
        <w:t>bevacizumab</w:t>
      </w:r>
      <w:proofErr w:type="spellEnd"/>
      <w:r>
        <w:t xml:space="preserve"> to RT plus TMZ therapy in patients with newly diagnosed GBM resulted in a statistically significant improvement in the duration of PFS with a 36% risk of reduction of PFS accompanied by stable or improved HRQoL another measure of clinical benefit during the progression free time.</w:t>
      </w:r>
      <w:r w:rsidR="00AB7CEC">
        <w:t xml:space="preserve"> </w:t>
      </w:r>
      <w:r>
        <w:t>These PFS results are relatively mature with 80% of the randomised patients having had a PFS event.</w:t>
      </w:r>
    </w:p>
    <w:p w:rsidR="00C23F70" w:rsidRDefault="00C23F70" w:rsidP="00087C8F">
      <w:r>
        <w:t>It is worth commenting that the clinical benefit associated with the prolonged PFS was demonstrated by the stable or improved HRQoL during this period together with symptomatic stabilisation and reduction in requirements for corticosteroids.</w:t>
      </w:r>
      <w:r w:rsidR="00AB7CEC">
        <w:t xml:space="preserve"> </w:t>
      </w:r>
      <w:r>
        <w:t>All of which represents a worthwhile clinical benefit for patients.</w:t>
      </w:r>
    </w:p>
    <w:p w:rsidR="00C23F70" w:rsidRDefault="00C23F70" w:rsidP="00087C8F">
      <w:r>
        <w:t>The uncertainty remains however that overall survival was influenced in a significant manner.</w:t>
      </w:r>
      <w:r w:rsidR="00AB7CEC">
        <w:t xml:space="preserve"> </w:t>
      </w:r>
      <w:r>
        <w:t xml:space="preserve">The interim analysis of overall survival produced an 11% reduction in the addition of </w:t>
      </w:r>
      <w:proofErr w:type="spellStart"/>
      <w:r w:rsidR="00166F6A">
        <w:t>bevacizumab</w:t>
      </w:r>
      <w:proofErr w:type="spellEnd"/>
      <w:r>
        <w:t xml:space="preserve"> to the RT plus TMZ which was not statistically significant.</w:t>
      </w:r>
      <w:r w:rsidR="00AB7CEC">
        <w:t xml:space="preserve"> </w:t>
      </w:r>
      <w:r>
        <w:t>This represents the second interim analysis in which 56% of randomised patients had died and the final analysis would not be available till later in 2013.</w:t>
      </w:r>
      <w:r w:rsidR="00AB7CEC">
        <w:t xml:space="preserve"> </w:t>
      </w:r>
      <w:r>
        <w:t>The reasons for the lack of statistical significance for overall survival from this quite large and robust study remain uncertain, although it is possible that second-line therapies subsequent to disease progression had an influence.</w:t>
      </w:r>
      <w:r w:rsidR="00AB7CEC">
        <w:t xml:space="preserve"> </w:t>
      </w:r>
      <w:r>
        <w:t>Nevertheless the final analysis of overall survival will provide further relevant information together with that potentially provided from other studies being conducted.</w:t>
      </w:r>
    </w:p>
    <w:p w:rsidR="004C67AA" w:rsidRDefault="004C67AA" w:rsidP="00087C8F">
      <w:pPr>
        <w:pStyle w:val="Heading4"/>
      </w:pPr>
      <w:r w:rsidRPr="00605AD4">
        <w:t xml:space="preserve">First round </w:t>
      </w:r>
      <w:r w:rsidRPr="00087C8F">
        <w:t>assessment</w:t>
      </w:r>
      <w:r w:rsidRPr="00605AD4">
        <w:t xml:space="preserve"> of risks</w:t>
      </w:r>
    </w:p>
    <w:p w:rsidR="00C23F70" w:rsidRDefault="00C23F70" w:rsidP="00087C8F">
      <w:r>
        <w:t xml:space="preserve">The safety data provided from the pivotal study essentially indicated the known toxicity profiles of the agents utilised in the combination of RT plus TMZ together with </w:t>
      </w:r>
      <w:proofErr w:type="spellStart"/>
      <w:r w:rsidR="00166F6A">
        <w:t>bevacizumab</w:t>
      </w:r>
      <w:proofErr w:type="spellEnd"/>
      <w:r>
        <w:t>.</w:t>
      </w:r>
      <w:r w:rsidR="00AB7CEC">
        <w:t xml:space="preserve"> </w:t>
      </w:r>
      <w:r>
        <w:t xml:space="preserve">This certainly has resulted in an additional mode of toxicities for this patient </w:t>
      </w:r>
      <w:r>
        <w:lastRenderedPageBreak/>
        <w:t>population but has not resulted in any additive or synergistic adverse effects between the three agents.</w:t>
      </w:r>
      <w:r w:rsidR="00AB7CEC">
        <w:t xml:space="preserve"> </w:t>
      </w:r>
      <w:r>
        <w:t xml:space="preserve">In general these adverse effects could be adequately managed with appropriate surveillance and early intervention and accordingly the addition of </w:t>
      </w:r>
      <w:proofErr w:type="spellStart"/>
      <w:r w:rsidR="00166F6A">
        <w:t>bevacizumab</w:t>
      </w:r>
      <w:proofErr w:type="spellEnd"/>
      <w:r>
        <w:t xml:space="preserve"> to the combination cannot be considered to have resulted in unacceptable toxicity for this patient population.</w:t>
      </w:r>
    </w:p>
    <w:p w:rsidR="004C67AA" w:rsidRPr="00605AD4" w:rsidRDefault="004C67AA" w:rsidP="00087C8F">
      <w:pPr>
        <w:pStyle w:val="Heading4"/>
      </w:pPr>
      <w:r w:rsidRPr="00605AD4">
        <w:t xml:space="preserve">First round </w:t>
      </w:r>
      <w:r w:rsidRPr="00087C8F">
        <w:t>assessment</w:t>
      </w:r>
      <w:r w:rsidRPr="00605AD4">
        <w:t xml:space="preserve"> of benefit-risk balance</w:t>
      </w:r>
    </w:p>
    <w:p w:rsidR="00C23F70" w:rsidRDefault="00C23F70" w:rsidP="002F781F">
      <w:r>
        <w:t xml:space="preserve">The data from the pivotal </w:t>
      </w:r>
      <w:r w:rsidR="009259E3">
        <w:t>S</w:t>
      </w:r>
      <w:r>
        <w:t xml:space="preserve">tudy BO21990 has certainly indicated a significant and clinically worthwhile improvement in PFS for this population of newly diagnosed GBM patients with the addition of </w:t>
      </w:r>
      <w:proofErr w:type="spellStart"/>
      <w:r w:rsidR="00166F6A">
        <w:t>bevacizumab</w:t>
      </w:r>
      <w:proofErr w:type="spellEnd"/>
      <w:r>
        <w:t xml:space="preserve"> to the recognised combination of RT plus TMZ.</w:t>
      </w:r>
      <w:r w:rsidR="00AB7CEC">
        <w:t xml:space="preserve"> </w:t>
      </w:r>
      <w:r>
        <w:t>This has been reinforced by the evidence of stable or improved quality of life measures and symptomatic measures as well as corticosteroid use.</w:t>
      </w:r>
      <w:r w:rsidR="00AB7CEC">
        <w:t xml:space="preserve"> </w:t>
      </w:r>
      <w:r>
        <w:t xml:space="preserve">The adverse effect profile is acceptable in the context for the addition of those toxicities associated with </w:t>
      </w:r>
      <w:proofErr w:type="spellStart"/>
      <w:r w:rsidR="00166F6A">
        <w:t>bevacizumab</w:t>
      </w:r>
      <w:proofErr w:type="spellEnd"/>
      <w:r>
        <w:t xml:space="preserve"> to those already accepted for RT plus TMZ.</w:t>
      </w:r>
    </w:p>
    <w:p w:rsidR="004C67AA" w:rsidRPr="00605AD4" w:rsidRDefault="00C23F70" w:rsidP="00087C8F">
      <w:r>
        <w:t>The area of ongoing concern remains with as yet an indeterminate outcome for overall survival with only a minor benefit presently observed.</w:t>
      </w:r>
      <w:r w:rsidR="00AB7CEC">
        <w:t xml:space="preserve"> </w:t>
      </w:r>
      <w:r>
        <w:t>Final analysis of overall survival would be particularly pertinent in this regard as well as results from other studies.</w:t>
      </w:r>
      <w:r w:rsidR="00AB7CEC">
        <w:t xml:space="preserve"> </w:t>
      </w:r>
      <w:r>
        <w:t>Nevertheless at the present time it is reasonable to say that in view of the improvement in PFS and its associated qualitative influence</w:t>
      </w:r>
      <w:r w:rsidR="009259E3">
        <w:t>, the clinical evaluator was</w:t>
      </w:r>
      <w:r>
        <w:t xml:space="preserve"> generally supportive of the application.</w:t>
      </w:r>
    </w:p>
    <w:p w:rsidR="004C67AA" w:rsidRPr="00605AD4" w:rsidRDefault="00087C8F" w:rsidP="00087C8F">
      <w:pPr>
        <w:pStyle w:val="Heading3"/>
        <w:rPr>
          <w:rFonts w:eastAsia="Cambria"/>
        </w:rPr>
      </w:pPr>
      <w:bookmarkStart w:id="77" w:name="_Toc384807765"/>
      <w:bookmarkStart w:id="78" w:name="_Toc404950773"/>
      <w:r>
        <w:rPr>
          <w:rFonts w:eastAsia="Cambria"/>
        </w:rPr>
        <w:t>First r</w:t>
      </w:r>
      <w:r w:rsidR="004C67AA" w:rsidRPr="00605AD4">
        <w:rPr>
          <w:rFonts w:eastAsia="Cambria"/>
        </w:rPr>
        <w:t xml:space="preserve">ound </w:t>
      </w:r>
      <w:r>
        <w:rPr>
          <w:rFonts w:eastAsia="Cambria"/>
        </w:rPr>
        <w:t>r</w:t>
      </w:r>
      <w:r w:rsidR="004C67AA" w:rsidRPr="00605AD4">
        <w:rPr>
          <w:rFonts w:eastAsia="Cambria"/>
        </w:rPr>
        <w:t xml:space="preserve">ecommendation </w:t>
      </w:r>
      <w:r>
        <w:rPr>
          <w:rFonts w:eastAsia="Cambria"/>
        </w:rPr>
        <w:t>r</w:t>
      </w:r>
      <w:r w:rsidR="004C67AA" w:rsidRPr="00605AD4">
        <w:rPr>
          <w:rFonts w:eastAsia="Cambria"/>
        </w:rPr>
        <w:t xml:space="preserve">egarding </w:t>
      </w:r>
      <w:r w:rsidRPr="00087C8F">
        <w:rPr>
          <w:rFonts w:eastAsia="Cambria"/>
        </w:rPr>
        <w:t>a</w:t>
      </w:r>
      <w:r w:rsidR="004C67AA" w:rsidRPr="00087C8F">
        <w:rPr>
          <w:rFonts w:eastAsia="Cambria"/>
        </w:rPr>
        <w:t>uthorisation</w:t>
      </w:r>
      <w:bookmarkEnd w:id="77"/>
      <w:bookmarkEnd w:id="78"/>
    </w:p>
    <w:p w:rsidR="00C23F70" w:rsidRDefault="00C23F70" w:rsidP="00087C8F">
      <w:r>
        <w:t>On the basis of the favourable outcome for progression free survival from this robust pivotal study together with the qualitative benefits obtained and acceptable safety profile, th</w:t>
      </w:r>
      <w:r w:rsidR="009259E3">
        <w:t>e clinical evaluator</w:t>
      </w:r>
      <w:r>
        <w:t xml:space="preserve"> fe</w:t>
      </w:r>
      <w:r w:rsidR="009259E3">
        <w:t>lt</w:t>
      </w:r>
      <w:r>
        <w:t xml:space="preserve"> that on balance a recommendation in favour of the proposed indication of </w:t>
      </w:r>
      <w:proofErr w:type="spellStart"/>
      <w:r>
        <w:t>Avastin</w:t>
      </w:r>
      <w:proofErr w:type="spellEnd"/>
      <w:r>
        <w:t xml:space="preserve"> in combination with radiotherapy and </w:t>
      </w:r>
      <w:proofErr w:type="spellStart"/>
      <w:r w:rsidR="009259E3">
        <w:t>t</w:t>
      </w:r>
      <w:r>
        <w:t>emozolomide</w:t>
      </w:r>
      <w:proofErr w:type="spellEnd"/>
      <w:r>
        <w:t xml:space="preserve"> is indicated for the treatment of adult patients with newly diagnosed </w:t>
      </w:r>
      <w:proofErr w:type="spellStart"/>
      <w:r>
        <w:t>glioblastoma</w:t>
      </w:r>
      <w:proofErr w:type="spellEnd"/>
      <w:r>
        <w:t xml:space="preserve"> is appropriate and supported.</w:t>
      </w:r>
    </w:p>
    <w:p w:rsidR="004C67AA" w:rsidRPr="00605AD4" w:rsidRDefault="00087C8F" w:rsidP="00087C8F">
      <w:pPr>
        <w:pStyle w:val="Heading3"/>
        <w:rPr>
          <w:rFonts w:eastAsia="Cambria"/>
        </w:rPr>
      </w:pPr>
      <w:bookmarkStart w:id="79" w:name="_Toc384807766"/>
      <w:bookmarkStart w:id="80" w:name="_Toc404950774"/>
      <w:r>
        <w:rPr>
          <w:rFonts w:eastAsia="Cambria"/>
        </w:rPr>
        <w:t xml:space="preserve">Clinical </w:t>
      </w:r>
      <w:r w:rsidRPr="00087C8F">
        <w:rPr>
          <w:rFonts w:eastAsia="Cambria"/>
        </w:rPr>
        <w:t>q</w:t>
      </w:r>
      <w:r w:rsidR="004C67AA" w:rsidRPr="00087C8F">
        <w:rPr>
          <w:rFonts w:eastAsia="Cambria"/>
        </w:rPr>
        <w:t>uestions</w:t>
      </w:r>
      <w:bookmarkEnd w:id="79"/>
      <w:bookmarkEnd w:id="80"/>
    </w:p>
    <w:p w:rsidR="00C23F70" w:rsidRDefault="00C23F70" w:rsidP="00087C8F">
      <w:pPr>
        <w:pStyle w:val="Numberbullet0"/>
      </w:pPr>
      <w:r>
        <w:t xml:space="preserve">It would be desirable to determine results of the final analysis of overall survival for </w:t>
      </w:r>
      <w:r w:rsidR="00775109">
        <w:t>Study BO21990</w:t>
      </w:r>
      <w:r>
        <w:t xml:space="preserve"> to become available later in 2013.</w:t>
      </w:r>
    </w:p>
    <w:p w:rsidR="00C23F70" w:rsidRDefault="00C23F70" w:rsidP="002F781F">
      <w:pPr>
        <w:pStyle w:val="Numberbullet0"/>
      </w:pPr>
      <w:r>
        <w:t>Results from other similar studies, currently ongoing or in the phase of completion would be desirable.</w:t>
      </w:r>
    </w:p>
    <w:p w:rsidR="004C67AA" w:rsidRPr="00E41208" w:rsidRDefault="004C67AA" w:rsidP="00087C8F">
      <w:pPr>
        <w:pStyle w:val="Heading2"/>
      </w:pPr>
      <w:bookmarkStart w:id="81" w:name="_Toc384807769"/>
      <w:bookmarkStart w:id="82" w:name="_Toc404950775"/>
      <w:r w:rsidRPr="00E41208">
        <w:t xml:space="preserve">V. </w:t>
      </w:r>
      <w:r w:rsidRPr="00087C8F">
        <w:t>Pharmacovigilance</w:t>
      </w:r>
      <w:r w:rsidRPr="00E41208">
        <w:t xml:space="preserve"> </w:t>
      </w:r>
      <w:r>
        <w:t>f</w:t>
      </w:r>
      <w:r w:rsidRPr="00E41208">
        <w:t>indings</w:t>
      </w:r>
      <w:bookmarkEnd w:id="71"/>
      <w:bookmarkEnd w:id="72"/>
      <w:bookmarkEnd w:id="81"/>
      <w:bookmarkEnd w:id="82"/>
    </w:p>
    <w:p w:rsidR="004C67AA" w:rsidRDefault="004C67AA" w:rsidP="00087C8F">
      <w:pPr>
        <w:pStyle w:val="Heading3"/>
        <w:rPr>
          <w:lang w:eastAsia="en-AU"/>
        </w:rPr>
      </w:pPr>
      <w:bookmarkStart w:id="83" w:name="_Toc247691526"/>
      <w:bookmarkStart w:id="84" w:name="_Toc314842509"/>
      <w:bookmarkStart w:id="85" w:name="_Toc384807770"/>
      <w:bookmarkStart w:id="86" w:name="_Toc404950776"/>
      <w:r>
        <w:rPr>
          <w:lang w:eastAsia="en-AU"/>
        </w:rPr>
        <w:t xml:space="preserve">Risk </w:t>
      </w:r>
      <w:r w:rsidRPr="00087C8F">
        <w:t>management</w:t>
      </w:r>
      <w:r>
        <w:rPr>
          <w:lang w:eastAsia="en-AU"/>
        </w:rPr>
        <w:t xml:space="preserve"> plan</w:t>
      </w:r>
      <w:bookmarkEnd w:id="83"/>
      <w:bookmarkEnd w:id="84"/>
      <w:bookmarkEnd w:id="85"/>
      <w:bookmarkEnd w:id="86"/>
    </w:p>
    <w:p w:rsidR="004C67AA" w:rsidRDefault="004C67AA" w:rsidP="004C67AA">
      <w:pPr>
        <w:rPr>
          <w:lang w:eastAsia="en-AU"/>
        </w:rPr>
      </w:pPr>
      <w:r>
        <w:rPr>
          <w:lang w:eastAsia="en-AU"/>
        </w:rPr>
        <w:t xml:space="preserve">The sponsor submitted a Risk Management Plan </w:t>
      </w:r>
      <w:r w:rsidR="00174CCF">
        <w:rPr>
          <w:lang w:eastAsia="en-AU"/>
        </w:rPr>
        <w:t>European Union (</w:t>
      </w:r>
      <w:r w:rsidR="00C23F70">
        <w:t>EU</w:t>
      </w:r>
      <w:r w:rsidR="00174CCF">
        <w:t>)</w:t>
      </w:r>
      <w:r w:rsidR="00C23F70">
        <w:t xml:space="preserve">-RMP Version 13.0 (data-lock point 15 February 2013) with Australian Specific Annex </w:t>
      </w:r>
      <w:r w:rsidR="00174CCF">
        <w:t xml:space="preserve">(ASA) </w:t>
      </w:r>
      <w:r w:rsidR="00C23F70">
        <w:t xml:space="preserve">Version 3.0 dated May 2013 </w:t>
      </w:r>
      <w:r>
        <w:rPr>
          <w:lang w:eastAsia="en-AU"/>
        </w:rPr>
        <w:t>which was reviewed by the TGA’s Office of Product Review (OPR).</w:t>
      </w:r>
    </w:p>
    <w:p w:rsidR="004C67AA" w:rsidRDefault="004C67AA" w:rsidP="00087C8F">
      <w:pPr>
        <w:pStyle w:val="Heading4"/>
        <w:rPr>
          <w:lang w:eastAsia="en-AU"/>
        </w:rPr>
      </w:pPr>
      <w:r>
        <w:rPr>
          <w:lang w:eastAsia="en-AU"/>
        </w:rPr>
        <w:t xml:space="preserve">Safety </w:t>
      </w:r>
      <w:r w:rsidRPr="00087C8F">
        <w:t>specification</w:t>
      </w:r>
    </w:p>
    <w:p w:rsidR="004C67AA" w:rsidRDefault="004C67AA" w:rsidP="00087C8F">
      <w:pPr>
        <w:rPr>
          <w:lang w:eastAsia="en-AU"/>
        </w:rPr>
      </w:pPr>
      <w:r>
        <w:rPr>
          <w:lang w:eastAsia="en-AU"/>
        </w:rPr>
        <w:t xml:space="preserve">The sponsor provided a summary of ongoing safety concerns which are shown at Table </w:t>
      </w:r>
      <w:r w:rsidR="00AD12FE">
        <w:rPr>
          <w:lang w:eastAsia="en-AU"/>
        </w:rPr>
        <w:t>3</w:t>
      </w:r>
      <w:r>
        <w:rPr>
          <w:lang w:eastAsia="en-AU"/>
        </w:rPr>
        <w:t>.</w:t>
      </w:r>
    </w:p>
    <w:p w:rsidR="00C23F70" w:rsidRPr="004B6A6A" w:rsidRDefault="00C23F70" w:rsidP="00087C8F">
      <w:pPr>
        <w:pStyle w:val="TableTitle"/>
      </w:pPr>
      <w:proofErr w:type="gramStart"/>
      <w:r w:rsidRPr="004B6A6A">
        <w:lastRenderedPageBreak/>
        <w:t xml:space="preserve">Table </w:t>
      </w:r>
      <w:r w:rsidR="00AD12FE">
        <w:t>3</w:t>
      </w:r>
      <w:r w:rsidR="009259E3">
        <w:t>.</w:t>
      </w:r>
      <w:proofErr w:type="gramEnd"/>
      <w:r w:rsidRPr="004B6A6A">
        <w:t xml:space="preserve"> </w:t>
      </w:r>
      <w:proofErr w:type="gramStart"/>
      <w:r w:rsidRPr="004B6A6A">
        <w:t>Ongoing Safety Concerns.</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2"/>
        <w:gridCol w:w="6308"/>
      </w:tblGrid>
      <w:tr w:rsidR="00C23F70" w:rsidRPr="00F263A6" w:rsidTr="002F781F">
        <w:tc>
          <w:tcPr>
            <w:tcW w:w="2660" w:type="dxa"/>
            <w:vMerge w:val="restart"/>
            <w:shd w:val="clear" w:color="auto" w:fill="0070C0"/>
          </w:tcPr>
          <w:p w:rsidR="00C23F70" w:rsidRPr="002F781F" w:rsidRDefault="00C23F70" w:rsidP="00087C8F">
            <w:pPr>
              <w:keepNext/>
              <w:rPr>
                <w:rFonts w:asciiTheme="minorHAnsi" w:hAnsiTheme="minorHAnsi"/>
                <w:b/>
                <w:color w:val="FFFFFF" w:themeColor="background1"/>
                <w:sz w:val="20"/>
                <w:szCs w:val="20"/>
              </w:rPr>
            </w:pPr>
            <w:r w:rsidRPr="002F781F">
              <w:rPr>
                <w:rFonts w:asciiTheme="minorHAnsi" w:hAnsiTheme="minorHAnsi"/>
                <w:b/>
                <w:color w:val="FFFFFF" w:themeColor="background1"/>
                <w:sz w:val="20"/>
                <w:szCs w:val="20"/>
              </w:rPr>
              <w:t>Important identified risks</w:t>
            </w:r>
          </w:p>
        </w:tc>
        <w:tc>
          <w:tcPr>
            <w:tcW w:w="7194" w:type="dxa"/>
          </w:tcPr>
          <w:p w:rsidR="00C23F70" w:rsidRPr="002F781F" w:rsidRDefault="00C23F70" w:rsidP="00087C8F">
            <w:pPr>
              <w:keepNext/>
              <w:spacing w:before="60" w:after="60" w:line="240" w:lineRule="auto"/>
              <w:rPr>
                <w:rFonts w:asciiTheme="minorHAnsi" w:hAnsiTheme="minorHAnsi"/>
                <w:sz w:val="20"/>
                <w:szCs w:val="20"/>
              </w:rPr>
            </w:pPr>
            <w:r w:rsidRPr="002F781F">
              <w:rPr>
                <w:rFonts w:asciiTheme="minorHAnsi" w:hAnsiTheme="minorHAnsi"/>
                <w:sz w:val="20"/>
                <w:szCs w:val="20"/>
              </w:rPr>
              <w:t>Bleeding/haemorrhage</w:t>
            </w:r>
          </w:p>
        </w:tc>
      </w:tr>
      <w:tr w:rsidR="00C23F70" w:rsidRPr="00F263A6" w:rsidTr="002F781F">
        <w:tc>
          <w:tcPr>
            <w:tcW w:w="2660" w:type="dxa"/>
            <w:vMerge/>
            <w:shd w:val="clear" w:color="auto" w:fill="0070C0"/>
          </w:tcPr>
          <w:p w:rsidR="00C23F70" w:rsidRPr="002F781F" w:rsidRDefault="00C23F70" w:rsidP="00087C8F">
            <w:pPr>
              <w:keepNext/>
              <w:rPr>
                <w:rFonts w:asciiTheme="minorHAnsi" w:hAnsiTheme="minorHAnsi"/>
                <w:color w:val="FFFFFF" w:themeColor="background1"/>
                <w:sz w:val="20"/>
                <w:szCs w:val="20"/>
              </w:rPr>
            </w:pPr>
          </w:p>
        </w:tc>
        <w:tc>
          <w:tcPr>
            <w:tcW w:w="7194" w:type="dxa"/>
          </w:tcPr>
          <w:p w:rsidR="00C23F70" w:rsidRPr="002F781F" w:rsidRDefault="00C23F70" w:rsidP="00087C8F">
            <w:pPr>
              <w:keepNext/>
              <w:spacing w:before="60" w:after="60" w:line="240" w:lineRule="auto"/>
              <w:rPr>
                <w:rFonts w:asciiTheme="minorHAnsi" w:hAnsiTheme="minorHAnsi"/>
                <w:sz w:val="20"/>
                <w:szCs w:val="20"/>
              </w:rPr>
            </w:pPr>
            <w:r w:rsidRPr="002F781F">
              <w:rPr>
                <w:rFonts w:asciiTheme="minorHAnsi" w:hAnsiTheme="minorHAnsi"/>
                <w:sz w:val="20"/>
                <w:szCs w:val="20"/>
              </w:rPr>
              <w:t>Pulmonary haemorrhage</w:t>
            </w:r>
          </w:p>
        </w:tc>
      </w:tr>
      <w:tr w:rsidR="00C23F70" w:rsidRPr="00F263A6" w:rsidTr="002F781F">
        <w:tc>
          <w:tcPr>
            <w:tcW w:w="2660" w:type="dxa"/>
            <w:vMerge/>
            <w:shd w:val="clear" w:color="auto" w:fill="0070C0"/>
          </w:tcPr>
          <w:p w:rsidR="00C23F70" w:rsidRPr="002F781F" w:rsidRDefault="00C23F70" w:rsidP="00087C8F">
            <w:pPr>
              <w:keepNext/>
              <w:rPr>
                <w:rFonts w:asciiTheme="minorHAnsi" w:hAnsiTheme="minorHAnsi"/>
                <w:color w:val="FFFFFF" w:themeColor="background1"/>
                <w:sz w:val="20"/>
                <w:szCs w:val="20"/>
              </w:rPr>
            </w:pPr>
          </w:p>
        </w:tc>
        <w:tc>
          <w:tcPr>
            <w:tcW w:w="7194" w:type="dxa"/>
          </w:tcPr>
          <w:p w:rsidR="00C23F70" w:rsidRPr="002F781F" w:rsidRDefault="00C23F70" w:rsidP="00087C8F">
            <w:pPr>
              <w:keepNext/>
              <w:spacing w:before="60" w:after="60" w:line="240" w:lineRule="auto"/>
              <w:rPr>
                <w:rFonts w:asciiTheme="minorHAnsi" w:hAnsiTheme="minorHAnsi"/>
                <w:sz w:val="20"/>
                <w:szCs w:val="20"/>
              </w:rPr>
            </w:pPr>
            <w:r w:rsidRPr="002F781F">
              <w:rPr>
                <w:rFonts w:asciiTheme="minorHAnsi" w:hAnsiTheme="minorHAnsi"/>
                <w:sz w:val="20"/>
                <w:szCs w:val="20"/>
              </w:rPr>
              <w:t>Arterial thromboembolic events (ATE)</w:t>
            </w:r>
          </w:p>
        </w:tc>
      </w:tr>
      <w:tr w:rsidR="00C23F70" w:rsidRPr="00F263A6" w:rsidTr="002F781F">
        <w:tc>
          <w:tcPr>
            <w:tcW w:w="2660" w:type="dxa"/>
            <w:vMerge/>
            <w:shd w:val="clear" w:color="auto" w:fill="0070C0"/>
          </w:tcPr>
          <w:p w:rsidR="00C23F70" w:rsidRPr="002F781F" w:rsidRDefault="00C23F70" w:rsidP="00087C8F">
            <w:pPr>
              <w:keepNext/>
              <w:rPr>
                <w:rFonts w:asciiTheme="minorHAnsi" w:hAnsiTheme="minorHAnsi"/>
                <w:color w:val="FFFFFF" w:themeColor="background1"/>
                <w:sz w:val="20"/>
                <w:szCs w:val="20"/>
              </w:rPr>
            </w:pPr>
          </w:p>
        </w:tc>
        <w:tc>
          <w:tcPr>
            <w:tcW w:w="7194" w:type="dxa"/>
          </w:tcPr>
          <w:p w:rsidR="00C23F70" w:rsidRPr="002F781F" w:rsidRDefault="00C23F70" w:rsidP="00087C8F">
            <w:pPr>
              <w:keepNext/>
              <w:spacing w:before="60" w:after="60" w:line="240" w:lineRule="auto"/>
              <w:rPr>
                <w:rFonts w:asciiTheme="minorHAnsi" w:hAnsiTheme="minorHAnsi"/>
                <w:sz w:val="20"/>
                <w:szCs w:val="20"/>
              </w:rPr>
            </w:pPr>
            <w:r w:rsidRPr="002F781F">
              <w:rPr>
                <w:rFonts w:asciiTheme="minorHAnsi" w:hAnsiTheme="minorHAnsi"/>
                <w:sz w:val="20"/>
                <w:szCs w:val="20"/>
              </w:rPr>
              <w:t>Hypertension</w:t>
            </w:r>
          </w:p>
        </w:tc>
      </w:tr>
      <w:tr w:rsidR="00C23F70" w:rsidRPr="00F263A6" w:rsidTr="002F781F">
        <w:tc>
          <w:tcPr>
            <w:tcW w:w="2660" w:type="dxa"/>
            <w:vMerge/>
            <w:shd w:val="clear" w:color="auto" w:fill="0070C0"/>
          </w:tcPr>
          <w:p w:rsidR="00C23F70" w:rsidRPr="002F781F" w:rsidRDefault="00C23F70" w:rsidP="00087C8F">
            <w:pPr>
              <w:keepNext/>
              <w:rPr>
                <w:rFonts w:asciiTheme="minorHAnsi" w:hAnsiTheme="minorHAnsi"/>
                <w:color w:val="FFFFFF" w:themeColor="background1"/>
                <w:sz w:val="20"/>
                <w:szCs w:val="20"/>
              </w:rPr>
            </w:pPr>
          </w:p>
        </w:tc>
        <w:tc>
          <w:tcPr>
            <w:tcW w:w="7194" w:type="dxa"/>
          </w:tcPr>
          <w:p w:rsidR="00C23F70" w:rsidRPr="002F781F" w:rsidRDefault="00C23F70" w:rsidP="00087C8F">
            <w:pPr>
              <w:keepNext/>
              <w:spacing w:before="60" w:after="60" w:line="240" w:lineRule="auto"/>
              <w:rPr>
                <w:rFonts w:asciiTheme="minorHAnsi" w:hAnsiTheme="minorHAnsi"/>
                <w:sz w:val="20"/>
                <w:szCs w:val="20"/>
              </w:rPr>
            </w:pPr>
            <w:r w:rsidRPr="002F781F">
              <w:rPr>
                <w:rFonts w:asciiTheme="minorHAnsi" w:hAnsiTheme="minorHAnsi"/>
                <w:sz w:val="20"/>
                <w:szCs w:val="20"/>
              </w:rPr>
              <w:t>Proteinuria</w:t>
            </w:r>
          </w:p>
        </w:tc>
      </w:tr>
      <w:tr w:rsidR="00C23F70" w:rsidRPr="00F263A6" w:rsidTr="002F781F">
        <w:tc>
          <w:tcPr>
            <w:tcW w:w="2660" w:type="dxa"/>
            <w:vMerge/>
            <w:shd w:val="clear" w:color="auto" w:fill="0070C0"/>
          </w:tcPr>
          <w:p w:rsidR="00C23F70" w:rsidRPr="002F781F" w:rsidRDefault="00C23F70" w:rsidP="00087C8F">
            <w:pPr>
              <w:keepNext/>
              <w:rPr>
                <w:rFonts w:asciiTheme="minorHAnsi" w:hAnsiTheme="minorHAnsi"/>
                <w:color w:val="FFFFFF" w:themeColor="background1"/>
                <w:sz w:val="20"/>
                <w:szCs w:val="20"/>
              </w:rPr>
            </w:pPr>
          </w:p>
        </w:tc>
        <w:tc>
          <w:tcPr>
            <w:tcW w:w="7194" w:type="dxa"/>
          </w:tcPr>
          <w:p w:rsidR="00C23F70" w:rsidRPr="002F781F" w:rsidRDefault="00C23F70" w:rsidP="00087C8F">
            <w:pPr>
              <w:keepNext/>
              <w:spacing w:before="60" w:after="60" w:line="240" w:lineRule="auto"/>
              <w:rPr>
                <w:rFonts w:asciiTheme="minorHAnsi" w:hAnsiTheme="minorHAnsi"/>
                <w:sz w:val="20"/>
                <w:szCs w:val="20"/>
              </w:rPr>
            </w:pPr>
            <w:r w:rsidRPr="002F781F">
              <w:rPr>
                <w:rFonts w:asciiTheme="minorHAnsi" w:hAnsiTheme="minorHAnsi"/>
                <w:sz w:val="20"/>
                <w:szCs w:val="20"/>
              </w:rPr>
              <w:t>Congestive heart failure (CHF)</w:t>
            </w:r>
          </w:p>
        </w:tc>
      </w:tr>
      <w:tr w:rsidR="00C23F70" w:rsidRPr="00F263A6" w:rsidTr="002F781F">
        <w:tc>
          <w:tcPr>
            <w:tcW w:w="2660" w:type="dxa"/>
            <w:vMerge/>
            <w:shd w:val="clear" w:color="auto" w:fill="0070C0"/>
          </w:tcPr>
          <w:p w:rsidR="00C23F70" w:rsidRPr="002F781F" w:rsidRDefault="00C23F70" w:rsidP="00087C8F">
            <w:pPr>
              <w:keepNext/>
              <w:rPr>
                <w:rFonts w:asciiTheme="minorHAnsi" w:hAnsiTheme="minorHAnsi"/>
                <w:color w:val="FFFFFF" w:themeColor="background1"/>
                <w:sz w:val="20"/>
                <w:szCs w:val="20"/>
              </w:rPr>
            </w:pPr>
          </w:p>
        </w:tc>
        <w:tc>
          <w:tcPr>
            <w:tcW w:w="7194" w:type="dxa"/>
          </w:tcPr>
          <w:p w:rsidR="00C23F70" w:rsidRPr="002F781F" w:rsidRDefault="00C23F70" w:rsidP="00087C8F">
            <w:pPr>
              <w:keepNext/>
              <w:spacing w:before="60" w:after="60" w:line="240" w:lineRule="auto"/>
              <w:rPr>
                <w:rFonts w:asciiTheme="minorHAnsi" w:hAnsiTheme="minorHAnsi"/>
                <w:sz w:val="20"/>
                <w:szCs w:val="20"/>
              </w:rPr>
            </w:pPr>
            <w:r w:rsidRPr="002F781F">
              <w:rPr>
                <w:rFonts w:asciiTheme="minorHAnsi" w:hAnsiTheme="minorHAnsi"/>
                <w:sz w:val="20"/>
                <w:szCs w:val="20"/>
              </w:rPr>
              <w:t>Wound healing complications</w:t>
            </w:r>
          </w:p>
        </w:tc>
      </w:tr>
      <w:tr w:rsidR="00C23F70" w:rsidRPr="00F263A6" w:rsidTr="002F781F">
        <w:tc>
          <w:tcPr>
            <w:tcW w:w="2660" w:type="dxa"/>
            <w:vMerge/>
            <w:shd w:val="clear" w:color="auto" w:fill="0070C0"/>
          </w:tcPr>
          <w:p w:rsidR="00C23F70" w:rsidRPr="002F781F" w:rsidRDefault="00C23F70" w:rsidP="00087C8F">
            <w:pPr>
              <w:keepNext/>
              <w:rPr>
                <w:rFonts w:asciiTheme="minorHAnsi" w:hAnsiTheme="minorHAnsi"/>
                <w:color w:val="FFFFFF" w:themeColor="background1"/>
                <w:sz w:val="20"/>
                <w:szCs w:val="20"/>
              </w:rPr>
            </w:pPr>
          </w:p>
        </w:tc>
        <w:tc>
          <w:tcPr>
            <w:tcW w:w="7194" w:type="dxa"/>
          </w:tcPr>
          <w:p w:rsidR="00C23F70" w:rsidRPr="002F781F" w:rsidRDefault="00C23F70" w:rsidP="00087C8F">
            <w:pPr>
              <w:keepNext/>
              <w:spacing w:before="60" w:after="60" w:line="240" w:lineRule="auto"/>
              <w:rPr>
                <w:rFonts w:asciiTheme="minorHAnsi" w:hAnsiTheme="minorHAnsi"/>
                <w:sz w:val="20"/>
                <w:szCs w:val="20"/>
              </w:rPr>
            </w:pPr>
            <w:r w:rsidRPr="002F781F">
              <w:rPr>
                <w:rFonts w:asciiTheme="minorHAnsi" w:hAnsiTheme="minorHAnsi"/>
                <w:sz w:val="20"/>
                <w:szCs w:val="20"/>
              </w:rPr>
              <w:t>Gastrointestinal perforations</w:t>
            </w:r>
          </w:p>
        </w:tc>
      </w:tr>
      <w:tr w:rsidR="00C23F70" w:rsidRPr="00F263A6" w:rsidTr="002F781F">
        <w:tc>
          <w:tcPr>
            <w:tcW w:w="2660" w:type="dxa"/>
            <w:vMerge/>
            <w:shd w:val="clear" w:color="auto" w:fill="0070C0"/>
          </w:tcPr>
          <w:p w:rsidR="00C23F70" w:rsidRPr="002F781F" w:rsidRDefault="00C23F70" w:rsidP="00087C8F">
            <w:pPr>
              <w:keepNext/>
              <w:rPr>
                <w:rFonts w:asciiTheme="minorHAnsi" w:hAnsiTheme="minorHAnsi"/>
                <w:color w:val="FFFFFF" w:themeColor="background1"/>
                <w:sz w:val="20"/>
                <w:szCs w:val="20"/>
              </w:rPr>
            </w:pPr>
          </w:p>
        </w:tc>
        <w:tc>
          <w:tcPr>
            <w:tcW w:w="7194" w:type="dxa"/>
          </w:tcPr>
          <w:p w:rsidR="00C23F70" w:rsidRPr="002F781F" w:rsidRDefault="00C23F70" w:rsidP="00087C8F">
            <w:pPr>
              <w:keepNext/>
              <w:spacing w:before="60" w:after="60" w:line="240" w:lineRule="auto"/>
              <w:rPr>
                <w:rFonts w:asciiTheme="minorHAnsi" w:hAnsiTheme="minorHAnsi"/>
                <w:sz w:val="20"/>
                <w:szCs w:val="20"/>
              </w:rPr>
            </w:pPr>
            <w:r w:rsidRPr="002F781F">
              <w:rPr>
                <w:rFonts w:asciiTheme="minorHAnsi" w:hAnsiTheme="minorHAnsi"/>
                <w:sz w:val="20"/>
                <w:szCs w:val="20"/>
              </w:rPr>
              <w:t xml:space="preserve">Posterior reversible </w:t>
            </w:r>
            <w:proofErr w:type="spellStart"/>
            <w:r w:rsidRPr="002F781F">
              <w:rPr>
                <w:rFonts w:asciiTheme="minorHAnsi" w:hAnsiTheme="minorHAnsi"/>
                <w:sz w:val="20"/>
                <w:szCs w:val="20"/>
              </w:rPr>
              <w:t>leukencephalopathy</w:t>
            </w:r>
            <w:proofErr w:type="spellEnd"/>
            <w:r w:rsidRPr="002F781F">
              <w:rPr>
                <w:rFonts w:asciiTheme="minorHAnsi" w:hAnsiTheme="minorHAnsi"/>
                <w:sz w:val="20"/>
                <w:szCs w:val="20"/>
              </w:rPr>
              <w:t xml:space="preserve"> syndrome (PRES)</w:t>
            </w:r>
          </w:p>
        </w:tc>
      </w:tr>
      <w:tr w:rsidR="00C23F70" w:rsidRPr="00F263A6" w:rsidTr="002F781F">
        <w:tc>
          <w:tcPr>
            <w:tcW w:w="2660" w:type="dxa"/>
            <w:vMerge/>
            <w:shd w:val="clear" w:color="auto" w:fill="0070C0"/>
          </w:tcPr>
          <w:p w:rsidR="00C23F70" w:rsidRPr="002F781F" w:rsidRDefault="00C23F70" w:rsidP="00087C8F">
            <w:pPr>
              <w:rPr>
                <w:rFonts w:asciiTheme="minorHAnsi" w:hAnsiTheme="minorHAnsi"/>
                <w:color w:val="FFFFFF" w:themeColor="background1"/>
                <w:sz w:val="20"/>
                <w:szCs w:val="20"/>
              </w:rPr>
            </w:pPr>
          </w:p>
        </w:tc>
        <w:tc>
          <w:tcPr>
            <w:tcW w:w="7194" w:type="dxa"/>
          </w:tcPr>
          <w:p w:rsidR="00C23F70" w:rsidRPr="002F781F" w:rsidRDefault="00C23F70" w:rsidP="00087C8F">
            <w:pPr>
              <w:spacing w:before="60" w:after="60" w:line="240" w:lineRule="auto"/>
              <w:rPr>
                <w:rFonts w:asciiTheme="minorHAnsi" w:hAnsiTheme="minorHAnsi"/>
                <w:sz w:val="20"/>
                <w:szCs w:val="20"/>
              </w:rPr>
            </w:pPr>
            <w:r w:rsidRPr="002F781F">
              <w:rPr>
                <w:rFonts w:asciiTheme="minorHAnsi" w:hAnsiTheme="minorHAnsi"/>
                <w:sz w:val="20"/>
                <w:szCs w:val="20"/>
              </w:rPr>
              <w:t>Neutropenia</w:t>
            </w:r>
          </w:p>
        </w:tc>
      </w:tr>
      <w:tr w:rsidR="00C23F70" w:rsidRPr="00F263A6" w:rsidTr="002F781F">
        <w:tc>
          <w:tcPr>
            <w:tcW w:w="2660" w:type="dxa"/>
            <w:vMerge/>
            <w:shd w:val="clear" w:color="auto" w:fill="0070C0"/>
          </w:tcPr>
          <w:p w:rsidR="00C23F70" w:rsidRPr="002F781F" w:rsidRDefault="00C23F70" w:rsidP="00087C8F">
            <w:pPr>
              <w:rPr>
                <w:rFonts w:asciiTheme="minorHAnsi" w:hAnsiTheme="minorHAnsi"/>
                <w:color w:val="FFFFFF" w:themeColor="background1"/>
                <w:sz w:val="20"/>
                <w:szCs w:val="20"/>
              </w:rPr>
            </w:pPr>
          </w:p>
        </w:tc>
        <w:tc>
          <w:tcPr>
            <w:tcW w:w="7194" w:type="dxa"/>
          </w:tcPr>
          <w:p w:rsidR="00C23F70" w:rsidRPr="002F781F" w:rsidRDefault="00C23F70" w:rsidP="00087C8F">
            <w:pPr>
              <w:spacing w:before="60" w:after="60" w:line="240" w:lineRule="auto"/>
              <w:rPr>
                <w:rFonts w:asciiTheme="minorHAnsi" w:hAnsiTheme="minorHAnsi"/>
                <w:sz w:val="20"/>
                <w:szCs w:val="20"/>
              </w:rPr>
            </w:pPr>
            <w:r w:rsidRPr="002F781F">
              <w:rPr>
                <w:rFonts w:asciiTheme="minorHAnsi" w:hAnsiTheme="minorHAnsi"/>
                <w:sz w:val="20"/>
                <w:szCs w:val="20"/>
              </w:rPr>
              <w:t>Venous thromboembolic events (VTE)</w:t>
            </w:r>
          </w:p>
        </w:tc>
      </w:tr>
      <w:tr w:rsidR="00C23F70" w:rsidRPr="00F263A6" w:rsidTr="002F781F">
        <w:tc>
          <w:tcPr>
            <w:tcW w:w="2660" w:type="dxa"/>
            <w:vMerge/>
            <w:shd w:val="clear" w:color="auto" w:fill="0070C0"/>
          </w:tcPr>
          <w:p w:rsidR="00C23F70" w:rsidRPr="002F781F" w:rsidRDefault="00C23F70" w:rsidP="00087C8F">
            <w:pPr>
              <w:rPr>
                <w:rFonts w:asciiTheme="minorHAnsi" w:hAnsiTheme="minorHAnsi"/>
                <w:color w:val="FFFFFF" w:themeColor="background1"/>
                <w:sz w:val="20"/>
                <w:szCs w:val="20"/>
              </w:rPr>
            </w:pPr>
          </w:p>
        </w:tc>
        <w:tc>
          <w:tcPr>
            <w:tcW w:w="7194" w:type="dxa"/>
          </w:tcPr>
          <w:p w:rsidR="00C23F70" w:rsidRPr="002F781F" w:rsidRDefault="00C23F70" w:rsidP="00087C8F">
            <w:pPr>
              <w:spacing w:before="60" w:after="60" w:line="240" w:lineRule="auto"/>
              <w:rPr>
                <w:rFonts w:asciiTheme="minorHAnsi" w:hAnsiTheme="minorHAnsi"/>
                <w:sz w:val="20"/>
                <w:szCs w:val="20"/>
              </w:rPr>
            </w:pPr>
            <w:r w:rsidRPr="002F781F">
              <w:rPr>
                <w:rFonts w:asciiTheme="minorHAnsi" w:hAnsiTheme="minorHAnsi"/>
                <w:sz w:val="20"/>
                <w:szCs w:val="20"/>
              </w:rPr>
              <w:t>Fistula (other than gastrointestinal)</w:t>
            </w:r>
          </w:p>
        </w:tc>
      </w:tr>
      <w:tr w:rsidR="00C23F70" w:rsidRPr="00F263A6" w:rsidTr="002F781F">
        <w:tc>
          <w:tcPr>
            <w:tcW w:w="2660" w:type="dxa"/>
            <w:vMerge/>
            <w:shd w:val="clear" w:color="auto" w:fill="0070C0"/>
          </w:tcPr>
          <w:p w:rsidR="00C23F70" w:rsidRPr="002F781F" w:rsidRDefault="00C23F70" w:rsidP="00087C8F">
            <w:pPr>
              <w:rPr>
                <w:rFonts w:asciiTheme="minorHAnsi" w:hAnsiTheme="minorHAnsi"/>
                <w:color w:val="FFFFFF" w:themeColor="background1"/>
                <w:sz w:val="20"/>
                <w:szCs w:val="20"/>
              </w:rPr>
            </w:pPr>
          </w:p>
        </w:tc>
        <w:tc>
          <w:tcPr>
            <w:tcW w:w="7194" w:type="dxa"/>
          </w:tcPr>
          <w:p w:rsidR="00C23F70" w:rsidRPr="002F781F" w:rsidRDefault="00C23F70" w:rsidP="00087C8F">
            <w:pPr>
              <w:spacing w:before="60" w:after="60" w:line="240" w:lineRule="auto"/>
              <w:rPr>
                <w:rFonts w:asciiTheme="minorHAnsi" w:hAnsiTheme="minorHAnsi"/>
                <w:sz w:val="20"/>
                <w:szCs w:val="20"/>
              </w:rPr>
            </w:pPr>
            <w:r w:rsidRPr="002F781F">
              <w:rPr>
                <w:rFonts w:asciiTheme="minorHAnsi" w:hAnsiTheme="minorHAnsi"/>
                <w:sz w:val="20"/>
                <w:szCs w:val="20"/>
              </w:rPr>
              <w:t xml:space="preserve">Thrombotic </w:t>
            </w:r>
            <w:proofErr w:type="spellStart"/>
            <w:r w:rsidRPr="002F781F">
              <w:rPr>
                <w:rFonts w:asciiTheme="minorHAnsi" w:hAnsiTheme="minorHAnsi"/>
                <w:sz w:val="20"/>
                <w:szCs w:val="20"/>
              </w:rPr>
              <w:t>microangiopathy</w:t>
            </w:r>
            <w:proofErr w:type="spellEnd"/>
            <w:r w:rsidRPr="002F781F">
              <w:rPr>
                <w:rFonts w:asciiTheme="minorHAnsi" w:hAnsiTheme="minorHAnsi"/>
                <w:sz w:val="20"/>
                <w:szCs w:val="20"/>
              </w:rPr>
              <w:t xml:space="preserve"> (TMA)</w:t>
            </w:r>
          </w:p>
        </w:tc>
      </w:tr>
      <w:tr w:rsidR="00C23F70" w:rsidRPr="00F263A6" w:rsidTr="002F781F">
        <w:tc>
          <w:tcPr>
            <w:tcW w:w="2660" w:type="dxa"/>
            <w:vMerge/>
            <w:shd w:val="clear" w:color="auto" w:fill="0070C0"/>
          </w:tcPr>
          <w:p w:rsidR="00C23F70" w:rsidRPr="002F781F" w:rsidRDefault="00C23F70" w:rsidP="00087C8F">
            <w:pPr>
              <w:rPr>
                <w:rFonts w:asciiTheme="minorHAnsi" w:hAnsiTheme="minorHAnsi"/>
                <w:color w:val="FFFFFF" w:themeColor="background1"/>
                <w:sz w:val="20"/>
                <w:szCs w:val="20"/>
              </w:rPr>
            </w:pPr>
          </w:p>
        </w:tc>
        <w:tc>
          <w:tcPr>
            <w:tcW w:w="7194" w:type="dxa"/>
          </w:tcPr>
          <w:p w:rsidR="00C23F70" w:rsidRPr="002F781F" w:rsidRDefault="00C23F70" w:rsidP="00087C8F">
            <w:pPr>
              <w:spacing w:before="60" w:after="60" w:line="240" w:lineRule="auto"/>
              <w:rPr>
                <w:rFonts w:asciiTheme="minorHAnsi" w:hAnsiTheme="minorHAnsi"/>
                <w:sz w:val="20"/>
                <w:szCs w:val="20"/>
              </w:rPr>
            </w:pPr>
            <w:r w:rsidRPr="002F781F">
              <w:rPr>
                <w:rFonts w:asciiTheme="minorHAnsi" w:hAnsiTheme="minorHAnsi"/>
                <w:sz w:val="20"/>
                <w:szCs w:val="20"/>
              </w:rPr>
              <w:t>Pulmonary hypertension</w:t>
            </w:r>
          </w:p>
        </w:tc>
      </w:tr>
      <w:tr w:rsidR="00C23F70" w:rsidRPr="00F263A6" w:rsidTr="002F781F">
        <w:tc>
          <w:tcPr>
            <w:tcW w:w="2660" w:type="dxa"/>
            <w:vMerge/>
            <w:shd w:val="clear" w:color="auto" w:fill="0070C0"/>
          </w:tcPr>
          <w:p w:rsidR="00C23F70" w:rsidRPr="002F781F" w:rsidRDefault="00C23F70" w:rsidP="00087C8F">
            <w:pPr>
              <w:rPr>
                <w:rFonts w:asciiTheme="minorHAnsi" w:hAnsiTheme="minorHAnsi"/>
                <w:color w:val="FFFFFF" w:themeColor="background1"/>
                <w:sz w:val="20"/>
                <w:szCs w:val="20"/>
              </w:rPr>
            </w:pPr>
          </w:p>
        </w:tc>
        <w:tc>
          <w:tcPr>
            <w:tcW w:w="7194" w:type="dxa"/>
          </w:tcPr>
          <w:p w:rsidR="00C23F70" w:rsidRPr="002F781F" w:rsidRDefault="00C23F70" w:rsidP="00087C8F">
            <w:pPr>
              <w:spacing w:before="60" w:after="60" w:line="240" w:lineRule="auto"/>
              <w:rPr>
                <w:rFonts w:asciiTheme="minorHAnsi" w:hAnsiTheme="minorHAnsi"/>
                <w:sz w:val="20"/>
                <w:szCs w:val="20"/>
              </w:rPr>
            </w:pPr>
            <w:r w:rsidRPr="002F781F">
              <w:rPr>
                <w:rFonts w:asciiTheme="minorHAnsi" w:hAnsiTheme="minorHAnsi"/>
                <w:sz w:val="20"/>
                <w:szCs w:val="20"/>
              </w:rPr>
              <w:t>Ovarian failure</w:t>
            </w:r>
          </w:p>
        </w:tc>
      </w:tr>
      <w:tr w:rsidR="00C23F70" w:rsidRPr="00F263A6" w:rsidTr="002F781F">
        <w:tc>
          <w:tcPr>
            <w:tcW w:w="2660" w:type="dxa"/>
            <w:vMerge/>
            <w:shd w:val="clear" w:color="auto" w:fill="0070C0"/>
          </w:tcPr>
          <w:p w:rsidR="00C23F70" w:rsidRPr="002F781F" w:rsidRDefault="00C23F70" w:rsidP="00087C8F">
            <w:pPr>
              <w:rPr>
                <w:rFonts w:asciiTheme="minorHAnsi" w:hAnsiTheme="minorHAnsi"/>
                <w:color w:val="FFFFFF" w:themeColor="background1"/>
                <w:sz w:val="20"/>
                <w:szCs w:val="20"/>
              </w:rPr>
            </w:pPr>
          </w:p>
        </w:tc>
        <w:tc>
          <w:tcPr>
            <w:tcW w:w="7194" w:type="dxa"/>
          </w:tcPr>
          <w:p w:rsidR="00C23F70" w:rsidRPr="002F781F" w:rsidRDefault="00C23F70" w:rsidP="00087C8F">
            <w:pPr>
              <w:spacing w:before="60" w:after="60" w:line="240" w:lineRule="auto"/>
              <w:rPr>
                <w:rFonts w:asciiTheme="minorHAnsi" w:hAnsiTheme="minorHAnsi"/>
                <w:sz w:val="20"/>
                <w:szCs w:val="20"/>
              </w:rPr>
            </w:pPr>
            <w:r w:rsidRPr="002F781F">
              <w:rPr>
                <w:rFonts w:asciiTheme="minorHAnsi" w:hAnsiTheme="minorHAnsi"/>
                <w:sz w:val="20"/>
                <w:szCs w:val="20"/>
              </w:rPr>
              <w:t>Hypersensitivity/infusion reactions</w:t>
            </w:r>
          </w:p>
        </w:tc>
      </w:tr>
      <w:tr w:rsidR="00C23F70" w:rsidRPr="00F263A6" w:rsidTr="002F781F">
        <w:tc>
          <w:tcPr>
            <w:tcW w:w="2660" w:type="dxa"/>
            <w:vMerge/>
            <w:shd w:val="clear" w:color="auto" w:fill="0070C0"/>
          </w:tcPr>
          <w:p w:rsidR="00C23F70" w:rsidRPr="002F781F" w:rsidRDefault="00C23F70" w:rsidP="00087C8F">
            <w:pPr>
              <w:rPr>
                <w:rFonts w:asciiTheme="minorHAnsi" w:hAnsiTheme="minorHAnsi"/>
                <w:color w:val="FFFFFF" w:themeColor="background1"/>
                <w:sz w:val="20"/>
                <w:szCs w:val="20"/>
              </w:rPr>
            </w:pPr>
          </w:p>
        </w:tc>
        <w:tc>
          <w:tcPr>
            <w:tcW w:w="7194" w:type="dxa"/>
          </w:tcPr>
          <w:p w:rsidR="00C23F70" w:rsidRPr="002F781F" w:rsidRDefault="00C23F70" w:rsidP="00087C8F">
            <w:pPr>
              <w:spacing w:before="60" w:after="60" w:line="240" w:lineRule="auto"/>
              <w:rPr>
                <w:rFonts w:asciiTheme="minorHAnsi" w:hAnsiTheme="minorHAnsi"/>
                <w:sz w:val="20"/>
                <w:szCs w:val="20"/>
              </w:rPr>
            </w:pPr>
            <w:r w:rsidRPr="002F781F">
              <w:rPr>
                <w:rFonts w:asciiTheme="minorHAnsi" w:hAnsiTheme="minorHAnsi"/>
                <w:sz w:val="20"/>
                <w:szCs w:val="20"/>
              </w:rPr>
              <w:t>Gall bladder perforation*</w:t>
            </w:r>
          </w:p>
        </w:tc>
      </w:tr>
      <w:tr w:rsidR="00C23F70" w:rsidRPr="00F263A6" w:rsidTr="002F781F">
        <w:tc>
          <w:tcPr>
            <w:tcW w:w="2660" w:type="dxa"/>
            <w:vMerge/>
            <w:shd w:val="clear" w:color="auto" w:fill="0070C0"/>
          </w:tcPr>
          <w:p w:rsidR="00C23F70" w:rsidRPr="002F781F" w:rsidRDefault="00C23F70" w:rsidP="00087C8F">
            <w:pPr>
              <w:rPr>
                <w:rFonts w:asciiTheme="minorHAnsi" w:hAnsiTheme="minorHAnsi"/>
                <w:color w:val="FFFFFF" w:themeColor="background1"/>
                <w:sz w:val="20"/>
                <w:szCs w:val="20"/>
              </w:rPr>
            </w:pPr>
          </w:p>
        </w:tc>
        <w:tc>
          <w:tcPr>
            <w:tcW w:w="7194" w:type="dxa"/>
          </w:tcPr>
          <w:p w:rsidR="00C23F70" w:rsidRPr="002F781F" w:rsidRDefault="00C23F70" w:rsidP="00087C8F">
            <w:pPr>
              <w:spacing w:before="60" w:after="60" w:line="240" w:lineRule="auto"/>
              <w:rPr>
                <w:rFonts w:asciiTheme="minorHAnsi" w:hAnsiTheme="minorHAnsi"/>
                <w:sz w:val="20"/>
                <w:szCs w:val="20"/>
              </w:rPr>
            </w:pPr>
            <w:r w:rsidRPr="002F781F">
              <w:rPr>
                <w:rFonts w:asciiTheme="minorHAnsi" w:hAnsiTheme="minorHAnsi"/>
                <w:sz w:val="20"/>
                <w:szCs w:val="20"/>
              </w:rPr>
              <w:t>Peripheral sensory neuropathy**</w:t>
            </w:r>
          </w:p>
        </w:tc>
      </w:tr>
      <w:tr w:rsidR="00C23F70" w:rsidRPr="00F263A6" w:rsidTr="002F781F">
        <w:tc>
          <w:tcPr>
            <w:tcW w:w="2660" w:type="dxa"/>
            <w:vMerge/>
            <w:shd w:val="clear" w:color="auto" w:fill="0070C0"/>
          </w:tcPr>
          <w:p w:rsidR="00C23F70" w:rsidRPr="002F781F" w:rsidRDefault="00C23F70" w:rsidP="00087C8F">
            <w:pPr>
              <w:rPr>
                <w:rFonts w:asciiTheme="minorHAnsi" w:hAnsiTheme="minorHAnsi"/>
                <w:color w:val="FFFFFF" w:themeColor="background1"/>
                <w:sz w:val="20"/>
                <w:szCs w:val="20"/>
              </w:rPr>
            </w:pPr>
          </w:p>
        </w:tc>
        <w:tc>
          <w:tcPr>
            <w:tcW w:w="7194" w:type="dxa"/>
          </w:tcPr>
          <w:p w:rsidR="00C23F70" w:rsidRPr="002F781F" w:rsidRDefault="00C23F70" w:rsidP="00087C8F">
            <w:pPr>
              <w:spacing w:before="60" w:after="60" w:line="240" w:lineRule="auto"/>
              <w:rPr>
                <w:rFonts w:asciiTheme="minorHAnsi" w:hAnsiTheme="minorHAnsi"/>
                <w:sz w:val="20"/>
                <w:szCs w:val="20"/>
              </w:rPr>
            </w:pPr>
            <w:r w:rsidRPr="002F781F">
              <w:rPr>
                <w:rFonts w:asciiTheme="minorHAnsi" w:hAnsiTheme="minorHAnsi"/>
                <w:sz w:val="20"/>
                <w:szCs w:val="20"/>
              </w:rPr>
              <w:t>Cardiac disorders (excluding CHF and ATE)**</w:t>
            </w:r>
          </w:p>
        </w:tc>
      </w:tr>
      <w:tr w:rsidR="00C23F70" w:rsidRPr="00F263A6" w:rsidTr="002F781F">
        <w:tc>
          <w:tcPr>
            <w:tcW w:w="2660" w:type="dxa"/>
            <w:vMerge/>
            <w:shd w:val="clear" w:color="auto" w:fill="0070C0"/>
          </w:tcPr>
          <w:p w:rsidR="00C23F70" w:rsidRPr="002F781F" w:rsidRDefault="00C23F70" w:rsidP="00087C8F">
            <w:pPr>
              <w:rPr>
                <w:rFonts w:asciiTheme="minorHAnsi" w:hAnsiTheme="minorHAnsi"/>
                <w:color w:val="FFFFFF" w:themeColor="background1"/>
                <w:sz w:val="20"/>
                <w:szCs w:val="20"/>
              </w:rPr>
            </w:pPr>
          </w:p>
        </w:tc>
        <w:tc>
          <w:tcPr>
            <w:tcW w:w="7194" w:type="dxa"/>
          </w:tcPr>
          <w:p w:rsidR="00C23F70" w:rsidRPr="002F781F" w:rsidRDefault="00C23F70" w:rsidP="00087C8F">
            <w:pPr>
              <w:spacing w:before="60" w:after="60" w:line="240" w:lineRule="auto"/>
              <w:rPr>
                <w:rFonts w:asciiTheme="minorHAnsi" w:hAnsiTheme="minorHAnsi"/>
                <w:sz w:val="20"/>
                <w:szCs w:val="20"/>
              </w:rPr>
            </w:pPr>
            <w:r w:rsidRPr="002F781F">
              <w:rPr>
                <w:rFonts w:asciiTheme="minorHAnsi" w:hAnsiTheme="minorHAnsi"/>
                <w:sz w:val="20"/>
                <w:szCs w:val="20"/>
              </w:rPr>
              <w:t>Osteonecrosis of the jaw (ONJ)**</w:t>
            </w:r>
          </w:p>
        </w:tc>
      </w:tr>
      <w:tr w:rsidR="00C23F70" w:rsidRPr="00F263A6" w:rsidTr="002F781F">
        <w:tc>
          <w:tcPr>
            <w:tcW w:w="2660" w:type="dxa"/>
            <w:vMerge w:val="restart"/>
            <w:shd w:val="clear" w:color="auto" w:fill="0070C0"/>
          </w:tcPr>
          <w:p w:rsidR="00C23F70" w:rsidRPr="002F781F" w:rsidRDefault="00C23F70" w:rsidP="00087C8F">
            <w:pPr>
              <w:rPr>
                <w:rFonts w:asciiTheme="minorHAnsi" w:hAnsiTheme="minorHAnsi"/>
                <w:b/>
                <w:color w:val="FFFFFF" w:themeColor="background1"/>
                <w:sz w:val="20"/>
                <w:szCs w:val="20"/>
              </w:rPr>
            </w:pPr>
            <w:r w:rsidRPr="002F781F">
              <w:rPr>
                <w:rFonts w:asciiTheme="minorHAnsi" w:hAnsiTheme="minorHAnsi"/>
                <w:b/>
                <w:color w:val="FFFFFF" w:themeColor="background1"/>
                <w:sz w:val="20"/>
                <w:szCs w:val="20"/>
              </w:rPr>
              <w:t>Important potential risks</w:t>
            </w:r>
          </w:p>
        </w:tc>
        <w:tc>
          <w:tcPr>
            <w:tcW w:w="7194" w:type="dxa"/>
          </w:tcPr>
          <w:p w:rsidR="00C23F70" w:rsidRPr="002F781F" w:rsidRDefault="00C23F70" w:rsidP="00087C8F">
            <w:pPr>
              <w:spacing w:before="60" w:after="60" w:line="240" w:lineRule="auto"/>
              <w:rPr>
                <w:rFonts w:asciiTheme="minorHAnsi" w:hAnsiTheme="minorHAnsi"/>
                <w:sz w:val="20"/>
                <w:szCs w:val="20"/>
              </w:rPr>
            </w:pPr>
            <w:proofErr w:type="spellStart"/>
            <w:r w:rsidRPr="002F781F">
              <w:rPr>
                <w:rFonts w:asciiTheme="minorHAnsi" w:hAnsiTheme="minorHAnsi"/>
                <w:sz w:val="20"/>
                <w:szCs w:val="20"/>
              </w:rPr>
              <w:t>Embro</w:t>
            </w:r>
            <w:proofErr w:type="spellEnd"/>
            <w:r w:rsidRPr="002F781F">
              <w:rPr>
                <w:rFonts w:asciiTheme="minorHAnsi" w:hAnsiTheme="minorHAnsi"/>
                <w:sz w:val="20"/>
                <w:szCs w:val="20"/>
              </w:rPr>
              <w:t>-foetal development disturbances</w:t>
            </w:r>
          </w:p>
        </w:tc>
      </w:tr>
      <w:tr w:rsidR="00C23F70" w:rsidRPr="00F263A6" w:rsidTr="002F781F">
        <w:tc>
          <w:tcPr>
            <w:tcW w:w="2660" w:type="dxa"/>
            <w:vMerge/>
            <w:shd w:val="clear" w:color="auto" w:fill="0070C0"/>
          </w:tcPr>
          <w:p w:rsidR="00C23F70" w:rsidRPr="002F781F" w:rsidRDefault="00C23F70" w:rsidP="00087C8F">
            <w:pPr>
              <w:rPr>
                <w:rFonts w:asciiTheme="minorHAnsi" w:hAnsiTheme="minorHAnsi"/>
                <w:color w:val="FFFFFF" w:themeColor="background1"/>
                <w:sz w:val="20"/>
                <w:szCs w:val="20"/>
              </w:rPr>
            </w:pPr>
          </w:p>
        </w:tc>
        <w:tc>
          <w:tcPr>
            <w:tcW w:w="7194" w:type="dxa"/>
          </w:tcPr>
          <w:p w:rsidR="00C23F70" w:rsidRPr="002F781F" w:rsidRDefault="00C23F70" w:rsidP="00087C8F">
            <w:pPr>
              <w:spacing w:before="60" w:after="60" w:line="240" w:lineRule="auto"/>
              <w:rPr>
                <w:rFonts w:asciiTheme="minorHAnsi" w:hAnsiTheme="minorHAnsi"/>
                <w:sz w:val="20"/>
                <w:szCs w:val="20"/>
              </w:rPr>
            </w:pPr>
            <w:proofErr w:type="spellStart"/>
            <w:r w:rsidRPr="002F781F">
              <w:rPr>
                <w:rFonts w:asciiTheme="minorHAnsi" w:hAnsiTheme="minorHAnsi"/>
                <w:sz w:val="20"/>
                <w:szCs w:val="20"/>
              </w:rPr>
              <w:t>Physeal</w:t>
            </w:r>
            <w:proofErr w:type="spellEnd"/>
            <w:r w:rsidRPr="002F781F">
              <w:rPr>
                <w:rFonts w:asciiTheme="minorHAnsi" w:hAnsiTheme="minorHAnsi"/>
                <w:sz w:val="20"/>
                <w:szCs w:val="20"/>
              </w:rPr>
              <w:t xml:space="preserve"> dysplasia</w:t>
            </w:r>
          </w:p>
        </w:tc>
      </w:tr>
      <w:tr w:rsidR="00C23F70" w:rsidRPr="00F263A6" w:rsidTr="002F781F">
        <w:tc>
          <w:tcPr>
            <w:tcW w:w="2660" w:type="dxa"/>
            <w:vMerge w:val="restart"/>
            <w:shd w:val="clear" w:color="auto" w:fill="0070C0"/>
          </w:tcPr>
          <w:p w:rsidR="00C23F70" w:rsidRPr="002F781F" w:rsidRDefault="00C23F70" w:rsidP="00087C8F">
            <w:pPr>
              <w:rPr>
                <w:rFonts w:asciiTheme="minorHAnsi" w:hAnsiTheme="minorHAnsi"/>
                <w:b/>
                <w:color w:val="FFFFFF" w:themeColor="background1"/>
                <w:sz w:val="20"/>
                <w:szCs w:val="20"/>
              </w:rPr>
            </w:pPr>
            <w:r w:rsidRPr="002F781F">
              <w:rPr>
                <w:rFonts w:asciiTheme="minorHAnsi" w:hAnsiTheme="minorHAnsi"/>
                <w:b/>
                <w:color w:val="FFFFFF" w:themeColor="background1"/>
                <w:sz w:val="20"/>
                <w:szCs w:val="20"/>
              </w:rPr>
              <w:t>Important missing information</w:t>
            </w:r>
          </w:p>
        </w:tc>
        <w:tc>
          <w:tcPr>
            <w:tcW w:w="7194" w:type="dxa"/>
          </w:tcPr>
          <w:p w:rsidR="00C23F70" w:rsidRPr="002F781F" w:rsidRDefault="00C23F70" w:rsidP="00087C8F">
            <w:pPr>
              <w:spacing w:before="60" w:after="60" w:line="240" w:lineRule="auto"/>
              <w:rPr>
                <w:rFonts w:asciiTheme="minorHAnsi" w:hAnsiTheme="minorHAnsi"/>
                <w:sz w:val="20"/>
                <w:szCs w:val="20"/>
              </w:rPr>
            </w:pPr>
            <w:r w:rsidRPr="002F781F">
              <w:rPr>
                <w:rFonts w:asciiTheme="minorHAnsi" w:hAnsiTheme="minorHAnsi"/>
                <w:sz w:val="20"/>
                <w:szCs w:val="20"/>
              </w:rPr>
              <w:t>Safety profile of the different treatment combinations in patients with non-squamous NSCLC</w:t>
            </w:r>
          </w:p>
        </w:tc>
      </w:tr>
      <w:tr w:rsidR="00C23F70" w:rsidRPr="00F263A6" w:rsidTr="002F781F">
        <w:tc>
          <w:tcPr>
            <w:tcW w:w="2660" w:type="dxa"/>
            <w:vMerge/>
            <w:shd w:val="clear" w:color="auto" w:fill="0070C0"/>
          </w:tcPr>
          <w:p w:rsidR="00C23F70" w:rsidRPr="002F781F" w:rsidRDefault="00C23F70" w:rsidP="00087C8F">
            <w:pPr>
              <w:rPr>
                <w:rFonts w:asciiTheme="minorHAnsi" w:hAnsiTheme="minorHAnsi"/>
                <w:sz w:val="20"/>
                <w:szCs w:val="20"/>
              </w:rPr>
            </w:pPr>
          </w:p>
        </w:tc>
        <w:tc>
          <w:tcPr>
            <w:tcW w:w="7194" w:type="dxa"/>
          </w:tcPr>
          <w:p w:rsidR="00C23F70" w:rsidRPr="002F781F" w:rsidRDefault="00C23F70" w:rsidP="00087C8F">
            <w:pPr>
              <w:spacing w:before="60" w:after="60" w:line="240" w:lineRule="auto"/>
              <w:rPr>
                <w:rFonts w:asciiTheme="minorHAnsi" w:hAnsiTheme="minorHAnsi"/>
                <w:sz w:val="20"/>
                <w:szCs w:val="20"/>
              </w:rPr>
            </w:pPr>
            <w:r w:rsidRPr="002F781F">
              <w:rPr>
                <w:rFonts w:asciiTheme="minorHAnsi" w:hAnsiTheme="minorHAnsi"/>
                <w:sz w:val="20"/>
                <w:szCs w:val="20"/>
              </w:rPr>
              <w:t xml:space="preserve">Long-term effects of </w:t>
            </w:r>
            <w:proofErr w:type="spellStart"/>
            <w:r w:rsidR="00166F6A">
              <w:rPr>
                <w:rFonts w:asciiTheme="minorHAnsi" w:hAnsiTheme="minorHAnsi"/>
                <w:sz w:val="20"/>
                <w:szCs w:val="20"/>
              </w:rPr>
              <w:t>bevacizumab</w:t>
            </w:r>
            <w:proofErr w:type="spellEnd"/>
            <w:r w:rsidRPr="002F781F">
              <w:rPr>
                <w:rFonts w:asciiTheme="minorHAnsi" w:hAnsiTheme="minorHAnsi"/>
                <w:sz w:val="20"/>
                <w:szCs w:val="20"/>
              </w:rPr>
              <w:t xml:space="preserve"> when used in the paediatric population</w:t>
            </w:r>
          </w:p>
        </w:tc>
      </w:tr>
      <w:tr w:rsidR="00C23F70" w:rsidRPr="00F263A6" w:rsidTr="002F781F">
        <w:tc>
          <w:tcPr>
            <w:tcW w:w="2660" w:type="dxa"/>
            <w:vMerge/>
            <w:shd w:val="clear" w:color="auto" w:fill="0070C0"/>
          </w:tcPr>
          <w:p w:rsidR="00C23F70" w:rsidRPr="002F781F" w:rsidRDefault="00C23F70" w:rsidP="00087C8F">
            <w:pPr>
              <w:rPr>
                <w:rFonts w:asciiTheme="minorHAnsi" w:hAnsiTheme="minorHAnsi"/>
                <w:sz w:val="20"/>
                <w:szCs w:val="20"/>
              </w:rPr>
            </w:pPr>
          </w:p>
        </w:tc>
        <w:tc>
          <w:tcPr>
            <w:tcW w:w="7194" w:type="dxa"/>
          </w:tcPr>
          <w:p w:rsidR="00C23F70" w:rsidRPr="002F781F" w:rsidRDefault="00C23F70" w:rsidP="00087C8F">
            <w:pPr>
              <w:spacing w:before="60" w:after="60" w:line="240" w:lineRule="auto"/>
              <w:rPr>
                <w:rFonts w:asciiTheme="minorHAnsi" w:hAnsiTheme="minorHAnsi"/>
                <w:sz w:val="20"/>
                <w:szCs w:val="20"/>
              </w:rPr>
            </w:pPr>
            <w:r w:rsidRPr="002F781F">
              <w:rPr>
                <w:rFonts w:asciiTheme="minorHAnsi" w:hAnsiTheme="minorHAnsi"/>
                <w:sz w:val="20"/>
                <w:szCs w:val="20"/>
              </w:rPr>
              <w:t>Safety and efficacy in patients with renal impairment</w:t>
            </w:r>
          </w:p>
        </w:tc>
      </w:tr>
      <w:tr w:rsidR="00C23F70" w:rsidRPr="00F263A6" w:rsidTr="002F781F">
        <w:tc>
          <w:tcPr>
            <w:tcW w:w="2660" w:type="dxa"/>
            <w:vMerge/>
            <w:shd w:val="clear" w:color="auto" w:fill="0070C0"/>
          </w:tcPr>
          <w:p w:rsidR="00C23F70" w:rsidRPr="002F781F" w:rsidRDefault="00C23F70" w:rsidP="00087C8F">
            <w:pPr>
              <w:rPr>
                <w:rFonts w:asciiTheme="minorHAnsi" w:hAnsiTheme="minorHAnsi"/>
                <w:sz w:val="20"/>
                <w:szCs w:val="20"/>
              </w:rPr>
            </w:pPr>
          </w:p>
        </w:tc>
        <w:tc>
          <w:tcPr>
            <w:tcW w:w="7194" w:type="dxa"/>
          </w:tcPr>
          <w:p w:rsidR="00C23F70" w:rsidRPr="002F781F" w:rsidRDefault="00C23F70" w:rsidP="00087C8F">
            <w:pPr>
              <w:spacing w:before="60" w:after="60" w:line="240" w:lineRule="auto"/>
              <w:rPr>
                <w:rFonts w:asciiTheme="minorHAnsi" w:hAnsiTheme="minorHAnsi"/>
                <w:sz w:val="20"/>
                <w:szCs w:val="20"/>
              </w:rPr>
            </w:pPr>
            <w:r w:rsidRPr="002F781F">
              <w:rPr>
                <w:rFonts w:asciiTheme="minorHAnsi" w:hAnsiTheme="minorHAnsi"/>
                <w:sz w:val="20"/>
                <w:szCs w:val="20"/>
              </w:rPr>
              <w:t>Safety and efficacy in patients with hepatic impairment</w:t>
            </w:r>
          </w:p>
        </w:tc>
      </w:tr>
    </w:tbl>
    <w:p w:rsidR="00C23F70" w:rsidRPr="00087C8F" w:rsidRDefault="00C23F70" w:rsidP="00087C8F">
      <w:pPr>
        <w:pStyle w:val="TableDescription"/>
      </w:pPr>
      <w:r w:rsidRPr="00087C8F">
        <w:t>*New important identified risk</w:t>
      </w:r>
    </w:p>
    <w:p w:rsidR="00C23F70" w:rsidRPr="00087C8F" w:rsidRDefault="00C23F70" w:rsidP="00087C8F">
      <w:pPr>
        <w:pStyle w:val="TableDescription"/>
      </w:pPr>
      <w:r w:rsidRPr="00087C8F">
        <w:t>**Previously classified in the EU RMP Version 10.0 as important potential risks</w:t>
      </w:r>
    </w:p>
    <w:p w:rsidR="00C23F70" w:rsidRPr="006F6E59" w:rsidRDefault="009259E3" w:rsidP="00087C8F">
      <w:r>
        <w:t>T</w:t>
      </w:r>
      <w:r w:rsidR="00C23F70" w:rsidRPr="006F6E59">
        <w:t xml:space="preserve">he above summary of the ongoing safety concerns </w:t>
      </w:r>
      <w:r>
        <w:t xml:space="preserve">was </w:t>
      </w:r>
      <w:r w:rsidR="00C23F70" w:rsidRPr="006F6E59">
        <w:t>considered acceptable.</w:t>
      </w:r>
    </w:p>
    <w:p w:rsidR="004C67AA" w:rsidRDefault="004C67AA" w:rsidP="00087C8F">
      <w:pPr>
        <w:pStyle w:val="Heading4"/>
        <w:rPr>
          <w:lang w:eastAsia="en-AU"/>
        </w:rPr>
      </w:pPr>
      <w:r>
        <w:rPr>
          <w:lang w:eastAsia="en-AU"/>
        </w:rPr>
        <w:t>Pharmacovigilance plan</w:t>
      </w:r>
    </w:p>
    <w:p w:rsidR="002F781F" w:rsidRDefault="00C23F70" w:rsidP="00087C8F">
      <w:r>
        <w:t>The sponsor proposes routine pharmacovigilance activities to monitor all specified ongoing safety concerns</w:t>
      </w:r>
      <w:r w:rsidR="002F781F">
        <w:t>.</w:t>
      </w:r>
    </w:p>
    <w:p w:rsidR="00C23F70" w:rsidRDefault="00C23F70" w:rsidP="00087C8F">
      <w:r>
        <w:t>The sponsor proposes additional pharmacovigilance for the following safety concerns</w:t>
      </w:r>
      <w:r w:rsidR="00B11B95">
        <w:t xml:space="preserve"> (see Table </w:t>
      </w:r>
      <w:r w:rsidR="00AD12FE">
        <w:t>4</w:t>
      </w:r>
      <w:r w:rsidR="00B11B95">
        <w:t>)</w:t>
      </w:r>
      <w:r>
        <w:t>:</w:t>
      </w:r>
    </w:p>
    <w:p w:rsidR="00C23F70" w:rsidRPr="00087C8F" w:rsidRDefault="00C23F70" w:rsidP="00087C8F">
      <w:pPr>
        <w:pStyle w:val="ListBullet"/>
      </w:pPr>
      <w:r w:rsidRPr="00087C8F">
        <w:t>Bleeding/haemorrhage</w:t>
      </w:r>
    </w:p>
    <w:p w:rsidR="00C23F70" w:rsidRPr="00087C8F" w:rsidRDefault="00C23F70" w:rsidP="00087C8F">
      <w:pPr>
        <w:pStyle w:val="ListBullet"/>
      </w:pPr>
      <w:r w:rsidRPr="00087C8F">
        <w:t>Congestive heart failure</w:t>
      </w:r>
    </w:p>
    <w:p w:rsidR="00C23F70" w:rsidRPr="00087C8F" w:rsidRDefault="00C23F70" w:rsidP="00087C8F">
      <w:pPr>
        <w:pStyle w:val="ListBullet"/>
      </w:pPr>
      <w:r w:rsidRPr="00087C8F">
        <w:lastRenderedPageBreak/>
        <w:t>Wound healing complications</w:t>
      </w:r>
    </w:p>
    <w:p w:rsidR="00C23F70" w:rsidRPr="00087C8F" w:rsidRDefault="00C23F70" w:rsidP="00087C8F">
      <w:pPr>
        <w:pStyle w:val="ListBullet"/>
      </w:pPr>
      <w:proofErr w:type="spellStart"/>
      <w:r w:rsidRPr="00087C8F">
        <w:t>Physeal</w:t>
      </w:r>
      <w:proofErr w:type="spellEnd"/>
      <w:r w:rsidRPr="00087C8F">
        <w:t xml:space="preserve"> dysplasia</w:t>
      </w:r>
    </w:p>
    <w:p w:rsidR="00C23F70" w:rsidRPr="009B6CC1" w:rsidRDefault="00C23F70" w:rsidP="00087C8F">
      <w:pPr>
        <w:pStyle w:val="ListBullet"/>
      </w:pPr>
      <w:r w:rsidRPr="00087C8F">
        <w:t xml:space="preserve">Long-term effects of </w:t>
      </w:r>
      <w:proofErr w:type="spellStart"/>
      <w:r w:rsidR="00166F6A" w:rsidRPr="00087C8F">
        <w:t>bevacizumab</w:t>
      </w:r>
      <w:proofErr w:type="spellEnd"/>
      <w:r w:rsidRPr="009259E3">
        <w:t xml:space="preserve"> when</w:t>
      </w:r>
      <w:r>
        <w:t xml:space="preserve"> used in the paediatric population</w:t>
      </w:r>
    </w:p>
    <w:p w:rsidR="00C23F70" w:rsidRPr="009B6CC1" w:rsidRDefault="00C23F70" w:rsidP="00087C8F">
      <w:pPr>
        <w:pStyle w:val="TableTitle"/>
      </w:pPr>
      <w:proofErr w:type="gramStart"/>
      <w:r w:rsidRPr="009B6CC1">
        <w:t xml:space="preserve">Table </w:t>
      </w:r>
      <w:r w:rsidR="00AD12FE">
        <w:t>4</w:t>
      </w:r>
      <w:r w:rsidR="00B11B95">
        <w:t>.</w:t>
      </w:r>
      <w:proofErr w:type="gramEnd"/>
      <w:r w:rsidRPr="009B6CC1">
        <w:t xml:space="preserve"> Additional pharmacovigilance activities</w:t>
      </w:r>
    </w:p>
    <w:tbl>
      <w:tblPr>
        <w:tblStyle w:val="TableTGAblue"/>
        <w:tblW w:w="8926" w:type="dxa"/>
        <w:tblLayout w:type="fixed"/>
        <w:tblLook w:val="04A0" w:firstRow="1" w:lastRow="0" w:firstColumn="1" w:lastColumn="0" w:noHBand="0" w:noVBand="1"/>
      </w:tblPr>
      <w:tblGrid>
        <w:gridCol w:w="2093"/>
        <w:gridCol w:w="2268"/>
        <w:gridCol w:w="2410"/>
        <w:gridCol w:w="2155"/>
      </w:tblGrid>
      <w:tr w:rsidR="00C23F70" w:rsidRPr="004F3C62" w:rsidTr="00166483">
        <w:trPr>
          <w:cnfStyle w:val="100000000000" w:firstRow="1" w:lastRow="0" w:firstColumn="0" w:lastColumn="0" w:oddVBand="0" w:evenVBand="0" w:oddHBand="0" w:evenHBand="0" w:firstRowFirstColumn="0" w:firstRowLastColumn="0" w:lastRowFirstColumn="0" w:lastRowLastColumn="0"/>
          <w:trHeight w:val="128"/>
        </w:trPr>
        <w:tc>
          <w:tcPr>
            <w:tcW w:w="2093" w:type="dxa"/>
          </w:tcPr>
          <w:p w:rsidR="00C23F70" w:rsidRPr="00087C8F" w:rsidRDefault="00C23F70" w:rsidP="00087C8F">
            <w:pPr>
              <w:ind w:left="0" w:right="0"/>
              <w:rPr>
                <w:sz w:val="20"/>
                <w:szCs w:val="20"/>
              </w:rPr>
            </w:pPr>
            <w:r w:rsidRPr="00087C8F">
              <w:rPr>
                <w:sz w:val="20"/>
                <w:szCs w:val="20"/>
              </w:rPr>
              <w:t>Additional activity</w:t>
            </w:r>
          </w:p>
        </w:tc>
        <w:tc>
          <w:tcPr>
            <w:tcW w:w="2268" w:type="dxa"/>
          </w:tcPr>
          <w:p w:rsidR="00C23F70" w:rsidRPr="00087C8F" w:rsidRDefault="00C23F70" w:rsidP="00087C8F">
            <w:pPr>
              <w:ind w:left="0" w:right="0"/>
              <w:rPr>
                <w:sz w:val="20"/>
                <w:szCs w:val="20"/>
              </w:rPr>
            </w:pPr>
            <w:r w:rsidRPr="00087C8F">
              <w:rPr>
                <w:sz w:val="20"/>
                <w:szCs w:val="20"/>
              </w:rPr>
              <w:t>Assigned safety concern</w:t>
            </w:r>
          </w:p>
        </w:tc>
        <w:tc>
          <w:tcPr>
            <w:tcW w:w="2410" w:type="dxa"/>
          </w:tcPr>
          <w:p w:rsidR="00C23F70" w:rsidRPr="00087C8F" w:rsidRDefault="00C23F70" w:rsidP="00087C8F">
            <w:pPr>
              <w:ind w:left="0" w:right="0"/>
              <w:rPr>
                <w:sz w:val="20"/>
                <w:szCs w:val="20"/>
              </w:rPr>
            </w:pPr>
            <w:r w:rsidRPr="00087C8F">
              <w:rPr>
                <w:sz w:val="20"/>
                <w:szCs w:val="20"/>
              </w:rPr>
              <w:t>Actions/outcome proposed</w:t>
            </w:r>
          </w:p>
        </w:tc>
        <w:tc>
          <w:tcPr>
            <w:tcW w:w="2155" w:type="dxa"/>
          </w:tcPr>
          <w:p w:rsidR="00C23F70" w:rsidRPr="00087C8F" w:rsidRDefault="00C23F70" w:rsidP="00087C8F">
            <w:pPr>
              <w:ind w:left="0" w:right="0"/>
              <w:rPr>
                <w:sz w:val="20"/>
                <w:szCs w:val="20"/>
              </w:rPr>
            </w:pPr>
            <w:r w:rsidRPr="00087C8F">
              <w:rPr>
                <w:sz w:val="20"/>
                <w:szCs w:val="20"/>
              </w:rPr>
              <w:t>Planned submission of final data</w:t>
            </w:r>
          </w:p>
        </w:tc>
      </w:tr>
      <w:tr w:rsidR="00C23F70" w:rsidRPr="004F3C62" w:rsidTr="00166483">
        <w:trPr>
          <w:trHeight w:val="128"/>
        </w:trPr>
        <w:tc>
          <w:tcPr>
            <w:tcW w:w="2093" w:type="dxa"/>
          </w:tcPr>
          <w:p w:rsidR="00C23F70" w:rsidRPr="00087C8F" w:rsidRDefault="00C23F70" w:rsidP="00166483">
            <w:pPr>
              <w:spacing w:after="0"/>
              <w:ind w:left="0" w:right="0"/>
              <w:rPr>
                <w:b/>
                <w:sz w:val="20"/>
                <w:szCs w:val="20"/>
              </w:rPr>
            </w:pPr>
            <w:r w:rsidRPr="00087C8F">
              <w:rPr>
                <w:b/>
                <w:sz w:val="20"/>
                <w:szCs w:val="20"/>
              </w:rPr>
              <w:t>Study E1505</w:t>
            </w:r>
          </w:p>
          <w:p w:rsidR="00C23F70" w:rsidRPr="00087C8F" w:rsidRDefault="00C23F70" w:rsidP="00166483">
            <w:pPr>
              <w:spacing w:after="0"/>
              <w:ind w:left="0" w:right="0"/>
              <w:rPr>
                <w:b/>
                <w:sz w:val="20"/>
                <w:szCs w:val="20"/>
              </w:rPr>
            </w:pPr>
            <w:r w:rsidRPr="00087C8F">
              <w:rPr>
                <w:b/>
                <w:sz w:val="20"/>
                <w:szCs w:val="20"/>
              </w:rPr>
              <w:t>(ongoing)</w:t>
            </w:r>
          </w:p>
        </w:tc>
        <w:tc>
          <w:tcPr>
            <w:tcW w:w="2268" w:type="dxa"/>
          </w:tcPr>
          <w:p w:rsidR="00C23F70" w:rsidRPr="00087C8F" w:rsidRDefault="00C23F70" w:rsidP="00166483">
            <w:pPr>
              <w:spacing w:after="0"/>
              <w:ind w:left="0" w:right="0"/>
              <w:rPr>
                <w:sz w:val="20"/>
                <w:szCs w:val="20"/>
              </w:rPr>
            </w:pPr>
            <w:r w:rsidRPr="00087C8F">
              <w:rPr>
                <w:sz w:val="20"/>
                <w:szCs w:val="20"/>
              </w:rPr>
              <w:t>Bleeding/haemorrhage:</w:t>
            </w:r>
            <w:r w:rsidR="00166483">
              <w:rPr>
                <w:sz w:val="20"/>
                <w:szCs w:val="20"/>
              </w:rPr>
              <w:t xml:space="preserve"> </w:t>
            </w:r>
            <w:r w:rsidRPr="00087C8F">
              <w:rPr>
                <w:sz w:val="20"/>
                <w:szCs w:val="20"/>
              </w:rPr>
              <w:t>Effect of concomitant anti-coagulation medication</w:t>
            </w:r>
          </w:p>
        </w:tc>
        <w:tc>
          <w:tcPr>
            <w:tcW w:w="2410" w:type="dxa"/>
          </w:tcPr>
          <w:p w:rsidR="00C23F70" w:rsidRPr="00087C8F" w:rsidRDefault="00C23F70" w:rsidP="00166483">
            <w:pPr>
              <w:autoSpaceDE w:val="0"/>
              <w:autoSpaceDN w:val="0"/>
              <w:spacing w:after="0" w:line="240" w:lineRule="auto"/>
              <w:ind w:left="0" w:right="0"/>
              <w:rPr>
                <w:rFonts w:eastAsia="MS Mincho" w:cs="ArialMT"/>
                <w:sz w:val="20"/>
                <w:szCs w:val="20"/>
              </w:rPr>
            </w:pPr>
            <w:r w:rsidRPr="00087C8F">
              <w:rPr>
                <w:rFonts w:eastAsia="MS Mincho" w:cs="ArialMT"/>
                <w:sz w:val="20"/>
                <w:szCs w:val="20"/>
              </w:rPr>
              <w:t>Evaluation of the effect of anticoagulation (note: NOT a specific objective of the study).</w:t>
            </w:r>
          </w:p>
        </w:tc>
        <w:tc>
          <w:tcPr>
            <w:tcW w:w="2155" w:type="dxa"/>
          </w:tcPr>
          <w:p w:rsidR="00C23F70" w:rsidRPr="00166483" w:rsidRDefault="00C23F70" w:rsidP="00166483">
            <w:pPr>
              <w:ind w:left="33" w:right="0"/>
              <w:rPr>
                <w:sz w:val="20"/>
                <w:szCs w:val="20"/>
              </w:rPr>
            </w:pPr>
            <w:r w:rsidRPr="00166483">
              <w:rPr>
                <w:sz w:val="20"/>
                <w:szCs w:val="20"/>
              </w:rPr>
              <w:t>Final data collection date for primary outcomes measure July 2015</w:t>
            </w:r>
          </w:p>
          <w:p w:rsidR="00C23F70" w:rsidRPr="00166483" w:rsidRDefault="00C23F70" w:rsidP="00166483">
            <w:pPr>
              <w:ind w:left="33" w:right="0"/>
            </w:pPr>
            <w:r w:rsidRPr="00166483">
              <w:rPr>
                <w:sz w:val="20"/>
                <w:szCs w:val="20"/>
              </w:rPr>
              <w:t>Final report due July 2016</w:t>
            </w:r>
          </w:p>
        </w:tc>
      </w:tr>
      <w:tr w:rsidR="00C23F70" w:rsidRPr="004F3C62" w:rsidTr="00166483">
        <w:trPr>
          <w:trHeight w:val="3270"/>
        </w:trPr>
        <w:tc>
          <w:tcPr>
            <w:tcW w:w="2093" w:type="dxa"/>
          </w:tcPr>
          <w:p w:rsidR="00C23F70" w:rsidRPr="00087C8F" w:rsidRDefault="00C23F70" w:rsidP="00166483">
            <w:pPr>
              <w:autoSpaceDE w:val="0"/>
              <w:autoSpaceDN w:val="0"/>
              <w:spacing w:line="240" w:lineRule="auto"/>
              <w:ind w:left="0" w:right="0"/>
              <w:rPr>
                <w:rFonts w:eastAsia="MS Mincho" w:cs="ArialMT"/>
                <w:sz w:val="20"/>
                <w:szCs w:val="20"/>
              </w:rPr>
            </w:pPr>
            <w:r w:rsidRPr="00087C8F">
              <w:rPr>
                <w:rFonts w:eastAsia="MS Mincho" w:cs="ArialMT"/>
                <w:sz w:val="20"/>
                <w:szCs w:val="20"/>
              </w:rPr>
              <w:t>Safety monitoring plan implemented in ongoing/planned breast cancer</w:t>
            </w:r>
            <w:r w:rsidR="00166483">
              <w:rPr>
                <w:rFonts w:eastAsia="MS Mincho" w:cs="ArialMT"/>
                <w:sz w:val="20"/>
                <w:szCs w:val="20"/>
              </w:rPr>
              <w:t xml:space="preserve"> </w:t>
            </w:r>
            <w:r w:rsidRPr="00087C8F">
              <w:rPr>
                <w:rFonts w:eastAsia="MS Mincho" w:cs="ArialMT"/>
                <w:sz w:val="20"/>
                <w:szCs w:val="20"/>
              </w:rPr>
              <w:t xml:space="preserve">studies sequential regular </w:t>
            </w:r>
            <w:r w:rsidR="009259E3" w:rsidRPr="00087C8F">
              <w:rPr>
                <w:rFonts w:eastAsia="MS Mincho" w:cs="ArialMT"/>
                <w:sz w:val="20"/>
                <w:szCs w:val="20"/>
              </w:rPr>
              <w:t>left ventricular ejection fraction (</w:t>
            </w:r>
            <w:r w:rsidRPr="00087C8F">
              <w:rPr>
                <w:rFonts w:eastAsia="MS Mincho" w:cs="ArialMT"/>
                <w:sz w:val="20"/>
                <w:szCs w:val="20"/>
              </w:rPr>
              <w:t>LVEF</w:t>
            </w:r>
            <w:r w:rsidR="009259E3" w:rsidRPr="00087C8F">
              <w:rPr>
                <w:rFonts w:eastAsia="MS Mincho" w:cs="ArialMT"/>
                <w:sz w:val="20"/>
                <w:szCs w:val="20"/>
              </w:rPr>
              <w:t>)</w:t>
            </w:r>
            <w:r w:rsidR="00166483">
              <w:rPr>
                <w:rFonts w:eastAsia="MS Mincho" w:cs="ArialMT"/>
                <w:sz w:val="20"/>
                <w:szCs w:val="20"/>
              </w:rPr>
              <w:t xml:space="preserve"> </w:t>
            </w:r>
            <w:r w:rsidRPr="00087C8F">
              <w:rPr>
                <w:rFonts w:eastAsia="MS Mincho" w:cs="ArialMT"/>
                <w:sz w:val="20"/>
                <w:szCs w:val="20"/>
              </w:rPr>
              <w:t>monitoring in breast cancer studies</w:t>
            </w:r>
            <w:r w:rsidR="00166483">
              <w:rPr>
                <w:rFonts w:eastAsia="MS Mincho" w:cs="ArialMT"/>
                <w:sz w:val="20"/>
                <w:szCs w:val="20"/>
              </w:rPr>
              <w:t xml:space="preserve"> </w:t>
            </w:r>
            <w:r w:rsidRPr="00087C8F">
              <w:rPr>
                <w:rFonts w:eastAsia="MS Mincho" w:cs="ArialMT"/>
                <w:sz w:val="20"/>
                <w:szCs w:val="20"/>
              </w:rPr>
              <w:t>cardiology expert in</w:t>
            </w:r>
            <w:r w:rsidR="007B002B" w:rsidRPr="00087C8F">
              <w:rPr>
                <w:rFonts w:eastAsia="MS Mincho" w:cs="ArialMT"/>
                <w:sz w:val="20"/>
                <w:szCs w:val="20"/>
              </w:rPr>
              <w:t xml:space="preserve"> </w:t>
            </w:r>
            <w:r w:rsidRPr="00087C8F">
              <w:rPr>
                <w:rFonts w:eastAsia="MS Mincho" w:cs="ArialMT"/>
                <w:sz w:val="20"/>
                <w:szCs w:val="20"/>
              </w:rPr>
              <w:t>DSMBs guided questionnaire.</w:t>
            </w:r>
          </w:p>
        </w:tc>
        <w:tc>
          <w:tcPr>
            <w:tcW w:w="2268" w:type="dxa"/>
          </w:tcPr>
          <w:p w:rsidR="00C23F70" w:rsidRPr="00087C8F" w:rsidRDefault="00C23F70" w:rsidP="00166483">
            <w:pPr>
              <w:ind w:left="0" w:right="0"/>
              <w:rPr>
                <w:sz w:val="20"/>
                <w:szCs w:val="20"/>
              </w:rPr>
            </w:pPr>
            <w:r w:rsidRPr="00087C8F">
              <w:rPr>
                <w:sz w:val="20"/>
                <w:szCs w:val="20"/>
              </w:rPr>
              <w:t>Congestive heart failure</w:t>
            </w:r>
          </w:p>
        </w:tc>
        <w:tc>
          <w:tcPr>
            <w:tcW w:w="2410" w:type="dxa"/>
          </w:tcPr>
          <w:p w:rsidR="00C23F70" w:rsidRPr="00087C8F" w:rsidRDefault="00C23F70" w:rsidP="00166483">
            <w:pPr>
              <w:autoSpaceDE w:val="0"/>
              <w:autoSpaceDN w:val="0"/>
              <w:spacing w:line="240" w:lineRule="auto"/>
              <w:ind w:left="0" w:right="0"/>
              <w:rPr>
                <w:rFonts w:eastAsia="MS Mincho"/>
                <w:sz w:val="20"/>
                <w:szCs w:val="20"/>
              </w:rPr>
            </w:pPr>
            <w:r w:rsidRPr="00087C8F">
              <w:rPr>
                <w:rFonts w:eastAsia="MS Mincho"/>
                <w:sz w:val="20"/>
                <w:szCs w:val="20"/>
              </w:rPr>
              <w:t>Not specified by sponsor</w:t>
            </w:r>
            <w:r w:rsidR="009259E3" w:rsidRPr="00087C8F">
              <w:rPr>
                <w:rFonts w:eastAsia="MS Mincho"/>
                <w:sz w:val="20"/>
                <w:szCs w:val="20"/>
              </w:rPr>
              <w:t>.</w:t>
            </w:r>
          </w:p>
        </w:tc>
        <w:tc>
          <w:tcPr>
            <w:tcW w:w="2155" w:type="dxa"/>
          </w:tcPr>
          <w:p w:rsidR="00C23F70" w:rsidRPr="00087C8F" w:rsidRDefault="00C23F70" w:rsidP="00166483">
            <w:pPr>
              <w:ind w:left="0" w:right="0"/>
              <w:rPr>
                <w:sz w:val="20"/>
                <w:szCs w:val="20"/>
              </w:rPr>
            </w:pPr>
            <w:r w:rsidRPr="00087C8F">
              <w:rPr>
                <w:sz w:val="20"/>
                <w:szCs w:val="20"/>
              </w:rPr>
              <w:t>Unclear milestones</w:t>
            </w:r>
          </w:p>
        </w:tc>
      </w:tr>
      <w:tr w:rsidR="00C23F70" w:rsidRPr="004F3C62" w:rsidTr="00166483">
        <w:trPr>
          <w:trHeight w:val="2684"/>
        </w:trPr>
        <w:tc>
          <w:tcPr>
            <w:tcW w:w="2093" w:type="dxa"/>
          </w:tcPr>
          <w:p w:rsidR="00C23F70" w:rsidRPr="00087C8F" w:rsidRDefault="00C23F70" w:rsidP="00166483">
            <w:pPr>
              <w:autoSpaceDE w:val="0"/>
              <w:autoSpaceDN w:val="0"/>
              <w:spacing w:line="240" w:lineRule="auto"/>
              <w:ind w:left="0" w:right="0"/>
              <w:rPr>
                <w:rFonts w:eastAsia="MS Mincho" w:cs="ArialMT"/>
                <w:b/>
                <w:sz w:val="20"/>
                <w:szCs w:val="20"/>
              </w:rPr>
            </w:pPr>
            <w:r w:rsidRPr="00087C8F">
              <w:rPr>
                <w:rFonts w:eastAsia="MS Mincho" w:cs="ArialMT"/>
                <w:b/>
                <w:sz w:val="20"/>
                <w:szCs w:val="20"/>
              </w:rPr>
              <w:t>Study MO18725</w:t>
            </w:r>
          </w:p>
          <w:p w:rsidR="00C23F70" w:rsidRPr="00087C8F" w:rsidRDefault="00C23F70" w:rsidP="00166483">
            <w:pPr>
              <w:autoSpaceDE w:val="0"/>
              <w:autoSpaceDN w:val="0"/>
              <w:spacing w:line="240" w:lineRule="auto"/>
              <w:ind w:left="0" w:right="0"/>
              <w:rPr>
                <w:rFonts w:eastAsia="MS Mincho" w:cs="ArialMT"/>
                <w:b/>
                <w:sz w:val="20"/>
                <w:szCs w:val="20"/>
              </w:rPr>
            </w:pPr>
            <w:r w:rsidRPr="00087C8F">
              <w:rPr>
                <w:rFonts w:eastAsia="MS Mincho" w:cs="ArialMT"/>
                <w:b/>
                <w:sz w:val="20"/>
                <w:szCs w:val="20"/>
              </w:rPr>
              <w:t>(OLIVIA)</w:t>
            </w:r>
          </w:p>
          <w:p w:rsidR="00C23F70" w:rsidRPr="00087C8F" w:rsidRDefault="00C23F70" w:rsidP="00166483">
            <w:pPr>
              <w:autoSpaceDE w:val="0"/>
              <w:autoSpaceDN w:val="0"/>
              <w:spacing w:line="240" w:lineRule="auto"/>
              <w:ind w:left="0" w:right="0"/>
              <w:rPr>
                <w:rFonts w:eastAsia="MS Mincho" w:cs="ArialMT"/>
                <w:b/>
                <w:sz w:val="20"/>
                <w:szCs w:val="20"/>
              </w:rPr>
            </w:pPr>
            <w:r w:rsidRPr="00087C8F">
              <w:rPr>
                <w:rFonts w:eastAsia="MS Mincho" w:cs="ArialMT"/>
                <w:b/>
                <w:sz w:val="20"/>
                <w:szCs w:val="20"/>
              </w:rPr>
              <w:t>(completed)</w:t>
            </w:r>
          </w:p>
          <w:p w:rsidR="00C23F70" w:rsidRPr="00087C8F" w:rsidRDefault="00C23F70" w:rsidP="00166483">
            <w:pPr>
              <w:autoSpaceDE w:val="0"/>
              <w:autoSpaceDN w:val="0"/>
              <w:spacing w:line="240" w:lineRule="auto"/>
              <w:ind w:left="0" w:right="0"/>
              <w:rPr>
                <w:rFonts w:eastAsia="MS Mincho"/>
                <w:b/>
                <w:sz w:val="20"/>
                <w:szCs w:val="20"/>
              </w:rPr>
            </w:pPr>
            <w:r w:rsidRPr="00087C8F">
              <w:rPr>
                <w:rFonts w:eastAsia="MS Mincho" w:cs="ArialMT"/>
                <w:sz w:val="20"/>
                <w:szCs w:val="20"/>
              </w:rPr>
              <w:t>monitoring by DSMBs</w:t>
            </w:r>
          </w:p>
        </w:tc>
        <w:tc>
          <w:tcPr>
            <w:tcW w:w="2268" w:type="dxa"/>
          </w:tcPr>
          <w:p w:rsidR="00C23F70" w:rsidRPr="00087C8F" w:rsidRDefault="00C23F70" w:rsidP="00166483">
            <w:pPr>
              <w:ind w:left="0" w:right="0"/>
              <w:rPr>
                <w:sz w:val="20"/>
                <w:szCs w:val="20"/>
              </w:rPr>
            </w:pPr>
            <w:r w:rsidRPr="00087C8F">
              <w:rPr>
                <w:sz w:val="20"/>
                <w:szCs w:val="20"/>
              </w:rPr>
              <w:t>Wound healing complications</w:t>
            </w:r>
          </w:p>
        </w:tc>
        <w:tc>
          <w:tcPr>
            <w:tcW w:w="2410" w:type="dxa"/>
          </w:tcPr>
          <w:p w:rsidR="00C23F70" w:rsidRPr="00087C8F" w:rsidRDefault="00C23F70" w:rsidP="00166483">
            <w:pPr>
              <w:autoSpaceDE w:val="0"/>
              <w:autoSpaceDN w:val="0"/>
              <w:spacing w:line="240" w:lineRule="auto"/>
              <w:ind w:left="0" w:right="0"/>
              <w:rPr>
                <w:rFonts w:eastAsia="MS Mincho"/>
                <w:sz w:val="20"/>
                <w:szCs w:val="20"/>
              </w:rPr>
            </w:pPr>
            <w:r w:rsidRPr="00087C8F">
              <w:rPr>
                <w:rFonts w:eastAsia="MS Mincho"/>
                <w:sz w:val="20"/>
                <w:szCs w:val="20"/>
              </w:rPr>
              <w:t xml:space="preserve">To assess safety and respectability in patients treated with </w:t>
            </w:r>
            <w:proofErr w:type="spellStart"/>
            <w:r w:rsidRPr="00087C8F">
              <w:rPr>
                <w:rFonts w:eastAsia="MS Mincho"/>
                <w:sz w:val="20"/>
                <w:szCs w:val="20"/>
              </w:rPr>
              <w:t>bevacizumavb</w:t>
            </w:r>
            <w:proofErr w:type="spellEnd"/>
            <w:r w:rsidRPr="00087C8F">
              <w:rPr>
                <w:rFonts w:eastAsia="MS Mincho"/>
                <w:sz w:val="20"/>
                <w:szCs w:val="20"/>
              </w:rPr>
              <w:t xml:space="preserve"> who have primarily unresectable liver metastases secondary to colorectal cancer and who are scheduled for standard, first line chemotherapy.</w:t>
            </w:r>
          </w:p>
        </w:tc>
        <w:tc>
          <w:tcPr>
            <w:tcW w:w="2155" w:type="dxa"/>
          </w:tcPr>
          <w:p w:rsidR="00C23F70" w:rsidRPr="00087C8F" w:rsidRDefault="00C23F70" w:rsidP="00166483">
            <w:pPr>
              <w:ind w:left="0" w:right="0"/>
              <w:rPr>
                <w:sz w:val="20"/>
                <w:szCs w:val="20"/>
              </w:rPr>
            </w:pPr>
            <w:r w:rsidRPr="00087C8F">
              <w:rPr>
                <w:sz w:val="20"/>
                <w:szCs w:val="20"/>
              </w:rPr>
              <w:t xml:space="preserve">Completed, CSR expected </w:t>
            </w:r>
            <w:r w:rsidR="00174CCF" w:rsidRPr="00087C8F">
              <w:rPr>
                <w:sz w:val="20"/>
                <w:szCs w:val="20"/>
              </w:rPr>
              <w:t>first quarter</w:t>
            </w:r>
            <w:r w:rsidRPr="00087C8F">
              <w:rPr>
                <w:sz w:val="20"/>
                <w:szCs w:val="20"/>
              </w:rPr>
              <w:t xml:space="preserve"> 2014</w:t>
            </w:r>
          </w:p>
        </w:tc>
      </w:tr>
      <w:tr w:rsidR="00C23F70" w:rsidRPr="004F3C62" w:rsidTr="00166483">
        <w:trPr>
          <w:trHeight w:val="3580"/>
        </w:trPr>
        <w:tc>
          <w:tcPr>
            <w:tcW w:w="2093" w:type="dxa"/>
          </w:tcPr>
          <w:p w:rsidR="00C23F70" w:rsidRPr="00087C8F" w:rsidRDefault="00C23F70" w:rsidP="00166483">
            <w:pPr>
              <w:autoSpaceDE w:val="0"/>
              <w:autoSpaceDN w:val="0"/>
              <w:spacing w:line="240" w:lineRule="auto"/>
              <w:ind w:left="0" w:right="0"/>
              <w:rPr>
                <w:rFonts w:eastAsia="MS Mincho" w:cs="ArialMT"/>
                <w:b/>
                <w:sz w:val="20"/>
                <w:szCs w:val="20"/>
              </w:rPr>
            </w:pPr>
            <w:r w:rsidRPr="00087C8F">
              <w:rPr>
                <w:rFonts w:eastAsia="MS Mincho" w:cs="ArialMT"/>
                <w:b/>
                <w:sz w:val="20"/>
                <w:szCs w:val="20"/>
              </w:rPr>
              <w:t>Study B021990</w:t>
            </w:r>
          </w:p>
          <w:p w:rsidR="00C23F70" w:rsidRPr="00087C8F" w:rsidRDefault="00C23F70" w:rsidP="00166483">
            <w:pPr>
              <w:autoSpaceDE w:val="0"/>
              <w:autoSpaceDN w:val="0"/>
              <w:spacing w:line="240" w:lineRule="auto"/>
              <w:ind w:left="0" w:right="0"/>
              <w:rPr>
                <w:rFonts w:eastAsia="MS Mincho" w:cs="ArialMT"/>
                <w:b/>
                <w:sz w:val="20"/>
                <w:szCs w:val="20"/>
              </w:rPr>
            </w:pPr>
            <w:r w:rsidRPr="00087C8F">
              <w:rPr>
                <w:rFonts w:eastAsia="MS Mincho" w:cs="ArialMT"/>
                <w:b/>
                <w:sz w:val="20"/>
                <w:szCs w:val="20"/>
              </w:rPr>
              <w:t>(</w:t>
            </w:r>
            <w:proofErr w:type="spellStart"/>
            <w:r w:rsidRPr="00087C8F">
              <w:rPr>
                <w:rFonts w:eastAsia="MS Mincho" w:cs="ArialMT"/>
                <w:b/>
                <w:sz w:val="20"/>
                <w:szCs w:val="20"/>
              </w:rPr>
              <w:t>AVAglio</w:t>
            </w:r>
            <w:proofErr w:type="spellEnd"/>
            <w:r w:rsidRPr="00087C8F">
              <w:rPr>
                <w:rFonts w:eastAsia="MS Mincho" w:cs="ArialMT"/>
                <w:b/>
                <w:sz w:val="20"/>
                <w:szCs w:val="20"/>
              </w:rPr>
              <w:t>)</w:t>
            </w:r>
          </w:p>
          <w:p w:rsidR="00C23F70" w:rsidRPr="00087C8F" w:rsidRDefault="00C23F70" w:rsidP="00166483">
            <w:pPr>
              <w:autoSpaceDE w:val="0"/>
              <w:autoSpaceDN w:val="0"/>
              <w:spacing w:line="240" w:lineRule="auto"/>
              <w:ind w:left="0" w:right="0"/>
              <w:rPr>
                <w:rFonts w:eastAsia="MS Mincho"/>
                <w:sz w:val="20"/>
                <w:szCs w:val="20"/>
              </w:rPr>
            </w:pPr>
            <w:r w:rsidRPr="00087C8F">
              <w:rPr>
                <w:rFonts w:eastAsia="MS Mincho" w:cs="ArialMT"/>
                <w:b/>
                <w:sz w:val="20"/>
                <w:szCs w:val="20"/>
              </w:rPr>
              <w:t>(ongoing)</w:t>
            </w:r>
          </w:p>
        </w:tc>
        <w:tc>
          <w:tcPr>
            <w:tcW w:w="2268" w:type="dxa"/>
          </w:tcPr>
          <w:p w:rsidR="00C23F70" w:rsidRPr="00087C8F" w:rsidRDefault="00B626F5" w:rsidP="00166483">
            <w:pPr>
              <w:ind w:left="0" w:right="0"/>
              <w:rPr>
                <w:sz w:val="20"/>
                <w:szCs w:val="20"/>
              </w:rPr>
            </w:pPr>
            <w:r w:rsidRPr="00087C8F">
              <w:rPr>
                <w:sz w:val="20"/>
                <w:szCs w:val="20"/>
              </w:rPr>
              <w:t>W</w:t>
            </w:r>
            <w:r w:rsidR="00C23F70" w:rsidRPr="00087C8F">
              <w:rPr>
                <w:sz w:val="20"/>
                <w:szCs w:val="20"/>
              </w:rPr>
              <w:t>ound healing complications</w:t>
            </w:r>
          </w:p>
        </w:tc>
        <w:tc>
          <w:tcPr>
            <w:tcW w:w="2410" w:type="dxa"/>
          </w:tcPr>
          <w:p w:rsidR="00C23F70" w:rsidRPr="00087C8F" w:rsidRDefault="00C23F70" w:rsidP="00166483">
            <w:pPr>
              <w:autoSpaceDE w:val="0"/>
              <w:autoSpaceDN w:val="0"/>
              <w:spacing w:line="240" w:lineRule="auto"/>
              <w:ind w:left="0" w:right="0"/>
              <w:rPr>
                <w:rFonts w:eastAsia="MS Mincho"/>
                <w:sz w:val="20"/>
                <w:szCs w:val="20"/>
              </w:rPr>
            </w:pPr>
            <w:r w:rsidRPr="00087C8F">
              <w:rPr>
                <w:sz w:val="20"/>
                <w:szCs w:val="20"/>
              </w:rPr>
              <w:t xml:space="preserve">To investigate the efficacy and safety of </w:t>
            </w:r>
            <w:proofErr w:type="spellStart"/>
            <w:r w:rsidR="00166F6A" w:rsidRPr="00087C8F">
              <w:rPr>
                <w:sz w:val="20"/>
                <w:szCs w:val="20"/>
              </w:rPr>
              <w:t>bevacizumab</w:t>
            </w:r>
            <w:proofErr w:type="spellEnd"/>
            <w:r w:rsidRPr="00087C8F">
              <w:rPr>
                <w:sz w:val="20"/>
                <w:szCs w:val="20"/>
              </w:rPr>
              <w:t xml:space="preserve">, </w:t>
            </w:r>
            <w:proofErr w:type="spellStart"/>
            <w:r w:rsidRPr="00087C8F">
              <w:rPr>
                <w:sz w:val="20"/>
                <w:szCs w:val="20"/>
              </w:rPr>
              <w:t>temozolomide</w:t>
            </w:r>
            <w:proofErr w:type="spellEnd"/>
            <w:r w:rsidRPr="00087C8F">
              <w:rPr>
                <w:sz w:val="20"/>
                <w:szCs w:val="20"/>
              </w:rPr>
              <w:t xml:space="preserve"> and radiotherapy followed by 6 cycles maintenance with </w:t>
            </w:r>
            <w:proofErr w:type="spellStart"/>
            <w:r w:rsidR="00166F6A" w:rsidRPr="00087C8F">
              <w:rPr>
                <w:sz w:val="20"/>
                <w:szCs w:val="20"/>
              </w:rPr>
              <w:t>bevacizumab</w:t>
            </w:r>
            <w:proofErr w:type="spellEnd"/>
            <w:r w:rsidRPr="00087C8F">
              <w:rPr>
                <w:sz w:val="20"/>
                <w:szCs w:val="20"/>
              </w:rPr>
              <w:t xml:space="preserve"> and </w:t>
            </w:r>
            <w:proofErr w:type="spellStart"/>
            <w:r w:rsidRPr="00087C8F">
              <w:rPr>
                <w:sz w:val="20"/>
                <w:szCs w:val="20"/>
              </w:rPr>
              <w:t>temozolomide</w:t>
            </w:r>
            <w:proofErr w:type="spellEnd"/>
            <w:r w:rsidRPr="00087C8F">
              <w:rPr>
                <w:sz w:val="20"/>
                <w:szCs w:val="20"/>
              </w:rPr>
              <w:t xml:space="preserve"> as compared to placebo, </w:t>
            </w:r>
            <w:proofErr w:type="spellStart"/>
            <w:r w:rsidRPr="00087C8F">
              <w:rPr>
                <w:sz w:val="20"/>
                <w:szCs w:val="20"/>
              </w:rPr>
              <w:t>temozolomide</w:t>
            </w:r>
            <w:proofErr w:type="spellEnd"/>
            <w:r w:rsidRPr="00087C8F">
              <w:rPr>
                <w:sz w:val="20"/>
                <w:szCs w:val="20"/>
              </w:rPr>
              <w:t xml:space="preserve">, and radiotherapy followed by 6 cycles maintenance with placebo and </w:t>
            </w:r>
            <w:proofErr w:type="spellStart"/>
            <w:r w:rsidRPr="00087C8F">
              <w:rPr>
                <w:sz w:val="20"/>
                <w:szCs w:val="20"/>
              </w:rPr>
              <w:t>temozolomide</w:t>
            </w:r>
            <w:proofErr w:type="spellEnd"/>
            <w:r w:rsidRPr="00087C8F">
              <w:rPr>
                <w:sz w:val="20"/>
                <w:szCs w:val="20"/>
              </w:rPr>
              <w:t>.</w:t>
            </w:r>
          </w:p>
        </w:tc>
        <w:tc>
          <w:tcPr>
            <w:tcW w:w="2155" w:type="dxa"/>
          </w:tcPr>
          <w:p w:rsidR="00C23F70" w:rsidRPr="00087C8F" w:rsidRDefault="00C23F70" w:rsidP="00166483">
            <w:pPr>
              <w:ind w:left="0" w:right="0"/>
              <w:rPr>
                <w:sz w:val="20"/>
                <w:szCs w:val="20"/>
              </w:rPr>
            </w:pPr>
            <w:r w:rsidRPr="00087C8F">
              <w:rPr>
                <w:sz w:val="20"/>
                <w:szCs w:val="20"/>
              </w:rPr>
              <w:t>CSR March 2013 (Submitted as part of this filing)</w:t>
            </w:r>
          </w:p>
        </w:tc>
      </w:tr>
      <w:tr w:rsidR="00C23F70" w:rsidRPr="004F3C62" w:rsidTr="00166483">
        <w:trPr>
          <w:trHeight w:val="128"/>
        </w:trPr>
        <w:tc>
          <w:tcPr>
            <w:tcW w:w="2093" w:type="dxa"/>
          </w:tcPr>
          <w:p w:rsidR="00C23F70" w:rsidRPr="00087C8F" w:rsidRDefault="00C23F70" w:rsidP="00166483">
            <w:pPr>
              <w:autoSpaceDE w:val="0"/>
              <w:autoSpaceDN w:val="0"/>
              <w:spacing w:line="240" w:lineRule="auto"/>
              <w:ind w:left="0" w:right="0"/>
              <w:rPr>
                <w:rFonts w:eastAsia="MS Mincho" w:cs="ArialMT"/>
                <w:b/>
                <w:sz w:val="20"/>
                <w:szCs w:val="20"/>
              </w:rPr>
            </w:pPr>
            <w:r w:rsidRPr="00087C8F">
              <w:rPr>
                <w:rFonts w:eastAsia="MS Mincho" w:cs="ArialMT"/>
                <w:b/>
                <w:sz w:val="20"/>
                <w:szCs w:val="20"/>
              </w:rPr>
              <w:lastRenderedPageBreak/>
              <w:t>Study NSABP C-08</w:t>
            </w:r>
          </w:p>
          <w:p w:rsidR="00C23F70" w:rsidRPr="00087C8F" w:rsidRDefault="00C23F70" w:rsidP="00166483">
            <w:pPr>
              <w:autoSpaceDE w:val="0"/>
              <w:autoSpaceDN w:val="0"/>
              <w:spacing w:line="240" w:lineRule="auto"/>
              <w:ind w:left="0" w:right="0"/>
              <w:rPr>
                <w:rFonts w:eastAsia="MS Mincho"/>
                <w:sz w:val="20"/>
                <w:szCs w:val="20"/>
              </w:rPr>
            </w:pPr>
            <w:r w:rsidRPr="00087C8F">
              <w:rPr>
                <w:rFonts w:eastAsia="MS Mincho" w:cs="ArialMT"/>
                <w:b/>
                <w:sz w:val="20"/>
                <w:szCs w:val="20"/>
              </w:rPr>
              <w:t>(ongoing)</w:t>
            </w:r>
          </w:p>
        </w:tc>
        <w:tc>
          <w:tcPr>
            <w:tcW w:w="2268" w:type="dxa"/>
          </w:tcPr>
          <w:p w:rsidR="00C23F70" w:rsidRPr="00087C8F" w:rsidRDefault="00C23F70" w:rsidP="00166483">
            <w:pPr>
              <w:ind w:left="0" w:right="0"/>
              <w:rPr>
                <w:sz w:val="20"/>
                <w:szCs w:val="20"/>
              </w:rPr>
            </w:pPr>
            <w:r w:rsidRPr="00087C8F">
              <w:rPr>
                <w:sz w:val="20"/>
                <w:szCs w:val="20"/>
              </w:rPr>
              <w:t>Wound healing complications</w:t>
            </w:r>
          </w:p>
          <w:p w:rsidR="00C23F70" w:rsidRPr="00087C8F" w:rsidRDefault="00C23F70" w:rsidP="00166483">
            <w:pPr>
              <w:ind w:left="0" w:right="0"/>
              <w:rPr>
                <w:sz w:val="20"/>
                <w:szCs w:val="20"/>
              </w:rPr>
            </w:pPr>
            <w:r w:rsidRPr="00087C8F">
              <w:rPr>
                <w:sz w:val="20"/>
                <w:szCs w:val="20"/>
              </w:rPr>
              <w:t xml:space="preserve">(Note: the pharmacovigilance plan does not assign other safety concerns to this </w:t>
            </w:r>
            <w:proofErr w:type="gramStart"/>
            <w:r w:rsidRPr="00087C8F">
              <w:rPr>
                <w:sz w:val="20"/>
                <w:szCs w:val="20"/>
              </w:rPr>
              <w:t>study,</w:t>
            </w:r>
            <w:proofErr w:type="gramEnd"/>
            <w:r w:rsidRPr="00087C8F">
              <w:rPr>
                <w:sz w:val="20"/>
                <w:szCs w:val="20"/>
              </w:rPr>
              <w:t xml:space="preserve"> however the RMP does assign other risks to this study.</w:t>
            </w:r>
          </w:p>
        </w:tc>
        <w:tc>
          <w:tcPr>
            <w:tcW w:w="2410" w:type="dxa"/>
          </w:tcPr>
          <w:p w:rsidR="00166483" w:rsidRDefault="00C23F70" w:rsidP="00166483">
            <w:pPr>
              <w:autoSpaceDE w:val="0"/>
              <w:autoSpaceDN w:val="0"/>
              <w:spacing w:line="240" w:lineRule="auto"/>
              <w:ind w:left="0" w:right="0"/>
              <w:rPr>
                <w:rFonts w:eastAsia="MS Mincho" w:cs="ArialMT"/>
                <w:sz w:val="20"/>
                <w:szCs w:val="20"/>
              </w:rPr>
            </w:pPr>
            <w:r w:rsidRPr="00087C8F">
              <w:rPr>
                <w:rFonts w:eastAsia="MS Mincho"/>
                <w:sz w:val="20"/>
                <w:szCs w:val="20"/>
              </w:rPr>
              <w:t xml:space="preserve">Study title: </w:t>
            </w:r>
            <w:r w:rsidRPr="00087C8F">
              <w:rPr>
                <w:rFonts w:eastAsia="MS Mincho" w:cs="ArialMT"/>
                <w:sz w:val="20"/>
                <w:szCs w:val="20"/>
              </w:rPr>
              <w:t>Fluorouracil,</w:t>
            </w:r>
            <w:r w:rsidR="00166483">
              <w:rPr>
                <w:rFonts w:eastAsia="MS Mincho" w:cs="ArialMT"/>
                <w:sz w:val="20"/>
                <w:szCs w:val="20"/>
              </w:rPr>
              <w:t xml:space="preserve"> </w:t>
            </w:r>
            <w:proofErr w:type="spellStart"/>
            <w:r w:rsidRPr="00087C8F">
              <w:rPr>
                <w:rFonts w:eastAsia="MS Mincho" w:cs="ArialMT"/>
                <w:sz w:val="20"/>
                <w:szCs w:val="20"/>
              </w:rPr>
              <w:t>Leucovorin</w:t>
            </w:r>
            <w:proofErr w:type="spellEnd"/>
            <w:r w:rsidRPr="00087C8F">
              <w:rPr>
                <w:rFonts w:eastAsia="MS Mincho" w:cs="ArialMT"/>
                <w:sz w:val="20"/>
                <w:szCs w:val="20"/>
              </w:rPr>
              <w:t xml:space="preserve">, and </w:t>
            </w:r>
            <w:proofErr w:type="spellStart"/>
            <w:r w:rsidRPr="00087C8F">
              <w:rPr>
                <w:rFonts w:eastAsia="MS Mincho" w:cs="ArialMT"/>
                <w:sz w:val="20"/>
                <w:szCs w:val="20"/>
              </w:rPr>
              <w:t>Oxaliplatin</w:t>
            </w:r>
            <w:proofErr w:type="spellEnd"/>
            <w:r w:rsidR="00166483">
              <w:rPr>
                <w:rFonts w:eastAsia="MS Mincho" w:cs="ArialMT"/>
                <w:sz w:val="20"/>
                <w:szCs w:val="20"/>
              </w:rPr>
              <w:t xml:space="preserve"> </w:t>
            </w:r>
            <w:r w:rsidRPr="00087C8F">
              <w:rPr>
                <w:rFonts w:eastAsia="MS Mincho" w:cs="ArialMT"/>
                <w:sz w:val="20"/>
                <w:szCs w:val="20"/>
              </w:rPr>
              <w:t xml:space="preserve">With or Without </w:t>
            </w:r>
            <w:proofErr w:type="spellStart"/>
            <w:r w:rsidR="00166F6A" w:rsidRPr="00087C8F">
              <w:rPr>
                <w:rFonts w:eastAsia="MS Mincho" w:cs="ArialMT"/>
                <w:sz w:val="20"/>
                <w:szCs w:val="20"/>
              </w:rPr>
              <w:t>Bevacizumab</w:t>
            </w:r>
            <w:proofErr w:type="spellEnd"/>
            <w:r w:rsidR="00166483">
              <w:rPr>
                <w:rFonts w:eastAsia="MS Mincho" w:cs="ArialMT"/>
                <w:sz w:val="20"/>
                <w:szCs w:val="20"/>
              </w:rPr>
              <w:t xml:space="preserve"> </w:t>
            </w:r>
            <w:r w:rsidRPr="00087C8F">
              <w:rPr>
                <w:rFonts w:eastAsia="MS Mincho" w:cs="ArialMT"/>
                <w:sz w:val="20"/>
                <w:szCs w:val="20"/>
              </w:rPr>
              <w:t>in Treating Patients Who</w:t>
            </w:r>
            <w:r w:rsidR="00166483">
              <w:rPr>
                <w:rFonts w:eastAsia="MS Mincho" w:cs="ArialMT"/>
                <w:sz w:val="20"/>
                <w:szCs w:val="20"/>
              </w:rPr>
              <w:t xml:space="preserve"> </w:t>
            </w:r>
            <w:r w:rsidRPr="00087C8F">
              <w:rPr>
                <w:rFonts w:eastAsia="MS Mincho" w:cs="ArialMT"/>
                <w:sz w:val="20"/>
                <w:szCs w:val="20"/>
              </w:rPr>
              <w:t>Have Undergone Surgery for Colon Cancer.</w:t>
            </w:r>
          </w:p>
          <w:p w:rsidR="00C23F70" w:rsidRPr="00087C8F" w:rsidRDefault="00C23F70" w:rsidP="00166483">
            <w:pPr>
              <w:autoSpaceDE w:val="0"/>
              <w:autoSpaceDN w:val="0"/>
              <w:spacing w:line="240" w:lineRule="auto"/>
              <w:ind w:left="0" w:right="0"/>
              <w:rPr>
                <w:rFonts w:eastAsia="MS Mincho" w:cs="ArialMT"/>
                <w:sz w:val="20"/>
                <w:szCs w:val="20"/>
              </w:rPr>
            </w:pPr>
            <w:r w:rsidRPr="00087C8F">
              <w:rPr>
                <w:rFonts w:eastAsia="MS Mincho" w:cs="ArialMT"/>
                <w:sz w:val="20"/>
                <w:szCs w:val="20"/>
              </w:rPr>
              <w:t>Objectives: to characterise</w:t>
            </w:r>
            <w:r w:rsidR="00166483">
              <w:rPr>
                <w:rFonts w:eastAsia="MS Mincho" w:cs="ArialMT"/>
                <w:sz w:val="20"/>
                <w:szCs w:val="20"/>
              </w:rPr>
              <w:t xml:space="preserve"> </w:t>
            </w:r>
            <w:r w:rsidRPr="00087C8F">
              <w:rPr>
                <w:rFonts w:eastAsia="MS Mincho" w:cs="ArialMT"/>
                <w:sz w:val="20"/>
                <w:szCs w:val="20"/>
              </w:rPr>
              <w:t>the comparative incidence of</w:t>
            </w:r>
            <w:r w:rsidR="00166483">
              <w:rPr>
                <w:rFonts w:eastAsia="MS Mincho" w:cs="ArialMT"/>
                <w:sz w:val="20"/>
                <w:szCs w:val="20"/>
              </w:rPr>
              <w:t xml:space="preserve"> </w:t>
            </w:r>
            <w:r w:rsidRPr="00087C8F">
              <w:rPr>
                <w:rFonts w:eastAsia="MS Mincho" w:cs="ArialMT"/>
                <w:sz w:val="20"/>
                <w:szCs w:val="20"/>
              </w:rPr>
              <w:t>delayed vascular events in</w:t>
            </w:r>
            <w:r w:rsidR="00166483">
              <w:rPr>
                <w:rFonts w:eastAsia="MS Mincho" w:cs="ArialMT"/>
                <w:sz w:val="20"/>
                <w:szCs w:val="20"/>
              </w:rPr>
              <w:t xml:space="preserve"> </w:t>
            </w:r>
            <w:proofErr w:type="spellStart"/>
            <w:r w:rsidR="00166F6A" w:rsidRPr="00087C8F">
              <w:rPr>
                <w:rFonts w:eastAsia="MS Mincho" w:cs="ArialMT"/>
                <w:sz w:val="20"/>
                <w:szCs w:val="20"/>
              </w:rPr>
              <w:t>bevacizumab</w:t>
            </w:r>
            <w:r w:rsidRPr="00087C8F">
              <w:rPr>
                <w:rFonts w:eastAsia="MS Mincho" w:cs="ArialMT"/>
                <w:sz w:val="20"/>
                <w:szCs w:val="20"/>
              </w:rPr>
              <w:t>treated</w:t>
            </w:r>
            <w:proofErr w:type="spellEnd"/>
            <w:r w:rsidRPr="00087C8F">
              <w:rPr>
                <w:rFonts w:eastAsia="MS Mincho" w:cs="ArialMT"/>
                <w:sz w:val="20"/>
                <w:szCs w:val="20"/>
              </w:rPr>
              <w:t xml:space="preserve"> patients</w:t>
            </w:r>
            <w:r w:rsidR="00166483">
              <w:rPr>
                <w:rFonts w:eastAsia="MS Mincho" w:cs="ArialMT"/>
                <w:sz w:val="20"/>
                <w:szCs w:val="20"/>
              </w:rPr>
              <w:t xml:space="preserve"> </w:t>
            </w:r>
            <w:r w:rsidRPr="00087C8F">
              <w:rPr>
                <w:rFonts w:eastAsia="MS Mincho" w:cs="ArialMT"/>
                <w:sz w:val="20"/>
                <w:szCs w:val="20"/>
              </w:rPr>
              <w:t>following the discontinuation</w:t>
            </w:r>
            <w:r w:rsidR="00166483">
              <w:rPr>
                <w:rFonts w:eastAsia="MS Mincho" w:cs="ArialMT"/>
                <w:sz w:val="20"/>
                <w:szCs w:val="20"/>
              </w:rPr>
              <w:t xml:space="preserve"> </w:t>
            </w:r>
            <w:r w:rsidRPr="00087C8F">
              <w:rPr>
                <w:rFonts w:eastAsia="MS Mincho" w:cs="ArialMT"/>
                <w:sz w:val="20"/>
                <w:szCs w:val="20"/>
              </w:rPr>
              <w:t xml:space="preserve">of </w:t>
            </w:r>
            <w:proofErr w:type="spellStart"/>
            <w:r w:rsidR="00166F6A" w:rsidRPr="00087C8F">
              <w:rPr>
                <w:rFonts w:eastAsia="MS Mincho" w:cs="ArialMT"/>
                <w:sz w:val="20"/>
                <w:szCs w:val="20"/>
              </w:rPr>
              <w:t>bevacizumab</w:t>
            </w:r>
            <w:proofErr w:type="spellEnd"/>
            <w:r w:rsidRPr="00087C8F">
              <w:rPr>
                <w:rFonts w:eastAsia="MS Mincho" w:cs="ArialMT"/>
                <w:sz w:val="20"/>
                <w:szCs w:val="20"/>
              </w:rPr>
              <w:t xml:space="preserve"> and in</w:t>
            </w:r>
            <w:r w:rsidR="00166483">
              <w:rPr>
                <w:rFonts w:eastAsia="MS Mincho" w:cs="ArialMT"/>
                <w:sz w:val="20"/>
                <w:szCs w:val="20"/>
              </w:rPr>
              <w:t xml:space="preserve"> </w:t>
            </w:r>
            <w:r w:rsidRPr="00087C8F">
              <w:rPr>
                <w:rFonts w:eastAsia="MS Mincho" w:cs="ArialMT"/>
                <w:sz w:val="20"/>
                <w:szCs w:val="20"/>
              </w:rPr>
              <w:t>concurrently enrolled control</w:t>
            </w:r>
            <w:r w:rsidR="00166483">
              <w:rPr>
                <w:rFonts w:eastAsia="MS Mincho" w:cs="ArialMT"/>
                <w:sz w:val="20"/>
                <w:szCs w:val="20"/>
              </w:rPr>
              <w:t xml:space="preserve"> </w:t>
            </w:r>
            <w:r w:rsidRPr="00087C8F">
              <w:rPr>
                <w:rFonts w:eastAsia="MS Mincho" w:cs="ArialMT"/>
                <w:sz w:val="20"/>
                <w:szCs w:val="20"/>
              </w:rPr>
              <w:t>patients.</w:t>
            </w:r>
          </w:p>
        </w:tc>
        <w:tc>
          <w:tcPr>
            <w:tcW w:w="2155" w:type="dxa"/>
          </w:tcPr>
          <w:p w:rsidR="00C23F70" w:rsidRPr="00087C8F" w:rsidRDefault="00C23F70" w:rsidP="00166483">
            <w:pPr>
              <w:ind w:left="0" w:right="0"/>
              <w:rPr>
                <w:rFonts w:eastAsia="MS Mincho" w:cs="ArialMT"/>
                <w:sz w:val="20"/>
                <w:szCs w:val="20"/>
              </w:rPr>
            </w:pPr>
            <w:r w:rsidRPr="00087C8F">
              <w:rPr>
                <w:rFonts w:eastAsia="MS Mincho" w:cs="ArialMT"/>
                <w:sz w:val="20"/>
                <w:szCs w:val="20"/>
              </w:rPr>
              <w:t>Estimated study end 2014. Final report due 2015.</w:t>
            </w:r>
          </w:p>
        </w:tc>
      </w:tr>
      <w:tr w:rsidR="00C23F70" w:rsidRPr="004F3C62" w:rsidTr="00166483">
        <w:trPr>
          <w:trHeight w:val="128"/>
        </w:trPr>
        <w:tc>
          <w:tcPr>
            <w:tcW w:w="2093" w:type="dxa"/>
          </w:tcPr>
          <w:p w:rsidR="00C23F70" w:rsidRPr="00087C8F" w:rsidRDefault="00C23F70" w:rsidP="00166483">
            <w:pPr>
              <w:autoSpaceDE w:val="0"/>
              <w:autoSpaceDN w:val="0"/>
              <w:spacing w:line="240" w:lineRule="auto"/>
              <w:ind w:left="0" w:right="0"/>
              <w:rPr>
                <w:rFonts w:eastAsia="MS Mincho" w:cs="ArialMT"/>
                <w:b/>
                <w:sz w:val="20"/>
                <w:szCs w:val="20"/>
              </w:rPr>
            </w:pPr>
            <w:r w:rsidRPr="00087C8F">
              <w:rPr>
                <w:rFonts w:eastAsia="MS Mincho" w:cs="ArialMT"/>
                <w:b/>
                <w:sz w:val="20"/>
                <w:szCs w:val="20"/>
              </w:rPr>
              <w:t>BO20924</w:t>
            </w:r>
          </w:p>
          <w:p w:rsidR="00C23F70" w:rsidRPr="00087C8F" w:rsidRDefault="00C23F70" w:rsidP="00166483">
            <w:pPr>
              <w:autoSpaceDE w:val="0"/>
              <w:autoSpaceDN w:val="0"/>
              <w:spacing w:line="240" w:lineRule="auto"/>
              <w:ind w:left="0" w:right="0"/>
              <w:rPr>
                <w:rFonts w:eastAsia="MS Mincho" w:cs="ArialMT"/>
                <w:b/>
                <w:sz w:val="20"/>
                <w:szCs w:val="20"/>
              </w:rPr>
            </w:pPr>
            <w:r w:rsidRPr="00087C8F">
              <w:rPr>
                <w:rFonts w:eastAsia="MS Mincho" w:cs="ArialMT"/>
                <w:b/>
                <w:sz w:val="20"/>
                <w:szCs w:val="20"/>
              </w:rPr>
              <w:t>BERNIE)</w:t>
            </w:r>
          </w:p>
          <w:p w:rsidR="00C23F70" w:rsidRPr="00087C8F" w:rsidRDefault="00C23F70" w:rsidP="00166483">
            <w:pPr>
              <w:autoSpaceDE w:val="0"/>
              <w:autoSpaceDN w:val="0"/>
              <w:spacing w:line="240" w:lineRule="auto"/>
              <w:ind w:left="0" w:right="0"/>
              <w:rPr>
                <w:rFonts w:eastAsia="MS Mincho"/>
                <w:b/>
                <w:sz w:val="20"/>
                <w:szCs w:val="20"/>
              </w:rPr>
            </w:pPr>
            <w:r w:rsidRPr="00087C8F">
              <w:rPr>
                <w:rFonts w:eastAsia="MS Mincho" w:cs="ArialMT"/>
                <w:b/>
                <w:sz w:val="20"/>
                <w:szCs w:val="20"/>
              </w:rPr>
              <w:t>(ongoing)</w:t>
            </w:r>
          </w:p>
        </w:tc>
        <w:tc>
          <w:tcPr>
            <w:tcW w:w="2268" w:type="dxa"/>
          </w:tcPr>
          <w:p w:rsidR="00C23F70" w:rsidRPr="00087C8F" w:rsidRDefault="00C23F70" w:rsidP="00166483">
            <w:pPr>
              <w:ind w:left="0" w:right="0"/>
              <w:rPr>
                <w:sz w:val="20"/>
                <w:szCs w:val="20"/>
              </w:rPr>
            </w:pPr>
            <w:proofErr w:type="spellStart"/>
            <w:r w:rsidRPr="00087C8F">
              <w:rPr>
                <w:sz w:val="20"/>
                <w:szCs w:val="20"/>
              </w:rPr>
              <w:t>Physeal</w:t>
            </w:r>
            <w:proofErr w:type="spellEnd"/>
            <w:r w:rsidRPr="00087C8F">
              <w:rPr>
                <w:sz w:val="20"/>
                <w:szCs w:val="20"/>
              </w:rPr>
              <w:t xml:space="preserve"> </w:t>
            </w:r>
            <w:proofErr w:type="spellStart"/>
            <w:r w:rsidRPr="00087C8F">
              <w:rPr>
                <w:sz w:val="20"/>
                <w:szCs w:val="20"/>
              </w:rPr>
              <w:t>dysokasia</w:t>
            </w:r>
            <w:proofErr w:type="spellEnd"/>
            <w:r w:rsidRPr="00087C8F">
              <w:rPr>
                <w:sz w:val="20"/>
                <w:szCs w:val="20"/>
              </w:rPr>
              <w:t>: Clinical significance in paediatric patients</w:t>
            </w:r>
          </w:p>
          <w:p w:rsidR="00C23F70" w:rsidRPr="00087C8F" w:rsidRDefault="00C23F70" w:rsidP="00166483">
            <w:pPr>
              <w:ind w:left="0" w:right="0"/>
              <w:rPr>
                <w:sz w:val="20"/>
                <w:szCs w:val="20"/>
              </w:rPr>
            </w:pPr>
            <w:r w:rsidRPr="00087C8F">
              <w:rPr>
                <w:sz w:val="20"/>
                <w:szCs w:val="20"/>
              </w:rPr>
              <w:t xml:space="preserve">Long-term effects of </w:t>
            </w:r>
            <w:proofErr w:type="spellStart"/>
            <w:r w:rsidR="00166F6A" w:rsidRPr="00087C8F">
              <w:rPr>
                <w:sz w:val="20"/>
                <w:szCs w:val="20"/>
              </w:rPr>
              <w:t>bevacizumab</w:t>
            </w:r>
            <w:proofErr w:type="spellEnd"/>
            <w:r w:rsidRPr="00087C8F">
              <w:rPr>
                <w:sz w:val="20"/>
                <w:szCs w:val="20"/>
              </w:rPr>
              <w:t xml:space="preserve"> when used in the paediatric population.</w:t>
            </w:r>
          </w:p>
        </w:tc>
        <w:tc>
          <w:tcPr>
            <w:tcW w:w="2410" w:type="dxa"/>
          </w:tcPr>
          <w:p w:rsidR="00C23F70" w:rsidRPr="00087C8F" w:rsidRDefault="00C23F70" w:rsidP="00166483">
            <w:pPr>
              <w:autoSpaceDE w:val="0"/>
              <w:autoSpaceDN w:val="0"/>
              <w:spacing w:line="240" w:lineRule="auto"/>
              <w:ind w:left="0" w:right="0"/>
              <w:rPr>
                <w:rFonts w:eastAsia="MS Mincho"/>
                <w:sz w:val="20"/>
                <w:szCs w:val="20"/>
              </w:rPr>
            </w:pPr>
            <w:r w:rsidRPr="00087C8F">
              <w:rPr>
                <w:sz w:val="20"/>
                <w:szCs w:val="20"/>
              </w:rPr>
              <w:t xml:space="preserve">open-label, multi-centre, randomised </w:t>
            </w:r>
            <w:r w:rsidR="00174CCF" w:rsidRPr="00087C8F">
              <w:rPr>
                <w:sz w:val="20"/>
                <w:szCs w:val="20"/>
              </w:rPr>
              <w:t>P</w:t>
            </w:r>
            <w:r w:rsidRPr="00087C8F">
              <w:rPr>
                <w:sz w:val="20"/>
                <w:szCs w:val="20"/>
              </w:rPr>
              <w:t xml:space="preserve">hase II trial in children and adolescents with metastatic </w:t>
            </w:r>
            <w:proofErr w:type="spellStart"/>
            <w:r w:rsidRPr="00087C8F">
              <w:rPr>
                <w:sz w:val="20"/>
                <w:szCs w:val="20"/>
              </w:rPr>
              <w:t>rhabdomyosarcoma</w:t>
            </w:r>
            <w:proofErr w:type="spellEnd"/>
            <w:r w:rsidRPr="00087C8F">
              <w:rPr>
                <w:sz w:val="20"/>
                <w:szCs w:val="20"/>
              </w:rPr>
              <w:t xml:space="preserve"> and non-</w:t>
            </w:r>
            <w:proofErr w:type="spellStart"/>
            <w:r w:rsidRPr="00087C8F">
              <w:rPr>
                <w:sz w:val="20"/>
                <w:szCs w:val="20"/>
              </w:rPr>
              <w:t>rhabdomyosarcoma</w:t>
            </w:r>
            <w:proofErr w:type="spellEnd"/>
            <w:r w:rsidRPr="00087C8F">
              <w:rPr>
                <w:sz w:val="20"/>
                <w:szCs w:val="20"/>
              </w:rPr>
              <w:t xml:space="preserve"> soft tissue sarcoma to assess addition of </w:t>
            </w:r>
            <w:proofErr w:type="spellStart"/>
            <w:r w:rsidR="00166F6A" w:rsidRPr="00087C8F">
              <w:rPr>
                <w:sz w:val="20"/>
                <w:szCs w:val="20"/>
              </w:rPr>
              <w:t>bevacizumab</w:t>
            </w:r>
            <w:proofErr w:type="spellEnd"/>
            <w:r w:rsidRPr="00087C8F">
              <w:rPr>
                <w:sz w:val="20"/>
                <w:szCs w:val="20"/>
              </w:rPr>
              <w:t xml:space="preserve"> to chemotherapy</w:t>
            </w:r>
          </w:p>
        </w:tc>
        <w:tc>
          <w:tcPr>
            <w:tcW w:w="2155" w:type="dxa"/>
          </w:tcPr>
          <w:p w:rsidR="00C23F70" w:rsidRPr="00087C8F" w:rsidRDefault="00C23F70" w:rsidP="00166483">
            <w:pPr>
              <w:ind w:left="0" w:right="0"/>
              <w:rPr>
                <w:sz w:val="20"/>
                <w:szCs w:val="20"/>
              </w:rPr>
            </w:pPr>
            <w:r w:rsidRPr="00087C8F">
              <w:rPr>
                <w:sz w:val="20"/>
                <w:szCs w:val="20"/>
              </w:rPr>
              <w:t xml:space="preserve">CSR expected </w:t>
            </w:r>
            <w:r w:rsidR="00174CCF" w:rsidRPr="00087C8F">
              <w:rPr>
                <w:sz w:val="20"/>
                <w:szCs w:val="20"/>
              </w:rPr>
              <w:t>first quarter</w:t>
            </w:r>
            <w:r w:rsidRPr="00087C8F">
              <w:rPr>
                <w:sz w:val="20"/>
                <w:szCs w:val="20"/>
              </w:rPr>
              <w:t xml:space="preserve"> 2016</w:t>
            </w:r>
            <w:r w:rsidR="00174CCF" w:rsidRPr="00087C8F">
              <w:rPr>
                <w:sz w:val="20"/>
                <w:szCs w:val="20"/>
              </w:rPr>
              <w:t>.</w:t>
            </w:r>
          </w:p>
          <w:p w:rsidR="00C23F70" w:rsidRPr="00087C8F" w:rsidRDefault="00C23F70" w:rsidP="00166483">
            <w:pPr>
              <w:ind w:left="0" w:right="0"/>
              <w:rPr>
                <w:sz w:val="20"/>
                <w:szCs w:val="20"/>
              </w:rPr>
            </w:pPr>
            <w:r w:rsidRPr="00087C8F">
              <w:rPr>
                <w:sz w:val="20"/>
                <w:szCs w:val="20"/>
              </w:rPr>
              <w:t xml:space="preserve">Final report due </w:t>
            </w:r>
            <w:r w:rsidR="00174CCF" w:rsidRPr="00087C8F">
              <w:rPr>
                <w:sz w:val="20"/>
                <w:szCs w:val="20"/>
              </w:rPr>
              <w:t>first quarter</w:t>
            </w:r>
            <w:r w:rsidR="00166483">
              <w:rPr>
                <w:sz w:val="20"/>
                <w:szCs w:val="20"/>
              </w:rPr>
              <w:t xml:space="preserve"> 2017</w:t>
            </w:r>
          </w:p>
        </w:tc>
      </w:tr>
    </w:tbl>
    <w:p w:rsidR="009259E3" w:rsidRPr="009259E3" w:rsidRDefault="009259E3" w:rsidP="00A536EA">
      <w:pPr>
        <w:pStyle w:val="TableDescription"/>
        <w:rPr>
          <w:lang w:eastAsia="en-AU"/>
        </w:rPr>
      </w:pPr>
      <w:r w:rsidRPr="009259E3">
        <w:rPr>
          <w:lang w:eastAsia="en-AU"/>
        </w:rPr>
        <w:t xml:space="preserve">CSR=company study report; </w:t>
      </w:r>
      <w:r w:rsidR="00174CCF" w:rsidRPr="00174CCF">
        <w:t>DSMBs=Data and Safety Monitoring Board</w:t>
      </w:r>
    </w:p>
    <w:p w:rsidR="004C67AA" w:rsidRDefault="004C67AA" w:rsidP="00A536EA">
      <w:pPr>
        <w:pStyle w:val="Heading4"/>
        <w:rPr>
          <w:lang w:eastAsia="en-AU"/>
        </w:rPr>
      </w:pPr>
      <w:r>
        <w:rPr>
          <w:lang w:eastAsia="en-AU"/>
        </w:rPr>
        <w:t xml:space="preserve">Risk </w:t>
      </w:r>
      <w:r w:rsidRPr="00A536EA">
        <w:t>minimisation</w:t>
      </w:r>
      <w:r>
        <w:rPr>
          <w:lang w:eastAsia="en-AU"/>
        </w:rPr>
        <w:t xml:space="preserve"> activities</w:t>
      </w:r>
    </w:p>
    <w:p w:rsidR="00C23F70" w:rsidRPr="008A44E9" w:rsidRDefault="00C23F70" w:rsidP="00A536EA">
      <w:bookmarkStart w:id="87" w:name="_Toc247691527"/>
      <w:r w:rsidRPr="008A44E9">
        <w:t xml:space="preserve">Routine risk minimisation activities are proposed for all safety concerns except for one area of missing information </w:t>
      </w:r>
      <w:r w:rsidR="00775109" w:rsidRPr="00874B8F">
        <w:t>‘</w:t>
      </w:r>
      <w:r w:rsidR="00073D4D" w:rsidRPr="00874B8F">
        <w:rPr>
          <w:i/>
        </w:rPr>
        <w:t>safety profile of the different treatment combination in patients with non-squamous NSCLC</w:t>
      </w:r>
      <w:r w:rsidR="00775109" w:rsidRPr="00874B8F">
        <w:t>’</w:t>
      </w:r>
      <w:r w:rsidR="00073D4D" w:rsidRPr="00874B8F">
        <w:t>.</w:t>
      </w:r>
    </w:p>
    <w:p w:rsidR="00C23F70" w:rsidRPr="008A44E9" w:rsidRDefault="00C23F70" w:rsidP="00A536EA">
      <w:r w:rsidRPr="002E3621">
        <w:t>It is recommended that the ASA be revised</w:t>
      </w:r>
      <w:r w:rsidRPr="008A44E9">
        <w:t xml:space="preserve"> to comply with the standard format specified in the TGA RMP </w:t>
      </w:r>
      <w:r w:rsidR="002F781F" w:rsidRPr="008A44E9">
        <w:t>Questions and Answers</w:t>
      </w:r>
      <w:r w:rsidRPr="008A44E9">
        <w:t>. This includes information on Australian</w:t>
      </w:r>
      <w:r w:rsidR="00174CCF" w:rsidRPr="008A44E9">
        <w:t xml:space="preserve"> </w:t>
      </w:r>
      <w:r w:rsidRPr="008A44E9">
        <w:t>specific epidemiological data. Furthermore, the sponsor should include the following within the ASA:</w:t>
      </w:r>
    </w:p>
    <w:p w:rsidR="00C23F70" w:rsidRPr="00A536EA" w:rsidRDefault="00C23F70" w:rsidP="00A536EA">
      <w:pPr>
        <w:pStyle w:val="ListBullet"/>
      </w:pPr>
      <w:r w:rsidRPr="00A62574">
        <w:t xml:space="preserve">The studies referenced in the pharmacovigilance plan will generate safety data that will simply support the known safety profile of the medicine, while others will generate data that will provoke applications to amend the Australian registration details. To </w:t>
      </w:r>
      <w:r w:rsidRPr="00A536EA">
        <w:t>this end, it is suggested that the sponsor should provide an attachment to the ASA setting out all the forthcoming studies and the anticipated dates for their submission in Australia.</w:t>
      </w:r>
    </w:p>
    <w:p w:rsidR="00C23F70" w:rsidRPr="00A536EA" w:rsidRDefault="00C23F70" w:rsidP="00A536EA">
      <w:pPr>
        <w:pStyle w:val="ListBullet"/>
      </w:pPr>
      <w:r w:rsidRPr="00A536EA">
        <w:t xml:space="preserve">The sponsor should amend </w:t>
      </w:r>
      <w:r w:rsidR="00174CCF" w:rsidRPr="00A536EA">
        <w:t>T</w:t>
      </w:r>
      <w:r w:rsidRPr="00A536EA">
        <w:t>able 2 in the ASA to include the areas of important missing information.</w:t>
      </w:r>
    </w:p>
    <w:p w:rsidR="00C23F70" w:rsidRPr="00A62574" w:rsidRDefault="00C23F70" w:rsidP="00A536EA">
      <w:pPr>
        <w:pStyle w:val="ListBullet"/>
      </w:pPr>
      <w:r w:rsidRPr="00A536EA">
        <w:t>The sponsor should detail</w:t>
      </w:r>
      <w:r w:rsidRPr="00A62574">
        <w:t xml:space="preserve"> within the ASA the wording by which risk minimisation is exercised in the Australian PI.</w:t>
      </w:r>
    </w:p>
    <w:p w:rsidR="004C67AA" w:rsidRDefault="004C67AA" w:rsidP="00A536EA">
      <w:pPr>
        <w:pStyle w:val="Heading4"/>
        <w:rPr>
          <w:lang w:eastAsia="en-AU"/>
        </w:rPr>
      </w:pPr>
      <w:r w:rsidRPr="006F25B8">
        <w:rPr>
          <w:lang w:eastAsia="en-AU"/>
        </w:rPr>
        <w:lastRenderedPageBreak/>
        <w:t>Reconciliation of is</w:t>
      </w:r>
      <w:r w:rsidR="00A536EA">
        <w:rPr>
          <w:lang w:eastAsia="en-AU"/>
        </w:rPr>
        <w:t>sues outlined in the RMP report</w:t>
      </w:r>
    </w:p>
    <w:p w:rsidR="004C67AA" w:rsidRDefault="004C67AA" w:rsidP="00A536EA">
      <w:pPr>
        <w:rPr>
          <w:lang w:eastAsia="en-AU"/>
        </w:rPr>
      </w:pPr>
      <w:r>
        <w:rPr>
          <w:lang w:eastAsia="en-AU"/>
        </w:rPr>
        <w:t xml:space="preserve">Table </w:t>
      </w:r>
      <w:r w:rsidR="00AD12FE">
        <w:rPr>
          <w:lang w:eastAsia="en-AU"/>
        </w:rPr>
        <w:t>5</w:t>
      </w:r>
      <w:r>
        <w:rPr>
          <w:lang w:eastAsia="en-AU"/>
        </w:rPr>
        <w:t xml:space="preserve"> summarises the OPR’s first round evaluation of the RMP, the sponsor’s responses to issues raised by the OPR and the OPR’s evaluation of the sponsor’s responses.</w:t>
      </w:r>
    </w:p>
    <w:p w:rsidR="00C23F70" w:rsidRPr="007848B3" w:rsidRDefault="00174CCF" w:rsidP="00A536EA">
      <w:pPr>
        <w:pStyle w:val="TableTitle"/>
      </w:pPr>
      <w:proofErr w:type="gramStart"/>
      <w:r>
        <w:t xml:space="preserve">Table </w:t>
      </w:r>
      <w:r w:rsidR="00AD12FE">
        <w:t>5</w:t>
      </w:r>
      <w:r w:rsidR="00B11B95">
        <w:t>.</w:t>
      </w:r>
      <w:proofErr w:type="gramEnd"/>
      <w:r w:rsidR="00B11B95">
        <w:t xml:space="preserve"> </w:t>
      </w:r>
      <w:r w:rsidR="00C23F70" w:rsidRPr="00107999">
        <w:t>Reconciliation of issues outlined in the RMP report</w:t>
      </w:r>
    </w:p>
    <w:tbl>
      <w:tblPr>
        <w:tblStyle w:val="TableTGAblue"/>
        <w:tblW w:w="5101" w:type="pct"/>
        <w:jc w:val="center"/>
        <w:tblLayout w:type="fixed"/>
        <w:tblLook w:val="04A0" w:firstRow="1" w:lastRow="0" w:firstColumn="1" w:lastColumn="0" w:noHBand="0" w:noVBand="1"/>
      </w:tblPr>
      <w:tblGrid>
        <w:gridCol w:w="2506"/>
        <w:gridCol w:w="4339"/>
        <w:gridCol w:w="2051"/>
      </w:tblGrid>
      <w:tr w:rsidR="00C23F70" w:rsidRPr="000019BE" w:rsidTr="00174CCF">
        <w:trPr>
          <w:cnfStyle w:val="100000000000" w:firstRow="1" w:lastRow="0" w:firstColumn="0" w:lastColumn="0" w:oddVBand="0" w:evenVBand="0" w:oddHBand="0" w:evenHBand="0" w:firstRowFirstColumn="0" w:firstRowLastColumn="0" w:lastRowFirstColumn="0" w:lastRowLastColumn="0"/>
          <w:jc w:val="center"/>
        </w:trPr>
        <w:tc>
          <w:tcPr>
            <w:tcW w:w="1408" w:type="pct"/>
            <w:noWrap/>
          </w:tcPr>
          <w:p w:rsidR="00C23F70" w:rsidRPr="00A536EA" w:rsidRDefault="00C23F70" w:rsidP="00A536EA">
            <w:pPr>
              <w:rPr>
                <w:sz w:val="20"/>
                <w:szCs w:val="20"/>
              </w:rPr>
            </w:pPr>
            <w:r w:rsidRPr="00A536EA">
              <w:rPr>
                <w:sz w:val="20"/>
                <w:szCs w:val="20"/>
              </w:rPr>
              <w:t>Recommendation in RMP evaluation report</w:t>
            </w:r>
          </w:p>
        </w:tc>
        <w:tc>
          <w:tcPr>
            <w:tcW w:w="2438" w:type="pct"/>
            <w:noWrap/>
          </w:tcPr>
          <w:p w:rsidR="00C23F70" w:rsidRPr="00A536EA" w:rsidRDefault="00C23F70" w:rsidP="00A536EA">
            <w:pPr>
              <w:rPr>
                <w:sz w:val="20"/>
                <w:szCs w:val="20"/>
              </w:rPr>
            </w:pPr>
            <w:r w:rsidRPr="00A536EA">
              <w:rPr>
                <w:sz w:val="20"/>
                <w:szCs w:val="20"/>
              </w:rPr>
              <w:t>Sponsor’s response</w:t>
            </w:r>
          </w:p>
        </w:tc>
        <w:tc>
          <w:tcPr>
            <w:tcW w:w="1153" w:type="pct"/>
            <w:noWrap/>
          </w:tcPr>
          <w:p w:rsidR="00C23F70" w:rsidRPr="00A536EA" w:rsidRDefault="00C23F70" w:rsidP="00A536EA">
            <w:pPr>
              <w:rPr>
                <w:sz w:val="20"/>
                <w:szCs w:val="20"/>
              </w:rPr>
            </w:pPr>
            <w:r w:rsidRPr="00A536EA">
              <w:rPr>
                <w:sz w:val="20"/>
                <w:szCs w:val="20"/>
              </w:rPr>
              <w:t>OPR evaluator’s comment</w:t>
            </w:r>
          </w:p>
        </w:tc>
      </w:tr>
      <w:tr w:rsidR="00C23F70" w:rsidRPr="000019BE" w:rsidTr="00174CCF">
        <w:trPr>
          <w:jc w:val="center"/>
        </w:trPr>
        <w:tc>
          <w:tcPr>
            <w:tcW w:w="140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A536EA" w:rsidRDefault="00C23F70" w:rsidP="004D7354">
            <w:pPr>
              <w:pStyle w:val="Numberbullet0"/>
              <w:numPr>
                <w:ilvl w:val="0"/>
                <w:numId w:val="21"/>
              </w:numPr>
              <w:ind w:left="230" w:right="0" w:hanging="218"/>
            </w:pPr>
            <w:r w:rsidRPr="00A536EA">
              <w:t xml:space="preserve">Although the sponsor has stated that the above </w:t>
            </w:r>
            <w:r w:rsidR="00775109" w:rsidRPr="00A536EA">
              <w:t>‘</w:t>
            </w:r>
            <w:r w:rsidRPr="00A536EA">
              <w:t>additional information</w:t>
            </w:r>
            <w:r w:rsidR="00775109" w:rsidRPr="00A536EA">
              <w:t>’</w:t>
            </w:r>
            <w:r w:rsidRPr="00A536EA">
              <w:t xml:space="preserve"> has been added to the EU-RMP Version 13.0, the sponsor should clarify if any deletions or other changes were made to the EU-RMP.</w:t>
            </w:r>
          </w:p>
        </w:tc>
        <w:tc>
          <w:tcPr>
            <w:tcW w:w="243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019BE" w:rsidRDefault="00C23F70" w:rsidP="00A536EA">
            <w:pPr>
              <w:pStyle w:val="Default"/>
              <w:spacing w:before="120" w:after="120"/>
              <w:ind w:left="0" w:right="0"/>
              <w:rPr>
                <w:rFonts w:asciiTheme="minorHAnsi" w:hAnsiTheme="minorHAnsi"/>
                <w:i/>
                <w:sz w:val="20"/>
                <w:szCs w:val="20"/>
              </w:rPr>
            </w:pPr>
            <w:r w:rsidRPr="000019BE">
              <w:rPr>
                <w:rFonts w:asciiTheme="minorHAnsi" w:hAnsiTheme="minorHAnsi"/>
                <w:i/>
                <w:sz w:val="20"/>
                <w:szCs w:val="20"/>
              </w:rPr>
              <w:t xml:space="preserve">In addition to the </w:t>
            </w:r>
            <w:r w:rsidR="00775109">
              <w:rPr>
                <w:rFonts w:asciiTheme="minorHAnsi" w:hAnsiTheme="minorHAnsi"/>
                <w:i/>
                <w:sz w:val="20"/>
                <w:szCs w:val="20"/>
              </w:rPr>
              <w:t>‘</w:t>
            </w:r>
            <w:r w:rsidRPr="000019BE">
              <w:rPr>
                <w:rFonts w:asciiTheme="minorHAnsi" w:hAnsiTheme="minorHAnsi"/>
                <w:i/>
                <w:sz w:val="20"/>
                <w:szCs w:val="20"/>
              </w:rPr>
              <w:t>additional information</w:t>
            </w:r>
            <w:r w:rsidR="00775109">
              <w:rPr>
                <w:rFonts w:asciiTheme="minorHAnsi" w:hAnsiTheme="minorHAnsi"/>
                <w:i/>
                <w:sz w:val="20"/>
                <w:szCs w:val="20"/>
              </w:rPr>
              <w:t>’</w:t>
            </w:r>
            <w:r w:rsidRPr="000019BE">
              <w:rPr>
                <w:rFonts w:asciiTheme="minorHAnsi" w:hAnsiTheme="minorHAnsi"/>
                <w:i/>
                <w:sz w:val="20"/>
                <w:szCs w:val="20"/>
              </w:rPr>
              <w:t xml:space="preserve"> added to the EU-RMP Version 13.0, from EU-RMP Version 10.0 (the previous EU-RMP submitted to TGA); conversion to the new EU RMP template lead to additio</w:t>
            </w:r>
            <w:r w:rsidR="004D7354">
              <w:rPr>
                <w:rFonts w:asciiTheme="minorHAnsi" w:hAnsiTheme="minorHAnsi"/>
                <w:i/>
                <w:sz w:val="20"/>
                <w:szCs w:val="20"/>
              </w:rPr>
              <w:t>n of the following new content:</w:t>
            </w:r>
          </w:p>
          <w:p w:rsidR="00C23F70" w:rsidRPr="004D7354" w:rsidRDefault="00C23F70" w:rsidP="00C04005">
            <w:pPr>
              <w:pStyle w:val="ListBullet"/>
              <w:spacing w:before="60" w:after="60"/>
              <w:ind w:left="278" w:right="23" w:hanging="278"/>
              <w:rPr>
                <w:i/>
                <w:sz w:val="20"/>
                <w:szCs w:val="20"/>
              </w:rPr>
            </w:pPr>
            <w:r w:rsidRPr="004D7354">
              <w:rPr>
                <w:i/>
                <w:sz w:val="20"/>
                <w:szCs w:val="20"/>
              </w:rPr>
              <w:t>Overview of EU RMP versions approved b</w:t>
            </w:r>
            <w:r w:rsidR="004D7354">
              <w:rPr>
                <w:i/>
                <w:sz w:val="20"/>
                <w:szCs w:val="20"/>
              </w:rPr>
              <w:t>y the CHMP or under evaluation.</w:t>
            </w:r>
          </w:p>
          <w:p w:rsidR="00C23F70" w:rsidRPr="004D7354" w:rsidRDefault="00C23F70" w:rsidP="00C04005">
            <w:pPr>
              <w:pStyle w:val="ListBullet"/>
              <w:spacing w:before="60" w:after="60"/>
              <w:ind w:left="278" w:right="23" w:hanging="278"/>
              <w:rPr>
                <w:i/>
                <w:sz w:val="20"/>
                <w:szCs w:val="20"/>
              </w:rPr>
            </w:pPr>
            <w:r w:rsidRPr="004D7354">
              <w:rPr>
                <w:i/>
                <w:sz w:val="20"/>
                <w:szCs w:val="20"/>
              </w:rPr>
              <w:t xml:space="preserve">Addition of new section entitled </w:t>
            </w:r>
            <w:r w:rsidR="00775109" w:rsidRPr="004D7354">
              <w:rPr>
                <w:i/>
                <w:sz w:val="20"/>
                <w:szCs w:val="20"/>
              </w:rPr>
              <w:t>‘</w:t>
            </w:r>
            <w:r w:rsidRPr="004D7354">
              <w:rPr>
                <w:i/>
                <w:sz w:val="20"/>
                <w:szCs w:val="20"/>
              </w:rPr>
              <w:t>Potential Harm from Overdose</w:t>
            </w:r>
            <w:r w:rsidR="00775109" w:rsidRPr="004D7354">
              <w:rPr>
                <w:i/>
                <w:sz w:val="20"/>
                <w:szCs w:val="20"/>
              </w:rPr>
              <w:t>’</w:t>
            </w:r>
            <w:r w:rsidR="004D7354">
              <w:rPr>
                <w:i/>
                <w:sz w:val="20"/>
                <w:szCs w:val="20"/>
              </w:rPr>
              <w:t>.</w:t>
            </w:r>
          </w:p>
          <w:p w:rsidR="00C23F70" w:rsidRPr="004D7354" w:rsidRDefault="00C23F70" w:rsidP="00C04005">
            <w:pPr>
              <w:pStyle w:val="ListBullet"/>
              <w:spacing w:before="60" w:after="60"/>
              <w:ind w:left="278" w:right="23" w:hanging="278"/>
              <w:rPr>
                <w:i/>
                <w:sz w:val="20"/>
                <w:szCs w:val="20"/>
              </w:rPr>
            </w:pPr>
            <w:r w:rsidRPr="004D7354">
              <w:rPr>
                <w:i/>
                <w:sz w:val="20"/>
                <w:szCs w:val="20"/>
              </w:rPr>
              <w:t>A summary of the EU RMP written in l</w:t>
            </w:r>
            <w:r w:rsidR="004D7354">
              <w:rPr>
                <w:i/>
                <w:sz w:val="20"/>
                <w:szCs w:val="20"/>
              </w:rPr>
              <w:t>ay language.</w:t>
            </w:r>
          </w:p>
          <w:p w:rsidR="00C23F70" w:rsidRPr="004D7354" w:rsidRDefault="00C23F70" w:rsidP="00C04005">
            <w:pPr>
              <w:pStyle w:val="ListBullet"/>
              <w:spacing w:before="60" w:after="60"/>
              <w:ind w:left="278" w:right="23" w:hanging="278"/>
              <w:rPr>
                <w:i/>
                <w:sz w:val="20"/>
                <w:szCs w:val="20"/>
              </w:rPr>
            </w:pPr>
            <w:r w:rsidRPr="004D7354">
              <w:rPr>
                <w:i/>
                <w:sz w:val="20"/>
                <w:szCs w:val="20"/>
              </w:rPr>
              <w:t>Addition of details on the post-efficac</w:t>
            </w:r>
            <w:r w:rsidR="004D7354">
              <w:rPr>
                <w:i/>
                <w:sz w:val="20"/>
                <w:szCs w:val="20"/>
              </w:rPr>
              <w:t xml:space="preserve">y development plan for </w:t>
            </w:r>
            <w:proofErr w:type="spellStart"/>
            <w:r w:rsidR="004D7354">
              <w:rPr>
                <w:i/>
                <w:sz w:val="20"/>
                <w:szCs w:val="20"/>
              </w:rPr>
              <w:t>Avastin</w:t>
            </w:r>
            <w:proofErr w:type="spellEnd"/>
            <w:r w:rsidR="004D7354">
              <w:rPr>
                <w:i/>
                <w:sz w:val="20"/>
                <w:szCs w:val="20"/>
              </w:rPr>
              <w:t>.</w:t>
            </w:r>
          </w:p>
          <w:p w:rsidR="00C23F70" w:rsidRPr="004D7354" w:rsidRDefault="00C23F70" w:rsidP="00C04005">
            <w:pPr>
              <w:pStyle w:val="ListBullet"/>
              <w:spacing w:before="60" w:after="60"/>
              <w:ind w:left="278" w:right="23" w:hanging="278"/>
              <w:rPr>
                <w:i/>
                <w:sz w:val="20"/>
                <w:szCs w:val="20"/>
              </w:rPr>
            </w:pPr>
            <w:r w:rsidRPr="004D7354">
              <w:rPr>
                <w:i/>
                <w:sz w:val="20"/>
                <w:szCs w:val="20"/>
              </w:rPr>
              <w:t>A rationale for the impact of the study exclusion criteria on the cont</w:t>
            </w:r>
            <w:r w:rsidR="00C04005">
              <w:rPr>
                <w:i/>
                <w:sz w:val="20"/>
                <w:szCs w:val="20"/>
              </w:rPr>
              <w:t xml:space="preserve">ent of the EU </w:t>
            </w:r>
            <w:proofErr w:type="spellStart"/>
            <w:r w:rsidR="00C04005">
              <w:rPr>
                <w:i/>
                <w:sz w:val="20"/>
                <w:szCs w:val="20"/>
              </w:rPr>
              <w:t>SmPC</w:t>
            </w:r>
            <w:proofErr w:type="spellEnd"/>
            <w:r w:rsidR="00C04005">
              <w:rPr>
                <w:i/>
                <w:sz w:val="20"/>
                <w:szCs w:val="20"/>
              </w:rPr>
              <w:t xml:space="preserve"> for </w:t>
            </w:r>
            <w:proofErr w:type="spellStart"/>
            <w:r w:rsidR="00C04005">
              <w:rPr>
                <w:i/>
                <w:sz w:val="20"/>
                <w:szCs w:val="20"/>
              </w:rPr>
              <w:t>Avastin</w:t>
            </w:r>
            <w:proofErr w:type="spellEnd"/>
            <w:r w:rsidR="00C04005">
              <w:rPr>
                <w:i/>
                <w:sz w:val="20"/>
                <w:szCs w:val="20"/>
              </w:rPr>
              <w:t>.</w:t>
            </w:r>
          </w:p>
          <w:p w:rsidR="00C23F70" w:rsidRPr="004D7354" w:rsidRDefault="00C23F70" w:rsidP="00C04005">
            <w:pPr>
              <w:pStyle w:val="ListBullet"/>
              <w:spacing w:before="60" w:after="60"/>
              <w:ind w:left="278" w:right="23" w:hanging="278"/>
              <w:rPr>
                <w:i/>
                <w:sz w:val="20"/>
                <w:szCs w:val="20"/>
              </w:rPr>
            </w:pPr>
            <w:r w:rsidRPr="004D7354">
              <w:rPr>
                <w:i/>
                <w:sz w:val="20"/>
                <w:szCs w:val="20"/>
              </w:rPr>
              <w:t>Addition of nonclinical data that did not suggest a new safety</w:t>
            </w:r>
            <w:r w:rsidR="00C04005">
              <w:rPr>
                <w:i/>
                <w:sz w:val="20"/>
                <w:szCs w:val="20"/>
              </w:rPr>
              <w:t xml:space="preserve"> concern.</w:t>
            </w:r>
          </w:p>
          <w:p w:rsidR="00C23F70" w:rsidRPr="004D7354" w:rsidRDefault="00C23F70" w:rsidP="00C04005">
            <w:pPr>
              <w:pStyle w:val="ListBullet"/>
              <w:spacing w:before="60" w:after="60"/>
              <w:ind w:left="278" w:right="23" w:hanging="278"/>
              <w:rPr>
                <w:i/>
                <w:sz w:val="20"/>
                <w:szCs w:val="20"/>
              </w:rPr>
            </w:pPr>
            <w:r w:rsidRPr="004D7354">
              <w:rPr>
                <w:i/>
                <w:sz w:val="20"/>
                <w:szCs w:val="20"/>
              </w:rPr>
              <w:t>Categorization of studies in the PV Plan as imposed, specific obligation</w:t>
            </w:r>
            <w:r w:rsidR="00C04005">
              <w:rPr>
                <w:i/>
                <w:sz w:val="20"/>
                <w:szCs w:val="20"/>
              </w:rPr>
              <w:t>s, required or stated activity.</w:t>
            </w:r>
          </w:p>
          <w:p w:rsidR="00C23F70" w:rsidRPr="004D7354" w:rsidRDefault="00C23F70" w:rsidP="00C04005">
            <w:pPr>
              <w:pStyle w:val="ListBullet"/>
              <w:spacing w:before="60" w:after="60"/>
              <w:ind w:left="278" w:right="23" w:hanging="278"/>
              <w:rPr>
                <w:i/>
                <w:sz w:val="20"/>
                <w:szCs w:val="20"/>
              </w:rPr>
            </w:pPr>
            <w:r w:rsidRPr="004D7354">
              <w:rPr>
                <w:i/>
                <w:sz w:val="20"/>
                <w:szCs w:val="20"/>
              </w:rPr>
              <w:t>Worldwide marke</w:t>
            </w:r>
            <w:r w:rsidR="00C04005">
              <w:rPr>
                <w:i/>
                <w:sz w:val="20"/>
                <w:szCs w:val="20"/>
              </w:rPr>
              <w:t>ting status by country appended.</w:t>
            </w:r>
          </w:p>
          <w:p w:rsidR="00C23F70" w:rsidRPr="004D7354" w:rsidRDefault="00C04005" w:rsidP="00C04005">
            <w:pPr>
              <w:pStyle w:val="ListBullet"/>
              <w:spacing w:before="60" w:after="60"/>
              <w:ind w:left="276" w:right="20" w:hanging="276"/>
              <w:rPr>
                <w:i/>
                <w:sz w:val="20"/>
                <w:szCs w:val="20"/>
              </w:rPr>
            </w:pPr>
            <w:r>
              <w:rPr>
                <w:i/>
                <w:sz w:val="20"/>
                <w:szCs w:val="20"/>
              </w:rPr>
              <w:t>Purpose of medicinal product.</w:t>
            </w:r>
          </w:p>
          <w:p w:rsidR="00C23F70" w:rsidRPr="004D7354" w:rsidRDefault="00C04005" w:rsidP="00C04005">
            <w:pPr>
              <w:pStyle w:val="ListBullet"/>
              <w:spacing w:before="60" w:after="60"/>
              <w:ind w:left="276" w:right="20" w:hanging="276"/>
              <w:rPr>
                <w:i/>
                <w:sz w:val="20"/>
                <w:szCs w:val="20"/>
              </w:rPr>
            </w:pPr>
            <w:r>
              <w:rPr>
                <w:i/>
                <w:sz w:val="20"/>
                <w:szCs w:val="20"/>
              </w:rPr>
              <w:t>Brief Overview of Development.</w:t>
            </w:r>
          </w:p>
          <w:p w:rsidR="00C23F70" w:rsidRPr="004D7354" w:rsidRDefault="00C23F70" w:rsidP="00C04005">
            <w:pPr>
              <w:pStyle w:val="ListBullet"/>
              <w:spacing w:before="60" w:after="60"/>
              <w:ind w:left="276" w:right="20" w:hanging="276"/>
              <w:rPr>
                <w:i/>
                <w:sz w:val="20"/>
                <w:szCs w:val="20"/>
              </w:rPr>
            </w:pPr>
            <w:r w:rsidRPr="004D7354">
              <w:rPr>
                <w:i/>
                <w:sz w:val="20"/>
                <w:szCs w:val="20"/>
              </w:rPr>
              <w:t>Unknowns related to tr</w:t>
            </w:r>
            <w:r w:rsidR="00C04005">
              <w:rPr>
                <w:i/>
                <w:sz w:val="20"/>
                <w:szCs w:val="20"/>
              </w:rPr>
              <w:t>eatment benefit.</w:t>
            </w:r>
          </w:p>
          <w:p w:rsidR="00C23F70" w:rsidRPr="004D7354" w:rsidRDefault="00C23F70" w:rsidP="00C04005">
            <w:pPr>
              <w:pStyle w:val="ListBullet"/>
              <w:spacing w:before="60" w:after="60"/>
              <w:ind w:left="276" w:right="20" w:hanging="276"/>
              <w:rPr>
                <w:i/>
                <w:sz w:val="20"/>
                <w:szCs w:val="20"/>
              </w:rPr>
            </w:pPr>
            <w:r w:rsidRPr="004D7354">
              <w:rPr>
                <w:i/>
                <w:sz w:val="20"/>
                <w:szCs w:val="20"/>
              </w:rPr>
              <w:t xml:space="preserve">Overview of </w:t>
            </w:r>
            <w:r w:rsidR="00C04005">
              <w:rPr>
                <w:i/>
                <w:sz w:val="20"/>
                <w:szCs w:val="20"/>
              </w:rPr>
              <w:t>efficacy in proposed indication.</w:t>
            </w:r>
          </w:p>
          <w:p w:rsidR="00C23F70" w:rsidRPr="004D7354" w:rsidRDefault="00C23F70" w:rsidP="00C04005">
            <w:pPr>
              <w:pStyle w:val="ListBullet"/>
              <w:spacing w:before="60" w:after="60"/>
              <w:ind w:left="276" w:right="20" w:hanging="276"/>
              <w:rPr>
                <w:i/>
                <w:sz w:val="20"/>
                <w:szCs w:val="20"/>
              </w:rPr>
            </w:pPr>
            <w:r w:rsidRPr="004D7354">
              <w:rPr>
                <w:i/>
                <w:sz w:val="20"/>
                <w:szCs w:val="20"/>
              </w:rPr>
              <w:t>More detailed information on c</w:t>
            </w:r>
            <w:r w:rsidR="00C04005">
              <w:rPr>
                <w:i/>
                <w:sz w:val="20"/>
                <w:szCs w:val="20"/>
              </w:rPr>
              <w:t>ases involving medication error.</w:t>
            </w:r>
          </w:p>
          <w:p w:rsidR="00C23F70" w:rsidRPr="00C04005" w:rsidRDefault="00C23F70" w:rsidP="00C04005">
            <w:pPr>
              <w:ind w:left="-8"/>
              <w:rPr>
                <w:i/>
              </w:rPr>
            </w:pPr>
            <w:r w:rsidRPr="00C04005">
              <w:rPr>
                <w:i/>
              </w:rPr>
              <w:t xml:space="preserve">The conversion to the new EU RMP template also lead to </w:t>
            </w:r>
            <w:r w:rsidR="00C04005" w:rsidRPr="00C04005">
              <w:rPr>
                <w:i/>
              </w:rPr>
              <w:t>deletion of the following text:</w:t>
            </w:r>
          </w:p>
          <w:p w:rsidR="00C23F70" w:rsidRPr="00C04005" w:rsidRDefault="00C04005" w:rsidP="00C04005">
            <w:pPr>
              <w:pStyle w:val="ListBullet"/>
              <w:spacing w:before="60" w:after="60"/>
              <w:ind w:left="278" w:right="23" w:hanging="278"/>
              <w:rPr>
                <w:i/>
                <w:sz w:val="20"/>
                <w:szCs w:val="20"/>
              </w:rPr>
            </w:pPr>
            <w:r>
              <w:rPr>
                <w:i/>
                <w:sz w:val="20"/>
                <w:szCs w:val="20"/>
              </w:rPr>
              <w:t>Potential for Overdose.</w:t>
            </w:r>
          </w:p>
          <w:p w:rsidR="00C23F70" w:rsidRPr="00C04005" w:rsidRDefault="00C23F70" w:rsidP="00C04005">
            <w:pPr>
              <w:pStyle w:val="ListBullet"/>
              <w:spacing w:before="60" w:after="60"/>
              <w:ind w:left="278" w:right="23" w:hanging="278"/>
              <w:rPr>
                <w:i/>
                <w:sz w:val="20"/>
                <w:szCs w:val="20"/>
              </w:rPr>
            </w:pPr>
            <w:r w:rsidRPr="00C04005">
              <w:rPr>
                <w:i/>
                <w:sz w:val="20"/>
                <w:szCs w:val="20"/>
              </w:rPr>
              <w:t>Epidemiology of the target popul</w:t>
            </w:r>
            <w:r w:rsidR="00C04005">
              <w:rPr>
                <w:i/>
                <w:sz w:val="20"/>
                <w:szCs w:val="20"/>
              </w:rPr>
              <w:t>ation unexposed to the product.</w:t>
            </w:r>
          </w:p>
          <w:p w:rsidR="00C23F70" w:rsidRPr="00C04005" w:rsidRDefault="00C23F70" w:rsidP="00C04005">
            <w:pPr>
              <w:pStyle w:val="ListBullet"/>
              <w:spacing w:before="60" w:after="60"/>
              <w:ind w:left="278" w:right="23" w:hanging="278"/>
              <w:rPr>
                <w:i/>
                <w:sz w:val="20"/>
                <w:szCs w:val="20"/>
              </w:rPr>
            </w:pPr>
            <w:r w:rsidRPr="00C04005">
              <w:rPr>
                <w:i/>
                <w:sz w:val="20"/>
                <w:szCs w:val="20"/>
              </w:rPr>
              <w:t>Epidemiology of safet</w:t>
            </w:r>
            <w:r w:rsidR="00C04005">
              <w:rPr>
                <w:i/>
                <w:sz w:val="20"/>
                <w:szCs w:val="20"/>
              </w:rPr>
              <w:t>y concerns in target population.</w:t>
            </w:r>
          </w:p>
          <w:p w:rsidR="00C23F70" w:rsidRPr="00C04005" w:rsidRDefault="00C23F70" w:rsidP="00C04005">
            <w:pPr>
              <w:pStyle w:val="ListBullet"/>
              <w:spacing w:before="60" w:after="60"/>
              <w:ind w:left="278" w:right="23" w:hanging="278"/>
              <w:rPr>
                <w:i/>
                <w:sz w:val="20"/>
                <w:szCs w:val="20"/>
              </w:rPr>
            </w:pPr>
            <w:r w:rsidRPr="00C04005">
              <w:rPr>
                <w:i/>
                <w:sz w:val="20"/>
                <w:szCs w:val="20"/>
              </w:rPr>
              <w:t>Ta</w:t>
            </w:r>
            <w:r w:rsidR="00C04005">
              <w:rPr>
                <w:i/>
                <w:sz w:val="20"/>
                <w:szCs w:val="20"/>
              </w:rPr>
              <w:t>ble of study exclusion criteria.</w:t>
            </w:r>
          </w:p>
          <w:p w:rsidR="00C23F70" w:rsidRPr="00C04005" w:rsidRDefault="00C23F70" w:rsidP="00C04005">
            <w:pPr>
              <w:pStyle w:val="ListBullet"/>
              <w:spacing w:before="60" w:after="60"/>
              <w:ind w:left="278" w:right="23" w:hanging="278"/>
              <w:rPr>
                <w:i/>
                <w:sz w:val="20"/>
                <w:szCs w:val="20"/>
              </w:rPr>
            </w:pPr>
            <w:r w:rsidRPr="00C04005">
              <w:rPr>
                <w:i/>
                <w:sz w:val="20"/>
                <w:szCs w:val="20"/>
              </w:rPr>
              <w:t>Proj</w:t>
            </w:r>
            <w:r w:rsidR="00844F94">
              <w:rPr>
                <w:i/>
                <w:sz w:val="20"/>
                <w:szCs w:val="20"/>
              </w:rPr>
              <w:t>ection post-authorisation usage.</w:t>
            </w:r>
          </w:p>
          <w:p w:rsidR="00C23F70" w:rsidRPr="00844F94" w:rsidRDefault="00C23F70" w:rsidP="00844F94">
            <w:pPr>
              <w:pStyle w:val="ListBullet"/>
              <w:spacing w:before="60" w:after="60"/>
              <w:ind w:left="278" w:right="23" w:hanging="278"/>
              <w:rPr>
                <w:rFonts w:asciiTheme="minorHAnsi" w:eastAsia="MS Mincho" w:hAnsiTheme="minorHAnsi"/>
                <w:i/>
                <w:sz w:val="20"/>
                <w:szCs w:val="20"/>
              </w:rPr>
            </w:pPr>
            <w:r w:rsidRPr="00C04005">
              <w:rPr>
                <w:i/>
                <w:sz w:val="20"/>
                <w:szCs w:val="20"/>
              </w:rPr>
              <w:t>Update to the RMP</w:t>
            </w:r>
          </w:p>
          <w:p w:rsidR="00844F94" w:rsidRPr="000019BE" w:rsidRDefault="00844F94" w:rsidP="00844F94">
            <w:pPr>
              <w:pStyle w:val="ListBullet"/>
              <w:numPr>
                <w:ilvl w:val="0"/>
                <w:numId w:val="0"/>
              </w:numPr>
              <w:spacing w:before="60" w:after="60"/>
              <w:ind w:left="278" w:right="23"/>
              <w:rPr>
                <w:rFonts w:asciiTheme="minorHAnsi" w:eastAsia="MS Mincho" w:hAnsiTheme="minorHAnsi"/>
                <w:i/>
                <w:sz w:val="20"/>
                <w:szCs w:val="20"/>
              </w:rPr>
            </w:pPr>
          </w:p>
        </w:tc>
        <w:tc>
          <w:tcPr>
            <w:tcW w:w="115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019BE" w:rsidRDefault="00C23F70" w:rsidP="00A536EA">
            <w:pPr>
              <w:spacing w:line="240" w:lineRule="auto"/>
              <w:ind w:left="0" w:right="0"/>
              <w:rPr>
                <w:rFonts w:asciiTheme="minorHAnsi" w:hAnsiTheme="minorHAnsi"/>
                <w:sz w:val="20"/>
                <w:szCs w:val="20"/>
              </w:rPr>
            </w:pPr>
            <w:r w:rsidRPr="000019BE">
              <w:rPr>
                <w:rFonts w:asciiTheme="minorHAnsi" w:hAnsiTheme="minorHAnsi"/>
                <w:sz w:val="20"/>
                <w:szCs w:val="20"/>
              </w:rPr>
              <w:t>This is acceptable</w:t>
            </w:r>
          </w:p>
        </w:tc>
      </w:tr>
      <w:tr w:rsidR="00C23F70" w:rsidRPr="000019BE" w:rsidTr="00174CCF">
        <w:trPr>
          <w:jc w:val="center"/>
        </w:trPr>
        <w:tc>
          <w:tcPr>
            <w:tcW w:w="140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844F94" w:rsidRDefault="00C23F70" w:rsidP="00844F94">
            <w:pPr>
              <w:pStyle w:val="ListParagraph"/>
              <w:numPr>
                <w:ilvl w:val="0"/>
                <w:numId w:val="21"/>
              </w:numPr>
              <w:autoSpaceDE w:val="0"/>
              <w:autoSpaceDN w:val="0"/>
              <w:spacing w:line="240" w:lineRule="auto"/>
              <w:ind w:left="230" w:right="0" w:hanging="218"/>
              <w:rPr>
                <w:rFonts w:asciiTheme="minorHAnsi" w:eastAsia="MS Mincho" w:hAnsiTheme="minorHAnsi"/>
                <w:sz w:val="20"/>
                <w:szCs w:val="20"/>
              </w:rPr>
            </w:pPr>
            <w:r w:rsidRPr="00844F94">
              <w:rPr>
                <w:rFonts w:asciiTheme="minorHAnsi" w:hAnsiTheme="minorHAnsi"/>
                <w:bCs/>
                <w:sz w:val="20"/>
                <w:szCs w:val="20"/>
              </w:rPr>
              <w:lastRenderedPageBreak/>
              <w:t xml:space="preserve">For the safety concern of </w:t>
            </w:r>
            <w:r w:rsidR="00775109" w:rsidRPr="00844F94">
              <w:rPr>
                <w:rFonts w:asciiTheme="minorHAnsi" w:hAnsiTheme="minorHAnsi"/>
                <w:bCs/>
                <w:i/>
                <w:iCs/>
                <w:sz w:val="20"/>
                <w:szCs w:val="20"/>
              </w:rPr>
              <w:t>‘</w:t>
            </w:r>
            <w:r w:rsidRPr="00844F94">
              <w:rPr>
                <w:rFonts w:asciiTheme="minorHAnsi" w:hAnsiTheme="minorHAnsi"/>
                <w:bCs/>
                <w:i/>
                <w:iCs/>
                <w:sz w:val="20"/>
                <w:szCs w:val="20"/>
              </w:rPr>
              <w:t>congestive heart failure</w:t>
            </w:r>
            <w:r w:rsidR="00775109" w:rsidRPr="00844F94">
              <w:rPr>
                <w:rFonts w:asciiTheme="minorHAnsi" w:hAnsiTheme="minorHAnsi"/>
                <w:bCs/>
                <w:i/>
                <w:iCs/>
                <w:sz w:val="20"/>
                <w:szCs w:val="20"/>
              </w:rPr>
              <w:t>’</w:t>
            </w:r>
            <w:r w:rsidRPr="00844F94">
              <w:rPr>
                <w:rFonts w:asciiTheme="minorHAnsi" w:hAnsiTheme="minorHAnsi"/>
                <w:bCs/>
                <w:i/>
                <w:iCs/>
                <w:sz w:val="20"/>
                <w:szCs w:val="20"/>
              </w:rPr>
              <w:t xml:space="preserve"> </w:t>
            </w:r>
            <w:r w:rsidRPr="00844F94">
              <w:rPr>
                <w:rFonts w:asciiTheme="minorHAnsi" w:hAnsiTheme="minorHAnsi"/>
                <w:bCs/>
                <w:sz w:val="20"/>
                <w:szCs w:val="20"/>
              </w:rPr>
              <w:t xml:space="preserve">the sponsor makes the following statement regarding additional pharmacovigilance: </w:t>
            </w:r>
            <w:r w:rsidR="00775109" w:rsidRPr="00844F94">
              <w:rPr>
                <w:rFonts w:asciiTheme="minorHAnsi" w:hAnsiTheme="minorHAnsi"/>
                <w:bCs/>
                <w:i/>
                <w:iCs/>
                <w:sz w:val="20"/>
                <w:szCs w:val="20"/>
              </w:rPr>
              <w:t>‘</w:t>
            </w:r>
            <w:r w:rsidRPr="00844F94">
              <w:rPr>
                <w:rFonts w:asciiTheme="minorHAnsi" w:hAnsiTheme="minorHAnsi"/>
                <w:bCs/>
                <w:i/>
                <w:iCs/>
                <w:sz w:val="20"/>
                <w:szCs w:val="20"/>
              </w:rPr>
              <w:t>Safety monitoring plan implemented in ongoing/planned breast cancer studies sequential regular LVEF monitoring in breast cancer studies cardiology expert in DSMBs guided questionnaire</w:t>
            </w:r>
            <w:r w:rsidR="00775109" w:rsidRPr="00844F94">
              <w:rPr>
                <w:rFonts w:asciiTheme="minorHAnsi" w:hAnsiTheme="minorHAnsi"/>
                <w:bCs/>
                <w:i/>
                <w:iCs/>
                <w:sz w:val="20"/>
                <w:szCs w:val="20"/>
              </w:rPr>
              <w:t>’</w:t>
            </w:r>
            <w:r w:rsidRPr="00844F94">
              <w:rPr>
                <w:rFonts w:asciiTheme="minorHAnsi" w:hAnsiTheme="minorHAnsi"/>
                <w:bCs/>
                <w:i/>
                <w:iCs/>
                <w:sz w:val="20"/>
                <w:szCs w:val="20"/>
              </w:rPr>
              <w:t xml:space="preserve">. </w:t>
            </w:r>
            <w:r w:rsidRPr="00844F94">
              <w:rPr>
                <w:rFonts w:asciiTheme="minorHAnsi" w:hAnsiTheme="minorHAnsi"/>
                <w:bCs/>
                <w:sz w:val="20"/>
                <w:szCs w:val="20"/>
              </w:rPr>
              <w:t>It is recommended that the sponsor clarify exactly what studies they are referring to, the study titles, milestones and submit protocols for any planned studies to the TGA for review.</w:t>
            </w:r>
          </w:p>
        </w:tc>
        <w:tc>
          <w:tcPr>
            <w:tcW w:w="243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019BE" w:rsidRDefault="00C23F70" w:rsidP="00A536EA">
            <w:pPr>
              <w:pStyle w:val="Default"/>
              <w:spacing w:before="120" w:after="120"/>
              <w:ind w:left="0" w:right="0"/>
              <w:rPr>
                <w:rFonts w:asciiTheme="minorHAnsi" w:hAnsiTheme="minorHAnsi"/>
                <w:i/>
                <w:sz w:val="20"/>
                <w:szCs w:val="20"/>
              </w:rPr>
            </w:pPr>
            <w:r w:rsidRPr="000019BE">
              <w:rPr>
                <w:rFonts w:asciiTheme="minorHAnsi" w:hAnsiTheme="minorHAnsi"/>
                <w:i/>
                <w:sz w:val="20"/>
                <w:szCs w:val="20"/>
              </w:rPr>
              <w:t>The list of breast cancer studies with sequential regular LVEF monitoring, cardiology expert in DSMB and CHF guided questionnaires are listed below. Protocols for these studies have</w:t>
            </w:r>
            <w:r w:rsidR="00844F94">
              <w:rPr>
                <w:rFonts w:asciiTheme="minorHAnsi" w:hAnsiTheme="minorHAnsi"/>
                <w:i/>
                <w:sz w:val="20"/>
                <w:szCs w:val="20"/>
              </w:rPr>
              <w:t xml:space="preserve"> been enclosed in module 2.7.6.</w:t>
            </w:r>
          </w:p>
          <w:p w:rsidR="00C23F70" w:rsidRPr="000019BE" w:rsidRDefault="00844F94" w:rsidP="00A536EA">
            <w:pPr>
              <w:pStyle w:val="Default"/>
              <w:spacing w:before="120" w:after="120"/>
              <w:ind w:left="0" w:right="0"/>
              <w:rPr>
                <w:rFonts w:asciiTheme="minorHAnsi" w:hAnsiTheme="minorHAnsi"/>
                <w:i/>
                <w:sz w:val="20"/>
                <w:szCs w:val="20"/>
              </w:rPr>
            </w:pPr>
            <w:r>
              <w:rPr>
                <w:rFonts w:asciiTheme="minorHAnsi" w:hAnsiTheme="minorHAnsi"/>
                <w:i/>
                <w:sz w:val="20"/>
                <w:szCs w:val="20"/>
              </w:rPr>
              <w:t>BO20289 (BEATRICE) study:</w:t>
            </w:r>
          </w:p>
          <w:p w:rsidR="00C23F70" w:rsidRPr="000019BE" w:rsidRDefault="00C23F70" w:rsidP="00A536EA">
            <w:pPr>
              <w:pStyle w:val="Default"/>
              <w:spacing w:before="120" w:after="120"/>
              <w:ind w:left="0" w:right="0"/>
              <w:rPr>
                <w:rFonts w:asciiTheme="minorHAnsi" w:hAnsiTheme="minorHAnsi"/>
                <w:i/>
                <w:sz w:val="20"/>
                <w:szCs w:val="20"/>
              </w:rPr>
            </w:pPr>
            <w:r w:rsidRPr="000019BE">
              <w:rPr>
                <w:rFonts w:asciiTheme="minorHAnsi" w:hAnsiTheme="minorHAnsi"/>
                <w:i/>
                <w:sz w:val="20"/>
                <w:szCs w:val="20"/>
              </w:rPr>
              <w:t xml:space="preserve">Title: An international multi-centre open-label 2-arm </w:t>
            </w:r>
            <w:r w:rsidR="00174CCF">
              <w:rPr>
                <w:rFonts w:asciiTheme="minorHAnsi" w:hAnsiTheme="minorHAnsi"/>
                <w:i/>
                <w:sz w:val="20"/>
                <w:szCs w:val="20"/>
              </w:rPr>
              <w:t>P</w:t>
            </w:r>
            <w:r w:rsidRPr="000019BE">
              <w:rPr>
                <w:rFonts w:asciiTheme="minorHAnsi" w:hAnsiTheme="minorHAnsi"/>
                <w:i/>
                <w:sz w:val="20"/>
                <w:szCs w:val="20"/>
              </w:rPr>
              <w:t xml:space="preserve">hase III trial of adjuvant </w:t>
            </w:r>
            <w:proofErr w:type="spellStart"/>
            <w:r w:rsidR="00166F6A">
              <w:rPr>
                <w:rFonts w:asciiTheme="minorHAnsi" w:hAnsiTheme="minorHAnsi"/>
                <w:i/>
                <w:sz w:val="20"/>
                <w:szCs w:val="20"/>
              </w:rPr>
              <w:t>bevacizumab</w:t>
            </w:r>
            <w:proofErr w:type="spellEnd"/>
            <w:r w:rsidRPr="000019BE">
              <w:rPr>
                <w:rFonts w:asciiTheme="minorHAnsi" w:hAnsiTheme="minorHAnsi"/>
                <w:i/>
                <w:sz w:val="20"/>
                <w:szCs w:val="20"/>
              </w:rPr>
              <w:t xml:space="preserve"> in </w:t>
            </w:r>
            <w:r w:rsidR="00775109">
              <w:rPr>
                <w:rFonts w:asciiTheme="minorHAnsi" w:hAnsiTheme="minorHAnsi"/>
                <w:i/>
                <w:sz w:val="20"/>
                <w:szCs w:val="20"/>
              </w:rPr>
              <w:t>‘</w:t>
            </w:r>
            <w:r w:rsidRPr="000019BE">
              <w:rPr>
                <w:rFonts w:asciiTheme="minorHAnsi" w:hAnsiTheme="minorHAnsi"/>
                <w:i/>
                <w:sz w:val="20"/>
                <w:szCs w:val="20"/>
              </w:rPr>
              <w:t>triple negative</w:t>
            </w:r>
            <w:r w:rsidR="00775109">
              <w:rPr>
                <w:rFonts w:asciiTheme="minorHAnsi" w:hAnsiTheme="minorHAnsi"/>
                <w:i/>
                <w:sz w:val="20"/>
                <w:szCs w:val="20"/>
              </w:rPr>
              <w:t>’</w:t>
            </w:r>
            <w:r w:rsidR="00844F94">
              <w:rPr>
                <w:rFonts w:asciiTheme="minorHAnsi" w:hAnsiTheme="minorHAnsi"/>
                <w:i/>
                <w:sz w:val="20"/>
                <w:szCs w:val="20"/>
              </w:rPr>
              <w:t xml:space="preserve"> breast cancer.</w:t>
            </w:r>
          </w:p>
          <w:p w:rsidR="00C23F70" w:rsidRPr="000019BE" w:rsidRDefault="00C23F70" w:rsidP="00A536EA">
            <w:pPr>
              <w:pStyle w:val="Default"/>
              <w:spacing w:before="120" w:after="120"/>
              <w:ind w:left="0" w:right="0"/>
              <w:rPr>
                <w:rFonts w:asciiTheme="minorHAnsi" w:hAnsiTheme="minorHAnsi"/>
                <w:i/>
                <w:sz w:val="20"/>
                <w:szCs w:val="20"/>
              </w:rPr>
            </w:pPr>
            <w:r w:rsidRPr="000019BE">
              <w:rPr>
                <w:rFonts w:asciiTheme="minorHAnsi" w:hAnsiTheme="minorHAnsi"/>
                <w:i/>
                <w:sz w:val="20"/>
                <w:szCs w:val="20"/>
              </w:rPr>
              <w:t>Milestone: Primary analysis completed July 2012, patien</w:t>
            </w:r>
            <w:r w:rsidR="00844F94">
              <w:rPr>
                <w:rFonts w:asciiTheme="minorHAnsi" w:hAnsiTheme="minorHAnsi"/>
                <w:i/>
                <w:sz w:val="20"/>
                <w:szCs w:val="20"/>
              </w:rPr>
              <w:t>ts on follow up for OS analysis</w:t>
            </w:r>
          </w:p>
          <w:p w:rsidR="00C23F70" w:rsidRPr="000019BE" w:rsidRDefault="00844F94" w:rsidP="00A536EA">
            <w:pPr>
              <w:pStyle w:val="Default"/>
              <w:spacing w:before="120" w:after="120"/>
              <w:ind w:left="0" w:right="0"/>
              <w:rPr>
                <w:rFonts w:asciiTheme="minorHAnsi" w:hAnsiTheme="minorHAnsi"/>
                <w:i/>
                <w:sz w:val="20"/>
                <w:szCs w:val="20"/>
              </w:rPr>
            </w:pPr>
            <w:r>
              <w:rPr>
                <w:rFonts w:asciiTheme="minorHAnsi" w:hAnsiTheme="minorHAnsi"/>
                <w:i/>
                <w:sz w:val="20"/>
                <w:szCs w:val="20"/>
              </w:rPr>
              <w:t>BO20906/AVF4285s (BETH) study:</w:t>
            </w:r>
          </w:p>
          <w:p w:rsidR="00C23F70" w:rsidRPr="000019BE" w:rsidRDefault="00C23F70" w:rsidP="00A536EA">
            <w:pPr>
              <w:pStyle w:val="Default"/>
              <w:spacing w:before="120" w:after="120"/>
              <w:ind w:left="0" w:right="0"/>
              <w:rPr>
                <w:rFonts w:asciiTheme="minorHAnsi" w:hAnsiTheme="minorHAnsi"/>
                <w:i/>
                <w:sz w:val="20"/>
                <w:szCs w:val="20"/>
              </w:rPr>
            </w:pPr>
            <w:r w:rsidRPr="000019BE">
              <w:rPr>
                <w:rFonts w:asciiTheme="minorHAnsi" w:hAnsiTheme="minorHAnsi"/>
                <w:i/>
                <w:sz w:val="20"/>
                <w:szCs w:val="20"/>
              </w:rPr>
              <w:t xml:space="preserve">Title: A </w:t>
            </w:r>
            <w:proofErr w:type="spellStart"/>
            <w:r w:rsidRPr="000019BE">
              <w:rPr>
                <w:rFonts w:asciiTheme="minorHAnsi" w:hAnsiTheme="minorHAnsi"/>
                <w:i/>
                <w:sz w:val="20"/>
                <w:szCs w:val="20"/>
              </w:rPr>
              <w:t>Multicenter</w:t>
            </w:r>
            <w:proofErr w:type="spellEnd"/>
            <w:r w:rsidRPr="000019BE">
              <w:rPr>
                <w:rFonts w:asciiTheme="minorHAnsi" w:hAnsiTheme="minorHAnsi"/>
                <w:i/>
                <w:sz w:val="20"/>
                <w:szCs w:val="20"/>
              </w:rPr>
              <w:t xml:space="preserve"> Phase III Randomized Trial of Adjuvant Therapy for Patients with HER2-Positive Node-Positive or High Risk Node-Negative Breast Cancer Comparing Chemotherapy Plus </w:t>
            </w:r>
            <w:proofErr w:type="spellStart"/>
            <w:r w:rsidRPr="000019BE">
              <w:rPr>
                <w:rFonts w:asciiTheme="minorHAnsi" w:hAnsiTheme="minorHAnsi"/>
                <w:i/>
                <w:sz w:val="20"/>
                <w:szCs w:val="20"/>
              </w:rPr>
              <w:t>Trastuzumab</w:t>
            </w:r>
            <w:proofErr w:type="spellEnd"/>
            <w:r w:rsidRPr="000019BE">
              <w:rPr>
                <w:rFonts w:asciiTheme="minorHAnsi" w:hAnsiTheme="minorHAnsi"/>
                <w:i/>
                <w:sz w:val="20"/>
                <w:szCs w:val="20"/>
              </w:rPr>
              <w:t xml:space="preserve"> with Chemotherapy Plus </w:t>
            </w:r>
            <w:proofErr w:type="spellStart"/>
            <w:r w:rsidRPr="000019BE">
              <w:rPr>
                <w:rFonts w:asciiTheme="minorHAnsi" w:hAnsiTheme="minorHAnsi"/>
                <w:i/>
                <w:sz w:val="20"/>
                <w:szCs w:val="20"/>
              </w:rPr>
              <w:t>Trastuzumab</w:t>
            </w:r>
            <w:proofErr w:type="spellEnd"/>
            <w:r w:rsidRPr="000019BE">
              <w:rPr>
                <w:rFonts w:asciiTheme="minorHAnsi" w:hAnsiTheme="minorHAnsi"/>
                <w:i/>
                <w:sz w:val="20"/>
                <w:szCs w:val="20"/>
              </w:rPr>
              <w:t xml:space="preserve"> Plus </w:t>
            </w:r>
            <w:proofErr w:type="spellStart"/>
            <w:r w:rsidR="00166F6A">
              <w:rPr>
                <w:rFonts w:asciiTheme="minorHAnsi" w:hAnsiTheme="minorHAnsi"/>
                <w:i/>
                <w:sz w:val="20"/>
                <w:szCs w:val="20"/>
              </w:rPr>
              <w:t>Bevacizumab</w:t>
            </w:r>
            <w:proofErr w:type="spellEnd"/>
          </w:p>
          <w:p w:rsidR="00C23F70" w:rsidRPr="000019BE" w:rsidRDefault="00C23F70" w:rsidP="00A536EA">
            <w:pPr>
              <w:pStyle w:val="Default"/>
              <w:spacing w:before="120" w:after="120"/>
              <w:ind w:left="0" w:right="0"/>
              <w:rPr>
                <w:rFonts w:asciiTheme="minorHAnsi" w:hAnsiTheme="minorHAnsi"/>
                <w:i/>
                <w:sz w:val="20"/>
                <w:szCs w:val="20"/>
              </w:rPr>
            </w:pPr>
            <w:r w:rsidRPr="000019BE">
              <w:rPr>
                <w:rFonts w:asciiTheme="minorHAnsi" w:hAnsiTheme="minorHAnsi"/>
                <w:i/>
                <w:sz w:val="20"/>
                <w:szCs w:val="20"/>
              </w:rPr>
              <w:t xml:space="preserve">Milestone: Ongoing – Primary analysis planned Q4 2013 </w:t>
            </w:r>
          </w:p>
          <w:p w:rsidR="00C23F70" w:rsidRPr="000019BE" w:rsidRDefault="00C23F70" w:rsidP="00A536EA">
            <w:pPr>
              <w:pStyle w:val="Default"/>
              <w:spacing w:before="120" w:after="120"/>
              <w:ind w:left="0" w:right="0"/>
              <w:rPr>
                <w:rFonts w:asciiTheme="minorHAnsi" w:hAnsiTheme="minorHAnsi"/>
                <w:i/>
                <w:sz w:val="20"/>
                <w:szCs w:val="20"/>
              </w:rPr>
            </w:pPr>
            <w:r w:rsidRPr="000019BE">
              <w:rPr>
                <w:rFonts w:asciiTheme="minorHAnsi" w:hAnsiTheme="minorHAnsi"/>
                <w:i/>
                <w:sz w:val="20"/>
                <w:szCs w:val="20"/>
              </w:rPr>
              <w:t>BO20</w:t>
            </w:r>
            <w:r w:rsidR="00844F94">
              <w:rPr>
                <w:rFonts w:asciiTheme="minorHAnsi" w:hAnsiTheme="minorHAnsi"/>
                <w:i/>
                <w:sz w:val="20"/>
                <w:szCs w:val="20"/>
              </w:rPr>
              <w:t>231 (AVEREL) study:</w:t>
            </w:r>
          </w:p>
          <w:p w:rsidR="00C23F70" w:rsidRPr="000019BE" w:rsidRDefault="00C23F70" w:rsidP="00A536EA">
            <w:pPr>
              <w:pStyle w:val="Default"/>
              <w:spacing w:before="120" w:after="120"/>
              <w:ind w:left="0" w:right="0"/>
              <w:rPr>
                <w:rFonts w:asciiTheme="minorHAnsi" w:hAnsiTheme="minorHAnsi"/>
                <w:i/>
                <w:sz w:val="20"/>
                <w:szCs w:val="20"/>
              </w:rPr>
            </w:pPr>
            <w:r w:rsidRPr="000019BE">
              <w:rPr>
                <w:rFonts w:asciiTheme="minorHAnsi" w:hAnsiTheme="minorHAnsi"/>
                <w:i/>
                <w:sz w:val="20"/>
                <w:szCs w:val="20"/>
              </w:rPr>
              <w:t xml:space="preserve">Title: A randomized, open-label, 2-arm, multicentre, </w:t>
            </w:r>
            <w:r w:rsidR="00174CCF">
              <w:rPr>
                <w:rFonts w:asciiTheme="minorHAnsi" w:hAnsiTheme="minorHAnsi"/>
                <w:i/>
                <w:sz w:val="20"/>
                <w:szCs w:val="20"/>
              </w:rPr>
              <w:t>P</w:t>
            </w:r>
            <w:r w:rsidRPr="000019BE">
              <w:rPr>
                <w:rFonts w:asciiTheme="minorHAnsi" w:hAnsiTheme="minorHAnsi"/>
                <w:i/>
                <w:sz w:val="20"/>
                <w:szCs w:val="20"/>
              </w:rPr>
              <w:t xml:space="preserve">hase III study to evaluate the efficacy and safety of </w:t>
            </w:r>
            <w:proofErr w:type="spellStart"/>
            <w:r w:rsidR="00166F6A">
              <w:rPr>
                <w:rFonts w:asciiTheme="minorHAnsi" w:hAnsiTheme="minorHAnsi"/>
                <w:i/>
                <w:sz w:val="20"/>
                <w:szCs w:val="20"/>
              </w:rPr>
              <w:t>bevacizumab</w:t>
            </w:r>
            <w:proofErr w:type="spellEnd"/>
            <w:r w:rsidRPr="000019BE">
              <w:rPr>
                <w:rFonts w:asciiTheme="minorHAnsi" w:hAnsiTheme="minorHAnsi"/>
                <w:i/>
                <w:sz w:val="20"/>
                <w:szCs w:val="20"/>
              </w:rPr>
              <w:t xml:space="preserve"> in combination with </w:t>
            </w:r>
            <w:proofErr w:type="spellStart"/>
            <w:r w:rsidRPr="000019BE">
              <w:rPr>
                <w:rFonts w:asciiTheme="minorHAnsi" w:hAnsiTheme="minorHAnsi"/>
                <w:i/>
                <w:sz w:val="20"/>
                <w:szCs w:val="20"/>
              </w:rPr>
              <w:t>trastuzumab</w:t>
            </w:r>
            <w:proofErr w:type="spellEnd"/>
            <w:r w:rsidRPr="000019BE">
              <w:rPr>
                <w:rFonts w:asciiTheme="minorHAnsi" w:hAnsiTheme="minorHAnsi"/>
                <w:i/>
                <w:sz w:val="20"/>
                <w:szCs w:val="20"/>
              </w:rPr>
              <w:t>/</w:t>
            </w:r>
            <w:proofErr w:type="spellStart"/>
            <w:r w:rsidRPr="000019BE">
              <w:rPr>
                <w:rFonts w:asciiTheme="minorHAnsi" w:hAnsiTheme="minorHAnsi"/>
                <w:i/>
                <w:sz w:val="20"/>
                <w:szCs w:val="20"/>
              </w:rPr>
              <w:t>docetaxel</w:t>
            </w:r>
            <w:proofErr w:type="spellEnd"/>
            <w:r w:rsidRPr="000019BE">
              <w:rPr>
                <w:rFonts w:asciiTheme="minorHAnsi" w:hAnsiTheme="minorHAnsi"/>
                <w:i/>
                <w:sz w:val="20"/>
                <w:szCs w:val="20"/>
              </w:rPr>
              <w:t xml:space="preserve"> compared with </w:t>
            </w:r>
            <w:proofErr w:type="spellStart"/>
            <w:r w:rsidRPr="000019BE">
              <w:rPr>
                <w:rFonts w:asciiTheme="minorHAnsi" w:hAnsiTheme="minorHAnsi"/>
                <w:i/>
                <w:sz w:val="20"/>
                <w:szCs w:val="20"/>
              </w:rPr>
              <w:t>trastuzumab</w:t>
            </w:r>
            <w:proofErr w:type="spellEnd"/>
            <w:r w:rsidRPr="000019BE">
              <w:rPr>
                <w:rFonts w:asciiTheme="minorHAnsi" w:hAnsiTheme="minorHAnsi"/>
                <w:i/>
                <w:sz w:val="20"/>
                <w:szCs w:val="20"/>
              </w:rPr>
              <w:t>/</w:t>
            </w:r>
            <w:proofErr w:type="spellStart"/>
            <w:r w:rsidRPr="000019BE">
              <w:rPr>
                <w:rFonts w:asciiTheme="minorHAnsi" w:hAnsiTheme="minorHAnsi"/>
                <w:i/>
                <w:sz w:val="20"/>
                <w:szCs w:val="20"/>
              </w:rPr>
              <w:t>docetaxel</w:t>
            </w:r>
            <w:proofErr w:type="spellEnd"/>
            <w:r w:rsidRPr="000019BE">
              <w:rPr>
                <w:rFonts w:asciiTheme="minorHAnsi" w:hAnsiTheme="minorHAnsi"/>
                <w:i/>
                <w:sz w:val="20"/>
                <w:szCs w:val="20"/>
              </w:rPr>
              <w:t xml:space="preserve"> alone as first line treatment for patients with HER2 positive locally recurre</w:t>
            </w:r>
            <w:r w:rsidR="00844F94">
              <w:rPr>
                <w:rFonts w:asciiTheme="minorHAnsi" w:hAnsiTheme="minorHAnsi"/>
                <w:i/>
                <w:sz w:val="20"/>
                <w:szCs w:val="20"/>
              </w:rPr>
              <w:t>nt or metastatic breast cancer.</w:t>
            </w:r>
          </w:p>
          <w:p w:rsidR="00C23F70" w:rsidRPr="000019BE" w:rsidRDefault="00C23F70" w:rsidP="00A536EA">
            <w:pPr>
              <w:pStyle w:val="Default"/>
              <w:spacing w:before="120" w:after="120"/>
              <w:ind w:left="0" w:right="0"/>
              <w:rPr>
                <w:rFonts w:asciiTheme="minorHAnsi" w:hAnsiTheme="minorHAnsi"/>
                <w:i/>
                <w:sz w:val="20"/>
                <w:szCs w:val="20"/>
              </w:rPr>
            </w:pPr>
            <w:r w:rsidRPr="000019BE">
              <w:rPr>
                <w:rFonts w:asciiTheme="minorHAnsi" w:hAnsiTheme="minorHAnsi"/>
                <w:i/>
                <w:sz w:val="20"/>
                <w:szCs w:val="20"/>
              </w:rPr>
              <w:t>Milestone: Primary analysis completed Oct</w:t>
            </w:r>
            <w:r w:rsidR="00174CCF">
              <w:rPr>
                <w:rFonts w:asciiTheme="minorHAnsi" w:hAnsiTheme="minorHAnsi"/>
                <w:i/>
                <w:sz w:val="20"/>
                <w:szCs w:val="20"/>
              </w:rPr>
              <w:t>ober</w:t>
            </w:r>
            <w:r w:rsidRPr="000019BE">
              <w:rPr>
                <w:rFonts w:asciiTheme="minorHAnsi" w:hAnsiTheme="minorHAnsi"/>
                <w:i/>
                <w:sz w:val="20"/>
                <w:szCs w:val="20"/>
              </w:rPr>
              <w:t xml:space="preserve"> 2011, end of study planned </w:t>
            </w:r>
            <w:r w:rsidR="00174CCF">
              <w:rPr>
                <w:rFonts w:asciiTheme="minorHAnsi" w:hAnsiTheme="minorHAnsi"/>
                <w:i/>
                <w:sz w:val="20"/>
                <w:szCs w:val="20"/>
              </w:rPr>
              <w:t>first quarter</w:t>
            </w:r>
            <w:r w:rsidRPr="000019BE">
              <w:rPr>
                <w:rFonts w:asciiTheme="minorHAnsi" w:hAnsiTheme="minorHAnsi"/>
                <w:i/>
                <w:sz w:val="20"/>
                <w:szCs w:val="20"/>
              </w:rPr>
              <w:t xml:space="preserve"> 2014</w:t>
            </w:r>
          </w:p>
        </w:tc>
        <w:tc>
          <w:tcPr>
            <w:tcW w:w="115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019BE" w:rsidRDefault="00C23F70" w:rsidP="00A536EA">
            <w:pPr>
              <w:spacing w:line="240" w:lineRule="auto"/>
              <w:ind w:left="0" w:right="0"/>
              <w:rPr>
                <w:rFonts w:asciiTheme="minorHAnsi" w:hAnsiTheme="minorHAnsi"/>
                <w:sz w:val="20"/>
                <w:szCs w:val="20"/>
              </w:rPr>
            </w:pPr>
            <w:r>
              <w:rPr>
                <w:rFonts w:asciiTheme="minorHAnsi" w:hAnsiTheme="minorHAnsi"/>
                <w:sz w:val="20"/>
                <w:szCs w:val="20"/>
              </w:rPr>
              <w:t xml:space="preserve">This is acceptable. It is recommended that the </w:t>
            </w:r>
            <w:r w:rsidR="00174CCF">
              <w:rPr>
                <w:rFonts w:asciiTheme="minorHAnsi" w:hAnsiTheme="minorHAnsi"/>
                <w:sz w:val="20"/>
                <w:szCs w:val="20"/>
              </w:rPr>
              <w:t>s</w:t>
            </w:r>
            <w:r>
              <w:rPr>
                <w:rFonts w:asciiTheme="minorHAnsi" w:hAnsiTheme="minorHAnsi"/>
                <w:sz w:val="20"/>
                <w:szCs w:val="20"/>
              </w:rPr>
              <w:t>ponsor include the titles of these studies within the pharmacovigilance plan in the RMP and ASA.</w:t>
            </w:r>
          </w:p>
        </w:tc>
      </w:tr>
      <w:tr w:rsidR="00C23F70" w:rsidRPr="000019BE" w:rsidTr="00844F94">
        <w:trPr>
          <w:trHeight w:val="6798"/>
          <w:jc w:val="center"/>
        </w:trPr>
        <w:tc>
          <w:tcPr>
            <w:tcW w:w="140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844F94" w:rsidRDefault="00C23F70" w:rsidP="00844F94">
            <w:pPr>
              <w:pStyle w:val="Numberbullet0"/>
              <w:ind w:left="230" w:right="0" w:hanging="230"/>
              <w:rPr>
                <w:sz w:val="20"/>
                <w:szCs w:val="20"/>
              </w:rPr>
            </w:pPr>
            <w:r w:rsidRPr="00844F94">
              <w:rPr>
                <w:sz w:val="20"/>
                <w:szCs w:val="20"/>
              </w:rPr>
              <w:lastRenderedPageBreak/>
              <w:t xml:space="preserve">The sponsor mentions 2 planned studies in Part 3 of the EU-RMP. While the protocols for the original studies (currently ongoing) are listed in Annex 6 of the EU-RMP, the protocols for the proposed extension studies have not been submitted. It is recommended that these protocols be submitted to the TGA for review, along with appropriate estimates of study milestones. </w:t>
            </w:r>
            <w:r w:rsidR="00844F94">
              <w:rPr>
                <w:sz w:val="20"/>
                <w:szCs w:val="20"/>
              </w:rPr>
              <w:t>These are:</w:t>
            </w:r>
          </w:p>
          <w:p w:rsidR="00C23F70" w:rsidRPr="00844F94" w:rsidRDefault="00C23F70" w:rsidP="00844F94">
            <w:pPr>
              <w:autoSpaceDE w:val="0"/>
              <w:autoSpaceDN w:val="0"/>
              <w:spacing w:line="240" w:lineRule="auto"/>
              <w:ind w:left="230" w:right="0"/>
              <w:rPr>
                <w:rFonts w:asciiTheme="minorHAnsi" w:eastAsia="MS Mincho" w:hAnsiTheme="minorHAnsi" w:cs="Imago"/>
                <w:color w:val="000000"/>
                <w:sz w:val="20"/>
                <w:szCs w:val="20"/>
              </w:rPr>
            </w:pPr>
            <w:r w:rsidRPr="00844F94">
              <w:rPr>
                <w:rFonts w:asciiTheme="minorHAnsi" w:eastAsia="MS Mincho" w:hAnsiTheme="minorHAnsi" w:cs="Imago"/>
                <w:bCs/>
                <w:color w:val="000000"/>
                <w:sz w:val="20"/>
                <w:szCs w:val="20"/>
              </w:rPr>
              <w:t>* An extension of BO21990 (</w:t>
            </w:r>
            <w:proofErr w:type="spellStart"/>
            <w:r w:rsidRPr="00844F94">
              <w:rPr>
                <w:rFonts w:asciiTheme="minorHAnsi" w:eastAsia="MS Mincho" w:hAnsiTheme="minorHAnsi" w:cs="Imago"/>
                <w:bCs/>
                <w:color w:val="000000"/>
                <w:sz w:val="20"/>
                <w:szCs w:val="20"/>
              </w:rPr>
              <w:t>AVAglio</w:t>
            </w:r>
            <w:proofErr w:type="spellEnd"/>
            <w:r w:rsidRPr="00844F94">
              <w:rPr>
                <w:rFonts w:asciiTheme="minorHAnsi" w:eastAsia="MS Mincho" w:hAnsiTheme="minorHAnsi" w:cs="Imago"/>
                <w:bCs/>
                <w:color w:val="000000"/>
                <w:sz w:val="20"/>
                <w:szCs w:val="20"/>
              </w:rPr>
              <w:t>). Aims to investigate the efficacy of l</w:t>
            </w:r>
            <w:r w:rsidR="00844F94">
              <w:rPr>
                <w:rFonts w:asciiTheme="minorHAnsi" w:eastAsia="MS Mincho" w:hAnsiTheme="minorHAnsi" w:cs="Imago"/>
                <w:bCs/>
                <w:color w:val="000000"/>
                <w:sz w:val="20"/>
                <w:szCs w:val="20"/>
              </w:rPr>
              <w:t>ong term treatment.</w:t>
            </w:r>
          </w:p>
          <w:p w:rsidR="00C23F70" w:rsidRPr="00844F94" w:rsidRDefault="00C23F70" w:rsidP="00844F94">
            <w:pPr>
              <w:autoSpaceDE w:val="0"/>
              <w:autoSpaceDN w:val="0"/>
              <w:spacing w:line="240" w:lineRule="auto"/>
              <w:ind w:left="230" w:right="0"/>
              <w:rPr>
                <w:rFonts w:asciiTheme="minorHAnsi" w:eastAsia="MS Mincho" w:hAnsiTheme="minorHAnsi"/>
                <w:sz w:val="20"/>
                <w:szCs w:val="20"/>
              </w:rPr>
            </w:pPr>
            <w:r w:rsidRPr="00844F94">
              <w:rPr>
                <w:rFonts w:asciiTheme="minorHAnsi" w:eastAsia="MS Mincho" w:hAnsiTheme="minorHAnsi" w:cs="Imago"/>
                <w:bCs/>
                <w:color w:val="000000"/>
                <w:sz w:val="20"/>
                <w:szCs w:val="20"/>
              </w:rPr>
              <w:t xml:space="preserve">* An extension of BO20924 (BERNIE). Aims to obtain long term follow up information from studies in the paediatric population after patients complete their 5.5 years of follow up in study. Protocol submission due </w:t>
            </w:r>
            <w:r w:rsidR="00174CCF" w:rsidRPr="00844F94">
              <w:rPr>
                <w:rFonts w:asciiTheme="minorHAnsi" w:eastAsia="MS Mincho" w:hAnsiTheme="minorHAnsi" w:cs="Imago"/>
                <w:bCs/>
                <w:color w:val="000000"/>
                <w:sz w:val="20"/>
                <w:szCs w:val="20"/>
              </w:rPr>
              <w:t>fourth quarter</w:t>
            </w:r>
            <w:r w:rsidRPr="00844F94">
              <w:rPr>
                <w:rFonts w:asciiTheme="minorHAnsi" w:eastAsia="MS Mincho" w:hAnsiTheme="minorHAnsi" w:cs="Imago"/>
                <w:bCs/>
                <w:color w:val="000000"/>
                <w:sz w:val="20"/>
                <w:szCs w:val="20"/>
              </w:rPr>
              <w:t xml:space="preserve"> 2013</w:t>
            </w:r>
            <w:r w:rsidR="00844F94">
              <w:rPr>
                <w:rFonts w:asciiTheme="minorHAnsi" w:eastAsia="MS Mincho" w:hAnsiTheme="minorHAnsi" w:cs="Imago"/>
                <w:bCs/>
                <w:color w:val="000000"/>
                <w:sz w:val="20"/>
                <w:szCs w:val="20"/>
              </w:rPr>
              <w:t>.</w:t>
            </w:r>
          </w:p>
        </w:tc>
        <w:tc>
          <w:tcPr>
            <w:tcW w:w="243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019BE" w:rsidRDefault="00C23F70" w:rsidP="00A536EA">
            <w:pPr>
              <w:pStyle w:val="Default"/>
              <w:spacing w:before="120" w:after="120"/>
              <w:ind w:left="0" w:right="0"/>
              <w:rPr>
                <w:rFonts w:asciiTheme="minorHAnsi" w:hAnsiTheme="minorHAnsi"/>
                <w:sz w:val="20"/>
                <w:szCs w:val="20"/>
                <w:u w:val="single"/>
              </w:rPr>
            </w:pPr>
            <w:r w:rsidRPr="000019BE">
              <w:rPr>
                <w:rFonts w:asciiTheme="minorHAnsi" w:hAnsiTheme="minorHAnsi"/>
                <w:sz w:val="20"/>
                <w:szCs w:val="20"/>
                <w:u w:val="single"/>
              </w:rPr>
              <w:t>Ext</w:t>
            </w:r>
            <w:r w:rsidR="00844F94">
              <w:rPr>
                <w:rFonts w:asciiTheme="minorHAnsi" w:hAnsiTheme="minorHAnsi"/>
                <w:sz w:val="20"/>
                <w:szCs w:val="20"/>
                <w:u w:val="single"/>
              </w:rPr>
              <w:t>ension of BO20924 (BERNIE)</w:t>
            </w:r>
          </w:p>
          <w:p w:rsidR="00C23F70" w:rsidRPr="000019BE" w:rsidRDefault="00C23F70" w:rsidP="00A536EA">
            <w:pPr>
              <w:pStyle w:val="Default"/>
              <w:spacing w:before="120" w:after="120"/>
              <w:ind w:left="0" w:right="0"/>
              <w:rPr>
                <w:rFonts w:asciiTheme="minorHAnsi" w:hAnsiTheme="minorHAnsi"/>
                <w:sz w:val="20"/>
                <w:szCs w:val="20"/>
              </w:rPr>
            </w:pPr>
            <w:r w:rsidRPr="000019BE">
              <w:rPr>
                <w:rFonts w:asciiTheme="minorHAnsi" w:hAnsiTheme="minorHAnsi"/>
                <w:sz w:val="20"/>
                <w:szCs w:val="20"/>
              </w:rPr>
              <w:t>The end of the 5.5 years follow-up of study BO20924 is currently projected to take place in 2019 and therefore the proposed extension study is not</w:t>
            </w:r>
            <w:r w:rsidR="00844F94">
              <w:rPr>
                <w:rFonts w:asciiTheme="minorHAnsi" w:hAnsiTheme="minorHAnsi"/>
                <w:sz w:val="20"/>
                <w:szCs w:val="20"/>
              </w:rPr>
              <w:t xml:space="preserve"> expected to start before 2019.</w:t>
            </w:r>
          </w:p>
          <w:p w:rsidR="00C23F70" w:rsidRPr="000019BE" w:rsidRDefault="00C23F70" w:rsidP="00A536EA">
            <w:pPr>
              <w:pStyle w:val="Default"/>
              <w:spacing w:before="120" w:after="120"/>
              <w:ind w:left="0" w:right="0"/>
              <w:rPr>
                <w:rFonts w:asciiTheme="minorHAnsi" w:hAnsiTheme="minorHAnsi"/>
                <w:sz w:val="20"/>
                <w:szCs w:val="20"/>
              </w:rPr>
            </w:pPr>
            <w:r w:rsidRPr="000019BE">
              <w:rPr>
                <w:rFonts w:asciiTheme="minorHAnsi" w:hAnsiTheme="minorHAnsi"/>
                <w:sz w:val="20"/>
                <w:szCs w:val="20"/>
              </w:rPr>
              <w:t xml:space="preserve">In order to prevent potential protocol amendments due to changes in the scientific and technical landscape within this time frame, Roche is currently in discussion with </w:t>
            </w:r>
            <w:r w:rsidR="00174CCF">
              <w:rPr>
                <w:rFonts w:asciiTheme="minorHAnsi" w:hAnsiTheme="minorHAnsi"/>
                <w:sz w:val="20"/>
                <w:szCs w:val="20"/>
              </w:rPr>
              <w:t>European medicines Agency (</w:t>
            </w:r>
            <w:r w:rsidRPr="000019BE">
              <w:rPr>
                <w:rFonts w:asciiTheme="minorHAnsi" w:hAnsiTheme="minorHAnsi"/>
                <w:sz w:val="20"/>
                <w:szCs w:val="20"/>
              </w:rPr>
              <w:t>EMA</w:t>
            </w:r>
            <w:r w:rsidR="00174CCF">
              <w:rPr>
                <w:rFonts w:asciiTheme="minorHAnsi" w:hAnsiTheme="minorHAnsi"/>
                <w:sz w:val="20"/>
                <w:szCs w:val="20"/>
              </w:rPr>
              <w:t>)</w:t>
            </w:r>
            <w:r w:rsidRPr="000019BE">
              <w:rPr>
                <w:rFonts w:asciiTheme="minorHAnsi" w:hAnsiTheme="minorHAnsi"/>
                <w:sz w:val="20"/>
                <w:szCs w:val="20"/>
              </w:rPr>
              <w:t xml:space="preserve"> to extend the due date for submission of the extension study protocol from </w:t>
            </w:r>
            <w:r w:rsidR="00174CCF">
              <w:rPr>
                <w:rFonts w:asciiTheme="minorHAnsi" w:hAnsiTheme="minorHAnsi"/>
                <w:sz w:val="20"/>
                <w:szCs w:val="20"/>
              </w:rPr>
              <w:t>fourth quarter</w:t>
            </w:r>
            <w:r w:rsidRPr="000019BE">
              <w:rPr>
                <w:rFonts w:asciiTheme="minorHAnsi" w:hAnsiTheme="minorHAnsi"/>
                <w:sz w:val="20"/>
                <w:szCs w:val="20"/>
              </w:rPr>
              <w:t xml:space="preserve"> 2013 to </w:t>
            </w:r>
            <w:r w:rsidR="00174CCF">
              <w:rPr>
                <w:rFonts w:asciiTheme="minorHAnsi" w:hAnsiTheme="minorHAnsi"/>
                <w:sz w:val="20"/>
                <w:szCs w:val="20"/>
              </w:rPr>
              <w:t>fourth quarter</w:t>
            </w:r>
            <w:r w:rsidR="00844F94">
              <w:rPr>
                <w:rFonts w:asciiTheme="minorHAnsi" w:hAnsiTheme="minorHAnsi"/>
                <w:sz w:val="20"/>
                <w:szCs w:val="20"/>
              </w:rPr>
              <w:t xml:space="preserve"> 2017.</w:t>
            </w:r>
          </w:p>
          <w:p w:rsidR="00C23F70" w:rsidRPr="000019BE" w:rsidRDefault="00844F94" w:rsidP="00A536EA">
            <w:pPr>
              <w:pStyle w:val="Default"/>
              <w:spacing w:before="120" w:after="120"/>
              <w:ind w:left="0" w:right="0"/>
              <w:rPr>
                <w:rFonts w:asciiTheme="minorHAnsi" w:hAnsiTheme="minorHAnsi"/>
                <w:sz w:val="20"/>
                <w:szCs w:val="20"/>
                <w:u w:val="single"/>
              </w:rPr>
            </w:pPr>
            <w:r>
              <w:rPr>
                <w:rFonts w:asciiTheme="minorHAnsi" w:hAnsiTheme="minorHAnsi"/>
                <w:sz w:val="20"/>
                <w:szCs w:val="20"/>
                <w:u w:val="single"/>
              </w:rPr>
              <w:t>Extension of BO21990 (</w:t>
            </w:r>
            <w:proofErr w:type="spellStart"/>
            <w:r>
              <w:rPr>
                <w:rFonts w:asciiTheme="minorHAnsi" w:hAnsiTheme="minorHAnsi"/>
                <w:sz w:val="20"/>
                <w:szCs w:val="20"/>
                <w:u w:val="single"/>
              </w:rPr>
              <w:t>AVAglio</w:t>
            </w:r>
            <w:proofErr w:type="spellEnd"/>
            <w:r>
              <w:rPr>
                <w:rFonts w:asciiTheme="minorHAnsi" w:hAnsiTheme="minorHAnsi"/>
                <w:sz w:val="20"/>
                <w:szCs w:val="20"/>
                <w:u w:val="single"/>
              </w:rPr>
              <w:t>)</w:t>
            </w:r>
          </w:p>
          <w:p w:rsidR="00C23F70" w:rsidRPr="000019BE" w:rsidRDefault="00C23F70" w:rsidP="00A536EA">
            <w:pPr>
              <w:pStyle w:val="Default"/>
              <w:spacing w:before="120" w:after="120"/>
              <w:ind w:left="0" w:right="0"/>
              <w:rPr>
                <w:rFonts w:asciiTheme="minorHAnsi" w:hAnsiTheme="minorHAnsi"/>
                <w:sz w:val="20"/>
                <w:szCs w:val="20"/>
              </w:rPr>
            </w:pPr>
            <w:r w:rsidRPr="000019BE">
              <w:rPr>
                <w:rFonts w:asciiTheme="minorHAnsi" w:hAnsiTheme="minorHAnsi"/>
                <w:sz w:val="20"/>
                <w:szCs w:val="20"/>
              </w:rPr>
              <w:t xml:space="preserve">The </w:t>
            </w:r>
            <w:proofErr w:type="spellStart"/>
            <w:r w:rsidRPr="000019BE">
              <w:rPr>
                <w:rFonts w:asciiTheme="minorHAnsi" w:hAnsiTheme="minorHAnsi"/>
                <w:sz w:val="20"/>
                <w:szCs w:val="20"/>
              </w:rPr>
              <w:t>AVAglio</w:t>
            </w:r>
            <w:proofErr w:type="spellEnd"/>
            <w:r w:rsidRPr="000019BE">
              <w:rPr>
                <w:rFonts w:asciiTheme="minorHAnsi" w:hAnsiTheme="minorHAnsi"/>
                <w:sz w:val="20"/>
                <w:szCs w:val="20"/>
              </w:rPr>
              <w:t xml:space="preserve"> study was included in the Post-Authorization Efficacy Plan because the study was still on-going at the time version 13 of the EU RMP was submitted. The efficacy objective was overall survival (not efficacy of long term treatment). The protocol was amended (Protocol C) to allow continued </w:t>
            </w:r>
            <w:proofErr w:type="spellStart"/>
            <w:r w:rsidR="00166F6A">
              <w:rPr>
                <w:rFonts w:asciiTheme="minorHAnsi" w:hAnsiTheme="minorHAnsi"/>
                <w:sz w:val="20"/>
                <w:szCs w:val="20"/>
              </w:rPr>
              <w:t>bevacizumab</w:t>
            </w:r>
            <w:proofErr w:type="spellEnd"/>
            <w:r w:rsidRPr="000019BE">
              <w:rPr>
                <w:rFonts w:asciiTheme="minorHAnsi" w:hAnsiTheme="minorHAnsi"/>
                <w:sz w:val="20"/>
                <w:szCs w:val="20"/>
              </w:rPr>
              <w:t xml:space="preserve"> treatment for existing study participants and the reporting of serious adverse events from these patients. This amendment was mistakenly reported in the RMP </w:t>
            </w:r>
            <w:r w:rsidR="00844F94">
              <w:rPr>
                <w:rFonts w:asciiTheme="minorHAnsi" w:hAnsiTheme="minorHAnsi"/>
                <w:sz w:val="20"/>
                <w:szCs w:val="20"/>
              </w:rPr>
              <w:t xml:space="preserve">as the </w:t>
            </w:r>
            <w:proofErr w:type="spellStart"/>
            <w:r w:rsidR="00844F94">
              <w:rPr>
                <w:rFonts w:asciiTheme="minorHAnsi" w:hAnsiTheme="minorHAnsi"/>
                <w:sz w:val="20"/>
                <w:szCs w:val="20"/>
              </w:rPr>
              <w:t>AVAglio</w:t>
            </w:r>
            <w:proofErr w:type="spellEnd"/>
            <w:r w:rsidR="00844F94">
              <w:rPr>
                <w:rFonts w:asciiTheme="minorHAnsi" w:hAnsiTheme="minorHAnsi"/>
                <w:sz w:val="20"/>
                <w:szCs w:val="20"/>
              </w:rPr>
              <w:t xml:space="preserve"> extension study.</w:t>
            </w:r>
          </w:p>
          <w:p w:rsidR="00C23F70" w:rsidRPr="000019BE" w:rsidRDefault="00C23F70" w:rsidP="00A536EA">
            <w:pPr>
              <w:tabs>
                <w:tab w:val="left" w:pos="3265"/>
              </w:tabs>
              <w:ind w:left="0" w:right="0"/>
              <w:rPr>
                <w:rFonts w:asciiTheme="minorHAnsi" w:hAnsiTheme="minorHAnsi"/>
                <w:sz w:val="20"/>
                <w:szCs w:val="20"/>
              </w:rPr>
            </w:pPr>
            <w:r w:rsidRPr="000019BE">
              <w:rPr>
                <w:rFonts w:asciiTheme="minorHAnsi" w:hAnsiTheme="minorHAnsi"/>
                <w:sz w:val="20"/>
                <w:szCs w:val="20"/>
              </w:rPr>
              <w:t xml:space="preserve">The </w:t>
            </w:r>
            <w:proofErr w:type="spellStart"/>
            <w:r w:rsidRPr="000019BE">
              <w:rPr>
                <w:rFonts w:asciiTheme="minorHAnsi" w:hAnsiTheme="minorHAnsi"/>
                <w:sz w:val="20"/>
                <w:szCs w:val="20"/>
              </w:rPr>
              <w:t>AVAglio</w:t>
            </w:r>
            <w:proofErr w:type="spellEnd"/>
            <w:r w:rsidRPr="000019BE">
              <w:rPr>
                <w:rFonts w:asciiTheme="minorHAnsi" w:hAnsiTheme="minorHAnsi"/>
                <w:sz w:val="20"/>
                <w:szCs w:val="20"/>
              </w:rPr>
              <w:t xml:space="preserve"> study is now considered to be completed in the Post-Authorization Efficacy Plan. The overall survival data is available as the clinical study report has been updated and submitted in the EU. The final OS clinical study report, included with this submission in response to clinical question 1, contains Protocol C (Report #1056094). </w:t>
            </w:r>
            <w:r w:rsidR="00174CCF">
              <w:rPr>
                <w:rFonts w:asciiTheme="minorHAnsi" w:hAnsiTheme="minorHAnsi"/>
                <w:sz w:val="20"/>
                <w:szCs w:val="20"/>
              </w:rPr>
              <w:t>A</w:t>
            </w:r>
            <w:r w:rsidRPr="000019BE">
              <w:rPr>
                <w:rFonts w:asciiTheme="minorHAnsi" w:hAnsiTheme="minorHAnsi"/>
                <w:sz w:val="20"/>
                <w:szCs w:val="20"/>
              </w:rPr>
              <w:t xml:space="preserve"> copy of the Post-Authorization Efficacy Plan table, including milestones, which has been updated following these amendments (changes indicated in red text)</w:t>
            </w:r>
            <w:r w:rsidR="00174CCF">
              <w:rPr>
                <w:rFonts w:asciiTheme="minorHAnsi" w:hAnsiTheme="minorHAnsi"/>
                <w:sz w:val="20"/>
                <w:szCs w:val="20"/>
              </w:rPr>
              <w:t xml:space="preserve"> has been included</w:t>
            </w:r>
            <w:r w:rsidRPr="000019BE">
              <w:rPr>
                <w:rFonts w:asciiTheme="minorHAnsi" w:hAnsiTheme="minorHAnsi"/>
                <w:sz w:val="20"/>
                <w:szCs w:val="20"/>
              </w:rPr>
              <w:t>. These amendments have been included with EU-RMP version 14, which will be submitted with Australian Specific Addendum (ASA) 4.0 to TGA on 7 November 2013.</w:t>
            </w:r>
          </w:p>
        </w:tc>
        <w:tc>
          <w:tcPr>
            <w:tcW w:w="115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019BE" w:rsidRDefault="00C23F70" w:rsidP="00A536EA">
            <w:pPr>
              <w:spacing w:line="240" w:lineRule="auto"/>
              <w:ind w:left="0" w:right="0"/>
              <w:rPr>
                <w:rFonts w:asciiTheme="minorHAnsi" w:hAnsiTheme="minorHAnsi"/>
                <w:sz w:val="20"/>
                <w:szCs w:val="20"/>
              </w:rPr>
            </w:pPr>
            <w:r>
              <w:rPr>
                <w:rFonts w:asciiTheme="minorHAnsi" w:hAnsiTheme="minorHAnsi"/>
                <w:sz w:val="20"/>
                <w:szCs w:val="20"/>
              </w:rPr>
              <w:t>This is acceptable.</w:t>
            </w:r>
          </w:p>
        </w:tc>
      </w:tr>
      <w:tr w:rsidR="00C23F70" w:rsidRPr="000019BE" w:rsidTr="00174CCF">
        <w:trPr>
          <w:jc w:val="center"/>
        </w:trPr>
        <w:tc>
          <w:tcPr>
            <w:tcW w:w="140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844F94" w:rsidRDefault="00C23F70" w:rsidP="00844F94">
            <w:pPr>
              <w:pStyle w:val="Numberbullet0"/>
              <w:ind w:left="230" w:right="0" w:hanging="230"/>
              <w:rPr>
                <w:sz w:val="20"/>
                <w:szCs w:val="20"/>
              </w:rPr>
            </w:pPr>
            <w:r w:rsidRPr="00844F94">
              <w:rPr>
                <w:sz w:val="20"/>
                <w:szCs w:val="20"/>
              </w:rPr>
              <w:t>The following study reports are pending and should be submitted</w:t>
            </w:r>
            <w:r w:rsidR="00844F94" w:rsidRPr="00844F94">
              <w:rPr>
                <w:sz w:val="20"/>
                <w:szCs w:val="20"/>
              </w:rPr>
              <w:t xml:space="preserve"> with the PSURs when available:</w:t>
            </w:r>
          </w:p>
          <w:p w:rsidR="00C23F70" w:rsidRPr="00844F94" w:rsidRDefault="00844F94" w:rsidP="00844F94">
            <w:pPr>
              <w:autoSpaceDE w:val="0"/>
              <w:autoSpaceDN w:val="0"/>
              <w:spacing w:line="240" w:lineRule="auto"/>
              <w:ind w:left="230" w:right="0"/>
              <w:rPr>
                <w:rFonts w:asciiTheme="minorHAnsi" w:eastAsia="MS Mincho" w:hAnsiTheme="minorHAnsi" w:cs="Imago"/>
                <w:color w:val="000000"/>
                <w:sz w:val="20"/>
                <w:szCs w:val="20"/>
              </w:rPr>
            </w:pPr>
            <w:r>
              <w:rPr>
                <w:rFonts w:asciiTheme="minorHAnsi" w:eastAsia="MS Mincho" w:hAnsiTheme="minorHAnsi" w:cs="Imago"/>
                <w:bCs/>
                <w:color w:val="000000"/>
                <w:sz w:val="20"/>
                <w:szCs w:val="20"/>
              </w:rPr>
              <w:t>* AVF3991n (ARIES)</w:t>
            </w:r>
          </w:p>
          <w:p w:rsidR="00C23F70" w:rsidRPr="00844F94" w:rsidRDefault="00C23F70" w:rsidP="00844F94">
            <w:pPr>
              <w:autoSpaceDE w:val="0"/>
              <w:autoSpaceDN w:val="0"/>
              <w:spacing w:line="240" w:lineRule="auto"/>
              <w:ind w:left="230" w:right="0"/>
              <w:rPr>
                <w:rFonts w:asciiTheme="minorHAnsi" w:eastAsia="MS Mincho" w:hAnsiTheme="minorHAnsi" w:cs="Imago"/>
                <w:color w:val="000000"/>
                <w:sz w:val="20"/>
                <w:szCs w:val="20"/>
              </w:rPr>
            </w:pPr>
            <w:r w:rsidRPr="00844F94">
              <w:rPr>
                <w:rFonts w:asciiTheme="minorHAnsi" w:eastAsia="MS Mincho" w:hAnsiTheme="minorHAnsi" w:cs="Imago"/>
                <w:bCs/>
                <w:color w:val="000000"/>
                <w:sz w:val="20"/>
                <w:szCs w:val="20"/>
              </w:rPr>
              <w:t>* AVF4349n (VIRGO)</w:t>
            </w:r>
          </w:p>
          <w:p w:rsidR="00C23F70" w:rsidRPr="00844F94" w:rsidRDefault="00844F94" w:rsidP="00844F94">
            <w:pPr>
              <w:autoSpaceDE w:val="0"/>
              <w:autoSpaceDN w:val="0"/>
              <w:spacing w:line="240" w:lineRule="auto"/>
              <w:ind w:left="230" w:right="0"/>
              <w:rPr>
                <w:rFonts w:asciiTheme="minorHAnsi" w:eastAsia="MS Mincho" w:hAnsiTheme="minorHAnsi" w:cs="Imago"/>
                <w:color w:val="000000"/>
                <w:sz w:val="20"/>
                <w:szCs w:val="20"/>
              </w:rPr>
            </w:pPr>
            <w:r>
              <w:rPr>
                <w:rFonts w:asciiTheme="minorHAnsi" w:eastAsia="MS Mincho" w:hAnsiTheme="minorHAnsi" w:cs="Imago"/>
                <w:bCs/>
                <w:color w:val="000000"/>
                <w:sz w:val="20"/>
                <w:szCs w:val="20"/>
              </w:rPr>
              <w:lastRenderedPageBreak/>
              <w:t>* AVF4095g, CSR due by end 2013</w:t>
            </w:r>
          </w:p>
          <w:p w:rsidR="00C23F70" w:rsidRPr="00844F94" w:rsidRDefault="00C23F70" w:rsidP="00844F94">
            <w:pPr>
              <w:autoSpaceDE w:val="0"/>
              <w:autoSpaceDN w:val="0"/>
              <w:spacing w:line="240" w:lineRule="auto"/>
              <w:ind w:left="230" w:right="0"/>
              <w:rPr>
                <w:rFonts w:asciiTheme="minorHAnsi" w:eastAsia="MS Mincho" w:hAnsiTheme="minorHAnsi" w:cs="Imago"/>
                <w:color w:val="000000"/>
                <w:sz w:val="20"/>
                <w:szCs w:val="20"/>
              </w:rPr>
            </w:pPr>
            <w:r w:rsidRPr="00844F94">
              <w:rPr>
                <w:rFonts w:asciiTheme="minorHAnsi" w:eastAsia="MS Mincho" w:hAnsiTheme="minorHAnsi" w:cs="Imago"/>
                <w:bCs/>
                <w:color w:val="000000"/>
                <w:sz w:val="20"/>
                <w:szCs w:val="20"/>
              </w:rPr>
              <w:t xml:space="preserve">* MO19286 (AVEX) final report </w:t>
            </w:r>
            <w:r w:rsidR="00174CCF" w:rsidRPr="00844F94">
              <w:rPr>
                <w:rFonts w:asciiTheme="minorHAnsi" w:eastAsia="MS Mincho" w:hAnsiTheme="minorHAnsi" w:cs="Imago"/>
                <w:bCs/>
                <w:color w:val="000000"/>
                <w:sz w:val="20"/>
                <w:szCs w:val="20"/>
              </w:rPr>
              <w:t>second quarter</w:t>
            </w:r>
            <w:r w:rsidR="00844F94">
              <w:rPr>
                <w:rFonts w:asciiTheme="minorHAnsi" w:eastAsia="MS Mincho" w:hAnsiTheme="minorHAnsi" w:cs="Imago"/>
                <w:bCs/>
                <w:color w:val="000000"/>
                <w:sz w:val="20"/>
                <w:szCs w:val="20"/>
              </w:rPr>
              <w:t xml:space="preserve"> 2013</w:t>
            </w:r>
          </w:p>
          <w:p w:rsidR="00C23F70" w:rsidRPr="00844F94" w:rsidRDefault="00C23F70" w:rsidP="00844F94">
            <w:pPr>
              <w:autoSpaceDE w:val="0"/>
              <w:autoSpaceDN w:val="0"/>
              <w:spacing w:line="240" w:lineRule="auto"/>
              <w:ind w:left="230" w:right="0"/>
              <w:rPr>
                <w:rFonts w:asciiTheme="minorHAnsi" w:eastAsia="MS Mincho" w:hAnsiTheme="minorHAnsi" w:cs="Imago"/>
                <w:color w:val="000000"/>
                <w:sz w:val="20"/>
                <w:szCs w:val="20"/>
              </w:rPr>
            </w:pPr>
            <w:r w:rsidRPr="00844F94">
              <w:rPr>
                <w:rFonts w:asciiTheme="minorHAnsi" w:eastAsia="MS Mincho" w:hAnsiTheme="minorHAnsi" w:cs="Imago"/>
                <w:bCs/>
                <w:color w:val="000000"/>
                <w:sz w:val="20"/>
                <w:szCs w:val="20"/>
              </w:rPr>
              <w:t>* BO17707 due 31 December 2013 (imposed activities considered key to t</w:t>
            </w:r>
            <w:r w:rsidR="00844F94">
              <w:rPr>
                <w:rFonts w:asciiTheme="minorHAnsi" w:eastAsia="MS Mincho" w:hAnsiTheme="minorHAnsi" w:cs="Imago"/>
                <w:bCs/>
                <w:color w:val="000000"/>
                <w:sz w:val="20"/>
                <w:szCs w:val="20"/>
              </w:rPr>
              <w:t>he benefit risk of the product)</w:t>
            </w:r>
          </w:p>
          <w:p w:rsidR="00C23F70" w:rsidRPr="00844F94" w:rsidRDefault="00C23F70" w:rsidP="00844F94">
            <w:pPr>
              <w:autoSpaceDE w:val="0"/>
              <w:autoSpaceDN w:val="0"/>
              <w:spacing w:line="240" w:lineRule="auto"/>
              <w:ind w:left="230" w:right="0"/>
              <w:rPr>
                <w:rFonts w:asciiTheme="minorHAnsi" w:eastAsia="MS Mincho" w:hAnsiTheme="minorHAnsi" w:cs="Imago"/>
                <w:color w:val="000000"/>
                <w:sz w:val="20"/>
                <w:szCs w:val="20"/>
              </w:rPr>
            </w:pPr>
            <w:r w:rsidRPr="00844F94">
              <w:rPr>
                <w:rFonts w:asciiTheme="minorHAnsi" w:eastAsia="MS Mincho" w:hAnsiTheme="minorHAnsi" w:cs="Imago"/>
                <w:bCs/>
                <w:color w:val="000000"/>
                <w:sz w:val="20"/>
                <w:szCs w:val="20"/>
              </w:rPr>
              <w:t>* ML21823 f</w:t>
            </w:r>
            <w:r w:rsidR="00844F94">
              <w:rPr>
                <w:rFonts w:asciiTheme="minorHAnsi" w:eastAsia="MS Mincho" w:hAnsiTheme="minorHAnsi" w:cs="Imago"/>
                <w:bCs/>
                <w:color w:val="000000"/>
                <w:sz w:val="20"/>
                <w:szCs w:val="20"/>
              </w:rPr>
              <w:t>inal report due 31 October 2013</w:t>
            </w:r>
          </w:p>
          <w:p w:rsidR="00C23F70" w:rsidRPr="00844F94" w:rsidRDefault="00C23F70" w:rsidP="00844F94">
            <w:pPr>
              <w:autoSpaceDE w:val="0"/>
              <w:autoSpaceDN w:val="0"/>
              <w:spacing w:line="240" w:lineRule="auto"/>
              <w:ind w:left="230" w:right="0"/>
              <w:rPr>
                <w:rFonts w:asciiTheme="minorHAnsi" w:eastAsia="MS Mincho" w:hAnsiTheme="minorHAnsi" w:cs="Imago"/>
                <w:bCs/>
                <w:color w:val="000000"/>
                <w:sz w:val="20"/>
                <w:szCs w:val="20"/>
              </w:rPr>
            </w:pPr>
            <w:r w:rsidRPr="00844F94">
              <w:rPr>
                <w:rFonts w:asciiTheme="minorHAnsi" w:eastAsia="MS Mincho" w:hAnsiTheme="minorHAnsi" w:cs="Imago"/>
                <w:bCs/>
                <w:color w:val="000000"/>
                <w:sz w:val="20"/>
                <w:szCs w:val="20"/>
              </w:rPr>
              <w:t>* BO2541</w:t>
            </w:r>
          </w:p>
        </w:tc>
        <w:tc>
          <w:tcPr>
            <w:tcW w:w="243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019BE" w:rsidRDefault="00C23F70" w:rsidP="00A536EA">
            <w:pPr>
              <w:pStyle w:val="Default"/>
              <w:spacing w:before="120" w:after="120"/>
              <w:ind w:left="0" w:right="0"/>
              <w:rPr>
                <w:rFonts w:asciiTheme="minorHAnsi" w:hAnsiTheme="minorHAnsi"/>
                <w:sz w:val="20"/>
                <w:szCs w:val="20"/>
                <w:u w:val="single"/>
              </w:rPr>
            </w:pPr>
            <w:r w:rsidRPr="000019BE">
              <w:rPr>
                <w:rFonts w:asciiTheme="minorHAnsi" w:hAnsiTheme="minorHAnsi"/>
                <w:sz w:val="20"/>
                <w:szCs w:val="20"/>
              </w:rPr>
              <w:lastRenderedPageBreak/>
              <w:t>Full CSRs are usually not included in the PSUR. A summary of the CSR for the above studies, including pharmacovigilance outcomes, will be outlined in future PSURs. As AVF3991n (ARIES) is a registry study, no CSR will be produced, however a summary of the safety outcomes will be provided in a future PSUR.</w:t>
            </w:r>
          </w:p>
        </w:tc>
        <w:tc>
          <w:tcPr>
            <w:tcW w:w="115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019BE" w:rsidRDefault="00C23F70" w:rsidP="00A536EA">
            <w:pPr>
              <w:spacing w:line="240" w:lineRule="auto"/>
              <w:ind w:left="0" w:right="0"/>
              <w:rPr>
                <w:rFonts w:asciiTheme="minorHAnsi" w:hAnsiTheme="minorHAnsi"/>
                <w:sz w:val="20"/>
                <w:szCs w:val="20"/>
              </w:rPr>
            </w:pPr>
            <w:r w:rsidRPr="000019BE">
              <w:rPr>
                <w:rFonts w:asciiTheme="minorHAnsi" w:hAnsiTheme="minorHAnsi"/>
                <w:sz w:val="20"/>
                <w:szCs w:val="20"/>
              </w:rPr>
              <w:t>This is acceptable.</w:t>
            </w:r>
          </w:p>
        </w:tc>
      </w:tr>
      <w:tr w:rsidR="00C23F70" w:rsidRPr="000019BE" w:rsidTr="00174CCF">
        <w:trPr>
          <w:jc w:val="center"/>
        </w:trPr>
        <w:tc>
          <w:tcPr>
            <w:tcW w:w="140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844F94" w:rsidRDefault="00C23F70" w:rsidP="00844F94">
            <w:pPr>
              <w:pStyle w:val="Numberbullet0"/>
              <w:ind w:left="230" w:right="0" w:hanging="230"/>
              <w:rPr>
                <w:rFonts w:eastAsia="MS Mincho" w:cs="Imago"/>
                <w:color w:val="000000"/>
              </w:rPr>
            </w:pPr>
            <w:r w:rsidRPr="00844F94">
              <w:rPr>
                <w:sz w:val="20"/>
                <w:szCs w:val="20"/>
              </w:rPr>
              <w:lastRenderedPageBreak/>
              <w:t>Table SVI.4.4 in Section 7.5 of the EU-RMP shows medication errors for the period 26 Feb</w:t>
            </w:r>
            <w:r w:rsidR="00174CCF" w:rsidRPr="00844F94">
              <w:rPr>
                <w:sz w:val="20"/>
                <w:szCs w:val="20"/>
              </w:rPr>
              <w:t>ruary</w:t>
            </w:r>
            <w:r w:rsidRPr="00844F94">
              <w:rPr>
                <w:sz w:val="20"/>
                <w:szCs w:val="20"/>
              </w:rPr>
              <w:t xml:space="preserve"> 2011 to 25 Feb</w:t>
            </w:r>
            <w:r w:rsidR="00174CCF" w:rsidRPr="00844F94">
              <w:rPr>
                <w:sz w:val="20"/>
                <w:szCs w:val="20"/>
              </w:rPr>
              <w:t>ruary</w:t>
            </w:r>
            <w:r w:rsidRPr="00844F94">
              <w:rPr>
                <w:sz w:val="20"/>
                <w:szCs w:val="20"/>
              </w:rPr>
              <w:t xml:space="preserve"> 2012. It is recommended however that the sponsor provide the cumulative post marketing data on medication errors since 2004</w:t>
            </w:r>
            <w:r w:rsidRPr="00844F94">
              <w:t>.</w:t>
            </w:r>
          </w:p>
        </w:tc>
        <w:tc>
          <w:tcPr>
            <w:tcW w:w="243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019BE" w:rsidRDefault="00C23F70" w:rsidP="00A536EA">
            <w:pPr>
              <w:pStyle w:val="Default"/>
              <w:spacing w:before="120" w:after="120"/>
              <w:ind w:left="0" w:right="0"/>
              <w:rPr>
                <w:rFonts w:asciiTheme="minorHAnsi" w:hAnsiTheme="minorHAnsi"/>
                <w:sz w:val="20"/>
                <w:szCs w:val="20"/>
              </w:rPr>
            </w:pPr>
            <w:r w:rsidRPr="000019BE">
              <w:rPr>
                <w:rFonts w:asciiTheme="minorHAnsi" w:hAnsiTheme="minorHAnsi"/>
                <w:sz w:val="20"/>
                <w:szCs w:val="20"/>
              </w:rPr>
              <w:t>Cumulative post-marke</w:t>
            </w:r>
            <w:r w:rsidR="00B626F5">
              <w:rPr>
                <w:rFonts w:asciiTheme="minorHAnsi" w:hAnsiTheme="minorHAnsi"/>
                <w:sz w:val="20"/>
                <w:szCs w:val="20"/>
              </w:rPr>
              <w:t xml:space="preserve">ting data on medication errors </w:t>
            </w:r>
            <w:r w:rsidR="00B626F5" w:rsidRPr="00B626F5">
              <w:rPr>
                <w:rFonts w:asciiTheme="minorHAnsi" w:hAnsiTheme="minorHAnsi"/>
                <w:sz w:val="20"/>
                <w:szCs w:val="20"/>
              </w:rPr>
              <w:t>wa</w:t>
            </w:r>
            <w:r w:rsidRPr="00B626F5">
              <w:rPr>
                <w:rFonts w:asciiTheme="minorHAnsi" w:hAnsiTheme="minorHAnsi"/>
                <w:sz w:val="20"/>
                <w:szCs w:val="20"/>
              </w:rPr>
              <w:t xml:space="preserve">s presented in </w:t>
            </w:r>
            <w:r w:rsidR="00B626F5" w:rsidRPr="00B626F5">
              <w:rPr>
                <w:rFonts w:asciiTheme="minorHAnsi" w:hAnsiTheme="minorHAnsi"/>
                <w:sz w:val="20"/>
                <w:szCs w:val="20"/>
              </w:rPr>
              <w:t>a t</w:t>
            </w:r>
            <w:r w:rsidRPr="00B626F5">
              <w:rPr>
                <w:rFonts w:asciiTheme="minorHAnsi" w:hAnsiTheme="minorHAnsi"/>
                <w:sz w:val="20"/>
                <w:szCs w:val="20"/>
              </w:rPr>
              <w:t xml:space="preserve">able </w:t>
            </w:r>
            <w:r w:rsidR="00B626F5" w:rsidRPr="00B626F5">
              <w:rPr>
                <w:rFonts w:asciiTheme="minorHAnsi" w:hAnsiTheme="minorHAnsi"/>
                <w:sz w:val="20"/>
                <w:szCs w:val="20"/>
              </w:rPr>
              <w:t>attached to this response</w:t>
            </w:r>
            <w:r w:rsidRPr="00B626F5">
              <w:rPr>
                <w:rFonts w:asciiTheme="minorHAnsi" w:hAnsiTheme="minorHAnsi"/>
                <w:sz w:val="20"/>
                <w:szCs w:val="20"/>
              </w:rPr>
              <w:t>. This represents cumulative data from 26 Feb</w:t>
            </w:r>
            <w:r w:rsidR="00174CCF" w:rsidRPr="00B626F5">
              <w:rPr>
                <w:rFonts w:asciiTheme="minorHAnsi" w:hAnsiTheme="minorHAnsi"/>
                <w:sz w:val="20"/>
                <w:szCs w:val="20"/>
              </w:rPr>
              <w:t>ruary</w:t>
            </w:r>
            <w:r w:rsidRPr="000019BE">
              <w:rPr>
                <w:rFonts w:asciiTheme="minorHAnsi" w:hAnsiTheme="minorHAnsi"/>
                <w:sz w:val="20"/>
                <w:szCs w:val="20"/>
              </w:rPr>
              <w:t xml:space="preserve"> 2004 (international date of birth) up to 05 Aug</w:t>
            </w:r>
            <w:r w:rsidR="00174CCF">
              <w:rPr>
                <w:rFonts w:asciiTheme="minorHAnsi" w:hAnsiTheme="minorHAnsi"/>
                <w:sz w:val="20"/>
                <w:szCs w:val="20"/>
              </w:rPr>
              <w:t>ust</w:t>
            </w:r>
            <w:r w:rsidRPr="000019BE">
              <w:rPr>
                <w:rFonts w:asciiTheme="minorHAnsi" w:hAnsiTheme="minorHAnsi"/>
                <w:sz w:val="20"/>
                <w:szCs w:val="20"/>
              </w:rPr>
              <w:t xml:space="preserve"> 2013. Cumulative post marketing data is included with EU-RMP version 13.1, and will be included with future versions of the EU-RMP. Please note: EU-RMP version 14.0, to be submitted to TGA on 7 November 2013 with ASA version 4.0, does not contain the cumulative data, as EU-RMP version 14.0 was</w:t>
            </w:r>
            <w:r w:rsidR="00174CCF">
              <w:rPr>
                <w:rFonts w:asciiTheme="minorHAnsi" w:hAnsiTheme="minorHAnsi"/>
                <w:sz w:val="20"/>
                <w:szCs w:val="20"/>
              </w:rPr>
              <w:t xml:space="preserve"> published before version 13.1.</w:t>
            </w:r>
          </w:p>
        </w:tc>
        <w:tc>
          <w:tcPr>
            <w:tcW w:w="115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019BE" w:rsidRDefault="00C23F70" w:rsidP="00A536EA">
            <w:pPr>
              <w:spacing w:line="240" w:lineRule="auto"/>
              <w:ind w:left="0" w:right="0"/>
              <w:rPr>
                <w:rFonts w:asciiTheme="minorHAnsi" w:hAnsiTheme="minorHAnsi"/>
                <w:sz w:val="20"/>
                <w:szCs w:val="20"/>
              </w:rPr>
            </w:pPr>
            <w:r>
              <w:rPr>
                <w:rFonts w:asciiTheme="minorHAnsi" w:hAnsiTheme="minorHAnsi"/>
                <w:sz w:val="20"/>
                <w:szCs w:val="20"/>
              </w:rPr>
              <w:t>This is acceptable.</w:t>
            </w:r>
          </w:p>
        </w:tc>
      </w:tr>
      <w:tr w:rsidR="00C23F70" w:rsidRPr="000019BE" w:rsidTr="00174CCF">
        <w:trPr>
          <w:jc w:val="center"/>
        </w:trPr>
        <w:tc>
          <w:tcPr>
            <w:tcW w:w="140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844F94" w:rsidRDefault="00C23F70" w:rsidP="00844F94">
            <w:pPr>
              <w:pStyle w:val="Numberbullet0"/>
              <w:ind w:left="230" w:right="0" w:hanging="230"/>
              <w:rPr>
                <w:rFonts w:eastAsia="MS Mincho" w:cs="Imago"/>
                <w:color w:val="000000"/>
                <w:sz w:val="20"/>
                <w:szCs w:val="20"/>
              </w:rPr>
            </w:pPr>
            <w:r w:rsidRPr="00844F94">
              <w:rPr>
                <w:sz w:val="20"/>
                <w:szCs w:val="20"/>
              </w:rPr>
              <w:t xml:space="preserve">The sponsor should correct the following statement in regards to potential for off-label use: </w:t>
            </w:r>
            <w:r w:rsidR="00775109" w:rsidRPr="00844F94">
              <w:rPr>
                <w:sz w:val="20"/>
                <w:szCs w:val="20"/>
              </w:rPr>
              <w:t>‘</w:t>
            </w:r>
            <w:r w:rsidRPr="00844F94">
              <w:rPr>
                <w:sz w:val="20"/>
                <w:szCs w:val="20"/>
              </w:rPr>
              <w:t xml:space="preserve">Please refer to Section 5.4, SV.4. Post-authorization off-label use, for examples of known off-label use, including </w:t>
            </w:r>
            <w:proofErr w:type="spellStart"/>
            <w:r w:rsidRPr="00844F94">
              <w:rPr>
                <w:sz w:val="20"/>
                <w:szCs w:val="20"/>
              </w:rPr>
              <w:t>pediatric</w:t>
            </w:r>
            <w:proofErr w:type="spellEnd"/>
            <w:r w:rsidRPr="00844F94">
              <w:rPr>
                <w:sz w:val="20"/>
                <w:szCs w:val="20"/>
              </w:rPr>
              <w:t>.</w:t>
            </w:r>
            <w:r w:rsidR="00775109" w:rsidRPr="00844F94">
              <w:rPr>
                <w:sz w:val="20"/>
                <w:szCs w:val="20"/>
              </w:rPr>
              <w:t>’</w:t>
            </w:r>
            <w:r w:rsidRPr="00844F94">
              <w:rPr>
                <w:sz w:val="20"/>
                <w:szCs w:val="20"/>
              </w:rPr>
              <w:t xml:space="preserve"> This should refer to Section 6.4.</w:t>
            </w:r>
          </w:p>
        </w:tc>
        <w:tc>
          <w:tcPr>
            <w:tcW w:w="243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019BE" w:rsidRDefault="00C23F70" w:rsidP="00A536EA">
            <w:pPr>
              <w:pStyle w:val="Default"/>
              <w:spacing w:before="120" w:after="120"/>
              <w:ind w:left="0" w:right="0"/>
              <w:rPr>
                <w:rFonts w:asciiTheme="minorHAnsi" w:hAnsiTheme="minorHAnsi"/>
                <w:sz w:val="20"/>
                <w:szCs w:val="20"/>
              </w:rPr>
            </w:pPr>
            <w:r w:rsidRPr="000019BE">
              <w:rPr>
                <w:rFonts w:asciiTheme="minorHAnsi" w:hAnsiTheme="minorHAnsi"/>
                <w:sz w:val="20"/>
                <w:szCs w:val="20"/>
              </w:rPr>
              <w:t xml:space="preserve">Roche acknowledges the error, which will be corrected with Version 15 of the </w:t>
            </w:r>
            <w:proofErr w:type="spellStart"/>
            <w:r w:rsidRPr="000019BE">
              <w:rPr>
                <w:rFonts w:asciiTheme="minorHAnsi" w:hAnsiTheme="minorHAnsi"/>
                <w:sz w:val="20"/>
                <w:szCs w:val="20"/>
              </w:rPr>
              <w:t>Avastin</w:t>
            </w:r>
            <w:proofErr w:type="spellEnd"/>
            <w:r w:rsidRPr="000019BE">
              <w:rPr>
                <w:rFonts w:asciiTheme="minorHAnsi" w:hAnsiTheme="minorHAnsi"/>
                <w:sz w:val="20"/>
                <w:szCs w:val="20"/>
              </w:rPr>
              <w:t xml:space="preserve"> EU-RMP. Please note, version 4.0 of the ASA will be submitted to TGA on 7 November 2013. This version contains version 14.0 of the EU-RMP, which does not have the above correction.</w:t>
            </w:r>
          </w:p>
        </w:tc>
        <w:tc>
          <w:tcPr>
            <w:tcW w:w="115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019BE" w:rsidRDefault="00C23F70" w:rsidP="00A536EA">
            <w:pPr>
              <w:spacing w:line="240" w:lineRule="auto"/>
              <w:ind w:left="0" w:right="0"/>
              <w:rPr>
                <w:rFonts w:asciiTheme="minorHAnsi" w:hAnsiTheme="minorHAnsi"/>
                <w:sz w:val="20"/>
                <w:szCs w:val="20"/>
              </w:rPr>
            </w:pPr>
            <w:r>
              <w:rPr>
                <w:rFonts w:asciiTheme="minorHAnsi" w:hAnsiTheme="minorHAnsi"/>
                <w:sz w:val="20"/>
                <w:szCs w:val="20"/>
              </w:rPr>
              <w:t>This is acceptable.</w:t>
            </w:r>
          </w:p>
          <w:p w:rsidR="00C23F70" w:rsidRPr="000019BE" w:rsidRDefault="00C23F70" w:rsidP="00A536EA">
            <w:pPr>
              <w:ind w:left="0" w:right="0"/>
              <w:jc w:val="right"/>
              <w:rPr>
                <w:rFonts w:asciiTheme="minorHAnsi" w:hAnsiTheme="minorHAnsi"/>
                <w:sz w:val="20"/>
                <w:szCs w:val="20"/>
              </w:rPr>
            </w:pPr>
          </w:p>
        </w:tc>
      </w:tr>
      <w:tr w:rsidR="00C23F70" w:rsidRPr="000019BE" w:rsidTr="00174CCF">
        <w:trPr>
          <w:jc w:val="center"/>
        </w:trPr>
        <w:tc>
          <w:tcPr>
            <w:tcW w:w="140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844F94" w:rsidRDefault="00C23F70" w:rsidP="00844F94">
            <w:pPr>
              <w:pStyle w:val="Numberbullet0"/>
              <w:tabs>
                <w:tab w:val="left" w:pos="2290"/>
              </w:tabs>
              <w:ind w:left="230" w:right="0" w:hanging="230"/>
              <w:rPr>
                <w:sz w:val="20"/>
                <w:szCs w:val="20"/>
              </w:rPr>
            </w:pPr>
            <w:r w:rsidRPr="00844F94">
              <w:rPr>
                <w:sz w:val="20"/>
                <w:szCs w:val="20"/>
              </w:rPr>
              <w:t>In regards to the proposed routine risk minimisation, the Delegate may wish to consider the following additions to the proposed Australian PI:</w:t>
            </w:r>
          </w:p>
          <w:p w:rsidR="00C23F70" w:rsidRPr="00844F94" w:rsidRDefault="00C23F70" w:rsidP="00844F94">
            <w:pPr>
              <w:autoSpaceDE w:val="0"/>
              <w:autoSpaceDN w:val="0"/>
              <w:spacing w:line="240" w:lineRule="auto"/>
              <w:ind w:left="230" w:right="0"/>
              <w:rPr>
                <w:rFonts w:asciiTheme="minorHAnsi" w:eastAsia="MS Mincho" w:hAnsiTheme="minorHAnsi"/>
                <w:sz w:val="20"/>
                <w:szCs w:val="20"/>
              </w:rPr>
            </w:pPr>
            <w:r w:rsidRPr="00844F94">
              <w:rPr>
                <w:rFonts w:asciiTheme="minorHAnsi" w:eastAsia="MS Mincho" w:hAnsiTheme="minorHAnsi"/>
                <w:sz w:val="20"/>
                <w:szCs w:val="20"/>
              </w:rPr>
              <w:t xml:space="preserve">A) </w:t>
            </w:r>
            <w:r w:rsidRPr="00844F94">
              <w:rPr>
                <w:rFonts w:asciiTheme="minorHAnsi" w:hAnsiTheme="minorHAnsi"/>
                <w:sz w:val="20"/>
                <w:szCs w:val="20"/>
              </w:rPr>
              <w:t xml:space="preserve">Under </w:t>
            </w:r>
            <w:r w:rsidR="00775109" w:rsidRPr="00844F94">
              <w:rPr>
                <w:rFonts w:asciiTheme="minorHAnsi" w:hAnsiTheme="minorHAnsi"/>
                <w:sz w:val="20"/>
                <w:szCs w:val="20"/>
              </w:rPr>
              <w:t>‘</w:t>
            </w:r>
            <w:r w:rsidRPr="00844F94">
              <w:rPr>
                <w:rFonts w:asciiTheme="minorHAnsi" w:hAnsiTheme="minorHAnsi"/>
                <w:sz w:val="20"/>
                <w:szCs w:val="20"/>
              </w:rPr>
              <w:t>use in pregnancy</w:t>
            </w:r>
            <w:r w:rsidR="00775109" w:rsidRPr="00844F94">
              <w:rPr>
                <w:rFonts w:asciiTheme="minorHAnsi" w:hAnsiTheme="minorHAnsi"/>
                <w:sz w:val="20"/>
                <w:szCs w:val="20"/>
              </w:rPr>
              <w:t>’</w:t>
            </w:r>
            <w:r w:rsidRPr="00844F94">
              <w:rPr>
                <w:rFonts w:asciiTheme="minorHAnsi" w:hAnsiTheme="minorHAnsi"/>
                <w:sz w:val="20"/>
                <w:szCs w:val="20"/>
              </w:rPr>
              <w:t xml:space="preserve"> or </w:t>
            </w:r>
            <w:r w:rsidR="00775109" w:rsidRPr="00844F94">
              <w:rPr>
                <w:rFonts w:asciiTheme="minorHAnsi" w:hAnsiTheme="minorHAnsi"/>
                <w:sz w:val="20"/>
                <w:szCs w:val="20"/>
              </w:rPr>
              <w:t>‘</w:t>
            </w:r>
            <w:r w:rsidRPr="00844F94">
              <w:rPr>
                <w:rFonts w:asciiTheme="minorHAnsi" w:hAnsiTheme="minorHAnsi"/>
                <w:sz w:val="20"/>
                <w:szCs w:val="20"/>
              </w:rPr>
              <w:t>paediatric use</w:t>
            </w:r>
            <w:r w:rsidR="00775109" w:rsidRPr="00844F94">
              <w:rPr>
                <w:rFonts w:asciiTheme="minorHAnsi" w:hAnsiTheme="minorHAnsi"/>
                <w:sz w:val="20"/>
                <w:szCs w:val="20"/>
              </w:rPr>
              <w:t>’</w:t>
            </w:r>
            <w:r w:rsidRPr="00844F94">
              <w:rPr>
                <w:rFonts w:asciiTheme="minorHAnsi" w:hAnsiTheme="minorHAnsi"/>
                <w:sz w:val="20"/>
                <w:szCs w:val="20"/>
              </w:rPr>
              <w:t xml:space="preserve">: The specific term </w:t>
            </w:r>
            <w:r w:rsidR="00775109" w:rsidRPr="00844F94">
              <w:rPr>
                <w:rFonts w:asciiTheme="minorHAnsi" w:hAnsiTheme="minorHAnsi"/>
                <w:i/>
                <w:sz w:val="20"/>
                <w:szCs w:val="20"/>
              </w:rPr>
              <w:t>‘</w:t>
            </w:r>
            <w:proofErr w:type="spellStart"/>
            <w:r w:rsidRPr="00844F94">
              <w:rPr>
                <w:rFonts w:asciiTheme="minorHAnsi" w:hAnsiTheme="minorHAnsi"/>
                <w:i/>
                <w:sz w:val="20"/>
                <w:szCs w:val="20"/>
              </w:rPr>
              <w:t>Physeal</w:t>
            </w:r>
            <w:proofErr w:type="spellEnd"/>
            <w:r w:rsidRPr="00844F94">
              <w:rPr>
                <w:rFonts w:asciiTheme="minorHAnsi" w:hAnsiTheme="minorHAnsi"/>
                <w:i/>
                <w:sz w:val="20"/>
                <w:szCs w:val="20"/>
              </w:rPr>
              <w:t xml:space="preserve"> </w:t>
            </w:r>
            <w:r w:rsidRPr="00844F94">
              <w:rPr>
                <w:rFonts w:asciiTheme="minorHAnsi" w:hAnsiTheme="minorHAnsi"/>
                <w:i/>
                <w:sz w:val="20"/>
                <w:szCs w:val="20"/>
              </w:rPr>
              <w:lastRenderedPageBreak/>
              <w:t>Dysplasia</w:t>
            </w:r>
            <w:r w:rsidR="00775109" w:rsidRPr="00844F94">
              <w:rPr>
                <w:rFonts w:asciiTheme="minorHAnsi" w:hAnsiTheme="minorHAnsi"/>
                <w:i/>
                <w:sz w:val="20"/>
                <w:szCs w:val="20"/>
              </w:rPr>
              <w:t>’</w:t>
            </w:r>
            <w:r w:rsidRPr="00844F94">
              <w:rPr>
                <w:rFonts w:asciiTheme="minorHAnsi" w:hAnsiTheme="minorHAnsi"/>
                <w:sz w:val="20"/>
                <w:szCs w:val="20"/>
              </w:rPr>
              <w:t xml:space="preserve"> should be added</w:t>
            </w:r>
            <w:r w:rsidRPr="00844F94">
              <w:rPr>
                <w:rFonts w:asciiTheme="minorHAnsi" w:eastAsia="MS Mincho" w:hAnsiTheme="minorHAnsi"/>
                <w:sz w:val="20"/>
                <w:szCs w:val="20"/>
              </w:rPr>
              <w:t>.</w:t>
            </w:r>
          </w:p>
          <w:p w:rsidR="00C23F70" w:rsidRPr="00844F94" w:rsidRDefault="00C23F70" w:rsidP="00844F94">
            <w:pPr>
              <w:autoSpaceDE w:val="0"/>
              <w:autoSpaceDN w:val="0"/>
              <w:spacing w:line="240" w:lineRule="auto"/>
              <w:ind w:left="230" w:right="0"/>
              <w:rPr>
                <w:rFonts w:asciiTheme="minorHAnsi" w:eastAsia="MS Mincho" w:hAnsiTheme="minorHAnsi"/>
                <w:sz w:val="20"/>
                <w:szCs w:val="20"/>
              </w:rPr>
            </w:pPr>
            <w:r w:rsidRPr="00844F94">
              <w:rPr>
                <w:rFonts w:asciiTheme="minorHAnsi" w:eastAsia="MS Mincho" w:hAnsiTheme="minorHAnsi"/>
                <w:sz w:val="20"/>
                <w:szCs w:val="20"/>
              </w:rPr>
              <w:t>B)</w:t>
            </w:r>
            <w:r w:rsidRPr="00844F94">
              <w:rPr>
                <w:rFonts w:asciiTheme="minorHAnsi" w:hAnsiTheme="minorHAnsi"/>
                <w:sz w:val="20"/>
                <w:szCs w:val="20"/>
              </w:rPr>
              <w:t xml:space="preserve"> Under </w:t>
            </w:r>
            <w:r w:rsidR="00775109" w:rsidRPr="00844F94">
              <w:rPr>
                <w:rFonts w:asciiTheme="minorHAnsi" w:hAnsiTheme="minorHAnsi"/>
                <w:sz w:val="20"/>
                <w:szCs w:val="20"/>
              </w:rPr>
              <w:t>‘</w:t>
            </w:r>
            <w:r w:rsidRPr="00844F94">
              <w:rPr>
                <w:rFonts w:asciiTheme="minorHAnsi" w:hAnsiTheme="minorHAnsi"/>
                <w:sz w:val="20"/>
                <w:szCs w:val="20"/>
              </w:rPr>
              <w:t>Paediatric Use : a statement to the effect of</w:t>
            </w:r>
            <w:r w:rsidR="00AB7CEC" w:rsidRPr="00844F94">
              <w:rPr>
                <w:rFonts w:asciiTheme="minorHAnsi" w:hAnsiTheme="minorHAnsi"/>
                <w:sz w:val="20"/>
                <w:szCs w:val="20"/>
              </w:rPr>
              <w:t xml:space="preserve"> </w:t>
            </w:r>
            <w:r w:rsidR="00775109" w:rsidRPr="00844F94">
              <w:rPr>
                <w:rFonts w:asciiTheme="minorHAnsi" w:hAnsiTheme="minorHAnsi"/>
                <w:sz w:val="20"/>
                <w:szCs w:val="20"/>
              </w:rPr>
              <w:t>‘</w:t>
            </w:r>
            <w:proofErr w:type="spellStart"/>
            <w:r w:rsidRPr="00844F94">
              <w:rPr>
                <w:rFonts w:asciiTheme="minorHAnsi" w:hAnsiTheme="minorHAnsi"/>
                <w:sz w:val="20"/>
                <w:szCs w:val="20"/>
              </w:rPr>
              <w:t>Avastin</w:t>
            </w:r>
            <w:proofErr w:type="spellEnd"/>
            <w:r w:rsidRPr="00844F94">
              <w:rPr>
                <w:rFonts w:asciiTheme="minorHAnsi" w:hAnsiTheme="minorHAnsi"/>
                <w:sz w:val="20"/>
                <w:szCs w:val="20"/>
              </w:rPr>
              <w:t xml:space="preserve"> should not be used in children aged 3 years to less than 18 years with recurrent or progressive high-grade </w:t>
            </w:r>
            <w:proofErr w:type="spellStart"/>
            <w:r w:rsidRPr="00844F94">
              <w:rPr>
                <w:rFonts w:asciiTheme="minorHAnsi" w:hAnsiTheme="minorHAnsi"/>
                <w:sz w:val="20"/>
                <w:szCs w:val="20"/>
              </w:rPr>
              <w:t>glioma</w:t>
            </w:r>
            <w:proofErr w:type="spellEnd"/>
            <w:r w:rsidRPr="00844F94">
              <w:rPr>
                <w:rFonts w:asciiTheme="minorHAnsi" w:hAnsiTheme="minorHAnsi"/>
                <w:sz w:val="20"/>
                <w:szCs w:val="20"/>
              </w:rPr>
              <w:t xml:space="preserve"> because of efficacy concerns (see section 5.1 for results of paediatric trials).</w:t>
            </w:r>
            <w:r w:rsidR="00775109" w:rsidRPr="00844F94">
              <w:rPr>
                <w:rFonts w:asciiTheme="minorHAnsi" w:hAnsiTheme="minorHAnsi"/>
                <w:sz w:val="20"/>
                <w:szCs w:val="20"/>
              </w:rPr>
              <w:t>’</w:t>
            </w:r>
          </w:p>
        </w:tc>
        <w:tc>
          <w:tcPr>
            <w:tcW w:w="243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019BE" w:rsidRDefault="00C23F70" w:rsidP="00A536EA">
            <w:pPr>
              <w:pStyle w:val="Default"/>
              <w:spacing w:before="120" w:after="120"/>
              <w:ind w:left="0" w:right="0"/>
              <w:rPr>
                <w:rFonts w:asciiTheme="minorHAnsi" w:hAnsiTheme="minorHAnsi"/>
                <w:sz w:val="20"/>
                <w:szCs w:val="20"/>
              </w:rPr>
            </w:pPr>
            <w:r w:rsidRPr="000019BE">
              <w:rPr>
                <w:rFonts w:asciiTheme="minorHAnsi" w:hAnsiTheme="minorHAnsi"/>
                <w:sz w:val="20"/>
                <w:szCs w:val="20"/>
              </w:rPr>
              <w:lastRenderedPageBreak/>
              <w:t>Roche acknowledge the recommendation.</w:t>
            </w:r>
          </w:p>
        </w:tc>
        <w:tc>
          <w:tcPr>
            <w:tcW w:w="115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019BE" w:rsidRDefault="00C23F70" w:rsidP="00A536EA">
            <w:pPr>
              <w:spacing w:line="240" w:lineRule="auto"/>
              <w:ind w:left="0" w:right="0"/>
              <w:rPr>
                <w:rFonts w:asciiTheme="minorHAnsi" w:hAnsiTheme="minorHAnsi"/>
                <w:sz w:val="20"/>
                <w:szCs w:val="20"/>
              </w:rPr>
            </w:pPr>
            <w:r>
              <w:rPr>
                <w:rFonts w:asciiTheme="minorHAnsi" w:hAnsiTheme="minorHAnsi"/>
                <w:sz w:val="20"/>
                <w:szCs w:val="20"/>
              </w:rPr>
              <w:t>Deferred to the Delegate.</w:t>
            </w:r>
          </w:p>
        </w:tc>
      </w:tr>
      <w:tr w:rsidR="00C23F70" w:rsidRPr="000019BE" w:rsidTr="00174CCF">
        <w:trPr>
          <w:jc w:val="center"/>
        </w:trPr>
        <w:tc>
          <w:tcPr>
            <w:tcW w:w="140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844F94" w:rsidRDefault="00844F94" w:rsidP="00844F94">
            <w:pPr>
              <w:ind w:left="230" w:hanging="230"/>
            </w:pPr>
            <w:r>
              <w:lastRenderedPageBreak/>
              <w:t xml:space="preserve">7. </w:t>
            </w:r>
            <w:r w:rsidR="00C23F70" w:rsidRPr="00844F94">
              <w:rPr>
                <w:sz w:val="20"/>
                <w:szCs w:val="20"/>
              </w:rPr>
              <w:t xml:space="preserve">D) Under </w:t>
            </w:r>
            <w:r w:rsidR="00775109" w:rsidRPr="00844F94">
              <w:rPr>
                <w:sz w:val="20"/>
                <w:szCs w:val="20"/>
              </w:rPr>
              <w:t>‘</w:t>
            </w:r>
            <w:r w:rsidR="00C23F70" w:rsidRPr="00844F94">
              <w:rPr>
                <w:sz w:val="20"/>
                <w:szCs w:val="20"/>
              </w:rPr>
              <w:t>Dosage and Administration</w:t>
            </w:r>
            <w:r w:rsidR="00775109" w:rsidRPr="00844F94">
              <w:rPr>
                <w:sz w:val="20"/>
                <w:szCs w:val="20"/>
              </w:rPr>
              <w:t>’</w:t>
            </w:r>
            <w:r w:rsidR="00C23F70" w:rsidRPr="00844F94">
              <w:rPr>
                <w:sz w:val="20"/>
                <w:szCs w:val="20"/>
              </w:rPr>
              <w:t xml:space="preserve">: </w:t>
            </w:r>
            <w:r w:rsidR="00775109" w:rsidRPr="00844F94">
              <w:rPr>
                <w:sz w:val="20"/>
                <w:szCs w:val="20"/>
              </w:rPr>
              <w:t>‘</w:t>
            </w:r>
            <w:proofErr w:type="spellStart"/>
            <w:r w:rsidR="00C23F70" w:rsidRPr="00844F94">
              <w:rPr>
                <w:sz w:val="20"/>
                <w:szCs w:val="20"/>
              </w:rPr>
              <w:t>Avastin</w:t>
            </w:r>
            <w:proofErr w:type="spellEnd"/>
            <w:r w:rsidR="00C23F70" w:rsidRPr="00844F94">
              <w:rPr>
                <w:sz w:val="20"/>
                <w:szCs w:val="20"/>
              </w:rPr>
              <w:t xml:space="preserve"> must be administered under the supervision of a physician experienced in the use of antineoplastic medicinal products</w:t>
            </w:r>
            <w:r w:rsidR="00775109" w:rsidRPr="00844F94">
              <w:rPr>
                <w:sz w:val="20"/>
                <w:szCs w:val="20"/>
              </w:rPr>
              <w:t>’</w:t>
            </w:r>
            <w:r w:rsidR="00C23F70" w:rsidRPr="00844F94">
              <w:rPr>
                <w:sz w:val="20"/>
                <w:szCs w:val="20"/>
              </w:rPr>
              <w:t xml:space="preserve">. This is in line with the </w:t>
            </w:r>
            <w:r w:rsidR="0027748C" w:rsidRPr="00844F94">
              <w:rPr>
                <w:sz w:val="20"/>
                <w:szCs w:val="20"/>
              </w:rPr>
              <w:t>EU Summary of product Characteristics (</w:t>
            </w:r>
            <w:r w:rsidR="00C23F70" w:rsidRPr="00844F94">
              <w:rPr>
                <w:sz w:val="20"/>
                <w:szCs w:val="20"/>
              </w:rPr>
              <w:t>SmPC</w:t>
            </w:r>
            <w:r w:rsidR="0027748C" w:rsidRPr="00844F94">
              <w:rPr>
                <w:sz w:val="20"/>
                <w:szCs w:val="20"/>
              </w:rPr>
              <w:t>)</w:t>
            </w:r>
            <w:r w:rsidR="00C23F70" w:rsidRPr="00844F94">
              <w:rPr>
                <w:sz w:val="20"/>
                <w:szCs w:val="20"/>
              </w:rPr>
              <w:t xml:space="preserve"> and will enhance the safe use of </w:t>
            </w:r>
            <w:proofErr w:type="spellStart"/>
            <w:r w:rsidR="00166F6A" w:rsidRPr="00844F94">
              <w:rPr>
                <w:sz w:val="20"/>
                <w:szCs w:val="20"/>
              </w:rPr>
              <w:t>bevacizumab</w:t>
            </w:r>
            <w:proofErr w:type="spellEnd"/>
            <w:r w:rsidR="00C23F70" w:rsidRPr="00844F94">
              <w:rPr>
                <w:sz w:val="20"/>
                <w:szCs w:val="20"/>
              </w:rPr>
              <w:t>.</w:t>
            </w:r>
          </w:p>
        </w:tc>
        <w:tc>
          <w:tcPr>
            <w:tcW w:w="243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019BE" w:rsidRDefault="00C23F70" w:rsidP="00A536EA">
            <w:pPr>
              <w:pStyle w:val="Default"/>
              <w:spacing w:before="120" w:after="120"/>
              <w:ind w:left="0" w:right="0"/>
              <w:rPr>
                <w:rFonts w:asciiTheme="minorHAnsi" w:hAnsiTheme="minorHAnsi"/>
                <w:sz w:val="20"/>
                <w:szCs w:val="20"/>
              </w:rPr>
            </w:pPr>
            <w:r w:rsidRPr="000019BE">
              <w:rPr>
                <w:rFonts w:asciiTheme="minorHAnsi" w:hAnsiTheme="minorHAnsi"/>
                <w:sz w:val="20"/>
                <w:szCs w:val="20"/>
              </w:rPr>
              <w:t>Roche acknowledge and accept with the recommendation. The above sentence has been added to the proposed PI under Dosage and Administration.</w:t>
            </w:r>
          </w:p>
        </w:tc>
        <w:tc>
          <w:tcPr>
            <w:tcW w:w="115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019BE" w:rsidRDefault="00C23F70" w:rsidP="00A536EA">
            <w:pPr>
              <w:spacing w:line="240" w:lineRule="auto"/>
              <w:ind w:left="0" w:right="0"/>
              <w:rPr>
                <w:rFonts w:asciiTheme="minorHAnsi" w:hAnsiTheme="minorHAnsi"/>
                <w:sz w:val="20"/>
                <w:szCs w:val="20"/>
              </w:rPr>
            </w:pPr>
            <w:r>
              <w:rPr>
                <w:rFonts w:asciiTheme="minorHAnsi" w:hAnsiTheme="minorHAnsi"/>
                <w:sz w:val="20"/>
                <w:szCs w:val="20"/>
              </w:rPr>
              <w:t>This is acceptable.</w:t>
            </w:r>
          </w:p>
        </w:tc>
      </w:tr>
      <w:tr w:rsidR="00C23F70" w:rsidRPr="000019BE" w:rsidTr="00174CCF">
        <w:trPr>
          <w:jc w:val="center"/>
        </w:trPr>
        <w:tc>
          <w:tcPr>
            <w:tcW w:w="140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844F94" w:rsidRDefault="00C23F70" w:rsidP="00010527">
            <w:pPr>
              <w:autoSpaceDE w:val="0"/>
              <w:autoSpaceDN w:val="0"/>
              <w:spacing w:line="240" w:lineRule="auto"/>
              <w:ind w:left="230" w:right="0" w:hanging="230"/>
              <w:rPr>
                <w:rFonts w:asciiTheme="minorHAnsi" w:hAnsiTheme="minorHAnsi"/>
                <w:bCs/>
                <w:sz w:val="20"/>
                <w:szCs w:val="20"/>
              </w:rPr>
            </w:pPr>
            <w:r w:rsidRPr="00844F94">
              <w:rPr>
                <w:rFonts w:asciiTheme="minorHAnsi" w:hAnsiTheme="minorHAnsi"/>
                <w:bCs/>
                <w:sz w:val="20"/>
                <w:szCs w:val="20"/>
              </w:rPr>
              <w:t xml:space="preserve">7. </w:t>
            </w:r>
            <w:r w:rsidR="007B002B" w:rsidRPr="00844F94">
              <w:rPr>
                <w:rFonts w:asciiTheme="minorHAnsi" w:hAnsiTheme="minorHAnsi"/>
                <w:bCs/>
                <w:sz w:val="20"/>
                <w:szCs w:val="20"/>
              </w:rPr>
              <w:t>E</w:t>
            </w:r>
            <w:r w:rsidRPr="00844F94">
              <w:rPr>
                <w:rFonts w:asciiTheme="minorHAnsi" w:hAnsiTheme="minorHAnsi"/>
                <w:bCs/>
                <w:sz w:val="20"/>
                <w:szCs w:val="20"/>
              </w:rPr>
              <w:t xml:space="preserve">) Under </w:t>
            </w:r>
            <w:r w:rsidR="00775109" w:rsidRPr="00844F94">
              <w:rPr>
                <w:rFonts w:asciiTheme="minorHAnsi" w:hAnsiTheme="minorHAnsi"/>
                <w:bCs/>
                <w:sz w:val="20"/>
                <w:szCs w:val="20"/>
              </w:rPr>
              <w:t>‘</w:t>
            </w:r>
            <w:r w:rsidRPr="00844F94">
              <w:rPr>
                <w:rFonts w:asciiTheme="minorHAnsi" w:hAnsiTheme="minorHAnsi"/>
                <w:bCs/>
                <w:sz w:val="20"/>
                <w:szCs w:val="20"/>
              </w:rPr>
              <w:t>Severe Eye Infections Following Compounding for Unapproved Intravitreal Use</w:t>
            </w:r>
            <w:r w:rsidR="00775109" w:rsidRPr="00844F94">
              <w:rPr>
                <w:rFonts w:asciiTheme="minorHAnsi" w:hAnsiTheme="minorHAnsi"/>
                <w:bCs/>
                <w:sz w:val="20"/>
                <w:szCs w:val="20"/>
              </w:rPr>
              <w:t>’</w:t>
            </w:r>
            <w:r w:rsidRPr="00844F94">
              <w:rPr>
                <w:rFonts w:asciiTheme="minorHAnsi" w:hAnsiTheme="minorHAnsi"/>
                <w:bCs/>
                <w:sz w:val="20"/>
                <w:szCs w:val="20"/>
              </w:rPr>
              <w:t xml:space="preserve"> : a statement should be added regarding the increased risk of haemorrhagic stroke, overall mortality and serious systemic adverse events observed in patients following unapproved </w:t>
            </w:r>
            <w:proofErr w:type="spellStart"/>
            <w:r w:rsidR="00166F6A" w:rsidRPr="00844F94">
              <w:rPr>
                <w:rFonts w:asciiTheme="minorHAnsi" w:hAnsiTheme="minorHAnsi"/>
                <w:bCs/>
                <w:sz w:val="20"/>
                <w:szCs w:val="20"/>
              </w:rPr>
              <w:t>bevacizumab</w:t>
            </w:r>
            <w:proofErr w:type="spellEnd"/>
            <w:r w:rsidRPr="00844F94">
              <w:rPr>
                <w:rFonts w:asciiTheme="minorHAnsi" w:hAnsiTheme="minorHAnsi"/>
                <w:bCs/>
                <w:sz w:val="20"/>
                <w:szCs w:val="20"/>
              </w:rPr>
              <w:t xml:space="preserve"> use for wet age related macular degeneration.</w:t>
            </w:r>
          </w:p>
        </w:tc>
        <w:tc>
          <w:tcPr>
            <w:tcW w:w="243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019BE" w:rsidRDefault="00C23F70" w:rsidP="00A536EA">
            <w:pPr>
              <w:pStyle w:val="Default"/>
              <w:spacing w:before="120" w:after="120"/>
              <w:ind w:left="0" w:right="0"/>
              <w:rPr>
                <w:rFonts w:asciiTheme="minorHAnsi" w:hAnsiTheme="minorHAnsi"/>
                <w:sz w:val="20"/>
                <w:szCs w:val="20"/>
              </w:rPr>
            </w:pPr>
            <w:r w:rsidRPr="000019BE">
              <w:rPr>
                <w:rFonts w:asciiTheme="minorHAnsi" w:hAnsiTheme="minorHAnsi"/>
                <w:sz w:val="20"/>
                <w:szCs w:val="20"/>
              </w:rPr>
              <w:t>Roche acknowledge the recommendation.</w:t>
            </w:r>
          </w:p>
        </w:tc>
        <w:tc>
          <w:tcPr>
            <w:tcW w:w="115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019BE" w:rsidRDefault="00C23F70" w:rsidP="00A536EA">
            <w:pPr>
              <w:spacing w:line="240" w:lineRule="auto"/>
              <w:ind w:left="0" w:right="0"/>
              <w:rPr>
                <w:rFonts w:asciiTheme="minorHAnsi" w:hAnsiTheme="minorHAnsi"/>
                <w:sz w:val="20"/>
                <w:szCs w:val="20"/>
              </w:rPr>
            </w:pPr>
            <w:r>
              <w:rPr>
                <w:rFonts w:asciiTheme="minorHAnsi" w:hAnsiTheme="minorHAnsi"/>
                <w:sz w:val="20"/>
                <w:szCs w:val="20"/>
              </w:rPr>
              <w:t>Deferred to the Delegate.</w:t>
            </w:r>
          </w:p>
        </w:tc>
      </w:tr>
      <w:tr w:rsidR="00C23F70" w:rsidRPr="000019BE" w:rsidTr="00174CCF">
        <w:trPr>
          <w:jc w:val="center"/>
        </w:trPr>
        <w:tc>
          <w:tcPr>
            <w:tcW w:w="140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844F94" w:rsidRDefault="00C23F70" w:rsidP="00010527">
            <w:pPr>
              <w:autoSpaceDE w:val="0"/>
              <w:autoSpaceDN w:val="0"/>
              <w:spacing w:line="240" w:lineRule="auto"/>
              <w:ind w:left="230" w:right="0" w:hanging="230"/>
              <w:rPr>
                <w:rFonts w:asciiTheme="minorHAnsi" w:hAnsiTheme="minorHAnsi"/>
                <w:bCs/>
                <w:sz w:val="20"/>
                <w:szCs w:val="20"/>
              </w:rPr>
            </w:pPr>
            <w:r w:rsidRPr="00844F94">
              <w:rPr>
                <w:rFonts w:asciiTheme="minorHAnsi" w:hAnsiTheme="minorHAnsi"/>
                <w:bCs/>
                <w:sz w:val="20"/>
                <w:szCs w:val="20"/>
              </w:rPr>
              <w:t xml:space="preserve">7. </w:t>
            </w:r>
            <w:r w:rsidR="007B002B" w:rsidRPr="00844F94">
              <w:rPr>
                <w:rFonts w:asciiTheme="minorHAnsi" w:hAnsiTheme="minorHAnsi"/>
                <w:bCs/>
                <w:sz w:val="20"/>
                <w:szCs w:val="20"/>
              </w:rPr>
              <w:t>F</w:t>
            </w:r>
            <w:r w:rsidRPr="00844F94">
              <w:rPr>
                <w:rFonts w:asciiTheme="minorHAnsi" w:hAnsiTheme="minorHAnsi"/>
                <w:bCs/>
                <w:sz w:val="20"/>
                <w:szCs w:val="20"/>
              </w:rPr>
              <w:t xml:space="preserve">) Under </w:t>
            </w:r>
            <w:r w:rsidR="00775109" w:rsidRPr="00844F94">
              <w:rPr>
                <w:rFonts w:asciiTheme="minorHAnsi" w:hAnsiTheme="minorHAnsi"/>
                <w:bCs/>
                <w:sz w:val="20"/>
                <w:szCs w:val="20"/>
              </w:rPr>
              <w:t>‘</w:t>
            </w:r>
            <w:r w:rsidRPr="00844F94">
              <w:rPr>
                <w:rFonts w:asciiTheme="minorHAnsi" w:hAnsiTheme="minorHAnsi"/>
                <w:bCs/>
                <w:sz w:val="20"/>
                <w:szCs w:val="20"/>
              </w:rPr>
              <w:t>Precautions – wound healing</w:t>
            </w:r>
            <w:r w:rsidR="00775109" w:rsidRPr="00844F94">
              <w:rPr>
                <w:rFonts w:asciiTheme="minorHAnsi" w:hAnsiTheme="minorHAnsi"/>
                <w:bCs/>
                <w:sz w:val="20"/>
                <w:szCs w:val="20"/>
              </w:rPr>
              <w:t>’</w:t>
            </w:r>
            <w:r w:rsidRPr="00844F94">
              <w:rPr>
                <w:rFonts w:asciiTheme="minorHAnsi" w:hAnsiTheme="minorHAnsi"/>
                <w:bCs/>
                <w:sz w:val="20"/>
                <w:szCs w:val="20"/>
              </w:rPr>
              <w:t xml:space="preserve">: a statement should be added to the effect of </w:t>
            </w:r>
            <w:r w:rsidR="00775109" w:rsidRPr="00844F94">
              <w:rPr>
                <w:rFonts w:asciiTheme="minorHAnsi" w:hAnsiTheme="minorHAnsi"/>
                <w:bCs/>
                <w:sz w:val="20"/>
                <w:szCs w:val="20"/>
              </w:rPr>
              <w:lastRenderedPageBreak/>
              <w:t>‘</w:t>
            </w:r>
            <w:r w:rsidRPr="00844F94">
              <w:rPr>
                <w:rFonts w:asciiTheme="minorHAnsi" w:hAnsiTheme="minorHAnsi"/>
                <w:bCs/>
                <w:sz w:val="20"/>
                <w:szCs w:val="20"/>
              </w:rPr>
              <w:t>Serious wound healing complications, including anastomotic complications, have been reported, some of which had a fatal outcome.</w:t>
            </w:r>
            <w:r w:rsidR="00775109" w:rsidRPr="00844F94">
              <w:rPr>
                <w:rFonts w:asciiTheme="minorHAnsi" w:hAnsiTheme="minorHAnsi"/>
                <w:bCs/>
                <w:sz w:val="20"/>
                <w:szCs w:val="20"/>
              </w:rPr>
              <w:t>’</w:t>
            </w:r>
          </w:p>
        </w:tc>
        <w:tc>
          <w:tcPr>
            <w:tcW w:w="243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019BE" w:rsidRDefault="00C23F70" w:rsidP="00A536EA">
            <w:pPr>
              <w:tabs>
                <w:tab w:val="left" w:pos="1859"/>
              </w:tabs>
              <w:ind w:left="0" w:right="0"/>
              <w:rPr>
                <w:rFonts w:asciiTheme="minorHAnsi" w:hAnsiTheme="minorHAnsi"/>
                <w:sz w:val="20"/>
                <w:szCs w:val="20"/>
              </w:rPr>
            </w:pPr>
            <w:r w:rsidRPr="000019BE">
              <w:rPr>
                <w:rFonts w:asciiTheme="minorHAnsi" w:hAnsiTheme="minorHAnsi"/>
                <w:sz w:val="20"/>
                <w:szCs w:val="20"/>
              </w:rPr>
              <w:lastRenderedPageBreak/>
              <w:t>Roche acknowledge the recommendation.</w:t>
            </w:r>
          </w:p>
        </w:tc>
        <w:tc>
          <w:tcPr>
            <w:tcW w:w="115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019BE" w:rsidRDefault="00C23F70" w:rsidP="00A536EA">
            <w:pPr>
              <w:spacing w:line="240" w:lineRule="auto"/>
              <w:ind w:left="0" w:right="0"/>
              <w:rPr>
                <w:rFonts w:asciiTheme="minorHAnsi" w:hAnsiTheme="minorHAnsi"/>
                <w:sz w:val="20"/>
                <w:szCs w:val="20"/>
              </w:rPr>
            </w:pPr>
            <w:r>
              <w:rPr>
                <w:rFonts w:asciiTheme="minorHAnsi" w:hAnsiTheme="minorHAnsi"/>
                <w:sz w:val="20"/>
                <w:szCs w:val="20"/>
              </w:rPr>
              <w:t>Deferred to the Delegate.</w:t>
            </w:r>
          </w:p>
        </w:tc>
      </w:tr>
      <w:tr w:rsidR="00C23F70" w:rsidRPr="000019BE" w:rsidTr="00174CCF">
        <w:trPr>
          <w:jc w:val="center"/>
        </w:trPr>
        <w:tc>
          <w:tcPr>
            <w:tcW w:w="140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844F94" w:rsidRDefault="00C23F70" w:rsidP="00010527">
            <w:pPr>
              <w:autoSpaceDE w:val="0"/>
              <w:autoSpaceDN w:val="0"/>
              <w:spacing w:line="240" w:lineRule="auto"/>
              <w:ind w:left="230" w:right="0" w:hanging="230"/>
              <w:rPr>
                <w:rFonts w:asciiTheme="minorHAnsi" w:hAnsiTheme="minorHAnsi"/>
                <w:bCs/>
                <w:sz w:val="20"/>
                <w:szCs w:val="20"/>
              </w:rPr>
            </w:pPr>
            <w:r w:rsidRPr="00844F94">
              <w:rPr>
                <w:rFonts w:asciiTheme="minorHAnsi" w:hAnsiTheme="minorHAnsi"/>
                <w:bCs/>
                <w:sz w:val="20"/>
                <w:szCs w:val="20"/>
              </w:rPr>
              <w:lastRenderedPageBreak/>
              <w:t xml:space="preserve">7. G) In May 2013, the sponsor provided a </w:t>
            </w:r>
            <w:r w:rsidR="00775109" w:rsidRPr="00844F94">
              <w:rPr>
                <w:rFonts w:asciiTheme="minorHAnsi" w:hAnsiTheme="minorHAnsi"/>
                <w:bCs/>
                <w:sz w:val="20"/>
                <w:szCs w:val="20"/>
              </w:rPr>
              <w:t>‘</w:t>
            </w:r>
            <w:r w:rsidRPr="00844F94">
              <w:rPr>
                <w:rFonts w:asciiTheme="minorHAnsi" w:hAnsiTheme="minorHAnsi"/>
                <w:bCs/>
                <w:sz w:val="20"/>
                <w:szCs w:val="20"/>
              </w:rPr>
              <w:t>Dear Healthcare Professional</w:t>
            </w:r>
            <w:r w:rsidR="00775109" w:rsidRPr="00844F94">
              <w:rPr>
                <w:rFonts w:asciiTheme="minorHAnsi" w:hAnsiTheme="minorHAnsi"/>
                <w:bCs/>
                <w:sz w:val="20"/>
                <w:szCs w:val="20"/>
              </w:rPr>
              <w:t>’</w:t>
            </w:r>
            <w:r w:rsidRPr="00844F94">
              <w:rPr>
                <w:rFonts w:asciiTheme="minorHAnsi" w:hAnsiTheme="minorHAnsi"/>
                <w:bCs/>
                <w:sz w:val="20"/>
                <w:szCs w:val="20"/>
              </w:rPr>
              <w:t xml:space="preserve"> letter in Australia regarding the risk of necrotizing fasciitis. This letter states changes to the product information regarding this risk. The proposed PI submitted with the current application however does not contain this statement. The sponsor should update the proposed PI accordingly.</w:t>
            </w:r>
          </w:p>
        </w:tc>
        <w:tc>
          <w:tcPr>
            <w:tcW w:w="243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019BE" w:rsidRDefault="00C23F70" w:rsidP="00A536EA">
            <w:pPr>
              <w:tabs>
                <w:tab w:val="left" w:pos="1624"/>
              </w:tabs>
              <w:ind w:left="0" w:right="0"/>
              <w:rPr>
                <w:rFonts w:asciiTheme="minorHAnsi" w:hAnsiTheme="minorHAnsi"/>
                <w:sz w:val="20"/>
                <w:szCs w:val="20"/>
              </w:rPr>
            </w:pPr>
            <w:r w:rsidRPr="000019BE">
              <w:rPr>
                <w:rFonts w:asciiTheme="minorHAnsi" w:hAnsiTheme="minorHAnsi"/>
                <w:sz w:val="20"/>
                <w:szCs w:val="20"/>
              </w:rPr>
              <w:t xml:space="preserve">The statement regarding the risk of necrotizing fasciitis was included with </w:t>
            </w:r>
            <w:r w:rsidR="0027748C">
              <w:rPr>
                <w:rFonts w:asciiTheme="minorHAnsi" w:hAnsiTheme="minorHAnsi"/>
                <w:sz w:val="20"/>
                <w:szCs w:val="20"/>
              </w:rPr>
              <w:t xml:space="preserve">a previous </w:t>
            </w:r>
            <w:r w:rsidRPr="000019BE">
              <w:rPr>
                <w:rFonts w:asciiTheme="minorHAnsi" w:hAnsiTheme="minorHAnsi"/>
                <w:sz w:val="20"/>
                <w:szCs w:val="20"/>
              </w:rPr>
              <w:t>application approved 9 May 2013. This update has been included in the revised draft PI provided with this response.</w:t>
            </w:r>
          </w:p>
        </w:tc>
        <w:tc>
          <w:tcPr>
            <w:tcW w:w="115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019BE" w:rsidRDefault="00C23F70" w:rsidP="00A536EA">
            <w:pPr>
              <w:spacing w:line="240" w:lineRule="auto"/>
              <w:ind w:left="0" w:right="0"/>
              <w:rPr>
                <w:rFonts w:asciiTheme="minorHAnsi" w:hAnsiTheme="minorHAnsi"/>
                <w:sz w:val="20"/>
                <w:szCs w:val="20"/>
              </w:rPr>
            </w:pPr>
            <w:r>
              <w:rPr>
                <w:rFonts w:asciiTheme="minorHAnsi" w:hAnsiTheme="minorHAnsi"/>
                <w:sz w:val="20"/>
                <w:szCs w:val="20"/>
              </w:rPr>
              <w:t>This is acceptable.</w:t>
            </w:r>
          </w:p>
        </w:tc>
      </w:tr>
      <w:tr w:rsidR="00C23F70" w:rsidRPr="000019BE" w:rsidTr="00174CCF">
        <w:trPr>
          <w:jc w:val="center"/>
        </w:trPr>
        <w:tc>
          <w:tcPr>
            <w:tcW w:w="140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10527" w:rsidRDefault="00C23F70" w:rsidP="00010527">
            <w:pPr>
              <w:pStyle w:val="Numberbullet0"/>
              <w:ind w:left="230" w:right="0" w:hanging="230"/>
              <w:rPr>
                <w:sz w:val="20"/>
                <w:szCs w:val="20"/>
              </w:rPr>
            </w:pPr>
            <w:r w:rsidRPr="00010527">
              <w:rPr>
                <w:sz w:val="20"/>
                <w:szCs w:val="20"/>
              </w:rPr>
              <w:t>In regard to the proposed routine risk minimisation activities, it is recommended to the Delegate that the draft consumer medicine information document be revised to reflect any changes made to the proposed Australian PI.</w:t>
            </w:r>
          </w:p>
        </w:tc>
        <w:tc>
          <w:tcPr>
            <w:tcW w:w="243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019BE" w:rsidRDefault="00C23F70" w:rsidP="00A536EA">
            <w:pPr>
              <w:pStyle w:val="Default"/>
              <w:spacing w:before="120" w:after="120"/>
              <w:ind w:left="0" w:right="0"/>
              <w:rPr>
                <w:rFonts w:asciiTheme="minorHAnsi" w:hAnsiTheme="minorHAnsi"/>
                <w:sz w:val="20"/>
                <w:szCs w:val="20"/>
              </w:rPr>
            </w:pPr>
            <w:r w:rsidRPr="000019BE">
              <w:rPr>
                <w:rFonts w:asciiTheme="minorHAnsi" w:hAnsiTheme="minorHAnsi"/>
                <w:sz w:val="20"/>
                <w:szCs w:val="20"/>
              </w:rPr>
              <w:t>Roche acknowledge that the draft consumer medicine information be revised to reflect any changes made to the proposed Australian PI.</w:t>
            </w:r>
          </w:p>
        </w:tc>
        <w:tc>
          <w:tcPr>
            <w:tcW w:w="115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019BE" w:rsidRDefault="00C23F70" w:rsidP="00A536EA">
            <w:pPr>
              <w:spacing w:line="240" w:lineRule="auto"/>
              <w:ind w:left="0" w:right="0"/>
              <w:rPr>
                <w:rFonts w:asciiTheme="minorHAnsi" w:hAnsiTheme="minorHAnsi"/>
                <w:sz w:val="20"/>
                <w:szCs w:val="20"/>
              </w:rPr>
            </w:pPr>
            <w:r>
              <w:rPr>
                <w:rFonts w:asciiTheme="minorHAnsi" w:hAnsiTheme="minorHAnsi"/>
                <w:sz w:val="20"/>
                <w:szCs w:val="20"/>
              </w:rPr>
              <w:t>This is acceptable.</w:t>
            </w:r>
          </w:p>
        </w:tc>
      </w:tr>
      <w:tr w:rsidR="00C23F70" w:rsidRPr="000019BE" w:rsidTr="00174CCF">
        <w:trPr>
          <w:jc w:val="center"/>
        </w:trPr>
        <w:tc>
          <w:tcPr>
            <w:tcW w:w="140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14BEA" w:rsidRDefault="00014BEA" w:rsidP="00014BEA">
            <w:pPr>
              <w:pStyle w:val="Numberbullet0"/>
              <w:ind w:left="230" w:right="0" w:hanging="230"/>
              <w:rPr>
                <w:sz w:val="20"/>
                <w:szCs w:val="20"/>
              </w:rPr>
            </w:pPr>
            <w:r>
              <w:rPr>
                <w:sz w:val="20"/>
                <w:szCs w:val="20"/>
              </w:rPr>
              <w:t>In regards to the ASA:</w:t>
            </w:r>
          </w:p>
          <w:p w:rsidR="00C23F70" w:rsidRPr="006D4DE2" w:rsidRDefault="00C23F70" w:rsidP="00014BEA">
            <w:pPr>
              <w:autoSpaceDE w:val="0"/>
              <w:autoSpaceDN w:val="0"/>
              <w:spacing w:line="240" w:lineRule="auto"/>
              <w:ind w:left="230" w:right="0"/>
              <w:rPr>
                <w:rFonts w:asciiTheme="minorHAnsi" w:hAnsiTheme="minorHAnsi"/>
                <w:bCs/>
                <w:sz w:val="20"/>
                <w:szCs w:val="20"/>
              </w:rPr>
            </w:pPr>
            <w:r w:rsidRPr="00D55E5D">
              <w:rPr>
                <w:rFonts w:asciiTheme="minorHAnsi" w:eastAsia="MS Mincho" w:hAnsiTheme="minorHAnsi" w:cs="Imago"/>
                <w:bCs/>
                <w:color w:val="000000"/>
                <w:sz w:val="20"/>
                <w:szCs w:val="20"/>
              </w:rPr>
              <w:t xml:space="preserve">a) It is recommended that the ASA be revised to comply with the standard format </w:t>
            </w:r>
            <w:r w:rsidR="00014BEA">
              <w:rPr>
                <w:rFonts w:asciiTheme="minorHAnsi" w:eastAsia="MS Mincho" w:hAnsiTheme="minorHAnsi" w:cs="Imago"/>
                <w:bCs/>
                <w:color w:val="000000"/>
                <w:sz w:val="20"/>
                <w:szCs w:val="20"/>
              </w:rPr>
              <w:t>specified in the TGA RMP Q&amp;A’s.</w:t>
            </w:r>
          </w:p>
        </w:tc>
        <w:tc>
          <w:tcPr>
            <w:tcW w:w="243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019BE" w:rsidRDefault="00C23F70" w:rsidP="00A536EA">
            <w:pPr>
              <w:pStyle w:val="Default"/>
              <w:spacing w:before="120" w:after="120"/>
              <w:ind w:left="0" w:right="0"/>
              <w:rPr>
                <w:rFonts w:asciiTheme="minorHAnsi" w:hAnsiTheme="minorHAnsi"/>
                <w:sz w:val="20"/>
                <w:szCs w:val="20"/>
              </w:rPr>
            </w:pPr>
            <w:r w:rsidRPr="000019BE">
              <w:rPr>
                <w:rFonts w:asciiTheme="minorHAnsi" w:hAnsiTheme="minorHAnsi"/>
                <w:sz w:val="20"/>
                <w:szCs w:val="20"/>
              </w:rPr>
              <w:t>ASA Version 4.0, November 2013, has been revised to comply with the standard format specified in the TGA RMP Q&amp;A’s. ASA Version 4.0 will be submitted to TGA on 7 November 2013.</w:t>
            </w:r>
          </w:p>
        </w:tc>
        <w:tc>
          <w:tcPr>
            <w:tcW w:w="115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019BE" w:rsidRDefault="00C23F70" w:rsidP="00A536EA">
            <w:pPr>
              <w:spacing w:line="240" w:lineRule="auto"/>
              <w:ind w:left="0" w:right="0"/>
              <w:rPr>
                <w:rFonts w:asciiTheme="minorHAnsi" w:hAnsiTheme="minorHAnsi"/>
                <w:sz w:val="20"/>
                <w:szCs w:val="20"/>
              </w:rPr>
            </w:pPr>
            <w:r>
              <w:rPr>
                <w:rFonts w:asciiTheme="minorHAnsi" w:hAnsiTheme="minorHAnsi"/>
                <w:sz w:val="20"/>
                <w:szCs w:val="20"/>
              </w:rPr>
              <w:t>This is acceptable.</w:t>
            </w:r>
          </w:p>
        </w:tc>
      </w:tr>
      <w:tr w:rsidR="00C23F70" w:rsidRPr="000019BE" w:rsidTr="00174CCF">
        <w:trPr>
          <w:jc w:val="center"/>
        </w:trPr>
        <w:tc>
          <w:tcPr>
            <w:tcW w:w="140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6D4DE2" w:rsidRDefault="00C23F70" w:rsidP="00014BEA">
            <w:pPr>
              <w:pStyle w:val="Default"/>
              <w:spacing w:before="120" w:after="120"/>
              <w:ind w:left="230" w:right="0" w:hanging="230"/>
              <w:rPr>
                <w:rFonts w:asciiTheme="minorHAnsi" w:hAnsiTheme="minorHAnsi"/>
                <w:bCs/>
                <w:sz w:val="20"/>
                <w:szCs w:val="20"/>
              </w:rPr>
            </w:pPr>
            <w:r w:rsidRPr="006D4DE2">
              <w:rPr>
                <w:rFonts w:asciiTheme="minorHAnsi" w:hAnsiTheme="minorHAnsi"/>
                <w:bCs/>
                <w:sz w:val="20"/>
                <w:szCs w:val="20"/>
              </w:rPr>
              <w:t xml:space="preserve">9. </w:t>
            </w:r>
            <w:r w:rsidRPr="00D55E5D">
              <w:rPr>
                <w:rFonts w:asciiTheme="minorHAnsi" w:hAnsiTheme="minorHAnsi" w:cs="Imago"/>
                <w:bCs/>
                <w:sz w:val="20"/>
                <w:szCs w:val="20"/>
              </w:rPr>
              <w:t xml:space="preserve">b) The studies referenced in the pharmacovigilance plan will generate safety data that will simply support the known safety profile of the </w:t>
            </w:r>
            <w:r w:rsidRPr="00D55E5D">
              <w:rPr>
                <w:rFonts w:asciiTheme="minorHAnsi" w:hAnsiTheme="minorHAnsi" w:cs="Imago"/>
                <w:bCs/>
                <w:sz w:val="20"/>
                <w:szCs w:val="20"/>
              </w:rPr>
              <w:lastRenderedPageBreak/>
              <w:t>medicine, while others will generate data that will provoke applications to amend the Australian registration details. To this end, it is suggested that the sponsor should provide an attachment to the ASA setting out all the forthcoming studies and the anticipated dates for</w:t>
            </w:r>
            <w:r w:rsidR="00014BEA">
              <w:rPr>
                <w:rFonts w:asciiTheme="minorHAnsi" w:hAnsiTheme="minorHAnsi" w:cs="Imago"/>
                <w:bCs/>
                <w:sz w:val="20"/>
                <w:szCs w:val="20"/>
              </w:rPr>
              <w:t xml:space="preserve"> their submission in Australia.</w:t>
            </w:r>
          </w:p>
        </w:tc>
        <w:tc>
          <w:tcPr>
            <w:tcW w:w="243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019BE" w:rsidRDefault="00C23F70" w:rsidP="00014BEA">
            <w:pPr>
              <w:pStyle w:val="Default"/>
              <w:spacing w:before="120" w:after="120"/>
              <w:ind w:left="0" w:right="0"/>
              <w:rPr>
                <w:rFonts w:asciiTheme="minorHAnsi" w:hAnsiTheme="minorHAnsi"/>
                <w:sz w:val="20"/>
                <w:szCs w:val="20"/>
              </w:rPr>
            </w:pPr>
            <w:r w:rsidRPr="000019BE">
              <w:rPr>
                <w:rFonts w:asciiTheme="minorHAnsi" w:hAnsiTheme="minorHAnsi"/>
                <w:sz w:val="20"/>
                <w:szCs w:val="20"/>
              </w:rPr>
              <w:lastRenderedPageBreak/>
              <w:t xml:space="preserve">Roche acknowledge the recommendation. Following assessment of the data generated from studies referenced in the pharmacovigilance plan, the company Core Data Sheet and Australian </w:t>
            </w:r>
            <w:r w:rsidR="00014BEA">
              <w:rPr>
                <w:rFonts w:asciiTheme="minorHAnsi" w:hAnsiTheme="minorHAnsi"/>
                <w:sz w:val="20"/>
                <w:szCs w:val="20"/>
              </w:rPr>
              <w:t>PI will be revised accordingly.</w:t>
            </w:r>
          </w:p>
        </w:tc>
        <w:tc>
          <w:tcPr>
            <w:tcW w:w="115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186768" w:rsidRDefault="00C23F70" w:rsidP="00A536EA">
            <w:pPr>
              <w:spacing w:line="240" w:lineRule="auto"/>
              <w:ind w:left="0" w:right="0"/>
              <w:rPr>
                <w:rFonts w:asciiTheme="minorHAnsi" w:hAnsiTheme="minorHAnsi"/>
                <w:sz w:val="20"/>
                <w:szCs w:val="20"/>
              </w:rPr>
            </w:pPr>
            <w:r w:rsidRPr="000019BE">
              <w:rPr>
                <w:rFonts w:asciiTheme="minorHAnsi" w:hAnsiTheme="minorHAnsi"/>
                <w:sz w:val="20"/>
                <w:szCs w:val="20"/>
              </w:rPr>
              <w:t xml:space="preserve">This recommendation refers to the ASA and not to the Core Data Sheet or </w:t>
            </w:r>
            <w:r w:rsidRPr="00186768">
              <w:rPr>
                <w:rFonts w:asciiTheme="minorHAnsi" w:hAnsiTheme="minorHAnsi"/>
                <w:sz w:val="20"/>
                <w:szCs w:val="20"/>
              </w:rPr>
              <w:t>the Australian PI.</w:t>
            </w:r>
          </w:p>
          <w:p w:rsidR="00C23F70" w:rsidRPr="000019BE" w:rsidRDefault="00C23F70" w:rsidP="00A536EA">
            <w:pPr>
              <w:spacing w:line="240" w:lineRule="auto"/>
              <w:ind w:left="0" w:right="0"/>
              <w:rPr>
                <w:rFonts w:asciiTheme="minorHAnsi" w:hAnsiTheme="minorHAnsi"/>
                <w:sz w:val="20"/>
                <w:szCs w:val="20"/>
              </w:rPr>
            </w:pPr>
            <w:r w:rsidRPr="00186768">
              <w:rPr>
                <w:rFonts w:asciiTheme="minorHAnsi" w:hAnsiTheme="minorHAnsi"/>
                <w:sz w:val="20"/>
                <w:szCs w:val="20"/>
              </w:rPr>
              <w:t xml:space="preserve">To clarify, It is </w:t>
            </w:r>
            <w:r w:rsidRPr="00186768">
              <w:rPr>
                <w:rFonts w:asciiTheme="minorHAnsi" w:hAnsiTheme="minorHAnsi"/>
                <w:sz w:val="20"/>
                <w:szCs w:val="20"/>
              </w:rPr>
              <w:lastRenderedPageBreak/>
              <w:t>recommended that the next update of the ASA contain a table stating all ongoing and planned studies with milestones and the</w:t>
            </w:r>
            <w:r w:rsidRPr="00186768">
              <w:rPr>
                <w:rFonts w:asciiTheme="minorHAnsi" w:eastAsia="MS Mincho" w:hAnsiTheme="minorHAnsi" w:cs="Imago"/>
                <w:bCs/>
                <w:sz w:val="20"/>
                <w:szCs w:val="20"/>
              </w:rPr>
              <w:t xml:space="preserve"> anticipated dates for their submission in Australia.</w:t>
            </w:r>
          </w:p>
        </w:tc>
      </w:tr>
      <w:tr w:rsidR="00C23F70" w:rsidRPr="000019BE" w:rsidTr="00174CCF">
        <w:trPr>
          <w:jc w:val="center"/>
        </w:trPr>
        <w:tc>
          <w:tcPr>
            <w:tcW w:w="140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6D4DE2" w:rsidRDefault="00C23F70" w:rsidP="00014BEA">
            <w:pPr>
              <w:pStyle w:val="Default"/>
              <w:spacing w:before="120" w:after="120"/>
              <w:ind w:left="230" w:right="0" w:hanging="230"/>
              <w:rPr>
                <w:rFonts w:asciiTheme="minorHAnsi" w:hAnsiTheme="minorHAnsi"/>
                <w:bCs/>
                <w:sz w:val="20"/>
                <w:szCs w:val="20"/>
              </w:rPr>
            </w:pPr>
            <w:r w:rsidRPr="006D4DE2">
              <w:rPr>
                <w:rFonts w:asciiTheme="minorHAnsi" w:hAnsiTheme="minorHAnsi"/>
                <w:bCs/>
                <w:sz w:val="20"/>
                <w:szCs w:val="20"/>
              </w:rPr>
              <w:lastRenderedPageBreak/>
              <w:t xml:space="preserve">9. </w:t>
            </w:r>
            <w:r w:rsidRPr="00D55E5D">
              <w:rPr>
                <w:rFonts w:asciiTheme="minorHAnsi" w:hAnsiTheme="minorHAnsi" w:cs="Imago"/>
                <w:bCs/>
                <w:sz w:val="20"/>
                <w:szCs w:val="20"/>
              </w:rPr>
              <w:t xml:space="preserve">c) The sponsor should amend </w:t>
            </w:r>
            <w:r w:rsidR="0027748C">
              <w:rPr>
                <w:rFonts w:asciiTheme="minorHAnsi" w:hAnsiTheme="minorHAnsi" w:cs="Imago"/>
                <w:bCs/>
                <w:sz w:val="20"/>
                <w:szCs w:val="20"/>
              </w:rPr>
              <w:t>T</w:t>
            </w:r>
            <w:r w:rsidRPr="00D55E5D">
              <w:rPr>
                <w:rFonts w:asciiTheme="minorHAnsi" w:hAnsiTheme="minorHAnsi" w:cs="Imago"/>
                <w:bCs/>
                <w:sz w:val="20"/>
                <w:szCs w:val="20"/>
              </w:rPr>
              <w:t>able 2 in the ASA to include the areas of</w:t>
            </w:r>
            <w:r w:rsidR="00014BEA">
              <w:rPr>
                <w:rFonts w:asciiTheme="minorHAnsi" w:hAnsiTheme="minorHAnsi" w:cs="Imago"/>
                <w:bCs/>
                <w:sz w:val="20"/>
                <w:szCs w:val="20"/>
              </w:rPr>
              <w:t xml:space="preserve"> important missing information.</w:t>
            </w:r>
          </w:p>
        </w:tc>
        <w:tc>
          <w:tcPr>
            <w:tcW w:w="243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019BE" w:rsidRDefault="00C23F70" w:rsidP="00A536EA">
            <w:pPr>
              <w:pStyle w:val="Default"/>
              <w:spacing w:before="120" w:after="120"/>
              <w:ind w:left="0" w:right="0"/>
              <w:rPr>
                <w:rFonts w:asciiTheme="minorHAnsi" w:hAnsiTheme="minorHAnsi"/>
                <w:sz w:val="20"/>
                <w:szCs w:val="20"/>
              </w:rPr>
            </w:pPr>
            <w:r w:rsidRPr="000019BE">
              <w:rPr>
                <w:rFonts w:asciiTheme="minorHAnsi" w:hAnsiTheme="minorHAnsi"/>
                <w:sz w:val="20"/>
                <w:szCs w:val="20"/>
              </w:rPr>
              <w:t>Table 2 in the ASA has been revised with ASA Version 4.0, November 2013, to include the areas of important missing information. ASA Version 4.0 will be submitted to TGA on 7 November 2013.</w:t>
            </w:r>
          </w:p>
        </w:tc>
        <w:tc>
          <w:tcPr>
            <w:tcW w:w="115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019BE" w:rsidRDefault="00C23F70" w:rsidP="00A536EA">
            <w:pPr>
              <w:spacing w:line="240" w:lineRule="auto"/>
              <w:ind w:left="0" w:right="0"/>
              <w:rPr>
                <w:rFonts w:asciiTheme="minorHAnsi" w:hAnsiTheme="minorHAnsi"/>
                <w:sz w:val="20"/>
                <w:szCs w:val="20"/>
              </w:rPr>
            </w:pPr>
            <w:r w:rsidRPr="000019BE">
              <w:rPr>
                <w:rFonts w:asciiTheme="minorHAnsi" w:hAnsiTheme="minorHAnsi"/>
                <w:sz w:val="20"/>
                <w:szCs w:val="20"/>
              </w:rPr>
              <w:t>This is acceptable.</w:t>
            </w:r>
          </w:p>
        </w:tc>
      </w:tr>
      <w:tr w:rsidR="00C23F70" w:rsidRPr="000019BE" w:rsidTr="00174CCF">
        <w:trPr>
          <w:jc w:val="center"/>
        </w:trPr>
        <w:tc>
          <w:tcPr>
            <w:tcW w:w="140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6D4DE2" w:rsidRDefault="00C23F70" w:rsidP="00014BEA">
            <w:pPr>
              <w:pStyle w:val="Default"/>
              <w:spacing w:before="120" w:after="120"/>
              <w:ind w:left="230" w:right="0" w:hanging="230"/>
              <w:rPr>
                <w:rFonts w:asciiTheme="minorHAnsi" w:hAnsiTheme="minorHAnsi"/>
                <w:bCs/>
                <w:sz w:val="20"/>
                <w:szCs w:val="20"/>
              </w:rPr>
            </w:pPr>
            <w:r w:rsidRPr="006D4DE2">
              <w:rPr>
                <w:rFonts w:asciiTheme="minorHAnsi" w:hAnsiTheme="minorHAnsi"/>
                <w:bCs/>
                <w:sz w:val="20"/>
                <w:szCs w:val="20"/>
              </w:rPr>
              <w:t xml:space="preserve">9. </w:t>
            </w:r>
            <w:proofErr w:type="gramStart"/>
            <w:r w:rsidRPr="00D55E5D">
              <w:rPr>
                <w:rFonts w:asciiTheme="minorHAnsi" w:hAnsiTheme="minorHAnsi" w:cs="Imago"/>
                <w:bCs/>
                <w:sz w:val="20"/>
                <w:szCs w:val="20"/>
              </w:rPr>
              <w:t>d</w:t>
            </w:r>
            <w:proofErr w:type="gramEnd"/>
            <w:r w:rsidRPr="00D55E5D">
              <w:rPr>
                <w:rFonts w:asciiTheme="minorHAnsi" w:hAnsiTheme="minorHAnsi" w:cs="Imago"/>
                <w:bCs/>
                <w:sz w:val="20"/>
                <w:szCs w:val="20"/>
              </w:rPr>
              <w:t>) The sponsor should detail within the ASA the wording by which risk minimisation is exercised in the Australian</w:t>
            </w:r>
            <w:r w:rsidR="00014BEA">
              <w:rPr>
                <w:rFonts w:asciiTheme="minorHAnsi" w:hAnsiTheme="minorHAnsi" w:cs="Imago"/>
                <w:bCs/>
                <w:sz w:val="20"/>
                <w:szCs w:val="20"/>
              </w:rPr>
              <w:t xml:space="preserve"> PI.</w:t>
            </w:r>
          </w:p>
        </w:tc>
        <w:tc>
          <w:tcPr>
            <w:tcW w:w="243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019BE" w:rsidRDefault="00C23F70" w:rsidP="00014BEA">
            <w:pPr>
              <w:pStyle w:val="Default"/>
              <w:spacing w:before="120" w:after="120"/>
              <w:ind w:left="0" w:right="0"/>
              <w:rPr>
                <w:rFonts w:asciiTheme="minorHAnsi" w:hAnsiTheme="minorHAnsi"/>
                <w:sz w:val="20"/>
                <w:szCs w:val="20"/>
              </w:rPr>
            </w:pPr>
            <w:r w:rsidRPr="000019BE">
              <w:rPr>
                <w:rFonts w:asciiTheme="minorHAnsi" w:hAnsiTheme="minorHAnsi"/>
                <w:sz w:val="20"/>
                <w:szCs w:val="20"/>
              </w:rPr>
              <w:t>The wording by which risk minimisation is exercised in the Australian PI has been included with ASA Version 4.0. ASA Version 4.0 will be submi</w:t>
            </w:r>
            <w:r w:rsidR="00014BEA">
              <w:rPr>
                <w:rFonts w:asciiTheme="minorHAnsi" w:hAnsiTheme="minorHAnsi"/>
                <w:sz w:val="20"/>
                <w:szCs w:val="20"/>
              </w:rPr>
              <w:t>tted to TGA on 7 November 2013.</w:t>
            </w:r>
          </w:p>
        </w:tc>
        <w:tc>
          <w:tcPr>
            <w:tcW w:w="115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C23F70" w:rsidRPr="000019BE" w:rsidRDefault="00C23F70" w:rsidP="00A536EA">
            <w:pPr>
              <w:spacing w:line="240" w:lineRule="auto"/>
              <w:ind w:left="0" w:right="0"/>
              <w:rPr>
                <w:rFonts w:asciiTheme="minorHAnsi" w:hAnsiTheme="minorHAnsi"/>
                <w:sz w:val="20"/>
                <w:szCs w:val="20"/>
              </w:rPr>
            </w:pPr>
            <w:r w:rsidRPr="000019BE">
              <w:rPr>
                <w:rFonts w:asciiTheme="minorHAnsi" w:hAnsiTheme="minorHAnsi"/>
                <w:sz w:val="20"/>
                <w:szCs w:val="20"/>
              </w:rPr>
              <w:t>This is acceptable.</w:t>
            </w:r>
          </w:p>
        </w:tc>
      </w:tr>
    </w:tbl>
    <w:p w:rsidR="004C67AA" w:rsidRDefault="00073D4D" w:rsidP="00014BEA">
      <w:pPr>
        <w:pStyle w:val="Heading4"/>
        <w:rPr>
          <w:lang w:eastAsia="en-AU"/>
        </w:rPr>
      </w:pPr>
      <w:r>
        <w:rPr>
          <w:lang w:eastAsia="en-AU"/>
        </w:rPr>
        <w:t>S</w:t>
      </w:r>
      <w:r w:rsidR="004C67AA">
        <w:rPr>
          <w:lang w:eastAsia="en-AU"/>
        </w:rPr>
        <w:t>ummary of recommendations</w:t>
      </w:r>
    </w:p>
    <w:p w:rsidR="00C23F70" w:rsidRDefault="00C23F70" w:rsidP="00C23F70">
      <w:r w:rsidRPr="00FC00F4">
        <w:t xml:space="preserve">It is considered that the sponsor’s response to the TGA </w:t>
      </w:r>
      <w:r w:rsidR="00A62574">
        <w:t>r</w:t>
      </w:r>
      <w:r w:rsidRPr="00FC00F4">
        <w:t xml:space="preserve">equest </w:t>
      </w:r>
      <w:r w:rsidR="00A62574">
        <w:t xml:space="preserve">for further information </w:t>
      </w:r>
      <w:r w:rsidRPr="00FC00F4">
        <w:t xml:space="preserve">has adequately addressed all of the issues identified in the RMP evaluation report, except in regards to recommendation 9b (see below for </w:t>
      </w:r>
      <w:r w:rsidR="0027748C" w:rsidRPr="0027748C">
        <w:rPr>
          <w:i/>
        </w:rPr>
        <w:t>O</w:t>
      </w:r>
      <w:r w:rsidRPr="0027748C">
        <w:rPr>
          <w:i/>
        </w:rPr>
        <w:t>utstanding issues</w:t>
      </w:r>
      <w:r w:rsidRPr="00FC00F4">
        <w:t>)</w:t>
      </w:r>
      <w:r>
        <w:t>.</w:t>
      </w:r>
    </w:p>
    <w:p w:rsidR="00C23F70" w:rsidRPr="008A211D" w:rsidRDefault="00C23F70" w:rsidP="00014BEA">
      <w:pPr>
        <w:pStyle w:val="Heading5"/>
      </w:pPr>
      <w:r w:rsidRPr="008A211D">
        <w:t xml:space="preserve">Outstanding </w:t>
      </w:r>
      <w:r w:rsidRPr="00014BEA">
        <w:t>issues</w:t>
      </w:r>
    </w:p>
    <w:p w:rsidR="00C23F70" w:rsidRDefault="00C23F70" w:rsidP="00014BEA">
      <w:pPr>
        <w:pStyle w:val="Heading6"/>
      </w:pPr>
      <w:r w:rsidRPr="008A211D">
        <w:t>Issues in relation to the RMP</w:t>
      </w:r>
    </w:p>
    <w:p w:rsidR="00C23F70" w:rsidRPr="00FA02B2" w:rsidRDefault="00C23F70" w:rsidP="00014BEA">
      <w:pPr>
        <w:pStyle w:val="ListBullet"/>
        <w:rPr>
          <w:b/>
        </w:rPr>
      </w:pPr>
      <w:r w:rsidRPr="00FA02B2">
        <w:t xml:space="preserve">Recommendation 7: </w:t>
      </w:r>
      <w:r w:rsidRPr="00FA02B2">
        <w:rPr>
          <w:lang w:eastAsia="en-AU"/>
        </w:rPr>
        <w:t xml:space="preserve">In regards to the proposed routine risk minimisation, the Delegate </w:t>
      </w:r>
      <w:r w:rsidRPr="00014BEA">
        <w:t>may</w:t>
      </w:r>
      <w:r w:rsidRPr="00FA02B2">
        <w:rPr>
          <w:lang w:eastAsia="en-AU"/>
        </w:rPr>
        <w:t xml:space="preserve"> wish to consider the recommendations regarding the proposed Australian PI as shown in the table </w:t>
      </w:r>
      <w:r w:rsidR="0027748C">
        <w:rPr>
          <w:lang w:eastAsia="en-AU"/>
        </w:rPr>
        <w:t>above</w:t>
      </w:r>
      <w:r w:rsidRPr="00FA02B2">
        <w:rPr>
          <w:lang w:eastAsia="en-AU"/>
        </w:rPr>
        <w:t>.</w:t>
      </w:r>
    </w:p>
    <w:p w:rsidR="00C23F70" w:rsidRPr="00FA02B2" w:rsidRDefault="00C23F70" w:rsidP="00C23F70">
      <w:pPr>
        <w:pStyle w:val="ListBullet"/>
        <w:rPr>
          <w:b/>
        </w:rPr>
      </w:pPr>
      <w:r w:rsidRPr="00FA02B2">
        <w:t xml:space="preserve">Recommendation 9b: </w:t>
      </w:r>
      <w:r>
        <w:t>I</w:t>
      </w:r>
      <w:r w:rsidRPr="00FA02B2">
        <w:rPr>
          <w:lang w:eastAsia="en-AU"/>
        </w:rPr>
        <w:t xml:space="preserve">t is recommended that </w:t>
      </w:r>
      <w:r>
        <w:rPr>
          <w:lang w:eastAsia="en-AU"/>
        </w:rPr>
        <w:t xml:space="preserve">the next update of the ASA </w:t>
      </w:r>
      <w:r w:rsidRPr="00FA02B2">
        <w:rPr>
          <w:lang w:eastAsia="en-AU"/>
        </w:rPr>
        <w:t>contain a table stating all ongoing and planned studies with milestones and the</w:t>
      </w:r>
      <w:r w:rsidRPr="00FA02B2">
        <w:rPr>
          <w:rFonts w:cs="Imago"/>
          <w:bCs/>
        </w:rPr>
        <w:t xml:space="preserve"> anticipated dates for their submission in Australia.</w:t>
      </w:r>
    </w:p>
    <w:p w:rsidR="00C23F70" w:rsidRPr="00014BEA" w:rsidRDefault="00C23F70" w:rsidP="00014BEA">
      <w:pPr>
        <w:pStyle w:val="Heading5"/>
      </w:pPr>
      <w:r w:rsidRPr="00341DE9">
        <w:t>Suggested wording</w:t>
      </w:r>
      <w:r w:rsidR="00014BEA">
        <w:t xml:space="preserve"> for conditions of registration</w:t>
      </w:r>
    </w:p>
    <w:p w:rsidR="00C23F70" w:rsidRPr="00341DE9" w:rsidRDefault="00C23F70" w:rsidP="00014BEA">
      <w:pPr>
        <w:pStyle w:val="Heading6"/>
      </w:pPr>
      <w:r w:rsidRPr="00014BEA">
        <w:t>RMP</w:t>
      </w:r>
    </w:p>
    <w:p w:rsidR="00C23F70" w:rsidRPr="00AB7B21" w:rsidRDefault="00C23F70" w:rsidP="00014BEA">
      <w:r w:rsidRPr="00364D92">
        <w:t>Implement EU-RMP Version 13.0 (data-lock point 15 February 2013) with Australian Specific Annex Version 3.0 dated May 2013, including all updates as stated in the s31 responses dated 31 October 2013.</w:t>
      </w:r>
    </w:p>
    <w:p w:rsidR="004C67AA" w:rsidRPr="00792A32" w:rsidRDefault="004C67AA" w:rsidP="00014BEA">
      <w:pPr>
        <w:pStyle w:val="Heading2"/>
      </w:pPr>
      <w:bookmarkStart w:id="88" w:name="_Toc314842510"/>
      <w:bookmarkStart w:id="89" w:name="_Toc384807771"/>
      <w:bookmarkStart w:id="90" w:name="_Toc404950777"/>
      <w:r>
        <w:lastRenderedPageBreak/>
        <w:t xml:space="preserve">VI. </w:t>
      </w:r>
      <w:r w:rsidRPr="00792A32">
        <w:t xml:space="preserve">Overall </w:t>
      </w:r>
      <w:r w:rsidRPr="00014BEA">
        <w:t>conclusion</w:t>
      </w:r>
      <w:r w:rsidRPr="00792A32">
        <w:t xml:space="preserve"> and </w:t>
      </w:r>
      <w:r>
        <w:t>r</w:t>
      </w:r>
      <w:r w:rsidRPr="00792A32">
        <w:t>isk/</w:t>
      </w:r>
      <w:r>
        <w:t>b</w:t>
      </w:r>
      <w:r w:rsidRPr="00792A32">
        <w:t xml:space="preserve">enefit </w:t>
      </w:r>
      <w:r>
        <w:t>a</w:t>
      </w:r>
      <w:r w:rsidRPr="00792A32">
        <w:t>ssessment</w:t>
      </w:r>
      <w:bookmarkEnd w:id="73"/>
      <w:bookmarkEnd w:id="87"/>
      <w:bookmarkEnd w:id="88"/>
      <w:bookmarkEnd w:id="89"/>
      <w:bookmarkEnd w:id="90"/>
    </w:p>
    <w:p w:rsidR="004C67AA" w:rsidRDefault="004C67AA" w:rsidP="00014BEA">
      <w:bookmarkStart w:id="91" w:name="_Toc247691528"/>
      <w:r>
        <w:t xml:space="preserve">The submission was summarised in the following </w:t>
      </w:r>
      <w:r w:rsidRPr="00EF5C48">
        <w:t xml:space="preserve">Delegate’s </w:t>
      </w:r>
      <w:r>
        <w:t>overview</w:t>
      </w:r>
      <w:r w:rsidRPr="00EF5C48">
        <w:t xml:space="preserve"> and recommendation</w:t>
      </w:r>
      <w:r>
        <w:t>s:</w:t>
      </w:r>
    </w:p>
    <w:p w:rsidR="004C67AA" w:rsidRDefault="004C67AA" w:rsidP="00014BEA">
      <w:pPr>
        <w:pStyle w:val="Heading3"/>
      </w:pPr>
      <w:bookmarkStart w:id="92" w:name="_Toc314842511"/>
      <w:bookmarkStart w:id="93" w:name="_Toc384807772"/>
      <w:bookmarkStart w:id="94" w:name="_Toc404950778"/>
      <w:r w:rsidRPr="00014BEA">
        <w:t>Quality</w:t>
      </w:r>
      <w:bookmarkEnd w:id="91"/>
      <w:bookmarkEnd w:id="92"/>
      <w:bookmarkEnd w:id="93"/>
      <w:bookmarkEnd w:id="94"/>
    </w:p>
    <w:p w:rsidR="004C67AA" w:rsidRDefault="004C67AA" w:rsidP="004C67AA">
      <w:r>
        <w:t>There was no requirement for a quality evaluation in a submission of this type.</w:t>
      </w:r>
    </w:p>
    <w:p w:rsidR="004C67AA" w:rsidRDefault="004C67AA" w:rsidP="00014BEA">
      <w:pPr>
        <w:pStyle w:val="Heading3"/>
      </w:pPr>
      <w:bookmarkStart w:id="95" w:name="_Toc314842512"/>
      <w:bookmarkStart w:id="96" w:name="_Toc384807773"/>
      <w:bookmarkStart w:id="97" w:name="_Toc404950779"/>
      <w:r w:rsidRPr="00014BEA">
        <w:t>Nonclinical</w:t>
      </w:r>
      <w:bookmarkEnd w:id="95"/>
      <w:bookmarkEnd w:id="96"/>
      <w:bookmarkEnd w:id="97"/>
    </w:p>
    <w:p w:rsidR="004C67AA" w:rsidRDefault="004C67AA" w:rsidP="00014BEA">
      <w:r>
        <w:t>There was no requirement for a nonclinical evaluation in a submission of this type.</w:t>
      </w:r>
    </w:p>
    <w:p w:rsidR="004C67AA" w:rsidRDefault="004C67AA" w:rsidP="004C67AA">
      <w:pPr>
        <w:pStyle w:val="Heading3"/>
      </w:pPr>
      <w:bookmarkStart w:id="98" w:name="_Toc247691530"/>
      <w:bookmarkStart w:id="99" w:name="_Toc314842513"/>
      <w:bookmarkStart w:id="100" w:name="_Toc384807774"/>
      <w:bookmarkStart w:id="101" w:name="_Toc404950780"/>
      <w:r>
        <w:t>Clinical</w:t>
      </w:r>
      <w:bookmarkEnd w:id="98"/>
      <w:bookmarkEnd w:id="99"/>
      <w:bookmarkEnd w:id="100"/>
      <w:bookmarkEnd w:id="101"/>
    </w:p>
    <w:p w:rsidR="00073D4D" w:rsidRPr="003F3697" w:rsidRDefault="00073D4D" w:rsidP="00014BEA">
      <w:bookmarkStart w:id="102" w:name="_Toc314842514"/>
      <w:r>
        <w:t xml:space="preserve">The dossier contains a pivotal trial (BO201990) of efficacy and safety data, population pharmacokinetic studies and a report from a separate </w:t>
      </w:r>
      <w:r w:rsidR="0027748C">
        <w:t>c</w:t>
      </w:r>
      <w:r>
        <w:t>ompany that performed the MGMT analysis.</w:t>
      </w:r>
    </w:p>
    <w:p w:rsidR="00073D4D" w:rsidRPr="00B016D0" w:rsidRDefault="00073D4D" w:rsidP="00014BEA">
      <w:pPr>
        <w:pStyle w:val="Heading4"/>
      </w:pPr>
      <w:r w:rsidRPr="00B016D0">
        <w:rPr>
          <w:rFonts w:cs="Calibri"/>
          <w:sz w:val="24"/>
          <w:szCs w:val="24"/>
        </w:rPr>
        <w:t>Pharmacokinetics (PK)</w:t>
      </w:r>
      <w:r w:rsidRPr="00B016D0">
        <w:t xml:space="preserve"> </w:t>
      </w:r>
      <w:r w:rsidR="0027748C">
        <w:t>and</w:t>
      </w:r>
      <w:r>
        <w:t xml:space="preserve"> </w:t>
      </w:r>
      <w:r w:rsidRPr="009974BE">
        <w:t>Drug-drug interactions (DDI)</w:t>
      </w:r>
    </w:p>
    <w:p w:rsidR="00073D4D" w:rsidRPr="006D4423" w:rsidRDefault="00073D4D" w:rsidP="00014BEA">
      <w:r>
        <w:t xml:space="preserve">The pharmacokinetic profile of </w:t>
      </w:r>
      <w:proofErr w:type="spellStart"/>
      <w:r w:rsidR="00166F6A">
        <w:t>bevacizumab</w:t>
      </w:r>
      <w:proofErr w:type="spellEnd"/>
      <w:r>
        <w:t xml:space="preserve"> was extensively discussed in the original Marketing Authorisation Application.</w:t>
      </w:r>
    </w:p>
    <w:p w:rsidR="00073D4D" w:rsidRPr="006D4423" w:rsidRDefault="00073D4D" w:rsidP="00A62574">
      <w:r>
        <w:t xml:space="preserve">A sub-study of pivotal trial BO21990 observed concentrations from newly diagnosed GBM patients, showing median peak and trough concentrations within 90% of the predicted intervals from population PK simulations. Evidence of a DDI between </w:t>
      </w:r>
      <w:proofErr w:type="spellStart"/>
      <w:r w:rsidR="00166F6A">
        <w:t>bevacizumab</w:t>
      </w:r>
      <w:proofErr w:type="spellEnd"/>
      <w:r>
        <w:t xml:space="preserve"> and </w:t>
      </w:r>
      <w:r w:rsidR="0027748C">
        <w:t>TMZ</w:t>
      </w:r>
      <w:r>
        <w:t xml:space="preserve"> was not found.</w:t>
      </w:r>
    </w:p>
    <w:p w:rsidR="00073D4D" w:rsidRDefault="00073D4D" w:rsidP="00014BEA">
      <w:pPr>
        <w:pStyle w:val="Heading4"/>
      </w:pPr>
      <w:r w:rsidRPr="00014BEA">
        <w:t>Efficacy</w:t>
      </w:r>
    </w:p>
    <w:p w:rsidR="00073D4D" w:rsidRDefault="00073D4D" w:rsidP="00014BEA">
      <w:pPr>
        <w:pStyle w:val="Heading5"/>
      </w:pPr>
      <w:r>
        <w:t xml:space="preserve">Pivotal </w:t>
      </w:r>
      <w:r w:rsidRPr="00014BEA">
        <w:t>study</w:t>
      </w:r>
      <w:r w:rsidR="00014BEA">
        <w:t xml:space="preserve"> BO201990</w:t>
      </w:r>
    </w:p>
    <w:p w:rsidR="00073D4D" w:rsidRDefault="00073D4D" w:rsidP="00A62574">
      <w:r>
        <w:t xml:space="preserve">The pivotal study was a randomised controlled </w:t>
      </w:r>
      <w:r w:rsidR="00D72E98">
        <w:t>P</w:t>
      </w:r>
      <w:r>
        <w:t xml:space="preserve">hase </w:t>
      </w:r>
      <w:r w:rsidR="00D72E98">
        <w:t>III</w:t>
      </w:r>
      <w:r>
        <w:t xml:space="preserve"> trial of </w:t>
      </w:r>
      <w:proofErr w:type="spellStart"/>
      <w:r w:rsidR="00166F6A">
        <w:t>bevacizumab</w:t>
      </w:r>
      <w:proofErr w:type="spellEnd"/>
      <w:r>
        <w:t xml:space="preserve"> v</w:t>
      </w:r>
      <w:r w:rsidR="00D72E98">
        <w:t>ersus</w:t>
      </w:r>
      <w:r>
        <w:t xml:space="preserve"> placebo added to the regimen of </w:t>
      </w:r>
      <w:proofErr w:type="spellStart"/>
      <w:r>
        <w:t>temozolomide</w:t>
      </w:r>
      <w:proofErr w:type="spellEnd"/>
      <w:r>
        <w:t xml:space="preserve"> and radiotherapy following </w:t>
      </w:r>
      <w:proofErr w:type="spellStart"/>
      <w:r>
        <w:t>glioblastoma</w:t>
      </w:r>
      <w:proofErr w:type="spellEnd"/>
      <w:r>
        <w:t xml:space="preserve"> biopsy/resection described by </w:t>
      </w:r>
      <w:proofErr w:type="spellStart"/>
      <w:r>
        <w:t>Stupp</w:t>
      </w:r>
      <w:proofErr w:type="spellEnd"/>
      <w:r>
        <w:t xml:space="preserve"> </w:t>
      </w:r>
      <w:r w:rsidRPr="00014BEA">
        <w:rPr>
          <w:i/>
        </w:rPr>
        <w:t>et al.</w:t>
      </w:r>
      <w:r w:rsidR="00D72E98">
        <w:rPr>
          <w:rStyle w:val="FootnoteReference"/>
        </w:rPr>
        <w:footnoteReference w:id="6"/>
      </w:r>
      <w:r>
        <w:t xml:space="preserve"> The doses of radiation and </w:t>
      </w:r>
      <w:proofErr w:type="spellStart"/>
      <w:r>
        <w:t>temozolomide</w:t>
      </w:r>
      <w:proofErr w:type="spellEnd"/>
      <w:r>
        <w:t xml:space="preserve"> in the pivotal study are identical to those described. In the study by </w:t>
      </w:r>
      <w:proofErr w:type="spellStart"/>
      <w:r>
        <w:t>Stupp</w:t>
      </w:r>
      <w:proofErr w:type="spellEnd"/>
      <w:r>
        <w:t xml:space="preserve">, it was documented that subjects exposed to </w:t>
      </w:r>
      <w:proofErr w:type="spellStart"/>
      <w:r>
        <w:t>temozolomide</w:t>
      </w:r>
      <w:proofErr w:type="spellEnd"/>
      <w:r>
        <w:t xml:space="preserve"> were also administered PCP prophylaxis, according to the precaution in the product information for that drug. The trial protocol for the pivotal study was discussed with the </w:t>
      </w:r>
      <w:r w:rsidR="00D72E98">
        <w:t>European Medicines Agency (</w:t>
      </w:r>
      <w:r>
        <w:t>EMA</w:t>
      </w:r>
      <w:r w:rsidR="00D72E98">
        <w:t>)</w:t>
      </w:r>
      <w:r>
        <w:t xml:space="preserve"> in 2008.</w:t>
      </w:r>
    </w:p>
    <w:p w:rsidR="00073D4D" w:rsidRDefault="00073D4D" w:rsidP="00A62574">
      <w:r>
        <w:t xml:space="preserve">The pivotal trial treatment schedule is shown in </w:t>
      </w:r>
      <w:r w:rsidR="00B11B95">
        <w:t>Figure 3</w:t>
      </w:r>
      <w:r w:rsidR="00014BEA">
        <w:t>.</w:t>
      </w:r>
    </w:p>
    <w:p w:rsidR="00073D4D" w:rsidRDefault="00073D4D" w:rsidP="00014BEA">
      <w:pPr>
        <w:pStyle w:val="FigureTitle"/>
      </w:pPr>
      <w:proofErr w:type="gramStart"/>
      <w:r>
        <w:lastRenderedPageBreak/>
        <w:t xml:space="preserve">Figure </w:t>
      </w:r>
      <w:r w:rsidR="00B11B95">
        <w:t>3.</w:t>
      </w:r>
      <w:proofErr w:type="gramEnd"/>
      <w:r>
        <w:t xml:space="preserve"> </w:t>
      </w:r>
      <w:r w:rsidRPr="00014BEA">
        <w:t>Pivotal</w:t>
      </w:r>
      <w:r>
        <w:t xml:space="preserve"> </w:t>
      </w:r>
      <w:r w:rsidR="00775109">
        <w:t>Study BO21990</w:t>
      </w:r>
      <w:r>
        <w:t xml:space="preserve"> treatment schedule</w:t>
      </w:r>
    </w:p>
    <w:p w:rsidR="00073D4D" w:rsidRDefault="00073D4D" w:rsidP="00073D4D">
      <w:pPr>
        <w:jc w:val="both"/>
      </w:pPr>
      <w:r>
        <w:rPr>
          <w:noProof/>
          <w:lang w:eastAsia="en-AU"/>
        </w:rPr>
        <w:drawing>
          <wp:inline distT="0" distB="0" distL="0" distR="0" wp14:anchorId="68D13275" wp14:editId="3C899795">
            <wp:extent cx="5410200" cy="2260979"/>
            <wp:effectExtent l="0" t="0" r="0" b="6350"/>
            <wp:docPr id="9" name="Picture 1" descr="Figure 3. Pivotal Study BO21990 treatment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lum contrast="-20000"/>
                    </a:blip>
                    <a:srcRect/>
                    <a:stretch>
                      <a:fillRect/>
                    </a:stretch>
                  </pic:blipFill>
                  <pic:spPr bwMode="auto">
                    <a:xfrm>
                      <a:off x="0" y="0"/>
                      <a:ext cx="5420345" cy="2265219"/>
                    </a:xfrm>
                    <a:prstGeom prst="rect">
                      <a:avLst/>
                    </a:prstGeom>
                    <a:noFill/>
                    <a:ln w="9525">
                      <a:noFill/>
                      <a:miter lim="800000"/>
                      <a:headEnd/>
                      <a:tailEnd/>
                    </a:ln>
                  </pic:spPr>
                </pic:pic>
              </a:graphicData>
            </a:graphic>
          </wp:inline>
        </w:drawing>
      </w:r>
    </w:p>
    <w:p w:rsidR="00073D4D" w:rsidRDefault="00073D4D" w:rsidP="00014BEA">
      <w:r>
        <w:t xml:space="preserve">All patients were required to have confirmation of </w:t>
      </w:r>
      <w:proofErr w:type="spellStart"/>
      <w:r>
        <w:t>glioblastoma</w:t>
      </w:r>
      <w:proofErr w:type="spellEnd"/>
      <w:r>
        <w:t xml:space="preserve"> by a local pathology service. Secondary confirmation of the diagnosis and MGMT status was performed by central pathology:</w:t>
      </w:r>
    </w:p>
    <w:p w:rsidR="00073D4D" w:rsidRPr="00831B80" w:rsidRDefault="00775109" w:rsidP="00014BEA">
      <w:pPr>
        <w:autoSpaceDE w:val="0"/>
        <w:autoSpaceDN w:val="0"/>
        <w:spacing w:before="0" w:after="0" w:line="240" w:lineRule="auto"/>
        <w:ind w:left="567"/>
        <w:jc w:val="both"/>
        <w:rPr>
          <w:rFonts w:eastAsiaTheme="minorHAnsi" w:cs="Arial-BoldMT"/>
          <w:bCs/>
          <w:i/>
        </w:rPr>
      </w:pPr>
      <w:r>
        <w:rPr>
          <w:rFonts w:eastAsiaTheme="minorHAnsi" w:cs="Arial-BoldMT"/>
          <w:bCs/>
          <w:i/>
        </w:rPr>
        <w:t>‘</w:t>
      </w:r>
      <w:r w:rsidR="00073D4D" w:rsidRPr="00831B80">
        <w:rPr>
          <w:rFonts w:eastAsiaTheme="minorHAnsi" w:cs="Arial-BoldMT"/>
          <w:bCs/>
          <w:i/>
        </w:rPr>
        <w:t>3.7.1 Central Pathology Review and MGMT Status Assessment</w:t>
      </w:r>
    </w:p>
    <w:p w:rsidR="00073D4D" w:rsidRDefault="00073D4D" w:rsidP="00014BEA">
      <w:pPr>
        <w:autoSpaceDE w:val="0"/>
        <w:autoSpaceDN w:val="0"/>
        <w:spacing w:before="0" w:after="0" w:line="240" w:lineRule="auto"/>
        <w:ind w:left="567"/>
        <w:jc w:val="both"/>
        <w:rPr>
          <w:rFonts w:eastAsiaTheme="minorHAnsi" w:cs="ArialMT"/>
          <w:i/>
        </w:rPr>
      </w:pPr>
      <w:r w:rsidRPr="0072295C">
        <w:rPr>
          <w:rFonts w:eastAsiaTheme="minorHAnsi" w:cs="ArialMT"/>
          <w:i/>
        </w:rPr>
        <w:t xml:space="preserve">A local pathology report constituted adequate documentation of the histological diagnosis for study inclusion. In addition, the </w:t>
      </w:r>
      <w:proofErr w:type="spellStart"/>
      <w:r w:rsidRPr="0072295C">
        <w:rPr>
          <w:rFonts w:eastAsiaTheme="minorHAnsi" w:cs="ArialMT"/>
          <w:i/>
        </w:rPr>
        <w:t>tumor</w:t>
      </w:r>
      <w:proofErr w:type="spellEnd"/>
      <w:r w:rsidRPr="0072295C">
        <w:rPr>
          <w:rFonts w:eastAsiaTheme="minorHAnsi" w:cs="ArialMT"/>
          <w:i/>
        </w:rPr>
        <w:t xml:space="preserve"> material used for diagnosis of GBM was to be sent for central pathology review and MGMT assessment. The availability of these samples was mandatory for randomization into the study.</w:t>
      </w:r>
      <w:r w:rsidR="00775109">
        <w:rPr>
          <w:rFonts w:eastAsiaTheme="minorHAnsi" w:cs="ArialMT"/>
          <w:i/>
        </w:rPr>
        <w:t>’</w:t>
      </w:r>
    </w:p>
    <w:p w:rsidR="00073D4D" w:rsidRPr="00014BEA" w:rsidRDefault="00073D4D" w:rsidP="00014BEA">
      <w:r>
        <w:t xml:space="preserve">No formal dose finding study was performed for the proposed indication. </w:t>
      </w:r>
      <w:r w:rsidRPr="005D1D39">
        <w:t>The dosages selected for</w:t>
      </w:r>
      <w:r>
        <w:t xml:space="preserve"> </w:t>
      </w:r>
      <w:proofErr w:type="spellStart"/>
      <w:r w:rsidR="00166F6A">
        <w:t>bevacizumab</w:t>
      </w:r>
      <w:proofErr w:type="spellEnd"/>
      <w:r>
        <w:t xml:space="preserve"> in</w:t>
      </w:r>
      <w:r w:rsidRPr="005D1D39">
        <w:t xml:space="preserve"> the phases of the pivotal trial are consistent with </w:t>
      </w:r>
      <w:r>
        <w:t>regimens</w:t>
      </w:r>
      <w:r w:rsidRPr="005D1D39">
        <w:t xml:space="preserve"> previously approved for other </w:t>
      </w:r>
      <w:r w:rsidRPr="00014BEA">
        <w:t>malignancies.</w:t>
      </w:r>
    </w:p>
    <w:p w:rsidR="00073D4D" w:rsidRDefault="00073D4D" w:rsidP="00014BEA">
      <w:pPr>
        <w:rPr>
          <w:rFonts w:ascii="ArialMT" w:hAnsi="ArialMT"/>
        </w:rPr>
      </w:pPr>
      <w:r>
        <w:t>The co-primary end-points were progression-free survival and overall survival (investigator assessment</w:t>
      </w:r>
      <w:r w:rsidRPr="00514DA8">
        <w:t xml:space="preserve">). The trial was determined to be </w:t>
      </w:r>
      <w:r>
        <w:t>demonstrat</w:t>
      </w:r>
      <w:r w:rsidRPr="00514DA8">
        <w:t xml:space="preserve">e </w:t>
      </w:r>
      <w:r>
        <w:t xml:space="preserve">an beneficial effect of </w:t>
      </w:r>
      <w:proofErr w:type="spellStart"/>
      <w:r w:rsidR="00166F6A">
        <w:t>bevacizumab</w:t>
      </w:r>
      <w:proofErr w:type="spellEnd"/>
      <w:r>
        <w:t xml:space="preserve"> </w:t>
      </w:r>
      <w:r w:rsidRPr="00514DA8">
        <w:t>if any of the following criteria were met: if, at the time of</w:t>
      </w:r>
      <w:r>
        <w:t xml:space="preserve"> </w:t>
      </w:r>
      <w:r w:rsidRPr="00514DA8">
        <w:t xml:space="preserve">the </w:t>
      </w:r>
      <w:r w:rsidR="00D72E98">
        <w:t>Overall Survival (</w:t>
      </w:r>
      <w:r w:rsidRPr="00514DA8">
        <w:t>OS</w:t>
      </w:r>
      <w:r w:rsidR="00D72E98">
        <w:t>)</w:t>
      </w:r>
      <w:r w:rsidRPr="00514DA8">
        <w:t xml:space="preserve"> interim analysis/final PFS analysis, there was a statistically significant difference between treatment arms in PFS in favo</w:t>
      </w:r>
      <w:r>
        <w:t xml:space="preserve">ur of </w:t>
      </w:r>
      <w:proofErr w:type="spellStart"/>
      <w:r w:rsidR="00166F6A">
        <w:t>bevacizumab</w:t>
      </w:r>
      <w:proofErr w:type="spellEnd"/>
      <w:r w:rsidRPr="00514DA8">
        <w:t xml:space="preserve"> with a </w:t>
      </w:r>
      <w:r w:rsidR="00D72E98">
        <w:t>Hazard ratio (</w:t>
      </w:r>
      <w:r w:rsidRPr="00514DA8">
        <w:t>HR</w:t>
      </w:r>
      <w:r w:rsidR="00D72E98">
        <w:t xml:space="preserve">) </w:t>
      </w:r>
      <w:r w:rsidRPr="00514DA8">
        <w:t xml:space="preserve">&lt;0.769 and a non-detrimental effect on OS (HR &lt;1.0); or if, at the time of the OS interim analysis or final OS analysis, there was a statistically significant difference between the two treatment arms for OS, in </w:t>
      </w:r>
      <w:r>
        <w:t xml:space="preserve">favour of </w:t>
      </w:r>
      <w:proofErr w:type="spellStart"/>
      <w:r w:rsidR="00166F6A">
        <w:t>bevacizumab</w:t>
      </w:r>
      <w:proofErr w:type="spellEnd"/>
      <w:r>
        <w:t>.</w:t>
      </w:r>
    </w:p>
    <w:p w:rsidR="00073D4D" w:rsidRDefault="00073D4D" w:rsidP="00014BEA">
      <w:r>
        <w:t>Secondary end-points: independent PFS assessment, 1</w:t>
      </w:r>
      <w:r w:rsidR="00D72E98">
        <w:t xml:space="preserve"> and 2 </w:t>
      </w:r>
      <w:r>
        <w:t>year survival rates and health-related quality of life assessment.</w:t>
      </w:r>
    </w:p>
    <w:p w:rsidR="00073D4D" w:rsidRDefault="00073D4D" w:rsidP="00A62574">
      <w:pPr>
        <w:rPr>
          <w:rFonts w:eastAsiaTheme="minorHAnsi" w:cs="ArialMT"/>
        </w:rPr>
      </w:pPr>
      <w:r>
        <w:t xml:space="preserve">Tumour response criteria for the pivotal trial </w:t>
      </w:r>
      <w:r w:rsidR="00775109">
        <w:t>‘</w:t>
      </w:r>
      <w:r>
        <w:t>adaptations to the Macdonald criteria</w:t>
      </w:r>
      <w:r w:rsidR="00775109">
        <w:t>’</w:t>
      </w:r>
      <w:r>
        <w:t xml:space="preserve"> are </w:t>
      </w:r>
      <w:r w:rsidRPr="008E75AB">
        <w:t xml:space="preserve">shown in </w:t>
      </w:r>
      <w:r w:rsidR="007013CE" w:rsidRPr="008E75AB">
        <w:t xml:space="preserve">Table </w:t>
      </w:r>
      <w:r w:rsidR="00AD12FE">
        <w:t>6</w:t>
      </w:r>
      <w:r w:rsidRPr="008E75AB">
        <w:t xml:space="preserve">. </w:t>
      </w:r>
      <w:r w:rsidRPr="008E75AB">
        <w:rPr>
          <w:rFonts w:eastAsiaTheme="minorHAnsi" w:cs="ArialMT"/>
        </w:rPr>
        <w:t xml:space="preserve">The </w:t>
      </w:r>
      <w:r w:rsidR="007013CE" w:rsidRPr="008E75AB">
        <w:rPr>
          <w:rFonts w:eastAsiaTheme="minorHAnsi" w:cs="ArialMT"/>
        </w:rPr>
        <w:t>s</w:t>
      </w:r>
      <w:r w:rsidRPr="008E75AB">
        <w:rPr>
          <w:rFonts w:eastAsiaTheme="minorHAnsi" w:cs="ArialMT"/>
        </w:rPr>
        <w:t xml:space="preserve">ponsor states </w:t>
      </w:r>
      <w:r w:rsidR="00775109" w:rsidRPr="008E75AB">
        <w:rPr>
          <w:rFonts w:eastAsiaTheme="minorHAnsi" w:cs="ArialMT"/>
        </w:rPr>
        <w:t>‘</w:t>
      </w:r>
      <w:r w:rsidRPr="008E75AB">
        <w:rPr>
          <w:rFonts w:eastAsiaTheme="minorHAnsi" w:cs="ArialMT"/>
          <w:i/>
        </w:rPr>
        <w:t xml:space="preserve">The adapted Macdonald criteria used in </w:t>
      </w:r>
      <w:r w:rsidR="00775109" w:rsidRPr="008E75AB">
        <w:rPr>
          <w:rFonts w:eastAsiaTheme="minorHAnsi" w:cs="ArialMT"/>
          <w:i/>
        </w:rPr>
        <w:t>Study BO21990</w:t>
      </w:r>
      <w:r w:rsidRPr="008E75AB">
        <w:rPr>
          <w:rFonts w:eastAsiaTheme="minorHAnsi" w:cs="ArialMT"/>
          <w:i/>
        </w:rPr>
        <w:t xml:space="preserve"> were developed before</w:t>
      </w:r>
      <w:r w:rsidRPr="00390C65">
        <w:rPr>
          <w:rFonts w:eastAsiaTheme="minorHAnsi" w:cs="ArialMT"/>
          <w:i/>
        </w:rPr>
        <w:t xml:space="preserve"> availability of the RANO guideline for GBM developed by the RANO working </w:t>
      </w:r>
      <w:r>
        <w:rPr>
          <w:rFonts w:eastAsiaTheme="minorHAnsi" w:cs="ArialMT"/>
          <w:i/>
        </w:rPr>
        <w:t xml:space="preserve">group, but are in </w:t>
      </w:r>
      <w:r w:rsidRPr="00390C65">
        <w:rPr>
          <w:rFonts w:eastAsiaTheme="minorHAnsi" w:cs="ArialMT"/>
          <w:i/>
        </w:rPr>
        <w:t>line with these RANO criteria</w:t>
      </w:r>
      <w:r w:rsidR="00775109">
        <w:rPr>
          <w:rFonts w:eastAsiaTheme="minorHAnsi" w:cs="ArialMT"/>
        </w:rPr>
        <w:t>’</w:t>
      </w:r>
      <w:r w:rsidR="00014BEA">
        <w:rPr>
          <w:rFonts w:eastAsiaTheme="minorHAnsi" w:cs="ArialMT"/>
        </w:rPr>
        <w:t>.</w:t>
      </w:r>
    </w:p>
    <w:p w:rsidR="007013CE" w:rsidRPr="00ED6743" w:rsidRDefault="007013CE" w:rsidP="00014BEA">
      <w:pPr>
        <w:pStyle w:val="TableTitle"/>
      </w:pPr>
      <w:proofErr w:type="gramStart"/>
      <w:r>
        <w:lastRenderedPageBreak/>
        <w:t xml:space="preserve">Table </w:t>
      </w:r>
      <w:r w:rsidR="00AD12FE">
        <w:t>6.</w:t>
      </w:r>
      <w:proofErr w:type="gramEnd"/>
      <w:r>
        <w:t xml:space="preserve"> </w:t>
      </w:r>
      <w:r w:rsidRPr="00014BEA">
        <w:t>Response</w:t>
      </w:r>
      <w:r w:rsidRPr="00ED6743">
        <w:t xml:space="preserve"> criteria for pivotal trial</w:t>
      </w:r>
    </w:p>
    <w:p w:rsidR="007013CE" w:rsidRDefault="007013CE" w:rsidP="00A62574">
      <w:pPr>
        <w:rPr>
          <w:rFonts w:eastAsiaTheme="minorHAnsi" w:cs="ArialMT"/>
        </w:rPr>
      </w:pPr>
      <w:r>
        <w:rPr>
          <w:rFonts w:cs="Calibri"/>
          <w:noProof/>
          <w:sz w:val="24"/>
          <w:szCs w:val="24"/>
          <w:lang w:eastAsia="en-AU"/>
        </w:rPr>
        <w:drawing>
          <wp:inline distT="0" distB="0" distL="0" distR="0" wp14:anchorId="05890A3F" wp14:editId="755AC190">
            <wp:extent cx="5133975" cy="6231955"/>
            <wp:effectExtent l="0" t="0" r="0" b="0"/>
            <wp:docPr id="19" name="Picture 19" descr="Table 6. Response criteria for pivotal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lum bright="-20000" contrast="40000"/>
                    </a:blip>
                    <a:srcRect/>
                    <a:stretch>
                      <a:fillRect/>
                    </a:stretch>
                  </pic:blipFill>
                  <pic:spPr bwMode="auto">
                    <a:xfrm>
                      <a:off x="0" y="0"/>
                      <a:ext cx="5140141" cy="6239440"/>
                    </a:xfrm>
                    <a:prstGeom prst="rect">
                      <a:avLst/>
                    </a:prstGeom>
                    <a:noFill/>
                    <a:ln w="9525">
                      <a:noFill/>
                      <a:miter lim="800000"/>
                      <a:headEnd/>
                      <a:tailEnd/>
                    </a:ln>
                  </pic:spPr>
                </pic:pic>
              </a:graphicData>
            </a:graphic>
          </wp:inline>
        </w:drawing>
      </w:r>
    </w:p>
    <w:p w:rsidR="00073D4D" w:rsidRDefault="00073D4D" w:rsidP="00014BEA">
      <w:pPr>
        <w:pStyle w:val="Heading6"/>
      </w:pPr>
      <w:r w:rsidRPr="00BF1049">
        <w:t xml:space="preserve">Patient </w:t>
      </w:r>
      <w:r w:rsidRPr="00014BEA">
        <w:t>disposition</w:t>
      </w:r>
    </w:p>
    <w:p w:rsidR="00073D4D" w:rsidRDefault="00073D4D" w:rsidP="00014BEA">
      <w:r>
        <w:t xml:space="preserve">In the intention to treat population, there were 463 subjects in the </w:t>
      </w:r>
      <w:proofErr w:type="spellStart"/>
      <w:r w:rsidR="00166F6A">
        <w:t>bevacizumab</w:t>
      </w:r>
      <w:proofErr w:type="spellEnd"/>
      <w:r>
        <w:t xml:space="preserve"> arm and 458 in the placebo arm. There was an equal balance of patient demographics. Subjects with primary/secondary disease and degree of tumour resection were balanced between the two study arms. There were 104 subjects that had a biopsy diagnosis</w:t>
      </w:r>
      <w:r w:rsidR="007013CE">
        <w:t>;</w:t>
      </w:r>
      <w:r>
        <w:t xml:space="preserve"> 10% of the placebo group and 13% of the </w:t>
      </w:r>
      <w:proofErr w:type="spellStart"/>
      <w:r w:rsidR="00166F6A">
        <w:t>bevacizumab</w:t>
      </w:r>
      <w:proofErr w:type="spellEnd"/>
      <w:r>
        <w:t xml:space="preserve"> group.</w:t>
      </w:r>
    </w:p>
    <w:p w:rsidR="00073D4D" w:rsidRDefault="00073D4D" w:rsidP="00014BEA">
      <w:r>
        <w:t>Despite the mandatory availability of histology samples prior to randomisation, due to the quantity and/or quality of histology tissue available, central confirmation of the diagnosis was only achieved in 95% (the remaining were ‘not confirmed’ or ‘missing’) and MGMT status assessment was obtained for 76% of the 921 subjects</w:t>
      </w:r>
      <w:r w:rsidR="008E75AB">
        <w:t xml:space="preserve"> (</w:t>
      </w:r>
      <w:r>
        <w:t xml:space="preserve">Tables </w:t>
      </w:r>
      <w:r w:rsidR="00AD12FE">
        <w:t>7</w:t>
      </w:r>
      <w:r>
        <w:t xml:space="preserve"> </w:t>
      </w:r>
      <w:r w:rsidR="00B11B95">
        <w:t xml:space="preserve">and </w:t>
      </w:r>
      <w:r w:rsidR="00AD12FE">
        <w:t>8</w:t>
      </w:r>
      <w:r w:rsidR="008E75AB">
        <w:t>)</w:t>
      </w:r>
      <w:r>
        <w:t>.</w:t>
      </w:r>
    </w:p>
    <w:p w:rsidR="007013CE" w:rsidRDefault="00AD12FE" w:rsidP="00014BEA">
      <w:pPr>
        <w:pStyle w:val="TableTitle"/>
      </w:pPr>
      <w:proofErr w:type="gramStart"/>
      <w:r>
        <w:lastRenderedPageBreak/>
        <w:t>Table 7</w:t>
      </w:r>
      <w:r w:rsidR="00B626F5">
        <w:t>.</w:t>
      </w:r>
      <w:proofErr w:type="gramEnd"/>
      <w:r w:rsidR="007013CE">
        <w:t xml:space="preserve"> Subject </w:t>
      </w:r>
      <w:r w:rsidR="007013CE" w:rsidRPr="00014BEA">
        <w:t>demographics</w:t>
      </w:r>
    </w:p>
    <w:p w:rsidR="007013CE" w:rsidRDefault="007013CE" w:rsidP="007013CE">
      <w:pPr>
        <w:tabs>
          <w:tab w:val="left" w:pos="1418"/>
          <w:tab w:val="right" w:pos="7088"/>
        </w:tabs>
        <w:spacing w:before="0" w:line="240" w:lineRule="auto"/>
        <w:rPr>
          <w:rFonts w:cs="Calibri"/>
          <w:sz w:val="24"/>
          <w:szCs w:val="24"/>
        </w:rPr>
      </w:pPr>
      <w:r>
        <w:rPr>
          <w:rFonts w:cs="Calibri"/>
          <w:noProof/>
          <w:sz w:val="24"/>
          <w:szCs w:val="24"/>
          <w:lang w:eastAsia="en-AU"/>
        </w:rPr>
        <w:drawing>
          <wp:inline distT="0" distB="0" distL="0" distR="0" wp14:anchorId="35C0B7BC" wp14:editId="3D557BE4">
            <wp:extent cx="4912447" cy="6924675"/>
            <wp:effectExtent l="0" t="0" r="2540" b="0"/>
            <wp:docPr id="20" name="Picture 2" descr="Table 7. Subject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lum bright="-20000" contrast="40000"/>
                    </a:blip>
                    <a:srcRect/>
                    <a:stretch>
                      <a:fillRect/>
                    </a:stretch>
                  </pic:blipFill>
                  <pic:spPr bwMode="auto">
                    <a:xfrm>
                      <a:off x="0" y="0"/>
                      <a:ext cx="4913429" cy="6926059"/>
                    </a:xfrm>
                    <a:prstGeom prst="rect">
                      <a:avLst/>
                    </a:prstGeom>
                    <a:noFill/>
                    <a:ln w="9525">
                      <a:noFill/>
                      <a:miter lim="800000"/>
                      <a:headEnd/>
                      <a:tailEnd/>
                    </a:ln>
                  </pic:spPr>
                </pic:pic>
              </a:graphicData>
            </a:graphic>
          </wp:inline>
        </w:drawing>
      </w:r>
    </w:p>
    <w:p w:rsidR="007013CE" w:rsidRDefault="007013CE" w:rsidP="007013CE">
      <w:pPr>
        <w:pStyle w:val="TableTitle"/>
      </w:pPr>
      <w:r>
        <w:lastRenderedPageBreak/>
        <w:t xml:space="preserve">Table </w:t>
      </w:r>
      <w:r w:rsidR="00AD12FE">
        <w:t>8</w:t>
      </w:r>
      <w:r w:rsidR="00B626F5">
        <w:t>.</w:t>
      </w:r>
      <w:r>
        <w:t xml:space="preserve"> Baseline disease characteristics</w:t>
      </w:r>
    </w:p>
    <w:p w:rsidR="007013CE" w:rsidRDefault="007013CE" w:rsidP="007013CE">
      <w:pPr>
        <w:tabs>
          <w:tab w:val="left" w:pos="1418"/>
          <w:tab w:val="right" w:pos="7088"/>
        </w:tabs>
        <w:spacing w:before="0" w:line="240" w:lineRule="auto"/>
        <w:rPr>
          <w:rFonts w:cs="Calibri"/>
          <w:sz w:val="24"/>
          <w:szCs w:val="24"/>
        </w:rPr>
      </w:pPr>
      <w:r w:rsidRPr="00852402">
        <w:rPr>
          <w:rFonts w:cs="Calibri"/>
          <w:noProof/>
          <w:sz w:val="24"/>
          <w:szCs w:val="24"/>
          <w:lang w:eastAsia="en-AU"/>
        </w:rPr>
        <w:drawing>
          <wp:inline distT="0" distB="0" distL="0" distR="0" wp14:anchorId="137EB671" wp14:editId="7F29D401">
            <wp:extent cx="4781550" cy="6833067"/>
            <wp:effectExtent l="0" t="0" r="0" b="6350"/>
            <wp:docPr id="21" name="Picture 4" descr="Table 8. Baseline diseas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lum bright="-20000" contrast="40000"/>
                    </a:blip>
                    <a:srcRect/>
                    <a:stretch>
                      <a:fillRect/>
                    </a:stretch>
                  </pic:blipFill>
                  <pic:spPr bwMode="auto">
                    <a:xfrm>
                      <a:off x="0" y="0"/>
                      <a:ext cx="4784007" cy="6836578"/>
                    </a:xfrm>
                    <a:prstGeom prst="rect">
                      <a:avLst/>
                    </a:prstGeom>
                    <a:noFill/>
                    <a:ln w="9525">
                      <a:noFill/>
                      <a:miter lim="800000"/>
                      <a:headEnd/>
                      <a:tailEnd/>
                    </a:ln>
                  </pic:spPr>
                </pic:pic>
              </a:graphicData>
            </a:graphic>
          </wp:inline>
        </w:drawing>
      </w:r>
    </w:p>
    <w:p w:rsidR="00073D4D" w:rsidRDefault="00073D4D" w:rsidP="00014BEA">
      <w:pPr>
        <w:pStyle w:val="Heading6"/>
        <w:rPr>
          <w:rFonts w:eastAsiaTheme="minorHAnsi"/>
        </w:rPr>
      </w:pPr>
      <w:r>
        <w:rPr>
          <w:rFonts w:eastAsiaTheme="minorHAnsi"/>
        </w:rPr>
        <w:t xml:space="preserve">Trial </w:t>
      </w:r>
      <w:r w:rsidRPr="00014BEA">
        <w:rPr>
          <w:rFonts w:eastAsiaTheme="minorHAnsi"/>
        </w:rPr>
        <w:t>protocol</w:t>
      </w:r>
      <w:r>
        <w:rPr>
          <w:rFonts w:eastAsiaTheme="minorHAnsi"/>
        </w:rPr>
        <w:t xml:space="preserve"> violations </w:t>
      </w:r>
      <w:r w:rsidR="00A62574">
        <w:rPr>
          <w:rFonts w:eastAsiaTheme="minorHAnsi"/>
        </w:rPr>
        <w:t>and</w:t>
      </w:r>
      <w:r>
        <w:rPr>
          <w:rFonts w:eastAsiaTheme="minorHAnsi"/>
        </w:rPr>
        <w:t xml:space="preserve"> deviations</w:t>
      </w:r>
    </w:p>
    <w:p w:rsidR="00073D4D" w:rsidRPr="00567CC1" w:rsidRDefault="00073D4D" w:rsidP="00014BEA">
      <w:r>
        <w:t>A substantial number of pivotal trial entrants</w:t>
      </w:r>
      <w:r w:rsidR="007013CE">
        <w:t>,</w:t>
      </w:r>
      <w:r w:rsidRPr="00567CC1">
        <w:t xml:space="preserve"> 208 </w:t>
      </w:r>
      <w:r>
        <w:t>(22.6%)</w:t>
      </w:r>
      <w:r w:rsidR="007013CE">
        <w:t>,</w:t>
      </w:r>
      <w:r>
        <w:t xml:space="preserve"> where reported to have</w:t>
      </w:r>
      <w:r w:rsidRPr="00567CC1">
        <w:t xml:space="preserve"> had either a major protocol v</w:t>
      </w:r>
      <w:r>
        <w:t>iolation leading to exclusion from</w:t>
      </w:r>
      <w:r w:rsidRPr="00567CC1">
        <w:t xml:space="preserve"> the per</w:t>
      </w:r>
      <w:r>
        <w:t>-</w:t>
      </w:r>
      <w:r w:rsidRPr="00567CC1">
        <w:t>protocol population, major inclusion criteria violation, major exclusion criteria violation or major violation during study conduct</w:t>
      </w:r>
      <w:r w:rsidR="00014BEA">
        <w:t>.</w:t>
      </w:r>
    </w:p>
    <w:p w:rsidR="00073D4D" w:rsidRPr="009974BE" w:rsidRDefault="00073D4D" w:rsidP="00014BEA">
      <w:pPr>
        <w:pStyle w:val="Heading6"/>
      </w:pPr>
      <w:r w:rsidRPr="009974BE">
        <w:t xml:space="preserve">Co-primary </w:t>
      </w:r>
      <w:r w:rsidRPr="00014BEA">
        <w:t>end</w:t>
      </w:r>
      <w:r>
        <w:t>-points</w:t>
      </w:r>
    </w:p>
    <w:p w:rsidR="00073D4D" w:rsidRDefault="00073D4D" w:rsidP="00014BEA">
      <w:r>
        <w:t xml:space="preserve">Final outcome report is based on clinical cut-off date of February 2013. The co-primary endpoint of improved progression-free survival met the criterion for the trial to demonstrate a benefit of </w:t>
      </w:r>
      <w:proofErr w:type="spellStart"/>
      <w:r w:rsidR="00166F6A">
        <w:t>bevacizumab</w:t>
      </w:r>
      <w:proofErr w:type="spellEnd"/>
      <w:r>
        <w:t xml:space="preserve">, but overall survival </w:t>
      </w:r>
      <w:r w:rsidRPr="008E75AB">
        <w:t xml:space="preserve">was not </w:t>
      </w:r>
      <w:r w:rsidR="007013CE" w:rsidRPr="008E75AB">
        <w:t>(T</w:t>
      </w:r>
      <w:r w:rsidRPr="008E75AB">
        <w:t xml:space="preserve">ables </w:t>
      </w:r>
      <w:r w:rsidR="00AD12FE">
        <w:t>9</w:t>
      </w:r>
      <w:r w:rsidRPr="008E75AB">
        <w:t xml:space="preserve"> </w:t>
      </w:r>
      <w:r w:rsidR="007013CE" w:rsidRPr="008E75AB">
        <w:t>and</w:t>
      </w:r>
      <w:r w:rsidRPr="008E75AB">
        <w:t xml:space="preserve"> </w:t>
      </w:r>
      <w:r w:rsidR="00B11B95" w:rsidRPr="008E75AB">
        <w:t>1</w:t>
      </w:r>
      <w:r w:rsidR="00AD12FE">
        <w:t>0</w:t>
      </w:r>
      <w:r w:rsidR="007013CE" w:rsidRPr="008E75AB">
        <w:t>)</w:t>
      </w:r>
      <w:r w:rsidRPr="008E75AB">
        <w:t>.</w:t>
      </w:r>
    </w:p>
    <w:p w:rsidR="00073D4D" w:rsidRDefault="00073D4D" w:rsidP="00014BEA">
      <w:pPr>
        <w:pStyle w:val="TableTitle"/>
      </w:pPr>
      <w:proofErr w:type="gramStart"/>
      <w:r>
        <w:lastRenderedPageBreak/>
        <w:t xml:space="preserve">Table </w:t>
      </w:r>
      <w:r w:rsidR="00AD12FE">
        <w:t>9</w:t>
      </w:r>
      <w:r w:rsidR="00B11B95">
        <w:t>.</w:t>
      </w:r>
      <w:proofErr w:type="gramEnd"/>
      <w:r>
        <w:t xml:space="preserve"> Progression-free </w:t>
      </w:r>
      <w:r w:rsidRPr="00014BEA">
        <w:t>survival</w:t>
      </w:r>
    </w:p>
    <w:tbl>
      <w:tblPr>
        <w:tblStyle w:val="TableTGAblue"/>
        <w:tblW w:w="0" w:type="auto"/>
        <w:tblInd w:w="108" w:type="dxa"/>
        <w:tblLook w:val="04A0" w:firstRow="1" w:lastRow="0" w:firstColumn="1" w:lastColumn="0" w:noHBand="0" w:noVBand="1"/>
      </w:tblPr>
      <w:tblGrid>
        <w:gridCol w:w="2116"/>
        <w:gridCol w:w="2290"/>
        <w:gridCol w:w="2078"/>
        <w:gridCol w:w="2128"/>
      </w:tblGrid>
      <w:tr w:rsidR="00073D4D" w:rsidRPr="00E8663F" w:rsidTr="00073D4D">
        <w:trPr>
          <w:cnfStyle w:val="100000000000" w:firstRow="1" w:lastRow="0" w:firstColumn="0" w:lastColumn="0" w:oddVBand="0" w:evenVBand="0" w:oddHBand="0" w:evenHBand="0" w:firstRowFirstColumn="0" w:firstRowLastColumn="0" w:lastRowFirstColumn="0" w:lastRowLastColumn="0"/>
        </w:trPr>
        <w:tc>
          <w:tcPr>
            <w:tcW w:w="4820" w:type="dxa"/>
            <w:gridSpan w:val="2"/>
          </w:tcPr>
          <w:p w:rsidR="00073D4D" w:rsidRPr="00A62574" w:rsidRDefault="00073D4D" w:rsidP="00014BEA">
            <w:pPr>
              <w:rPr>
                <w:rFonts w:asciiTheme="minorHAnsi" w:hAnsiTheme="minorHAnsi" w:cs="Calibri"/>
              </w:rPr>
            </w:pPr>
          </w:p>
        </w:tc>
        <w:tc>
          <w:tcPr>
            <w:tcW w:w="2126" w:type="dxa"/>
          </w:tcPr>
          <w:p w:rsidR="00073D4D" w:rsidRPr="00A62574" w:rsidRDefault="00073D4D" w:rsidP="00014BEA">
            <w:pPr>
              <w:spacing w:before="0" w:after="0"/>
              <w:rPr>
                <w:rFonts w:asciiTheme="minorHAnsi" w:hAnsiTheme="minorHAnsi" w:cs="Calibri"/>
                <w:sz w:val="20"/>
              </w:rPr>
            </w:pPr>
            <w:r w:rsidRPr="00A62574">
              <w:rPr>
                <w:rFonts w:asciiTheme="minorHAnsi" w:hAnsiTheme="minorHAnsi" w:cs="Calibri"/>
                <w:sz w:val="20"/>
              </w:rPr>
              <w:t>Placebo</w:t>
            </w:r>
            <w:r w:rsidR="00014BEA">
              <w:rPr>
                <w:rFonts w:asciiTheme="minorHAnsi" w:hAnsiTheme="minorHAnsi" w:cs="Calibri"/>
                <w:sz w:val="20"/>
              </w:rPr>
              <w:t xml:space="preserve"> </w:t>
            </w:r>
            <w:r w:rsidRPr="00A62574">
              <w:rPr>
                <w:rFonts w:asciiTheme="minorHAnsi" w:hAnsiTheme="minorHAnsi" w:cs="Calibri"/>
                <w:sz w:val="20"/>
              </w:rPr>
              <w:t>radiotherapy</w:t>
            </w:r>
            <w:r w:rsidR="00014BEA">
              <w:rPr>
                <w:rFonts w:asciiTheme="minorHAnsi" w:hAnsiTheme="minorHAnsi" w:cs="Calibri"/>
                <w:sz w:val="20"/>
              </w:rPr>
              <w:t xml:space="preserve"> </w:t>
            </w:r>
            <w:proofErr w:type="spellStart"/>
            <w:r w:rsidRPr="00A62574">
              <w:rPr>
                <w:rFonts w:asciiTheme="minorHAnsi" w:hAnsiTheme="minorHAnsi" w:cs="Calibri"/>
                <w:sz w:val="20"/>
              </w:rPr>
              <w:t>temozolomide</w:t>
            </w:r>
            <w:proofErr w:type="spellEnd"/>
          </w:p>
        </w:tc>
        <w:tc>
          <w:tcPr>
            <w:tcW w:w="2188" w:type="dxa"/>
          </w:tcPr>
          <w:p w:rsidR="00073D4D" w:rsidRPr="00A62574" w:rsidRDefault="00166F6A" w:rsidP="00014BEA">
            <w:pPr>
              <w:spacing w:before="0" w:after="0"/>
              <w:rPr>
                <w:rFonts w:asciiTheme="minorHAnsi" w:hAnsiTheme="minorHAnsi" w:cs="Calibri"/>
                <w:sz w:val="20"/>
              </w:rPr>
            </w:pPr>
            <w:proofErr w:type="spellStart"/>
            <w:r>
              <w:rPr>
                <w:rFonts w:asciiTheme="minorHAnsi" w:hAnsiTheme="minorHAnsi" w:cs="Calibri"/>
                <w:sz w:val="20"/>
              </w:rPr>
              <w:t>Bevacizumab</w:t>
            </w:r>
            <w:proofErr w:type="spellEnd"/>
            <w:r w:rsidR="00014BEA">
              <w:rPr>
                <w:rFonts w:asciiTheme="minorHAnsi" w:hAnsiTheme="minorHAnsi" w:cs="Calibri"/>
                <w:sz w:val="20"/>
              </w:rPr>
              <w:t xml:space="preserve"> </w:t>
            </w:r>
            <w:r w:rsidR="00073D4D" w:rsidRPr="00A62574">
              <w:rPr>
                <w:rFonts w:asciiTheme="minorHAnsi" w:hAnsiTheme="minorHAnsi" w:cs="Calibri"/>
                <w:sz w:val="20"/>
              </w:rPr>
              <w:t>radiotherapy</w:t>
            </w:r>
            <w:r w:rsidR="00014BEA">
              <w:rPr>
                <w:rFonts w:asciiTheme="minorHAnsi" w:hAnsiTheme="minorHAnsi" w:cs="Calibri"/>
                <w:sz w:val="20"/>
              </w:rPr>
              <w:t xml:space="preserve"> </w:t>
            </w:r>
            <w:proofErr w:type="spellStart"/>
            <w:r w:rsidR="00073D4D" w:rsidRPr="00A62574">
              <w:rPr>
                <w:rFonts w:asciiTheme="minorHAnsi" w:hAnsiTheme="minorHAnsi" w:cs="Calibri"/>
                <w:sz w:val="20"/>
              </w:rPr>
              <w:t>temozolomide</w:t>
            </w:r>
            <w:proofErr w:type="spellEnd"/>
          </w:p>
        </w:tc>
      </w:tr>
      <w:tr w:rsidR="00073D4D" w:rsidRPr="00F72B3B" w:rsidTr="00073D4D">
        <w:tc>
          <w:tcPr>
            <w:tcW w:w="2268" w:type="dxa"/>
            <w:vMerge w:val="restart"/>
            <w:tcBorders>
              <w:right w:val="single" w:sz="4" w:space="0" w:color="auto"/>
            </w:tcBorders>
          </w:tcPr>
          <w:p w:rsidR="00073D4D" w:rsidRPr="00A62574" w:rsidRDefault="00073D4D" w:rsidP="00073D4D">
            <w:pPr>
              <w:spacing w:before="0" w:after="0"/>
              <w:jc w:val="both"/>
              <w:rPr>
                <w:rFonts w:asciiTheme="minorHAnsi" w:hAnsiTheme="minorHAnsi" w:cs="Calibri"/>
                <w:sz w:val="20"/>
              </w:rPr>
            </w:pPr>
            <w:r w:rsidRPr="00A62574">
              <w:rPr>
                <w:rFonts w:asciiTheme="minorHAnsi" w:hAnsiTheme="minorHAnsi" w:cs="Calibri"/>
                <w:sz w:val="20"/>
              </w:rPr>
              <w:t>ITT population</w:t>
            </w:r>
          </w:p>
        </w:tc>
        <w:tc>
          <w:tcPr>
            <w:tcW w:w="2552" w:type="dxa"/>
            <w:vMerge w:val="restart"/>
            <w:tcBorders>
              <w:left w:val="single" w:sz="4" w:space="0" w:color="auto"/>
            </w:tcBorders>
          </w:tcPr>
          <w:p w:rsidR="00073D4D" w:rsidRPr="00A62574" w:rsidRDefault="00073D4D" w:rsidP="00073D4D">
            <w:pPr>
              <w:spacing w:before="0" w:after="0"/>
              <w:jc w:val="both"/>
              <w:rPr>
                <w:rFonts w:asciiTheme="minorHAnsi" w:hAnsiTheme="minorHAnsi" w:cs="Calibri"/>
                <w:sz w:val="20"/>
              </w:rPr>
            </w:pPr>
            <w:r w:rsidRPr="00A62574">
              <w:rPr>
                <w:rFonts w:asciiTheme="minorHAnsi" w:hAnsiTheme="minorHAnsi" w:cs="Calibri"/>
                <w:sz w:val="20"/>
              </w:rPr>
              <w:t>Median PFS. Months</w:t>
            </w:r>
          </w:p>
        </w:tc>
        <w:tc>
          <w:tcPr>
            <w:tcW w:w="2126" w:type="dxa"/>
          </w:tcPr>
          <w:p w:rsidR="00073D4D" w:rsidRPr="00A62574" w:rsidRDefault="00073D4D" w:rsidP="00073D4D">
            <w:pPr>
              <w:spacing w:before="0" w:after="0"/>
              <w:jc w:val="center"/>
              <w:rPr>
                <w:rFonts w:asciiTheme="minorHAnsi" w:hAnsiTheme="minorHAnsi" w:cs="Calibri"/>
                <w:sz w:val="20"/>
              </w:rPr>
            </w:pPr>
            <w:r w:rsidRPr="00A62574">
              <w:rPr>
                <w:rFonts w:asciiTheme="minorHAnsi" w:hAnsiTheme="minorHAnsi" w:cs="Calibri"/>
                <w:sz w:val="20"/>
              </w:rPr>
              <w:t>6.2 (n=463)</w:t>
            </w:r>
          </w:p>
        </w:tc>
        <w:tc>
          <w:tcPr>
            <w:tcW w:w="2188" w:type="dxa"/>
          </w:tcPr>
          <w:p w:rsidR="00073D4D" w:rsidRPr="00A62574" w:rsidRDefault="00073D4D" w:rsidP="00073D4D">
            <w:pPr>
              <w:spacing w:before="0" w:after="0"/>
              <w:jc w:val="center"/>
              <w:rPr>
                <w:rFonts w:asciiTheme="minorHAnsi" w:hAnsiTheme="minorHAnsi" w:cs="Calibri"/>
                <w:sz w:val="20"/>
              </w:rPr>
            </w:pPr>
            <w:r w:rsidRPr="00A62574">
              <w:rPr>
                <w:rFonts w:asciiTheme="minorHAnsi" w:hAnsiTheme="minorHAnsi" w:cs="Calibri"/>
                <w:sz w:val="20"/>
              </w:rPr>
              <w:t>10.6 (n=458)</w:t>
            </w:r>
          </w:p>
        </w:tc>
      </w:tr>
      <w:tr w:rsidR="00073D4D" w:rsidRPr="00F72B3B" w:rsidTr="00073D4D">
        <w:tc>
          <w:tcPr>
            <w:tcW w:w="2268" w:type="dxa"/>
            <w:vMerge/>
            <w:tcBorders>
              <w:right w:val="single" w:sz="4" w:space="0" w:color="auto"/>
            </w:tcBorders>
          </w:tcPr>
          <w:p w:rsidR="00073D4D" w:rsidRPr="00A62574" w:rsidRDefault="00073D4D" w:rsidP="00073D4D">
            <w:pPr>
              <w:spacing w:before="0" w:after="0"/>
              <w:jc w:val="both"/>
              <w:rPr>
                <w:rFonts w:asciiTheme="minorHAnsi" w:hAnsiTheme="minorHAnsi" w:cs="Calibri"/>
                <w:sz w:val="20"/>
              </w:rPr>
            </w:pPr>
          </w:p>
        </w:tc>
        <w:tc>
          <w:tcPr>
            <w:tcW w:w="2552" w:type="dxa"/>
            <w:vMerge/>
            <w:tcBorders>
              <w:left w:val="single" w:sz="4" w:space="0" w:color="auto"/>
            </w:tcBorders>
          </w:tcPr>
          <w:p w:rsidR="00073D4D" w:rsidRPr="00A62574" w:rsidRDefault="00073D4D" w:rsidP="00073D4D">
            <w:pPr>
              <w:spacing w:before="0" w:after="0"/>
              <w:jc w:val="both"/>
              <w:rPr>
                <w:rFonts w:asciiTheme="minorHAnsi" w:hAnsiTheme="minorHAnsi" w:cs="Calibri"/>
                <w:sz w:val="20"/>
              </w:rPr>
            </w:pPr>
          </w:p>
        </w:tc>
        <w:tc>
          <w:tcPr>
            <w:tcW w:w="4314" w:type="dxa"/>
            <w:gridSpan w:val="2"/>
          </w:tcPr>
          <w:p w:rsidR="00073D4D" w:rsidRPr="00A62574" w:rsidRDefault="00073D4D" w:rsidP="00073D4D">
            <w:pPr>
              <w:spacing w:before="0" w:after="0"/>
              <w:jc w:val="center"/>
              <w:rPr>
                <w:rFonts w:asciiTheme="minorHAnsi" w:hAnsiTheme="minorHAnsi" w:cs="Calibri"/>
                <w:sz w:val="20"/>
              </w:rPr>
            </w:pPr>
            <w:r w:rsidRPr="00A62574">
              <w:rPr>
                <w:rFonts w:asciiTheme="minorHAnsi" w:hAnsiTheme="minorHAnsi" w:cs="Calibri"/>
                <w:sz w:val="20"/>
              </w:rPr>
              <w:t>HR 0.64 (0.55, 0.74), p&lt;0.0001</w:t>
            </w:r>
          </w:p>
        </w:tc>
      </w:tr>
      <w:tr w:rsidR="00073D4D" w:rsidRPr="00F72B3B" w:rsidTr="00073D4D">
        <w:tc>
          <w:tcPr>
            <w:tcW w:w="2268" w:type="dxa"/>
            <w:vMerge w:val="restart"/>
            <w:tcBorders>
              <w:right w:val="single" w:sz="4" w:space="0" w:color="auto"/>
            </w:tcBorders>
          </w:tcPr>
          <w:p w:rsidR="00073D4D" w:rsidRPr="00A62574" w:rsidRDefault="00073D4D" w:rsidP="00073D4D">
            <w:pPr>
              <w:spacing w:before="0" w:after="0"/>
              <w:jc w:val="both"/>
              <w:rPr>
                <w:rFonts w:asciiTheme="minorHAnsi" w:hAnsiTheme="minorHAnsi" w:cs="Calibri"/>
                <w:sz w:val="20"/>
              </w:rPr>
            </w:pPr>
            <w:r w:rsidRPr="00A62574">
              <w:rPr>
                <w:rFonts w:asciiTheme="minorHAnsi" w:hAnsiTheme="minorHAnsi" w:cs="Calibri"/>
                <w:sz w:val="20"/>
              </w:rPr>
              <w:t>Per-protocol population</w:t>
            </w:r>
          </w:p>
        </w:tc>
        <w:tc>
          <w:tcPr>
            <w:tcW w:w="2552" w:type="dxa"/>
            <w:vMerge w:val="restart"/>
            <w:tcBorders>
              <w:left w:val="single" w:sz="4" w:space="0" w:color="auto"/>
            </w:tcBorders>
          </w:tcPr>
          <w:p w:rsidR="00073D4D" w:rsidRPr="00A62574" w:rsidRDefault="00073D4D" w:rsidP="00073D4D">
            <w:pPr>
              <w:spacing w:before="0" w:after="0"/>
              <w:jc w:val="both"/>
              <w:rPr>
                <w:rFonts w:asciiTheme="minorHAnsi" w:hAnsiTheme="minorHAnsi" w:cs="Calibri"/>
                <w:sz w:val="20"/>
              </w:rPr>
            </w:pPr>
            <w:r w:rsidRPr="00A62574">
              <w:rPr>
                <w:rFonts w:asciiTheme="minorHAnsi" w:hAnsiTheme="minorHAnsi" w:cs="Calibri"/>
                <w:sz w:val="20"/>
              </w:rPr>
              <w:t>Median PFS, months</w:t>
            </w:r>
          </w:p>
        </w:tc>
        <w:tc>
          <w:tcPr>
            <w:tcW w:w="2126" w:type="dxa"/>
          </w:tcPr>
          <w:p w:rsidR="00073D4D" w:rsidRPr="00A62574" w:rsidRDefault="00073D4D" w:rsidP="00073D4D">
            <w:pPr>
              <w:spacing w:before="0" w:after="0"/>
              <w:jc w:val="center"/>
              <w:rPr>
                <w:rFonts w:asciiTheme="minorHAnsi" w:hAnsiTheme="minorHAnsi" w:cs="Calibri"/>
                <w:sz w:val="20"/>
              </w:rPr>
            </w:pPr>
            <w:r w:rsidRPr="00A62574">
              <w:rPr>
                <w:rFonts w:asciiTheme="minorHAnsi" w:hAnsiTheme="minorHAnsi" w:cs="Calibri"/>
                <w:sz w:val="20"/>
              </w:rPr>
              <w:t>6.2 (n=370)</w:t>
            </w:r>
          </w:p>
        </w:tc>
        <w:tc>
          <w:tcPr>
            <w:tcW w:w="2188" w:type="dxa"/>
          </w:tcPr>
          <w:p w:rsidR="00073D4D" w:rsidRPr="00A62574" w:rsidRDefault="00073D4D" w:rsidP="00073D4D">
            <w:pPr>
              <w:spacing w:before="0" w:after="0"/>
              <w:jc w:val="center"/>
              <w:rPr>
                <w:rFonts w:asciiTheme="minorHAnsi" w:hAnsiTheme="minorHAnsi" w:cs="Calibri"/>
                <w:sz w:val="20"/>
              </w:rPr>
            </w:pPr>
            <w:r w:rsidRPr="00A62574">
              <w:rPr>
                <w:rFonts w:asciiTheme="minorHAnsi" w:hAnsiTheme="minorHAnsi" w:cs="Calibri"/>
                <w:sz w:val="20"/>
              </w:rPr>
              <w:t>10.5 (n=335)</w:t>
            </w:r>
          </w:p>
        </w:tc>
      </w:tr>
      <w:tr w:rsidR="00073D4D" w:rsidRPr="00F72B3B" w:rsidTr="00073D4D">
        <w:tc>
          <w:tcPr>
            <w:tcW w:w="2268" w:type="dxa"/>
            <w:vMerge/>
            <w:tcBorders>
              <w:right w:val="single" w:sz="4" w:space="0" w:color="auto"/>
            </w:tcBorders>
          </w:tcPr>
          <w:p w:rsidR="00073D4D" w:rsidRPr="00A62574" w:rsidRDefault="00073D4D" w:rsidP="00073D4D">
            <w:pPr>
              <w:spacing w:before="0" w:after="0"/>
              <w:jc w:val="both"/>
              <w:rPr>
                <w:rFonts w:asciiTheme="minorHAnsi" w:hAnsiTheme="minorHAnsi" w:cs="Calibri"/>
                <w:sz w:val="20"/>
              </w:rPr>
            </w:pPr>
          </w:p>
        </w:tc>
        <w:tc>
          <w:tcPr>
            <w:tcW w:w="2552" w:type="dxa"/>
            <w:vMerge/>
            <w:tcBorders>
              <w:left w:val="single" w:sz="4" w:space="0" w:color="auto"/>
            </w:tcBorders>
          </w:tcPr>
          <w:p w:rsidR="00073D4D" w:rsidRPr="00A62574" w:rsidRDefault="00073D4D" w:rsidP="00073D4D">
            <w:pPr>
              <w:spacing w:before="0" w:after="0"/>
              <w:jc w:val="both"/>
              <w:rPr>
                <w:rFonts w:asciiTheme="minorHAnsi" w:hAnsiTheme="minorHAnsi" w:cs="Calibri"/>
                <w:sz w:val="20"/>
              </w:rPr>
            </w:pPr>
          </w:p>
        </w:tc>
        <w:tc>
          <w:tcPr>
            <w:tcW w:w="4314" w:type="dxa"/>
            <w:gridSpan w:val="2"/>
          </w:tcPr>
          <w:p w:rsidR="00073D4D" w:rsidRPr="00A62574" w:rsidRDefault="00073D4D" w:rsidP="00073D4D">
            <w:pPr>
              <w:spacing w:before="0" w:after="0"/>
              <w:jc w:val="center"/>
              <w:rPr>
                <w:rFonts w:asciiTheme="minorHAnsi" w:hAnsiTheme="minorHAnsi" w:cs="Calibri"/>
                <w:sz w:val="20"/>
              </w:rPr>
            </w:pPr>
            <w:r w:rsidRPr="00A62574">
              <w:rPr>
                <w:rFonts w:asciiTheme="minorHAnsi" w:hAnsiTheme="minorHAnsi" w:cs="Calibri"/>
                <w:sz w:val="20"/>
              </w:rPr>
              <w:t>HR 0.64 (0.55, 0.75), &lt;0.001</w:t>
            </w:r>
          </w:p>
        </w:tc>
      </w:tr>
    </w:tbl>
    <w:p w:rsidR="00073D4D" w:rsidRDefault="00073D4D" w:rsidP="00A62574">
      <w:pPr>
        <w:pStyle w:val="TableTitle"/>
      </w:pPr>
      <w:r>
        <w:t xml:space="preserve">Table </w:t>
      </w:r>
      <w:r w:rsidR="00AD12FE">
        <w:t>10</w:t>
      </w:r>
      <w:r w:rsidR="00B11B95">
        <w:t>.</w:t>
      </w:r>
      <w:r>
        <w:t xml:space="preserve"> Summary of overall survival</w:t>
      </w:r>
    </w:p>
    <w:tbl>
      <w:tblPr>
        <w:tblStyle w:val="TableTGAblue"/>
        <w:tblW w:w="0" w:type="auto"/>
        <w:tblInd w:w="108" w:type="dxa"/>
        <w:tblLook w:val="04A0" w:firstRow="1" w:lastRow="0" w:firstColumn="1" w:lastColumn="0" w:noHBand="0" w:noVBand="1"/>
      </w:tblPr>
      <w:tblGrid>
        <w:gridCol w:w="1756"/>
        <w:gridCol w:w="1839"/>
        <w:gridCol w:w="2541"/>
        <w:gridCol w:w="2476"/>
      </w:tblGrid>
      <w:tr w:rsidR="00073D4D" w:rsidTr="007013CE">
        <w:trPr>
          <w:cnfStyle w:val="100000000000" w:firstRow="1" w:lastRow="0" w:firstColumn="0" w:lastColumn="0" w:oddVBand="0" w:evenVBand="0" w:oddHBand="0" w:evenHBand="0" w:firstRowFirstColumn="0" w:firstRowLastColumn="0" w:lastRowFirstColumn="0" w:lastRowLastColumn="0"/>
        </w:trPr>
        <w:tc>
          <w:tcPr>
            <w:tcW w:w="3595" w:type="dxa"/>
            <w:gridSpan w:val="2"/>
          </w:tcPr>
          <w:p w:rsidR="00073D4D" w:rsidRPr="00A62574" w:rsidRDefault="00073D4D" w:rsidP="00073D4D">
            <w:pPr>
              <w:spacing w:after="0"/>
              <w:jc w:val="both"/>
              <w:rPr>
                <w:rFonts w:asciiTheme="minorHAnsi" w:hAnsiTheme="minorHAnsi"/>
              </w:rPr>
            </w:pPr>
          </w:p>
        </w:tc>
        <w:tc>
          <w:tcPr>
            <w:tcW w:w="2541" w:type="dxa"/>
          </w:tcPr>
          <w:p w:rsidR="00073D4D" w:rsidRPr="00A62574" w:rsidRDefault="00073D4D" w:rsidP="00014BEA">
            <w:pPr>
              <w:spacing w:before="0" w:after="0"/>
              <w:rPr>
                <w:rFonts w:asciiTheme="minorHAnsi" w:hAnsiTheme="minorHAnsi" w:cs="Calibri"/>
                <w:sz w:val="20"/>
              </w:rPr>
            </w:pPr>
            <w:r w:rsidRPr="00A62574">
              <w:rPr>
                <w:rFonts w:asciiTheme="minorHAnsi" w:hAnsiTheme="minorHAnsi" w:cs="Calibri"/>
                <w:sz w:val="20"/>
              </w:rPr>
              <w:t>Placebo</w:t>
            </w:r>
            <w:r w:rsidR="00014BEA">
              <w:rPr>
                <w:rFonts w:asciiTheme="minorHAnsi" w:hAnsiTheme="minorHAnsi" w:cs="Calibri"/>
                <w:sz w:val="20"/>
              </w:rPr>
              <w:t xml:space="preserve"> </w:t>
            </w:r>
            <w:r w:rsidRPr="00A62574">
              <w:rPr>
                <w:rFonts w:asciiTheme="minorHAnsi" w:hAnsiTheme="minorHAnsi" w:cs="Calibri"/>
                <w:sz w:val="20"/>
              </w:rPr>
              <w:t>radiotherapy</w:t>
            </w:r>
            <w:r w:rsidR="00014BEA">
              <w:rPr>
                <w:rFonts w:asciiTheme="minorHAnsi" w:hAnsiTheme="minorHAnsi" w:cs="Calibri"/>
                <w:sz w:val="20"/>
              </w:rPr>
              <w:t xml:space="preserve"> </w:t>
            </w:r>
            <w:proofErr w:type="spellStart"/>
            <w:r w:rsidRPr="00A62574">
              <w:rPr>
                <w:rFonts w:asciiTheme="minorHAnsi" w:hAnsiTheme="minorHAnsi" w:cs="Calibri"/>
                <w:sz w:val="20"/>
              </w:rPr>
              <w:t>temozolomide</w:t>
            </w:r>
            <w:proofErr w:type="spellEnd"/>
          </w:p>
        </w:tc>
        <w:tc>
          <w:tcPr>
            <w:tcW w:w="2476" w:type="dxa"/>
          </w:tcPr>
          <w:p w:rsidR="00073D4D" w:rsidRPr="00A62574" w:rsidRDefault="00166F6A" w:rsidP="00014BEA">
            <w:pPr>
              <w:spacing w:before="0" w:after="0"/>
              <w:rPr>
                <w:rFonts w:asciiTheme="minorHAnsi" w:hAnsiTheme="minorHAnsi" w:cs="Calibri"/>
                <w:sz w:val="20"/>
              </w:rPr>
            </w:pPr>
            <w:proofErr w:type="spellStart"/>
            <w:r>
              <w:rPr>
                <w:rFonts w:asciiTheme="minorHAnsi" w:hAnsiTheme="minorHAnsi" w:cs="Calibri"/>
                <w:sz w:val="20"/>
              </w:rPr>
              <w:t>Bevacizumab</w:t>
            </w:r>
            <w:proofErr w:type="spellEnd"/>
            <w:r w:rsidR="00014BEA">
              <w:rPr>
                <w:rFonts w:asciiTheme="minorHAnsi" w:hAnsiTheme="minorHAnsi" w:cs="Calibri"/>
                <w:sz w:val="20"/>
              </w:rPr>
              <w:t xml:space="preserve"> </w:t>
            </w:r>
            <w:r w:rsidR="00073D4D" w:rsidRPr="00A62574">
              <w:rPr>
                <w:rFonts w:asciiTheme="minorHAnsi" w:hAnsiTheme="minorHAnsi" w:cs="Calibri"/>
                <w:sz w:val="20"/>
              </w:rPr>
              <w:t>radiotherapy</w:t>
            </w:r>
            <w:r w:rsidR="00014BEA">
              <w:rPr>
                <w:rFonts w:asciiTheme="minorHAnsi" w:hAnsiTheme="minorHAnsi" w:cs="Calibri"/>
                <w:sz w:val="20"/>
              </w:rPr>
              <w:t xml:space="preserve"> </w:t>
            </w:r>
            <w:proofErr w:type="spellStart"/>
            <w:r w:rsidR="00073D4D" w:rsidRPr="00A62574">
              <w:rPr>
                <w:rFonts w:asciiTheme="minorHAnsi" w:hAnsiTheme="minorHAnsi" w:cs="Calibri"/>
                <w:sz w:val="20"/>
              </w:rPr>
              <w:t>temozolomide</w:t>
            </w:r>
            <w:proofErr w:type="spellEnd"/>
          </w:p>
        </w:tc>
      </w:tr>
      <w:tr w:rsidR="00073D4D" w:rsidTr="007013CE">
        <w:tc>
          <w:tcPr>
            <w:tcW w:w="1756" w:type="dxa"/>
            <w:vMerge w:val="restart"/>
            <w:tcBorders>
              <w:right w:val="single" w:sz="4" w:space="0" w:color="auto"/>
            </w:tcBorders>
          </w:tcPr>
          <w:p w:rsidR="00073D4D" w:rsidRPr="00A62574" w:rsidRDefault="00073D4D" w:rsidP="00073D4D">
            <w:pPr>
              <w:spacing w:before="0" w:after="0"/>
              <w:jc w:val="both"/>
              <w:rPr>
                <w:rFonts w:asciiTheme="minorHAnsi" w:hAnsiTheme="minorHAnsi" w:cs="Calibri"/>
                <w:sz w:val="20"/>
              </w:rPr>
            </w:pPr>
            <w:r w:rsidRPr="00A62574">
              <w:rPr>
                <w:rFonts w:asciiTheme="minorHAnsi" w:hAnsiTheme="minorHAnsi" w:cs="Calibri"/>
                <w:sz w:val="20"/>
              </w:rPr>
              <w:t>ITT population</w:t>
            </w:r>
          </w:p>
        </w:tc>
        <w:tc>
          <w:tcPr>
            <w:tcW w:w="1839" w:type="dxa"/>
            <w:vMerge w:val="restart"/>
            <w:tcBorders>
              <w:left w:val="single" w:sz="4" w:space="0" w:color="auto"/>
            </w:tcBorders>
          </w:tcPr>
          <w:p w:rsidR="00073D4D" w:rsidRPr="00A62574" w:rsidRDefault="00073D4D" w:rsidP="00073D4D">
            <w:pPr>
              <w:spacing w:before="0" w:after="0"/>
              <w:jc w:val="both"/>
              <w:rPr>
                <w:rFonts w:asciiTheme="minorHAnsi" w:hAnsiTheme="minorHAnsi" w:cs="Calibri"/>
                <w:sz w:val="20"/>
              </w:rPr>
            </w:pPr>
            <w:r w:rsidRPr="00A62574">
              <w:rPr>
                <w:rFonts w:asciiTheme="minorHAnsi" w:hAnsiTheme="minorHAnsi" w:cs="Calibri"/>
                <w:sz w:val="20"/>
              </w:rPr>
              <w:t>Median OS. Months</w:t>
            </w:r>
          </w:p>
        </w:tc>
        <w:tc>
          <w:tcPr>
            <w:tcW w:w="2541" w:type="dxa"/>
          </w:tcPr>
          <w:p w:rsidR="00073D4D" w:rsidRPr="00A62574" w:rsidRDefault="00073D4D" w:rsidP="00073D4D">
            <w:pPr>
              <w:spacing w:before="0" w:after="0"/>
              <w:jc w:val="center"/>
              <w:rPr>
                <w:rFonts w:asciiTheme="minorHAnsi" w:hAnsiTheme="minorHAnsi" w:cs="Calibri"/>
                <w:sz w:val="20"/>
              </w:rPr>
            </w:pPr>
            <w:r w:rsidRPr="00A62574">
              <w:rPr>
                <w:rFonts w:asciiTheme="minorHAnsi" w:hAnsiTheme="minorHAnsi" w:cs="Calibri"/>
                <w:sz w:val="20"/>
              </w:rPr>
              <w:t>16.7 (n=463)</w:t>
            </w:r>
          </w:p>
        </w:tc>
        <w:tc>
          <w:tcPr>
            <w:tcW w:w="2476" w:type="dxa"/>
          </w:tcPr>
          <w:p w:rsidR="00073D4D" w:rsidRPr="00A62574" w:rsidRDefault="00073D4D" w:rsidP="00073D4D">
            <w:pPr>
              <w:spacing w:before="0" w:after="0"/>
              <w:jc w:val="center"/>
              <w:rPr>
                <w:rFonts w:asciiTheme="minorHAnsi" w:hAnsiTheme="minorHAnsi" w:cs="Calibri"/>
                <w:sz w:val="20"/>
              </w:rPr>
            </w:pPr>
            <w:r w:rsidRPr="00A62574">
              <w:rPr>
                <w:rFonts w:asciiTheme="minorHAnsi" w:hAnsiTheme="minorHAnsi" w:cs="Calibri"/>
                <w:sz w:val="20"/>
              </w:rPr>
              <w:t>16.8 (n=458)</w:t>
            </w:r>
          </w:p>
        </w:tc>
      </w:tr>
      <w:tr w:rsidR="00073D4D" w:rsidTr="007013CE">
        <w:tc>
          <w:tcPr>
            <w:tcW w:w="1756" w:type="dxa"/>
            <w:vMerge/>
            <w:tcBorders>
              <w:right w:val="single" w:sz="4" w:space="0" w:color="auto"/>
            </w:tcBorders>
          </w:tcPr>
          <w:p w:rsidR="00073D4D" w:rsidRPr="00A62574" w:rsidRDefault="00073D4D" w:rsidP="00073D4D">
            <w:pPr>
              <w:spacing w:before="0" w:after="0"/>
              <w:jc w:val="both"/>
              <w:rPr>
                <w:rFonts w:asciiTheme="minorHAnsi" w:hAnsiTheme="minorHAnsi" w:cs="Calibri"/>
                <w:sz w:val="20"/>
              </w:rPr>
            </w:pPr>
          </w:p>
        </w:tc>
        <w:tc>
          <w:tcPr>
            <w:tcW w:w="1839" w:type="dxa"/>
            <w:vMerge/>
            <w:tcBorders>
              <w:left w:val="single" w:sz="4" w:space="0" w:color="auto"/>
            </w:tcBorders>
          </w:tcPr>
          <w:p w:rsidR="00073D4D" w:rsidRPr="00A62574" w:rsidRDefault="00073D4D" w:rsidP="00073D4D">
            <w:pPr>
              <w:spacing w:before="0" w:after="0"/>
              <w:jc w:val="both"/>
              <w:rPr>
                <w:rFonts w:asciiTheme="minorHAnsi" w:hAnsiTheme="minorHAnsi" w:cs="Calibri"/>
                <w:sz w:val="20"/>
              </w:rPr>
            </w:pPr>
          </w:p>
        </w:tc>
        <w:tc>
          <w:tcPr>
            <w:tcW w:w="5017" w:type="dxa"/>
            <w:gridSpan w:val="2"/>
          </w:tcPr>
          <w:p w:rsidR="00073D4D" w:rsidRPr="00A62574" w:rsidRDefault="00073D4D" w:rsidP="00073D4D">
            <w:pPr>
              <w:spacing w:before="0" w:after="0"/>
              <w:jc w:val="center"/>
              <w:rPr>
                <w:rFonts w:asciiTheme="minorHAnsi" w:hAnsiTheme="minorHAnsi" w:cs="Calibri"/>
                <w:sz w:val="20"/>
              </w:rPr>
            </w:pPr>
            <w:r w:rsidRPr="00A62574">
              <w:rPr>
                <w:rFonts w:asciiTheme="minorHAnsi" w:hAnsiTheme="minorHAnsi" w:cs="Calibri"/>
                <w:sz w:val="20"/>
              </w:rPr>
              <w:t>HR 0.88 (0.76, 1.02) p=0.1</w:t>
            </w:r>
          </w:p>
        </w:tc>
      </w:tr>
      <w:tr w:rsidR="00073D4D" w:rsidTr="007013CE">
        <w:tc>
          <w:tcPr>
            <w:tcW w:w="1756" w:type="dxa"/>
            <w:vMerge w:val="restart"/>
            <w:tcBorders>
              <w:right w:val="single" w:sz="4" w:space="0" w:color="auto"/>
            </w:tcBorders>
          </w:tcPr>
          <w:p w:rsidR="00073D4D" w:rsidRPr="00A62574" w:rsidRDefault="00073D4D" w:rsidP="00073D4D">
            <w:pPr>
              <w:spacing w:before="0" w:after="0"/>
              <w:jc w:val="both"/>
              <w:rPr>
                <w:rFonts w:asciiTheme="minorHAnsi" w:hAnsiTheme="minorHAnsi" w:cs="Calibri"/>
                <w:sz w:val="20"/>
              </w:rPr>
            </w:pPr>
            <w:r w:rsidRPr="00A62574">
              <w:rPr>
                <w:rFonts w:asciiTheme="minorHAnsi" w:hAnsiTheme="minorHAnsi" w:cs="Calibri"/>
                <w:sz w:val="20"/>
              </w:rPr>
              <w:t>Per-protocol population</w:t>
            </w:r>
          </w:p>
        </w:tc>
        <w:tc>
          <w:tcPr>
            <w:tcW w:w="1839" w:type="dxa"/>
            <w:vMerge w:val="restart"/>
            <w:tcBorders>
              <w:left w:val="single" w:sz="4" w:space="0" w:color="auto"/>
            </w:tcBorders>
          </w:tcPr>
          <w:p w:rsidR="00073D4D" w:rsidRPr="00A62574" w:rsidRDefault="00073D4D" w:rsidP="00073D4D">
            <w:pPr>
              <w:spacing w:before="0" w:after="0"/>
              <w:jc w:val="both"/>
              <w:rPr>
                <w:rFonts w:asciiTheme="minorHAnsi" w:hAnsiTheme="minorHAnsi" w:cs="Calibri"/>
                <w:sz w:val="20"/>
              </w:rPr>
            </w:pPr>
            <w:r w:rsidRPr="00A62574">
              <w:rPr>
                <w:rFonts w:asciiTheme="minorHAnsi" w:hAnsiTheme="minorHAnsi" w:cs="Calibri"/>
                <w:sz w:val="20"/>
              </w:rPr>
              <w:t>Median OS, months</w:t>
            </w:r>
          </w:p>
        </w:tc>
        <w:tc>
          <w:tcPr>
            <w:tcW w:w="2541" w:type="dxa"/>
          </w:tcPr>
          <w:p w:rsidR="00073D4D" w:rsidRPr="00A62574" w:rsidRDefault="00073D4D" w:rsidP="00073D4D">
            <w:pPr>
              <w:spacing w:before="0" w:after="0"/>
              <w:jc w:val="center"/>
              <w:rPr>
                <w:rFonts w:asciiTheme="minorHAnsi" w:hAnsiTheme="minorHAnsi" w:cs="Calibri"/>
                <w:sz w:val="20"/>
              </w:rPr>
            </w:pPr>
            <w:r w:rsidRPr="00A62574">
              <w:rPr>
                <w:rFonts w:asciiTheme="minorHAnsi" w:hAnsiTheme="minorHAnsi" w:cs="Calibri"/>
                <w:sz w:val="20"/>
              </w:rPr>
              <w:t>16.9 (n=331)</w:t>
            </w:r>
          </w:p>
        </w:tc>
        <w:tc>
          <w:tcPr>
            <w:tcW w:w="2476" w:type="dxa"/>
          </w:tcPr>
          <w:p w:rsidR="00073D4D" w:rsidRPr="00A62574" w:rsidRDefault="00073D4D" w:rsidP="00073D4D">
            <w:pPr>
              <w:spacing w:before="0" w:after="0"/>
              <w:jc w:val="center"/>
              <w:rPr>
                <w:rFonts w:asciiTheme="minorHAnsi" w:hAnsiTheme="minorHAnsi" w:cs="Calibri"/>
                <w:sz w:val="20"/>
              </w:rPr>
            </w:pPr>
            <w:r w:rsidRPr="00A62574">
              <w:rPr>
                <w:rFonts w:asciiTheme="minorHAnsi" w:hAnsiTheme="minorHAnsi" w:cs="Calibri"/>
                <w:sz w:val="20"/>
              </w:rPr>
              <w:t>16.8 (n=313)</w:t>
            </w:r>
          </w:p>
        </w:tc>
      </w:tr>
      <w:tr w:rsidR="00073D4D" w:rsidTr="007013CE">
        <w:tc>
          <w:tcPr>
            <w:tcW w:w="1756" w:type="dxa"/>
            <w:vMerge/>
            <w:tcBorders>
              <w:right w:val="single" w:sz="4" w:space="0" w:color="auto"/>
            </w:tcBorders>
          </w:tcPr>
          <w:p w:rsidR="00073D4D" w:rsidRPr="00A62574" w:rsidRDefault="00073D4D" w:rsidP="00073D4D">
            <w:pPr>
              <w:spacing w:before="0" w:after="0"/>
              <w:jc w:val="both"/>
              <w:rPr>
                <w:rFonts w:asciiTheme="minorHAnsi" w:hAnsiTheme="minorHAnsi" w:cs="Calibri"/>
                <w:sz w:val="20"/>
              </w:rPr>
            </w:pPr>
          </w:p>
        </w:tc>
        <w:tc>
          <w:tcPr>
            <w:tcW w:w="1839" w:type="dxa"/>
            <w:vMerge/>
            <w:tcBorders>
              <w:left w:val="single" w:sz="4" w:space="0" w:color="auto"/>
            </w:tcBorders>
          </w:tcPr>
          <w:p w:rsidR="00073D4D" w:rsidRPr="00A62574" w:rsidRDefault="00073D4D" w:rsidP="00073D4D">
            <w:pPr>
              <w:spacing w:before="0" w:after="0"/>
              <w:jc w:val="both"/>
              <w:rPr>
                <w:rFonts w:asciiTheme="minorHAnsi" w:hAnsiTheme="minorHAnsi" w:cs="Calibri"/>
                <w:sz w:val="20"/>
              </w:rPr>
            </w:pPr>
          </w:p>
        </w:tc>
        <w:tc>
          <w:tcPr>
            <w:tcW w:w="5017" w:type="dxa"/>
            <w:gridSpan w:val="2"/>
          </w:tcPr>
          <w:p w:rsidR="00073D4D" w:rsidRPr="00A62574" w:rsidRDefault="00073D4D" w:rsidP="00073D4D">
            <w:pPr>
              <w:spacing w:before="0" w:after="0"/>
              <w:jc w:val="center"/>
              <w:rPr>
                <w:rFonts w:asciiTheme="minorHAnsi" w:hAnsiTheme="minorHAnsi" w:cs="Calibri"/>
                <w:sz w:val="20"/>
              </w:rPr>
            </w:pPr>
            <w:r w:rsidRPr="00A62574">
              <w:rPr>
                <w:rFonts w:asciiTheme="minorHAnsi" w:hAnsiTheme="minorHAnsi" w:cs="Calibri"/>
                <w:sz w:val="20"/>
              </w:rPr>
              <w:t>HR 0.88 (0.75, 1.02), p=0.1</w:t>
            </w:r>
          </w:p>
        </w:tc>
      </w:tr>
    </w:tbl>
    <w:p w:rsidR="00073D4D" w:rsidRDefault="00073D4D" w:rsidP="00014BEA">
      <w:r>
        <w:t xml:space="preserve">At disease progression, in subjects that crossed over from the placebo to </w:t>
      </w:r>
      <w:proofErr w:type="spellStart"/>
      <w:r w:rsidR="00166F6A">
        <w:t>bevacizumab</w:t>
      </w:r>
      <w:proofErr w:type="spellEnd"/>
      <w:r>
        <w:t xml:space="preserve"> group, the time from disease progression to death was not different to those that had not crossed-over: HR 0.81 (0.63, 1.04), p=0.1.</w:t>
      </w:r>
    </w:p>
    <w:p w:rsidR="00073D4D" w:rsidRDefault="00073D4D" w:rsidP="00A62574">
      <w:r>
        <w:t>The CSR report states MGMT status was confirmed in 698 (76%) tr</w:t>
      </w:r>
      <w:r w:rsidR="00014BEA">
        <w:t>ial subjects.</w:t>
      </w:r>
    </w:p>
    <w:p w:rsidR="00073D4D" w:rsidRPr="00686F95" w:rsidRDefault="00073D4D" w:rsidP="00A62574">
      <w:r w:rsidRPr="00686F95">
        <w:t>Analysis by multiple Cox regression confirms a significant effect according</w:t>
      </w:r>
      <w:r>
        <w:t xml:space="preserve"> to the MGMT methylation status </w:t>
      </w:r>
      <w:r w:rsidRPr="00686F95">
        <w:t>on progression-free survival</w:t>
      </w:r>
      <w:r>
        <w:t xml:space="preserve"> from ‘positive’ status (in those that had known status</w:t>
      </w:r>
      <w:proofErr w:type="gramStart"/>
      <w:r>
        <w:t>)</w:t>
      </w:r>
      <w:r w:rsidR="007013CE">
        <w:t>-</w:t>
      </w:r>
      <w:proofErr w:type="gramEnd"/>
      <w:r w:rsidRPr="00686F95">
        <w:t xml:space="preserve"> HR 0.47 (0.39, 0.57), p&lt;0.0001</w:t>
      </w:r>
      <w:r>
        <w:t xml:space="preserve">, </w:t>
      </w:r>
      <w:r w:rsidR="007013CE">
        <w:t>that is,</w:t>
      </w:r>
      <w:r>
        <w:t xml:space="preserve"> the effect is greater than that observed from </w:t>
      </w:r>
      <w:proofErr w:type="spellStart"/>
      <w:r w:rsidR="00166F6A">
        <w:t>bevacizumab</w:t>
      </w:r>
      <w:proofErr w:type="spellEnd"/>
      <w:r>
        <w:t xml:space="preserve"> treatment. A</w:t>
      </w:r>
      <w:r w:rsidRPr="00686F95">
        <w:t xml:space="preserve"> survival benefit for </w:t>
      </w:r>
      <w:r>
        <w:t xml:space="preserve">MGMT methylation positive status was also seen </w:t>
      </w:r>
      <w:r w:rsidRPr="00686F95">
        <w:t xml:space="preserve">HR 0.37 (95% </w:t>
      </w:r>
      <w:r>
        <w:t xml:space="preserve">CI 0.30, 0.46), p&lt;0.0001, whereas none was seen for </w:t>
      </w:r>
      <w:proofErr w:type="spellStart"/>
      <w:r w:rsidR="00166F6A">
        <w:t>bevacizumab</w:t>
      </w:r>
      <w:proofErr w:type="spellEnd"/>
      <w:r>
        <w:t>. These analyses have only been reported for the ‘Intent to Treat’ population and not the per-protocol population.</w:t>
      </w:r>
    </w:p>
    <w:p w:rsidR="00073D4D" w:rsidRPr="003A42E2" w:rsidRDefault="007013CE" w:rsidP="00014BEA">
      <w:r>
        <w:t>PFS</w:t>
      </w:r>
      <w:r w:rsidR="00073D4D" w:rsidRPr="003A42E2">
        <w:t xml:space="preserve"> according to degree of surgical resection was reported for the categories of biopsy and the combined group of complete/partial resection. For subjects with biopsy only, the PFS HR was 0.81 (95% CI 0.76, 1.04) whereas that for the complete/partial resecti</w:t>
      </w:r>
      <w:r>
        <w:t>on was 0.62 (95% CI 0.54, 0.73)</w:t>
      </w:r>
      <w:r w:rsidR="00073D4D" w:rsidRPr="003A42E2">
        <w:t>.</w:t>
      </w:r>
    </w:p>
    <w:p w:rsidR="00073D4D" w:rsidRPr="003A42E2" w:rsidRDefault="00073D4D" w:rsidP="00014BEA">
      <w:r w:rsidRPr="003A42E2">
        <w:t>Overall survival in the intention to treat analysis was not different between those subjects that had biopsy only or partial resection or complete resection.</w:t>
      </w:r>
    </w:p>
    <w:p w:rsidR="00073D4D" w:rsidRDefault="00073D4D" w:rsidP="00014BEA">
      <w:pPr>
        <w:pStyle w:val="Heading6"/>
      </w:pPr>
      <w:r w:rsidRPr="00676B3C">
        <w:t>Assessment of quality of life</w:t>
      </w:r>
      <w:r>
        <w:t xml:space="preserve"> in the </w:t>
      </w:r>
      <w:r w:rsidRPr="00014BEA">
        <w:t>pivotal</w:t>
      </w:r>
      <w:r>
        <w:t xml:space="preserve"> trial</w:t>
      </w:r>
    </w:p>
    <w:p w:rsidR="00073D4D" w:rsidRPr="00676B3C" w:rsidRDefault="00073D4D" w:rsidP="00073D4D">
      <w:r>
        <w:t>Three methods were used to assess quality of life throughout the trial.</w:t>
      </w:r>
    </w:p>
    <w:p w:rsidR="00073D4D" w:rsidRPr="006E3E7A" w:rsidRDefault="00073D4D" w:rsidP="001D5E5F">
      <w:pPr>
        <w:pStyle w:val="Numberbullet0"/>
        <w:numPr>
          <w:ilvl w:val="0"/>
          <w:numId w:val="11"/>
        </w:numPr>
      </w:pPr>
      <w:r w:rsidRPr="006E3E7A">
        <w:t>Health-related quality of life</w:t>
      </w:r>
    </w:p>
    <w:p w:rsidR="00073D4D" w:rsidRPr="006E3E7A" w:rsidRDefault="00073D4D" w:rsidP="00831B80">
      <w:pPr>
        <w:pStyle w:val="Numberbullet0"/>
        <w:numPr>
          <w:ilvl w:val="0"/>
          <w:numId w:val="0"/>
        </w:numPr>
        <w:ind w:left="425"/>
      </w:pPr>
      <w:r w:rsidRPr="006E3E7A">
        <w:t>Changes in HRQoL were ass</w:t>
      </w:r>
      <w:r>
        <w:t xml:space="preserve">essed by </w:t>
      </w:r>
      <w:r w:rsidRPr="00831B80">
        <w:t xml:space="preserve">the </w:t>
      </w:r>
      <w:r w:rsidR="00831B80" w:rsidRPr="00831B80">
        <w:t>European Organization for Research and Treatment of Cancer (</w:t>
      </w:r>
      <w:r w:rsidRPr="00831B80">
        <w:t>EORTC</w:t>
      </w:r>
      <w:r w:rsidR="00831B80" w:rsidRPr="00831B80">
        <w:t>)</w:t>
      </w:r>
      <w:r w:rsidRPr="00831B80">
        <w:t xml:space="preserve"> </w:t>
      </w:r>
      <w:r w:rsidR="00831B80" w:rsidRPr="00831B80">
        <w:rPr>
          <w:lang w:val="en"/>
        </w:rPr>
        <w:t>quality of life questionnaire (</w:t>
      </w:r>
      <w:r w:rsidRPr="00831B80">
        <w:t>QLQ</w:t>
      </w:r>
      <w:r w:rsidR="00831B80">
        <w:t>)</w:t>
      </w:r>
      <w:r w:rsidRPr="00831B80">
        <w:t>-C30</w:t>
      </w:r>
      <w:r w:rsidR="00831B80" w:rsidRPr="00831B80">
        <w:footnoteReference w:id="7"/>
      </w:r>
      <w:r w:rsidRPr="00831B80">
        <w:t xml:space="preserve"> </w:t>
      </w:r>
      <w:r w:rsidR="007013CE">
        <w:t>and</w:t>
      </w:r>
      <w:r>
        <w:t xml:space="preserve"> </w:t>
      </w:r>
      <w:r w:rsidRPr="006E3E7A">
        <w:t xml:space="preserve">supplemented by </w:t>
      </w:r>
      <w:r>
        <w:t>a brain cancer specific module EORTC BN20.</w:t>
      </w:r>
      <w:r w:rsidRPr="006E3E7A">
        <w:t xml:space="preserve"> The subscales </w:t>
      </w:r>
      <w:r>
        <w:t>pre-</w:t>
      </w:r>
      <w:r w:rsidRPr="006E3E7A">
        <w:t>selected for the primary analyses of HRQoL as</w:t>
      </w:r>
      <w:r>
        <w:t xml:space="preserve"> </w:t>
      </w:r>
      <w:r w:rsidRPr="006E3E7A">
        <w:t xml:space="preserve">being those </w:t>
      </w:r>
      <w:r w:rsidR="00775109">
        <w:t>‘</w:t>
      </w:r>
      <w:r w:rsidRPr="00831B80">
        <w:rPr>
          <w:i/>
        </w:rPr>
        <w:t>considered of most relevance to the GBM study population based on clinical experience</w:t>
      </w:r>
      <w:r w:rsidR="00775109">
        <w:t>’</w:t>
      </w:r>
      <w:r w:rsidRPr="006E3E7A">
        <w:t xml:space="preserve"> were:</w:t>
      </w:r>
    </w:p>
    <w:p w:rsidR="00073D4D" w:rsidRPr="006E3E7A" w:rsidRDefault="00073D4D" w:rsidP="00014BEA">
      <w:pPr>
        <w:pStyle w:val="ListBullet2"/>
      </w:pPr>
      <w:r w:rsidRPr="006E3E7A">
        <w:t xml:space="preserve">QLQ-C30 </w:t>
      </w:r>
      <w:r w:rsidRPr="00014BEA">
        <w:t>Global</w:t>
      </w:r>
      <w:r w:rsidRPr="006E3E7A">
        <w:t xml:space="preserve"> health status/QoL</w:t>
      </w:r>
      <w:r>
        <w:t xml:space="preserve">, </w:t>
      </w:r>
      <w:r w:rsidRPr="006E3E7A">
        <w:t>Physical functioning</w:t>
      </w:r>
      <w:r>
        <w:t xml:space="preserve"> </w:t>
      </w:r>
      <w:r w:rsidR="00831B80">
        <w:t>and</w:t>
      </w:r>
      <w:r>
        <w:t xml:space="preserve"> </w:t>
      </w:r>
      <w:r w:rsidRPr="006E3E7A">
        <w:t>Social functioning</w:t>
      </w:r>
    </w:p>
    <w:p w:rsidR="00073D4D" w:rsidRDefault="00073D4D" w:rsidP="00831B80">
      <w:pPr>
        <w:pStyle w:val="ListBullet2"/>
      </w:pPr>
      <w:r w:rsidRPr="006E3E7A">
        <w:t>BN20 Motor dysfunction</w:t>
      </w:r>
      <w:r>
        <w:t xml:space="preserve"> </w:t>
      </w:r>
      <w:r w:rsidR="00831B80">
        <w:t>and</w:t>
      </w:r>
      <w:r>
        <w:t xml:space="preserve"> </w:t>
      </w:r>
      <w:r w:rsidRPr="006E3E7A">
        <w:t>Communication deficit</w:t>
      </w:r>
    </w:p>
    <w:p w:rsidR="00073D4D" w:rsidRDefault="00073D4D" w:rsidP="001D5E5F">
      <w:pPr>
        <w:pStyle w:val="Numberbullet0"/>
        <w:numPr>
          <w:ilvl w:val="0"/>
          <w:numId w:val="11"/>
        </w:numPr>
      </w:pPr>
      <w:r>
        <w:lastRenderedPageBreak/>
        <w:t>Clinical neurological assessment</w:t>
      </w:r>
    </w:p>
    <w:p w:rsidR="00073D4D" w:rsidRDefault="00073D4D" w:rsidP="001D5E5F">
      <w:pPr>
        <w:pStyle w:val="Numberbullet0"/>
        <w:numPr>
          <w:ilvl w:val="0"/>
          <w:numId w:val="11"/>
        </w:numPr>
      </w:pPr>
      <w:r>
        <w:t xml:space="preserve">Neurocognitive function </w:t>
      </w:r>
      <w:r w:rsidR="00831B80">
        <w:t>and</w:t>
      </w:r>
      <w:r>
        <w:t xml:space="preserve"> Mini mental state examination (MMSE)</w:t>
      </w:r>
    </w:p>
    <w:p w:rsidR="00073D4D" w:rsidRDefault="00073D4D" w:rsidP="00014BEA">
      <w:r>
        <w:t>The neurocognitive function sub-study employed in the trial was not available for all trial entrants.</w:t>
      </w:r>
      <w:r w:rsidR="00AB7CEC">
        <w:t xml:space="preserve"> </w:t>
      </w:r>
      <w:r>
        <w:t>This was solely for those that were in countries for which a valid translation of the assessment tool was available. Only 67 trial entrants (7% of the total) were recruited into this study and therefore the results are not representative of the randomised population and not discussed further.</w:t>
      </w:r>
    </w:p>
    <w:p w:rsidR="00073D4D" w:rsidRDefault="00073D4D" w:rsidP="00014BEA">
      <w:r>
        <w:t>MMSE remained stable, or improved, in a similar proportion of each treatment arm until disease progression. Neurological examination findings worsened at the time of disease progression in each treatment arm.</w:t>
      </w:r>
    </w:p>
    <w:p w:rsidR="00073D4D" w:rsidRDefault="00073D4D" w:rsidP="00A62574">
      <w:r>
        <w:t xml:space="preserve">Baseline HRQoL scores were similar between the two study arm and: </w:t>
      </w:r>
      <w:r w:rsidR="00775109">
        <w:t>‘</w:t>
      </w:r>
      <w:r w:rsidRPr="00105CA2">
        <w:rPr>
          <w:i/>
        </w:rPr>
        <w:t>There was no statistically significant difference between treatment arms over time</w:t>
      </w:r>
      <w:r w:rsidR="00775109">
        <w:t>’</w:t>
      </w:r>
      <w:r>
        <w:t xml:space="preserve">. Neurocognitive decline was seen at disease progression in both </w:t>
      </w:r>
      <w:r w:rsidRPr="008E75AB">
        <w:t xml:space="preserve">treatment arms </w:t>
      </w:r>
      <w:r w:rsidR="00831B80" w:rsidRPr="008E75AB">
        <w:t>(F</w:t>
      </w:r>
      <w:r w:rsidR="00B11B95" w:rsidRPr="008E75AB">
        <w:t>igure 4</w:t>
      </w:r>
      <w:r w:rsidR="00831B80" w:rsidRPr="008E75AB">
        <w:t>)</w:t>
      </w:r>
      <w:r w:rsidRPr="008E75AB">
        <w:t>.</w:t>
      </w:r>
    </w:p>
    <w:p w:rsidR="00073D4D" w:rsidRDefault="00073D4D" w:rsidP="00014BEA">
      <w:pPr>
        <w:pStyle w:val="FigureTitle"/>
      </w:pPr>
      <w:r>
        <w:t>Figure</w:t>
      </w:r>
      <w:r w:rsidR="00B11B95">
        <w:t xml:space="preserve"> 4</w:t>
      </w:r>
      <w:r w:rsidR="00B626F5">
        <w:t>.</w:t>
      </w:r>
      <w:r>
        <w:t xml:space="preserve"> Mean change from baseline in Global Health Status Score at the time of disease progression compared to </w:t>
      </w:r>
      <w:r w:rsidRPr="00014BEA">
        <w:t>prior</w:t>
      </w:r>
      <w:r>
        <w:t xml:space="preserve"> assessments (ITT population).</w:t>
      </w:r>
    </w:p>
    <w:p w:rsidR="00073D4D" w:rsidRDefault="00073D4D" w:rsidP="00073D4D">
      <w:pPr>
        <w:autoSpaceDE w:val="0"/>
        <w:autoSpaceDN w:val="0"/>
        <w:spacing w:before="0" w:after="0" w:line="240" w:lineRule="auto"/>
        <w:jc w:val="both"/>
        <w:rPr>
          <w:rFonts w:eastAsiaTheme="minorHAnsi" w:cs="ArialMT"/>
        </w:rPr>
      </w:pPr>
      <w:r>
        <w:rPr>
          <w:rFonts w:eastAsiaTheme="minorHAnsi" w:cs="ArialMT"/>
          <w:noProof/>
          <w:lang w:eastAsia="en-AU"/>
        </w:rPr>
        <w:drawing>
          <wp:inline distT="0" distB="0" distL="0" distR="0" wp14:anchorId="02B72B18" wp14:editId="47FCED71">
            <wp:extent cx="4953000" cy="3225565"/>
            <wp:effectExtent l="0" t="0" r="0" b="0"/>
            <wp:docPr id="2" name="Picture 1" descr="Figure 4. Mean change from baseline in Global Health Status Score at the time of disease progression compared to prior assessment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srcRect l="2985"/>
                    <a:stretch/>
                  </pic:blipFill>
                  <pic:spPr bwMode="auto">
                    <a:xfrm>
                      <a:off x="0" y="0"/>
                      <a:ext cx="4955243" cy="3227026"/>
                    </a:xfrm>
                    <a:prstGeom prst="rect">
                      <a:avLst/>
                    </a:prstGeom>
                    <a:noFill/>
                    <a:ln>
                      <a:noFill/>
                    </a:ln>
                    <a:extLst>
                      <a:ext uri="{53640926-AAD7-44D8-BBD7-CCE9431645EC}">
                        <a14:shadowObscured xmlns:a14="http://schemas.microsoft.com/office/drawing/2010/main"/>
                      </a:ext>
                    </a:extLst>
                  </pic:spPr>
                </pic:pic>
              </a:graphicData>
            </a:graphic>
          </wp:inline>
        </w:drawing>
      </w:r>
    </w:p>
    <w:p w:rsidR="00073D4D" w:rsidRDefault="00073D4D" w:rsidP="00014BEA">
      <w:r>
        <w:t xml:space="preserve">Furthermore, the change in </w:t>
      </w:r>
      <w:proofErr w:type="spellStart"/>
      <w:r>
        <w:t>Karnofsky</w:t>
      </w:r>
      <w:proofErr w:type="spellEnd"/>
      <w:r>
        <w:t xml:space="preserve"> performance score between baseline and time of disease progression, and post disease progression was similar between treatment groups, indicating </w:t>
      </w:r>
      <w:proofErr w:type="spellStart"/>
      <w:r w:rsidR="00166F6A">
        <w:t>bevacizumab</w:t>
      </w:r>
      <w:proofErr w:type="spellEnd"/>
      <w:r>
        <w:t xml:space="preserve"> did not slow the rate of decline</w:t>
      </w:r>
      <w:r w:rsidR="00831B80">
        <w:t xml:space="preserve"> (</w:t>
      </w:r>
      <w:r>
        <w:t xml:space="preserve">Figure </w:t>
      </w:r>
      <w:r w:rsidR="00B11B95">
        <w:t>5</w:t>
      </w:r>
      <w:r w:rsidR="00831B80">
        <w:t>)</w:t>
      </w:r>
      <w:r>
        <w:t>.</w:t>
      </w:r>
    </w:p>
    <w:p w:rsidR="00073D4D" w:rsidRPr="00CB3F95" w:rsidRDefault="00073D4D" w:rsidP="00A62574">
      <w:pPr>
        <w:pStyle w:val="FigureTitle"/>
      </w:pPr>
      <w:proofErr w:type="gramStart"/>
      <w:r w:rsidRPr="00CB3F95">
        <w:lastRenderedPageBreak/>
        <w:t xml:space="preserve">Figure </w:t>
      </w:r>
      <w:r w:rsidR="00B11B95">
        <w:t>5</w:t>
      </w:r>
      <w:r w:rsidR="00B626F5">
        <w:t>.</w:t>
      </w:r>
      <w:proofErr w:type="gramEnd"/>
      <w:r w:rsidRPr="00CB3F95">
        <w:t xml:space="preserve"> Mean </w:t>
      </w:r>
      <w:proofErr w:type="spellStart"/>
      <w:r w:rsidRPr="00CB3F95">
        <w:t>Karnofsky</w:t>
      </w:r>
      <w:proofErr w:type="spellEnd"/>
      <w:r w:rsidRPr="00CB3F95">
        <w:t xml:space="preserve"> Performance Score at disease progression and post-disease progression compared to prior assessments (ITT population).</w:t>
      </w:r>
    </w:p>
    <w:p w:rsidR="00073D4D" w:rsidRDefault="00073D4D" w:rsidP="00073D4D">
      <w:pPr>
        <w:spacing w:before="0" w:after="0"/>
        <w:rPr>
          <w:color w:val="FF0000"/>
        </w:rPr>
      </w:pPr>
      <w:r>
        <w:rPr>
          <w:noProof/>
          <w:color w:val="FF0000"/>
          <w:lang w:eastAsia="en-AU"/>
        </w:rPr>
        <w:drawing>
          <wp:inline distT="0" distB="0" distL="0" distR="0" wp14:anchorId="4D2DEAF5" wp14:editId="759BA0DA">
            <wp:extent cx="4806143" cy="3219450"/>
            <wp:effectExtent l="0" t="0" r="0" b="0"/>
            <wp:docPr id="3" name="Picture 2" descr="Figure 5. Mean Karnofsky Performance Score at disease progression and post-disease progression compared to prior assessment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4807074" cy="3220073"/>
                    </a:xfrm>
                    <a:prstGeom prst="rect">
                      <a:avLst/>
                    </a:prstGeom>
                    <a:noFill/>
                    <a:ln w="9525">
                      <a:noFill/>
                      <a:miter lim="800000"/>
                      <a:headEnd/>
                      <a:tailEnd/>
                    </a:ln>
                  </pic:spPr>
                </pic:pic>
              </a:graphicData>
            </a:graphic>
          </wp:inline>
        </w:drawing>
      </w:r>
    </w:p>
    <w:p w:rsidR="00073D4D" w:rsidRDefault="00073D4D" w:rsidP="00014BEA">
      <w:pPr>
        <w:pStyle w:val="Heading4"/>
      </w:pPr>
      <w:r w:rsidRPr="00014BEA">
        <w:t>Safety</w:t>
      </w:r>
    </w:p>
    <w:p w:rsidR="00073D4D" w:rsidRDefault="00073D4D" w:rsidP="00014BEA">
      <w:r>
        <w:t xml:space="preserve">The safety population is described in </w:t>
      </w:r>
      <w:r w:rsidR="00831B80">
        <w:t>T</w:t>
      </w:r>
      <w:r>
        <w:t xml:space="preserve">able </w:t>
      </w:r>
      <w:r w:rsidR="00B11B95">
        <w:t>1</w:t>
      </w:r>
      <w:r w:rsidR="00AD12FE">
        <w:t>1</w:t>
      </w:r>
      <w:r>
        <w:t>.</w:t>
      </w:r>
    </w:p>
    <w:p w:rsidR="00073D4D" w:rsidRDefault="00073D4D" w:rsidP="00A62574">
      <w:pPr>
        <w:pStyle w:val="TableTitle"/>
      </w:pPr>
      <w:proofErr w:type="gramStart"/>
      <w:r>
        <w:t xml:space="preserve">Table </w:t>
      </w:r>
      <w:r w:rsidR="00B11B95">
        <w:t>1</w:t>
      </w:r>
      <w:r w:rsidR="00AD12FE">
        <w:t>1</w:t>
      </w:r>
      <w:r w:rsidR="00B11B95">
        <w:t>.</w:t>
      </w:r>
      <w:proofErr w:type="gramEnd"/>
      <w:r>
        <w:t xml:space="preserve"> Updated safety population with data corrections from Section 31 report.</w:t>
      </w:r>
    </w:p>
    <w:tbl>
      <w:tblPr>
        <w:tblStyle w:val="TableTGAblue"/>
        <w:tblW w:w="0" w:type="auto"/>
        <w:tblInd w:w="108" w:type="dxa"/>
        <w:tblLayout w:type="fixed"/>
        <w:tblLook w:val="04A0" w:firstRow="1" w:lastRow="0" w:firstColumn="1" w:lastColumn="0" w:noHBand="0" w:noVBand="1"/>
      </w:tblPr>
      <w:tblGrid>
        <w:gridCol w:w="1276"/>
        <w:gridCol w:w="3969"/>
        <w:gridCol w:w="1701"/>
        <w:gridCol w:w="1666"/>
      </w:tblGrid>
      <w:tr w:rsidR="00073D4D" w:rsidRPr="00A62574" w:rsidTr="00E309ED">
        <w:trPr>
          <w:cnfStyle w:val="100000000000" w:firstRow="1" w:lastRow="0" w:firstColumn="0" w:lastColumn="0" w:oddVBand="0" w:evenVBand="0" w:oddHBand="0" w:evenHBand="0" w:firstRowFirstColumn="0" w:firstRowLastColumn="0" w:lastRowFirstColumn="0" w:lastRowLastColumn="0"/>
        </w:trPr>
        <w:tc>
          <w:tcPr>
            <w:tcW w:w="5245" w:type="dxa"/>
            <w:gridSpan w:val="2"/>
          </w:tcPr>
          <w:p w:rsidR="00073D4D" w:rsidRPr="00A62574" w:rsidRDefault="00073D4D" w:rsidP="00073D4D">
            <w:pPr>
              <w:spacing w:before="0" w:after="0"/>
              <w:rPr>
                <w:rFonts w:asciiTheme="minorHAnsi" w:hAnsiTheme="minorHAnsi" w:cs="Calibri"/>
                <w:sz w:val="20"/>
                <w:szCs w:val="20"/>
              </w:rPr>
            </w:pPr>
          </w:p>
        </w:tc>
        <w:tc>
          <w:tcPr>
            <w:tcW w:w="1701" w:type="dxa"/>
          </w:tcPr>
          <w:p w:rsidR="00014BEA" w:rsidRDefault="00073D4D" w:rsidP="00E309ED">
            <w:pPr>
              <w:spacing w:before="0" w:after="0"/>
              <w:ind w:left="34" w:right="0"/>
              <w:rPr>
                <w:rFonts w:asciiTheme="minorHAnsi" w:hAnsiTheme="minorHAnsi" w:cs="Calibri"/>
                <w:sz w:val="20"/>
                <w:szCs w:val="20"/>
              </w:rPr>
            </w:pPr>
            <w:r w:rsidRPr="00A62574">
              <w:rPr>
                <w:rFonts w:asciiTheme="minorHAnsi" w:hAnsiTheme="minorHAnsi" w:cs="Calibri"/>
                <w:sz w:val="20"/>
                <w:szCs w:val="20"/>
              </w:rPr>
              <w:t>Placebo</w:t>
            </w:r>
          </w:p>
          <w:p w:rsidR="00E309ED" w:rsidRDefault="00073D4D" w:rsidP="00E309ED">
            <w:pPr>
              <w:spacing w:before="0" w:after="0"/>
              <w:ind w:left="34" w:right="0"/>
              <w:rPr>
                <w:rFonts w:asciiTheme="minorHAnsi" w:hAnsiTheme="minorHAnsi" w:cs="Calibri"/>
                <w:sz w:val="20"/>
                <w:szCs w:val="20"/>
              </w:rPr>
            </w:pPr>
            <w:r w:rsidRPr="00A62574">
              <w:rPr>
                <w:rFonts w:asciiTheme="minorHAnsi" w:hAnsiTheme="minorHAnsi" w:cs="Calibri"/>
                <w:sz w:val="20"/>
                <w:szCs w:val="20"/>
              </w:rPr>
              <w:t>+</w:t>
            </w:r>
          </w:p>
          <w:p w:rsidR="00E309ED" w:rsidRDefault="00073D4D" w:rsidP="00E309ED">
            <w:pPr>
              <w:spacing w:before="0" w:after="0"/>
              <w:ind w:left="34" w:right="0"/>
              <w:rPr>
                <w:rFonts w:asciiTheme="minorHAnsi" w:hAnsiTheme="minorHAnsi" w:cs="Calibri"/>
                <w:sz w:val="20"/>
                <w:szCs w:val="20"/>
              </w:rPr>
            </w:pPr>
            <w:r w:rsidRPr="00A62574">
              <w:rPr>
                <w:rFonts w:asciiTheme="minorHAnsi" w:hAnsiTheme="minorHAnsi" w:cs="Calibri"/>
                <w:sz w:val="20"/>
                <w:szCs w:val="20"/>
              </w:rPr>
              <w:t>radiothera</w:t>
            </w:r>
            <w:r w:rsidR="00E309ED">
              <w:rPr>
                <w:rFonts w:asciiTheme="minorHAnsi" w:hAnsiTheme="minorHAnsi" w:cs="Calibri"/>
                <w:sz w:val="20"/>
                <w:szCs w:val="20"/>
              </w:rPr>
              <w:t>py</w:t>
            </w:r>
          </w:p>
          <w:p w:rsidR="00073D4D" w:rsidRPr="00A62574" w:rsidRDefault="00073D4D" w:rsidP="00E309ED">
            <w:pPr>
              <w:spacing w:before="0" w:after="0"/>
              <w:ind w:left="34" w:right="0"/>
              <w:rPr>
                <w:rFonts w:asciiTheme="minorHAnsi" w:hAnsiTheme="minorHAnsi" w:cs="Calibri"/>
                <w:sz w:val="20"/>
                <w:szCs w:val="20"/>
              </w:rPr>
            </w:pPr>
            <w:r w:rsidRPr="00A62574">
              <w:rPr>
                <w:rFonts w:asciiTheme="minorHAnsi" w:hAnsiTheme="minorHAnsi" w:cs="Calibri"/>
                <w:sz w:val="20"/>
                <w:szCs w:val="20"/>
              </w:rPr>
              <w:t>&amp;</w:t>
            </w:r>
          </w:p>
          <w:p w:rsidR="00073D4D" w:rsidRPr="00A62574" w:rsidRDefault="00073D4D" w:rsidP="00E309ED">
            <w:pPr>
              <w:spacing w:before="0" w:after="0"/>
              <w:ind w:left="34" w:right="0"/>
              <w:rPr>
                <w:rFonts w:asciiTheme="minorHAnsi" w:hAnsiTheme="minorHAnsi" w:cs="Calibri"/>
                <w:sz w:val="20"/>
                <w:szCs w:val="20"/>
              </w:rPr>
            </w:pPr>
            <w:proofErr w:type="spellStart"/>
            <w:r w:rsidRPr="00A62574">
              <w:rPr>
                <w:rFonts w:asciiTheme="minorHAnsi" w:hAnsiTheme="minorHAnsi" w:cs="Calibri"/>
                <w:sz w:val="20"/>
                <w:szCs w:val="20"/>
              </w:rPr>
              <w:t>temozolomide</w:t>
            </w:r>
            <w:proofErr w:type="spellEnd"/>
          </w:p>
        </w:tc>
        <w:tc>
          <w:tcPr>
            <w:tcW w:w="1666" w:type="dxa"/>
          </w:tcPr>
          <w:p w:rsidR="00073D4D" w:rsidRPr="00A62574" w:rsidRDefault="00166F6A" w:rsidP="00E309ED">
            <w:pPr>
              <w:spacing w:before="0" w:after="0"/>
              <w:ind w:left="34" w:right="0"/>
              <w:rPr>
                <w:rFonts w:asciiTheme="minorHAnsi" w:hAnsiTheme="minorHAnsi" w:cs="Calibri"/>
                <w:sz w:val="20"/>
                <w:szCs w:val="20"/>
              </w:rPr>
            </w:pPr>
            <w:proofErr w:type="spellStart"/>
            <w:r>
              <w:rPr>
                <w:rFonts w:asciiTheme="minorHAnsi" w:hAnsiTheme="minorHAnsi" w:cs="Calibri"/>
                <w:sz w:val="20"/>
                <w:szCs w:val="20"/>
              </w:rPr>
              <w:t>Bevacizumab</w:t>
            </w:r>
            <w:proofErr w:type="spellEnd"/>
          </w:p>
          <w:p w:rsidR="00E309ED" w:rsidRDefault="00E309ED" w:rsidP="00E309ED">
            <w:pPr>
              <w:spacing w:before="0" w:after="0"/>
              <w:ind w:left="34" w:right="0"/>
              <w:rPr>
                <w:rFonts w:asciiTheme="minorHAnsi" w:hAnsiTheme="minorHAnsi" w:cs="Calibri"/>
                <w:sz w:val="20"/>
                <w:szCs w:val="20"/>
              </w:rPr>
            </w:pPr>
            <w:r>
              <w:rPr>
                <w:rFonts w:asciiTheme="minorHAnsi" w:hAnsiTheme="minorHAnsi" w:cs="Calibri"/>
                <w:sz w:val="20"/>
                <w:szCs w:val="20"/>
              </w:rPr>
              <w:t>+</w:t>
            </w:r>
          </w:p>
          <w:p w:rsidR="00E309ED" w:rsidRDefault="00E309ED" w:rsidP="00E309ED">
            <w:pPr>
              <w:spacing w:before="0" w:after="0"/>
              <w:ind w:left="34" w:right="0"/>
              <w:rPr>
                <w:rFonts w:asciiTheme="minorHAnsi" w:hAnsiTheme="minorHAnsi" w:cs="Calibri"/>
                <w:sz w:val="20"/>
                <w:szCs w:val="20"/>
              </w:rPr>
            </w:pPr>
            <w:r>
              <w:rPr>
                <w:rFonts w:asciiTheme="minorHAnsi" w:hAnsiTheme="minorHAnsi" w:cs="Calibri"/>
                <w:sz w:val="20"/>
                <w:szCs w:val="20"/>
              </w:rPr>
              <w:t>Radiotherapy</w:t>
            </w:r>
          </w:p>
          <w:p w:rsidR="00073D4D" w:rsidRPr="00A62574" w:rsidRDefault="00073D4D" w:rsidP="00E309ED">
            <w:pPr>
              <w:spacing w:before="0" w:after="0"/>
              <w:ind w:left="34" w:right="0"/>
              <w:rPr>
                <w:rFonts w:asciiTheme="minorHAnsi" w:hAnsiTheme="minorHAnsi" w:cs="Calibri"/>
                <w:sz w:val="20"/>
                <w:szCs w:val="20"/>
              </w:rPr>
            </w:pPr>
            <w:r w:rsidRPr="00A62574">
              <w:rPr>
                <w:rFonts w:asciiTheme="minorHAnsi" w:hAnsiTheme="minorHAnsi" w:cs="Calibri"/>
                <w:sz w:val="20"/>
                <w:szCs w:val="20"/>
              </w:rPr>
              <w:t>&amp;</w:t>
            </w:r>
          </w:p>
          <w:p w:rsidR="00073D4D" w:rsidRPr="00A62574" w:rsidRDefault="00073D4D" w:rsidP="00E309ED">
            <w:pPr>
              <w:spacing w:before="0" w:after="0"/>
              <w:ind w:left="34" w:right="0"/>
              <w:rPr>
                <w:rFonts w:asciiTheme="minorHAnsi" w:hAnsiTheme="minorHAnsi" w:cs="Calibri"/>
                <w:sz w:val="20"/>
                <w:szCs w:val="20"/>
              </w:rPr>
            </w:pPr>
            <w:proofErr w:type="spellStart"/>
            <w:r w:rsidRPr="00A62574">
              <w:rPr>
                <w:rFonts w:asciiTheme="minorHAnsi" w:hAnsiTheme="minorHAnsi" w:cs="Calibri"/>
                <w:sz w:val="20"/>
                <w:szCs w:val="20"/>
              </w:rPr>
              <w:t>temozolomide</w:t>
            </w:r>
            <w:proofErr w:type="spellEnd"/>
          </w:p>
        </w:tc>
      </w:tr>
      <w:tr w:rsidR="00073D4D" w:rsidRPr="00A62574" w:rsidTr="00E309ED">
        <w:trPr>
          <w:trHeight w:val="471"/>
        </w:trPr>
        <w:tc>
          <w:tcPr>
            <w:tcW w:w="1276" w:type="dxa"/>
            <w:tcBorders>
              <w:right w:val="single" w:sz="4" w:space="0" w:color="auto"/>
            </w:tcBorders>
          </w:tcPr>
          <w:p w:rsidR="00073D4D" w:rsidRPr="00A62574" w:rsidRDefault="00014BEA" w:rsidP="00E309ED">
            <w:pPr>
              <w:autoSpaceDE w:val="0"/>
              <w:autoSpaceDN w:val="0"/>
              <w:spacing w:before="0" w:after="0" w:line="240" w:lineRule="auto"/>
              <w:ind w:left="34" w:right="8"/>
              <w:rPr>
                <w:rFonts w:asciiTheme="minorHAnsi" w:eastAsiaTheme="minorHAnsi" w:hAnsiTheme="minorHAnsi" w:cs="Calibri"/>
                <w:sz w:val="20"/>
                <w:szCs w:val="20"/>
                <w:lang w:eastAsia="en-US"/>
              </w:rPr>
            </w:pPr>
            <w:r>
              <w:rPr>
                <w:rFonts w:asciiTheme="minorHAnsi" w:eastAsiaTheme="minorHAnsi" w:hAnsiTheme="minorHAnsi" w:cs="Calibri"/>
                <w:b/>
                <w:sz w:val="20"/>
                <w:szCs w:val="20"/>
                <w:lang w:eastAsia="en-US"/>
              </w:rPr>
              <w:t>ITT population</w:t>
            </w:r>
          </w:p>
        </w:tc>
        <w:tc>
          <w:tcPr>
            <w:tcW w:w="3969" w:type="dxa"/>
            <w:tcBorders>
              <w:left w:val="single" w:sz="4" w:space="0" w:color="auto"/>
            </w:tcBorders>
          </w:tcPr>
          <w:p w:rsidR="00073D4D" w:rsidRPr="00A62574" w:rsidRDefault="00073D4D" w:rsidP="00E309ED">
            <w:pPr>
              <w:spacing w:before="0" w:after="0" w:line="0" w:lineRule="auto"/>
              <w:ind w:left="34" w:right="8"/>
              <w:rPr>
                <w:rFonts w:asciiTheme="minorHAnsi" w:eastAsiaTheme="minorHAnsi" w:hAnsiTheme="minorHAnsi" w:cs="Calibri"/>
                <w:sz w:val="20"/>
                <w:szCs w:val="20"/>
                <w:lang w:eastAsia="en-US"/>
              </w:rPr>
            </w:pPr>
          </w:p>
          <w:p w:rsidR="00073D4D" w:rsidRPr="00A62574" w:rsidRDefault="00073D4D" w:rsidP="00E309ED">
            <w:pPr>
              <w:spacing w:before="0" w:after="0" w:line="0" w:lineRule="auto"/>
              <w:ind w:left="34" w:right="8"/>
              <w:rPr>
                <w:rFonts w:asciiTheme="minorHAnsi" w:eastAsiaTheme="minorHAnsi" w:hAnsiTheme="minorHAnsi" w:cs="Calibri"/>
                <w:sz w:val="20"/>
                <w:szCs w:val="20"/>
                <w:lang w:eastAsia="en-US"/>
              </w:rPr>
            </w:pPr>
          </w:p>
          <w:p w:rsidR="00073D4D" w:rsidRPr="00A62574" w:rsidRDefault="00073D4D" w:rsidP="00E309ED">
            <w:pPr>
              <w:autoSpaceDE w:val="0"/>
              <w:autoSpaceDN w:val="0"/>
              <w:spacing w:before="0" w:after="0" w:line="240" w:lineRule="auto"/>
              <w:ind w:left="34" w:right="8"/>
              <w:rPr>
                <w:rFonts w:asciiTheme="minorHAnsi" w:eastAsiaTheme="minorHAnsi" w:hAnsiTheme="minorHAnsi" w:cs="Calibri"/>
                <w:sz w:val="20"/>
                <w:szCs w:val="20"/>
                <w:lang w:eastAsia="en-US"/>
              </w:rPr>
            </w:pPr>
            <w:r w:rsidRPr="00A62574">
              <w:rPr>
                <w:rFonts w:asciiTheme="minorHAnsi" w:eastAsiaTheme="minorHAnsi" w:hAnsiTheme="minorHAnsi" w:cs="Calibri"/>
                <w:sz w:val="20"/>
                <w:szCs w:val="20"/>
                <w:lang w:eastAsia="en-US"/>
              </w:rPr>
              <w:t>Patients who did not receive any treatment</w:t>
            </w:r>
          </w:p>
          <w:p w:rsidR="00073D4D" w:rsidRPr="00A62574" w:rsidRDefault="00073D4D" w:rsidP="00E309ED">
            <w:pPr>
              <w:autoSpaceDE w:val="0"/>
              <w:autoSpaceDN w:val="0"/>
              <w:spacing w:before="0" w:after="0" w:line="240" w:lineRule="auto"/>
              <w:ind w:left="34" w:right="8"/>
              <w:rPr>
                <w:rFonts w:asciiTheme="minorHAnsi" w:eastAsiaTheme="minorHAnsi" w:hAnsiTheme="minorHAnsi" w:cs="Calibri"/>
                <w:sz w:val="20"/>
                <w:szCs w:val="20"/>
                <w:lang w:eastAsia="en-US"/>
              </w:rPr>
            </w:pPr>
            <w:r w:rsidRPr="00A62574">
              <w:rPr>
                <w:rFonts w:asciiTheme="minorHAnsi" w:eastAsiaTheme="minorHAnsi" w:hAnsiTheme="minorHAnsi" w:cs="Calibri"/>
                <w:sz w:val="20"/>
                <w:szCs w:val="20"/>
                <w:lang w:eastAsia="en-US"/>
              </w:rPr>
              <w:t>Patients treated</w:t>
            </w:r>
          </w:p>
        </w:tc>
        <w:tc>
          <w:tcPr>
            <w:tcW w:w="1701" w:type="dxa"/>
          </w:tcPr>
          <w:p w:rsidR="00073D4D" w:rsidRPr="00A62574" w:rsidRDefault="00073D4D" w:rsidP="00073D4D">
            <w:pPr>
              <w:autoSpaceDE w:val="0"/>
              <w:autoSpaceDN w:val="0"/>
              <w:spacing w:before="0" w:after="0" w:line="240" w:lineRule="auto"/>
              <w:jc w:val="center"/>
              <w:rPr>
                <w:rFonts w:asciiTheme="minorHAnsi" w:eastAsiaTheme="minorHAnsi" w:hAnsiTheme="minorHAnsi" w:cs="Calibri"/>
                <w:sz w:val="20"/>
                <w:szCs w:val="20"/>
                <w:lang w:eastAsia="en-US"/>
              </w:rPr>
            </w:pPr>
            <w:r w:rsidRPr="00A62574">
              <w:rPr>
                <w:rFonts w:asciiTheme="minorHAnsi" w:eastAsiaTheme="minorHAnsi" w:hAnsiTheme="minorHAnsi" w:cs="Calibri"/>
                <w:sz w:val="20"/>
                <w:szCs w:val="20"/>
                <w:lang w:eastAsia="en-US"/>
              </w:rPr>
              <w:t>4</w:t>
            </w:r>
          </w:p>
          <w:p w:rsidR="00073D4D" w:rsidRPr="00A62574" w:rsidRDefault="00073D4D" w:rsidP="00073D4D">
            <w:pPr>
              <w:autoSpaceDE w:val="0"/>
              <w:autoSpaceDN w:val="0"/>
              <w:spacing w:before="0" w:after="0" w:line="240" w:lineRule="auto"/>
              <w:jc w:val="center"/>
              <w:rPr>
                <w:rFonts w:asciiTheme="minorHAnsi" w:eastAsiaTheme="minorHAnsi" w:hAnsiTheme="minorHAnsi" w:cs="Calibri"/>
                <w:sz w:val="20"/>
                <w:szCs w:val="20"/>
                <w:lang w:eastAsia="en-US"/>
              </w:rPr>
            </w:pPr>
            <w:r w:rsidRPr="00A62574">
              <w:rPr>
                <w:rFonts w:asciiTheme="minorHAnsi" w:eastAsiaTheme="minorHAnsi" w:hAnsiTheme="minorHAnsi" w:cs="Calibri"/>
                <w:sz w:val="20"/>
                <w:szCs w:val="20"/>
                <w:lang w:eastAsia="en-US"/>
              </w:rPr>
              <w:t>459</w:t>
            </w:r>
          </w:p>
        </w:tc>
        <w:tc>
          <w:tcPr>
            <w:tcW w:w="1666" w:type="dxa"/>
          </w:tcPr>
          <w:p w:rsidR="00073D4D" w:rsidRPr="00A62574" w:rsidRDefault="00073D4D" w:rsidP="00073D4D">
            <w:pPr>
              <w:spacing w:before="0" w:after="0"/>
              <w:jc w:val="center"/>
              <w:rPr>
                <w:rFonts w:asciiTheme="minorHAnsi" w:hAnsiTheme="minorHAnsi" w:cs="Calibri"/>
                <w:sz w:val="20"/>
                <w:szCs w:val="20"/>
              </w:rPr>
            </w:pPr>
            <w:r w:rsidRPr="00A62574">
              <w:rPr>
                <w:rFonts w:asciiTheme="minorHAnsi" w:eastAsiaTheme="minorHAnsi" w:hAnsiTheme="minorHAnsi" w:cs="Calibri"/>
                <w:sz w:val="20"/>
                <w:szCs w:val="20"/>
                <w:lang w:eastAsia="en-US"/>
              </w:rPr>
              <w:t>6</w:t>
            </w:r>
          </w:p>
          <w:p w:rsidR="00073D4D" w:rsidRPr="00A62574" w:rsidRDefault="00073D4D" w:rsidP="00073D4D">
            <w:pPr>
              <w:spacing w:before="0" w:after="0"/>
              <w:jc w:val="center"/>
              <w:rPr>
                <w:rFonts w:asciiTheme="minorHAnsi" w:hAnsiTheme="minorHAnsi" w:cs="Calibri"/>
                <w:sz w:val="20"/>
                <w:szCs w:val="20"/>
              </w:rPr>
            </w:pPr>
            <w:r w:rsidRPr="00A62574">
              <w:rPr>
                <w:rFonts w:asciiTheme="minorHAnsi" w:eastAsiaTheme="minorHAnsi" w:hAnsiTheme="minorHAnsi" w:cs="Calibri"/>
                <w:sz w:val="20"/>
                <w:szCs w:val="20"/>
                <w:lang w:eastAsia="en-US"/>
              </w:rPr>
              <w:t>452</w:t>
            </w:r>
          </w:p>
        </w:tc>
      </w:tr>
      <w:tr w:rsidR="00073D4D" w:rsidRPr="00A62574" w:rsidTr="00E309ED">
        <w:tc>
          <w:tcPr>
            <w:tcW w:w="1276" w:type="dxa"/>
            <w:tcBorders>
              <w:right w:val="single" w:sz="4" w:space="0" w:color="auto"/>
            </w:tcBorders>
          </w:tcPr>
          <w:p w:rsidR="00073D4D" w:rsidRPr="00A62574" w:rsidRDefault="00073D4D" w:rsidP="00E309ED">
            <w:pPr>
              <w:spacing w:before="0" w:after="0"/>
              <w:ind w:left="34" w:right="8"/>
              <w:rPr>
                <w:rFonts w:asciiTheme="minorHAnsi" w:hAnsiTheme="minorHAnsi" w:cs="Calibri"/>
                <w:sz w:val="20"/>
                <w:szCs w:val="20"/>
              </w:rPr>
            </w:pPr>
            <w:r w:rsidRPr="00A62574">
              <w:rPr>
                <w:rFonts w:asciiTheme="minorHAnsi" w:eastAsiaTheme="minorHAnsi" w:hAnsiTheme="minorHAnsi" w:cs="Calibri"/>
                <w:b/>
                <w:sz w:val="20"/>
                <w:szCs w:val="20"/>
                <w:lang w:eastAsia="en-US"/>
              </w:rPr>
              <w:t>Primary CSR</w:t>
            </w:r>
            <w:r w:rsidRPr="00A62574">
              <w:rPr>
                <w:rFonts w:asciiTheme="minorHAnsi" w:eastAsiaTheme="minorHAnsi" w:hAnsiTheme="minorHAnsi" w:cs="Calibri"/>
                <w:sz w:val="20"/>
                <w:szCs w:val="20"/>
                <w:lang w:eastAsia="en-US"/>
              </w:rPr>
              <w:t>*</w:t>
            </w:r>
          </w:p>
        </w:tc>
        <w:tc>
          <w:tcPr>
            <w:tcW w:w="3969" w:type="dxa"/>
            <w:tcBorders>
              <w:left w:val="single" w:sz="4" w:space="0" w:color="auto"/>
            </w:tcBorders>
          </w:tcPr>
          <w:p w:rsidR="00073D4D" w:rsidRPr="00A62574" w:rsidRDefault="00073D4D" w:rsidP="00E309ED">
            <w:pPr>
              <w:spacing w:before="0" w:after="0" w:line="0" w:lineRule="auto"/>
              <w:ind w:left="34" w:right="8"/>
              <w:rPr>
                <w:rFonts w:asciiTheme="minorHAnsi" w:hAnsiTheme="minorHAnsi" w:cs="Calibri"/>
                <w:sz w:val="20"/>
                <w:szCs w:val="20"/>
              </w:rPr>
            </w:pPr>
          </w:p>
          <w:p w:rsidR="00073D4D" w:rsidRPr="00A62574" w:rsidRDefault="00073D4D" w:rsidP="00E309ED">
            <w:pPr>
              <w:spacing w:before="0" w:after="0" w:line="0" w:lineRule="auto"/>
              <w:ind w:left="34" w:right="8"/>
              <w:rPr>
                <w:rFonts w:asciiTheme="minorHAnsi" w:hAnsiTheme="minorHAnsi" w:cs="Calibri"/>
                <w:sz w:val="20"/>
                <w:szCs w:val="20"/>
              </w:rPr>
            </w:pPr>
          </w:p>
          <w:p w:rsidR="00073D4D" w:rsidRPr="00A62574" w:rsidRDefault="00073D4D" w:rsidP="00E309ED">
            <w:pPr>
              <w:spacing w:before="0" w:after="0"/>
              <w:ind w:left="34" w:right="8"/>
              <w:rPr>
                <w:rFonts w:asciiTheme="minorHAnsi" w:eastAsiaTheme="minorHAnsi" w:hAnsiTheme="minorHAnsi" w:cs="Calibri"/>
                <w:sz w:val="20"/>
                <w:szCs w:val="20"/>
                <w:lang w:eastAsia="en-US"/>
              </w:rPr>
            </w:pPr>
            <w:r w:rsidRPr="00A62574">
              <w:rPr>
                <w:rFonts w:asciiTheme="minorHAnsi" w:eastAsiaTheme="minorHAnsi" w:hAnsiTheme="minorHAnsi" w:cs="Calibri"/>
                <w:sz w:val="20"/>
                <w:szCs w:val="20"/>
                <w:lang w:eastAsia="en-US"/>
              </w:rPr>
              <w:t>Patients receiving incorrect treatment</w:t>
            </w:r>
          </w:p>
          <w:p w:rsidR="00073D4D" w:rsidRPr="00A62574" w:rsidRDefault="00073D4D" w:rsidP="00E309ED">
            <w:pPr>
              <w:spacing w:before="0" w:after="0"/>
              <w:ind w:left="34" w:right="8"/>
              <w:rPr>
                <w:rFonts w:asciiTheme="minorHAnsi" w:hAnsiTheme="minorHAnsi" w:cs="Calibri"/>
                <w:sz w:val="20"/>
                <w:szCs w:val="20"/>
              </w:rPr>
            </w:pPr>
            <w:r w:rsidRPr="00A62574">
              <w:rPr>
                <w:rFonts w:asciiTheme="minorHAnsi" w:eastAsiaTheme="minorHAnsi" w:hAnsiTheme="minorHAnsi" w:cs="Calibri"/>
                <w:sz w:val="20"/>
                <w:szCs w:val="20"/>
                <w:lang w:eastAsia="en-US"/>
              </w:rPr>
              <w:t>Safety Population</w:t>
            </w:r>
          </w:p>
        </w:tc>
        <w:tc>
          <w:tcPr>
            <w:tcW w:w="1701" w:type="dxa"/>
          </w:tcPr>
          <w:p w:rsidR="00073D4D" w:rsidRPr="00A62574" w:rsidRDefault="00073D4D" w:rsidP="00073D4D">
            <w:pPr>
              <w:spacing w:before="0" w:after="0"/>
              <w:jc w:val="center"/>
              <w:rPr>
                <w:rFonts w:asciiTheme="minorHAnsi" w:hAnsiTheme="minorHAnsi" w:cs="Calibri"/>
                <w:sz w:val="20"/>
                <w:szCs w:val="20"/>
              </w:rPr>
            </w:pPr>
            <w:r w:rsidRPr="00A62574">
              <w:rPr>
                <w:rFonts w:asciiTheme="minorHAnsi" w:hAnsiTheme="minorHAnsi" w:cs="Calibri"/>
                <w:sz w:val="20"/>
                <w:szCs w:val="20"/>
              </w:rPr>
              <w:t>12</w:t>
            </w:r>
          </w:p>
          <w:p w:rsidR="00073D4D" w:rsidRPr="00A62574" w:rsidRDefault="00073D4D" w:rsidP="00073D4D">
            <w:pPr>
              <w:spacing w:before="0" w:after="0"/>
              <w:jc w:val="center"/>
              <w:rPr>
                <w:rFonts w:asciiTheme="minorHAnsi" w:hAnsiTheme="minorHAnsi" w:cs="Calibri"/>
                <w:sz w:val="20"/>
                <w:szCs w:val="20"/>
              </w:rPr>
            </w:pPr>
            <w:r w:rsidRPr="00A62574">
              <w:rPr>
                <w:rFonts w:asciiTheme="minorHAnsi" w:hAnsiTheme="minorHAnsi" w:cs="Calibri"/>
                <w:sz w:val="20"/>
                <w:szCs w:val="20"/>
              </w:rPr>
              <w:t>447</w:t>
            </w:r>
          </w:p>
        </w:tc>
        <w:tc>
          <w:tcPr>
            <w:tcW w:w="1666" w:type="dxa"/>
          </w:tcPr>
          <w:p w:rsidR="00073D4D" w:rsidRPr="00A62574" w:rsidRDefault="00073D4D" w:rsidP="00073D4D">
            <w:pPr>
              <w:spacing w:before="0" w:after="0"/>
              <w:jc w:val="center"/>
              <w:rPr>
                <w:rFonts w:asciiTheme="minorHAnsi" w:hAnsiTheme="minorHAnsi" w:cs="Calibri"/>
                <w:sz w:val="20"/>
                <w:szCs w:val="20"/>
              </w:rPr>
            </w:pPr>
            <w:r w:rsidRPr="00A62574">
              <w:rPr>
                <w:rFonts w:asciiTheme="minorHAnsi" w:hAnsiTheme="minorHAnsi" w:cs="Calibri"/>
                <w:sz w:val="20"/>
                <w:szCs w:val="20"/>
              </w:rPr>
              <w:t>6</w:t>
            </w:r>
          </w:p>
          <w:p w:rsidR="00073D4D" w:rsidRPr="00A62574" w:rsidRDefault="00073D4D" w:rsidP="00073D4D">
            <w:pPr>
              <w:spacing w:before="0" w:after="0"/>
              <w:jc w:val="center"/>
              <w:rPr>
                <w:rFonts w:asciiTheme="minorHAnsi" w:hAnsiTheme="minorHAnsi" w:cs="Calibri"/>
                <w:sz w:val="20"/>
                <w:szCs w:val="20"/>
              </w:rPr>
            </w:pPr>
            <w:r w:rsidRPr="00A62574">
              <w:rPr>
                <w:rFonts w:asciiTheme="minorHAnsi" w:hAnsiTheme="minorHAnsi" w:cs="Calibri"/>
                <w:sz w:val="20"/>
                <w:szCs w:val="20"/>
              </w:rPr>
              <w:t>464</w:t>
            </w:r>
          </w:p>
        </w:tc>
      </w:tr>
      <w:tr w:rsidR="00073D4D" w:rsidRPr="00A62574" w:rsidTr="00E309ED">
        <w:tc>
          <w:tcPr>
            <w:tcW w:w="1276" w:type="dxa"/>
            <w:tcBorders>
              <w:right w:val="single" w:sz="4" w:space="0" w:color="auto"/>
            </w:tcBorders>
          </w:tcPr>
          <w:p w:rsidR="00073D4D" w:rsidRPr="00A62574" w:rsidRDefault="00073D4D" w:rsidP="00E309ED">
            <w:pPr>
              <w:spacing w:before="0" w:after="0"/>
              <w:ind w:left="34" w:right="8"/>
              <w:rPr>
                <w:rFonts w:asciiTheme="minorHAnsi" w:hAnsiTheme="minorHAnsi" w:cs="Calibri"/>
                <w:sz w:val="20"/>
                <w:szCs w:val="20"/>
              </w:rPr>
            </w:pPr>
            <w:r w:rsidRPr="00A62574">
              <w:rPr>
                <w:rFonts w:asciiTheme="minorHAnsi" w:hAnsiTheme="minorHAnsi" w:cs="Calibri"/>
                <w:b/>
                <w:sz w:val="20"/>
                <w:szCs w:val="20"/>
              </w:rPr>
              <w:t>OS-update CSR</w:t>
            </w:r>
            <w:r w:rsidRPr="00A62574">
              <w:rPr>
                <w:rFonts w:asciiTheme="minorHAnsi" w:eastAsiaTheme="minorHAnsi" w:hAnsiTheme="minorHAnsi" w:cs="Imago-Medium"/>
                <w:sz w:val="20"/>
                <w:szCs w:val="20"/>
                <w:vertAlign w:val="superscript"/>
                <w:lang w:eastAsia="en-US"/>
              </w:rPr>
              <w:t>†</w:t>
            </w:r>
          </w:p>
        </w:tc>
        <w:tc>
          <w:tcPr>
            <w:tcW w:w="3969" w:type="dxa"/>
            <w:tcBorders>
              <w:left w:val="single" w:sz="4" w:space="0" w:color="auto"/>
            </w:tcBorders>
          </w:tcPr>
          <w:p w:rsidR="00073D4D" w:rsidRPr="00A62574" w:rsidRDefault="00073D4D" w:rsidP="00E309ED">
            <w:pPr>
              <w:spacing w:before="0" w:after="0" w:line="0" w:lineRule="auto"/>
              <w:ind w:left="34" w:right="8"/>
              <w:rPr>
                <w:rFonts w:asciiTheme="minorHAnsi" w:hAnsiTheme="minorHAnsi" w:cs="Calibri"/>
                <w:sz w:val="20"/>
                <w:szCs w:val="20"/>
              </w:rPr>
            </w:pPr>
          </w:p>
          <w:p w:rsidR="00073D4D" w:rsidRPr="00A62574" w:rsidRDefault="00073D4D" w:rsidP="00E309ED">
            <w:pPr>
              <w:spacing w:before="0" w:after="0" w:line="0" w:lineRule="auto"/>
              <w:ind w:left="34" w:right="8"/>
              <w:rPr>
                <w:rFonts w:asciiTheme="minorHAnsi" w:hAnsiTheme="minorHAnsi" w:cs="Calibri"/>
                <w:sz w:val="20"/>
                <w:szCs w:val="20"/>
              </w:rPr>
            </w:pPr>
          </w:p>
          <w:p w:rsidR="00073D4D" w:rsidRPr="00A62574" w:rsidRDefault="00073D4D" w:rsidP="00E309ED">
            <w:pPr>
              <w:spacing w:before="0" w:after="0"/>
              <w:ind w:left="34" w:right="8"/>
              <w:rPr>
                <w:rFonts w:asciiTheme="minorHAnsi" w:hAnsiTheme="minorHAnsi" w:cs="Calibri"/>
                <w:sz w:val="20"/>
                <w:szCs w:val="20"/>
              </w:rPr>
            </w:pPr>
            <w:r w:rsidRPr="00A62574">
              <w:rPr>
                <w:rFonts w:asciiTheme="minorHAnsi" w:hAnsiTheme="minorHAnsi" w:cs="Calibri"/>
                <w:sz w:val="20"/>
                <w:szCs w:val="20"/>
              </w:rPr>
              <w:t>Patients receiving incorrect treatment</w:t>
            </w:r>
          </w:p>
          <w:p w:rsidR="00073D4D" w:rsidRPr="00A62574" w:rsidRDefault="00073D4D" w:rsidP="00E309ED">
            <w:pPr>
              <w:spacing w:before="0" w:after="0"/>
              <w:ind w:left="34" w:right="8"/>
              <w:rPr>
                <w:rFonts w:asciiTheme="minorHAnsi" w:hAnsiTheme="minorHAnsi" w:cs="Calibri"/>
                <w:sz w:val="20"/>
                <w:szCs w:val="20"/>
              </w:rPr>
            </w:pPr>
            <w:r w:rsidRPr="00A62574">
              <w:rPr>
                <w:rFonts w:asciiTheme="minorHAnsi" w:hAnsiTheme="minorHAnsi" w:cs="Calibri"/>
                <w:sz w:val="20"/>
                <w:szCs w:val="20"/>
              </w:rPr>
              <w:t>Safety population</w:t>
            </w:r>
          </w:p>
        </w:tc>
        <w:tc>
          <w:tcPr>
            <w:tcW w:w="1701" w:type="dxa"/>
          </w:tcPr>
          <w:p w:rsidR="00073D4D" w:rsidRPr="00A62574" w:rsidRDefault="00073D4D" w:rsidP="00073D4D">
            <w:pPr>
              <w:spacing w:before="0" w:after="0"/>
              <w:jc w:val="center"/>
              <w:rPr>
                <w:rFonts w:asciiTheme="minorHAnsi" w:hAnsiTheme="minorHAnsi" w:cs="Calibri"/>
                <w:sz w:val="20"/>
                <w:szCs w:val="20"/>
              </w:rPr>
            </w:pPr>
            <w:r w:rsidRPr="00A62574">
              <w:rPr>
                <w:rFonts w:asciiTheme="minorHAnsi" w:hAnsiTheme="minorHAnsi" w:cs="Calibri"/>
                <w:sz w:val="20"/>
                <w:szCs w:val="20"/>
              </w:rPr>
              <w:t>9</w:t>
            </w:r>
          </w:p>
          <w:p w:rsidR="00073D4D" w:rsidRPr="00A62574" w:rsidRDefault="00073D4D" w:rsidP="00073D4D">
            <w:pPr>
              <w:spacing w:before="0" w:after="0"/>
              <w:jc w:val="center"/>
              <w:rPr>
                <w:rFonts w:asciiTheme="minorHAnsi" w:hAnsiTheme="minorHAnsi" w:cs="Calibri"/>
                <w:sz w:val="20"/>
                <w:szCs w:val="20"/>
              </w:rPr>
            </w:pPr>
            <w:r w:rsidRPr="00A62574">
              <w:rPr>
                <w:rFonts w:asciiTheme="minorHAnsi" w:hAnsiTheme="minorHAnsi" w:cs="Calibri"/>
                <w:sz w:val="20"/>
                <w:szCs w:val="20"/>
              </w:rPr>
              <w:t>450</w:t>
            </w:r>
          </w:p>
        </w:tc>
        <w:tc>
          <w:tcPr>
            <w:tcW w:w="1666" w:type="dxa"/>
          </w:tcPr>
          <w:p w:rsidR="00073D4D" w:rsidRPr="00A62574" w:rsidRDefault="00073D4D" w:rsidP="00073D4D">
            <w:pPr>
              <w:spacing w:before="0" w:after="0"/>
              <w:jc w:val="center"/>
              <w:rPr>
                <w:rFonts w:asciiTheme="minorHAnsi" w:hAnsiTheme="minorHAnsi" w:cs="Calibri"/>
                <w:sz w:val="20"/>
                <w:szCs w:val="20"/>
              </w:rPr>
            </w:pPr>
            <w:r w:rsidRPr="00A62574">
              <w:rPr>
                <w:rFonts w:asciiTheme="minorHAnsi" w:hAnsiTheme="minorHAnsi" w:cs="Calibri"/>
                <w:sz w:val="20"/>
                <w:szCs w:val="20"/>
              </w:rPr>
              <w:t>6</w:t>
            </w:r>
          </w:p>
          <w:p w:rsidR="00073D4D" w:rsidRPr="00A62574" w:rsidRDefault="00073D4D" w:rsidP="00073D4D">
            <w:pPr>
              <w:spacing w:before="0" w:after="0"/>
              <w:jc w:val="center"/>
              <w:rPr>
                <w:rFonts w:asciiTheme="minorHAnsi" w:hAnsiTheme="minorHAnsi" w:cs="Calibri"/>
                <w:sz w:val="20"/>
                <w:szCs w:val="20"/>
              </w:rPr>
            </w:pPr>
            <w:r w:rsidRPr="00A62574">
              <w:rPr>
                <w:rFonts w:asciiTheme="minorHAnsi" w:hAnsiTheme="minorHAnsi" w:cs="Calibri"/>
                <w:sz w:val="20"/>
                <w:szCs w:val="20"/>
              </w:rPr>
              <w:t>461</w:t>
            </w:r>
          </w:p>
        </w:tc>
      </w:tr>
    </w:tbl>
    <w:p w:rsidR="00073D4D" w:rsidRPr="00A62574" w:rsidRDefault="00073D4D" w:rsidP="00E309ED">
      <w:pPr>
        <w:pStyle w:val="TableDescription"/>
      </w:pPr>
      <w:r w:rsidRPr="00A62574">
        <w:t>* March 31, 2012 (primary PFS analysis); † February 28, 2013 (final OS analysis).</w:t>
      </w:r>
    </w:p>
    <w:p w:rsidR="00073D4D" w:rsidRDefault="00073D4D" w:rsidP="00E309ED">
      <w:pPr>
        <w:pStyle w:val="Heading5"/>
        <w:rPr>
          <w:rFonts w:eastAsiaTheme="minorHAnsi"/>
        </w:rPr>
      </w:pPr>
      <w:r w:rsidRPr="00E309ED">
        <w:rPr>
          <w:rFonts w:eastAsiaTheme="minorHAnsi"/>
        </w:rPr>
        <w:t>Exposure</w:t>
      </w:r>
      <w:r>
        <w:rPr>
          <w:rFonts w:eastAsiaTheme="minorHAnsi"/>
        </w:rPr>
        <w:t xml:space="preserve"> profile</w:t>
      </w:r>
    </w:p>
    <w:p w:rsidR="00073D4D" w:rsidRDefault="00073D4D" w:rsidP="00E309ED">
      <w:r>
        <w:t xml:space="preserve">The duration of the concurrent and maintenance phases were similar for the two treatment arms. Despite a smaller proportion of subjects receiving </w:t>
      </w:r>
      <w:r w:rsidR="00831B80">
        <w:t>≥</w:t>
      </w:r>
      <w:r>
        <w:t>1 dose of study drug in the monotherapy phase, the median duration of treatment until disease progression was higher in the placebo arm</w:t>
      </w:r>
      <w:r w:rsidR="00831B80">
        <w:t xml:space="preserve"> (Ta</w:t>
      </w:r>
      <w:r>
        <w:t xml:space="preserve">bles </w:t>
      </w:r>
      <w:r w:rsidR="00B11B95">
        <w:t>1</w:t>
      </w:r>
      <w:r w:rsidR="00AD12FE">
        <w:t>2</w:t>
      </w:r>
      <w:r w:rsidR="00B11B95">
        <w:t>, 1</w:t>
      </w:r>
      <w:r w:rsidR="00AD12FE">
        <w:t>3</w:t>
      </w:r>
      <w:r w:rsidR="00B11B95">
        <w:t xml:space="preserve"> and 1</w:t>
      </w:r>
      <w:r w:rsidR="00AD12FE">
        <w:t>4</w:t>
      </w:r>
      <w:r w:rsidR="00831B80">
        <w:t>)</w:t>
      </w:r>
      <w:r>
        <w:t>.</w:t>
      </w:r>
    </w:p>
    <w:p w:rsidR="00073D4D" w:rsidRDefault="00073D4D" w:rsidP="00E309ED">
      <w:pPr>
        <w:pStyle w:val="TableTitle"/>
      </w:pPr>
      <w:proofErr w:type="gramStart"/>
      <w:r>
        <w:lastRenderedPageBreak/>
        <w:t xml:space="preserve">Table </w:t>
      </w:r>
      <w:r w:rsidR="00B11B95">
        <w:t>1</w:t>
      </w:r>
      <w:r w:rsidR="00AD12FE">
        <w:t>2</w:t>
      </w:r>
      <w:r w:rsidR="00B11B95">
        <w:t>.</w:t>
      </w:r>
      <w:proofErr w:type="gramEnd"/>
      <w:r>
        <w:t xml:space="preserve"> </w:t>
      </w:r>
      <w:r w:rsidRPr="00E309ED">
        <w:t>Exposure</w:t>
      </w:r>
      <w:r>
        <w:t xml:space="preserve"> to </w:t>
      </w:r>
      <w:proofErr w:type="spellStart"/>
      <w:r w:rsidR="00166F6A">
        <w:t>bevacizumab</w:t>
      </w:r>
      <w:proofErr w:type="spellEnd"/>
      <w:r>
        <w:t>/placebo</w:t>
      </w:r>
    </w:p>
    <w:p w:rsidR="00073D4D" w:rsidRDefault="00073D4D" w:rsidP="00073D4D">
      <w:pPr>
        <w:autoSpaceDE w:val="0"/>
        <w:autoSpaceDN w:val="0"/>
        <w:spacing w:before="0" w:after="0" w:line="240" w:lineRule="auto"/>
        <w:rPr>
          <w:rFonts w:eastAsiaTheme="minorHAnsi" w:cs="Calibri"/>
        </w:rPr>
      </w:pPr>
      <w:r>
        <w:rPr>
          <w:rFonts w:eastAsiaTheme="minorHAnsi" w:cs="Calibri"/>
          <w:noProof/>
          <w:lang w:eastAsia="en-AU"/>
        </w:rPr>
        <w:drawing>
          <wp:inline distT="0" distB="0" distL="0" distR="0" wp14:anchorId="6E76C1F4" wp14:editId="5CFBAA18">
            <wp:extent cx="4592925" cy="3209925"/>
            <wp:effectExtent l="0" t="0" r="0" b="0"/>
            <wp:docPr id="12" name="Picture 1" descr="Table 12. Exposure to bevacizumab/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592925" cy="3209925"/>
                    </a:xfrm>
                    <a:prstGeom prst="rect">
                      <a:avLst/>
                    </a:prstGeom>
                    <a:noFill/>
                    <a:ln w="9525">
                      <a:noFill/>
                      <a:miter lim="800000"/>
                      <a:headEnd/>
                      <a:tailEnd/>
                    </a:ln>
                  </pic:spPr>
                </pic:pic>
              </a:graphicData>
            </a:graphic>
          </wp:inline>
        </w:drawing>
      </w:r>
    </w:p>
    <w:p w:rsidR="00073D4D" w:rsidRDefault="00073D4D" w:rsidP="00E309ED">
      <w:pPr>
        <w:pStyle w:val="TableTitle"/>
      </w:pPr>
      <w:r>
        <w:t xml:space="preserve">Table </w:t>
      </w:r>
      <w:r w:rsidR="00B11B95">
        <w:t>1</w:t>
      </w:r>
      <w:r w:rsidR="00AD12FE">
        <w:t>3</w:t>
      </w:r>
      <w:r w:rsidR="00B11B95">
        <w:t>.</w:t>
      </w:r>
      <w:r>
        <w:t xml:space="preserve"> </w:t>
      </w:r>
      <w:r w:rsidRPr="00E309ED">
        <w:t>Exposure</w:t>
      </w:r>
      <w:r>
        <w:t xml:space="preserve"> to radiotherapy</w:t>
      </w:r>
    </w:p>
    <w:p w:rsidR="00073D4D" w:rsidRDefault="00073D4D" w:rsidP="00073D4D">
      <w:pPr>
        <w:autoSpaceDE w:val="0"/>
        <w:autoSpaceDN w:val="0"/>
        <w:spacing w:before="0" w:after="0" w:line="240" w:lineRule="auto"/>
        <w:rPr>
          <w:rFonts w:eastAsiaTheme="minorHAnsi" w:cs="Calibri"/>
        </w:rPr>
      </w:pPr>
      <w:r>
        <w:rPr>
          <w:rFonts w:eastAsiaTheme="minorHAnsi" w:cs="Calibri"/>
          <w:noProof/>
          <w:lang w:eastAsia="en-AU"/>
        </w:rPr>
        <w:drawing>
          <wp:inline distT="0" distB="0" distL="0" distR="0" wp14:anchorId="3DB94FAF" wp14:editId="0932B4CF">
            <wp:extent cx="4638675" cy="1399150"/>
            <wp:effectExtent l="0" t="0" r="0" b="0"/>
            <wp:docPr id="13" name="Picture 2" descr="Table 13. Exposure to radi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4651463" cy="1403007"/>
                    </a:xfrm>
                    <a:prstGeom prst="rect">
                      <a:avLst/>
                    </a:prstGeom>
                    <a:noFill/>
                    <a:ln w="9525">
                      <a:noFill/>
                      <a:miter lim="800000"/>
                      <a:headEnd/>
                      <a:tailEnd/>
                    </a:ln>
                  </pic:spPr>
                </pic:pic>
              </a:graphicData>
            </a:graphic>
          </wp:inline>
        </w:drawing>
      </w:r>
    </w:p>
    <w:p w:rsidR="00073D4D" w:rsidRDefault="00073D4D" w:rsidP="00A62574">
      <w:pPr>
        <w:pStyle w:val="TableTitle"/>
      </w:pPr>
      <w:r>
        <w:t xml:space="preserve">Table </w:t>
      </w:r>
      <w:r w:rsidR="00B11B95">
        <w:t>1</w:t>
      </w:r>
      <w:r w:rsidR="00AD12FE">
        <w:t>4</w:t>
      </w:r>
      <w:r w:rsidR="00B11B95">
        <w:t>.</w:t>
      </w:r>
      <w:r>
        <w:t xml:space="preserve"> Exposure to </w:t>
      </w:r>
      <w:proofErr w:type="spellStart"/>
      <w:r>
        <w:t>temozolomide</w:t>
      </w:r>
      <w:proofErr w:type="spellEnd"/>
    </w:p>
    <w:p w:rsidR="00073D4D" w:rsidRDefault="00073D4D" w:rsidP="00073D4D">
      <w:pPr>
        <w:autoSpaceDE w:val="0"/>
        <w:autoSpaceDN w:val="0"/>
        <w:spacing w:before="0" w:after="0" w:line="240" w:lineRule="auto"/>
        <w:rPr>
          <w:rFonts w:eastAsiaTheme="minorHAnsi" w:cs="Calibri"/>
        </w:rPr>
      </w:pPr>
      <w:r>
        <w:rPr>
          <w:rFonts w:eastAsiaTheme="minorHAnsi" w:cs="Calibri"/>
          <w:noProof/>
          <w:lang w:eastAsia="en-AU"/>
        </w:rPr>
        <w:drawing>
          <wp:inline distT="0" distB="0" distL="0" distR="0" wp14:anchorId="794F2091" wp14:editId="6BA163CB">
            <wp:extent cx="4743450" cy="2476142"/>
            <wp:effectExtent l="0" t="0" r="0" b="0"/>
            <wp:docPr id="14" name="Picture 3" descr="Table 14. Exposure to temozolo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4745147" cy="2477028"/>
                    </a:xfrm>
                    <a:prstGeom prst="rect">
                      <a:avLst/>
                    </a:prstGeom>
                    <a:noFill/>
                    <a:ln w="9525">
                      <a:noFill/>
                      <a:miter lim="800000"/>
                      <a:headEnd/>
                      <a:tailEnd/>
                    </a:ln>
                  </pic:spPr>
                </pic:pic>
              </a:graphicData>
            </a:graphic>
          </wp:inline>
        </w:drawing>
      </w:r>
    </w:p>
    <w:p w:rsidR="00073D4D" w:rsidRDefault="00073D4D" w:rsidP="00E309ED">
      <w:r>
        <w:t>Adverse events excluded from the safety report were:</w:t>
      </w:r>
    </w:p>
    <w:p w:rsidR="00073D4D" w:rsidRPr="00831B80" w:rsidRDefault="00073D4D" w:rsidP="00E309ED">
      <w:pPr>
        <w:pStyle w:val="Numberbullet0"/>
        <w:numPr>
          <w:ilvl w:val="0"/>
          <w:numId w:val="7"/>
        </w:numPr>
      </w:pPr>
      <w:r w:rsidRPr="00831B80">
        <w:t xml:space="preserve">Recurrence, </w:t>
      </w:r>
      <w:r w:rsidRPr="00E309ED">
        <w:t>progression</w:t>
      </w:r>
      <w:r w:rsidRPr="00831B80">
        <w:t xml:space="preserve"> or deterioration of GBM, including new metastases or death due to disease progression.</w:t>
      </w:r>
    </w:p>
    <w:p w:rsidR="00073D4D" w:rsidRPr="00831B80" w:rsidRDefault="00073D4D" w:rsidP="00831B80">
      <w:pPr>
        <w:pStyle w:val="Numberbullet0"/>
      </w:pPr>
      <w:r w:rsidRPr="00831B80">
        <w:t>Signs and symptoms of GBM.</w:t>
      </w:r>
    </w:p>
    <w:p w:rsidR="00073D4D" w:rsidRPr="00831B80" w:rsidRDefault="00073D4D" w:rsidP="00831B80">
      <w:pPr>
        <w:pStyle w:val="Numberbullet0"/>
      </w:pPr>
      <w:r w:rsidRPr="00831B80">
        <w:lastRenderedPageBreak/>
        <w:t>Laboratory abnormalities not requiring active management</w:t>
      </w:r>
      <w:r w:rsidR="00E309ED">
        <w:t>.</w:t>
      </w:r>
    </w:p>
    <w:p w:rsidR="00073D4D" w:rsidRDefault="00831B80" w:rsidP="00E309ED">
      <w:r>
        <w:t>Adverse events (</w:t>
      </w:r>
      <w:r w:rsidR="00073D4D">
        <w:t>AEs</w:t>
      </w:r>
      <w:r>
        <w:t>)</w:t>
      </w:r>
      <w:r w:rsidR="00073D4D">
        <w:t xml:space="preserve"> were categorised according to the NCI Common Terminology Criteria for Ad</w:t>
      </w:r>
      <w:r w:rsidR="00E309ED">
        <w:t>verse Events (CTCAE) version 3.</w:t>
      </w:r>
    </w:p>
    <w:p w:rsidR="00073D4D" w:rsidRDefault="00073D4D" w:rsidP="00E309ED">
      <w:r>
        <w:t xml:space="preserve">Given the established adverse event profile of </w:t>
      </w:r>
      <w:proofErr w:type="spellStart"/>
      <w:r w:rsidR="00166F6A">
        <w:t>bevacizumab</w:t>
      </w:r>
      <w:proofErr w:type="spellEnd"/>
      <w:r>
        <w:t xml:space="preserve">, AEs of special interest were pre-defined, the results presented in </w:t>
      </w:r>
      <w:r w:rsidR="00B11B95">
        <w:t>T</w:t>
      </w:r>
      <w:r>
        <w:t xml:space="preserve">able </w:t>
      </w:r>
      <w:r w:rsidR="00B11B95">
        <w:t>1</w:t>
      </w:r>
      <w:r w:rsidR="00AD12FE">
        <w:t>5</w:t>
      </w:r>
      <w:r w:rsidR="00E309ED">
        <w:t>.</w:t>
      </w:r>
    </w:p>
    <w:p w:rsidR="00073D4D" w:rsidRDefault="00073D4D" w:rsidP="00E309ED">
      <w:pPr>
        <w:pStyle w:val="TableTitle"/>
      </w:pPr>
      <w:proofErr w:type="gramStart"/>
      <w:r>
        <w:t xml:space="preserve">Table </w:t>
      </w:r>
      <w:r w:rsidR="00B11B95">
        <w:t>1</w:t>
      </w:r>
      <w:r w:rsidR="00AD12FE">
        <w:t>5</w:t>
      </w:r>
      <w:r w:rsidR="00831B80">
        <w:t>.</w:t>
      </w:r>
      <w:proofErr w:type="gramEnd"/>
      <w:r>
        <w:t xml:space="preserve"> Adverse </w:t>
      </w:r>
      <w:r w:rsidRPr="00E309ED">
        <w:t>events</w:t>
      </w:r>
      <w:r>
        <w:t xml:space="preserve"> of special interest (safety population)</w:t>
      </w:r>
    </w:p>
    <w:tbl>
      <w:tblPr>
        <w:tblStyle w:val="TableTGAblue"/>
        <w:tblW w:w="0" w:type="auto"/>
        <w:tblLook w:val="04A0" w:firstRow="1" w:lastRow="0" w:firstColumn="1" w:lastColumn="0" w:noHBand="0" w:noVBand="1"/>
      </w:tblPr>
      <w:tblGrid>
        <w:gridCol w:w="4993"/>
        <w:gridCol w:w="1622"/>
        <w:gridCol w:w="2105"/>
      </w:tblGrid>
      <w:tr w:rsidR="00073D4D" w:rsidTr="00073D4D">
        <w:trPr>
          <w:cnfStyle w:val="100000000000" w:firstRow="1" w:lastRow="0" w:firstColumn="0" w:lastColumn="0" w:oddVBand="0" w:evenVBand="0" w:oddHBand="0" w:evenHBand="0" w:firstRowFirstColumn="0" w:firstRowLastColumn="0" w:lastRowFirstColumn="0" w:lastRowLastColumn="0"/>
        </w:trPr>
        <w:tc>
          <w:tcPr>
            <w:tcW w:w="5353" w:type="dxa"/>
          </w:tcPr>
          <w:p w:rsidR="00073D4D" w:rsidRPr="00E309ED" w:rsidRDefault="00073D4D" w:rsidP="00E309ED">
            <w:pPr>
              <w:rPr>
                <w:sz w:val="20"/>
                <w:szCs w:val="20"/>
                <w:lang w:eastAsia="en-US"/>
              </w:rPr>
            </w:pPr>
          </w:p>
        </w:tc>
        <w:tc>
          <w:tcPr>
            <w:tcW w:w="1701" w:type="dxa"/>
          </w:tcPr>
          <w:p w:rsidR="00073D4D" w:rsidRPr="00E309ED" w:rsidRDefault="00073D4D" w:rsidP="00E309ED">
            <w:pPr>
              <w:ind w:left="0" w:right="6"/>
              <w:rPr>
                <w:sz w:val="20"/>
                <w:szCs w:val="20"/>
                <w:lang w:eastAsia="en-US"/>
              </w:rPr>
            </w:pPr>
            <w:r w:rsidRPr="00E309ED">
              <w:rPr>
                <w:sz w:val="20"/>
                <w:szCs w:val="20"/>
                <w:lang w:eastAsia="en-US"/>
              </w:rPr>
              <w:t>Placebo arm</w:t>
            </w:r>
          </w:p>
        </w:tc>
        <w:tc>
          <w:tcPr>
            <w:tcW w:w="2188" w:type="dxa"/>
          </w:tcPr>
          <w:p w:rsidR="00073D4D" w:rsidRPr="00E309ED" w:rsidRDefault="00166F6A" w:rsidP="00E309ED">
            <w:pPr>
              <w:ind w:left="0" w:right="6"/>
              <w:rPr>
                <w:sz w:val="20"/>
                <w:szCs w:val="20"/>
                <w:lang w:eastAsia="en-US"/>
              </w:rPr>
            </w:pPr>
            <w:proofErr w:type="spellStart"/>
            <w:r w:rsidRPr="00E309ED">
              <w:rPr>
                <w:sz w:val="20"/>
                <w:szCs w:val="20"/>
                <w:lang w:eastAsia="en-US"/>
              </w:rPr>
              <w:t>Bevacizumab</w:t>
            </w:r>
            <w:proofErr w:type="spellEnd"/>
            <w:r w:rsidR="00073D4D" w:rsidRPr="00E309ED">
              <w:rPr>
                <w:sz w:val="20"/>
                <w:szCs w:val="20"/>
                <w:lang w:eastAsia="en-US"/>
              </w:rPr>
              <w:t xml:space="preserve"> arm</w:t>
            </w:r>
          </w:p>
        </w:tc>
      </w:tr>
      <w:tr w:rsidR="00073D4D" w:rsidTr="00073D4D">
        <w:tc>
          <w:tcPr>
            <w:tcW w:w="5353" w:type="dxa"/>
          </w:tcPr>
          <w:p w:rsidR="00073D4D" w:rsidRPr="00A62574" w:rsidRDefault="00073D4D" w:rsidP="00831B80">
            <w:pPr>
              <w:autoSpaceDE w:val="0"/>
              <w:autoSpaceDN w:val="0"/>
              <w:spacing w:before="0" w:after="0" w:line="240" w:lineRule="auto"/>
              <w:jc w:val="both"/>
              <w:rPr>
                <w:rFonts w:eastAsiaTheme="minorHAnsi" w:cs="Calibri"/>
                <w:sz w:val="20"/>
                <w:szCs w:val="20"/>
                <w:lang w:eastAsia="en-US"/>
              </w:rPr>
            </w:pPr>
            <w:r w:rsidRPr="00A62574">
              <w:rPr>
                <w:rFonts w:eastAsiaTheme="minorHAnsi" w:cs="Calibri"/>
                <w:sz w:val="20"/>
                <w:szCs w:val="20"/>
                <w:lang w:eastAsia="en-US"/>
              </w:rPr>
              <w:t>‘</w:t>
            </w:r>
            <w:r w:rsidR="00831B80">
              <w:rPr>
                <w:rFonts w:eastAsiaTheme="minorHAnsi" w:cs="Calibri"/>
                <w:sz w:val="20"/>
                <w:szCs w:val="20"/>
                <w:lang w:eastAsia="en-US"/>
              </w:rPr>
              <w:t>S</w:t>
            </w:r>
            <w:r w:rsidRPr="00A62574">
              <w:rPr>
                <w:rFonts w:eastAsiaTheme="minorHAnsi" w:cs="Calibri"/>
                <w:sz w:val="20"/>
                <w:szCs w:val="20"/>
                <w:lang w:eastAsia="en-US"/>
              </w:rPr>
              <w:t>troke events’ (cerebrovascular accident, cerebral ischaemia and cerebral infarction)</w:t>
            </w:r>
          </w:p>
        </w:tc>
        <w:tc>
          <w:tcPr>
            <w:tcW w:w="1701" w:type="dxa"/>
          </w:tcPr>
          <w:p w:rsidR="00073D4D" w:rsidRPr="00A62574" w:rsidRDefault="00073D4D" w:rsidP="00073D4D">
            <w:pPr>
              <w:autoSpaceDE w:val="0"/>
              <w:autoSpaceDN w:val="0"/>
              <w:spacing w:before="0" w:after="0" w:line="240" w:lineRule="auto"/>
              <w:jc w:val="center"/>
              <w:rPr>
                <w:rFonts w:eastAsiaTheme="minorHAnsi" w:cs="Calibri"/>
                <w:sz w:val="20"/>
                <w:szCs w:val="20"/>
                <w:lang w:eastAsia="en-US"/>
              </w:rPr>
            </w:pPr>
            <w:r w:rsidRPr="00A62574">
              <w:rPr>
                <w:rFonts w:eastAsiaTheme="minorHAnsi" w:cs="Calibri"/>
                <w:sz w:val="20"/>
                <w:szCs w:val="20"/>
                <w:lang w:eastAsia="en-US"/>
              </w:rPr>
              <w:t>1.6%</w:t>
            </w:r>
          </w:p>
        </w:tc>
        <w:tc>
          <w:tcPr>
            <w:tcW w:w="2188" w:type="dxa"/>
          </w:tcPr>
          <w:p w:rsidR="00073D4D" w:rsidRPr="00A62574" w:rsidRDefault="00073D4D" w:rsidP="00073D4D">
            <w:pPr>
              <w:autoSpaceDE w:val="0"/>
              <w:autoSpaceDN w:val="0"/>
              <w:spacing w:before="0" w:after="0" w:line="240" w:lineRule="auto"/>
              <w:jc w:val="center"/>
              <w:rPr>
                <w:rFonts w:eastAsiaTheme="minorHAnsi" w:cs="Calibri"/>
                <w:sz w:val="20"/>
                <w:szCs w:val="20"/>
                <w:lang w:eastAsia="en-US"/>
              </w:rPr>
            </w:pPr>
            <w:r w:rsidRPr="00A62574">
              <w:rPr>
                <w:rFonts w:eastAsiaTheme="minorHAnsi" w:cs="Calibri"/>
                <w:sz w:val="20"/>
                <w:szCs w:val="20"/>
                <w:lang w:eastAsia="en-US"/>
              </w:rPr>
              <w:t>5.9%</w:t>
            </w:r>
          </w:p>
        </w:tc>
      </w:tr>
      <w:tr w:rsidR="00073D4D" w:rsidTr="00073D4D">
        <w:tc>
          <w:tcPr>
            <w:tcW w:w="5353" w:type="dxa"/>
          </w:tcPr>
          <w:p w:rsidR="00073D4D" w:rsidRPr="00A62574" w:rsidRDefault="00831B80" w:rsidP="00073D4D">
            <w:pPr>
              <w:autoSpaceDE w:val="0"/>
              <w:autoSpaceDN w:val="0"/>
              <w:spacing w:before="0" w:after="0" w:line="240" w:lineRule="auto"/>
              <w:jc w:val="both"/>
              <w:rPr>
                <w:rFonts w:eastAsiaTheme="minorHAnsi" w:cs="Calibri"/>
                <w:sz w:val="20"/>
                <w:szCs w:val="20"/>
                <w:lang w:eastAsia="en-US"/>
              </w:rPr>
            </w:pPr>
            <w:r>
              <w:rPr>
                <w:rFonts w:eastAsiaTheme="minorHAnsi" w:cs="Calibri"/>
                <w:sz w:val="20"/>
                <w:szCs w:val="20"/>
                <w:lang w:eastAsia="en-US"/>
              </w:rPr>
              <w:t>S</w:t>
            </w:r>
            <w:r w:rsidR="00073D4D" w:rsidRPr="00A62574">
              <w:rPr>
                <w:rFonts w:eastAsiaTheme="minorHAnsi" w:cs="Calibri"/>
                <w:sz w:val="20"/>
                <w:szCs w:val="20"/>
                <w:lang w:eastAsia="en-US"/>
              </w:rPr>
              <w:t>erious grades of venous thromboembolism</w:t>
            </w:r>
          </w:p>
        </w:tc>
        <w:tc>
          <w:tcPr>
            <w:tcW w:w="1701" w:type="dxa"/>
          </w:tcPr>
          <w:p w:rsidR="00073D4D" w:rsidRPr="00A62574" w:rsidRDefault="00073D4D" w:rsidP="00073D4D">
            <w:pPr>
              <w:autoSpaceDE w:val="0"/>
              <w:autoSpaceDN w:val="0"/>
              <w:spacing w:before="0" w:after="0" w:line="240" w:lineRule="auto"/>
              <w:jc w:val="center"/>
              <w:rPr>
                <w:rFonts w:eastAsiaTheme="minorHAnsi" w:cs="Calibri"/>
                <w:sz w:val="20"/>
                <w:szCs w:val="20"/>
                <w:lang w:eastAsia="en-US"/>
              </w:rPr>
            </w:pPr>
            <w:r w:rsidRPr="00A62574">
              <w:rPr>
                <w:rFonts w:eastAsiaTheme="minorHAnsi" w:cs="Calibri"/>
                <w:sz w:val="20"/>
                <w:szCs w:val="20"/>
                <w:lang w:eastAsia="en-US"/>
              </w:rPr>
              <w:t>53%</w:t>
            </w:r>
          </w:p>
        </w:tc>
        <w:tc>
          <w:tcPr>
            <w:tcW w:w="2188" w:type="dxa"/>
          </w:tcPr>
          <w:p w:rsidR="00073D4D" w:rsidRPr="00A62574" w:rsidRDefault="00073D4D" w:rsidP="00073D4D">
            <w:pPr>
              <w:autoSpaceDE w:val="0"/>
              <w:autoSpaceDN w:val="0"/>
              <w:spacing w:before="0" w:after="0" w:line="240" w:lineRule="auto"/>
              <w:jc w:val="center"/>
              <w:rPr>
                <w:rFonts w:eastAsiaTheme="minorHAnsi" w:cs="Calibri"/>
                <w:sz w:val="20"/>
                <w:szCs w:val="20"/>
                <w:lang w:eastAsia="en-US"/>
              </w:rPr>
            </w:pPr>
            <w:r w:rsidRPr="00A62574">
              <w:rPr>
                <w:rFonts w:eastAsiaTheme="minorHAnsi" w:cs="Calibri"/>
                <w:sz w:val="20"/>
                <w:szCs w:val="20"/>
                <w:lang w:eastAsia="en-US"/>
              </w:rPr>
              <w:t>74%</w:t>
            </w:r>
          </w:p>
        </w:tc>
      </w:tr>
      <w:tr w:rsidR="00073D4D" w:rsidTr="00073D4D">
        <w:tc>
          <w:tcPr>
            <w:tcW w:w="5353" w:type="dxa"/>
          </w:tcPr>
          <w:p w:rsidR="00073D4D" w:rsidRPr="00A62574" w:rsidRDefault="00073D4D" w:rsidP="00073D4D">
            <w:pPr>
              <w:autoSpaceDE w:val="0"/>
              <w:autoSpaceDN w:val="0"/>
              <w:spacing w:before="0" w:after="0" w:line="240" w:lineRule="auto"/>
              <w:jc w:val="both"/>
              <w:rPr>
                <w:rFonts w:eastAsiaTheme="minorHAnsi" w:cs="Calibri"/>
                <w:sz w:val="20"/>
                <w:szCs w:val="20"/>
                <w:lang w:eastAsia="en-US"/>
              </w:rPr>
            </w:pPr>
            <w:r w:rsidRPr="00A62574">
              <w:rPr>
                <w:rFonts w:eastAsiaTheme="minorHAnsi" w:cs="Calibri"/>
                <w:sz w:val="20"/>
                <w:szCs w:val="20"/>
                <w:lang w:eastAsia="en-US"/>
              </w:rPr>
              <w:t>Congestive heart failure grade 3/4/5</w:t>
            </w:r>
          </w:p>
        </w:tc>
        <w:tc>
          <w:tcPr>
            <w:tcW w:w="1701" w:type="dxa"/>
          </w:tcPr>
          <w:p w:rsidR="00073D4D" w:rsidRPr="00A62574" w:rsidRDefault="00073D4D" w:rsidP="00073D4D">
            <w:pPr>
              <w:autoSpaceDE w:val="0"/>
              <w:autoSpaceDN w:val="0"/>
              <w:spacing w:before="0" w:after="0" w:line="240" w:lineRule="auto"/>
              <w:jc w:val="center"/>
              <w:rPr>
                <w:rFonts w:eastAsiaTheme="minorHAnsi" w:cs="Calibri"/>
                <w:sz w:val="20"/>
                <w:szCs w:val="20"/>
                <w:lang w:eastAsia="en-US"/>
              </w:rPr>
            </w:pPr>
            <w:r w:rsidRPr="00A62574">
              <w:rPr>
                <w:rFonts w:eastAsiaTheme="minorHAnsi" w:cs="Calibri"/>
                <w:sz w:val="20"/>
                <w:szCs w:val="20"/>
                <w:lang w:eastAsia="en-US"/>
              </w:rPr>
              <w:t>0</w:t>
            </w:r>
          </w:p>
        </w:tc>
        <w:tc>
          <w:tcPr>
            <w:tcW w:w="2188" w:type="dxa"/>
          </w:tcPr>
          <w:p w:rsidR="00073D4D" w:rsidRPr="00A62574" w:rsidRDefault="00073D4D" w:rsidP="00073D4D">
            <w:pPr>
              <w:autoSpaceDE w:val="0"/>
              <w:autoSpaceDN w:val="0"/>
              <w:spacing w:before="0" w:after="0" w:line="240" w:lineRule="auto"/>
              <w:jc w:val="center"/>
              <w:rPr>
                <w:rFonts w:eastAsiaTheme="minorHAnsi" w:cs="Calibri"/>
                <w:sz w:val="20"/>
                <w:szCs w:val="20"/>
                <w:lang w:eastAsia="en-US"/>
              </w:rPr>
            </w:pPr>
            <w:r w:rsidRPr="00A62574">
              <w:rPr>
                <w:rFonts w:eastAsiaTheme="minorHAnsi" w:cs="Calibri"/>
                <w:sz w:val="20"/>
                <w:szCs w:val="20"/>
                <w:lang w:eastAsia="en-US"/>
              </w:rPr>
              <w:t>0.4%</w:t>
            </w:r>
          </w:p>
        </w:tc>
      </w:tr>
      <w:tr w:rsidR="00073D4D" w:rsidTr="00073D4D">
        <w:trPr>
          <w:trHeight w:val="60"/>
        </w:trPr>
        <w:tc>
          <w:tcPr>
            <w:tcW w:w="5353" w:type="dxa"/>
          </w:tcPr>
          <w:p w:rsidR="00073D4D" w:rsidRPr="00A62574" w:rsidRDefault="00073D4D" w:rsidP="00073D4D">
            <w:pPr>
              <w:autoSpaceDE w:val="0"/>
              <w:autoSpaceDN w:val="0"/>
              <w:spacing w:before="0" w:after="0" w:line="240" w:lineRule="auto"/>
              <w:jc w:val="both"/>
              <w:rPr>
                <w:rFonts w:eastAsiaTheme="minorHAnsi" w:cs="Calibri"/>
                <w:sz w:val="20"/>
                <w:szCs w:val="20"/>
                <w:lang w:eastAsia="en-US"/>
              </w:rPr>
            </w:pPr>
            <w:r w:rsidRPr="00A62574">
              <w:rPr>
                <w:rFonts w:eastAsiaTheme="minorHAnsi" w:cs="Calibri"/>
                <w:sz w:val="20"/>
                <w:szCs w:val="20"/>
                <w:lang w:eastAsia="en-US"/>
              </w:rPr>
              <w:t>Proteinuria</w:t>
            </w:r>
          </w:p>
        </w:tc>
        <w:tc>
          <w:tcPr>
            <w:tcW w:w="1701" w:type="dxa"/>
          </w:tcPr>
          <w:p w:rsidR="00073D4D" w:rsidRPr="00A62574" w:rsidRDefault="00073D4D" w:rsidP="00073D4D">
            <w:pPr>
              <w:autoSpaceDE w:val="0"/>
              <w:autoSpaceDN w:val="0"/>
              <w:spacing w:before="0" w:after="0" w:line="240" w:lineRule="auto"/>
              <w:jc w:val="center"/>
              <w:rPr>
                <w:rFonts w:eastAsiaTheme="minorHAnsi" w:cs="Calibri"/>
                <w:sz w:val="20"/>
                <w:szCs w:val="20"/>
                <w:lang w:eastAsia="en-US"/>
              </w:rPr>
            </w:pPr>
            <w:r w:rsidRPr="00A62574">
              <w:rPr>
                <w:rFonts w:eastAsiaTheme="minorHAnsi" w:cs="Calibri"/>
                <w:sz w:val="20"/>
                <w:szCs w:val="20"/>
                <w:lang w:eastAsia="en-US"/>
              </w:rPr>
              <w:t>4.2%</w:t>
            </w:r>
          </w:p>
        </w:tc>
        <w:tc>
          <w:tcPr>
            <w:tcW w:w="2188" w:type="dxa"/>
          </w:tcPr>
          <w:p w:rsidR="00073D4D" w:rsidRPr="00A62574" w:rsidRDefault="00073D4D" w:rsidP="00073D4D">
            <w:pPr>
              <w:autoSpaceDE w:val="0"/>
              <w:autoSpaceDN w:val="0"/>
              <w:spacing w:before="0" w:after="0" w:line="240" w:lineRule="auto"/>
              <w:jc w:val="center"/>
              <w:rPr>
                <w:rFonts w:eastAsiaTheme="minorHAnsi" w:cs="Calibri"/>
                <w:sz w:val="20"/>
                <w:szCs w:val="20"/>
                <w:lang w:eastAsia="en-US"/>
              </w:rPr>
            </w:pPr>
            <w:r w:rsidRPr="00A62574">
              <w:rPr>
                <w:rFonts w:eastAsiaTheme="minorHAnsi" w:cs="Calibri"/>
                <w:sz w:val="20"/>
                <w:szCs w:val="20"/>
                <w:lang w:eastAsia="en-US"/>
              </w:rPr>
              <w:t>15.6%</w:t>
            </w:r>
          </w:p>
        </w:tc>
      </w:tr>
      <w:tr w:rsidR="00073D4D" w:rsidTr="00073D4D">
        <w:tc>
          <w:tcPr>
            <w:tcW w:w="5353" w:type="dxa"/>
          </w:tcPr>
          <w:p w:rsidR="00073D4D" w:rsidRPr="00A62574" w:rsidRDefault="00073D4D" w:rsidP="00073D4D">
            <w:pPr>
              <w:autoSpaceDE w:val="0"/>
              <w:autoSpaceDN w:val="0"/>
              <w:spacing w:before="0" w:after="0" w:line="240" w:lineRule="auto"/>
              <w:jc w:val="both"/>
              <w:rPr>
                <w:rFonts w:eastAsiaTheme="minorHAnsi" w:cs="Calibri"/>
                <w:sz w:val="20"/>
                <w:szCs w:val="20"/>
                <w:lang w:eastAsia="en-US"/>
              </w:rPr>
            </w:pPr>
            <w:r w:rsidRPr="00A62574">
              <w:rPr>
                <w:rFonts w:eastAsiaTheme="minorHAnsi" w:cs="Calibri"/>
                <w:sz w:val="20"/>
                <w:szCs w:val="20"/>
                <w:lang w:eastAsia="en-US"/>
              </w:rPr>
              <w:t>Haemorrhage – cerebral grade 3/4/5</w:t>
            </w:r>
          </w:p>
          <w:p w:rsidR="00073D4D" w:rsidRPr="00A62574" w:rsidRDefault="00073D4D" w:rsidP="00073D4D">
            <w:pPr>
              <w:autoSpaceDE w:val="0"/>
              <w:autoSpaceDN w:val="0"/>
              <w:spacing w:before="0" w:after="0" w:line="240" w:lineRule="auto"/>
              <w:jc w:val="both"/>
              <w:rPr>
                <w:rFonts w:eastAsiaTheme="minorHAnsi" w:cs="Calibri"/>
                <w:sz w:val="20"/>
                <w:szCs w:val="20"/>
                <w:lang w:eastAsia="en-US"/>
              </w:rPr>
            </w:pPr>
            <w:r w:rsidRPr="00A62574">
              <w:rPr>
                <w:rFonts w:eastAsiaTheme="minorHAnsi" w:cs="Calibri"/>
                <w:sz w:val="20"/>
                <w:szCs w:val="20"/>
                <w:lang w:eastAsia="en-US"/>
              </w:rPr>
              <w:t>Haemorrhage – ‘other’ grade 3/4/5</w:t>
            </w:r>
          </w:p>
        </w:tc>
        <w:tc>
          <w:tcPr>
            <w:tcW w:w="1701" w:type="dxa"/>
          </w:tcPr>
          <w:p w:rsidR="00073D4D" w:rsidRPr="00A62574" w:rsidRDefault="00073D4D" w:rsidP="00073D4D">
            <w:pPr>
              <w:autoSpaceDE w:val="0"/>
              <w:autoSpaceDN w:val="0"/>
              <w:spacing w:before="0" w:after="0" w:line="240" w:lineRule="auto"/>
              <w:jc w:val="center"/>
              <w:rPr>
                <w:rFonts w:eastAsiaTheme="minorHAnsi" w:cs="Calibri"/>
                <w:sz w:val="20"/>
                <w:szCs w:val="20"/>
                <w:lang w:eastAsia="en-US"/>
              </w:rPr>
            </w:pPr>
            <w:r w:rsidRPr="00A62574">
              <w:rPr>
                <w:rFonts w:eastAsiaTheme="minorHAnsi" w:cs="Calibri"/>
                <w:sz w:val="20"/>
                <w:szCs w:val="20"/>
                <w:lang w:eastAsia="en-US"/>
              </w:rPr>
              <w:t>0.9%</w:t>
            </w:r>
          </w:p>
          <w:p w:rsidR="00073D4D" w:rsidRPr="00A62574" w:rsidRDefault="00073D4D" w:rsidP="00073D4D">
            <w:pPr>
              <w:autoSpaceDE w:val="0"/>
              <w:autoSpaceDN w:val="0"/>
              <w:spacing w:before="0" w:after="0" w:line="240" w:lineRule="auto"/>
              <w:jc w:val="center"/>
              <w:rPr>
                <w:rFonts w:eastAsiaTheme="minorHAnsi" w:cs="Calibri"/>
                <w:sz w:val="20"/>
                <w:szCs w:val="20"/>
                <w:lang w:eastAsia="en-US"/>
              </w:rPr>
            </w:pPr>
            <w:r w:rsidRPr="00A62574">
              <w:rPr>
                <w:rFonts w:eastAsiaTheme="minorHAnsi" w:cs="Calibri"/>
                <w:sz w:val="20"/>
                <w:szCs w:val="20"/>
                <w:lang w:eastAsia="en-US"/>
              </w:rPr>
              <w:t>0.9%</w:t>
            </w:r>
          </w:p>
        </w:tc>
        <w:tc>
          <w:tcPr>
            <w:tcW w:w="2188" w:type="dxa"/>
          </w:tcPr>
          <w:p w:rsidR="00073D4D" w:rsidRPr="00A62574" w:rsidRDefault="00073D4D" w:rsidP="00073D4D">
            <w:pPr>
              <w:autoSpaceDE w:val="0"/>
              <w:autoSpaceDN w:val="0"/>
              <w:spacing w:before="0" w:after="0" w:line="240" w:lineRule="auto"/>
              <w:jc w:val="center"/>
              <w:rPr>
                <w:rFonts w:eastAsiaTheme="minorHAnsi" w:cs="Calibri"/>
                <w:sz w:val="20"/>
                <w:szCs w:val="20"/>
                <w:lang w:eastAsia="en-US"/>
              </w:rPr>
            </w:pPr>
            <w:r w:rsidRPr="00A62574">
              <w:rPr>
                <w:rFonts w:eastAsiaTheme="minorHAnsi" w:cs="Calibri"/>
                <w:sz w:val="20"/>
                <w:szCs w:val="20"/>
                <w:lang w:eastAsia="en-US"/>
              </w:rPr>
              <w:t>2%</w:t>
            </w:r>
          </w:p>
          <w:p w:rsidR="00073D4D" w:rsidRPr="00A62574" w:rsidRDefault="00073D4D" w:rsidP="00073D4D">
            <w:pPr>
              <w:autoSpaceDE w:val="0"/>
              <w:autoSpaceDN w:val="0"/>
              <w:spacing w:before="0" w:after="0" w:line="240" w:lineRule="auto"/>
              <w:jc w:val="center"/>
              <w:rPr>
                <w:rFonts w:eastAsiaTheme="minorHAnsi" w:cs="Calibri"/>
                <w:sz w:val="20"/>
                <w:szCs w:val="20"/>
                <w:lang w:eastAsia="en-US"/>
              </w:rPr>
            </w:pPr>
            <w:r w:rsidRPr="00A62574">
              <w:rPr>
                <w:rFonts w:eastAsiaTheme="minorHAnsi" w:cs="Calibri"/>
                <w:sz w:val="20"/>
                <w:szCs w:val="20"/>
                <w:lang w:eastAsia="en-US"/>
              </w:rPr>
              <w:t>1.3%</w:t>
            </w:r>
          </w:p>
        </w:tc>
      </w:tr>
      <w:tr w:rsidR="00073D4D" w:rsidTr="00073D4D">
        <w:tc>
          <w:tcPr>
            <w:tcW w:w="5353" w:type="dxa"/>
          </w:tcPr>
          <w:p w:rsidR="00073D4D" w:rsidRPr="00A62574" w:rsidRDefault="00073D4D" w:rsidP="00073D4D">
            <w:pPr>
              <w:autoSpaceDE w:val="0"/>
              <w:autoSpaceDN w:val="0"/>
              <w:spacing w:before="0" w:after="0" w:line="240" w:lineRule="auto"/>
              <w:jc w:val="both"/>
              <w:rPr>
                <w:rFonts w:eastAsiaTheme="minorHAnsi" w:cs="Calibri"/>
                <w:sz w:val="20"/>
                <w:szCs w:val="20"/>
                <w:lang w:eastAsia="en-US"/>
              </w:rPr>
            </w:pPr>
            <w:r w:rsidRPr="00A62574">
              <w:rPr>
                <w:rFonts w:eastAsiaTheme="minorHAnsi" w:cs="Calibri"/>
                <w:sz w:val="20"/>
                <w:szCs w:val="20"/>
                <w:lang w:eastAsia="en-US"/>
              </w:rPr>
              <w:t>Wound healing complications grade 3/4/5</w:t>
            </w:r>
          </w:p>
        </w:tc>
        <w:tc>
          <w:tcPr>
            <w:tcW w:w="1701" w:type="dxa"/>
          </w:tcPr>
          <w:p w:rsidR="00073D4D" w:rsidRPr="00A62574" w:rsidRDefault="00073D4D" w:rsidP="00073D4D">
            <w:pPr>
              <w:autoSpaceDE w:val="0"/>
              <w:autoSpaceDN w:val="0"/>
              <w:spacing w:before="0" w:after="0" w:line="240" w:lineRule="auto"/>
              <w:jc w:val="center"/>
              <w:rPr>
                <w:rFonts w:eastAsiaTheme="minorHAnsi" w:cs="Calibri"/>
                <w:sz w:val="20"/>
                <w:szCs w:val="20"/>
                <w:lang w:eastAsia="en-US"/>
              </w:rPr>
            </w:pPr>
            <w:r w:rsidRPr="00A62574">
              <w:rPr>
                <w:rFonts w:eastAsiaTheme="minorHAnsi" w:cs="Calibri"/>
                <w:sz w:val="20"/>
                <w:szCs w:val="20"/>
                <w:lang w:eastAsia="en-US"/>
              </w:rPr>
              <w:t>1.6%</w:t>
            </w:r>
          </w:p>
        </w:tc>
        <w:tc>
          <w:tcPr>
            <w:tcW w:w="2188" w:type="dxa"/>
          </w:tcPr>
          <w:p w:rsidR="00073D4D" w:rsidRPr="00A62574" w:rsidRDefault="00073D4D" w:rsidP="00073D4D">
            <w:pPr>
              <w:autoSpaceDE w:val="0"/>
              <w:autoSpaceDN w:val="0"/>
              <w:spacing w:before="0" w:after="0" w:line="240" w:lineRule="auto"/>
              <w:jc w:val="center"/>
              <w:rPr>
                <w:rFonts w:eastAsiaTheme="minorHAnsi" w:cs="Calibri"/>
                <w:sz w:val="20"/>
                <w:szCs w:val="20"/>
                <w:lang w:eastAsia="en-US"/>
              </w:rPr>
            </w:pPr>
            <w:r w:rsidRPr="00A62574">
              <w:rPr>
                <w:rFonts w:eastAsiaTheme="minorHAnsi" w:cs="Calibri"/>
                <w:sz w:val="20"/>
                <w:szCs w:val="20"/>
                <w:lang w:eastAsia="en-US"/>
              </w:rPr>
              <w:t>3.3%</w:t>
            </w:r>
          </w:p>
        </w:tc>
      </w:tr>
      <w:tr w:rsidR="00073D4D" w:rsidTr="00073D4D">
        <w:tc>
          <w:tcPr>
            <w:tcW w:w="5353" w:type="dxa"/>
          </w:tcPr>
          <w:p w:rsidR="00073D4D" w:rsidRPr="00A62574" w:rsidRDefault="00073D4D" w:rsidP="00073D4D">
            <w:pPr>
              <w:autoSpaceDE w:val="0"/>
              <w:autoSpaceDN w:val="0"/>
              <w:spacing w:before="0" w:after="0" w:line="240" w:lineRule="auto"/>
              <w:jc w:val="both"/>
              <w:rPr>
                <w:rFonts w:eastAsiaTheme="minorHAnsi" w:cs="Calibri"/>
                <w:sz w:val="20"/>
                <w:szCs w:val="20"/>
                <w:lang w:eastAsia="en-US"/>
              </w:rPr>
            </w:pPr>
            <w:r w:rsidRPr="00A62574">
              <w:rPr>
                <w:rFonts w:eastAsiaTheme="minorHAnsi" w:cs="Calibri"/>
                <w:sz w:val="20"/>
                <w:szCs w:val="20"/>
                <w:lang w:eastAsia="en-US"/>
              </w:rPr>
              <w:t>Hypertension</w:t>
            </w:r>
          </w:p>
        </w:tc>
        <w:tc>
          <w:tcPr>
            <w:tcW w:w="1701" w:type="dxa"/>
          </w:tcPr>
          <w:p w:rsidR="00073D4D" w:rsidRPr="00A62574" w:rsidRDefault="00073D4D" w:rsidP="00073D4D">
            <w:pPr>
              <w:autoSpaceDE w:val="0"/>
              <w:autoSpaceDN w:val="0"/>
              <w:spacing w:before="0" w:after="0" w:line="240" w:lineRule="auto"/>
              <w:jc w:val="center"/>
              <w:rPr>
                <w:rFonts w:eastAsiaTheme="minorHAnsi" w:cs="Calibri"/>
                <w:sz w:val="20"/>
                <w:szCs w:val="20"/>
                <w:lang w:eastAsia="en-US"/>
              </w:rPr>
            </w:pPr>
            <w:r w:rsidRPr="00A62574">
              <w:rPr>
                <w:rFonts w:eastAsiaTheme="minorHAnsi" w:cs="Calibri"/>
                <w:sz w:val="20"/>
                <w:szCs w:val="20"/>
                <w:lang w:eastAsia="en-US"/>
              </w:rPr>
              <w:t>2.2%</w:t>
            </w:r>
          </w:p>
        </w:tc>
        <w:tc>
          <w:tcPr>
            <w:tcW w:w="2188" w:type="dxa"/>
          </w:tcPr>
          <w:p w:rsidR="00073D4D" w:rsidRPr="00A62574" w:rsidRDefault="00073D4D" w:rsidP="00073D4D">
            <w:pPr>
              <w:autoSpaceDE w:val="0"/>
              <w:autoSpaceDN w:val="0"/>
              <w:spacing w:before="0" w:after="0" w:line="240" w:lineRule="auto"/>
              <w:jc w:val="center"/>
              <w:rPr>
                <w:rFonts w:eastAsiaTheme="minorHAnsi" w:cs="Calibri"/>
                <w:sz w:val="20"/>
                <w:szCs w:val="20"/>
                <w:lang w:eastAsia="en-US"/>
              </w:rPr>
            </w:pPr>
            <w:r w:rsidRPr="00A62574">
              <w:rPr>
                <w:rFonts w:eastAsiaTheme="minorHAnsi" w:cs="Calibri"/>
                <w:sz w:val="20"/>
                <w:szCs w:val="20"/>
                <w:lang w:eastAsia="en-US"/>
              </w:rPr>
              <w:t>11.3%</w:t>
            </w:r>
          </w:p>
        </w:tc>
      </w:tr>
      <w:tr w:rsidR="00073D4D" w:rsidTr="00073D4D">
        <w:tc>
          <w:tcPr>
            <w:tcW w:w="5353" w:type="dxa"/>
          </w:tcPr>
          <w:p w:rsidR="00073D4D" w:rsidRPr="00A62574" w:rsidRDefault="00073D4D" w:rsidP="00073D4D">
            <w:pPr>
              <w:autoSpaceDE w:val="0"/>
              <w:autoSpaceDN w:val="0"/>
              <w:spacing w:before="0" w:after="0" w:line="240" w:lineRule="auto"/>
              <w:jc w:val="both"/>
              <w:rPr>
                <w:rFonts w:eastAsiaTheme="minorHAnsi" w:cs="Calibri"/>
                <w:sz w:val="20"/>
                <w:szCs w:val="20"/>
                <w:lang w:eastAsia="en-US"/>
              </w:rPr>
            </w:pPr>
            <w:r w:rsidRPr="00A62574">
              <w:rPr>
                <w:rFonts w:eastAsiaTheme="minorHAnsi" w:cs="Calibri"/>
                <w:sz w:val="20"/>
                <w:szCs w:val="20"/>
                <w:lang w:eastAsia="en-US"/>
              </w:rPr>
              <w:t>Abscesses and fistulae</w:t>
            </w:r>
          </w:p>
        </w:tc>
        <w:tc>
          <w:tcPr>
            <w:tcW w:w="1701" w:type="dxa"/>
          </w:tcPr>
          <w:p w:rsidR="00073D4D" w:rsidRPr="00A62574" w:rsidRDefault="00073D4D" w:rsidP="00073D4D">
            <w:pPr>
              <w:autoSpaceDE w:val="0"/>
              <w:autoSpaceDN w:val="0"/>
              <w:spacing w:before="0" w:after="0" w:line="240" w:lineRule="auto"/>
              <w:jc w:val="center"/>
              <w:rPr>
                <w:rFonts w:eastAsiaTheme="minorHAnsi" w:cs="Calibri"/>
                <w:sz w:val="20"/>
                <w:szCs w:val="20"/>
                <w:lang w:eastAsia="en-US"/>
              </w:rPr>
            </w:pPr>
            <w:r w:rsidRPr="00A62574">
              <w:rPr>
                <w:rFonts w:eastAsiaTheme="minorHAnsi" w:cs="Calibri"/>
                <w:sz w:val="20"/>
                <w:szCs w:val="20"/>
                <w:lang w:eastAsia="en-US"/>
              </w:rPr>
              <w:t>0.7%</w:t>
            </w:r>
          </w:p>
        </w:tc>
        <w:tc>
          <w:tcPr>
            <w:tcW w:w="2188" w:type="dxa"/>
          </w:tcPr>
          <w:p w:rsidR="00073D4D" w:rsidRPr="00A62574" w:rsidRDefault="00073D4D" w:rsidP="00073D4D">
            <w:pPr>
              <w:autoSpaceDE w:val="0"/>
              <w:autoSpaceDN w:val="0"/>
              <w:spacing w:before="0" w:after="0" w:line="240" w:lineRule="auto"/>
              <w:jc w:val="center"/>
              <w:rPr>
                <w:rFonts w:eastAsiaTheme="minorHAnsi" w:cs="Calibri"/>
                <w:sz w:val="20"/>
                <w:szCs w:val="20"/>
                <w:lang w:eastAsia="en-US"/>
              </w:rPr>
            </w:pPr>
            <w:r w:rsidRPr="00A62574">
              <w:rPr>
                <w:rFonts w:eastAsiaTheme="minorHAnsi" w:cs="Calibri"/>
                <w:sz w:val="20"/>
                <w:szCs w:val="20"/>
                <w:lang w:eastAsia="en-US"/>
              </w:rPr>
              <w:t>0.4%</w:t>
            </w:r>
          </w:p>
        </w:tc>
      </w:tr>
      <w:tr w:rsidR="00073D4D" w:rsidTr="00073D4D">
        <w:tc>
          <w:tcPr>
            <w:tcW w:w="5353" w:type="dxa"/>
          </w:tcPr>
          <w:p w:rsidR="00073D4D" w:rsidRPr="00A62574" w:rsidRDefault="00073D4D" w:rsidP="00073D4D">
            <w:pPr>
              <w:autoSpaceDE w:val="0"/>
              <w:autoSpaceDN w:val="0"/>
              <w:spacing w:before="0" w:after="0" w:line="240" w:lineRule="auto"/>
              <w:jc w:val="both"/>
              <w:rPr>
                <w:rFonts w:eastAsiaTheme="minorHAnsi" w:cs="Calibri"/>
                <w:sz w:val="20"/>
                <w:szCs w:val="20"/>
                <w:lang w:eastAsia="en-US"/>
              </w:rPr>
            </w:pPr>
            <w:r w:rsidRPr="00A62574">
              <w:rPr>
                <w:rFonts w:eastAsiaTheme="minorHAnsi" w:cs="Calibri"/>
                <w:sz w:val="20"/>
                <w:szCs w:val="20"/>
                <w:lang w:eastAsia="en-US"/>
              </w:rPr>
              <w:t>Gastrointestinal perforation</w:t>
            </w:r>
          </w:p>
        </w:tc>
        <w:tc>
          <w:tcPr>
            <w:tcW w:w="1701" w:type="dxa"/>
          </w:tcPr>
          <w:p w:rsidR="00073D4D" w:rsidRPr="00A62574" w:rsidRDefault="00073D4D" w:rsidP="00073D4D">
            <w:pPr>
              <w:autoSpaceDE w:val="0"/>
              <w:autoSpaceDN w:val="0"/>
              <w:spacing w:before="0" w:after="0" w:line="240" w:lineRule="auto"/>
              <w:jc w:val="center"/>
              <w:rPr>
                <w:rFonts w:eastAsiaTheme="minorHAnsi" w:cs="Calibri"/>
                <w:sz w:val="20"/>
                <w:szCs w:val="20"/>
                <w:lang w:eastAsia="en-US"/>
              </w:rPr>
            </w:pPr>
            <w:r w:rsidRPr="00A62574">
              <w:rPr>
                <w:rFonts w:eastAsiaTheme="minorHAnsi" w:cs="Calibri"/>
                <w:sz w:val="20"/>
                <w:szCs w:val="20"/>
                <w:lang w:eastAsia="en-US"/>
              </w:rPr>
              <w:t>0.2%</w:t>
            </w:r>
          </w:p>
        </w:tc>
        <w:tc>
          <w:tcPr>
            <w:tcW w:w="2188" w:type="dxa"/>
          </w:tcPr>
          <w:p w:rsidR="00073D4D" w:rsidRPr="00A62574" w:rsidRDefault="00073D4D" w:rsidP="00073D4D">
            <w:pPr>
              <w:autoSpaceDE w:val="0"/>
              <w:autoSpaceDN w:val="0"/>
              <w:spacing w:before="0" w:after="0" w:line="240" w:lineRule="auto"/>
              <w:jc w:val="center"/>
              <w:rPr>
                <w:rFonts w:eastAsiaTheme="minorHAnsi" w:cs="Calibri"/>
                <w:sz w:val="20"/>
                <w:szCs w:val="20"/>
                <w:lang w:eastAsia="en-US"/>
              </w:rPr>
            </w:pPr>
            <w:r w:rsidRPr="00A62574">
              <w:rPr>
                <w:rFonts w:eastAsiaTheme="minorHAnsi" w:cs="Calibri"/>
                <w:sz w:val="20"/>
                <w:szCs w:val="20"/>
                <w:lang w:eastAsia="en-US"/>
              </w:rPr>
              <w:t>1.1%</w:t>
            </w:r>
          </w:p>
        </w:tc>
      </w:tr>
      <w:tr w:rsidR="00073D4D" w:rsidTr="00073D4D">
        <w:tc>
          <w:tcPr>
            <w:tcW w:w="5353" w:type="dxa"/>
          </w:tcPr>
          <w:p w:rsidR="00073D4D" w:rsidRPr="00A62574" w:rsidRDefault="00073D4D" w:rsidP="00073D4D">
            <w:pPr>
              <w:autoSpaceDE w:val="0"/>
              <w:autoSpaceDN w:val="0"/>
              <w:spacing w:before="0" w:after="0" w:line="240" w:lineRule="auto"/>
              <w:jc w:val="both"/>
              <w:rPr>
                <w:rFonts w:eastAsiaTheme="minorHAnsi" w:cs="Calibri"/>
                <w:sz w:val="20"/>
                <w:szCs w:val="20"/>
                <w:lang w:eastAsia="en-US"/>
              </w:rPr>
            </w:pPr>
            <w:r w:rsidRPr="00A62574">
              <w:rPr>
                <w:rFonts w:eastAsiaTheme="minorHAnsi" w:cs="Calibri"/>
                <w:sz w:val="20"/>
                <w:szCs w:val="20"/>
                <w:lang w:eastAsia="en-US"/>
              </w:rPr>
              <w:t>PRES</w:t>
            </w:r>
          </w:p>
        </w:tc>
        <w:tc>
          <w:tcPr>
            <w:tcW w:w="1701" w:type="dxa"/>
          </w:tcPr>
          <w:p w:rsidR="00073D4D" w:rsidRPr="00A62574" w:rsidRDefault="00073D4D" w:rsidP="00073D4D">
            <w:pPr>
              <w:autoSpaceDE w:val="0"/>
              <w:autoSpaceDN w:val="0"/>
              <w:spacing w:before="0" w:after="0" w:line="240" w:lineRule="auto"/>
              <w:jc w:val="center"/>
              <w:rPr>
                <w:rFonts w:eastAsiaTheme="minorHAnsi" w:cs="Calibri"/>
                <w:sz w:val="20"/>
                <w:szCs w:val="20"/>
                <w:lang w:eastAsia="en-US"/>
              </w:rPr>
            </w:pPr>
            <w:r w:rsidRPr="00A62574">
              <w:rPr>
                <w:rFonts w:eastAsiaTheme="minorHAnsi" w:cs="Calibri"/>
                <w:sz w:val="20"/>
                <w:szCs w:val="20"/>
                <w:lang w:eastAsia="en-US"/>
              </w:rPr>
              <w:t>0</w:t>
            </w:r>
          </w:p>
        </w:tc>
        <w:tc>
          <w:tcPr>
            <w:tcW w:w="2188" w:type="dxa"/>
          </w:tcPr>
          <w:p w:rsidR="00073D4D" w:rsidRPr="00A62574" w:rsidRDefault="00073D4D" w:rsidP="00073D4D">
            <w:pPr>
              <w:autoSpaceDE w:val="0"/>
              <w:autoSpaceDN w:val="0"/>
              <w:spacing w:before="0" w:after="0" w:line="240" w:lineRule="auto"/>
              <w:jc w:val="center"/>
              <w:rPr>
                <w:rFonts w:eastAsiaTheme="minorHAnsi" w:cs="Calibri"/>
                <w:sz w:val="20"/>
                <w:szCs w:val="20"/>
                <w:lang w:eastAsia="en-US"/>
              </w:rPr>
            </w:pPr>
            <w:r w:rsidRPr="00A62574">
              <w:rPr>
                <w:rFonts w:eastAsiaTheme="minorHAnsi" w:cs="Calibri"/>
                <w:sz w:val="20"/>
                <w:szCs w:val="20"/>
                <w:lang w:eastAsia="en-US"/>
              </w:rPr>
              <w:t>0</w:t>
            </w:r>
          </w:p>
        </w:tc>
      </w:tr>
    </w:tbl>
    <w:p w:rsidR="00073D4D" w:rsidRDefault="00073D4D" w:rsidP="00E309ED">
      <w:r>
        <w:t>The proportion of deaths due to disease progression was similar between the treatment arms (6.3% placebo v</w:t>
      </w:r>
      <w:r w:rsidR="00831B80">
        <w:t>ersu</w:t>
      </w:r>
      <w:r>
        <w:t xml:space="preserve">s 5.4% </w:t>
      </w:r>
      <w:proofErr w:type="spellStart"/>
      <w:r w:rsidR="00166F6A">
        <w:t>bevacizumab</w:t>
      </w:r>
      <w:proofErr w:type="spellEnd"/>
      <w:r>
        <w:t xml:space="preserve">). Deaths not caused by disease progression were more common in the </w:t>
      </w:r>
      <w:proofErr w:type="spellStart"/>
      <w:r w:rsidR="00166F6A">
        <w:t>bevacizumab</w:t>
      </w:r>
      <w:proofErr w:type="spellEnd"/>
      <w:r>
        <w:t xml:space="preserve"> arm (22 v</w:t>
      </w:r>
      <w:r w:rsidR="00831B80">
        <w:t>ersu</w:t>
      </w:r>
      <w:r>
        <w:t>s 12).</w:t>
      </w:r>
    </w:p>
    <w:p w:rsidR="00073D4D" w:rsidRDefault="00073D4D" w:rsidP="00E309ED">
      <w:pPr>
        <w:pStyle w:val="Heading5"/>
        <w:rPr>
          <w:rFonts w:eastAsiaTheme="minorHAnsi"/>
        </w:rPr>
      </w:pPr>
      <w:r w:rsidRPr="00E309ED">
        <w:rPr>
          <w:rFonts w:eastAsiaTheme="minorHAnsi"/>
        </w:rPr>
        <w:t>SAEs</w:t>
      </w:r>
    </w:p>
    <w:p w:rsidR="00073D4D" w:rsidRDefault="00073D4D" w:rsidP="00E309ED">
      <w:r>
        <w:t xml:space="preserve">The incidence of SAEs occurring in ≥1% of the safety population was more common in the </w:t>
      </w:r>
      <w:proofErr w:type="spellStart"/>
      <w:r w:rsidR="00166F6A">
        <w:t>bevacizumab</w:t>
      </w:r>
      <w:proofErr w:type="spellEnd"/>
      <w:r>
        <w:t xml:space="preserve"> arm (36.6</w:t>
      </w:r>
      <w:r w:rsidRPr="00B11B95">
        <w:t>% v</w:t>
      </w:r>
      <w:r w:rsidR="00E02125" w:rsidRPr="00B11B95">
        <w:t>ersu</w:t>
      </w:r>
      <w:r w:rsidRPr="00B11B95">
        <w:t>s 25.7%).</w:t>
      </w:r>
    </w:p>
    <w:p w:rsidR="00073D4D" w:rsidRDefault="00073D4D" w:rsidP="00E309ED">
      <w:pPr>
        <w:pStyle w:val="Heading5"/>
      </w:pPr>
      <w:r>
        <w:t xml:space="preserve">AEs leading to withdrawal of trial </w:t>
      </w:r>
      <w:r w:rsidRPr="00E309ED">
        <w:t>treatment</w:t>
      </w:r>
    </w:p>
    <w:p w:rsidR="00073D4D" w:rsidRDefault="00073D4D" w:rsidP="00A62574">
      <w:r>
        <w:t xml:space="preserve">The proportion of patients experiencing AEs requiring withdrawal from study treatment was higher in the </w:t>
      </w:r>
      <w:proofErr w:type="spellStart"/>
      <w:r w:rsidR="00166F6A">
        <w:t>bevacizumab</w:t>
      </w:r>
      <w:proofErr w:type="spellEnd"/>
      <w:r>
        <w:t xml:space="preserve"> arm (24.6% </w:t>
      </w:r>
      <w:proofErr w:type="spellStart"/>
      <w:r w:rsidR="00166F6A">
        <w:t>bevacizumab</w:t>
      </w:r>
      <w:proofErr w:type="spellEnd"/>
      <w:r>
        <w:t xml:space="preserve"> v</w:t>
      </w:r>
      <w:r w:rsidR="00E02125">
        <w:t>ersus</w:t>
      </w:r>
      <w:r>
        <w:t xml:space="preserve"> 13.2% placebo)</w:t>
      </w:r>
      <w:r w:rsidR="00B11B95">
        <w:t>.</w:t>
      </w:r>
    </w:p>
    <w:p w:rsidR="00073D4D" w:rsidRPr="00D26F17" w:rsidRDefault="00073D4D" w:rsidP="00E02125">
      <w:pPr>
        <w:pStyle w:val="Heading5"/>
        <w:rPr>
          <w:rFonts w:eastAsiaTheme="minorHAnsi"/>
        </w:rPr>
      </w:pPr>
      <w:r w:rsidRPr="00D26F17">
        <w:rPr>
          <w:rFonts w:eastAsiaTheme="minorHAnsi"/>
        </w:rPr>
        <w:t>Deaths</w:t>
      </w:r>
    </w:p>
    <w:p w:rsidR="00073D4D" w:rsidRDefault="00073D4D" w:rsidP="00E309ED">
      <w:r>
        <w:t>The majority of deaths in the study were due to progression of underlying disease (68% placebo v</w:t>
      </w:r>
      <w:r w:rsidR="00E02125">
        <w:t>ersu</w:t>
      </w:r>
      <w:r>
        <w:t xml:space="preserve">s 66% </w:t>
      </w:r>
      <w:proofErr w:type="spellStart"/>
      <w:r w:rsidR="00166F6A">
        <w:t>bevacizumab</w:t>
      </w:r>
      <w:proofErr w:type="spellEnd"/>
      <w:r>
        <w:t>). The most common causes of death not due t</w:t>
      </w:r>
      <w:r w:rsidR="00E02125">
        <w:t>o disease progression were ‘I</w:t>
      </w:r>
      <w:r>
        <w:t>nfections and infestations’ (3.1% placebo v</w:t>
      </w:r>
      <w:r w:rsidR="00E02125">
        <w:t>ersus</w:t>
      </w:r>
      <w:r>
        <w:t xml:space="preserve"> 2.2% </w:t>
      </w:r>
      <w:proofErr w:type="spellStart"/>
      <w:r w:rsidR="00166F6A">
        <w:t>bevacizumab</w:t>
      </w:r>
      <w:proofErr w:type="spellEnd"/>
      <w:r>
        <w:t>), with very small numbers of individuals in other individual categories in both treatment arms.</w:t>
      </w:r>
    </w:p>
    <w:p w:rsidR="00073D4D" w:rsidRPr="00080B4E" w:rsidRDefault="00073D4D" w:rsidP="00A62574">
      <w:pPr>
        <w:pStyle w:val="Heading5"/>
        <w:rPr>
          <w:rFonts w:eastAsiaTheme="minorHAnsi"/>
        </w:rPr>
      </w:pPr>
      <w:r w:rsidRPr="00080B4E">
        <w:rPr>
          <w:rFonts w:eastAsiaTheme="minorHAnsi"/>
        </w:rPr>
        <w:t xml:space="preserve">Concurrent </w:t>
      </w:r>
      <w:proofErr w:type="spellStart"/>
      <w:r w:rsidRPr="00080B4E">
        <w:rPr>
          <w:rFonts w:eastAsiaTheme="minorHAnsi"/>
        </w:rPr>
        <w:t>temozolomide</w:t>
      </w:r>
      <w:proofErr w:type="spellEnd"/>
      <w:r w:rsidRPr="00080B4E">
        <w:rPr>
          <w:rFonts w:eastAsiaTheme="minorHAnsi"/>
        </w:rPr>
        <w:t xml:space="preserve"> </w:t>
      </w:r>
      <w:r w:rsidR="00E02125">
        <w:rPr>
          <w:rFonts w:eastAsiaTheme="minorHAnsi"/>
        </w:rPr>
        <w:t>and</w:t>
      </w:r>
      <w:r w:rsidRPr="00080B4E">
        <w:rPr>
          <w:rFonts w:eastAsiaTheme="minorHAnsi"/>
        </w:rPr>
        <w:t xml:space="preserve"> PCP prophylaxis</w:t>
      </w:r>
    </w:p>
    <w:p w:rsidR="00073D4D" w:rsidRDefault="00073D4D" w:rsidP="00E309ED">
      <w:r w:rsidRPr="003C1AC7">
        <w:t>PCP prophylaxis is mandated</w:t>
      </w:r>
      <w:r>
        <w:t>, according to the current PI,</w:t>
      </w:r>
      <w:r w:rsidRPr="003C1AC7">
        <w:t xml:space="preserve"> during patient exposure to </w:t>
      </w:r>
      <w:proofErr w:type="spellStart"/>
      <w:r w:rsidRPr="003C1AC7">
        <w:t>temozolomide</w:t>
      </w:r>
      <w:proofErr w:type="spellEnd"/>
      <w:r w:rsidRPr="003C1AC7">
        <w:t xml:space="preserve"> </w:t>
      </w:r>
      <w:r w:rsidR="00E02125">
        <w:t>and</w:t>
      </w:r>
      <w:r w:rsidRPr="003C1AC7">
        <w:t xml:space="preserve"> radiotherapy</w:t>
      </w:r>
      <w:r>
        <w:t xml:space="preserve"> due to the incidence of severe </w:t>
      </w:r>
      <w:proofErr w:type="spellStart"/>
      <w:r>
        <w:t>lymphopaenia</w:t>
      </w:r>
      <w:proofErr w:type="spellEnd"/>
      <w:r w:rsidRPr="003C1AC7">
        <w:t xml:space="preserve">. The </w:t>
      </w:r>
      <w:r w:rsidR="00E02125">
        <w:t>s</w:t>
      </w:r>
      <w:r w:rsidRPr="003C1AC7">
        <w:t xml:space="preserve">ponsor has stated that the administration of PCP prophylaxis </w:t>
      </w:r>
      <w:r w:rsidR="00775109">
        <w:t>‘</w:t>
      </w:r>
      <w:r w:rsidRPr="003C1AC7">
        <w:rPr>
          <w:i/>
        </w:rPr>
        <w:t>was left to inves</w:t>
      </w:r>
      <w:r>
        <w:rPr>
          <w:i/>
        </w:rPr>
        <w:t xml:space="preserve">tigator discretion, as per their </w:t>
      </w:r>
      <w:r w:rsidRPr="003C1AC7">
        <w:rPr>
          <w:i/>
        </w:rPr>
        <w:t>own practice</w:t>
      </w:r>
      <w:r w:rsidR="00775109">
        <w:t>’</w:t>
      </w:r>
      <w:r w:rsidRPr="003C1AC7">
        <w:t>. As a result, the proportion of</w:t>
      </w:r>
      <w:r>
        <w:t xml:space="preserve"> pivotal trial subjects that</w:t>
      </w:r>
      <w:r w:rsidRPr="003C1AC7">
        <w:t xml:space="preserve"> receive</w:t>
      </w:r>
      <w:r>
        <w:t xml:space="preserve">d </w:t>
      </w:r>
      <w:r w:rsidR="00E02125">
        <w:t>PCP</w:t>
      </w:r>
      <w:r w:rsidRPr="003C1AC7">
        <w:t xml:space="preserve"> prophylaxis was not reported.</w:t>
      </w:r>
    </w:p>
    <w:p w:rsidR="00073D4D" w:rsidRDefault="00073D4D" w:rsidP="00E309ED">
      <w:pPr>
        <w:pStyle w:val="Heading6"/>
      </w:pPr>
      <w:r w:rsidRPr="00E309ED">
        <w:t>Deaths</w:t>
      </w:r>
    </w:p>
    <w:p w:rsidR="00073D4D" w:rsidRDefault="00073D4D" w:rsidP="00A62574">
      <w:r w:rsidRPr="00011A9E">
        <w:t xml:space="preserve">One patient </w:t>
      </w:r>
      <w:r>
        <w:t>died during</w:t>
      </w:r>
      <w:r w:rsidRPr="00011A9E">
        <w:t xml:space="preserve"> the pivotal tri</w:t>
      </w:r>
      <w:r>
        <w:t xml:space="preserve">al as a result of Pneumocystis </w:t>
      </w:r>
      <w:proofErr w:type="spellStart"/>
      <w:r>
        <w:t>j</w:t>
      </w:r>
      <w:r w:rsidRPr="00011A9E">
        <w:t>irovec</w:t>
      </w:r>
      <w:r>
        <w:t>i</w:t>
      </w:r>
      <w:r w:rsidRPr="00011A9E">
        <w:t>i</w:t>
      </w:r>
      <w:proofErr w:type="spellEnd"/>
      <w:r w:rsidRPr="00011A9E">
        <w:t xml:space="preserve"> pneumonia</w:t>
      </w:r>
      <w:r>
        <w:t xml:space="preserve">, presenting on </w:t>
      </w:r>
      <w:r w:rsidR="00E02125">
        <w:t>D</w:t>
      </w:r>
      <w:r>
        <w:t xml:space="preserve">ay 95, 13 days after last dose of </w:t>
      </w:r>
      <w:proofErr w:type="spellStart"/>
      <w:r>
        <w:t>temozolomide</w:t>
      </w:r>
      <w:proofErr w:type="spellEnd"/>
      <w:r>
        <w:t xml:space="preserve">. It is not described in the dossier if this patient had received adequate </w:t>
      </w:r>
      <w:r w:rsidR="00E02125">
        <w:t>PCP</w:t>
      </w:r>
      <w:r>
        <w:t xml:space="preserve"> prophylaxis.</w:t>
      </w:r>
    </w:p>
    <w:p w:rsidR="00073D4D" w:rsidRDefault="00073D4D" w:rsidP="00A62574">
      <w:r>
        <w:t xml:space="preserve">One patient died during the pivotal trial as a result of respiratory </w:t>
      </w:r>
      <w:proofErr w:type="spellStart"/>
      <w:r>
        <w:t>syncitial</w:t>
      </w:r>
      <w:proofErr w:type="spellEnd"/>
      <w:r>
        <w:t xml:space="preserve"> virus pneumonia and ‘Pneumocystis pneumonia’.</w:t>
      </w:r>
      <w:r w:rsidRPr="008B4F5C">
        <w:t xml:space="preserve"> </w:t>
      </w:r>
      <w:r>
        <w:t xml:space="preserve">This subject was not included in the category </w:t>
      </w:r>
      <w:r>
        <w:lastRenderedPageBreak/>
        <w:t xml:space="preserve">of Pneumocystis </w:t>
      </w:r>
      <w:proofErr w:type="spellStart"/>
      <w:r>
        <w:t>Jiroveci</w:t>
      </w:r>
      <w:proofErr w:type="spellEnd"/>
      <w:r>
        <w:t xml:space="preserve"> in the summary of deaths in the safety population. It is not described in the dossier if this patient had received adequate </w:t>
      </w:r>
      <w:r w:rsidR="00E02125">
        <w:t>PCP</w:t>
      </w:r>
      <w:r>
        <w:t xml:space="preserve"> prophylaxis.</w:t>
      </w:r>
    </w:p>
    <w:p w:rsidR="004C67AA" w:rsidRDefault="004C67AA" w:rsidP="00E309ED">
      <w:pPr>
        <w:pStyle w:val="Heading3"/>
        <w:rPr>
          <w:lang w:eastAsia="en-AU"/>
        </w:rPr>
      </w:pPr>
      <w:bookmarkStart w:id="103" w:name="_Toc384807775"/>
      <w:bookmarkStart w:id="104" w:name="_Toc404950781"/>
      <w:r>
        <w:rPr>
          <w:lang w:eastAsia="en-AU"/>
        </w:rPr>
        <w:t xml:space="preserve">Risk </w:t>
      </w:r>
      <w:r w:rsidRPr="00E309ED">
        <w:t>management</w:t>
      </w:r>
      <w:r>
        <w:rPr>
          <w:lang w:eastAsia="en-AU"/>
        </w:rPr>
        <w:t xml:space="preserve"> plan</w:t>
      </w:r>
      <w:bookmarkEnd w:id="102"/>
      <w:bookmarkEnd w:id="103"/>
      <w:bookmarkEnd w:id="104"/>
    </w:p>
    <w:p w:rsidR="00073D4D" w:rsidRPr="00F142BE" w:rsidRDefault="00073D4D" w:rsidP="00E309ED">
      <w:r w:rsidRPr="00F142BE">
        <w:t>The RMP proposed by the sponsor was considered generally acceptable by the TGA’s Office of Product Review (OPR).</w:t>
      </w:r>
    </w:p>
    <w:p w:rsidR="00A62574" w:rsidRDefault="00073D4D" w:rsidP="00A62574">
      <w:r w:rsidRPr="00F142BE">
        <w:t xml:space="preserve">The RMP evaluator recommended a number of PI changes, additional to the proposed new indication, which </w:t>
      </w:r>
      <w:r w:rsidR="00A62574">
        <w:t>were</w:t>
      </w:r>
      <w:r w:rsidRPr="00F142BE">
        <w:t xml:space="preserve"> deferred to the Delegate for a decision</w:t>
      </w:r>
      <w:r w:rsidR="00A62574">
        <w:t xml:space="preserve"> (the details of these are </w:t>
      </w:r>
      <w:r w:rsidR="00E02125">
        <w:t xml:space="preserve">shown above under </w:t>
      </w:r>
      <w:r w:rsidR="00E02125" w:rsidRPr="00E02125">
        <w:rPr>
          <w:i/>
        </w:rPr>
        <w:t>Pharmacovigilance findings</w:t>
      </w:r>
      <w:r w:rsidR="00A62574">
        <w:t>)</w:t>
      </w:r>
      <w:r w:rsidRPr="00F142BE">
        <w:t>.</w:t>
      </w:r>
    </w:p>
    <w:p w:rsidR="00073D4D" w:rsidRPr="00913E9E" w:rsidRDefault="00073D4D" w:rsidP="00A62574">
      <w:pPr>
        <w:rPr>
          <w:rFonts w:asciiTheme="minorHAnsi" w:hAnsiTheme="minorHAnsi"/>
          <w:bCs/>
        </w:rPr>
      </w:pPr>
      <w:r w:rsidRPr="00F142BE">
        <w:t xml:space="preserve"> </w:t>
      </w:r>
      <w:r>
        <w:rPr>
          <w:rFonts w:asciiTheme="minorHAnsi" w:hAnsiTheme="minorHAnsi"/>
          <w:bCs/>
        </w:rPr>
        <w:t>The Delegate agree</w:t>
      </w:r>
      <w:r w:rsidR="00A62574">
        <w:rPr>
          <w:rFonts w:asciiTheme="minorHAnsi" w:hAnsiTheme="minorHAnsi"/>
          <w:bCs/>
        </w:rPr>
        <w:t>d</w:t>
      </w:r>
      <w:r>
        <w:rPr>
          <w:rFonts w:asciiTheme="minorHAnsi" w:hAnsiTheme="minorHAnsi"/>
          <w:bCs/>
        </w:rPr>
        <w:t xml:space="preserve"> that each of these PI changes should be implemented</w:t>
      </w:r>
      <w:r w:rsidR="00A62574">
        <w:rPr>
          <w:rFonts w:asciiTheme="minorHAnsi" w:hAnsiTheme="minorHAnsi"/>
          <w:bCs/>
        </w:rPr>
        <w:t xml:space="preserve"> and</w:t>
      </w:r>
      <w:r>
        <w:rPr>
          <w:rFonts w:asciiTheme="minorHAnsi" w:hAnsiTheme="minorHAnsi"/>
          <w:bCs/>
        </w:rPr>
        <w:t xml:space="preserve"> the </w:t>
      </w:r>
      <w:r w:rsidR="00A62574">
        <w:rPr>
          <w:rFonts w:asciiTheme="minorHAnsi" w:hAnsiTheme="minorHAnsi"/>
          <w:bCs/>
        </w:rPr>
        <w:t>s</w:t>
      </w:r>
      <w:r>
        <w:rPr>
          <w:rFonts w:asciiTheme="minorHAnsi" w:hAnsiTheme="minorHAnsi"/>
          <w:bCs/>
        </w:rPr>
        <w:t>ponsor should provide an updated PI with appropriate amendments for approval.</w:t>
      </w:r>
    </w:p>
    <w:p w:rsidR="004C67AA" w:rsidRDefault="004C67AA" w:rsidP="00E309ED">
      <w:pPr>
        <w:pStyle w:val="Heading3"/>
      </w:pPr>
      <w:bookmarkStart w:id="105" w:name="_Toc247691531"/>
      <w:bookmarkStart w:id="106" w:name="_Toc314842515"/>
      <w:bookmarkStart w:id="107" w:name="_Toc384807776"/>
      <w:bookmarkStart w:id="108" w:name="_Toc404950782"/>
      <w:bookmarkStart w:id="109" w:name="_Toc196046505"/>
      <w:bookmarkStart w:id="110" w:name="_Toc196046949"/>
      <w:r>
        <w:t>Risk-</w:t>
      </w:r>
      <w:r w:rsidRPr="00E309ED">
        <w:t>benefit</w:t>
      </w:r>
      <w:r>
        <w:t xml:space="preserve"> analysis</w:t>
      </w:r>
      <w:bookmarkEnd w:id="105"/>
      <w:bookmarkEnd w:id="106"/>
      <w:bookmarkEnd w:id="107"/>
      <w:bookmarkEnd w:id="108"/>
    </w:p>
    <w:p w:rsidR="004C67AA" w:rsidRPr="00E309ED" w:rsidRDefault="00E309ED" w:rsidP="00E309ED">
      <w:pPr>
        <w:pStyle w:val="Heading4"/>
      </w:pPr>
      <w:r>
        <w:t>Delegate’s considerations</w:t>
      </w:r>
    </w:p>
    <w:p w:rsidR="00073D4D" w:rsidRPr="00080B4E" w:rsidRDefault="00073D4D" w:rsidP="00E309ED">
      <w:pPr>
        <w:pStyle w:val="Heading5"/>
      </w:pPr>
      <w:r w:rsidRPr="00E309ED">
        <w:t>Efficacy</w:t>
      </w:r>
    </w:p>
    <w:p w:rsidR="00073D4D" w:rsidRDefault="00073D4D" w:rsidP="00E309ED">
      <w:pPr>
        <w:pStyle w:val="Heading6"/>
      </w:pPr>
      <w:r w:rsidRPr="000624FF">
        <w:t xml:space="preserve">Effect of </w:t>
      </w:r>
      <w:r w:rsidRPr="00E309ED">
        <w:t>MGMT</w:t>
      </w:r>
      <w:r w:rsidRPr="000624FF">
        <w:t xml:space="preserve"> status</w:t>
      </w:r>
    </w:p>
    <w:p w:rsidR="00073D4D" w:rsidRDefault="00073D4D" w:rsidP="00A62574">
      <w:r>
        <w:t>There are contradictory statements in the CSR regarding the requirement for MGMT methylation status to be known before patients were randomised to a treatment arm.</w:t>
      </w:r>
    </w:p>
    <w:p w:rsidR="00073D4D" w:rsidRPr="00A5550D" w:rsidRDefault="00073D4D" w:rsidP="00A62574">
      <w:r w:rsidRPr="003E7CA8">
        <w:t xml:space="preserve">The fourth pivotal trial entry criterion is </w:t>
      </w:r>
      <w:r>
        <w:t>ambiguously worded:</w:t>
      </w:r>
    </w:p>
    <w:p w:rsidR="00073D4D" w:rsidRPr="00CB3F95" w:rsidRDefault="00073D4D" w:rsidP="00E309ED">
      <w:pPr>
        <w:ind w:left="284"/>
        <w:rPr>
          <w:rFonts w:eastAsiaTheme="minorHAnsi" w:cs="ArialMT"/>
        </w:rPr>
      </w:pPr>
      <w:r w:rsidRPr="00201354">
        <w:rPr>
          <w:i/>
        </w:rPr>
        <w:t xml:space="preserve">4 </w:t>
      </w:r>
      <w:r w:rsidR="00775109">
        <w:rPr>
          <w:i/>
        </w:rPr>
        <w:t>‘</w:t>
      </w:r>
      <w:r w:rsidRPr="00201354">
        <w:rPr>
          <w:rFonts w:eastAsiaTheme="minorHAnsi" w:cs="ArialMT"/>
          <w:i/>
        </w:rPr>
        <w:t>Patient</w:t>
      </w:r>
      <w:r w:rsidRPr="00576D09">
        <w:rPr>
          <w:rFonts w:eastAsiaTheme="minorHAnsi" w:cs="ArialMT"/>
          <w:i/>
        </w:rPr>
        <w:t xml:space="preserve"> must have had at least 1 formalin fixed paraffin embedded </w:t>
      </w:r>
      <w:proofErr w:type="spellStart"/>
      <w:r w:rsidRPr="00576D09">
        <w:rPr>
          <w:rFonts w:eastAsiaTheme="minorHAnsi" w:cs="ArialMT"/>
          <w:i/>
        </w:rPr>
        <w:t>tumor</w:t>
      </w:r>
      <w:proofErr w:type="spellEnd"/>
      <w:r w:rsidRPr="00576D09">
        <w:rPr>
          <w:rFonts w:eastAsiaTheme="minorHAnsi" w:cs="ArialMT"/>
          <w:i/>
        </w:rPr>
        <w:t xml:space="preserve"> tissue block representative of GBM available for pathology central review and analysis of</w:t>
      </w:r>
      <w:r>
        <w:rPr>
          <w:rFonts w:eastAsiaTheme="minorHAnsi" w:cs="ArialMT"/>
          <w:i/>
        </w:rPr>
        <w:t xml:space="preserve"> </w:t>
      </w:r>
      <w:r w:rsidRPr="00576D09">
        <w:rPr>
          <w:rFonts w:eastAsiaTheme="minorHAnsi" w:cs="ArialMT"/>
          <w:i/>
        </w:rPr>
        <w:t xml:space="preserve">MGMT status. If </w:t>
      </w:r>
      <w:proofErr w:type="spellStart"/>
      <w:r w:rsidRPr="00576D09">
        <w:rPr>
          <w:rFonts w:eastAsiaTheme="minorHAnsi" w:cs="ArialMT"/>
          <w:i/>
        </w:rPr>
        <w:t>tumor</w:t>
      </w:r>
      <w:proofErr w:type="spellEnd"/>
      <w:r w:rsidRPr="00576D09">
        <w:rPr>
          <w:rFonts w:eastAsiaTheme="minorHAnsi" w:cs="ArialMT"/>
          <w:i/>
        </w:rPr>
        <w:t xml:space="preserve"> block was not available or not of adequate quality, sufficient</w:t>
      </w:r>
      <w:r>
        <w:rPr>
          <w:rFonts w:eastAsiaTheme="minorHAnsi" w:cs="ArialMT"/>
          <w:i/>
        </w:rPr>
        <w:t xml:space="preserve"> </w:t>
      </w:r>
      <w:r w:rsidRPr="00576D09">
        <w:rPr>
          <w:rFonts w:eastAsiaTheme="minorHAnsi" w:cs="ArialMT"/>
          <w:i/>
        </w:rPr>
        <w:t xml:space="preserve">pathology material, representative of GBM, was to </w:t>
      </w:r>
      <w:r>
        <w:rPr>
          <w:rFonts w:eastAsiaTheme="minorHAnsi" w:cs="ArialMT"/>
          <w:i/>
        </w:rPr>
        <w:t>be available for central review</w:t>
      </w:r>
      <w:r w:rsidR="00775109">
        <w:rPr>
          <w:rFonts w:eastAsiaTheme="minorHAnsi" w:cs="ArialMT"/>
          <w:i/>
        </w:rPr>
        <w:t>’</w:t>
      </w:r>
      <w:r>
        <w:rPr>
          <w:rFonts w:eastAsiaTheme="minorHAnsi" w:cs="ArialMT"/>
        </w:rPr>
        <w:t>.</w:t>
      </w:r>
    </w:p>
    <w:p w:rsidR="00073D4D" w:rsidRDefault="00073D4D" w:rsidP="00A62574">
      <w:pPr>
        <w:rPr>
          <w:rFonts w:eastAsiaTheme="minorHAnsi" w:cs="ArialMT"/>
        </w:rPr>
      </w:pPr>
      <w:r>
        <w:rPr>
          <w:rFonts w:eastAsiaTheme="minorHAnsi" w:cs="ArialMT"/>
        </w:rPr>
        <w:t>These two sentences are contradictory - in mandating the availability of tissue for MGMT status assessment, yet also obviating the need for it.</w:t>
      </w:r>
    </w:p>
    <w:p w:rsidR="00073D4D" w:rsidRPr="00A5550D" w:rsidRDefault="00073D4D" w:rsidP="00E309ED">
      <w:r>
        <w:t>MGMT methylation assessment was performed by a separate company</w:t>
      </w:r>
      <w:r w:rsidR="00E02125">
        <w:t>,</w:t>
      </w:r>
      <w:r>
        <w:t xml:space="preserve"> </w:t>
      </w:r>
      <w:proofErr w:type="spellStart"/>
      <w:r>
        <w:t>MDx</w:t>
      </w:r>
      <w:proofErr w:type="spellEnd"/>
      <w:r>
        <w:t xml:space="preserve"> Health, their report is contained in the final CSR. Despite the mandatory nature of having tissue available for evaluation prior to randomisation described in the trial summary above, </w:t>
      </w:r>
      <w:proofErr w:type="spellStart"/>
      <w:r>
        <w:t>MDx</w:t>
      </w:r>
      <w:proofErr w:type="spellEnd"/>
      <w:r>
        <w:t xml:space="preserve"> Health only received tissue from 892 individuals (97%). This report describes 699 samples as giving an interpretable result</w:t>
      </w:r>
      <w:r w:rsidR="00E02125">
        <w:t>,</w:t>
      </w:r>
      <w:r>
        <w:t xml:space="preserve"> not 698 as reported in the CSR. Their report states that </w:t>
      </w:r>
      <w:r w:rsidR="00775109">
        <w:t>‘</w:t>
      </w:r>
      <w:r w:rsidRPr="00A5550D">
        <w:rPr>
          <w:i/>
        </w:rPr>
        <w:t>The non-evaluable (invalid) rate for this set of specimens was very high due to the large amount of biopsy samples included...</w:t>
      </w:r>
      <w:r w:rsidR="00775109">
        <w:rPr>
          <w:i/>
        </w:rPr>
        <w:t>’</w:t>
      </w:r>
      <w:r w:rsidRPr="00A5550D">
        <w:rPr>
          <w:i/>
        </w:rPr>
        <w:t>.</w:t>
      </w:r>
      <w:r>
        <w:t xml:space="preserve"> The </w:t>
      </w:r>
      <w:proofErr w:type="spellStart"/>
      <w:r>
        <w:t>MDx</w:t>
      </w:r>
      <w:proofErr w:type="spellEnd"/>
      <w:r>
        <w:t xml:space="preserve"> Health report also describes the evidence from </w:t>
      </w:r>
      <w:proofErr w:type="spellStart"/>
      <w:r>
        <w:t>Hegi</w:t>
      </w:r>
      <w:proofErr w:type="spellEnd"/>
      <w:r>
        <w:t xml:space="preserve"> demonstrating a survival benefit to individuals that are MGMT methylation positive.</w:t>
      </w:r>
      <w:bookmarkStart w:id="111" w:name="_Ref399412576"/>
      <w:r w:rsidR="00E02125">
        <w:rPr>
          <w:rStyle w:val="FootnoteReference"/>
        </w:rPr>
        <w:footnoteReference w:id="8"/>
      </w:r>
      <w:bookmarkEnd w:id="111"/>
    </w:p>
    <w:p w:rsidR="00073D4D" w:rsidRPr="00346B9A" w:rsidRDefault="00073D4D" w:rsidP="00E309ED">
      <w:r>
        <w:t xml:space="preserve">At the time of the discussion between the </w:t>
      </w:r>
      <w:r w:rsidR="00E02125">
        <w:t>s</w:t>
      </w:r>
      <w:r>
        <w:t>ponsor and EMA regarding the design of the pivotal trial, (February/March 2008) the significant effect of MGMT status on GBM outcome was published in peer reviewed journals and could therefore not be considered exploratory in this pivotal study.</w:t>
      </w:r>
      <w:r w:rsidR="00E309ED" w:rsidRPr="00E309ED">
        <w:rPr>
          <w:vertAlign w:val="superscript"/>
        </w:rPr>
        <w:t>8</w:t>
      </w:r>
      <w:r w:rsidR="00E309ED">
        <w:rPr>
          <w:rStyle w:val="FootnoteReference"/>
        </w:rPr>
        <w:t>,</w:t>
      </w:r>
      <w:r w:rsidR="00E02125">
        <w:rPr>
          <w:rStyle w:val="FootnoteReference"/>
        </w:rPr>
        <w:footnoteReference w:id="9"/>
      </w:r>
      <w:r>
        <w:t xml:space="preserve"> Thus, by not determining MGMT methylation status in </w:t>
      </w:r>
      <w:r w:rsidRPr="00FE5203">
        <w:rPr>
          <w:i/>
        </w:rPr>
        <w:t>all</w:t>
      </w:r>
      <w:r>
        <w:t xml:space="preserve"> subjects, and randomising accordingly, the pivotal trial precludes the demonstration of an independent effect of </w:t>
      </w:r>
      <w:proofErr w:type="spellStart"/>
      <w:r w:rsidR="00166F6A">
        <w:t>bevacizumab</w:t>
      </w:r>
      <w:proofErr w:type="spellEnd"/>
      <w:r>
        <w:t xml:space="preserve"> separate from that of MGMT status.</w:t>
      </w:r>
    </w:p>
    <w:p w:rsidR="00073D4D" w:rsidRDefault="00073D4D" w:rsidP="00A62574">
      <w:r>
        <w:lastRenderedPageBreak/>
        <w:t xml:space="preserve">In a response to emailed questions (11 December 2013), the </w:t>
      </w:r>
      <w:r w:rsidR="00E02125">
        <w:t>s</w:t>
      </w:r>
      <w:r>
        <w:t xml:space="preserve">ponsor has written that </w:t>
      </w:r>
      <w:r w:rsidR="00E02125">
        <w:t>‘</w:t>
      </w:r>
      <w:proofErr w:type="gramStart"/>
      <w:r w:rsidRPr="00E02125">
        <w:rPr>
          <w:i/>
        </w:rPr>
        <w:t>The</w:t>
      </w:r>
      <w:proofErr w:type="gramEnd"/>
      <w:r w:rsidRPr="00E02125">
        <w:rPr>
          <w:i/>
        </w:rPr>
        <w:t xml:space="preserve"> final number of samples eligible for MGMT assessment (n=698 (of 921)) in BO21990 represents a large cohort well balanced between treatment arms</w:t>
      </w:r>
      <w:r w:rsidR="00E02125">
        <w:rPr>
          <w:i/>
        </w:rPr>
        <w:t>’</w:t>
      </w:r>
      <w:r>
        <w:t>.</w:t>
      </w:r>
      <w:r>
        <w:rPr>
          <w:rFonts w:ascii="Imago" w:hAnsi="Imago"/>
          <w:sz w:val="24"/>
          <w:szCs w:val="24"/>
        </w:rPr>
        <w:t xml:space="preserve"> </w:t>
      </w:r>
      <w:r w:rsidRPr="000624FF">
        <w:rPr>
          <w:szCs w:val="24"/>
        </w:rPr>
        <w:t>The Delegate agrees that</w:t>
      </w:r>
      <w:r w:rsidRPr="000624FF">
        <w:rPr>
          <w:rFonts w:ascii="Imago" w:hAnsi="Imago"/>
          <w:szCs w:val="24"/>
        </w:rPr>
        <w:t xml:space="preserve"> </w:t>
      </w:r>
      <w:r>
        <w:t xml:space="preserve">for the proportion of subjects with </w:t>
      </w:r>
      <w:r w:rsidRPr="00156347">
        <w:t>known</w:t>
      </w:r>
      <w:r>
        <w:t xml:space="preserve"> MGMT status, there was balance between the two treatment arms. However, subjects in the pivotal trial were not randomised according to MGMT status; therefore, it cannot be assumed that in the 24% of subjects where the status is unknown there is equal balance between the treatment arms.</w:t>
      </w:r>
      <w:r>
        <w:rPr>
          <w:rFonts w:cs="Calibri"/>
          <w:szCs w:val="24"/>
        </w:rPr>
        <w:t xml:space="preserve"> In the pivotal trial, positive MGMT methylation status is confirmed as an effect-modifier of PFS and therefore effect-modification of the co-primary outcomes is entirely plausible.</w:t>
      </w:r>
      <w:r>
        <w:t xml:space="preserve"> That the intention-to-treat analysis and per-protocol analysis yield a similar result for PFS does not provide evidence for overall balance of MGMT methylation status between treatment arms.</w:t>
      </w:r>
    </w:p>
    <w:p w:rsidR="00073D4D" w:rsidRDefault="00073D4D" w:rsidP="00A62574">
      <w:pPr>
        <w:rPr>
          <w:rFonts w:cs="ArialMT"/>
        </w:rPr>
      </w:pPr>
      <w:r>
        <w:t xml:space="preserve">In the CSR the </w:t>
      </w:r>
      <w:r w:rsidR="00E02125">
        <w:t>s</w:t>
      </w:r>
      <w:r>
        <w:t xml:space="preserve">ponsor states </w:t>
      </w:r>
      <w:r w:rsidR="00775109">
        <w:t>‘</w:t>
      </w:r>
      <w:r w:rsidRPr="00E02125">
        <w:rPr>
          <w:rFonts w:cs="ArialMT"/>
          <w:i/>
        </w:rPr>
        <w:t xml:space="preserve">there was a greater exposure to </w:t>
      </w:r>
      <w:proofErr w:type="spellStart"/>
      <w:r w:rsidRPr="00E02125">
        <w:rPr>
          <w:rFonts w:cs="ArialMT"/>
          <w:i/>
        </w:rPr>
        <w:t>Temozolomide</w:t>
      </w:r>
      <w:proofErr w:type="spellEnd"/>
      <w:r w:rsidRPr="00E02125">
        <w:rPr>
          <w:rFonts w:cs="ArialMT"/>
          <w:i/>
        </w:rPr>
        <w:t xml:space="preserve"> therapy in the </w:t>
      </w:r>
      <w:proofErr w:type="spellStart"/>
      <w:r w:rsidR="00166F6A" w:rsidRPr="00E02125">
        <w:rPr>
          <w:rFonts w:cs="ArialMT"/>
          <w:i/>
        </w:rPr>
        <w:t>Bevacizumab</w:t>
      </w:r>
      <w:proofErr w:type="spellEnd"/>
      <w:r w:rsidRPr="00E02125">
        <w:rPr>
          <w:rFonts w:cs="ArialMT"/>
          <w:i/>
        </w:rPr>
        <w:t xml:space="preserve"> + Radiotherapy/</w:t>
      </w:r>
      <w:proofErr w:type="spellStart"/>
      <w:r w:rsidRPr="00E02125">
        <w:rPr>
          <w:rFonts w:cs="ArialMT"/>
          <w:i/>
        </w:rPr>
        <w:t>Temozolomide</w:t>
      </w:r>
      <w:proofErr w:type="spellEnd"/>
      <w:r w:rsidRPr="00E02125">
        <w:rPr>
          <w:rFonts w:cs="ArialMT"/>
          <w:i/>
        </w:rPr>
        <w:t xml:space="preserve"> arm compared to the Placebo + Radiotherapy/</w:t>
      </w:r>
      <w:proofErr w:type="spellStart"/>
      <w:r w:rsidRPr="00E02125">
        <w:rPr>
          <w:rFonts w:cs="ArialMT"/>
          <w:i/>
        </w:rPr>
        <w:t>Temozolomide</w:t>
      </w:r>
      <w:proofErr w:type="spellEnd"/>
      <w:r w:rsidRPr="00E02125">
        <w:rPr>
          <w:rFonts w:cs="ArialMT"/>
          <w:i/>
        </w:rPr>
        <w:t xml:space="preserve"> arm, 64% vs. 37% of patients completed 6 cycles of TMZ in the Maintenance Phase, and more patients in the </w:t>
      </w:r>
      <w:proofErr w:type="spellStart"/>
      <w:r w:rsidR="00166F6A" w:rsidRPr="00E02125">
        <w:rPr>
          <w:rFonts w:cs="ArialMT"/>
          <w:i/>
        </w:rPr>
        <w:t>Bevacizumab</w:t>
      </w:r>
      <w:proofErr w:type="spellEnd"/>
      <w:r w:rsidRPr="00E02125">
        <w:rPr>
          <w:rFonts w:cs="ArialMT"/>
          <w:i/>
        </w:rPr>
        <w:t xml:space="preserve"> + Radiotherapy/</w:t>
      </w:r>
      <w:proofErr w:type="spellStart"/>
      <w:r w:rsidRPr="00E02125">
        <w:rPr>
          <w:rFonts w:cs="ArialMT"/>
          <w:i/>
        </w:rPr>
        <w:t>Temozolomide</w:t>
      </w:r>
      <w:proofErr w:type="spellEnd"/>
      <w:r w:rsidRPr="00E02125">
        <w:rPr>
          <w:rFonts w:cs="ArialMT"/>
          <w:i/>
        </w:rPr>
        <w:t xml:space="preserve"> arm escalated the dose of TMZ</w:t>
      </w:r>
      <w:r w:rsidR="00775109">
        <w:rPr>
          <w:rFonts w:cs="ArialMT"/>
        </w:rPr>
        <w:t>’</w:t>
      </w:r>
      <w:r>
        <w:rPr>
          <w:rFonts w:cs="ArialMT"/>
        </w:rPr>
        <w:t xml:space="preserve">. This finding may also be explained by an imbalance of overall MGMT status, favouring greater methylated status in the </w:t>
      </w:r>
      <w:proofErr w:type="spellStart"/>
      <w:r w:rsidR="00166F6A">
        <w:rPr>
          <w:rFonts w:cs="ArialMT"/>
        </w:rPr>
        <w:t>bevacizumab</w:t>
      </w:r>
      <w:proofErr w:type="spellEnd"/>
      <w:r>
        <w:rPr>
          <w:rFonts w:cs="ArialMT"/>
        </w:rPr>
        <w:t xml:space="preserve"> arm.</w:t>
      </w:r>
    </w:p>
    <w:p w:rsidR="00073D4D" w:rsidRPr="00985ECD" w:rsidRDefault="00073D4D" w:rsidP="00A62574">
      <w:pPr>
        <w:rPr>
          <w:rFonts w:cs="ArialMT"/>
        </w:rPr>
      </w:pPr>
      <w:r>
        <w:rPr>
          <w:rFonts w:cs="ArialMT"/>
        </w:rPr>
        <w:t xml:space="preserve">In the monotherapy phase of the trial, once </w:t>
      </w:r>
      <w:proofErr w:type="spellStart"/>
      <w:r>
        <w:rPr>
          <w:rFonts w:cs="ArialMT"/>
        </w:rPr>
        <w:t>temozolomide</w:t>
      </w:r>
      <w:proofErr w:type="spellEnd"/>
      <w:r>
        <w:rPr>
          <w:rFonts w:cs="ArialMT"/>
        </w:rPr>
        <w:t xml:space="preserve"> was ceased in all subjects, the median time to disease progression was longer in the placebo arm.</w:t>
      </w:r>
    </w:p>
    <w:p w:rsidR="00073D4D" w:rsidRDefault="00073D4D" w:rsidP="00A62574">
      <w:r w:rsidRPr="00EE7683">
        <w:t xml:space="preserve">In the </w:t>
      </w:r>
      <w:r w:rsidR="00E02125">
        <w:t>s</w:t>
      </w:r>
      <w:r w:rsidRPr="00EE7683">
        <w:t>ponsor</w:t>
      </w:r>
      <w:r w:rsidR="00462CFD">
        <w:t>’</w:t>
      </w:r>
      <w:r w:rsidRPr="00EE7683">
        <w:t xml:space="preserve">s response to the </w:t>
      </w:r>
      <w:r w:rsidR="00E02125">
        <w:t>TGA’s request for further information</w:t>
      </w:r>
      <w:r w:rsidRPr="00EE7683">
        <w:t xml:space="preserve">, a brief </w:t>
      </w:r>
      <w:r w:rsidR="00874B7B">
        <w:t xml:space="preserve">opinion-based </w:t>
      </w:r>
      <w:r w:rsidRPr="00EE7683">
        <w:t>summary of</w:t>
      </w:r>
      <w:r w:rsidR="00014645">
        <w:t xml:space="preserve"> the publically available information on the US NCI</w:t>
      </w:r>
      <w:r w:rsidRPr="00EE7683">
        <w:t xml:space="preserve"> Study RTOG-0825</w:t>
      </w:r>
      <w:r w:rsidR="00014645">
        <w:t xml:space="preserve"> (conducted by the Radiation Therapy Oncology Group)</w:t>
      </w:r>
      <w:r w:rsidRPr="00EE7683">
        <w:t xml:space="preserve"> was presented</w:t>
      </w:r>
      <w:r>
        <w:t xml:space="preserve"> (not formally submitted for evaluation)</w:t>
      </w:r>
      <w:r w:rsidRPr="00EE7683">
        <w:t>. This study had a similar treatment regimen to the pivot</w:t>
      </w:r>
      <w:r>
        <w:t xml:space="preserve">al study, but utilising a split </w:t>
      </w:r>
      <w:r w:rsidRPr="00EE7683">
        <w:t>concurrent phase</w:t>
      </w:r>
      <w:r>
        <w:t>,</w:t>
      </w:r>
      <w:r w:rsidRPr="00EE7683">
        <w:t xml:space="preserve"> </w:t>
      </w:r>
      <w:r>
        <w:t xml:space="preserve">of 3 weeks rather than 6 weeks, </w:t>
      </w:r>
      <w:r w:rsidRPr="00EE7683">
        <w:t xml:space="preserve">of </w:t>
      </w:r>
      <w:proofErr w:type="spellStart"/>
      <w:r w:rsidR="00166F6A">
        <w:t>bevacizumab</w:t>
      </w:r>
      <w:proofErr w:type="spellEnd"/>
      <w:r w:rsidRPr="00EE7683">
        <w:t xml:space="preserve">/placebo with radiotherapy </w:t>
      </w:r>
      <w:r w:rsidR="00E02125">
        <w:t>and</w:t>
      </w:r>
      <w:r w:rsidRPr="00EE7683">
        <w:t xml:space="preserve"> </w:t>
      </w:r>
      <w:proofErr w:type="spellStart"/>
      <w:r w:rsidRPr="00EE7683">
        <w:t>temozolomide</w:t>
      </w:r>
      <w:proofErr w:type="spellEnd"/>
      <w:r w:rsidRPr="00EE7683">
        <w:t xml:space="preserve">. Stratification in Study RTOG-0825 was </w:t>
      </w:r>
      <w:r>
        <w:t xml:space="preserve">performed </w:t>
      </w:r>
      <w:r w:rsidRPr="00EE7683">
        <w:t xml:space="preserve">according to MGMT status and </w:t>
      </w:r>
      <w:r w:rsidR="00E02125">
        <w:t>‘</w:t>
      </w:r>
      <w:r w:rsidRPr="00EE7683">
        <w:t>tumour molecular profile</w:t>
      </w:r>
      <w:r w:rsidR="00E02125">
        <w:t>’</w:t>
      </w:r>
      <w:r w:rsidRPr="00EE7683">
        <w:t>. The magnitude of change in co-primary outcomes of PFS and OS did not meet the pre-specified level of significance</w:t>
      </w:r>
      <w:r>
        <w:t xml:space="preserve"> to demonstrate a benefit from </w:t>
      </w:r>
      <w:proofErr w:type="spellStart"/>
      <w:r w:rsidR="00166F6A">
        <w:t>bevacizumab</w:t>
      </w:r>
      <w:proofErr w:type="spellEnd"/>
      <w:r>
        <w:t>.</w:t>
      </w:r>
    </w:p>
    <w:p w:rsidR="00B11B95" w:rsidRDefault="00073D4D" w:rsidP="007B002B">
      <w:r>
        <w:t xml:space="preserve">However, analysis of overall survival in </w:t>
      </w:r>
      <w:r w:rsidR="00D70C91" w:rsidRPr="00D70C91">
        <w:rPr>
          <w:rFonts w:asciiTheme="minorHAnsi" w:hAnsiTheme="minorHAnsi" w:cs="Arial"/>
        </w:rPr>
        <w:t>RTOG-0525</w:t>
      </w:r>
      <w:r>
        <w:t xml:space="preserve">, according to MGMT methylation status, did reveal a significant difference in hazard </w:t>
      </w:r>
      <w:r w:rsidRPr="008E75AB">
        <w:t>ratio. This</w:t>
      </w:r>
      <w:r>
        <w:t xml:space="preserve"> evidence was reportedly presented to the ASCO conference in June 2011</w:t>
      </w:r>
      <w:r w:rsidR="00E02125">
        <w:t>;</w:t>
      </w:r>
      <w:r>
        <w:t xml:space="preserve"> it is not reported whether this data has been published in a peer-reviewed Journal.</w:t>
      </w:r>
      <w:r w:rsidRPr="00A5550D">
        <w:t xml:space="preserve"> </w:t>
      </w:r>
      <w:r>
        <w:t>The median OS for methylated patients was 23.2 months v</w:t>
      </w:r>
      <w:r w:rsidR="00E02125">
        <w:t>ersu</w:t>
      </w:r>
      <w:r>
        <w:t xml:space="preserve">s 16 months for </w:t>
      </w:r>
      <w:proofErr w:type="spellStart"/>
      <w:r>
        <w:t>unmethylated</w:t>
      </w:r>
      <w:proofErr w:type="spellEnd"/>
      <w:r>
        <w:t xml:space="preserve"> patients.</w:t>
      </w:r>
    </w:p>
    <w:p w:rsidR="00073D4D" w:rsidRPr="00E02125" w:rsidRDefault="00073D4D" w:rsidP="00053C69">
      <w:pPr>
        <w:pStyle w:val="Heading6"/>
        <w:rPr>
          <w:rFonts w:eastAsiaTheme="minorHAnsi"/>
        </w:rPr>
      </w:pPr>
      <w:proofErr w:type="spellStart"/>
      <w:r>
        <w:rPr>
          <w:rFonts w:eastAsiaTheme="minorHAnsi"/>
        </w:rPr>
        <w:t>Generalisability</w:t>
      </w:r>
      <w:proofErr w:type="spellEnd"/>
      <w:r>
        <w:rPr>
          <w:rFonts w:eastAsiaTheme="minorHAnsi"/>
        </w:rPr>
        <w:t xml:space="preserve"> </w:t>
      </w:r>
      <w:r w:rsidRPr="00053C69">
        <w:rPr>
          <w:rFonts w:eastAsiaTheme="minorHAnsi"/>
        </w:rPr>
        <w:t>of</w:t>
      </w:r>
      <w:r>
        <w:rPr>
          <w:rFonts w:eastAsiaTheme="minorHAnsi"/>
        </w:rPr>
        <w:t xml:space="preserve"> disease scoring assessment method</w:t>
      </w:r>
    </w:p>
    <w:p w:rsidR="00073D4D" w:rsidRDefault="00073D4D" w:rsidP="00053C69">
      <w:r>
        <w:t xml:space="preserve">Comparison of assessing </w:t>
      </w:r>
      <w:proofErr w:type="spellStart"/>
      <w:r>
        <w:t>glioblastoma</w:t>
      </w:r>
      <w:proofErr w:type="spellEnd"/>
      <w:r>
        <w:t xml:space="preserve"> response using Macdonald, RECIST, RANO and RECIST+F (RECIST plus </w:t>
      </w:r>
      <w:proofErr w:type="spellStart"/>
      <w:r>
        <w:t>Flaire</w:t>
      </w:r>
      <w:proofErr w:type="spellEnd"/>
      <w:r>
        <w:t xml:space="preserve"> /TS imaging has been reported.</w:t>
      </w:r>
      <w:r w:rsidR="00D01141">
        <w:rPr>
          <w:rStyle w:val="FootnoteReference"/>
          <w:rFonts w:eastAsiaTheme="minorHAnsi" w:cs="ArialMT"/>
        </w:rPr>
        <w:footnoteReference w:id="10"/>
      </w:r>
      <w:r>
        <w:t xml:space="preserve"> The modified Macdonald criteria employed in the pivotal trial have not been peer-reviewed and are not therefore neither directly comparable to currently described assessment methods nor </w:t>
      </w:r>
      <w:proofErr w:type="spellStart"/>
      <w:r>
        <w:t>generalisable</w:t>
      </w:r>
      <w:proofErr w:type="spellEnd"/>
      <w:r>
        <w:t xml:space="preserve"> into routine clinical practice. The criteria in the pivotal trial for: a complete response, partial response or stable disease is less stringent than either the original Macdonald or RANO criteria and therefore biased in favour of a smaller treatment effect. The Macdonald &amp; RANO group criteria include </w:t>
      </w:r>
      <w:r w:rsidRPr="00D01141">
        <w:rPr>
          <w:i/>
        </w:rPr>
        <w:t>all</w:t>
      </w:r>
      <w:r>
        <w:t xml:space="preserve"> lesions in the assessment of complete response and partial response, whereas the pivotal study </w:t>
      </w:r>
      <w:proofErr w:type="gramStart"/>
      <w:r>
        <w:t>criteria differentiates</w:t>
      </w:r>
      <w:proofErr w:type="gramEnd"/>
      <w:r>
        <w:t xml:space="preserve"> between the response of the </w:t>
      </w:r>
      <w:r w:rsidR="00D01141">
        <w:t>‘</w:t>
      </w:r>
      <w:r>
        <w:t>index lesion</w:t>
      </w:r>
      <w:r w:rsidR="00D01141">
        <w:t>’ and ‘</w:t>
      </w:r>
      <w:r>
        <w:t>non-index</w:t>
      </w:r>
      <w:r w:rsidR="00D01141">
        <w:t>’</w:t>
      </w:r>
      <w:r>
        <w:t xml:space="preserve"> lesions(s).</w:t>
      </w:r>
    </w:p>
    <w:p w:rsidR="00053C69" w:rsidRDefault="00053C69">
      <w:pPr>
        <w:spacing w:before="0" w:after="200" w:line="0" w:lineRule="auto"/>
        <w:rPr>
          <w:b/>
          <w:bCs/>
          <w:szCs w:val="21"/>
        </w:rPr>
      </w:pPr>
      <w:r>
        <w:br w:type="page"/>
      </w:r>
    </w:p>
    <w:p w:rsidR="00073D4D" w:rsidRPr="00D01141" w:rsidRDefault="00073D4D" w:rsidP="00053C69">
      <w:pPr>
        <w:pStyle w:val="Heading4"/>
      </w:pPr>
      <w:r>
        <w:lastRenderedPageBreak/>
        <w:t xml:space="preserve">In </w:t>
      </w:r>
      <w:r w:rsidRPr="00053C69">
        <w:t>summary</w:t>
      </w:r>
    </w:p>
    <w:p w:rsidR="00073D4D" w:rsidRDefault="00073D4D" w:rsidP="007B002B">
      <w:r>
        <w:t>In the pivotal trial, given that:</w:t>
      </w:r>
    </w:p>
    <w:p w:rsidR="00073D4D" w:rsidRPr="00D01141" w:rsidRDefault="00073D4D" w:rsidP="001D5E5F">
      <w:pPr>
        <w:pStyle w:val="Numberbullet0"/>
        <w:numPr>
          <w:ilvl w:val="0"/>
          <w:numId w:val="8"/>
        </w:numPr>
      </w:pPr>
      <w:r w:rsidRPr="00D01141">
        <w:t>MGMT methylation status of 24% of the pivotal trial population is not known.</w:t>
      </w:r>
    </w:p>
    <w:p w:rsidR="00073D4D" w:rsidRPr="00D01141" w:rsidRDefault="007B002B" w:rsidP="00D01141">
      <w:pPr>
        <w:pStyle w:val="Numberbullet0"/>
      </w:pPr>
      <w:proofErr w:type="gramStart"/>
      <w:r>
        <w:t>s</w:t>
      </w:r>
      <w:r w:rsidR="00073D4D" w:rsidRPr="00D01141">
        <w:t>ubjects</w:t>
      </w:r>
      <w:proofErr w:type="gramEnd"/>
      <w:r w:rsidR="00073D4D" w:rsidRPr="00D01141">
        <w:t xml:space="preserve"> were not randomised according to MGMT status.</w:t>
      </w:r>
    </w:p>
    <w:p w:rsidR="00073D4D" w:rsidRPr="00D01141" w:rsidRDefault="00073D4D" w:rsidP="00D01141">
      <w:pPr>
        <w:pStyle w:val="Numberbullet0"/>
      </w:pPr>
      <w:r w:rsidRPr="00D01141">
        <w:t>MGMT status is known to be an effect-modifier, and was shown by the pivotal trial to have a significant effect on PFS and OS in newly diagnosed GBM in those whose MGMT status was confirmed.</w:t>
      </w:r>
    </w:p>
    <w:p w:rsidR="00073D4D" w:rsidRPr="00D01141" w:rsidRDefault="007B002B" w:rsidP="00D01141">
      <w:pPr>
        <w:pStyle w:val="Numberbullet0"/>
      </w:pPr>
      <w:proofErr w:type="gramStart"/>
      <w:r>
        <w:t>t</w:t>
      </w:r>
      <w:r w:rsidR="00073D4D" w:rsidRPr="00D01141">
        <w:t>he</w:t>
      </w:r>
      <w:proofErr w:type="gramEnd"/>
      <w:r w:rsidR="00073D4D" w:rsidRPr="00D01141">
        <w:t xml:space="preserve"> reported independent effect of MGMT methylation status on PFS in the pivotal trial is greater than that for </w:t>
      </w:r>
      <w:proofErr w:type="spellStart"/>
      <w:r w:rsidR="00166F6A" w:rsidRPr="00D01141">
        <w:t>bevacizumab</w:t>
      </w:r>
      <w:proofErr w:type="spellEnd"/>
      <w:r w:rsidR="00073D4D" w:rsidRPr="00D01141">
        <w:t xml:space="preserve"> treatment.</w:t>
      </w:r>
    </w:p>
    <w:p w:rsidR="00073D4D" w:rsidRPr="00D01141" w:rsidRDefault="007B002B" w:rsidP="00D01141">
      <w:pPr>
        <w:pStyle w:val="Numberbullet0"/>
      </w:pPr>
      <w:proofErr w:type="gramStart"/>
      <w:r>
        <w:t>t</w:t>
      </w:r>
      <w:r w:rsidR="00073D4D" w:rsidRPr="00D01141">
        <w:t>he</w:t>
      </w:r>
      <w:proofErr w:type="gramEnd"/>
      <w:r w:rsidR="00073D4D" w:rsidRPr="00D01141">
        <w:t xml:space="preserve"> assessment method employed in the pivotal trial is biased towards demonstrating a positive effect of </w:t>
      </w:r>
      <w:proofErr w:type="spellStart"/>
      <w:r w:rsidR="00166F6A" w:rsidRPr="00D01141">
        <w:t>bevacizumab</w:t>
      </w:r>
      <w:proofErr w:type="spellEnd"/>
      <w:r w:rsidR="00073D4D" w:rsidRPr="00D01141">
        <w:t xml:space="preserve"> from a potentially smaller treatment effect, as compared to established assessment methods used in clinical practice.</w:t>
      </w:r>
    </w:p>
    <w:p w:rsidR="00073D4D" w:rsidRPr="00D01141" w:rsidRDefault="007B002B" w:rsidP="00D01141">
      <w:pPr>
        <w:pStyle w:val="Numberbullet0"/>
      </w:pPr>
      <w:proofErr w:type="gramStart"/>
      <w:r>
        <w:t>t</w:t>
      </w:r>
      <w:r w:rsidR="00073D4D" w:rsidRPr="00D01141">
        <w:t>here</w:t>
      </w:r>
      <w:proofErr w:type="gramEnd"/>
      <w:r w:rsidR="00073D4D" w:rsidRPr="00D01141">
        <w:t xml:space="preserve"> was no benefit demonstrated in continuing </w:t>
      </w:r>
      <w:proofErr w:type="spellStart"/>
      <w:r w:rsidR="00166F6A" w:rsidRPr="00D01141">
        <w:t>bevacizumab</w:t>
      </w:r>
      <w:proofErr w:type="spellEnd"/>
      <w:r w:rsidR="00073D4D" w:rsidRPr="00D01141">
        <w:t xml:space="preserve"> following disease progression.</w:t>
      </w:r>
    </w:p>
    <w:p w:rsidR="00073D4D" w:rsidRDefault="00D01141" w:rsidP="007B002B">
      <w:r>
        <w:t>i</w:t>
      </w:r>
      <w:r w:rsidR="00073D4D">
        <w:t xml:space="preserve">t is not possible to conclude that the reported </w:t>
      </w:r>
      <w:r w:rsidR="00073D4D" w:rsidRPr="00E72512">
        <w:rPr>
          <w:i/>
        </w:rPr>
        <w:t>overall</w:t>
      </w:r>
      <w:r w:rsidR="00073D4D">
        <w:t xml:space="preserve"> improvement in PFS, and increased exposure to </w:t>
      </w:r>
      <w:proofErr w:type="spellStart"/>
      <w:r w:rsidR="00073D4D">
        <w:t>temozolomide</w:t>
      </w:r>
      <w:proofErr w:type="spellEnd"/>
      <w:r w:rsidR="00073D4D">
        <w:t xml:space="preserve"> seen in the </w:t>
      </w:r>
      <w:proofErr w:type="spellStart"/>
      <w:r w:rsidR="00166F6A">
        <w:t>bevacizumab</w:t>
      </w:r>
      <w:proofErr w:type="spellEnd"/>
      <w:r w:rsidR="00073D4D">
        <w:t xml:space="preserve"> arm, is </w:t>
      </w:r>
      <w:r w:rsidR="00073D4D" w:rsidRPr="009D1AD8">
        <w:rPr>
          <w:i/>
        </w:rPr>
        <w:t xml:space="preserve">only </w:t>
      </w:r>
      <w:r w:rsidR="00073D4D">
        <w:t xml:space="preserve">due to an independent effect of </w:t>
      </w:r>
      <w:proofErr w:type="spellStart"/>
      <w:r w:rsidR="00166F6A">
        <w:t>bevacizumab</w:t>
      </w:r>
      <w:proofErr w:type="spellEnd"/>
      <w:r w:rsidR="00073D4D">
        <w:t xml:space="preserve"> and not as a result of differential MGMT methylation status</w:t>
      </w:r>
      <w:r w:rsidR="00073D4D" w:rsidRPr="00A841A8">
        <w:t xml:space="preserve"> </w:t>
      </w:r>
      <w:r w:rsidR="00073D4D">
        <w:t xml:space="preserve">between the two treatment arms. </w:t>
      </w:r>
      <w:r w:rsidR="00073D4D" w:rsidRPr="00423877">
        <w:t xml:space="preserve">Furthermore, </w:t>
      </w:r>
      <w:r w:rsidR="00073D4D">
        <w:t xml:space="preserve">if the co-primary outcomes are confounded, </w:t>
      </w:r>
      <w:r w:rsidR="00073D4D" w:rsidRPr="00423877">
        <w:t>the assessment of secondary outcomes</w:t>
      </w:r>
      <w:r w:rsidR="00073D4D">
        <w:t xml:space="preserve"> reported</w:t>
      </w:r>
      <w:r w:rsidR="00073D4D" w:rsidRPr="00423877">
        <w:t xml:space="preserve"> in the pivotal study will be similarly confounded</w:t>
      </w:r>
      <w:r w:rsidR="00073D4D">
        <w:t xml:space="preserve"> </w:t>
      </w:r>
      <w:r w:rsidR="00073D4D" w:rsidRPr="00423877">
        <w:t xml:space="preserve">and </w:t>
      </w:r>
      <w:r w:rsidR="00073D4D">
        <w:t xml:space="preserve">are </w:t>
      </w:r>
      <w:r w:rsidR="00073D4D" w:rsidRPr="00423877">
        <w:t xml:space="preserve">therefore </w:t>
      </w:r>
      <w:r w:rsidR="00073D4D">
        <w:t xml:space="preserve">cannot be categorically interpreted in favour of </w:t>
      </w:r>
      <w:proofErr w:type="spellStart"/>
      <w:r w:rsidR="00166F6A">
        <w:t>bevacizumab</w:t>
      </w:r>
      <w:proofErr w:type="spellEnd"/>
      <w:r w:rsidR="00073D4D">
        <w:t>.</w:t>
      </w:r>
    </w:p>
    <w:p w:rsidR="00073D4D" w:rsidRPr="00D01141" w:rsidRDefault="00073D4D" w:rsidP="00053C69">
      <w:pPr>
        <w:pStyle w:val="Heading5"/>
      </w:pPr>
      <w:r w:rsidRPr="00053C69">
        <w:t>Safety</w:t>
      </w:r>
    </w:p>
    <w:p w:rsidR="00073D4D" w:rsidRPr="00D01141" w:rsidRDefault="00073D4D" w:rsidP="00053C69">
      <w:pPr>
        <w:pStyle w:val="ListBullet"/>
      </w:pPr>
      <w:r w:rsidRPr="00D01141">
        <w:t xml:space="preserve">Overall, the </w:t>
      </w:r>
      <w:proofErr w:type="spellStart"/>
      <w:r w:rsidRPr="00D01141">
        <w:t>Avastin</w:t>
      </w:r>
      <w:proofErr w:type="spellEnd"/>
      <w:r w:rsidRPr="00D01141">
        <w:t xml:space="preserve"> arm had significant adverse toxicity including haematological, cardiovascular, proteinuria and gastrointestinal (including </w:t>
      </w:r>
      <w:r w:rsidR="00D01141">
        <w:t>Grades 3, 4 and</w:t>
      </w:r>
      <w:r w:rsidR="00053C69">
        <w:t xml:space="preserve"> 5 </w:t>
      </w:r>
      <w:r w:rsidR="00053C69" w:rsidRPr="00053C69">
        <w:t>perforations</w:t>
      </w:r>
      <w:r w:rsidR="00053C69">
        <w:t>).</w:t>
      </w:r>
    </w:p>
    <w:p w:rsidR="00073D4D" w:rsidRPr="00D01141" w:rsidRDefault="00073D4D" w:rsidP="00D01141">
      <w:pPr>
        <w:pStyle w:val="ListBullet"/>
      </w:pPr>
      <w:r w:rsidRPr="00D01141">
        <w:t xml:space="preserve">The overall incidence of serious AEs, </w:t>
      </w:r>
      <w:r w:rsidR="00D01141">
        <w:t>G</w:t>
      </w:r>
      <w:r w:rsidRPr="00D01141">
        <w:t xml:space="preserve">rade </w:t>
      </w:r>
      <w:r w:rsidR="00D01141">
        <w:t>≥</w:t>
      </w:r>
      <w:r w:rsidRPr="00D01141">
        <w:t xml:space="preserve"> </w:t>
      </w:r>
      <w:r w:rsidR="00D01141">
        <w:t>3 AEs, G</w:t>
      </w:r>
      <w:r w:rsidRPr="00D01141">
        <w:t xml:space="preserve">rades 3, 4 </w:t>
      </w:r>
      <w:r w:rsidR="00D01141">
        <w:t>and</w:t>
      </w:r>
      <w:r w:rsidRPr="00D01141">
        <w:t xml:space="preserve"> 5 AEs, and AEs leading to discontinuation of any component of treatment was higher in the </w:t>
      </w:r>
      <w:proofErr w:type="spellStart"/>
      <w:r w:rsidR="00166F6A" w:rsidRPr="00D01141">
        <w:t>bevacizumab</w:t>
      </w:r>
      <w:proofErr w:type="spellEnd"/>
      <w:r w:rsidRPr="00D01141">
        <w:t xml:space="preserve"> treatment arm.</w:t>
      </w:r>
    </w:p>
    <w:p w:rsidR="00073D4D" w:rsidRPr="00D01141" w:rsidRDefault="00073D4D" w:rsidP="00D01141">
      <w:pPr>
        <w:pStyle w:val="ListBullet"/>
      </w:pPr>
      <w:r w:rsidRPr="00D01141">
        <w:t>Causes of death were similar between study arms.</w:t>
      </w:r>
    </w:p>
    <w:p w:rsidR="00073D4D" w:rsidRPr="00AC697F" w:rsidRDefault="00073D4D" w:rsidP="00A62574">
      <w:pPr>
        <w:pStyle w:val="Heading5"/>
      </w:pPr>
      <w:r w:rsidRPr="00AC697F">
        <w:t>Indications</w:t>
      </w:r>
    </w:p>
    <w:p w:rsidR="00073D4D" w:rsidRDefault="00073D4D" w:rsidP="00A62574">
      <w:pPr>
        <w:pStyle w:val="Heading6"/>
      </w:pPr>
      <w:r>
        <w:t>(1) C</w:t>
      </w:r>
      <w:r w:rsidRPr="00AC697F">
        <w:t>urrent</w:t>
      </w:r>
    </w:p>
    <w:p w:rsidR="00073D4D" w:rsidRPr="00D01141" w:rsidRDefault="00073D4D" w:rsidP="00D01141">
      <w:pPr>
        <w:ind w:left="720"/>
        <w:rPr>
          <w:i/>
        </w:rPr>
      </w:pPr>
      <w:r w:rsidRPr="00D01141">
        <w:rPr>
          <w:b/>
          <w:bCs/>
          <w:i/>
          <w:iCs/>
        </w:rPr>
        <w:t xml:space="preserve">Metastatic Colorectal Cancer </w:t>
      </w:r>
      <w:proofErr w:type="spellStart"/>
      <w:r w:rsidR="00166F6A" w:rsidRPr="00D01141">
        <w:rPr>
          <w:i/>
        </w:rPr>
        <w:t>bevacizumab</w:t>
      </w:r>
      <w:proofErr w:type="spellEnd"/>
      <w:r w:rsidRPr="00D01141">
        <w:rPr>
          <w:i/>
        </w:rPr>
        <w:t xml:space="preserve"> in combination with </w:t>
      </w:r>
      <w:proofErr w:type="spellStart"/>
      <w:r w:rsidRPr="00D01141">
        <w:rPr>
          <w:i/>
        </w:rPr>
        <w:t>fluoropyrimidine</w:t>
      </w:r>
      <w:proofErr w:type="spellEnd"/>
      <w:r w:rsidRPr="00D01141">
        <w:rPr>
          <w:i/>
        </w:rPr>
        <w:t>-based chemotherapy is indicated for the treatment of patients wit</w:t>
      </w:r>
      <w:r w:rsidR="00053C69">
        <w:rPr>
          <w:i/>
        </w:rPr>
        <w:t>h metastatic colorectal cancer.</w:t>
      </w:r>
    </w:p>
    <w:p w:rsidR="00073D4D" w:rsidRPr="00D01141" w:rsidRDefault="00073D4D" w:rsidP="00D01141">
      <w:pPr>
        <w:ind w:left="720"/>
        <w:rPr>
          <w:i/>
        </w:rPr>
      </w:pPr>
      <w:r w:rsidRPr="00D01141">
        <w:rPr>
          <w:b/>
          <w:bCs/>
          <w:i/>
          <w:iCs/>
        </w:rPr>
        <w:t xml:space="preserve">Locally recurrent or metastatic Breast Cancer </w:t>
      </w:r>
      <w:proofErr w:type="spellStart"/>
      <w:r w:rsidR="00166F6A" w:rsidRPr="00D01141">
        <w:rPr>
          <w:i/>
        </w:rPr>
        <w:t>bevacizumab</w:t>
      </w:r>
      <w:proofErr w:type="spellEnd"/>
      <w:r w:rsidRPr="00D01141">
        <w:rPr>
          <w:i/>
        </w:rPr>
        <w:t xml:space="preserve"> in combination with paclitaxel is indicated for the first-line treatment of metastatic breast cancer in patients in whom an </w:t>
      </w:r>
      <w:proofErr w:type="spellStart"/>
      <w:r w:rsidRPr="00D01141">
        <w:rPr>
          <w:i/>
        </w:rPr>
        <w:t>anthracycline</w:t>
      </w:r>
      <w:proofErr w:type="spellEnd"/>
      <w:r w:rsidRPr="00D01141">
        <w:rPr>
          <w:i/>
        </w:rPr>
        <w:t>-based therapy is contraindicated.</w:t>
      </w:r>
    </w:p>
    <w:p w:rsidR="00073D4D" w:rsidRPr="00D01141" w:rsidRDefault="00073D4D" w:rsidP="00D01141">
      <w:pPr>
        <w:ind w:left="720"/>
        <w:rPr>
          <w:i/>
        </w:rPr>
      </w:pPr>
      <w:r w:rsidRPr="00D01141">
        <w:rPr>
          <w:b/>
          <w:bCs/>
          <w:i/>
          <w:iCs/>
        </w:rPr>
        <w:t>Advanced, metastatic or recurrent non-squamous Non-Small Cell</w:t>
      </w:r>
      <w:r w:rsidRPr="00D01141">
        <w:rPr>
          <w:i/>
        </w:rPr>
        <w:t xml:space="preserve"> </w:t>
      </w:r>
      <w:r w:rsidRPr="00D01141">
        <w:rPr>
          <w:b/>
          <w:bCs/>
          <w:i/>
          <w:iCs/>
        </w:rPr>
        <w:t xml:space="preserve">Lung Cancer (NSCLC) </w:t>
      </w:r>
      <w:proofErr w:type="spellStart"/>
      <w:r w:rsidR="00166F6A" w:rsidRPr="00D01141">
        <w:rPr>
          <w:i/>
        </w:rPr>
        <w:t>bevacizumab</w:t>
      </w:r>
      <w:proofErr w:type="spellEnd"/>
      <w:r w:rsidRPr="00D01141">
        <w:rPr>
          <w:i/>
        </w:rPr>
        <w:t>, in combination with carboplatin and paclitaxel, is indicated for first-line treatment of patients with unresectable advanced, metastatic or recurrent, non-squamo</w:t>
      </w:r>
      <w:r w:rsidR="00053C69">
        <w:rPr>
          <w:i/>
        </w:rPr>
        <w:t>us, non-small cell lung cancer.</w:t>
      </w:r>
    </w:p>
    <w:p w:rsidR="00073D4D" w:rsidRPr="00D01141" w:rsidRDefault="00073D4D" w:rsidP="00D01141">
      <w:pPr>
        <w:ind w:left="720"/>
        <w:rPr>
          <w:rFonts w:eastAsiaTheme="minorHAnsi"/>
          <w:i/>
        </w:rPr>
      </w:pPr>
      <w:r w:rsidRPr="00D01141">
        <w:rPr>
          <w:rFonts w:eastAsiaTheme="minorHAnsi"/>
          <w:b/>
          <w:bCs/>
          <w:i/>
          <w:iCs/>
        </w:rPr>
        <w:t xml:space="preserve">Advanced and/or metastatic Renal Cell Cancer </w:t>
      </w:r>
      <w:proofErr w:type="spellStart"/>
      <w:r w:rsidR="00166F6A" w:rsidRPr="00D01141">
        <w:rPr>
          <w:rFonts w:eastAsiaTheme="minorHAnsi"/>
          <w:i/>
        </w:rPr>
        <w:t>bevacizumab</w:t>
      </w:r>
      <w:proofErr w:type="spellEnd"/>
      <w:r w:rsidRPr="00D01141">
        <w:rPr>
          <w:rFonts w:eastAsiaTheme="minorHAnsi"/>
          <w:i/>
        </w:rPr>
        <w:t xml:space="preserve"> in combination with interferon alfa-2a is indicated for treatment of patients with advanced and/o</w:t>
      </w:r>
      <w:r w:rsidR="00053C69">
        <w:rPr>
          <w:rFonts w:eastAsiaTheme="minorHAnsi"/>
          <w:i/>
        </w:rPr>
        <w:t>r metastatic renal cell cancer.</w:t>
      </w:r>
    </w:p>
    <w:p w:rsidR="00073D4D" w:rsidRPr="00D01141" w:rsidRDefault="00073D4D" w:rsidP="00D01141">
      <w:pPr>
        <w:ind w:left="720"/>
        <w:rPr>
          <w:rFonts w:eastAsiaTheme="minorHAnsi"/>
          <w:i/>
        </w:rPr>
      </w:pPr>
      <w:r w:rsidRPr="00D01141">
        <w:rPr>
          <w:rFonts w:eastAsiaTheme="minorHAnsi"/>
          <w:b/>
          <w:bCs/>
          <w:i/>
          <w:iCs/>
        </w:rPr>
        <w:lastRenderedPageBreak/>
        <w:t xml:space="preserve">Grade IV </w:t>
      </w:r>
      <w:proofErr w:type="spellStart"/>
      <w:r w:rsidRPr="00D01141">
        <w:rPr>
          <w:rFonts w:eastAsiaTheme="minorHAnsi"/>
          <w:b/>
          <w:bCs/>
          <w:i/>
          <w:iCs/>
        </w:rPr>
        <w:t>Glioma</w:t>
      </w:r>
      <w:proofErr w:type="spellEnd"/>
      <w:r w:rsidRPr="00D01141">
        <w:rPr>
          <w:rFonts w:eastAsiaTheme="minorHAnsi"/>
          <w:b/>
          <w:bCs/>
          <w:i/>
          <w:iCs/>
        </w:rPr>
        <w:t xml:space="preserve"> </w:t>
      </w:r>
      <w:proofErr w:type="spellStart"/>
      <w:r w:rsidR="00166F6A" w:rsidRPr="00D01141">
        <w:rPr>
          <w:rFonts w:eastAsiaTheme="minorHAnsi"/>
          <w:i/>
        </w:rPr>
        <w:t>bevacizumab</w:t>
      </w:r>
      <w:proofErr w:type="spellEnd"/>
      <w:r w:rsidRPr="00D01141">
        <w:rPr>
          <w:rFonts w:eastAsiaTheme="minorHAnsi"/>
          <w:i/>
        </w:rPr>
        <w:t xml:space="preserve"> as a single-</w:t>
      </w:r>
      <w:proofErr w:type="gramStart"/>
      <w:r w:rsidRPr="00D01141">
        <w:rPr>
          <w:rFonts w:eastAsiaTheme="minorHAnsi"/>
          <w:i/>
        </w:rPr>
        <w:t>agent,</w:t>
      </w:r>
      <w:proofErr w:type="gramEnd"/>
      <w:r w:rsidRPr="00D01141">
        <w:rPr>
          <w:rFonts w:eastAsiaTheme="minorHAnsi"/>
          <w:i/>
        </w:rPr>
        <w:t xml:space="preserve"> is indicated for the treatment of patients with Grade IV </w:t>
      </w:r>
      <w:proofErr w:type="spellStart"/>
      <w:r w:rsidRPr="00D01141">
        <w:rPr>
          <w:rFonts w:eastAsiaTheme="minorHAnsi"/>
          <w:i/>
        </w:rPr>
        <w:t>glioma</w:t>
      </w:r>
      <w:proofErr w:type="spellEnd"/>
      <w:r w:rsidRPr="00D01141">
        <w:rPr>
          <w:rFonts w:eastAsiaTheme="minorHAnsi"/>
          <w:i/>
        </w:rPr>
        <w:t xml:space="preserve"> after relapse or disease progression after standard t</w:t>
      </w:r>
      <w:r w:rsidR="00053C69">
        <w:rPr>
          <w:rFonts w:eastAsiaTheme="minorHAnsi"/>
          <w:i/>
        </w:rPr>
        <w:t>herapy, including chemotherapy.</w:t>
      </w:r>
    </w:p>
    <w:p w:rsidR="00073D4D" w:rsidRPr="00D01141" w:rsidRDefault="00073D4D" w:rsidP="00D01141">
      <w:pPr>
        <w:ind w:left="720"/>
        <w:rPr>
          <w:rFonts w:eastAsiaTheme="minorHAnsi"/>
          <w:i/>
        </w:rPr>
      </w:pPr>
      <w:r w:rsidRPr="00D01141">
        <w:rPr>
          <w:rFonts w:eastAsiaTheme="minorHAnsi"/>
          <w:b/>
          <w:bCs/>
          <w:i/>
          <w:iCs/>
        </w:rPr>
        <w:t xml:space="preserve">Epithelial Ovarian, Fallopian Tube or Primary Peritoneal Cancer </w:t>
      </w:r>
      <w:proofErr w:type="spellStart"/>
      <w:r w:rsidR="00166F6A" w:rsidRPr="00D01141">
        <w:rPr>
          <w:rFonts w:eastAsiaTheme="minorHAnsi"/>
          <w:i/>
        </w:rPr>
        <w:t>bevacizumab</w:t>
      </w:r>
      <w:proofErr w:type="spellEnd"/>
      <w:r w:rsidRPr="00D01141">
        <w:rPr>
          <w:rFonts w:eastAsiaTheme="minorHAnsi"/>
          <w:i/>
        </w:rPr>
        <w:t xml:space="preserve"> in combination with carboplatin and </w:t>
      </w:r>
      <w:proofErr w:type="gramStart"/>
      <w:r w:rsidRPr="00D01141">
        <w:rPr>
          <w:rFonts w:eastAsiaTheme="minorHAnsi"/>
          <w:i/>
        </w:rPr>
        <w:t>paclitaxel,</w:t>
      </w:r>
      <w:proofErr w:type="gramEnd"/>
      <w:r w:rsidRPr="00D01141">
        <w:rPr>
          <w:rFonts w:eastAsiaTheme="minorHAnsi"/>
          <w:i/>
        </w:rPr>
        <w:t xml:space="preserve"> is indicated for first-line treatment of patients with advanced (FIGO stages IIIB, IIIC and IV) epithelial ovarian, fallopian tube</w:t>
      </w:r>
      <w:r w:rsidR="00053C69">
        <w:rPr>
          <w:rFonts w:eastAsiaTheme="minorHAnsi"/>
          <w:i/>
        </w:rPr>
        <w:t>, or primary peritoneal cancer.</w:t>
      </w:r>
    </w:p>
    <w:p w:rsidR="00073D4D" w:rsidRPr="00D01141" w:rsidRDefault="00073D4D" w:rsidP="00D01141">
      <w:pPr>
        <w:ind w:left="720"/>
        <w:rPr>
          <w:rFonts w:eastAsiaTheme="minorHAnsi"/>
          <w:i/>
        </w:rPr>
      </w:pPr>
      <w:r w:rsidRPr="00D01141">
        <w:rPr>
          <w:rFonts w:eastAsiaTheme="minorHAnsi"/>
          <w:b/>
          <w:bCs/>
          <w:i/>
          <w:iCs/>
        </w:rPr>
        <w:t xml:space="preserve">Recurrent Epithelial Ovarian, Fallopian Tube or Primary Peritoneal Cancer </w:t>
      </w:r>
      <w:proofErr w:type="spellStart"/>
      <w:r w:rsidR="00166F6A" w:rsidRPr="00D01141">
        <w:rPr>
          <w:rFonts w:eastAsiaTheme="minorHAnsi"/>
          <w:i/>
        </w:rPr>
        <w:t>bevacizumab</w:t>
      </w:r>
      <w:proofErr w:type="spellEnd"/>
      <w:r w:rsidRPr="00D01141">
        <w:rPr>
          <w:rFonts w:eastAsiaTheme="minorHAnsi"/>
          <w:i/>
        </w:rPr>
        <w:t xml:space="preserve">, in combination with carboplatin and gemcitabine, is indicated for the treatment of patients with recurrent, platinum-sensitive, epithelial ovarian, fallopian tube, or primary peritoneal cancer who have not received prior </w:t>
      </w:r>
      <w:proofErr w:type="spellStart"/>
      <w:r w:rsidR="00166F6A" w:rsidRPr="00D01141">
        <w:rPr>
          <w:rFonts w:eastAsiaTheme="minorHAnsi"/>
          <w:i/>
        </w:rPr>
        <w:t>bevacizumab</w:t>
      </w:r>
      <w:proofErr w:type="spellEnd"/>
      <w:r w:rsidRPr="00D01141">
        <w:rPr>
          <w:rFonts w:eastAsiaTheme="minorHAnsi"/>
          <w:i/>
        </w:rPr>
        <w:t xml:space="preserve"> or other VEGF-targeted angiogenesis inhibitors.</w:t>
      </w:r>
    </w:p>
    <w:p w:rsidR="00073D4D" w:rsidRPr="00AC697F" w:rsidRDefault="00073D4D" w:rsidP="00A62574">
      <w:pPr>
        <w:pStyle w:val="Heading6"/>
      </w:pPr>
      <w:r w:rsidRPr="00AC697F">
        <w:t>(2) Initially proposed by sponsor in this submission</w:t>
      </w:r>
    </w:p>
    <w:p w:rsidR="00073D4D" w:rsidRPr="00D01141" w:rsidRDefault="00073D4D" w:rsidP="00D01141">
      <w:pPr>
        <w:tabs>
          <w:tab w:val="right" w:pos="7088"/>
        </w:tabs>
        <w:spacing w:before="0" w:line="240" w:lineRule="auto"/>
        <w:ind w:left="720"/>
        <w:jc w:val="both"/>
        <w:rPr>
          <w:rFonts w:cs="Calibri"/>
          <w:i/>
          <w:highlight w:val="yellow"/>
          <w:u w:val="single"/>
        </w:rPr>
      </w:pPr>
      <w:r w:rsidRPr="00D01141">
        <w:rPr>
          <w:rFonts w:cs="Arial"/>
          <w:i/>
          <w:noProof/>
        </w:rPr>
        <w:t>Avastin (</w:t>
      </w:r>
      <w:r w:rsidR="00166F6A" w:rsidRPr="00D01141">
        <w:rPr>
          <w:rFonts w:cs="Arial"/>
          <w:i/>
          <w:noProof/>
        </w:rPr>
        <w:t>bevacizumab</w:t>
      </w:r>
      <w:r w:rsidRPr="00D01141">
        <w:rPr>
          <w:rFonts w:cs="Arial"/>
          <w:i/>
          <w:noProof/>
        </w:rPr>
        <w:t>) in combination with radiotherapy and temozolomide is indicated for the treatment of adult patients with newly diagnosed glioblastoma.</w:t>
      </w:r>
    </w:p>
    <w:p w:rsidR="00073D4D" w:rsidRPr="004C3E3E" w:rsidRDefault="00073D4D" w:rsidP="00053C69">
      <w:pPr>
        <w:pStyle w:val="Heading5"/>
      </w:pPr>
      <w:r w:rsidRPr="00053C69">
        <w:t>Overall</w:t>
      </w:r>
      <w:r w:rsidRPr="004C3E3E">
        <w:t xml:space="preserve"> risk-benefit</w:t>
      </w:r>
    </w:p>
    <w:p w:rsidR="00073D4D" w:rsidRPr="004C3E3E" w:rsidRDefault="00073D4D" w:rsidP="00A62574">
      <w:r>
        <w:t>The pivotal trial has not</w:t>
      </w:r>
      <w:r w:rsidRPr="004C3E3E">
        <w:t xml:space="preserve"> satisfactorily demonstrate</w:t>
      </w:r>
      <w:r>
        <w:t>d</w:t>
      </w:r>
      <w:r w:rsidRPr="004C3E3E">
        <w:t xml:space="preserve"> the efficacy of </w:t>
      </w:r>
      <w:proofErr w:type="spellStart"/>
      <w:r w:rsidR="00166F6A">
        <w:t>bevacizumab</w:t>
      </w:r>
      <w:proofErr w:type="spellEnd"/>
      <w:r w:rsidRPr="004C3E3E">
        <w:t xml:space="preserve"> in the proposed indication of newly diagnosed </w:t>
      </w:r>
      <w:proofErr w:type="spellStart"/>
      <w:r w:rsidRPr="004C3E3E">
        <w:t>glioblastoma</w:t>
      </w:r>
      <w:proofErr w:type="spellEnd"/>
      <w:r>
        <w:t>. Furthermore, the pivotal trial demonstrates an</w:t>
      </w:r>
      <w:r w:rsidRPr="004C3E3E">
        <w:t xml:space="preserve"> adverse safety profile in those subjects exposed to </w:t>
      </w:r>
      <w:proofErr w:type="spellStart"/>
      <w:r w:rsidR="00166F6A">
        <w:t>bevacizumab</w:t>
      </w:r>
      <w:proofErr w:type="spellEnd"/>
      <w:r w:rsidRPr="004C3E3E">
        <w:t xml:space="preserve"> </w:t>
      </w:r>
      <w:r>
        <w:t>as compared to placebo. Therefore,</w:t>
      </w:r>
      <w:r w:rsidRPr="004C3E3E">
        <w:t xml:space="preserve"> the overa</w:t>
      </w:r>
      <w:r>
        <w:t>ll risk-benefit is unfavourable.</w:t>
      </w:r>
    </w:p>
    <w:p w:rsidR="00073D4D" w:rsidRDefault="00073D4D" w:rsidP="00053C69">
      <w:pPr>
        <w:pStyle w:val="Heading4"/>
      </w:pPr>
      <w:r>
        <w:t xml:space="preserve">Summary of </w:t>
      </w:r>
      <w:r w:rsidRPr="00053C69">
        <w:t>Delegate’s</w:t>
      </w:r>
      <w:r>
        <w:t xml:space="preserve"> issues</w:t>
      </w:r>
    </w:p>
    <w:p w:rsidR="00073D4D" w:rsidRPr="00D01141" w:rsidRDefault="00073D4D" w:rsidP="001D5E5F">
      <w:pPr>
        <w:pStyle w:val="Numberbullet0"/>
        <w:numPr>
          <w:ilvl w:val="0"/>
          <w:numId w:val="9"/>
        </w:numPr>
      </w:pPr>
      <w:r w:rsidRPr="00D01141">
        <w:t xml:space="preserve">Progression-free survival but not overall survival was improved with the addition of </w:t>
      </w:r>
      <w:proofErr w:type="spellStart"/>
      <w:r w:rsidR="00166F6A" w:rsidRPr="00D01141">
        <w:t>bevacizumab</w:t>
      </w:r>
      <w:proofErr w:type="spellEnd"/>
      <w:r w:rsidRPr="00D01141">
        <w:t>.</w:t>
      </w:r>
    </w:p>
    <w:p w:rsidR="00073D4D" w:rsidRPr="00D01141" w:rsidRDefault="00073D4D" w:rsidP="00D01141">
      <w:pPr>
        <w:pStyle w:val="Numberbullet0"/>
      </w:pPr>
      <w:r w:rsidRPr="00D01141">
        <w:t>MGMT methylation status causes effect-modification in GBM. This was not a randomisation factor in the pivotal trial which yields uncertainty of the primary and secondary efficacy outcomes.</w:t>
      </w:r>
    </w:p>
    <w:p w:rsidR="00073D4D" w:rsidRPr="00D01141" w:rsidRDefault="00073D4D" w:rsidP="00D01141">
      <w:pPr>
        <w:pStyle w:val="Numberbullet0"/>
      </w:pPr>
      <w:r w:rsidRPr="00D01141">
        <w:t xml:space="preserve">No benefit demonstrated from continued </w:t>
      </w:r>
      <w:proofErr w:type="spellStart"/>
      <w:r w:rsidR="00166F6A" w:rsidRPr="00D01141">
        <w:t>bevacizumab</w:t>
      </w:r>
      <w:proofErr w:type="spellEnd"/>
      <w:r w:rsidRPr="00D01141">
        <w:t xml:space="preserve"> use following disease progression.</w:t>
      </w:r>
    </w:p>
    <w:p w:rsidR="00073D4D" w:rsidRPr="00D01141" w:rsidRDefault="00073D4D" w:rsidP="00D01141">
      <w:pPr>
        <w:pStyle w:val="Numberbullet0"/>
      </w:pPr>
      <w:r w:rsidRPr="00D01141">
        <w:t>Sponsor assigned method of assessing disease status is non-standard</w:t>
      </w:r>
    </w:p>
    <w:p w:rsidR="004C67AA" w:rsidRDefault="00D01141" w:rsidP="00053C69">
      <w:pPr>
        <w:pStyle w:val="Heading4"/>
      </w:pPr>
      <w:r>
        <w:t xml:space="preserve">Delegate’s </w:t>
      </w:r>
      <w:r w:rsidRPr="00053C69">
        <w:t>p</w:t>
      </w:r>
      <w:r w:rsidR="004C67AA" w:rsidRPr="00053C69">
        <w:t>roposed</w:t>
      </w:r>
      <w:r w:rsidR="004C67AA" w:rsidRPr="00D23139">
        <w:t xml:space="preserve"> action</w:t>
      </w:r>
    </w:p>
    <w:p w:rsidR="00073D4D" w:rsidRPr="00875FD8" w:rsidRDefault="00A62574" w:rsidP="00053C69">
      <w:pPr>
        <w:rPr>
          <w:sz w:val="24"/>
        </w:rPr>
      </w:pPr>
      <w:r>
        <w:t>The Delegate was n</w:t>
      </w:r>
      <w:r w:rsidR="00073D4D" w:rsidRPr="00802ABC">
        <w:t xml:space="preserve">ot in a position to say, at this time, that the application for </w:t>
      </w:r>
      <w:proofErr w:type="spellStart"/>
      <w:r w:rsidR="00166F6A">
        <w:t>bevacizumab</w:t>
      </w:r>
      <w:proofErr w:type="spellEnd"/>
      <w:r w:rsidR="00073D4D" w:rsidRPr="00802ABC">
        <w:t xml:space="preserve"> should be approved for registration.</w:t>
      </w:r>
    </w:p>
    <w:p w:rsidR="00073D4D" w:rsidRDefault="00073D4D" w:rsidP="00073D4D">
      <w:pPr>
        <w:tabs>
          <w:tab w:val="left" w:pos="-2268"/>
          <w:tab w:val="right" w:pos="7088"/>
        </w:tabs>
        <w:spacing w:before="0" w:line="240" w:lineRule="auto"/>
        <w:jc w:val="both"/>
        <w:rPr>
          <w:rFonts w:cs="Calibri"/>
          <w:szCs w:val="24"/>
        </w:rPr>
      </w:pPr>
      <w:r>
        <w:rPr>
          <w:rFonts w:cs="Calibri"/>
          <w:szCs w:val="24"/>
        </w:rPr>
        <w:t>Should registration be approved, the changes to the PI not pertaining to the GBM indication identified by the RMP evaluator should still be submitted for approval.</w:t>
      </w:r>
    </w:p>
    <w:p w:rsidR="00073D4D" w:rsidRPr="00AC697F" w:rsidRDefault="00073D4D" w:rsidP="00073D4D">
      <w:pPr>
        <w:tabs>
          <w:tab w:val="left" w:pos="-2268"/>
          <w:tab w:val="right" w:pos="7088"/>
        </w:tabs>
        <w:spacing w:before="0" w:line="240" w:lineRule="auto"/>
        <w:rPr>
          <w:rFonts w:cs="Calibri"/>
          <w:szCs w:val="24"/>
        </w:rPr>
      </w:pPr>
      <w:r w:rsidRPr="00AC697F">
        <w:rPr>
          <w:rFonts w:cs="Calibri"/>
          <w:szCs w:val="24"/>
        </w:rPr>
        <w:t xml:space="preserve">The advice of the </w:t>
      </w:r>
      <w:r w:rsidR="00D01141">
        <w:rPr>
          <w:rFonts w:cs="Calibri"/>
          <w:szCs w:val="24"/>
        </w:rPr>
        <w:t>Advisory Committee on prescription medicines (ACPM) was</w:t>
      </w:r>
      <w:r w:rsidRPr="00AC697F">
        <w:rPr>
          <w:rFonts w:cs="Calibri"/>
          <w:szCs w:val="24"/>
        </w:rPr>
        <w:t xml:space="preserve"> requested.</w:t>
      </w:r>
    </w:p>
    <w:p w:rsidR="004C67AA" w:rsidRDefault="00B626F5" w:rsidP="00053C69">
      <w:pPr>
        <w:pStyle w:val="Heading4"/>
      </w:pPr>
      <w:r>
        <w:t xml:space="preserve">Delegate’s </w:t>
      </w:r>
      <w:r w:rsidR="004C67AA" w:rsidRPr="00D23139">
        <w:t>Request for ACPM advice</w:t>
      </w:r>
    </w:p>
    <w:p w:rsidR="00073D4D" w:rsidRDefault="00073D4D" w:rsidP="00053C69">
      <w:r w:rsidRPr="00C07D5E">
        <w:t>The committee is requested to provide advice on the following specific issues:</w:t>
      </w:r>
    </w:p>
    <w:p w:rsidR="00073D4D" w:rsidRPr="00D01141" w:rsidRDefault="00073D4D" w:rsidP="00053C69">
      <w:pPr>
        <w:pStyle w:val="Numberbullet0"/>
        <w:numPr>
          <w:ilvl w:val="0"/>
          <w:numId w:val="10"/>
        </w:numPr>
      </w:pPr>
      <w:r w:rsidRPr="00D01141">
        <w:t xml:space="preserve">What is the opinion of the committee regarding the ability of the pivotal study to demonstrate a benefit from </w:t>
      </w:r>
      <w:proofErr w:type="spellStart"/>
      <w:r w:rsidR="00166F6A" w:rsidRPr="00D01141">
        <w:t>bevacizumab</w:t>
      </w:r>
      <w:proofErr w:type="spellEnd"/>
      <w:r w:rsidRPr="00D01141">
        <w:t xml:space="preserve"> </w:t>
      </w:r>
      <w:r w:rsidRPr="00053C69">
        <w:t>exposure</w:t>
      </w:r>
      <w:r w:rsidRPr="00D01141">
        <w:t xml:space="preserve"> in patients with </w:t>
      </w:r>
      <w:proofErr w:type="spellStart"/>
      <w:r w:rsidRPr="00D01141">
        <w:t>glioblastoma</w:t>
      </w:r>
      <w:proofErr w:type="spellEnd"/>
      <w:r w:rsidRPr="00D01141">
        <w:t xml:space="preserve"> given 24% of subjects had unknown MGMT methylation status?</w:t>
      </w:r>
    </w:p>
    <w:p w:rsidR="00073D4D" w:rsidRPr="00D01141" w:rsidRDefault="00A62574" w:rsidP="00D01141">
      <w:pPr>
        <w:pStyle w:val="Numberbullet0"/>
      </w:pPr>
      <w:r w:rsidRPr="00D01141">
        <w:t>W</w:t>
      </w:r>
      <w:r w:rsidR="00073D4D" w:rsidRPr="00D01141">
        <w:t xml:space="preserve">hat is the opinion of the committee regarding the ability of the pivotal study to demonstrate a benefit from </w:t>
      </w:r>
      <w:proofErr w:type="spellStart"/>
      <w:r w:rsidR="00166F6A" w:rsidRPr="00D01141">
        <w:t>bevacizumab</w:t>
      </w:r>
      <w:proofErr w:type="spellEnd"/>
      <w:r w:rsidR="00073D4D" w:rsidRPr="00D01141">
        <w:t xml:space="preserve"> exposure given that subjects were not randomised according to MGMT status?</w:t>
      </w:r>
    </w:p>
    <w:p w:rsidR="00073D4D" w:rsidRPr="00D01141" w:rsidRDefault="00073D4D" w:rsidP="00D01141">
      <w:pPr>
        <w:pStyle w:val="Numberbullet0"/>
      </w:pPr>
      <w:r w:rsidRPr="00D01141">
        <w:lastRenderedPageBreak/>
        <w:t xml:space="preserve">What is the opinion of the </w:t>
      </w:r>
      <w:r w:rsidR="00D01141">
        <w:t>c</w:t>
      </w:r>
      <w:r w:rsidRPr="00D01141">
        <w:t xml:space="preserve">ommittee regarding the ability of the pivotal trial to demonstrate a positive effect from </w:t>
      </w:r>
      <w:proofErr w:type="spellStart"/>
      <w:r w:rsidR="00166F6A" w:rsidRPr="00D01141">
        <w:t>bevacizumab</w:t>
      </w:r>
      <w:proofErr w:type="spellEnd"/>
      <w:r w:rsidRPr="00D01141">
        <w:t xml:space="preserve"> exposure given the reported effect of MGMT status to be greater than that of </w:t>
      </w:r>
      <w:proofErr w:type="spellStart"/>
      <w:r w:rsidR="00166F6A" w:rsidRPr="00D01141">
        <w:t>bevacizumab</w:t>
      </w:r>
      <w:proofErr w:type="spellEnd"/>
      <w:r w:rsidRPr="00D01141">
        <w:t>?</w:t>
      </w:r>
    </w:p>
    <w:p w:rsidR="00073D4D" w:rsidRPr="00D01141" w:rsidRDefault="00073D4D" w:rsidP="00D01141">
      <w:pPr>
        <w:pStyle w:val="Numberbullet0"/>
      </w:pPr>
      <w:r w:rsidRPr="00D01141">
        <w:t xml:space="preserve">What is the opinion of the committee regarding the ability of the pivotal study to demonstrate a benefit from </w:t>
      </w:r>
      <w:proofErr w:type="spellStart"/>
      <w:r w:rsidR="00166F6A" w:rsidRPr="00D01141">
        <w:t>bevacizumab</w:t>
      </w:r>
      <w:proofErr w:type="spellEnd"/>
      <w:r w:rsidRPr="00D01141">
        <w:t xml:space="preserve"> exposure given that the assessment method of disease progression is not one used in standard clinical practice?</w:t>
      </w:r>
    </w:p>
    <w:p w:rsidR="00073D4D" w:rsidRPr="00D01141" w:rsidRDefault="00073D4D" w:rsidP="00D01141">
      <w:pPr>
        <w:pStyle w:val="Numberbullet0"/>
      </w:pPr>
      <w:r w:rsidRPr="00D01141">
        <w:t xml:space="preserve">What is the opinion of the committee of the risk/benefit ratio of </w:t>
      </w:r>
      <w:proofErr w:type="spellStart"/>
      <w:r w:rsidR="00166F6A" w:rsidRPr="00D01141">
        <w:t>bevacizumab</w:t>
      </w:r>
      <w:proofErr w:type="spellEnd"/>
      <w:r w:rsidRPr="00D01141">
        <w:t xml:space="preserve"> use for the proposed indication?</w:t>
      </w:r>
    </w:p>
    <w:p w:rsidR="00073D4D" w:rsidRDefault="00D01141" w:rsidP="00053C69">
      <w:r>
        <w:t>The committee wa</w:t>
      </w:r>
      <w:r w:rsidR="00073D4D" w:rsidRPr="00C07D5E">
        <w:t>s also requested to provide advice on any other issues that it thinks may be relevant to a decision on whether or not to approve this application.</w:t>
      </w:r>
    </w:p>
    <w:p w:rsidR="004C67AA" w:rsidRDefault="00053C69" w:rsidP="004C67AA">
      <w:pPr>
        <w:pStyle w:val="Heading4"/>
      </w:pPr>
      <w:r>
        <w:t>Response from sponsor</w:t>
      </w:r>
    </w:p>
    <w:p w:rsidR="00073D4D" w:rsidRDefault="00073D4D" w:rsidP="00A62574">
      <w:pPr>
        <w:pStyle w:val="Heading5"/>
        <w:rPr>
          <w:rFonts w:eastAsiaTheme="minorHAnsi"/>
        </w:rPr>
      </w:pPr>
      <w:r>
        <w:rPr>
          <w:rFonts w:eastAsiaTheme="minorHAnsi"/>
        </w:rPr>
        <w:t xml:space="preserve">Comment on the Delegate’s </w:t>
      </w:r>
      <w:r w:rsidR="00B626F5">
        <w:rPr>
          <w:rFonts w:eastAsiaTheme="minorHAnsi"/>
        </w:rPr>
        <w:t>p</w:t>
      </w:r>
      <w:r>
        <w:rPr>
          <w:rFonts w:eastAsiaTheme="minorHAnsi"/>
        </w:rPr>
        <w:t xml:space="preserve">roposed </w:t>
      </w:r>
      <w:r w:rsidR="00B626F5">
        <w:rPr>
          <w:rFonts w:eastAsiaTheme="minorHAnsi"/>
        </w:rPr>
        <w:t>a</w:t>
      </w:r>
      <w:r>
        <w:rPr>
          <w:rFonts w:eastAsiaTheme="minorHAnsi"/>
        </w:rPr>
        <w:t>ction</w:t>
      </w:r>
    </w:p>
    <w:p w:rsidR="00D01141" w:rsidRDefault="00073D4D" w:rsidP="00053C69">
      <w:r>
        <w:t xml:space="preserve">The </w:t>
      </w:r>
      <w:r w:rsidR="00A62574">
        <w:t>s</w:t>
      </w:r>
      <w:r>
        <w:t xml:space="preserve">ponsor does not concur with the Delegate’s recommendation to reject </w:t>
      </w:r>
      <w:proofErr w:type="spellStart"/>
      <w:r>
        <w:t>Avastin</w:t>
      </w:r>
      <w:proofErr w:type="spellEnd"/>
      <w:r>
        <w:t xml:space="preserve"> (</w:t>
      </w:r>
      <w:proofErr w:type="spellStart"/>
      <w:r w:rsidR="00166F6A">
        <w:t>bevacizumab</w:t>
      </w:r>
      <w:proofErr w:type="spellEnd"/>
      <w:r>
        <w:t>)</w:t>
      </w:r>
      <w:r w:rsidR="00A62574">
        <w:t xml:space="preserve"> </w:t>
      </w:r>
      <w:r w:rsidR="00D01141">
        <w:t>100 mg/4 mL and</w:t>
      </w:r>
      <w:r>
        <w:t xml:space="preserve"> 400 mg/16 mL inje</w:t>
      </w:r>
      <w:r w:rsidR="00053C69">
        <w:t>ction vials for the indication:</w:t>
      </w:r>
    </w:p>
    <w:p w:rsidR="00073D4D" w:rsidRDefault="00D01141" w:rsidP="00D01141">
      <w:pPr>
        <w:ind w:left="720"/>
      </w:pPr>
      <w:proofErr w:type="spellStart"/>
      <w:r>
        <w:t>A</w:t>
      </w:r>
      <w:r>
        <w:rPr>
          <w:i/>
          <w:iCs/>
        </w:rPr>
        <w:t>vastin</w:t>
      </w:r>
      <w:proofErr w:type="spellEnd"/>
      <w:r>
        <w:rPr>
          <w:i/>
          <w:iCs/>
        </w:rPr>
        <w:t xml:space="preserve"> </w:t>
      </w:r>
      <w:r w:rsidR="00073D4D">
        <w:rPr>
          <w:i/>
          <w:iCs/>
        </w:rPr>
        <w:t>(</w:t>
      </w:r>
      <w:proofErr w:type="spellStart"/>
      <w:r w:rsidR="00166F6A">
        <w:rPr>
          <w:i/>
          <w:iCs/>
        </w:rPr>
        <w:t>bevacizumab</w:t>
      </w:r>
      <w:proofErr w:type="spellEnd"/>
      <w:r w:rsidR="00073D4D">
        <w:rPr>
          <w:i/>
          <w:iCs/>
        </w:rPr>
        <w:t>) in</w:t>
      </w:r>
      <w:r w:rsidR="00A62574">
        <w:rPr>
          <w:i/>
          <w:iCs/>
        </w:rPr>
        <w:t xml:space="preserve"> </w:t>
      </w:r>
      <w:r w:rsidR="00073D4D">
        <w:rPr>
          <w:i/>
          <w:iCs/>
        </w:rPr>
        <w:t xml:space="preserve">combination with radiotherapy and </w:t>
      </w:r>
      <w:proofErr w:type="spellStart"/>
      <w:r w:rsidR="00073D4D">
        <w:rPr>
          <w:i/>
          <w:iCs/>
        </w:rPr>
        <w:t>temozolomide</w:t>
      </w:r>
      <w:proofErr w:type="spellEnd"/>
      <w:r w:rsidR="00073D4D">
        <w:rPr>
          <w:i/>
          <w:iCs/>
        </w:rPr>
        <w:t xml:space="preserve"> is indicated for the treatment of adult patients with</w:t>
      </w:r>
      <w:r w:rsidR="00A62574">
        <w:rPr>
          <w:i/>
          <w:iCs/>
        </w:rPr>
        <w:t xml:space="preserve"> </w:t>
      </w:r>
      <w:r w:rsidR="00073D4D">
        <w:rPr>
          <w:i/>
          <w:iCs/>
        </w:rPr>
        <w:t xml:space="preserve">newly diagnosed </w:t>
      </w:r>
      <w:proofErr w:type="spellStart"/>
      <w:r w:rsidR="00073D4D">
        <w:rPr>
          <w:i/>
          <w:iCs/>
        </w:rPr>
        <w:t>glioblastoma</w:t>
      </w:r>
      <w:proofErr w:type="spellEnd"/>
      <w:r w:rsidR="00073D4D">
        <w:rPr>
          <w:i/>
          <w:iCs/>
        </w:rPr>
        <w:t>.</w:t>
      </w:r>
    </w:p>
    <w:p w:rsidR="00073D4D" w:rsidRDefault="00053C69" w:rsidP="00053C69">
      <w:pPr>
        <w:pStyle w:val="Heading5"/>
        <w:rPr>
          <w:rFonts w:eastAsiaTheme="minorHAnsi"/>
        </w:rPr>
      </w:pPr>
      <w:r>
        <w:rPr>
          <w:rFonts w:eastAsiaTheme="minorHAnsi"/>
        </w:rPr>
        <w:t>Comments on the issues raised in the Delegate’s o</w:t>
      </w:r>
      <w:r w:rsidR="00073D4D">
        <w:rPr>
          <w:rFonts w:eastAsiaTheme="minorHAnsi"/>
        </w:rPr>
        <w:t>vervi</w:t>
      </w:r>
      <w:r w:rsidR="00A62574">
        <w:rPr>
          <w:rFonts w:eastAsiaTheme="minorHAnsi"/>
        </w:rPr>
        <w:t>ew</w:t>
      </w:r>
    </w:p>
    <w:p w:rsidR="00073D4D" w:rsidRDefault="00073D4D" w:rsidP="00053C69">
      <w:r>
        <w:t xml:space="preserve">The </w:t>
      </w:r>
      <w:r w:rsidR="00D01141">
        <w:t>s</w:t>
      </w:r>
      <w:r>
        <w:t>ponsor wishes to comment on the issues raised in the Delegate’s preliminary assessment that</w:t>
      </w:r>
      <w:r w:rsidR="00A62574">
        <w:t xml:space="preserve"> </w:t>
      </w:r>
      <w:proofErr w:type="spellStart"/>
      <w:r>
        <w:t>Avastin</w:t>
      </w:r>
      <w:proofErr w:type="spellEnd"/>
      <w:r>
        <w:t xml:space="preserve"> (</w:t>
      </w:r>
      <w:proofErr w:type="spellStart"/>
      <w:r w:rsidR="00775109" w:rsidRPr="00775109">
        <w:rPr>
          <w:iCs/>
        </w:rPr>
        <w:t>bevacizumab</w:t>
      </w:r>
      <w:proofErr w:type="spellEnd"/>
      <w:r>
        <w:t>) should not be approved for the treatment o</w:t>
      </w:r>
      <w:r w:rsidR="00053C69">
        <w:t xml:space="preserve">f newly diagnosed </w:t>
      </w:r>
      <w:proofErr w:type="spellStart"/>
      <w:r w:rsidR="00053C69">
        <w:t>glioblastoma</w:t>
      </w:r>
      <w:proofErr w:type="spellEnd"/>
      <w:r w:rsidR="00053C69">
        <w:t>.</w:t>
      </w:r>
    </w:p>
    <w:p w:rsidR="00073D4D" w:rsidRDefault="00073D4D" w:rsidP="00775109">
      <w:r>
        <w:t>The Delegate has raised seve</w:t>
      </w:r>
      <w:r w:rsidR="00775109">
        <w:t>ral concerns about the pivotal S</w:t>
      </w:r>
      <w:r>
        <w:t xml:space="preserve">tudy BO21990 (the </w:t>
      </w:r>
      <w:proofErr w:type="spellStart"/>
      <w:r>
        <w:t>AVAglio</w:t>
      </w:r>
      <w:proofErr w:type="spellEnd"/>
      <w:r>
        <w:t xml:space="preserve"> study),</w:t>
      </w:r>
      <w:r w:rsidR="00A62574">
        <w:t xml:space="preserve"> </w:t>
      </w:r>
      <w:r>
        <w:t xml:space="preserve">including the role of the O-6-methylguanine DNA </w:t>
      </w:r>
      <w:proofErr w:type="spellStart"/>
      <w:r>
        <w:t>methyltransferase</w:t>
      </w:r>
      <w:proofErr w:type="spellEnd"/>
      <w:r>
        <w:t xml:space="preserve"> (MGMT) gene promoter</w:t>
      </w:r>
      <w:r w:rsidR="00A62574">
        <w:t xml:space="preserve"> </w:t>
      </w:r>
      <w:r>
        <w:t>methylation status of patients in the study.</w:t>
      </w:r>
    </w:p>
    <w:p w:rsidR="00073D4D" w:rsidRDefault="00073D4D" w:rsidP="00775109">
      <w:r>
        <w:t xml:space="preserve">BO21990 was a large, well-designed, robust </w:t>
      </w:r>
      <w:r w:rsidR="00775109">
        <w:t>P</w:t>
      </w:r>
      <w:r>
        <w:t xml:space="preserve">hase III trial. The </w:t>
      </w:r>
      <w:r w:rsidR="00775109">
        <w:t>s</w:t>
      </w:r>
      <w:r>
        <w:t>ponsor considers the results to be a</w:t>
      </w:r>
      <w:r w:rsidR="00A62574">
        <w:t xml:space="preserve"> </w:t>
      </w:r>
      <w:r>
        <w:t xml:space="preserve">reliable, independent analysis of the effect of </w:t>
      </w:r>
      <w:proofErr w:type="spellStart"/>
      <w:r w:rsidR="00775109">
        <w:t>bevacizumab</w:t>
      </w:r>
      <w:proofErr w:type="spellEnd"/>
      <w:r>
        <w:t xml:space="preserve">. </w:t>
      </w:r>
      <w:r w:rsidR="00775109">
        <w:t>The sponsor</w:t>
      </w:r>
      <w:r>
        <w:t xml:space="preserve"> considers the positive efficacy outcomes</w:t>
      </w:r>
      <w:r w:rsidR="00A62574">
        <w:t xml:space="preserve"> </w:t>
      </w:r>
      <w:r>
        <w:t xml:space="preserve">in terms of improvement of PFS and maintenance of HRQoL to be of significant benefit to patients and outweigh the toxicity associated with </w:t>
      </w:r>
      <w:proofErr w:type="spellStart"/>
      <w:r w:rsidR="00775109">
        <w:t>bevacizumab</w:t>
      </w:r>
      <w:proofErr w:type="spellEnd"/>
      <w:r>
        <w:t>.</w:t>
      </w:r>
    </w:p>
    <w:p w:rsidR="00073D4D" w:rsidRDefault="00073D4D" w:rsidP="00775109">
      <w:r>
        <w:t xml:space="preserve">Consequently the </w:t>
      </w:r>
      <w:r w:rsidR="00775109">
        <w:t>s</w:t>
      </w:r>
      <w:r>
        <w:t xml:space="preserve">ponsor considers the benefit/risk assessment of </w:t>
      </w:r>
      <w:proofErr w:type="spellStart"/>
      <w:r w:rsidR="00775109">
        <w:t>bevacizumab</w:t>
      </w:r>
      <w:proofErr w:type="spellEnd"/>
      <w:r>
        <w:t xml:space="preserve"> in the studied population to be</w:t>
      </w:r>
      <w:r w:rsidR="00A62574">
        <w:t xml:space="preserve"> </w:t>
      </w:r>
      <w:r>
        <w:t>positive.</w:t>
      </w:r>
    </w:p>
    <w:p w:rsidR="00073D4D" w:rsidRDefault="00073D4D" w:rsidP="00775109">
      <w:r>
        <w:t>The clinical evaluator considered BO21990 to be a robust study with qualitative benefits and an</w:t>
      </w:r>
      <w:r w:rsidR="00A62574">
        <w:t xml:space="preserve"> </w:t>
      </w:r>
      <w:r>
        <w:t>acceptable safety profile. The evaluator commented that the clinical benefit associated with prolonged</w:t>
      </w:r>
      <w:r w:rsidR="00A62574">
        <w:t xml:space="preserve"> </w:t>
      </w:r>
      <w:r>
        <w:t>PFS was demonstrated by the stable or improved HRQoL observed during the PFS period along with</w:t>
      </w:r>
      <w:r w:rsidR="00A62574">
        <w:t xml:space="preserve"> </w:t>
      </w:r>
      <w:r>
        <w:t xml:space="preserve">symptomatic stabilisation and reduction in requirements for corticosteroids </w:t>
      </w:r>
      <w:r w:rsidR="00775109">
        <w:t>‘</w:t>
      </w:r>
      <w:r>
        <w:rPr>
          <w:i/>
          <w:iCs/>
        </w:rPr>
        <w:t>All of which represents a</w:t>
      </w:r>
      <w:r w:rsidR="00A62574">
        <w:rPr>
          <w:i/>
          <w:iCs/>
        </w:rPr>
        <w:t xml:space="preserve"> </w:t>
      </w:r>
      <w:r>
        <w:rPr>
          <w:i/>
          <w:iCs/>
        </w:rPr>
        <w:t>worthwhile clinical benefit for patients</w:t>
      </w:r>
      <w:r w:rsidR="00775109">
        <w:rPr>
          <w:i/>
          <w:iCs/>
        </w:rPr>
        <w:t>’</w:t>
      </w:r>
      <w:r>
        <w:t>.</w:t>
      </w:r>
    </w:p>
    <w:p w:rsidR="00A62574" w:rsidRDefault="00775109" w:rsidP="00775109">
      <w:r>
        <w:t>T</w:t>
      </w:r>
      <w:r w:rsidR="00073D4D">
        <w:t xml:space="preserve">he Delegate also refers to </w:t>
      </w:r>
      <w:r>
        <w:t>S</w:t>
      </w:r>
      <w:r w:rsidR="00073D4D">
        <w:t xml:space="preserve">tudy RTOG-0825, </w:t>
      </w:r>
      <w:r w:rsidR="0015257D">
        <w:t>public</w:t>
      </w:r>
      <w:r w:rsidR="00014645">
        <w:t xml:space="preserve">ly available </w:t>
      </w:r>
      <w:r w:rsidR="00073D4D">
        <w:t>information about which was supplied to</w:t>
      </w:r>
      <w:r w:rsidR="00A62574">
        <w:t xml:space="preserve"> </w:t>
      </w:r>
      <w:r w:rsidR="00073D4D">
        <w:t xml:space="preserve">the TGA in response to </w:t>
      </w:r>
      <w:r>
        <w:t>a request for further information from the sponsor</w:t>
      </w:r>
      <w:r w:rsidR="00073D4D">
        <w:t>. RTOG-0825 was a NCI</w:t>
      </w:r>
      <w:r w:rsidR="00A62574">
        <w:t xml:space="preserve"> </w:t>
      </w:r>
      <w:r w:rsidR="00073D4D">
        <w:t>funded Radiation Therapy Oncology Group (RTOG) trial. It was not sponsored by Roche/Genentech as</w:t>
      </w:r>
      <w:r w:rsidR="00A62574">
        <w:t xml:space="preserve"> </w:t>
      </w:r>
      <w:r w:rsidR="00073D4D">
        <w:t>suggested in the Delegate’s Overview. The involvement of</w:t>
      </w:r>
      <w:r w:rsidR="00A62574">
        <w:t xml:space="preserve"> </w:t>
      </w:r>
      <w:r w:rsidR="00073D4D">
        <w:t xml:space="preserve">Roche/Genentech was limited to the provision of </w:t>
      </w:r>
      <w:proofErr w:type="spellStart"/>
      <w:r>
        <w:t>bevacizumab</w:t>
      </w:r>
      <w:proofErr w:type="spellEnd"/>
      <w:r w:rsidR="00073D4D">
        <w:t>.</w:t>
      </w:r>
    </w:p>
    <w:p w:rsidR="00073D4D" w:rsidRDefault="00073D4D" w:rsidP="00775109">
      <w:r>
        <w:t xml:space="preserve">In response </w:t>
      </w:r>
      <w:r w:rsidR="00775109">
        <w:t>Q</w:t>
      </w:r>
      <w:r>
        <w:t xml:space="preserve">uestion 2 </w:t>
      </w:r>
      <w:r w:rsidR="00775109">
        <w:t>the sponsor</w:t>
      </w:r>
      <w:r>
        <w:t xml:space="preserve"> provided a comparison between BO21990 and RTOG-</w:t>
      </w:r>
      <w:r w:rsidR="00A62574">
        <w:t xml:space="preserve"> </w:t>
      </w:r>
      <w:r>
        <w:t>0825 in terms of study design and outcomes. Roche has no access to the RTOG-0825 data and so the</w:t>
      </w:r>
      <w:r w:rsidR="00A62574">
        <w:t xml:space="preserve"> </w:t>
      </w:r>
      <w:r>
        <w:t>information provided for RTOG-0825 was sourced from the data available in the public domain. RTOG-</w:t>
      </w:r>
      <w:r w:rsidR="00A62574">
        <w:t xml:space="preserve"> </w:t>
      </w:r>
      <w:r>
        <w:t xml:space="preserve">0825 should be evaluated and interpreted in the context of the </w:t>
      </w:r>
      <w:r>
        <w:lastRenderedPageBreak/>
        <w:t>larger BO21990 study, and with the risks</w:t>
      </w:r>
      <w:r w:rsidR="00775109">
        <w:t xml:space="preserve"> </w:t>
      </w:r>
      <w:r>
        <w:t>and uncertainties associated with inter-study comparisons.</w:t>
      </w:r>
    </w:p>
    <w:p w:rsidR="00073D4D" w:rsidRDefault="00775109" w:rsidP="00775109">
      <w:r>
        <w:t>The sponsor</w:t>
      </w:r>
      <w:r w:rsidR="00073D4D">
        <w:t xml:space="preserve"> also wishes to clarify that the Delegate has drawn erroneous conclusions concerning</w:t>
      </w:r>
      <w:r w:rsidR="00A62574">
        <w:t xml:space="preserve"> </w:t>
      </w:r>
      <w:r w:rsidR="00073D4D">
        <w:t xml:space="preserve">MGMT methylation status and </w:t>
      </w:r>
      <w:r>
        <w:t>S</w:t>
      </w:r>
      <w:r w:rsidR="00073D4D">
        <w:t xml:space="preserve">tudy </w:t>
      </w:r>
      <w:r w:rsidR="00073D4D" w:rsidRPr="00B11B95">
        <w:t xml:space="preserve">RTOG-0825. The </w:t>
      </w:r>
      <w:r w:rsidR="00C12321" w:rsidRPr="00B11B95">
        <w:t>Kaplan</w:t>
      </w:r>
      <w:r w:rsidR="00C12321">
        <w:t>-Meier (</w:t>
      </w:r>
      <w:r w:rsidR="00073D4D">
        <w:t>KM</w:t>
      </w:r>
      <w:r w:rsidR="00C12321">
        <w:t>)</w:t>
      </w:r>
      <w:r w:rsidR="00073D4D">
        <w:t xml:space="preserve"> curve </w:t>
      </w:r>
      <w:r>
        <w:t xml:space="preserve">in </w:t>
      </w:r>
      <w:r w:rsidR="00073D4D">
        <w:t>the Delegate’s</w:t>
      </w:r>
      <w:r w:rsidR="00A62574">
        <w:t xml:space="preserve"> </w:t>
      </w:r>
      <w:r w:rsidR="00073D4D">
        <w:t xml:space="preserve">Overview and the paragraph of the Delegate’s Overview commencing </w:t>
      </w:r>
      <w:r>
        <w:t>‘</w:t>
      </w:r>
      <w:r w:rsidR="00073D4D" w:rsidRPr="00775109">
        <w:rPr>
          <w:i/>
        </w:rPr>
        <w:t>However, analysis of</w:t>
      </w:r>
      <w:r w:rsidR="00A62574" w:rsidRPr="00775109">
        <w:rPr>
          <w:i/>
        </w:rPr>
        <w:t xml:space="preserve"> </w:t>
      </w:r>
      <w:r w:rsidR="00073D4D" w:rsidRPr="00775109">
        <w:rPr>
          <w:i/>
        </w:rPr>
        <w:t>overall survival</w:t>
      </w:r>
      <w:r w:rsidR="00073D4D">
        <w:t>…</w:t>
      </w:r>
      <w:r>
        <w:t>’</w:t>
      </w:r>
      <w:r w:rsidR="00073D4D">
        <w:t xml:space="preserve"> describing cross-referenced results from </w:t>
      </w:r>
      <w:r>
        <w:t xml:space="preserve">the </w:t>
      </w:r>
      <w:r w:rsidR="00073D4D">
        <w:t>CSR, report RTOG results regarding</w:t>
      </w:r>
      <w:r w:rsidR="00A62574">
        <w:t xml:space="preserve"> </w:t>
      </w:r>
      <w:r w:rsidR="00073D4D">
        <w:t xml:space="preserve">MGMT methylation status results from </w:t>
      </w:r>
      <w:r>
        <w:t>S</w:t>
      </w:r>
      <w:r w:rsidR="00073D4D">
        <w:t>tudy RTOG-0</w:t>
      </w:r>
      <w:r w:rsidR="00073D4D">
        <w:rPr>
          <w:b/>
          <w:bCs/>
        </w:rPr>
        <w:t>5</w:t>
      </w:r>
      <w:r w:rsidR="00073D4D">
        <w:t>25 and not from RTOG-0</w:t>
      </w:r>
      <w:r w:rsidR="00073D4D" w:rsidRPr="00775109">
        <w:rPr>
          <w:rFonts w:asciiTheme="minorHAnsi" w:hAnsiTheme="minorHAnsi" w:cs="Arial"/>
          <w:b/>
          <w:bCs/>
        </w:rPr>
        <w:t>8</w:t>
      </w:r>
      <w:r w:rsidR="00073D4D">
        <w:t>25.</w:t>
      </w:r>
    </w:p>
    <w:p w:rsidR="00073D4D" w:rsidRDefault="00073D4D" w:rsidP="00775109">
      <w:r>
        <w:t>The RTOG-0</w:t>
      </w:r>
      <w:r>
        <w:rPr>
          <w:b/>
          <w:bCs/>
        </w:rPr>
        <w:t>5</w:t>
      </w:r>
      <w:r>
        <w:t xml:space="preserve">25 study compared a dose-intense </w:t>
      </w:r>
      <w:proofErr w:type="spellStart"/>
      <w:r>
        <w:t>temozolomide</w:t>
      </w:r>
      <w:proofErr w:type="spellEnd"/>
      <w:r>
        <w:t xml:space="preserve"> (T) regimen versus standard of care and did not include </w:t>
      </w:r>
      <w:proofErr w:type="spellStart"/>
      <w:r w:rsidR="00775109">
        <w:t>bevacizumab</w:t>
      </w:r>
      <w:proofErr w:type="spellEnd"/>
      <w:r>
        <w:t xml:space="preserve"> as part of the study treatment. Results of RTOG-0</w:t>
      </w:r>
      <w:r>
        <w:rPr>
          <w:b/>
          <w:bCs/>
        </w:rPr>
        <w:t>5</w:t>
      </w:r>
      <w:r>
        <w:t>25 were presented at ASCO 2011 which is the date referred to in the Delegate’s Overview. The results of MGMT methylation status</w:t>
      </w:r>
      <w:r w:rsidR="00A62574">
        <w:t xml:space="preserve"> </w:t>
      </w:r>
      <w:r>
        <w:t>specific to RTOG-0</w:t>
      </w:r>
      <w:r>
        <w:rPr>
          <w:b/>
          <w:bCs/>
        </w:rPr>
        <w:t>8</w:t>
      </w:r>
      <w:r>
        <w:t xml:space="preserve">25 were presented at ASCO </w:t>
      </w:r>
      <w:r w:rsidRPr="008E75AB">
        <w:t>2013</w:t>
      </w:r>
      <w:r w:rsidR="0034030B">
        <w:rPr>
          <w:rStyle w:val="FootnoteReference"/>
        </w:rPr>
        <w:footnoteReference w:id="11"/>
      </w:r>
      <w:r>
        <w:rPr>
          <w:b/>
          <w:bCs/>
        </w:rPr>
        <w:t xml:space="preserve"> </w:t>
      </w:r>
      <w:r>
        <w:t>and showed median overall survival (OS) of</w:t>
      </w:r>
      <w:r w:rsidR="00A62574">
        <w:t xml:space="preserve"> </w:t>
      </w:r>
      <w:r>
        <w:t>23.2 months for patients with tumours with methylated MGMT (</w:t>
      </w:r>
      <w:r>
        <w:rPr>
          <w:i/>
          <w:iCs/>
        </w:rPr>
        <w:t>both arms merged</w:t>
      </w:r>
      <w:r>
        <w:t>) and 14.3 months for</w:t>
      </w:r>
      <w:r w:rsidR="00A62574">
        <w:t xml:space="preserve"> </w:t>
      </w:r>
      <w:r>
        <w:t>patients with tumours with non-methylated MGMT (</w:t>
      </w:r>
      <w:r>
        <w:rPr>
          <w:i/>
          <w:iCs/>
        </w:rPr>
        <w:t>both arms merged</w:t>
      </w:r>
      <w:r>
        <w:t>).</w:t>
      </w:r>
    </w:p>
    <w:p w:rsidR="00073D4D" w:rsidRDefault="0025317D" w:rsidP="0025317D">
      <w:pPr>
        <w:pStyle w:val="Heading6"/>
        <w:rPr>
          <w:rFonts w:eastAsiaTheme="minorHAnsi"/>
        </w:rPr>
      </w:pPr>
      <w:r>
        <w:rPr>
          <w:rFonts w:eastAsiaTheme="minorHAnsi"/>
        </w:rPr>
        <w:t>MGMT m</w:t>
      </w:r>
      <w:r w:rsidR="00073D4D">
        <w:rPr>
          <w:rFonts w:eastAsiaTheme="minorHAnsi"/>
        </w:rPr>
        <w:t xml:space="preserve">ethylation </w:t>
      </w:r>
      <w:r w:rsidRPr="0025317D">
        <w:rPr>
          <w:rFonts w:eastAsiaTheme="minorHAnsi"/>
        </w:rPr>
        <w:t>s</w:t>
      </w:r>
      <w:r w:rsidR="00073D4D" w:rsidRPr="0025317D">
        <w:rPr>
          <w:rFonts w:eastAsiaTheme="minorHAnsi"/>
        </w:rPr>
        <w:t>tatus</w:t>
      </w:r>
    </w:p>
    <w:p w:rsidR="00073D4D" w:rsidRDefault="00073D4D" w:rsidP="0025317D">
      <w:r>
        <w:t xml:space="preserve">The Delegate considers the fourth pivotal trial entry criterion to be ambiguously worded </w:t>
      </w:r>
      <w:r w:rsidR="00775109">
        <w:t>but</w:t>
      </w:r>
      <w:r>
        <w:t xml:space="preserve"> </w:t>
      </w:r>
      <w:r w:rsidR="00775109">
        <w:t>the sponsor</w:t>
      </w:r>
      <w:r>
        <w:t xml:space="preserve"> does not consider this to be the case. As previously described in Roche’s letter to the Delegate</w:t>
      </w:r>
      <w:r w:rsidR="00A62574">
        <w:t xml:space="preserve"> </w:t>
      </w:r>
      <w:r>
        <w:t>of 11 December 2013 the main aim of the inclusion criterion was to ensure the availability of tissue from</w:t>
      </w:r>
      <w:r w:rsidR="00A62574">
        <w:t xml:space="preserve"> </w:t>
      </w:r>
      <w:r>
        <w:t>the maximum number of patients, so that the Central Pathology Review confirming the local histological</w:t>
      </w:r>
      <w:r w:rsidR="00A62574">
        <w:t xml:space="preserve"> </w:t>
      </w:r>
      <w:r>
        <w:t>diagnosis of GBM could be performed. Knowing the reluctance of sites to share tumour samples, the</w:t>
      </w:r>
      <w:r w:rsidR="00A62574">
        <w:t xml:space="preserve"> </w:t>
      </w:r>
      <w:r>
        <w:t>inclusion criterion were written in such a way to try and increase the number of tissue samples provided</w:t>
      </w:r>
      <w:r w:rsidR="00A62574">
        <w:t xml:space="preserve"> </w:t>
      </w:r>
      <w:r>
        <w:t>by the sites.</w:t>
      </w:r>
    </w:p>
    <w:p w:rsidR="00073D4D" w:rsidRDefault="00073D4D" w:rsidP="00D01141">
      <w:r>
        <w:t>Once the Central Pathology Review of the GBM diagnosis had been carried out, the assessment of</w:t>
      </w:r>
      <w:r w:rsidR="00A62574">
        <w:t xml:space="preserve"> </w:t>
      </w:r>
      <w:r>
        <w:t>MGMT status was performed on the remaining patients’ samples of sufficient quality. At this level, the</w:t>
      </w:r>
      <w:r w:rsidR="00A62574">
        <w:t xml:space="preserve"> </w:t>
      </w:r>
      <w:r>
        <w:t>quantity as well as the quality of the tissue provided prevented the assessment of the MGMT status for</w:t>
      </w:r>
      <w:r w:rsidR="00A62574">
        <w:t xml:space="preserve"> </w:t>
      </w:r>
      <w:r>
        <w:t>24% of the patients.</w:t>
      </w:r>
    </w:p>
    <w:p w:rsidR="00073D4D" w:rsidRDefault="00073D4D" w:rsidP="00D01141">
      <w:r>
        <w:t>The MGMT methylation status was determined in 76% of the patients in BO21990 and of these patients,</w:t>
      </w:r>
      <w:r w:rsidR="00A62574">
        <w:t xml:space="preserve"> </w:t>
      </w:r>
      <w:r>
        <w:t>the overall ratio of patients with non-methylated v</w:t>
      </w:r>
      <w:r w:rsidR="00775109">
        <w:t>ersus</w:t>
      </w:r>
      <w:r>
        <w:t xml:space="preserve"> methylated MGMT status was approximately 2:1</w:t>
      </w:r>
      <w:r w:rsidR="00A62574">
        <w:t xml:space="preserve"> </w:t>
      </w:r>
      <w:r>
        <w:t>(see Appendix 1). This is in agreement with the relative proportions of patients with non-methylated vs.</w:t>
      </w:r>
      <w:r w:rsidR="00A62574">
        <w:t xml:space="preserve"> </w:t>
      </w:r>
      <w:r>
        <w:t xml:space="preserve">methylated MGMT status in the study reported by </w:t>
      </w:r>
      <w:proofErr w:type="spellStart"/>
      <w:r>
        <w:t>Brandes</w:t>
      </w:r>
      <w:proofErr w:type="spellEnd"/>
      <w:r>
        <w:t xml:space="preserve"> et al. 2008</w:t>
      </w:r>
      <w:r w:rsidR="0034030B">
        <w:rPr>
          <w:rStyle w:val="FootnoteReference"/>
        </w:rPr>
        <w:footnoteReference w:id="12"/>
      </w:r>
      <w:r w:rsidRPr="00014645">
        <w:t>,</w:t>
      </w:r>
      <w:r>
        <w:t xml:space="preserve"> in those patients in whom</w:t>
      </w:r>
      <w:r w:rsidR="00A62574">
        <w:t xml:space="preserve"> </w:t>
      </w:r>
      <w:r>
        <w:t>MGMT methylation status was assessable (approximately half of the total number of patients). In the</w:t>
      </w:r>
      <w:r w:rsidR="00A62574">
        <w:t xml:space="preserve"> </w:t>
      </w:r>
      <w:r>
        <w:t>BO21990 study, treatment groups were balanced with regards to MGMT status. The percentages of</w:t>
      </w:r>
      <w:r w:rsidR="00A62574">
        <w:t xml:space="preserve"> </w:t>
      </w:r>
      <w:r>
        <w:t xml:space="preserve">patients with methylated, non-methylated or missing MGMT status at baseline were </w:t>
      </w:r>
      <w:r w:rsidRPr="008E75AB">
        <w:t>almost identical in</w:t>
      </w:r>
      <w:r w:rsidR="00A62574" w:rsidRPr="008E75AB">
        <w:t xml:space="preserve"> </w:t>
      </w:r>
      <w:r w:rsidRPr="008E75AB">
        <w:t xml:space="preserve">the placebo (Pl) + radiotherapy (RT)/T and </w:t>
      </w:r>
      <w:proofErr w:type="spellStart"/>
      <w:r w:rsidR="00775109" w:rsidRPr="008E75AB">
        <w:t>bevacizumab</w:t>
      </w:r>
      <w:proofErr w:type="spellEnd"/>
      <w:r w:rsidRPr="008E75AB">
        <w:t xml:space="preserve"> + </w:t>
      </w:r>
      <w:r w:rsidR="00C12321" w:rsidRPr="008E75AB">
        <w:t>RT/TMZ</w:t>
      </w:r>
      <w:r w:rsidRPr="008E75AB">
        <w:t xml:space="preserve"> arms (methylated 26% vs. 26%; non-methylated</w:t>
      </w:r>
      <w:r w:rsidR="00A62574" w:rsidRPr="008E75AB">
        <w:t xml:space="preserve"> </w:t>
      </w:r>
      <w:r w:rsidRPr="008E75AB">
        <w:t>51% vs. 49%; missing 23% vs.</w:t>
      </w:r>
      <w:r w:rsidR="00A62574" w:rsidRPr="008E75AB">
        <w:t xml:space="preserve"> </w:t>
      </w:r>
      <w:r w:rsidRPr="008E75AB">
        <w:t xml:space="preserve">25%, respectively; </w:t>
      </w:r>
      <w:r w:rsidR="00775109" w:rsidRPr="008E75AB">
        <w:t xml:space="preserve">Table </w:t>
      </w:r>
      <w:r w:rsidR="00AD12FE">
        <w:t>16</w:t>
      </w:r>
      <w:r w:rsidRPr="008E75AB">
        <w:t>).</w:t>
      </w:r>
    </w:p>
    <w:p w:rsidR="00B11B95" w:rsidRDefault="00B11B95" w:rsidP="0025317D">
      <w:pPr>
        <w:pStyle w:val="TableTitle"/>
      </w:pPr>
      <w:proofErr w:type="gramStart"/>
      <w:r>
        <w:lastRenderedPageBreak/>
        <w:t xml:space="preserve">Table </w:t>
      </w:r>
      <w:r w:rsidR="00AD12FE">
        <w:t>16</w:t>
      </w:r>
      <w:r>
        <w:t>.</w:t>
      </w:r>
      <w:proofErr w:type="gramEnd"/>
      <w:r>
        <w:t xml:space="preserve"> </w:t>
      </w:r>
      <w:r w:rsidRPr="0025317D">
        <w:t>Summary</w:t>
      </w:r>
      <w:r>
        <w:t xml:space="preserve"> of MGMT status by trial treatment</w:t>
      </w:r>
    </w:p>
    <w:p w:rsidR="00775109" w:rsidRDefault="00775109" w:rsidP="00D01141">
      <w:r>
        <w:rPr>
          <w:noProof/>
          <w:lang w:eastAsia="en-AU"/>
        </w:rPr>
        <w:drawing>
          <wp:inline distT="0" distB="0" distL="0" distR="0" wp14:anchorId="1654A046" wp14:editId="47955FBE">
            <wp:extent cx="5400675" cy="1399314"/>
            <wp:effectExtent l="0" t="0" r="0" b="0"/>
            <wp:docPr id="22" name="Picture 22" descr="Table 16. Summary of MGMT status by trial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21819"/>
                    <a:stretch/>
                  </pic:blipFill>
                  <pic:spPr bwMode="auto">
                    <a:xfrm>
                      <a:off x="0" y="0"/>
                      <a:ext cx="5400040" cy="1399149"/>
                    </a:xfrm>
                    <a:prstGeom prst="rect">
                      <a:avLst/>
                    </a:prstGeom>
                    <a:ln>
                      <a:noFill/>
                    </a:ln>
                    <a:extLst>
                      <a:ext uri="{53640926-AAD7-44D8-BBD7-CCE9431645EC}">
                        <a14:shadowObscured xmlns:a14="http://schemas.microsoft.com/office/drawing/2010/main"/>
                      </a:ext>
                    </a:extLst>
                  </pic:spPr>
                </pic:pic>
              </a:graphicData>
            </a:graphic>
          </wp:inline>
        </w:drawing>
      </w:r>
    </w:p>
    <w:p w:rsidR="0086058A" w:rsidRDefault="00073D4D" w:rsidP="0025317D">
      <w:r>
        <w:t>No imbalance in the unknown underlying methylation status is expected from patients with missing</w:t>
      </w:r>
      <w:r w:rsidR="00A62574">
        <w:t xml:space="preserve"> </w:t>
      </w:r>
      <w:r>
        <w:t>MGMT status. To illustrate this, the results of a subgroup analysis of PFS as assessed by the Investigator</w:t>
      </w:r>
      <w:r w:rsidR="00A62574">
        <w:t xml:space="preserve"> </w:t>
      </w:r>
      <w:r>
        <w:t>based on data collected up to the final OS cut-off (28 February 2013) showed that the median PFS for</w:t>
      </w:r>
      <w:r w:rsidR="00A62574">
        <w:t xml:space="preserve"> </w:t>
      </w:r>
      <w:r>
        <w:t>patients with missing MGMT status is similar to the median PFS for patients with non-methylated</w:t>
      </w:r>
      <w:r w:rsidR="00A62574">
        <w:t xml:space="preserve"> </w:t>
      </w:r>
      <w:r>
        <w:t xml:space="preserve">MGMT, for the Pl + </w:t>
      </w:r>
      <w:r w:rsidR="00C12321">
        <w:t>RT/TMZ</w:t>
      </w:r>
      <w:r>
        <w:t xml:space="preserve"> arm as well as the </w:t>
      </w:r>
      <w:proofErr w:type="spellStart"/>
      <w:r w:rsidR="00775109">
        <w:t>bevacizumab</w:t>
      </w:r>
      <w:proofErr w:type="spellEnd"/>
      <w:r>
        <w:t xml:space="preserve"> + </w:t>
      </w:r>
      <w:r w:rsidR="00C12321">
        <w:t>RT</w:t>
      </w:r>
      <w:r w:rsidR="00C12321" w:rsidRPr="008E75AB">
        <w:t>/TMZ</w:t>
      </w:r>
      <w:r w:rsidRPr="008E75AB">
        <w:t xml:space="preserve"> arm (see </w:t>
      </w:r>
      <w:r w:rsidR="0086058A" w:rsidRPr="008E75AB">
        <w:t xml:space="preserve">Table </w:t>
      </w:r>
      <w:r w:rsidR="00AD12FE">
        <w:t>17</w:t>
      </w:r>
      <w:r w:rsidRPr="008E75AB">
        <w:t>).</w:t>
      </w:r>
    </w:p>
    <w:p w:rsidR="0086058A" w:rsidRDefault="00B11B95" w:rsidP="0025317D">
      <w:pPr>
        <w:pStyle w:val="TableTitle"/>
      </w:pPr>
      <w:proofErr w:type="gramStart"/>
      <w:r>
        <w:t xml:space="preserve">Table </w:t>
      </w:r>
      <w:r w:rsidR="00AD12FE">
        <w:t>17</w:t>
      </w:r>
      <w:r>
        <w:t>.</w:t>
      </w:r>
      <w:proofErr w:type="gramEnd"/>
      <w:r>
        <w:t xml:space="preserve"> Summary of progression free </w:t>
      </w:r>
      <w:r w:rsidRPr="0025317D">
        <w:t>survival</w:t>
      </w:r>
      <w:r>
        <w:t xml:space="preserve"> as assessed by the investigator by MGMT status</w:t>
      </w:r>
      <w:r w:rsidR="0086058A">
        <w:rPr>
          <w:noProof/>
          <w:lang w:eastAsia="en-AU"/>
        </w:rPr>
        <w:drawing>
          <wp:inline distT="0" distB="0" distL="0" distR="0" wp14:anchorId="1281B7FA" wp14:editId="157B9D0F">
            <wp:extent cx="5428259" cy="1307366"/>
            <wp:effectExtent l="0" t="0" r="1270" b="7620"/>
            <wp:docPr id="23" name="Picture 23" descr="Table 17. Summary of progression free survival as assessed by the investigator by MGM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BEBA8EAE-BF5A-486C-A8C5-ECC9F3942E4B}">
                          <a14:imgProps xmlns:a14="http://schemas.microsoft.com/office/drawing/2010/main">
                            <a14:imgLayer r:embed="rId28">
                              <a14:imgEffect>
                                <a14:sharpenSoften amount="50000"/>
                              </a14:imgEffect>
                              <a14:imgEffect>
                                <a14:brightnessContrast contrast="-40000"/>
                              </a14:imgEffect>
                            </a14:imgLayer>
                          </a14:imgProps>
                        </a:ext>
                      </a:extLst>
                    </a:blip>
                    <a:srcRect l="1464" t="18714"/>
                    <a:stretch/>
                  </pic:blipFill>
                  <pic:spPr bwMode="auto">
                    <a:xfrm>
                      <a:off x="0" y="0"/>
                      <a:ext cx="5455448" cy="1313914"/>
                    </a:xfrm>
                    <a:prstGeom prst="rect">
                      <a:avLst/>
                    </a:prstGeom>
                    <a:ln>
                      <a:noFill/>
                    </a:ln>
                    <a:extLst>
                      <a:ext uri="{53640926-AAD7-44D8-BBD7-CCE9431645EC}">
                        <a14:shadowObscured xmlns:a14="http://schemas.microsoft.com/office/drawing/2010/main"/>
                      </a:ext>
                    </a:extLst>
                  </pic:spPr>
                </pic:pic>
              </a:graphicData>
            </a:graphic>
          </wp:inline>
        </w:drawing>
      </w:r>
    </w:p>
    <w:p w:rsidR="00073D4D" w:rsidRDefault="00073D4D" w:rsidP="00D01141">
      <w:r>
        <w:t xml:space="preserve">If all patients in the </w:t>
      </w:r>
      <w:proofErr w:type="spellStart"/>
      <w:r w:rsidR="00775109">
        <w:t>bevacizumab</w:t>
      </w:r>
      <w:proofErr w:type="spellEnd"/>
      <w:r>
        <w:t xml:space="preserve"> +</w:t>
      </w:r>
      <w:r w:rsidR="00A62574">
        <w:t xml:space="preserve"> </w:t>
      </w:r>
      <w:r w:rsidR="00C12321">
        <w:t>RT/TMZ</w:t>
      </w:r>
      <w:r>
        <w:t xml:space="preserve"> arm had methylated MGMT (in which case the PFS results could have been biased in favour of the</w:t>
      </w:r>
      <w:r w:rsidR="00A62574">
        <w:t xml:space="preserve"> </w:t>
      </w:r>
      <w:proofErr w:type="spellStart"/>
      <w:r w:rsidR="00775109">
        <w:t>bevacizumab</w:t>
      </w:r>
      <w:proofErr w:type="spellEnd"/>
      <w:r>
        <w:t xml:space="preserve"> + </w:t>
      </w:r>
      <w:r w:rsidR="00C12321">
        <w:t>RT/TMZ</w:t>
      </w:r>
      <w:r>
        <w:t xml:space="preserve"> arm), the median PFS would have been longer for those patients. In addition, a sensitivity</w:t>
      </w:r>
      <w:r w:rsidR="00A62574">
        <w:t xml:space="preserve"> </w:t>
      </w:r>
      <w:r>
        <w:t xml:space="preserve">analysis of PFS excluding patients with missing MGMT </w:t>
      </w:r>
      <w:r w:rsidRPr="008E75AB">
        <w:t>status was performed. The results showed that</w:t>
      </w:r>
      <w:r w:rsidR="00A62574" w:rsidRPr="008E75AB">
        <w:t xml:space="preserve"> </w:t>
      </w:r>
      <w:r w:rsidRPr="008E75AB">
        <w:t xml:space="preserve">the magnitude of benefit is comparable to the </w:t>
      </w:r>
      <w:r w:rsidR="0086058A" w:rsidRPr="008E75AB">
        <w:t>intent to treat</w:t>
      </w:r>
      <w:r w:rsidRPr="008E75AB">
        <w:t xml:space="preserve"> population, which supports the lack of impact of the</w:t>
      </w:r>
      <w:r w:rsidR="00A62574" w:rsidRPr="008E75AB">
        <w:t xml:space="preserve"> </w:t>
      </w:r>
      <w:r w:rsidRPr="008E75AB">
        <w:t xml:space="preserve">missing MGMT status population on the overall PFS results (see </w:t>
      </w:r>
      <w:r w:rsidR="00B11B95" w:rsidRPr="008E75AB">
        <w:t xml:space="preserve">Table </w:t>
      </w:r>
      <w:r w:rsidR="00AD12FE">
        <w:t>18</w:t>
      </w:r>
      <w:r w:rsidRPr="008E75AB">
        <w:t>).</w:t>
      </w:r>
    </w:p>
    <w:p w:rsidR="00B11B95" w:rsidRDefault="00B11B95" w:rsidP="0025317D">
      <w:pPr>
        <w:pStyle w:val="TableTitle"/>
      </w:pPr>
      <w:r>
        <w:t xml:space="preserve">Table </w:t>
      </w:r>
      <w:r w:rsidR="00AD12FE">
        <w:t>18</w:t>
      </w:r>
      <w:r>
        <w:t>. Summary of progression free survival as assessed by the investigator by patient with non-missing MGMT status</w:t>
      </w:r>
    </w:p>
    <w:p w:rsidR="0086058A" w:rsidRDefault="0086058A" w:rsidP="00D01141">
      <w:r>
        <w:rPr>
          <w:noProof/>
          <w:lang w:eastAsia="en-AU"/>
        </w:rPr>
        <w:drawing>
          <wp:inline distT="0" distB="0" distL="0" distR="0" wp14:anchorId="7F8B1847" wp14:editId="162F472B">
            <wp:extent cx="5571350" cy="2581275"/>
            <wp:effectExtent l="0" t="0" r="0" b="0"/>
            <wp:docPr id="24" name="Picture 24" descr="Table 18. Summary of progression free survival as assessed by the investigator by patient with non-missing MGM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BEBA8EAE-BF5A-486C-A8C5-ECC9F3942E4B}">
                          <a14:imgProps xmlns:a14="http://schemas.microsoft.com/office/drawing/2010/main">
                            <a14:imgLayer r:embed="rId30">
                              <a14:imgEffect>
                                <a14:sharpenSoften amount="50000"/>
                              </a14:imgEffect>
                            </a14:imgLayer>
                          </a14:imgProps>
                        </a:ext>
                      </a:extLst>
                    </a:blip>
                    <a:srcRect t="15990"/>
                    <a:stretch/>
                  </pic:blipFill>
                  <pic:spPr bwMode="auto">
                    <a:xfrm>
                      <a:off x="0" y="0"/>
                      <a:ext cx="5570695" cy="2580971"/>
                    </a:xfrm>
                    <a:prstGeom prst="rect">
                      <a:avLst/>
                    </a:prstGeom>
                    <a:ln>
                      <a:noFill/>
                    </a:ln>
                    <a:extLst>
                      <a:ext uri="{53640926-AAD7-44D8-BBD7-CCE9431645EC}">
                        <a14:shadowObscured xmlns:a14="http://schemas.microsoft.com/office/drawing/2010/main"/>
                      </a:ext>
                    </a:extLst>
                  </pic:spPr>
                </pic:pic>
              </a:graphicData>
            </a:graphic>
          </wp:inline>
        </w:drawing>
      </w:r>
    </w:p>
    <w:p w:rsidR="00B11B95" w:rsidRDefault="00B11B95" w:rsidP="00B11B95">
      <w:pPr>
        <w:pStyle w:val="FigureTitle"/>
      </w:pPr>
      <w:proofErr w:type="gramStart"/>
      <w:r>
        <w:lastRenderedPageBreak/>
        <w:t xml:space="preserve">Figure </w:t>
      </w:r>
      <w:r w:rsidR="00D6594E">
        <w:t>6</w:t>
      </w:r>
      <w:r>
        <w:t>.</w:t>
      </w:r>
      <w:proofErr w:type="gramEnd"/>
      <w:r>
        <w:t xml:space="preserve"> Kaplan-Meier plot of progression free survival as assessed by the investigator for patients with non-missing MGMT status</w:t>
      </w:r>
    </w:p>
    <w:p w:rsidR="0086058A" w:rsidRDefault="0086058A" w:rsidP="00D01141">
      <w:r>
        <w:rPr>
          <w:noProof/>
          <w:lang w:eastAsia="en-AU"/>
        </w:rPr>
        <w:drawing>
          <wp:inline distT="0" distB="0" distL="0" distR="0" wp14:anchorId="2EC9FB56" wp14:editId="15BBED5C">
            <wp:extent cx="4819650" cy="2943225"/>
            <wp:effectExtent l="0" t="0" r="0" b="9525"/>
            <wp:docPr id="25" name="Picture 25" descr="Figure 6. Kaplan-Meier plot of progression free survival as assessed by the investigator for patients with non-missing MGM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0759" t="23012" b="7954"/>
                    <a:stretch/>
                  </pic:blipFill>
                  <pic:spPr bwMode="auto">
                    <a:xfrm>
                      <a:off x="0" y="0"/>
                      <a:ext cx="4819083" cy="2942879"/>
                    </a:xfrm>
                    <a:prstGeom prst="rect">
                      <a:avLst/>
                    </a:prstGeom>
                    <a:ln>
                      <a:noFill/>
                    </a:ln>
                    <a:extLst>
                      <a:ext uri="{53640926-AAD7-44D8-BBD7-CCE9431645EC}">
                        <a14:shadowObscured xmlns:a14="http://schemas.microsoft.com/office/drawing/2010/main"/>
                      </a:ext>
                    </a:extLst>
                  </pic:spPr>
                </pic:pic>
              </a:graphicData>
            </a:graphic>
          </wp:inline>
        </w:drawing>
      </w:r>
    </w:p>
    <w:p w:rsidR="00073D4D" w:rsidRDefault="00073D4D" w:rsidP="007900AF">
      <w:r>
        <w:t xml:space="preserve">Thus, the ability of the pivotal study to demonstrate a benefit for </w:t>
      </w:r>
      <w:proofErr w:type="spellStart"/>
      <w:r w:rsidR="00775109">
        <w:t>bevacizumab</w:t>
      </w:r>
      <w:proofErr w:type="spellEnd"/>
      <w:r>
        <w:t xml:space="preserve"> exposure in patients with GBM is</w:t>
      </w:r>
      <w:r w:rsidR="00A62574">
        <w:t xml:space="preserve"> </w:t>
      </w:r>
      <w:r>
        <w:t>not affected by the 24% of subjects in whom MGMT methylation status could not be determined.</w:t>
      </w:r>
    </w:p>
    <w:p w:rsidR="00073D4D" w:rsidRDefault="00073D4D" w:rsidP="007900AF">
      <w:pPr>
        <w:pStyle w:val="Heading6"/>
      </w:pPr>
      <w:r>
        <w:t xml:space="preserve">Randomisation by MGMT </w:t>
      </w:r>
      <w:r w:rsidR="007900AF" w:rsidRPr="007900AF">
        <w:t>s</w:t>
      </w:r>
      <w:r w:rsidRPr="007900AF">
        <w:t>tatus</w:t>
      </w:r>
    </w:p>
    <w:p w:rsidR="004C67AA" w:rsidRDefault="00073D4D" w:rsidP="007900AF">
      <w:r>
        <w:t>The purpose of stratification during randomisation is to ensure all stratification factors are balanced in</w:t>
      </w:r>
      <w:r w:rsidR="00A62574">
        <w:t xml:space="preserve"> </w:t>
      </w:r>
      <w:r>
        <w:t>treatment groups. As discussed above, the treatment groups in BO21990 were well balanced with regards</w:t>
      </w:r>
      <w:r w:rsidR="00A62574">
        <w:t xml:space="preserve"> </w:t>
      </w:r>
      <w:r>
        <w:t>to MGMT gene promoter methylation status (taking into account also the patients with missing MGMT</w:t>
      </w:r>
      <w:r w:rsidR="00A62574">
        <w:t xml:space="preserve"> </w:t>
      </w:r>
      <w:r>
        <w:t>status), despite not having been stratified by MGMT status.</w:t>
      </w:r>
    </w:p>
    <w:p w:rsidR="00073D4D" w:rsidRDefault="00073D4D" w:rsidP="007900AF">
      <w:r>
        <w:t>At the time BO21990 was designed in 2008, there was no recognised validated method for assessing the</w:t>
      </w:r>
      <w:r w:rsidR="00A62574">
        <w:t xml:space="preserve"> </w:t>
      </w:r>
      <w:r>
        <w:t>methylation status of the MGMT gene promoter, thus precluding MGMT status as a reliable stratification</w:t>
      </w:r>
      <w:r w:rsidR="00A62574">
        <w:t xml:space="preserve"> </w:t>
      </w:r>
      <w:r>
        <w:t>factor</w:t>
      </w:r>
      <w:r w:rsidRPr="00014645">
        <w:t>.</w:t>
      </w:r>
      <w:r w:rsidR="0034030B">
        <w:rPr>
          <w:rStyle w:val="FootnoteReference"/>
        </w:rPr>
        <w:footnoteReference w:id="13"/>
      </w:r>
      <w:r>
        <w:t xml:space="preserve"> Since that time the methodology for assessment, as well as the definition of a clear threshold</w:t>
      </w:r>
      <w:r w:rsidR="00A62574">
        <w:t xml:space="preserve"> </w:t>
      </w:r>
      <w:r>
        <w:t>for MGMT methylation has evolved</w:t>
      </w:r>
      <w:r w:rsidRPr="00014645">
        <w:t>.</w:t>
      </w:r>
      <w:r w:rsidR="0034030B">
        <w:rPr>
          <w:rStyle w:val="FootnoteReference"/>
        </w:rPr>
        <w:footnoteReference w:id="14"/>
      </w:r>
      <w:r>
        <w:t xml:space="preserve"> However, an accepted standard has not yet been established.</w:t>
      </w:r>
    </w:p>
    <w:p w:rsidR="00073D4D" w:rsidRDefault="00073D4D" w:rsidP="007900AF">
      <w:r>
        <w:t>A subgroup analysis of investigator</w:t>
      </w:r>
      <w:r w:rsidR="0086058A">
        <w:t xml:space="preserve"> </w:t>
      </w:r>
      <w:r>
        <w:t>assessed PFS by MGMT methylation status performed on the data</w:t>
      </w:r>
      <w:r w:rsidR="00A62574">
        <w:t xml:space="preserve"> </w:t>
      </w:r>
      <w:r>
        <w:t>collected up to the final OS cut-off (28 February 2013) demonstrated a clinically significant reduction in</w:t>
      </w:r>
      <w:r w:rsidR="00A62574">
        <w:t xml:space="preserve"> </w:t>
      </w:r>
      <w:r>
        <w:t xml:space="preserve">the risk of disease progression or death in the </w:t>
      </w:r>
      <w:proofErr w:type="spellStart"/>
      <w:r w:rsidR="00775109">
        <w:t>bevacizumab</w:t>
      </w:r>
      <w:proofErr w:type="spellEnd"/>
      <w:r>
        <w:t xml:space="preserve"> + </w:t>
      </w:r>
      <w:r w:rsidR="00C12321">
        <w:t>RT/TMZ</w:t>
      </w:r>
      <w:r>
        <w:t xml:space="preserve"> arm compared with the Pl + </w:t>
      </w:r>
      <w:r w:rsidR="00C12321">
        <w:t>RT/TMZ</w:t>
      </w:r>
      <w:r>
        <w:t xml:space="preserve"> arm for</w:t>
      </w:r>
      <w:r w:rsidR="00A62574">
        <w:t xml:space="preserve"> </w:t>
      </w:r>
      <w:r>
        <w:t>patients with both non-methylated MGMT status (hazard ratio [HR] 0</w:t>
      </w:r>
      <w:r w:rsidRPr="008E75AB">
        <w:t>.57, 95% CI [0.47; 0.69]) and</w:t>
      </w:r>
      <w:r w:rsidR="00A62574" w:rsidRPr="008E75AB">
        <w:t xml:space="preserve"> </w:t>
      </w:r>
      <w:r w:rsidRPr="008E75AB">
        <w:t xml:space="preserve">methylated MGMT status (HR 0.72, 95% CI [0.54; 0.95]) (see </w:t>
      </w:r>
      <w:r w:rsidR="0086058A" w:rsidRPr="008E75AB">
        <w:t xml:space="preserve">Table </w:t>
      </w:r>
      <w:r w:rsidR="00AD12FE">
        <w:t>19</w:t>
      </w:r>
      <w:r w:rsidRPr="008E75AB">
        <w:t>). Furthermore</w:t>
      </w:r>
      <w:r>
        <w:t>, in the group of</w:t>
      </w:r>
      <w:r w:rsidR="00A62574">
        <w:t xml:space="preserve"> </w:t>
      </w:r>
      <w:r>
        <w:t>patients with missing MGMT status at baseline, the PFS results showed a clinically significant reduction</w:t>
      </w:r>
      <w:r w:rsidR="00A62574">
        <w:t xml:space="preserve"> </w:t>
      </w:r>
      <w:r>
        <w:t xml:space="preserve">in the risk of disease progression or death in the </w:t>
      </w:r>
      <w:proofErr w:type="spellStart"/>
      <w:r w:rsidR="00775109">
        <w:t>bevacizumab</w:t>
      </w:r>
      <w:proofErr w:type="spellEnd"/>
      <w:r>
        <w:t xml:space="preserve"> + </w:t>
      </w:r>
      <w:r w:rsidR="00C12321">
        <w:t>RT/</w:t>
      </w:r>
      <w:proofErr w:type="spellStart"/>
      <w:r w:rsidR="00C12321">
        <w:t>TMZ</w:t>
      </w:r>
      <w:r>
        <w:t>arm</w:t>
      </w:r>
      <w:proofErr w:type="spellEnd"/>
      <w:r>
        <w:t xml:space="preserve"> compared with the Pl + </w:t>
      </w:r>
      <w:r w:rsidR="00C12321">
        <w:t>RT/</w:t>
      </w:r>
      <w:proofErr w:type="spellStart"/>
      <w:r w:rsidR="00C12321">
        <w:t>TMZ</w:t>
      </w:r>
      <w:r>
        <w:t>arm</w:t>
      </w:r>
      <w:proofErr w:type="spellEnd"/>
      <w:r w:rsidR="00A62574">
        <w:t xml:space="preserve"> </w:t>
      </w:r>
      <w:r>
        <w:t>(HR 0.64, 95% CI [0.49; 0.85]). The OS results at the final OS analysis were similar to the overall</w:t>
      </w:r>
      <w:r w:rsidR="00A62574">
        <w:t xml:space="preserve"> </w:t>
      </w:r>
      <w:r>
        <w:t>population for patients with tumours with both non-methylated MGMT status</w:t>
      </w:r>
      <w:r w:rsidR="0086058A">
        <w:t xml:space="preserve"> </w:t>
      </w:r>
      <w:r>
        <w:t>(HR 0.91, 95% CI [0.74;</w:t>
      </w:r>
      <w:r w:rsidR="0086058A">
        <w:t xml:space="preserve"> </w:t>
      </w:r>
      <w:r>
        <w:t xml:space="preserve">1.11]) and methylated MGMT status (HR 0.93, 95% CI [0.65; 1.32]; see </w:t>
      </w:r>
      <w:r w:rsidR="0086058A">
        <w:t>table 5</w:t>
      </w:r>
      <w:r>
        <w:t xml:space="preserve">). These </w:t>
      </w:r>
      <w:r>
        <w:lastRenderedPageBreak/>
        <w:t>results</w:t>
      </w:r>
      <w:r w:rsidR="00A62574">
        <w:t xml:space="preserve"> </w:t>
      </w:r>
      <w:r>
        <w:t xml:space="preserve">indicate a benefit on PFS and an absence of a detrimental effect on OS by adding </w:t>
      </w:r>
      <w:proofErr w:type="spellStart"/>
      <w:r w:rsidR="00775109">
        <w:t>bevacizumab</w:t>
      </w:r>
      <w:proofErr w:type="spellEnd"/>
      <w:r>
        <w:t xml:space="preserve"> to </w:t>
      </w:r>
      <w:r w:rsidR="00C12321">
        <w:t>RT/TMZ</w:t>
      </w:r>
      <w:r>
        <w:t>,</w:t>
      </w:r>
      <w:r w:rsidR="00A62574">
        <w:t xml:space="preserve"> </w:t>
      </w:r>
      <w:r>
        <w:t>irrespective of MGMT methylation status.</w:t>
      </w:r>
    </w:p>
    <w:p w:rsidR="0086058A" w:rsidRDefault="0086058A" w:rsidP="007900AF">
      <w:pPr>
        <w:pStyle w:val="TableTitle"/>
      </w:pPr>
      <w:proofErr w:type="gramStart"/>
      <w:r>
        <w:t>Table</w:t>
      </w:r>
      <w:r w:rsidR="00B11B95">
        <w:t xml:space="preserve"> </w:t>
      </w:r>
      <w:r w:rsidR="00AD12FE">
        <w:t>19</w:t>
      </w:r>
      <w:r w:rsidR="00B11B95">
        <w:t>.</w:t>
      </w:r>
      <w:proofErr w:type="gramEnd"/>
      <w:r w:rsidR="00B11B95">
        <w:t xml:space="preserve"> Summary of overall survival by MGMT status</w:t>
      </w:r>
    </w:p>
    <w:p w:rsidR="0086058A" w:rsidRDefault="0086058A" w:rsidP="00D01141">
      <w:r>
        <w:rPr>
          <w:noProof/>
          <w:lang w:eastAsia="en-AU"/>
        </w:rPr>
        <w:drawing>
          <wp:inline distT="0" distB="0" distL="0" distR="0" wp14:anchorId="658D911A" wp14:editId="03047282">
            <wp:extent cx="5619750" cy="1324693"/>
            <wp:effectExtent l="0" t="0" r="0" b="8890"/>
            <wp:docPr id="26" name="Picture 26" descr="Table 19. Summary of overall survival by MGM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Lst>
                    </a:blip>
                    <a:srcRect t="12447"/>
                    <a:stretch/>
                  </pic:blipFill>
                  <pic:spPr bwMode="auto">
                    <a:xfrm>
                      <a:off x="0" y="0"/>
                      <a:ext cx="5619089" cy="1324537"/>
                    </a:xfrm>
                    <a:prstGeom prst="rect">
                      <a:avLst/>
                    </a:prstGeom>
                    <a:ln>
                      <a:noFill/>
                    </a:ln>
                    <a:extLst>
                      <a:ext uri="{53640926-AAD7-44D8-BBD7-CCE9431645EC}">
                        <a14:shadowObscured xmlns:a14="http://schemas.microsoft.com/office/drawing/2010/main"/>
                      </a:ext>
                    </a:extLst>
                  </pic:spPr>
                </pic:pic>
              </a:graphicData>
            </a:graphic>
          </wp:inline>
        </w:drawing>
      </w:r>
    </w:p>
    <w:p w:rsidR="00073D4D" w:rsidRDefault="00073D4D" w:rsidP="007900AF">
      <w:r>
        <w:t xml:space="preserve">Consequently the integrity of the study, and with it the ability to demonstrate a benefit from </w:t>
      </w:r>
      <w:proofErr w:type="spellStart"/>
      <w:r w:rsidR="00775109">
        <w:t>bevacizumab</w:t>
      </w:r>
      <w:proofErr w:type="spellEnd"/>
      <w:r>
        <w:t xml:space="preserve"> exposure,</w:t>
      </w:r>
      <w:r w:rsidR="00A62574">
        <w:t xml:space="preserve"> </w:t>
      </w:r>
      <w:r>
        <w:t>is not affected by the fact that subjects were not randomised according to MGMT methylation status.</w:t>
      </w:r>
    </w:p>
    <w:p w:rsidR="00073D4D" w:rsidRDefault="00073D4D" w:rsidP="007900AF">
      <w:pPr>
        <w:pStyle w:val="Heading6"/>
      </w:pPr>
      <w:r>
        <w:t xml:space="preserve">MGMT </w:t>
      </w:r>
      <w:r w:rsidR="007900AF">
        <w:t>s</w:t>
      </w:r>
      <w:r>
        <w:t xml:space="preserve">tatus does not mask the </w:t>
      </w:r>
      <w:r w:rsidR="007900AF">
        <w:t>e</w:t>
      </w:r>
      <w:r>
        <w:t xml:space="preserve">ffect of </w:t>
      </w:r>
      <w:proofErr w:type="spellStart"/>
      <w:r w:rsidR="00775109">
        <w:t>bevacizumab</w:t>
      </w:r>
      <w:proofErr w:type="spellEnd"/>
    </w:p>
    <w:p w:rsidR="00073D4D" w:rsidRDefault="00073D4D" w:rsidP="007900AF">
      <w:r>
        <w:t xml:space="preserve">Multiple and </w:t>
      </w:r>
      <w:proofErr w:type="spellStart"/>
      <w:r>
        <w:t>univariate</w:t>
      </w:r>
      <w:proofErr w:type="spellEnd"/>
      <w:r>
        <w:t xml:space="preserve"> Cox regression analyses have been performed for PFS with data collected up to</w:t>
      </w:r>
      <w:r w:rsidR="00A62574">
        <w:t xml:space="preserve"> </w:t>
      </w:r>
      <w:r>
        <w:t xml:space="preserve">the cut-off for the final OS snapshot of 28 February 2013. An </w:t>
      </w:r>
      <w:proofErr w:type="spellStart"/>
      <w:r>
        <w:t>univariate</w:t>
      </w:r>
      <w:proofErr w:type="spellEnd"/>
      <w:r>
        <w:t xml:space="preserve"> Cox regression analysis only</w:t>
      </w:r>
      <w:r w:rsidR="00A62574">
        <w:t xml:space="preserve"> </w:t>
      </w:r>
      <w:r>
        <w:t>including MGMT methylation status as a factor in the model provided a HR of 0.53 (95% CI [0.44;</w:t>
      </w:r>
      <w:r w:rsidR="00A62574">
        <w:t xml:space="preserve"> </w:t>
      </w:r>
      <w:r>
        <w:t>0.63]), indicating a significant PFS benefit for patients with methylated MGMT status as compared to</w:t>
      </w:r>
      <w:r w:rsidR="00A62574">
        <w:t xml:space="preserve"> </w:t>
      </w:r>
      <w:r>
        <w:t>patients with non-methylated MGMT status, regardless of the trial treatment received (</w:t>
      </w:r>
      <w:r w:rsidR="0086058A">
        <w:t xml:space="preserve">Table </w:t>
      </w:r>
      <w:r w:rsidR="00222A0F">
        <w:t>2</w:t>
      </w:r>
      <w:r w:rsidR="00AD12FE">
        <w:t>0</w:t>
      </w:r>
      <w:r>
        <w:t>). The</w:t>
      </w:r>
      <w:r w:rsidR="00A62574">
        <w:t xml:space="preserve"> </w:t>
      </w:r>
      <w:r>
        <w:t>treatment effect changed only slightly when adjusted for MGMT methylation status (from HR 0.65</w:t>
      </w:r>
      <w:r w:rsidR="00A62574">
        <w:t xml:space="preserve"> </w:t>
      </w:r>
      <w:r>
        <w:t>overall unadjusted to 0.62).</w:t>
      </w:r>
    </w:p>
    <w:p w:rsidR="00222A0F" w:rsidRDefault="00222A0F" w:rsidP="007900AF">
      <w:pPr>
        <w:pStyle w:val="TableTitle"/>
      </w:pPr>
      <w:proofErr w:type="gramStart"/>
      <w:r>
        <w:t>Table 2</w:t>
      </w:r>
      <w:r w:rsidR="00AD12FE">
        <w:t>0</w:t>
      </w:r>
      <w:r>
        <w:t>.</w:t>
      </w:r>
      <w:proofErr w:type="gramEnd"/>
      <w:r>
        <w:t xml:space="preserve"> </w:t>
      </w:r>
      <w:r w:rsidRPr="007900AF">
        <w:t>Summary</w:t>
      </w:r>
      <w:r>
        <w:t xml:space="preserve"> of Cox regression for progression free survival (as assessed by the investigator)</w:t>
      </w:r>
    </w:p>
    <w:p w:rsidR="0086058A" w:rsidRDefault="0086058A" w:rsidP="00D01141">
      <w:r>
        <w:rPr>
          <w:noProof/>
          <w:lang w:eastAsia="en-AU"/>
        </w:rPr>
        <w:drawing>
          <wp:inline distT="0" distB="0" distL="0" distR="0" wp14:anchorId="5CA99375" wp14:editId="708ACC1D">
            <wp:extent cx="5479284" cy="2409825"/>
            <wp:effectExtent l="0" t="0" r="7620" b="0"/>
            <wp:docPr id="27" name="Picture 27" descr="Table 20. Summary of Cox regression for progression free survival (as assessed by the investig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Lst>
                    </a:blip>
                    <a:srcRect l="2116" t="13184" r="177"/>
                    <a:stretch/>
                  </pic:blipFill>
                  <pic:spPr bwMode="auto">
                    <a:xfrm>
                      <a:off x="0" y="0"/>
                      <a:ext cx="5478640" cy="2409542"/>
                    </a:xfrm>
                    <a:prstGeom prst="rect">
                      <a:avLst/>
                    </a:prstGeom>
                    <a:ln>
                      <a:noFill/>
                    </a:ln>
                    <a:extLst>
                      <a:ext uri="{53640926-AAD7-44D8-BBD7-CCE9431645EC}">
                        <a14:shadowObscured xmlns:a14="http://schemas.microsoft.com/office/drawing/2010/main"/>
                      </a:ext>
                    </a:extLst>
                  </pic:spPr>
                </pic:pic>
              </a:graphicData>
            </a:graphic>
          </wp:inline>
        </w:drawing>
      </w:r>
    </w:p>
    <w:p w:rsidR="00073D4D" w:rsidRDefault="00073D4D" w:rsidP="007900AF">
      <w:r>
        <w:t>The multiple Cox models (one with all selected baseline covariates and one with only the significant ones</w:t>
      </w:r>
      <w:r w:rsidR="00A62574">
        <w:t xml:space="preserve"> </w:t>
      </w:r>
      <w:r>
        <w:t xml:space="preserve">included) confirm these results (see </w:t>
      </w:r>
      <w:r w:rsidR="0086058A">
        <w:t>Tables</w:t>
      </w:r>
      <w:r>
        <w:t xml:space="preserve"> </w:t>
      </w:r>
      <w:r w:rsidR="00222A0F">
        <w:t>2</w:t>
      </w:r>
      <w:r w:rsidR="00AD12FE">
        <w:t>1</w:t>
      </w:r>
      <w:r w:rsidR="00222A0F">
        <w:t xml:space="preserve"> </w:t>
      </w:r>
      <w:r w:rsidR="0086058A">
        <w:t xml:space="preserve">and </w:t>
      </w:r>
      <w:r w:rsidR="00222A0F">
        <w:t>2</w:t>
      </w:r>
      <w:r w:rsidR="00AD12FE">
        <w:t>2</w:t>
      </w:r>
      <w:r>
        <w:t>).</w:t>
      </w:r>
    </w:p>
    <w:p w:rsidR="00222A0F" w:rsidRDefault="00222A0F" w:rsidP="007900AF">
      <w:pPr>
        <w:pStyle w:val="TableTitle"/>
      </w:pPr>
      <w:proofErr w:type="gramStart"/>
      <w:r>
        <w:lastRenderedPageBreak/>
        <w:t>Table 2</w:t>
      </w:r>
      <w:r w:rsidR="00AD12FE">
        <w:t>1</w:t>
      </w:r>
      <w:r>
        <w:t>.</w:t>
      </w:r>
      <w:proofErr w:type="gramEnd"/>
      <w:r>
        <w:t xml:space="preserve"> Summary of multiple Cox regression for progression free survival (as assessed by the </w:t>
      </w:r>
      <w:r w:rsidRPr="007900AF">
        <w:t>investigator</w:t>
      </w:r>
      <w:r>
        <w:t>-all variables)</w:t>
      </w:r>
    </w:p>
    <w:p w:rsidR="0086058A" w:rsidRDefault="0086058A" w:rsidP="00D01141">
      <w:r>
        <w:rPr>
          <w:noProof/>
          <w:lang w:eastAsia="en-AU"/>
        </w:rPr>
        <w:drawing>
          <wp:inline distT="0" distB="0" distL="0" distR="0" wp14:anchorId="17C578DC" wp14:editId="0DBA6139">
            <wp:extent cx="5314950" cy="2044285"/>
            <wp:effectExtent l="0" t="0" r="0" b="0"/>
            <wp:docPr id="28" name="Picture 28" descr="Table 21. Summary of multiple Cox regression for progression free survival (as assessed by the investigator-all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BEBA8EAE-BF5A-486C-A8C5-ECC9F3942E4B}">
                          <a14:imgProps xmlns:a14="http://schemas.microsoft.com/office/drawing/2010/main">
                            <a14:imgLayer r:embed="rId37">
                              <a14:imgEffect>
                                <a14:sharpenSoften amount="50000"/>
                              </a14:imgEffect>
                            </a14:imgLayer>
                          </a14:imgProps>
                        </a:ext>
                      </a:extLst>
                    </a:blip>
                    <a:srcRect l="1587" t="23246"/>
                    <a:stretch/>
                  </pic:blipFill>
                  <pic:spPr bwMode="auto">
                    <a:xfrm>
                      <a:off x="0" y="0"/>
                      <a:ext cx="5314325" cy="2044045"/>
                    </a:xfrm>
                    <a:prstGeom prst="rect">
                      <a:avLst/>
                    </a:prstGeom>
                    <a:ln>
                      <a:noFill/>
                    </a:ln>
                    <a:extLst>
                      <a:ext uri="{53640926-AAD7-44D8-BBD7-CCE9431645EC}">
                        <a14:shadowObscured xmlns:a14="http://schemas.microsoft.com/office/drawing/2010/main"/>
                      </a:ext>
                    </a:extLst>
                  </pic:spPr>
                </pic:pic>
              </a:graphicData>
            </a:graphic>
          </wp:inline>
        </w:drawing>
      </w:r>
    </w:p>
    <w:p w:rsidR="00222A0F" w:rsidRDefault="00222A0F" w:rsidP="007900AF">
      <w:pPr>
        <w:pStyle w:val="TableTitle"/>
      </w:pPr>
      <w:r>
        <w:t>Table 2</w:t>
      </w:r>
      <w:r w:rsidR="00AD12FE">
        <w:t>2</w:t>
      </w:r>
      <w:r>
        <w:t>. Summary of multiple Cox regression for progression free survival (as assessed by the investigator-</w:t>
      </w:r>
      <w:r w:rsidRPr="007900AF">
        <w:t>significant</w:t>
      </w:r>
      <w:r>
        <w:t xml:space="preserve"> variables)</w:t>
      </w:r>
    </w:p>
    <w:p w:rsidR="0086058A" w:rsidRDefault="0086058A" w:rsidP="00D01141">
      <w:r>
        <w:rPr>
          <w:noProof/>
          <w:lang w:eastAsia="en-AU"/>
        </w:rPr>
        <w:drawing>
          <wp:inline distT="0" distB="0" distL="0" distR="0" wp14:anchorId="42307E41" wp14:editId="59686671">
            <wp:extent cx="5314241" cy="1381125"/>
            <wp:effectExtent l="0" t="0" r="1270" b="0"/>
            <wp:docPr id="29" name="Picture 29" descr="Table 22. Summary of multiple Cox regression for progression free survival (as assessed by the investigator-significant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BEBA8EAE-BF5A-486C-A8C5-ECC9F3942E4B}">
                          <a14:imgProps xmlns:a14="http://schemas.microsoft.com/office/drawing/2010/main">
                            <a14:imgLayer r:embed="rId39">
                              <a14:imgEffect>
                                <a14:sharpenSoften amount="50000"/>
                              </a14:imgEffect>
                            </a14:imgLayer>
                          </a14:imgProps>
                        </a:ext>
                      </a:extLst>
                    </a:blip>
                    <a:srcRect l="1588" t="26768"/>
                    <a:stretch/>
                  </pic:blipFill>
                  <pic:spPr bwMode="auto">
                    <a:xfrm>
                      <a:off x="0" y="0"/>
                      <a:ext cx="5314314" cy="1381144"/>
                    </a:xfrm>
                    <a:prstGeom prst="rect">
                      <a:avLst/>
                    </a:prstGeom>
                    <a:ln>
                      <a:noFill/>
                    </a:ln>
                    <a:extLst>
                      <a:ext uri="{53640926-AAD7-44D8-BBD7-CCE9431645EC}">
                        <a14:shadowObscured xmlns:a14="http://schemas.microsoft.com/office/drawing/2010/main"/>
                      </a:ext>
                    </a:extLst>
                  </pic:spPr>
                </pic:pic>
              </a:graphicData>
            </a:graphic>
          </wp:inline>
        </w:drawing>
      </w:r>
    </w:p>
    <w:p w:rsidR="00073D4D" w:rsidRDefault="00073D4D" w:rsidP="007900AF">
      <w:r w:rsidRPr="007B002B">
        <w:t>A Cox regression analysis including trial treatment, MGMT methylation status as well as the interaction</w:t>
      </w:r>
      <w:r w:rsidR="00A62574" w:rsidRPr="007B002B">
        <w:t xml:space="preserve"> </w:t>
      </w:r>
      <w:r w:rsidRPr="007B002B">
        <w:t>term of MGMT and trial treatment has also been performed and resulted in a non-significant p-value for</w:t>
      </w:r>
      <w:r w:rsidR="00A62574" w:rsidRPr="007B002B">
        <w:t xml:space="preserve"> </w:t>
      </w:r>
      <w:r w:rsidRPr="007B002B">
        <w:t xml:space="preserve">the interaction term (see </w:t>
      </w:r>
      <w:r w:rsidR="0086058A" w:rsidRPr="007B002B">
        <w:t xml:space="preserve">Table </w:t>
      </w:r>
      <w:r w:rsidR="00222A0F" w:rsidRPr="007B002B">
        <w:t>2</w:t>
      </w:r>
      <w:r w:rsidR="00AD12FE" w:rsidRPr="007B002B">
        <w:t>3</w:t>
      </w:r>
      <w:r w:rsidRPr="007B002B">
        <w:t xml:space="preserve">) confirming that </w:t>
      </w:r>
      <w:proofErr w:type="spellStart"/>
      <w:r w:rsidR="00775109" w:rsidRPr="007B002B">
        <w:t>bevacizumab</w:t>
      </w:r>
      <w:proofErr w:type="spellEnd"/>
      <w:r>
        <w:t xml:space="preserve"> treatment effect is independent of MGMT</w:t>
      </w:r>
      <w:r w:rsidR="00A62574">
        <w:t xml:space="preserve"> </w:t>
      </w:r>
      <w:r>
        <w:t>methylation status.</w:t>
      </w:r>
    </w:p>
    <w:p w:rsidR="0086058A" w:rsidRDefault="00222A0F" w:rsidP="00222A0F">
      <w:pPr>
        <w:pStyle w:val="TableTitle"/>
      </w:pPr>
      <w:proofErr w:type="gramStart"/>
      <w:r>
        <w:t>Table 2</w:t>
      </w:r>
      <w:r w:rsidR="00AD12FE">
        <w:t>3</w:t>
      </w:r>
      <w:r>
        <w:t>.</w:t>
      </w:r>
      <w:proofErr w:type="gramEnd"/>
      <w:r>
        <w:t xml:space="preserve"> Testing for MGMT and trial treatment interaction for progression free survival</w:t>
      </w:r>
    </w:p>
    <w:p w:rsidR="0086058A" w:rsidRDefault="0086058A" w:rsidP="00D01141">
      <w:r>
        <w:rPr>
          <w:noProof/>
          <w:lang w:eastAsia="en-AU"/>
        </w:rPr>
        <w:drawing>
          <wp:inline distT="0" distB="0" distL="0" distR="0" wp14:anchorId="152EED4C" wp14:editId="445233D5">
            <wp:extent cx="5286375" cy="1056930"/>
            <wp:effectExtent l="0" t="0" r="0" b="0"/>
            <wp:docPr id="30" name="Picture 30" descr="Table 23. Testing for MGMT and trial treatment interaction for progression free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BEBA8EAE-BF5A-486C-A8C5-ECC9F3942E4B}">
                          <a14:imgProps xmlns:a14="http://schemas.microsoft.com/office/drawing/2010/main">
                            <a14:imgLayer r:embed="rId41">
                              <a14:imgEffect>
                                <a14:sharpenSoften amount="50000"/>
                              </a14:imgEffect>
                            </a14:imgLayer>
                          </a14:imgProps>
                        </a:ext>
                      </a:extLst>
                    </a:blip>
                    <a:srcRect l="1770" t="32317"/>
                    <a:stretch/>
                  </pic:blipFill>
                  <pic:spPr bwMode="auto">
                    <a:xfrm>
                      <a:off x="0" y="0"/>
                      <a:ext cx="5304464" cy="1060547"/>
                    </a:xfrm>
                    <a:prstGeom prst="rect">
                      <a:avLst/>
                    </a:prstGeom>
                    <a:ln>
                      <a:noFill/>
                    </a:ln>
                    <a:extLst>
                      <a:ext uri="{53640926-AAD7-44D8-BBD7-CCE9431645EC}">
                        <a14:shadowObscured xmlns:a14="http://schemas.microsoft.com/office/drawing/2010/main"/>
                      </a:ext>
                    </a:extLst>
                  </pic:spPr>
                </pic:pic>
              </a:graphicData>
            </a:graphic>
          </wp:inline>
        </w:drawing>
      </w:r>
    </w:p>
    <w:p w:rsidR="00073D4D" w:rsidRDefault="0086058A" w:rsidP="007900AF">
      <w:r>
        <w:t>T</w:t>
      </w:r>
      <w:r w:rsidR="00073D4D">
        <w:t>hese analyses confirm the prognostic value of MGMT methylation and demonstrate the absence of a</w:t>
      </w:r>
      <w:r w:rsidR="00A62574">
        <w:t xml:space="preserve"> </w:t>
      </w:r>
      <w:r w:rsidR="00073D4D">
        <w:t xml:space="preserve">predictive value of MGMT for </w:t>
      </w:r>
      <w:proofErr w:type="spellStart"/>
      <w:r w:rsidR="00775109">
        <w:t>bevacizumab</w:t>
      </w:r>
      <w:proofErr w:type="spellEnd"/>
      <w:r w:rsidR="00222A0F">
        <w:t>, that is,</w:t>
      </w:r>
      <w:r w:rsidR="00073D4D">
        <w:t xml:space="preserve"> the benefit of </w:t>
      </w:r>
      <w:proofErr w:type="spellStart"/>
      <w:r w:rsidR="00775109">
        <w:t>bevacizumab</w:t>
      </w:r>
      <w:proofErr w:type="spellEnd"/>
      <w:r w:rsidR="00073D4D">
        <w:t xml:space="preserve"> treatment is similar for methylated and </w:t>
      </w:r>
      <w:proofErr w:type="spellStart"/>
      <w:r w:rsidR="00073D4D">
        <w:t>nonmethylated</w:t>
      </w:r>
      <w:proofErr w:type="spellEnd"/>
      <w:r w:rsidR="00A62574">
        <w:t xml:space="preserve"> </w:t>
      </w:r>
      <w:r w:rsidR="00073D4D">
        <w:t>patients as can be seen by the overlapping 95% CI for the HRs of the two subgroups.</w:t>
      </w:r>
    </w:p>
    <w:p w:rsidR="00073D4D" w:rsidRDefault="00073D4D" w:rsidP="007900AF">
      <w:r>
        <w:t xml:space="preserve">The ability of the pivotal study to demonstrate a positive effect from </w:t>
      </w:r>
      <w:proofErr w:type="spellStart"/>
      <w:r w:rsidR="00775109">
        <w:t>bevacizumab</w:t>
      </w:r>
      <w:proofErr w:type="spellEnd"/>
      <w:r>
        <w:t xml:space="preserve"> exposure is therefore not masked</w:t>
      </w:r>
      <w:r w:rsidR="00A62574">
        <w:t xml:space="preserve"> </w:t>
      </w:r>
      <w:r>
        <w:t>by the significant impact that MGMT status has on the PFS outcome.</w:t>
      </w:r>
    </w:p>
    <w:p w:rsidR="00073D4D" w:rsidRDefault="00073D4D" w:rsidP="007900AF">
      <w:pPr>
        <w:pStyle w:val="Heading6"/>
      </w:pPr>
      <w:r>
        <w:t>Assessment method for disease progression</w:t>
      </w:r>
    </w:p>
    <w:p w:rsidR="00073D4D" w:rsidRDefault="00073D4D" w:rsidP="007900AF">
      <w:r>
        <w:t>At the time the BO21990 study was initiated in 2009 the Macdonald criteria, which takes into account</w:t>
      </w:r>
      <w:r w:rsidR="00A62574">
        <w:t xml:space="preserve"> </w:t>
      </w:r>
      <w:proofErr w:type="spellStart"/>
      <w:r>
        <w:t>bidimensional</w:t>
      </w:r>
      <w:proofErr w:type="spellEnd"/>
      <w:r>
        <w:t xml:space="preserve"> diagnostic radiological imaging, the neurological status of the patient and the use of corticosteroids was the reference for standardised disease </w:t>
      </w:r>
      <w:r>
        <w:lastRenderedPageBreak/>
        <w:t>assessment of GBM</w:t>
      </w:r>
      <w:r w:rsidR="0034030B">
        <w:rPr>
          <w:rStyle w:val="FootnoteReference"/>
        </w:rPr>
        <w:footnoteReference w:id="15"/>
      </w:r>
      <w:r w:rsidRPr="00014645">
        <w:t>.</w:t>
      </w:r>
      <w:r>
        <w:t xml:space="preserve"> From the</w:t>
      </w:r>
      <w:r w:rsidR="00A62574">
        <w:t xml:space="preserve"> </w:t>
      </w:r>
      <w:r>
        <w:t>1990s onwards the advances in magnetic resonance imaging (MRI) technologies, the introduction of new</w:t>
      </w:r>
      <w:r w:rsidR="00A62574">
        <w:t xml:space="preserve"> </w:t>
      </w:r>
      <w:r>
        <w:t>biological therapeutic agents and a better understanding of GBM tumour biology revealed some</w:t>
      </w:r>
      <w:r w:rsidR="00A62574">
        <w:t xml:space="preserve"> </w:t>
      </w:r>
      <w:r>
        <w:t>limitations of the Macdonald criteria. The original Macdonald criteria did not consider non-enhancing</w:t>
      </w:r>
      <w:r w:rsidR="00A62574">
        <w:t xml:space="preserve"> </w:t>
      </w:r>
      <w:r>
        <w:t>areas of the tumour which can cause clinical deterioration despite stable or decreasing enhancing tumour</w:t>
      </w:r>
      <w:r w:rsidR="00A62574">
        <w:t xml:space="preserve"> </w:t>
      </w:r>
      <w:r>
        <w:t>portions and did not provide guidance to assess multifocal tumours, diffuse tumour dissemination and</w:t>
      </w:r>
      <w:r w:rsidR="00A62574">
        <w:t xml:space="preserve"> </w:t>
      </w:r>
      <w:r>
        <w:t xml:space="preserve">new phenomena such as </w:t>
      </w:r>
      <w:proofErr w:type="spellStart"/>
      <w:r>
        <w:t>pseudoprogression</w:t>
      </w:r>
      <w:proofErr w:type="spellEnd"/>
      <w:r>
        <w:t xml:space="preserve"> (</w:t>
      </w:r>
      <w:proofErr w:type="spellStart"/>
      <w:r>
        <w:t>PsPD</w:t>
      </w:r>
      <w:proofErr w:type="spellEnd"/>
      <w:r>
        <w:t>).</w:t>
      </w:r>
    </w:p>
    <w:p w:rsidR="00073D4D" w:rsidRDefault="00073D4D" w:rsidP="007900AF">
      <w:r>
        <w:t>Concurrent with the writing of the BO21990 protocol, ongoing discussions by an international panel of</w:t>
      </w:r>
      <w:r w:rsidR="00A62574">
        <w:t xml:space="preserve"> </w:t>
      </w:r>
      <w:r>
        <w:t xml:space="preserve">experts of the Response Assessment in </w:t>
      </w:r>
      <w:proofErr w:type="spellStart"/>
      <w:r>
        <w:t>Neuro</w:t>
      </w:r>
      <w:proofErr w:type="spellEnd"/>
      <w:r>
        <w:t>-Oncology (RANO) Working Group aimed to propose</w:t>
      </w:r>
      <w:r w:rsidR="00A62574">
        <w:t xml:space="preserve"> </w:t>
      </w:r>
      <w:r>
        <w:t xml:space="preserve">recommendations for updating response criteria for high grade </w:t>
      </w:r>
      <w:proofErr w:type="spellStart"/>
      <w:r>
        <w:t>gliomas</w:t>
      </w:r>
      <w:proofErr w:type="spellEnd"/>
      <w:r>
        <w:t>. Several of the criteria</w:t>
      </w:r>
      <w:r w:rsidR="00A62574">
        <w:t xml:space="preserve"> </w:t>
      </w:r>
      <w:r>
        <w:t>subsequently recommended by the RANO group</w:t>
      </w:r>
      <w:r w:rsidR="0034030B">
        <w:rPr>
          <w:rStyle w:val="FootnoteReference"/>
        </w:rPr>
        <w:footnoteReference w:id="16"/>
      </w:r>
      <w:r w:rsidRPr="00014645">
        <w:rPr>
          <w:b/>
          <w:bCs/>
        </w:rPr>
        <w:t xml:space="preserve"> </w:t>
      </w:r>
      <w:r w:rsidRPr="008E75AB">
        <w:t>were incorporated</w:t>
      </w:r>
      <w:r>
        <w:t xml:space="preserve"> into BO21990 study protocol at</w:t>
      </w:r>
      <w:r w:rsidR="00A62574">
        <w:t xml:space="preserve"> </w:t>
      </w:r>
      <w:r>
        <w:t>the time that the adapted Macdonald criteria were being defined. As a result, the adapted Macdonald and</w:t>
      </w:r>
      <w:r w:rsidR="0086058A">
        <w:t xml:space="preserve"> </w:t>
      </w:r>
      <w:r>
        <w:t>RANO criteria are similar and integrate the latest advances in the field. The key features of both criteria</w:t>
      </w:r>
      <w:r w:rsidR="00A62574">
        <w:t xml:space="preserve"> </w:t>
      </w:r>
      <w:r>
        <w:t>included the need to consider the non-enhancing component of the tumour by T2/FLAIR image</w:t>
      </w:r>
      <w:r w:rsidR="00A62574">
        <w:t xml:space="preserve"> </w:t>
      </w:r>
      <w:r>
        <w:t>sequences when assessing response, in alignment with current clinical practice to assess brain tumours</w:t>
      </w:r>
      <w:r w:rsidR="00A62574">
        <w:t xml:space="preserve"> </w:t>
      </w:r>
      <w:r w:rsidRPr="008E75AB">
        <w:t>(</w:t>
      </w:r>
      <w:r w:rsidR="00222A0F" w:rsidRPr="008E75AB">
        <w:t>Table 2</w:t>
      </w:r>
      <w:r w:rsidR="00AD12FE">
        <w:t>4</w:t>
      </w:r>
      <w:r w:rsidRPr="008E75AB">
        <w:t>). In addition</w:t>
      </w:r>
      <w:r>
        <w:t xml:space="preserve"> a specific guideline to distinguish </w:t>
      </w:r>
      <w:proofErr w:type="spellStart"/>
      <w:r>
        <w:t>PsPD</w:t>
      </w:r>
      <w:proofErr w:type="spellEnd"/>
      <w:r>
        <w:t xml:space="preserve"> was prospectively defined in BO21990.</w:t>
      </w:r>
      <w:r w:rsidR="0034030B">
        <w:rPr>
          <w:rStyle w:val="FootnoteReference"/>
        </w:rPr>
        <w:footnoteReference w:id="17"/>
      </w:r>
    </w:p>
    <w:p w:rsidR="00222A0F" w:rsidRDefault="00073D4D" w:rsidP="007900AF">
      <w:pPr>
        <w:pStyle w:val="TableTitle"/>
        <w:rPr>
          <w:sz w:val="16"/>
          <w:szCs w:val="16"/>
        </w:rPr>
      </w:pPr>
      <w:proofErr w:type="gramStart"/>
      <w:r>
        <w:t>Table</w:t>
      </w:r>
      <w:r w:rsidR="00222A0F">
        <w:t xml:space="preserve"> 2</w:t>
      </w:r>
      <w:r w:rsidR="00AD12FE">
        <w:t>4</w:t>
      </w:r>
      <w:r w:rsidR="00222A0F">
        <w:t>.</w:t>
      </w:r>
      <w:proofErr w:type="gramEnd"/>
      <w:r w:rsidR="00222A0F">
        <w:t xml:space="preserve"> C</w:t>
      </w:r>
      <w:r>
        <w:t xml:space="preserve">omparison of Tumour Assessment Criteria for Disease Progression in </w:t>
      </w:r>
      <w:proofErr w:type="spellStart"/>
      <w:r w:rsidRPr="007900AF">
        <w:t>Glioblastoma</w:t>
      </w:r>
      <w:r w:rsidRPr="007900AF">
        <w:rPr>
          <w:vertAlign w:val="superscript"/>
        </w:rPr>
        <w:t>a</w:t>
      </w:r>
      <w:proofErr w:type="spellEnd"/>
    </w:p>
    <w:p w:rsidR="00073D4D" w:rsidRPr="008E75AB" w:rsidRDefault="00073D4D" w:rsidP="007900AF">
      <w:r w:rsidRPr="008E75AB">
        <w:t>Adapted Macdonald (BO21990) RANO</w:t>
      </w:r>
    </w:p>
    <w:p w:rsidR="00836CFE" w:rsidRDefault="00836CFE" w:rsidP="007900AF">
      <w:pPr>
        <w:rPr>
          <w:rFonts w:ascii="Times New Roman" w:eastAsiaTheme="minorHAnsi" w:hAnsi="Times New Roman"/>
          <w:b/>
          <w:bCs/>
          <w:sz w:val="24"/>
          <w:szCs w:val="24"/>
        </w:rPr>
      </w:pPr>
      <w:r>
        <w:rPr>
          <w:noProof/>
          <w:lang w:eastAsia="en-AU"/>
        </w:rPr>
        <w:drawing>
          <wp:inline distT="0" distB="0" distL="0" distR="0" wp14:anchorId="404B641A" wp14:editId="274C21AC">
            <wp:extent cx="5392490" cy="1828800"/>
            <wp:effectExtent l="0" t="0" r="0" b="0"/>
            <wp:docPr id="5" name="Picture 5" descr="Table 24. Comparison of Tumour Assessment Criteria for Disease Progression in Glioblasto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b="2538"/>
                    <a:stretch/>
                  </pic:blipFill>
                  <pic:spPr bwMode="auto">
                    <a:xfrm>
                      <a:off x="0" y="0"/>
                      <a:ext cx="5400040" cy="1831360"/>
                    </a:xfrm>
                    <a:prstGeom prst="rect">
                      <a:avLst/>
                    </a:prstGeom>
                    <a:ln>
                      <a:noFill/>
                    </a:ln>
                    <a:extLst>
                      <a:ext uri="{53640926-AAD7-44D8-BBD7-CCE9431645EC}">
                        <a14:shadowObscured xmlns:a14="http://schemas.microsoft.com/office/drawing/2010/main"/>
                      </a:ext>
                    </a:extLst>
                  </pic:spPr>
                </pic:pic>
              </a:graphicData>
            </a:graphic>
          </wp:inline>
        </w:drawing>
      </w:r>
    </w:p>
    <w:p w:rsidR="00836CFE" w:rsidRPr="0086058A" w:rsidRDefault="00836CFE" w:rsidP="007900AF">
      <w:pPr>
        <w:pStyle w:val="TableDescription"/>
      </w:pPr>
      <w:proofErr w:type="gramStart"/>
      <w:r w:rsidRPr="007900AF">
        <w:rPr>
          <w:vertAlign w:val="superscript"/>
        </w:rPr>
        <w:t>a</w:t>
      </w:r>
      <w:proofErr w:type="gramEnd"/>
      <w:r w:rsidRPr="0086058A">
        <w:t xml:space="preserve"> Progression is designated if any of the following criteria are met.</w:t>
      </w:r>
      <w:r w:rsidR="00A62574" w:rsidRPr="0086058A">
        <w:t xml:space="preserve"> </w:t>
      </w:r>
    </w:p>
    <w:p w:rsidR="00836CFE" w:rsidRPr="0086058A" w:rsidRDefault="00836CFE" w:rsidP="007900AF">
      <w:pPr>
        <w:pStyle w:val="TableDescription"/>
      </w:pPr>
      <w:proofErr w:type="gramStart"/>
      <w:r w:rsidRPr="007900AF">
        <w:rPr>
          <w:vertAlign w:val="superscript"/>
        </w:rPr>
        <w:t>b</w:t>
      </w:r>
      <w:proofErr w:type="gramEnd"/>
      <w:r w:rsidRPr="0086058A">
        <w:t xml:space="preserve"> Measured by sum of the products of perpendicular diameters.</w:t>
      </w:r>
    </w:p>
    <w:p w:rsidR="00836CFE" w:rsidRPr="0086058A" w:rsidRDefault="00836CFE" w:rsidP="007900AF">
      <w:pPr>
        <w:pStyle w:val="TableDescription"/>
      </w:pPr>
      <w:proofErr w:type="gramStart"/>
      <w:r w:rsidRPr="007900AF">
        <w:rPr>
          <w:vertAlign w:val="superscript"/>
        </w:rPr>
        <w:t>c</w:t>
      </w:r>
      <w:proofErr w:type="gramEnd"/>
      <w:r w:rsidRPr="0086058A">
        <w:t xml:space="preserve"> Index </w:t>
      </w:r>
      <w:r w:rsidRPr="00FF462F">
        <w:rPr>
          <w:sz w:val="18"/>
          <w:szCs w:val="18"/>
        </w:rPr>
        <w:t>lesions are measurable lesions (contrast-enhancing lesions on post-gadolinium MRI sequences)</w:t>
      </w:r>
      <w:r w:rsidR="00A62574" w:rsidRPr="00FF462F">
        <w:rPr>
          <w:sz w:val="18"/>
          <w:szCs w:val="18"/>
        </w:rPr>
        <w:t xml:space="preserve"> </w:t>
      </w:r>
      <w:r w:rsidRPr="00FF462F">
        <w:rPr>
          <w:sz w:val="18"/>
          <w:szCs w:val="18"/>
        </w:rPr>
        <w:t xml:space="preserve">with both diameters </w:t>
      </w:r>
      <w:r w:rsidR="00D905DB">
        <w:rPr>
          <w:rFonts w:ascii="Times New Roman" w:eastAsiaTheme="minorHAnsi" w:hAnsi="Times New Roman"/>
          <w:sz w:val="18"/>
          <w:szCs w:val="18"/>
        </w:rPr>
        <w:t>≥</w:t>
      </w:r>
      <w:r w:rsidR="00FF462F">
        <w:rPr>
          <w:rFonts w:ascii="Symbol" w:eastAsiaTheme="minorHAnsi" w:hAnsi="Symbol" w:cs="Symbol"/>
          <w:sz w:val="18"/>
          <w:szCs w:val="18"/>
        </w:rPr>
        <w:t></w:t>
      </w:r>
      <w:r w:rsidRPr="00FF462F">
        <w:rPr>
          <w:sz w:val="18"/>
          <w:szCs w:val="18"/>
        </w:rPr>
        <w:t>10 mm</w:t>
      </w:r>
      <w:r w:rsidRPr="0086058A">
        <w:t>. Non-index lesions are lesions evident on radiographic examination that</w:t>
      </w:r>
      <w:r w:rsidR="00A62574" w:rsidRPr="0086058A">
        <w:t xml:space="preserve"> </w:t>
      </w:r>
      <w:r w:rsidRPr="0086058A">
        <w:t>cannot be accurately measured or do not meet the criteria of index lesions.</w:t>
      </w:r>
    </w:p>
    <w:p w:rsidR="00073D4D" w:rsidRPr="0086058A" w:rsidRDefault="00836CFE" w:rsidP="007900AF">
      <w:pPr>
        <w:pStyle w:val="TableDescription"/>
      </w:pPr>
      <w:proofErr w:type="gramStart"/>
      <w:r w:rsidRPr="007900AF">
        <w:rPr>
          <w:vertAlign w:val="superscript"/>
        </w:rPr>
        <w:t>d</w:t>
      </w:r>
      <w:proofErr w:type="gramEnd"/>
      <w:r w:rsidRPr="0086058A">
        <w:t xml:space="preserve"> On stable or increasing doses of corticosteroids.</w:t>
      </w:r>
    </w:p>
    <w:p w:rsidR="00836CFE" w:rsidRDefault="00073D4D" w:rsidP="008C2169">
      <w:r>
        <w:t>In conclusion, given the known limitations of the original Macdonald criteria and the maturity of work</w:t>
      </w:r>
      <w:r w:rsidR="00A62574">
        <w:t xml:space="preserve"> </w:t>
      </w:r>
      <w:r>
        <w:t>by the RANO group on re-defining the criteria for response assessment in GBM, modification of the</w:t>
      </w:r>
      <w:r w:rsidR="00A62574">
        <w:t xml:space="preserve"> </w:t>
      </w:r>
      <w:r>
        <w:t>original Macdonald criteria in BO21990 was considered necessary. The incorporation of specific</w:t>
      </w:r>
      <w:r w:rsidR="00A62574">
        <w:t xml:space="preserve"> </w:t>
      </w:r>
      <w:r>
        <w:t>operational elements allowed for more consistent and rigorous application of the response assessment</w:t>
      </w:r>
      <w:r w:rsidR="00A62574">
        <w:t xml:space="preserve"> </w:t>
      </w:r>
      <w:r>
        <w:t>criteria required across investigator sites in a large multi-centre clinical trial. Importantly, the application</w:t>
      </w:r>
      <w:r w:rsidR="00A62574">
        <w:t xml:space="preserve"> </w:t>
      </w:r>
      <w:r>
        <w:t>of the adapted Macdonald criteria in the BO21990 study showed not only their robustness and</w:t>
      </w:r>
      <w:r w:rsidR="00A62574">
        <w:t xml:space="preserve"> </w:t>
      </w:r>
      <w:r>
        <w:t xml:space="preserve">reproducibility but also demonstrated that integration of T2/FLAIR as part of the </w:t>
      </w:r>
      <w:r>
        <w:lastRenderedPageBreak/>
        <w:t>radiological</w:t>
      </w:r>
      <w:r w:rsidR="00A62574">
        <w:t xml:space="preserve"> </w:t>
      </w:r>
      <w:r>
        <w:t xml:space="preserve">assessment was feasible in a large </w:t>
      </w:r>
      <w:r w:rsidR="0086058A">
        <w:t>P</w:t>
      </w:r>
      <w:r>
        <w:t>hase III study and allowed improved monitoring of tumour</w:t>
      </w:r>
      <w:r w:rsidR="00836CFE">
        <w:t xml:space="preserve"> evolution. Additionally, both the Macdonald and RANO criteria are utilised in Australia and so the</w:t>
      </w:r>
      <w:r w:rsidR="00A62574">
        <w:t xml:space="preserve"> </w:t>
      </w:r>
      <w:r w:rsidR="00836CFE">
        <w:t xml:space="preserve">adapted Macdonald criteria are </w:t>
      </w:r>
      <w:proofErr w:type="spellStart"/>
      <w:r w:rsidR="00836CFE">
        <w:t>generalisable</w:t>
      </w:r>
      <w:proofErr w:type="spellEnd"/>
      <w:r w:rsidR="00836CFE">
        <w:t xml:space="preserve"> into routine clinical practice in Australia.</w:t>
      </w:r>
    </w:p>
    <w:p w:rsidR="00836CFE" w:rsidRDefault="008C2169" w:rsidP="008C2169">
      <w:pPr>
        <w:pStyle w:val="Heading6"/>
        <w:rPr>
          <w:rFonts w:eastAsiaTheme="minorHAnsi"/>
        </w:rPr>
      </w:pPr>
      <w:r>
        <w:rPr>
          <w:rFonts w:eastAsiaTheme="minorHAnsi"/>
        </w:rPr>
        <w:t xml:space="preserve">Benefit/risk </w:t>
      </w:r>
      <w:r w:rsidRPr="008C2169">
        <w:rPr>
          <w:rFonts w:eastAsiaTheme="minorHAnsi"/>
        </w:rPr>
        <w:t>c</w:t>
      </w:r>
      <w:r w:rsidR="00836CFE" w:rsidRPr="008C2169">
        <w:rPr>
          <w:rFonts w:eastAsiaTheme="minorHAnsi"/>
        </w:rPr>
        <w:t>onclusions</w:t>
      </w:r>
    </w:p>
    <w:p w:rsidR="00836CFE" w:rsidRDefault="00836CFE" w:rsidP="0086058A">
      <w:r>
        <w:t>The outcome for most patients with GBM remains extremely poor despite recent advances in surgical</w:t>
      </w:r>
      <w:r w:rsidR="00A62574">
        <w:t xml:space="preserve"> </w:t>
      </w:r>
      <w:r>
        <w:t>and radio-therapeutic techniques as well as the development of T</w:t>
      </w:r>
      <w:r w:rsidR="0086058A">
        <w:t>MZ</w:t>
      </w:r>
      <w:r>
        <w:t>. Even with the current standard of care</w:t>
      </w:r>
      <w:r w:rsidR="00A62574">
        <w:t xml:space="preserve"> </w:t>
      </w:r>
      <w:r>
        <w:t>(</w:t>
      </w:r>
      <w:r w:rsidR="00C12321">
        <w:t>RT/TMZ</w:t>
      </w:r>
      <w:r>
        <w:t>), the median OS remains short at 14.6 months for newly diagnosed GBM with 2 and 5</w:t>
      </w:r>
      <w:r w:rsidR="0086058A">
        <w:t xml:space="preserve"> </w:t>
      </w:r>
      <w:r>
        <w:t>year</w:t>
      </w:r>
      <w:r w:rsidR="00A62574">
        <w:t xml:space="preserve"> </w:t>
      </w:r>
      <w:r>
        <w:t>survival rates of 27% and 10%, respectively</w:t>
      </w:r>
      <w:r w:rsidRPr="00014645">
        <w:t>.</w:t>
      </w:r>
      <w:r w:rsidR="0034030B">
        <w:rPr>
          <w:rStyle w:val="FootnoteReference"/>
        </w:rPr>
        <w:footnoteReference w:id="18"/>
      </w:r>
      <w:r w:rsidR="0034030B">
        <w:t xml:space="preserve">, </w:t>
      </w:r>
      <w:r w:rsidR="0034030B">
        <w:rPr>
          <w:rStyle w:val="FootnoteReference"/>
        </w:rPr>
        <w:footnoteReference w:id="19"/>
      </w:r>
      <w:r>
        <w:t xml:space="preserve"> Following progression of newly diagnosed GBM,</w:t>
      </w:r>
      <w:r w:rsidR="0086058A">
        <w:t xml:space="preserve"> </w:t>
      </w:r>
      <w:r>
        <w:t>only approximately 50% of relapsed patients are able to receive salvage therapies. Tumour progression or</w:t>
      </w:r>
      <w:r w:rsidR="00A62574">
        <w:t xml:space="preserve"> </w:t>
      </w:r>
      <w:r>
        <w:t>recurrence is typically accompanied by new or worsening neurologic signs and symptoms, emphasising</w:t>
      </w:r>
      <w:r w:rsidR="00A62574">
        <w:t xml:space="preserve"> </w:t>
      </w:r>
      <w:r>
        <w:t>the clinical importance of disease control to maintain HRQoL. Hence a high medical need for new</w:t>
      </w:r>
      <w:r w:rsidR="00A62574">
        <w:t xml:space="preserve"> </w:t>
      </w:r>
      <w:r>
        <w:t>therapies exists in this disease setting, with the primary objectives of therapy being to prolong the</w:t>
      </w:r>
      <w:r w:rsidR="00A62574">
        <w:t xml:space="preserve"> </w:t>
      </w:r>
      <w:r>
        <w:t>progression-free period in order to reduce morbidity, restore or preserve neurologic functions and</w:t>
      </w:r>
      <w:r w:rsidR="00A62574">
        <w:t xml:space="preserve"> </w:t>
      </w:r>
      <w:r>
        <w:t>maintain the capacity to perform daily activities as long as possible.</w:t>
      </w:r>
    </w:p>
    <w:p w:rsidR="00836CFE" w:rsidRDefault="00836CFE" w:rsidP="0086058A">
      <w:r>
        <w:t xml:space="preserve">Based on the results from Study BO21990, </w:t>
      </w:r>
      <w:r w:rsidR="00775109">
        <w:t>the sponsor</w:t>
      </w:r>
      <w:r>
        <w:t xml:space="preserve"> considers the benefit/risk profile of the </w:t>
      </w:r>
      <w:proofErr w:type="spellStart"/>
      <w:r w:rsidR="00775109">
        <w:t>bevacizumab</w:t>
      </w:r>
      <w:proofErr w:type="spellEnd"/>
      <w:r>
        <w:t xml:space="preserve"> +</w:t>
      </w:r>
      <w:r w:rsidR="00A62574">
        <w:t xml:space="preserve"> </w:t>
      </w:r>
      <w:r w:rsidR="00C12321">
        <w:t>RT/TMZ</w:t>
      </w:r>
      <w:r>
        <w:t xml:space="preserve"> regimen for patients with newly diagnosed GBM to be positive. A comprehensive discussion of the</w:t>
      </w:r>
      <w:r w:rsidR="00A62574">
        <w:t xml:space="preserve"> </w:t>
      </w:r>
      <w:r>
        <w:t xml:space="preserve">benefit/risk profile was provided in response to </w:t>
      </w:r>
      <w:r w:rsidR="00C12321">
        <w:t>Clinical question 3</w:t>
      </w:r>
      <w:r>
        <w:t xml:space="preserve"> and a copy of the response to</w:t>
      </w:r>
      <w:r w:rsidR="00A62574">
        <w:t xml:space="preserve"> </w:t>
      </w:r>
      <w:r w:rsidR="00C12321">
        <w:t>Q</w:t>
      </w:r>
      <w:r>
        <w:t xml:space="preserve">uestion 3 </w:t>
      </w:r>
      <w:r w:rsidR="00C12321">
        <w:t>was also included with this pre-ACPM response.</w:t>
      </w:r>
    </w:p>
    <w:p w:rsidR="00836CFE" w:rsidRDefault="00836CFE" w:rsidP="008C2169">
      <w:r>
        <w:t xml:space="preserve">Addition of </w:t>
      </w:r>
      <w:proofErr w:type="spellStart"/>
      <w:r w:rsidR="00775109">
        <w:t>bevacizumab</w:t>
      </w:r>
      <w:proofErr w:type="spellEnd"/>
      <w:r>
        <w:t xml:space="preserve"> to standard of care resulted in a statistically significant and clinically meaningful</w:t>
      </w:r>
      <w:r w:rsidR="00A62574">
        <w:t xml:space="preserve"> </w:t>
      </w:r>
      <w:r>
        <w:t>prolongation in PFS time of 4.4 months (HR 0.64; 95% CI [0.55; 0.74]; KM</w:t>
      </w:r>
      <w:r w:rsidR="00C12321">
        <w:t xml:space="preserve"> </w:t>
      </w:r>
      <w:r>
        <w:t>estimated median 6.2</w:t>
      </w:r>
      <w:r w:rsidR="00A62574">
        <w:t xml:space="preserve"> </w:t>
      </w:r>
      <w:r>
        <w:t xml:space="preserve">months for the Pl + </w:t>
      </w:r>
      <w:r w:rsidR="00C12321">
        <w:t>RT/TMZ</w:t>
      </w:r>
      <w:r>
        <w:t xml:space="preserve"> arm v</w:t>
      </w:r>
      <w:r w:rsidR="00C12321">
        <w:t>ersu</w:t>
      </w:r>
      <w:r>
        <w:t xml:space="preserve">s 10.6 months for the </w:t>
      </w:r>
      <w:proofErr w:type="spellStart"/>
      <w:r w:rsidR="00775109">
        <w:t>bevacizumab</w:t>
      </w:r>
      <w:proofErr w:type="spellEnd"/>
      <w:r>
        <w:t xml:space="preserve"> + </w:t>
      </w:r>
      <w:r w:rsidR="00C12321">
        <w:t>RT/TMZ</w:t>
      </w:r>
      <w:r>
        <w:t xml:space="preserve"> arm) coupled with the following</w:t>
      </w:r>
      <w:r w:rsidR="00A62574">
        <w:t xml:space="preserve"> </w:t>
      </w:r>
      <w:r>
        <w:t>additional clinical benefits for the patient: maintenance in high baseline HRQoL scores and a longer time</w:t>
      </w:r>
      <w:r w:rsidR="00A62574">
        <w:t xml:space="preserve"> </w:t>
      </w:r>
      <w:r>
        <w:t>to definitive deterioration in HRQoL (a patient reported outcome), maintenance in functional</w:t>
      </w:r>
      <w:r w:rsidR="00A62574">
        <w:t xml:space="preserve"> </w:t>
      </w:r>
      <w:r>
        <w:t xml:space="preserve">independence (KPS </w:t>
      </w:r>
      <w:r w:rsidR="00C12321">
        <w:rPr>
          <w:rFonts w:ascii="Times New Roman" w:hAnsi="Times New Roman"/>
        </w:rPr>
        <w:t>≥</w:t>
      </w:r>
      <w:r>
        <w:rPr>
          <w:rFonts w:ascii="Symbol" w:hAnsi="Symbol" w:cs="Symbol"/>
        </w:rPr>
        <w:t></w:t>
      </w:r>
      <w:r>
        <w:t>70) and neurocognitive function (a clinician reported outcome) and a reduced</w:t>
      </w:r>
      <w:r w:rsidR="00A62574">
        <w:t xml:space="preserve"> </w:t>
      </w:r>
      <w:r>
        <w:t>requirement for corticosteroids (an objective measure of a concomitant medication that is a surrogate for</w:t>
      </w:r>
      <w:r w:rsidR="00A62574">
        <w:t xml:space="preserve"> </w:t>
      </w:r>
      <w:r>
        <w:t>disease symptoms and a source of morbidity). There was no difference, either improvement or detriment,</w:t>
      </w:r>
      <w:r w:rsidR="00A62574">
        <w:t xml:space="preserve"> </w:t>
      </w:r>
      <w:r>
        <w:t>in OS (HR 0.88, 95% CI [0.76; 1.02]; KM</w:t>
      </w:r>
      <w:r w:rsidR="00C12321">
        <w:t xml:space="preserve"> </w:t>
      </w:r>
      <w:r>
        <w:t xml:space="preserve">estimated median 16.7 months in the Pl + </w:t>
      </w:r>
      <w:r w:rsidR="00C12321">
        <w:t>RT/TMZ</w:t>
      </w:r>
      <w:r>
        <w:t xml:space="preserve"> arm v</w:t>
      </w:r>
      <w:r w:rsidR="00C12321">
        <w:t>ersu</w:t>
      </w:r>
      <w:r>
        <w:t>s 16.8</w:t>
      </w:r>
      <w:r w:rsidR="00A62574">
        <w:t xml:space="preserve"> </w:t>
      </w:r>
      <w:r>
        <w:t xml:space="preserve">months in the </w:t>
      </w:r>
      <w:proofErr w:type="spellStart"/>
      <w:r w:rsidR="00775109">
        <w:t>bevacizumab</w:t>
      </w:r>
      <w:proofErr w:type="spellEnd"/>
      <w:r>
        <w:t xml:space="preserve"> + </w:t>
      </w:r>
      <w:r w:rsidR="00C12321">
        <w:t>RT/TMZ</w:t>
      </w:r>
      <w:r>
        <w:t xml:space="preserve"> arm).</w:t>
      </w:r>
      <w:r w:rsidR="00A62574">
        <w:t xml:space="preserve"> </w:t>
      </w:r>
      <w:r>
        <w:t xml:space="preserve">The safety of the </w:t>
      </w:r>
      <w:proofErr w:type="spellStart"/>
      <w:r w:rsidR="00775109">
        <w:t>bevacizumab</w:t>
      </w:r>
      <w:proofErr w:type="spellEnd"/>
      <w:r>
        <w:t xml:space="preserve"> + </w:t>
      </w:r>
      <w:r w:rsidR="00C12321">
        <w:t>RT/TMZ</w:t>
      </w:r>
      <w:r>
        <w:t xml:space="preserve"> regimen is consistent with the safety profile of </w:t>
      </w:r>
      <w:r w:rsidR="00C12321">
        <w:t>RT/TMZ</w:t>
      </w:r>
      <w:r>
        <w:t xml:space="preserve"> with the addition of the</w:t>
      </w:r>
      <w:r w:rsidR="00A62574">
        <w:t xml:space="preserve"> </w:t>
      </w:r>
      <w:r>
        <w:t xml:space="preserve">established safety profile of </w:t>
      </w:r>
      <w:proofErr w:type="spellStart"/>
      <w:r w:rsidR="00775109">
        <w:t>bevacizumab</w:t>
      </w:r>
      <w:proofErr w:type="spellEnd"/>
      <w:r>
        <w:t>. No new AEs were observed in the trial. The number of deaths unrelated</w:t>
      </w:r>
      <w:r w:rsidR="00A62574">
        <w:t xml:space="preserve"> </w:t>
      </w:r>
      <w:r>
        <w:t>to disease progression (non-PD) was balanced between the arms. During the early study phase,</w:t>
      </w:r>
      <w:r w:rsidR="00A62574">
        <w:t xml:space="preserve"> </w:t>
      </w:r>
      <w:r>
        <w:t xml:space="preserve">numerically more non-PD deaths were reported in the </w:t>
      </w:r>
      <w:proofErr w:type="spellStart"/>
      <w:r w:rsidR="00775109">
        <w:t>bevacizumab</w:t>
      </w:r>
      <w:proofErr w:type="spellEnd"/>
      <w:r>
        <w:t xml:space="preserve"> + </w:t>
      </w:r>
      <w:r w:rsidR="00C12321">
        <w:t>RT/TMZ</w:t>
      </w:r>
      <w:r>
        <w:t xml:space="preserve"> arm (7) than the Pl + </w:t>
      </w:r>
      <w:r w:rsidR="00C12321">
        <w:t>RT/TMZMZ</w:t>
      </w:r>
      <w:r>
        <w:t xml:space="preserve"> arm (4).</w:t>
      </w:r>
    </w:p>
    <w:p w:rsidR="00836CFE" w:rsidRDefault="00836CFE" w:rsidP="0086058A">
      <w:r>
        <w:t>However medical review did not identify any risk factors or common features for predictive risk</w:t>
      </w:r>
      <w:r w:rsidR="00A62574">
        <w:t xml:space="preserve"> </w:t>
      </w:r>
      <w:r>
        <w:t xml:space="preserve">mitigation. A higher number of arterial thromboembolic events (ATE) were reported in the </w:t>
      </w:r>
      <w:proofErr w:type="spellStart"/>
      <w:r w:rsidR="00775109">
        <w:t>bevacizumab</w:t>
      </w:r>
      <w:proofErr w:type="spellEnd"/>
      <w:r>
        <w:t xml:space="preserve"> + </w:t>
      </w:r>
      <w:r w:rsidR="00C12321">
        <w:t>RT/TMZ</w:t>
      </w:r>
      <w:r w:rsidR="00A62574">
        <w:t xml:space="preserve"> </w:t>
      </w:r>
      <w:r>
        <w:t>arm, however an imbalance of potential co-morbidities and of baseline risk factors in this arm most likely</w:t>
      </w:r>
      <w:r w:rsidR="00A62574">
        <w:t xml:space="preserve"> </w:t>
      </w:r>
      <w:r>
        <w:t xml:space="preserve">account for the higher incidence of Grade </w:t>
      </w:r>
      <w:r w:rsidR="00C12321">
        <w:rPr>
          <w:rFonts w:ascii="Times New Roman" w:hAnsi="Times New Roman"/>
        </w:rPr>
        <w:t>≥</w:t>
      </w:r>
      <w:r>
        <w:rPr>
          <w:rFonts w:ascii="Symbol" w:hAnsi="Symbol" w:cs="Symbol"/>
        </w:rPr>
        <w:t></w:t>
      </w:r>
      <w:r>
        <w:t>3 ATEs. In general, most of the ATEs occurred late in the</w:t>
      </w:r>
      <w:r w:rsidR="00A62574">
        <w:t xml:space="preserve"> </w:t>
      </w:r>
      <w:r>
        <w:t xml:space="preserve">course of treatment and the majority of cases in the </w:t>
      </w:r>
      <w:proofErr w:type="spellStart"/>
      <w:r w:rsidR="00775109">
        <w:t>bevacizumab</w:t>
      </w:r>
      <w:proofErr w:type="spellEnd"/>
      <w:r>
        <w:t xml:space="preserve"> + </w:t>
      </w:r>
      <w:r w:rsidR="00C12321">
        <w:t>RT/TMZ</w:t>
      </w:r>
      <w:r>
        <w:t xml:space="preserve"> arm resolved. The higher incidence of</w:t>
      </w:r>
      <w:r w:rsidR="00A62574">
        <w:t xml:space="preserve"> </w:t>
      </w:r>
      <w:r>
        <w:t xml:space="preserve">AEs leading to withdrawal in the </w:t>
      </w:r>
      <w:proofErr w:type="spellStart"/>
      <w:r w:rsidR="00775109">
        <w:t>bevacizumab</w:t>
      </w:r>
      <w:proofErr w:type="spellEnd"/>
      <w:r>
        <w:t xml:space="preserve"> + </w:t>
      </w:r>
      <w:r w:rsidR="00C12321">
        <w:t>RT/TMZ</w:t>
      </w:r>
      <w:r>
        <w:t xml:space="preserve"> arm was </w:t>
      </w:r>
      <w:r>
        <w:lastRenderedPageBreak/>
        <w:t>mainly accounted for by AEs known to be</w:t>
      </w:r>
      <w:r w:rsidR="00A62574">
        <w:t xml:space="preserve"> </w:t>
      </w:r>
      <w:r>
        <w:t xml:space="preserve">associated with </w:t>
      </w:r>
      <w:proofErr w:type="spellStart"/>
      <w:r w:rsidR="00775109">
        <w:t>bevacizumab</w:t>
      </w:r>
      <w:proofErr w:type="spellEnd"/>
      <w:r>
        <w:t xml:space="preserve"> use as well as more infections, fatigue, pyrexia and events in the Cardiac disorders</w:t>
      </w:r>
      <w:r w:rsidR="00A62574">
        <w:t xml:space="preserve"> </w:t>
      </w:r>
      <w:r>
        <w:t>System Order Class.</w:t>
      </w:r>
    </w:p>
    <w:p w:rsidR="00836CFE" w:rsidRDefault="00836CFE" w:rsidP="0086058A">
      <w:r>
        <w:t xml:space="preserve">The results of BO21990 demonstrate that addition of </w:t>
      </w:r>
      <w:proofErr w:type="spellStart"/>
      <w:r w:rsidR="00775109">
        <w:t>bevacizumab</w:t>
      </w:r>
      <w:proofErr w:type="spellEnd"/>
      <w:r>
        <w:t xml:space="preserve"> to standard of care translates into a longer</w:t>
      </w:r>
      <w:r w:rsidR="00A62574">
        <w:t xml:space="preserve"> </w:t>
      </w:r>
      <w:r>
        <w:t>period of disease control and maintenance in well-being during the progression-free time in a disease</w:t>
      </w:r>
      <w:r w:rsidR="00A62574">
        <w:t xml:space="preserve"> </w:t>
      </w:r>
      <w:r>
        <w:t>which retains a high unmet medical need characterised by continuous and relentless tumour progression.</w:t>
      </w:r>
    </w:p>
    <w:p w:rsidR="0034030B" w:rsidRDefault="0034030B" w:rsidP="0034030B">
      <w:r w:rsidRPr="00840176">
        <w:t>Assessment of progression is a critical event for all patients. Tumo</w:t>
      </w:r>
      <w:r>
        <w:t>u</w:t>
      </w:r>
      <w:r w:rsidRPr="00840176">
        <w:t>r growth is often associated with new or worsening neurologic symptoms</w:t>
      </w:r>
      <w:r>
        <w:t xml:space="preserve"> and a decline in HRQoL</w:t>
      </w:r>
      <w:r w:rsidRPr="00840176">
        <w:t xml:space="preserve">. Even clinically silent progression seen only on imaging typically heralds a change in therapeutic strategy. This is not a trivial consideration </w:t>
      </w:r>
      <w:r>
        <w:t>considering the</w:t>
      </w:r>
      <w:r w:rsidRPr="00840176">
        <w:t xml:space="preserve"> </w:t>
      </w:r>
      <w:r>
        <w:t>limited</w:t>
      </w:r>
      <w:r w:rsidRPr="00840176">
        <w:t xml:space="preserve"> therapies </w:t>
      </w:r>
      <w:r>
        <w:t xml:space="preserve">for </w:t>
      </w:r>
      <w:r w:rsidRPr="00840176">
        <w:t>the management of recurrent GBM</w:t>
      </w:r>
      <w:r>
        <w:t xml:space="preserve"> </w:t>
      </w:r>
      <w:r w:rsidRPr="00840176">
        <w:t xml:space="preserve">(re-operation, </w:t>
      </w:r>
      <w:proofErr w:type="spellStart"/>
      <w:r w:rsidRPr="00840176">
        <w:t>Bv</w:t>
      </w:r>
      <w:proofErr w:type="spellEnd"/>
      <w:r w:rsidRPr="00840176">
        <w:t xml:space="preserve">, </w:t>
      </w:r>
      <w:proofErr w:type="spellStart"/>
      <w:r w:rsidRPr="00840176">
        <w:t>nitrosoureas</w:t>
      </w:r>
      <w:proofErr w:type="spellEnd"/>
      <w:r w:rsidRPr="00840176">
        <w:t>, or clinical trial participation)</w:t>
      </w:r>
      <w:r>
        <w:t xml:space="preserve"> and</w:t>
      </w:r>
      <w:r w:rsidRPr="00840176">
        <w:t xml:space="preserve"> the expectation that all </w:t>
      </w:r>
      <w:r>
        <w:t>will</w:t>
      </w:r>
      <w:r w:rsidRPr="00840176">
        <w:t xml:space="preserve"> fail</w:t>
      </w:r>
      <w:r>
        <w:t>,</w:t>
      </w:r>
      <w:r w:rsidRPr="00840176">
        <w:t xml:space="preserve"> and the patient will progress on average within 2 to 3 months. Indeed, </w:t>
      </w:r>
      <w:r>
        <w:t xml:space="preserve">as previously mentioned, </w:t>
      </w:r>
      <w:r w:rsidRPr="00840176">
        <w:t>in clinical practice up to half of all patients are unable to receive additional treatment at the time of tumo</w:t>
      </w:r>
      <w:r>
        <w:t>u</w:t>
      </w:r>
      <w:r w:rsidRPr="00840176">
        <w:t>r progression.</w:t>
      </w:r>
      <w:r>
        <w:t xml:space="preserve"> In this regard</w:t>
      </w:r>
      <w:r w:rsidRPr="00840176">
        <w:t xml:space="preserve">, an exploratory analysis of the patients in BO21990 who did not receive any subsequent treatment after progression showed a difference in OS in favour of the </w:t>
      </w:r>
      <w:proofErr w:type="spellStart"/>
      <w:r w:rsidRPr="00840176">
        <w:t>Bv</w:t>
      </w:r>
      <w:proofErr w:type="spellEnd"/>
      <w:r>
        <w:t xml:space="preserve"> </w:t>
      </w:r>
      <w:r w:rsidRPr="00840176">
        <w:t>+</w:t>
      </w:r>
      <w:r>
        <w:t xml:space="preserve"> </w:t>
      </w:r>
      <w:r w:rsidRPr="00840176">
        <w:t>RT/T arm over the Pl</w:t>
      </w:r>
      <w:r>
        <w:t xml:space="preserve"> </w:t>
      </w:r>
      <w:r w:rsidRPr="00840176">
        <w:t>+</w:t>
      </w:r>
      <w:r>
        <w:t xml:space="preserve"> </w:t>
      </w:r>
      <w:r w:rsidRPr="00840176">
        <w:t>RT/T arm; (HR 0.67, median 11.6 vs. 8.0 months).</w:t>
      </w:r>
    </w:p>
    <w:p w:rsidR="0034030B" w:rsidRPr="00472CEC" w:rsidRDefault="0034030B" w:rsidP="0034030B">
      <w:r w:rsidRPr="00840176">
        <w:t xml:space="preserve">Based on the considerations above, the prolongation by 4.4 months of PFS observed for the </w:t>
      </w:r>
      <w:proofErr w:type="spellStart"/>
      <w:r w:rsidRPr="00840176">
        <w:t>Bv</w:t>
      </w:r>
      <w:proofErr w:type="spellEnd"/>
      <w:r>
        <w:t xml:space="preserve"> </w:t>
      </w:r>
      <w:r w:rsidRPr="00840176">
        <w:t>+</w:t>
      </w:r>
      <w:r>
        <w:t xml:space="preserve"> </w:t>
      </w:r>
      <w:r w:rsidRPr="00840176">
        <w:t xml:space="preserve">RT/RT arm in BO21990 is clinically meaningful for the newly diagnosed patient with GBM, allowing </w:t>
      </w:r>
      <w:r>
        <w:t>the patient</w:t>
      </w:r>
      <w:r w:rsidRPr="00840176">
        <w:t xml:space="preserve"> to maintain the benefit of initial therapy for as long </w:t>
      </w:r>
      <w:r w:rsidRPr="00472CEC">
        <w:t xml:space="preserve">as possible. The risks </w:t>
      </w:r>
      <w:r>
        <w:t>of</w:t>
      </w:r>
      <w:r w:rsidRPr="00472CEC">
        <w:t xml:space="preserve"> the </w:t>
      </w:r>
      <w:proofErr w:type="spellStart"/>
      <w:r w:rsidRPr="00472CEC">
        <w:t>Bv</w:t>
      </w:r>
      <w:proofErr w:type="spellEnd"/>
      <w:r>
        <w:t xml:space="preserve"> </w:t>
      </w:r>
      <w:r w:rsidRPr="00472CEC">
        <w:t>+</w:t>
      </w:r>
      <w:r>
        <w:t xml:space="preserve"> </w:t>
      </w:r>
      <w:r w:rsidRPr="00472CEC">
        <w:t>RT/T regimen discussed above have been adequately identified and are appropriately addressed and managed by the proposed Product Information and Risk Management Plan.</w:t>
      </w:r>
    </w:p>
    <w:p w:rsidR="00073D4D" w:rsidRDefault="0034030B" w:rsidP="0034030B">
      <w:r w:rsidRPr="00840176">
        <w:rPr>
          <w:lang w:val="en-GB"/>
        </w:rPr>
        <w:t xml:space="preserve">The </w:t>
      </w:r>
      <w:r>
        <w:rPr>
          <w:lang w:val="en-GB"/>
        </w:rPr>
        <w:t>s</w:t>
      </w:r>
      <w:r w:rsidRPr="00840176">
        <w:rPr>
          <w:lang w:val="en-GB"/>
        </w:rPr>
        <w:t xml:space="preserve">ponsor therefore considers the benefit-risk profile of the </w:t>
      </w:r>
      <w:proofErr w:type="spellStart"/>
      <w:r w:rsidRPr="00840176">
        <w:rPr>
          <w:lang w:val="en-GB"/>
        </w:rPr>
        <w:t>Bv</w:t>
      </w:r>
      <w:proofErr w:type="spellEnd"/>
      <w:r>
        <w:rPr>
          <w:lang w:val="en-GB"/>
        </w:rPr>
        <w:t xml:space="preserve"> </w:t>
      </w:r>
      <w:r w:rsidRPr="00840176">
        <w:rPr>
          <w:lang w:val="en-GB"/>
        </w:rPr>
        <w:t>+</w:t>
      </w:r>
      <w:r>
        <w:rPr>
          <w:lang w:val="en-GB"/>
        </w:rPr>
        <w:t xml:space="preserve"> </w:t>
      </w:r>
      <w:r w:rsidRPr="00840176">
        <w:rPr>
          <w:lang w:val="en-GB"/>
        </w:rPr>
        <w:t xml:space="preserve">RT/T regimen to be positive </w:t>
      </w:r>
      <w:r w:rsidRPr="00840176">
        <w:t>in patients with newly diagnosed GBM</w:t>
      </w:r>
      <w:r w:rsidRPr="00840176">
        <w:rPr>
          <w:lang w:val="en-GB"/>
        </w:rPr>
        <w:t>.</w:t>
      </w:r>
    </w:p>
    <w:p w:rsidR="004C67AA" w:rsidRDefault="00A62574" w:rsidP="00D00D16">
      <w:pPr>
        <w:pStyle w:val="Heading4"/>
      </w:pPr>
      <w:bookmarkStart w:id="112" w:name="_Ref377646227"/>
      <w:bookmarkEnd w:id="112"/>
      <w:r>
        <w:t>A</w:t>
      </w:r>
      <w:r w:rsidR="00D00D16">
        <w:t>dvisory c</w:t>
      </w:r>
      <w:r w:rsidR="004C67AA">
        <w:t xml:space="preserve">ommittee </w:t>
      </w:r>
      <w:r w:rsidR="00D00D16" w:rsidRPr="00D00D16">
        <w:t>c</w:t>
      </w:r>
      <w:r w:rsidR="004C67AA" w:rsidRPr="00D00D16">
        <w:t>onsiderations</w:t>
      </w:r>
    </w:p>
    <w:p w:rsidR="004C67AA" w:rsidRDefault="004C67AA" w:rsidP="00C12321">
      <w:r w:rsidRPr="00D23139">
        <w:t>The Advisory Committee on Prescription Medicines (ACPM), having considered the evaluations and the Delegate’s overview, as well as the sponsor’s response to these documents, advised the following:</w:t>
      </w:r>
    </w:p>
    <w:p w:rsidR="00836CFE" w:rsidRDefault="00836CFE" w:rsidP="00C12321">
      <w:pPr>
        <w:rPr>
          <w:rFonts w:eastAsia="MS Mincho" w:cs="Calibri"/>
          <w:b/>
          <w:color w:val="000000"/>
          <w:lang w:eastAsia="ja-JP"/>
        </w:rPr>
      </w:pPr>
      <w:r>
        <w:rPr>
          <w:rFonts w:eastAsia="MS Mincho" w:cs="Calibri"/>
          <w:color w:val="000000"/>
          <w:lang w:eastAsia="ja-JP"/>
        </w:rPr>
        <w:t xml:space="preserve">The ACPM, taking into account the submitted evidence of efficacy, safety and quality, agreed with the delegate and considered </w:t>
      </w:r>
      <w:proofErr w:type="spellStart"/>
      <w:r w:rsidR="00C12321">
        <w:rPr>
          <w:rFonts w:eastAsia="MS Mincho"/>
          <w:lang w:eastAsia="ja-JP"/>
        </w:rPr>
        <w:t>Avastin</w:t>
      </w:r>
      <w:proofErr w:type="spellEnd"/>
      <w:r w:rsidR="00C12321">
        <w:rPr>
          <w:rFonts w:eastAsia="MS Mincho"/>
          <w:lang w:eastAsia="ja-JP"/>
        </w:rPr>
        <w:t xml:space="preserve"> </w:t>
      </w:r>
      <w:r>
        <w:rPr>
          <w:rFonts w:eastAsia="MS Mincho"/>
          <w:lang w:eastAsia="ja-JP"/>
        </w:rPr>
        <w:t xml:space="preserve">concentrated injection containing 100 mg/4 mL and 400 mg/16 mL of </w:t>
      </w:r>
      <w:proofErr w:type="spellStart"/>
      <w:r w:rsidR="00166F6A">
        <w:rPr>
          <w:rFonts w:eastAsia="MS Mincho"/>
          <w:lang w:eastAsia="ja-JP"/>
        </w:rPr>
        <w:t>bevacizumab</w:t>
      </w:r>
      <w:proofErr w:type="spellEnd"/>
      <w:r>
        <w:rPr>
          <w:rFonts w:eastAsia="MS Mincho"/>
          <w:b/>
          <w:lang w:eastAsia="ja-JP"/>
        </w:rPr>
        <w:t xml:space="preserve"> </w:t>
      </w:r>
      <w:r>
        <w:rPr>
          <w:rFonts w:eastAsia="MS Mincho" w:cs="Calibri"/>
          <w:color w:val="000000"/>
          <w:lang w:eastAsia="ja-JP"/>
        </w:rPr>
        <w:t>to have an overall positive benefit–risk profile for the indication</w:t>
      </w:r>
      <w:r w:rsidR="00D00D16">
        <w:rPr>
          <w:rFonts w:eastAsia="MS Mincho" w:cs="Calibri"/>
          <w:b/>
          <w:color w:val="000000"/>
          <w:lang w:eastAsia="ja-JP"/>
        </w:rPr>
        <w:t>;</w:t>
      </w:r>
    </w:p>
    <w:p w:rsidR="00836CFE" w:rsidRDefault="00C12321" w:rsidP="00836CFE">
      <w:pPr>
        <w:spacing w:after="240"/>
        <w:ind w:left="567"/>
        <w:rPr>
          <w:rFonts w:eastAsia="Times New Roman" w:cs="Arial"/>
          <w:i/>
          <w:lang w:eastAsia="en-AU"/>
        </w:rPr>
      </w:pPr>
      <w:proofErr w:type="spellStart"/>
      <w:r>
        <w:rPr>
          <w:rFonts w:cs="Arial"/>
          <w:i/>
        </w:rPr>
        <w:t>Avastin</w:t>
      </w:r>
      <w:proofErr w:type="spellEnd"/>
      <w:r>
        <w:rPr>
          <w:rFonts w:cs="Arial"/>
          <w:i/>
        </w:rPr>
        <w:t xml:space="preserve"> </w:t>
      </w:r>
      <w:r w:rsidR="00836CFE">
        <w:rPr>
          <w:rFonts w:cs="Arial"/>
          <w:i/>
        </w:rPr>
        <w:t>(</w:t>
      </w:r>
      <w:proofErr w:type="spellStart"/>
      <w:r w:rsidR="00166F6A">
        <w:rPr>
          <w:rFonts w:cs="Arial"/>
          <w:i/>
        </w:rPr>
        <w:t>bevacizumab</w:t>
      </w:r>
      <w:proofErr w:type="spellEnd"/>
      <w:r w:rsidR="00836CFE">
        <w:rPr>
          <w:rFonts w:cs="Arial"/>
          <w:i/>
        </w:rPr>
        <w:t xml:space="preserve">) in combination with radiotherapy and </w:t>
      </w:r>
      <w:proofErr w:type="spellStart"/>
      <w:r w:rsidR="00836CFE">
        <w:rPr>
          <w:rFonts w:cs="Arial"/>
          <w:i/>
        </w:rPr>
        <w:t>temozolomide</w:t>
      </w:r>
      <w:proofErr w:type="spellEnd"/>
      <w:r w:rsidR="00836CFE">
        <w:rPr>
          <w:rFonts w:cs="Arial"/>
          <w:i/>
        </w:rPr>
        <w:t xml:space="preserve"> is indicated for the treatment of adult patients with newly diagnosed </w:t>
      </w:r>
      <w:proofErr w:type="spellStart"/>
      <w:r w:rsidR="00836CFE">
        <w:rPr>
          <w:rFonts w:cs="Arial"/>
          <w:i/>
        </w:rPr>
        <w:t>glioblastoma</w:t>
      </w:r>
      <w:proofErr w:type="spellEnd"/>
      <w:r w:rsidR="00836CFE">
        <w:rPr>
          <w:rFonts w:cs="Arial"/>
          <w:i/>
        </w:rPr>
        <w:t>.</w:t>
      </w:r>
    </w:p>
    <w:p w:rsidR="00836CFE" w:rsidRDefault="00836CFE" w:rsidP="00D00D16">
      <w:pPr>
        <w:pStyle w:val="Heading5"/>
        <w:rPr>
          <w:rFonts w:eastAsia="MS Mincho"/>
          <w:u w:val="single"/>
          <w:lang w:eastAsia="ja-JP"/>
        </w:rPr>
      </w:pPr>
      <w:r>
        <w:rPr>
          <w:rFonts w:eastAsia="MS Mincho"/>
          <w:lang w:eastAsia="ja-JP"/>
        </w:rPr>
        <w:t>Proposed P</w:t>
      </w:r>
      <w:r w:rsidR="00B626F5">
        <w:rPr>
          <w:rFonts w:eastAsia="MS Mincho"/>
          <w:lang w:eastAsia="ja-JP"/>
        </w:rPr>
        <w:t>I</w:t>
      </w:r>
      <w:r>
        <w:rPr>
          <w:rFonts w:eastAsia="MS Mincho"/>
          <w:lang w:eastAsia="ja-JP"/>
        </w:rPr>
        <w:t>/</w:t>
      </w:r>
      <w:r w:rsidRPr="00D00D16">
        <w:rPr>
          <w:rFonts w:eastAsia="MS Mincho"/>
        </w:rPr>
        <w:t>Consumer</w:t>
      </w:r>
      <w:r>
        <w:rPr>
          <w:rFonts w:eastAsia="MS Mincho"/>
          <w:lang w:eastAsia="ja-JP"/>
        </w:rPr>
        <w:t xml:space="preserve"> Medicine Information (CMI) amendments</w:t>
      </w:r>
    </w:p>
    <w:p w:rsidR="00836CFE" w:rsidRDefault="00836CFE" w:rsidP="00D00D16">
      <w:pPr>
        <w:rPr>
          <w:lang w:eastAsia="ja-JP"/>
        </w:rPr>
      </w:pPr>
      <w:r>
        <w:rPr>
          <w:lang w:eastAsia="ja-JP"/>
        </w:rPr>
        <w:t xml:space="preserve">The ACPM agreed with the </w:t>
      </w:r>
      <w:r w:rsidR="00C12321">
        <w:rPr>
          <w:lang w:eastAsia="ja-JP"/>
        </w:rPr>
        <w:t>D</w:t>
      </w:r>
      <w:r>
        <w:rPr>
          <w:lang w:eastAsia="ja-JP"/>
        </w:rPr>
        <w:t>elegate to the proposed amendments to the Product Information (PI) and Consumer Medicine Information (CMI).</w:t>
      </w:r>
    </w:p>
    <w:p w:rsidR="00836CFE" w:rsidRDefault="00836CFE" w:rsidP="00D00D16">
      <w:pPr>
        <w:pStyle w:val="Heading5"/>
        <w:rPr>
          <w:highlight w:val="yellow"/>
          <w:lang w:val="en-GB"/>
        </w:rPr>
      </w:pPr>
      <w:r>
        <w:rPr>
          <w:lang w:val="en-GB"/>
        </w:rPr>
        <w:t xml:space="preserve">Specific </w:t>
      </w:r>
      <w:r w:rsidR="00D00D16" w:rsidRPr="00D00D16">
        <w:t>a</w:t>
      </w:r>
      <w:r w:rsidRPr="00D00D16">
        <w:t>dvice</w:t>
      </w:r>
    </w:p>
    <w:p w:rsidR="00836CFE" w:rsidRDefault="00836CFE" w:rsidP="00836CFE">
      <w:pPr>
        <w:rPr>
          <w:rFonts w:cs="Arial"/>
        </w:rPr>
      </w:pPr>
      <w:r>
        <w:rPr>
          <w:rFonts w:cs="Arial"/>
        </w:rPr>
        <w:t xml:space="preserve">The ACPM provided the following specific advice in response to the </w:t>
      </w:r>
      <w:r w:rsidR="00C12321">
        <w:rPr>
          <w:rFonts w:cs="Arial"/>
        </w:rPr>
        <w:t>D</w:t>
      </w:r>
      <w:r>
        <w:rPr>
          <w:rFonts w:cs="Arial"/>
        </w:rPr>
        <w:t>elegate’s questions on this submission:</w:t>
      </w:r>
    </w:p>
    <w:p w:rsidR="00836CFE" w:rsidRPr="00C12321" w:rsidRDefault="00836CFE" w:rsidP="001D5E5F">
      <w:pPr>
        <w:pStyle w:val="Numberbullet0"/>
        <w:numPr>
          <w:ilvl w:val="0"/>
          <w:numId w:val="12"/>
        </w:numPr>
        <w:rPr>
          <w:i/>
        </w:rPr>
      </w:pPr>
      <w:r w:rsidRPr="00C12321">
        <w:rPr>
          <w:i/>
        </w:rPr>
        <w:t xml:space="preserve">What is the opinion of the committee regarding the ability of the pivotal study to demonstrate a benefit from </w:t>
      </w:r>
      <w:proofErr w:type="spellStart"/>
      <w:r w:rsidR="00166F6A" w:rsidRPr="00C12321">
        <w:rPr>
          <w:i/>
        </w:rPr>
        <w:t>bevacizumab</w:t>
      </w:r>
      <w:proofErr w:type="spellEnd"/>
      <w:r w:rsidRPr="00C12321">
        <w:rPr>
          <w:i/>
        </w:rPr>
        <w:t xml:space="preserve"> exposure in patients with </w:t>
      </w:r>
      <w:proofErr w:type="spellStart"/>
      <w:r w:rsidRPr="00C12321">
        <w:rPr>
          <w:i/>
        </w:rPr>
        <w:t>glioblastoma</w:t>
      </w:r>
      <w:proofErr w:type="spellEnd"/>
      <w:r w:rsidRPr="00C12321">
        <w:rPr>
          <w:i/>
        </w:rPr>
        <w:t xml:space="preserve"> given 24% of subjects had unknown MGMT methylation status?</w:t>
      </w:r>
    </w:p>
    <w:p w:rsidR="00836CFE" w:rsidRDefault="00836CFE" w:rsidP="00D00D16">
      <w:r>
        <w:lastRenderedPageBreak/>
        <w:t>The ACPM advised this was a definite flaw in the study but when these patients with unknown status are removed from the study analysis an improvement in PFS is still evident. The lack of improvement in OS was noted. The additional analysis in the sponsor’s pre-ACPM response confirmed this.</w:t>
      </w:r>
    </w:p>
    <w:p w:rsidR="00836CFE" w:rsidRPr="00C12321" w:rsidRDefault="00836CFE" w:rsidP="00C12321">
      <w:pPr>
        <w:pStyle w:val="Numberbullet0"/>
        <w:rPr>
          <w:i/>
        </w:rPr>
      </w:pPr>
      <w:r w:rsidRPr="00C12321">
        <w:rPr>
          <w:i/>
        </w:rPr>
        <w:t xml:space="preserve">What is the opinion of the committee regarding the ability of the pivotal study to demonstrate a benefit from </w:t>
      </w:r>
      <w:proofErr w:type="spellStart"/>
      <w:r w:rsidR="00166F6A" w:rsidRPr="00C12321">
        <w:rPr>
          <w:i/>
        </w:rPr>
        <w:t>bevacizumab</w:t>
      </w:r>
      <w:proofErr w:type="spellEnd"/>
      <w:r w:rsidRPr="00C12321">
        <w:rPr>
          <w:i/>
        </w:rPr>
        <w:t xml:space="preserve"> exposure given that subjects were not randomised according to MGMT status?</w:t>
      </w:r>
    </w:p>
    <w:p w:rsidR="00836CFE" w:rsidRDefault="00836CFE" w:rsidP="00D00D16">
      <w:r>
        <w:t>The ACPM advised that, if patients with unknown methylation status were removed then those with known status are reasonably equitably distributed and with little change to the results, thus suggesting that uneven distribution of those with favourable methylation status had little impact of the study outcomes.</w:t>
      </w:r>
    </w:p>
    <w:p w:rsidR="00836CFE" w:rsidRPr="00C12321" w:rsidRDefault="00836CFE" w:rsidP="00C12321">
      <w:pPr>
        <w:pStyle w:val="Numberbullet0"/>
        <w:rPr>
          <w:i/>
        </w:rPr>
      </w:pPr>
      <w:r w:rsidRPr="00C12321">
        <w:rPr>
          <w:i/>
        </w:rPr>
        <w:t xml:space="preserve">What is the opinion of the Committee regarding the ability of the pivotal trial to demonstrate a positive effect from </w:t>
      </w:r>
      <w:proofErr w:type="spellStart"/>
      <w:r w:rsidR="00166F6A" w:rsidRPr="00C12321">
        <w:rPr>
          <w:i/>
        </w:rPr>
        <w:t>bevacizumab</w:t>
      </w:r>
      <w:proofErr w:type="spellEnd"/>
      <w:r w:rsidRPr="00C12321">
        <w:rPr>
          <w:i/>
        </w:rPr>
        <w:t xml:space="preserve"> exposure given the reported effect of MGMT status to be greater than that of </w:t>
      </w:r>
      <w:proofErr w:type="spellStart"/>
      <w:r w:rsidR="00166F6A" w:rsidRPr="00C12321">
        <w:rPr>
          <w:i/>
        </w:rPr>
        <w:t>bevacizumab</w:t>
      </w:r>
      <w:proofErr w:type="spellEnd"/>
      <w:r w:rsidRPr="00C12321">
        <w:rPr>
          <w:i/>
        </w:rPr>
        <w:t>?</w:t>
      </w:r>
    </w:p>
    <w:p w:rsidR="00836CFE" w:rsidRDefault="00836CFE" w:rsidP="00C12321">
      <w:r>
        <w:t xml:space="preserve">The ACPM advised that the outcomes of the trials did not materially change when patients with unknown methylation status were removed from analysis and although methylation status is known to affect PFS or OS the lack of randomisation according to methylation status is unlikely to have significantly affected the results in the pivotal study. </w:t>
      </w:r>
      <w:r w:rsidR="00C12321">
        <w:t>R</w:t>
      </w:r>
      <w:r w:rsidRPr="0038071C">
        <w:t xml:space="preserve">egardless of methylation status, a treatment benefit on PFS occurred with </w:t>
      </w:r>
      <w:proofErr w:type="spellStart"/>
      <w:r w:rsidR="00166F6A">
        <w:t>bevacizumab</w:t>
      </w:r>
      <w:proofErr w:type="spellEnd"/>
      <w:r>
        <w:t>.</w:t>
      </w:r>
    </w:p>
    <w:p w:rsidR="00836CFE" w:rsidRPr="00C12321" w:rsidRDefault="00836CFE" w:rsidP="00C12321">
      <w:pPr>
        <w:pStyle w:val="Numberbullet0"/>
        <w:rPr>
          <w:i/>
        </w:rPr>
      </w:pPr>
      <w:r w:rsidRPr="00C12321">
        <w:rPr>
          <w:i/>
        </w:rPr>
        <w:t xml:space="preserve">What is the opinion of the committee regarding the ability of the pivotal study to demonstrate a benefit from </w:t>
      </w:r>
      <w:proofErr w:type="spellStart"/>
      <w:r w:rsidR="00166F6A" w:rsidRPr="00C12321">
        <w:rPr>
          <w:i/>
        </w:rPr>
        <w:t>bevacizumab</w:t>
      </w:r>
      <w:proofErr w:type="spellEnd"/>
      <w:r w:rsidRPr="00C12321">
        <w:rPr>
          <w:i/>
        </w:rPr>
        <w:t xml:space="preserve"> exposure given that the assessment method of disease progression is not one used in standard clinical practice?</w:t>
      </w:r>
    </w:p>
    <w:p w:rsidR="00836CFE" w:rsidRDefault="00836CFE" w:rsidP="00C12321">
      <w:r>
        <w:t>Despite non-standard criteria (Macdonald criteria) used to assess tumour response these criteria were similar to the subsequently established standard RANO criteria. The ACPM noted the sponsor confirmed the RANO criteria were in development when the trial was being conducted.</w:t>
      </w:r>
    </w:p>
    <w:p w:rsidR="00836CFE" w:rsidRPr="00C12321" w:rsidRDefault="00836CFE" w:rsidP="00C12321">
      <w:pPr>
        <w:pStyle w:val="Numberbullet0"/>
        <w:rPr>
          <w:i/>
        </w:rPr>
      </w:pPr>
      <w:r w:rsidRPr="00C12321">
        <w:rPr>
          <w:i/>
        </w:rPr>
        <w:t xml:space="preserve">What is the opinion of the committee of the </w:t>
      </w:r>
      <w:proofErr w:type="spellStart"/>
      <w:r w:rsidRPr="00C12321">
        <w:rPr>
          <w:i/>
        </w:rPr>
        <w:t>benefit:risk</w:t>
      </w:r>
      <w:proofErr w:type="spellEnd"/>
      <w:r w:rsidRPr="00C12321">
        <w:rPr>
          <w:i/>
        </w:rPr>
        <w:t xml:space="preserve"> ratio of </w:t>
      </w:r>
      <w:proofErr w:type="spellStart"/>
      <w:r w:rsidR="00166F6A" w:rsidRPr="00C12321">
        <w:rPr>
          <w:i/>
        </w:rPr>
        <w:t>bevacizumab</w:t>
      </w:r>
      <w:proofErr w:type="spellEnd"/>
      <w:r w:rsidRPr="00C12321">
        <w:rPr>
          <w:i/>
        </w:rPr>
        <w:t xml:space="preserve"> use for the proposed indication?</w:t>
      </w:r>
    </w:p>
    <w:p w:rsidR="00836CFE" w:rsidRDefault="00836CFE" w:rsidP="00C12321">
      <w:r>
        <w:t xml:space="preserve">The ACPM was of the view that extended progression-free survival and delayed deterioration in QOL can be attributed to addition of </w:t>
      </w:r>
      <w:proofErr w:type="spellStart"/>
      <w:r w:rsidR="00166F6A">
        <w:t>bevacizumab</w:t>
      </w:r>
      <w:proofErr w:type="spellEnd"/>
      <w:r>
        <w:t xml:space="preserve"> to standard therapy and agreed with the clinical evaluator that a marginally positive benefit-risk profile can be inferred from the data, even though no increase in OS has been demonstrated.</w:t>
      </w:r>
    </w:p>
    <w:p w:rsidR="00836CFE" w:rsidRDefault="00836CFE" w:rsidP="00C12321">
      <w:pPr>
        <w:rPr>
          <w:bCs/>
        </w:rPr>
      </w:pPr>
      <w:r>
        <w:rPr>
          <w:bCs/>
        </w:rPr>
        <w:t>The ACPM advised that the implementation by the sponsor of the recommendations outlined above to the satisfaction of the TGA, in addition to the evidence of efficacy and safety provided would support the safe and e</w:t>
      </w:r>
      <w:r w:rsidR="00D00D16">
        <w:rPr>
          <w:bCs/>
        </w:rPr>
        <w:t>ffective use of these products.</w:t>
      </w:r>
    </w:p>
    <w:p w:rsidR="004C67AA" w:rsidRPr="00C12321" w:rsidRDefault="009C5847" w:rsidP="00D00D16">
      <w:pPr>
        <w:pStyle w:val="Heading3"/>
      </w:pPr>
      <w:bookmarkStart w:id="113" w:name="_Toc247691532"/>
      <w:bookmarkStart w:id="114" w:name="_Toc314842516"/>
      <w:bookmarkStart w:id="115" w:name="_Toc384807777"/>
      <w:bookmarkStart w:id="116" w:name="_Toc404950783"/>
      <w:bookmarkEnd w:id="74"/>
      <w:bookmarkEnd w:id="109"/>
      <w:bookmarkEnd w:id="110"/>
      <w:r>
        <w:t xml:space="preserve">Initial </w:t>
      </w:r>
      <w:r w:rsidRPr="00D00D16">
        <w:t>o</w:t>
      </w:r>
      <w:r w:rsidR="004C67AA" w:rsidRPr="00D00D16">
        <w:t>utcome</w:t>
      </w:r>
      <w:bookmarkEnd w:id="113"/>
      <w:bookmarkEnd w:id="114"/>
      <w:bookmarkEnd w:id="115"/>
      <w:bookmarkEnd w:id="116"/>
    </w:p>
    <w:p w:rsidR="004C67AA" w:rsidRDefault="004C67AA" w:rsidP="00D00D16">
      <w:bookmarkStart w:id="117" w:name="_Toc247691533"/>
      <w:bookmarkStart w:id="118" w:name="_Toc314842517"/>
      <w:r w:rsidRPr="00D23139">
        <w:t xml:space="preserve">Based on a review of quality, safety and efficacy, TGA </w:t>
      </w:r>
      <w:r w:rsidR="00C12321">
        <w:t xml:space="preserve">decided </w:t>
      </w:r>
      <w:r w:rsidR="00C12321" w:rsidRPr="00C12321">
        <w:t xml:space="preserve">not to </w:t>
      </w:r>
      <w:r w:rsidR="009C5847" w:rsidRPr="00C12321">
        <w:rPr>
          <w:bCs/>
        </w:rPr>
        <w:t xml:space="preserve">register </w:t>
      </w:r>
      <w:proofErr w:type="spellStart"/>
      <w:r w:rsidR="00C12321" w:rsidRPr="00C12321">
        <w:rPr>
          <w:bCs/>
        </w:rPr>
        <w:t>Avastin</w:t>
      </w:r>
      <w:proofErr w:type="spellEnd"/>
      <w:r w:rsidR="00C12321" w:rsidRPr="00C12321">
        <w:rPr>
          <w:bCs/>
        </w:rPr>
        <w:t xml:space="preserve"> </w:t>
      </w:r>
      <w:r w:rsidR="009C5847" w:rsidRPr="00C12321">
        <w:rPr>
          <w:bCs/>
        </w:rPr>
        <w:t>(</w:t>
      </w:r>
      <w:proofErr w:type="spellStart"/>
      <w:r w:rsidR="00166F6A" w:rsidRPr="00C12321">
        <w:rPr>
          <w:bCs/>
        </w:rPr>
        <w:t>bevacizumab</w:t>
      </w:r>
      <w:proofErr w:type="spellEnd"/>
      <w:r w:rsidR="009C5847" w:rsidRPr="00C12321">
        <w:rPr>
          <w:bCs/>
        </w:rPr>
        <w:t xml:space="preserve">) injection solution </w:t>
      </w:r>
      <w:r w:rsidR="009C5847" w:rsidRPr="00C12321">
        <w:t xml:space="preserve">in the first-line treatment of newly diagnosed </w:t>
      </w:r>
      <w:proofErr w:type="spellStart"/>
      <w:r w:rsidR="009C5847" w:rsidRPr="00C12321">
        <w:t>glioblastoma</w:t>
      </w:r>
      <w:proofErr w:type="spellEnd"/>
      <w:r w:rsidR="009C5847" w:rsidRPr="00C12321">
        <w:t xml:space="preserve"> </w:t>
      </w:r>
      <w:proofErr w:type="spellStart"/>
      <w:r w:rsidR="009C5847" w:rsidRPr="00C12321">
        <w:t>multiforme</w:t>
      </w:r>
      <w:proofErr w:type="spellEnd"/>
      <w:r w:rsidR="009C5847" w:rsidRPr="00C12321">
        <w:rPr>
          <w:bCs/>
        </w:rPr>
        <w:t xml:space="preserve"> </w:t>
      </w:r>
      <w:r w:rsidR="009C5847" w:rsidRPr="00C12321">
        <w:t>on the grounds that the efficacy and</w:t>
      </w:r>
      <w:r w:rsidR="009C5847" w:rsidRPr="004467F6">
        <w:t xml:space="preserve"> safety of the product have not been satisfactorily established for the purposes for which it is to be used.</w:t>
      </w:r>
    </w:p>
    <w:p w:rsidR="009C5847" w:rsidRPr="004467F6" w:rsidRDefault="009C5847" w:rsidP="00D00D16">
      <w:pPr>
        <w:pStyle w:val="Heading4"/>
      </w:pPr>
      <w:r w:rsidRPr="004467F6">
        <w:t xml:space="preserve">Reasons for </w:t>
      </w:r>
      <w:r w:rsidR="00C12321">
        <w:t xml:space="preserve">Delegate’s </w:t>
      </w:r>
      <w:r w:rsidR="00D00D16" w:rsidRPr="00D00D16">
        <w:t>d</w:t>
      </w:r>
      <w:r w:rsidRPr="00D00D16">
        <w:t>ecision</w:t>
      </w:r>
    </w:p>
    <w:p w:rsidR="009C5847" w:rsidRPr="00054B1D" w:rsidRDefault="009C5847" w:rsidP="001D5E5F">
      <w:pPr>
        <w:pStyle w:val="Numberbullet0"/>
        <w:numPr>
          <w:ilvl w:val="0"/>
          <w:numId w:val="13"/>
        </w:numPr>
        <w:rPr>
          <w:i/>
        </w:rPr>
      </w:pPr>
      <w:r w:rsidRPr="00054B1D">
        <w:rPr>
          <w:i/>
        </w:rPr>
        <w:t xml:space="preserve">Efficacy has not been satisfactorily established for the purpose for which </w:t>
      </w:r>
      <w:proofErr w:type="spellStart"/>
      <w:r w:rsidR="00166F6A" w:rsidRPr="00054B1D">
        <w:rPr>
          <w:i/>
        </w:rPr>
        <w:t>bevacizumab</w:t>
      </w:r>
      <w:proofErr w:type="spellEnd"/>
      <w:r w:rsidRPr="00054B1D">
        <w:rPr>
          <w:i/>
        </w:rPr>
        <w:t xml:space="preserve"> is to be used, for the following reasons:</w:t>
      </w:r>
    </w:p>
    <w:p w:rsidR="009C5847" w:rsidRDefault="009C5847" w:rsidP="00054B1D">
      <w:pPr>
        <w:pStyle w:val="ListBullet2"/>
      </w:pPr>
      <w:r w:rsidRPr="004467F6">
        <w:lastRenderedPageBreak/>
        <w:t xml:space="preserve">A state of uncertainty </w:t>
      </w:r>
      <w:r>
        <w:t xml:space="preserve">remains </w:t>
      </w:r>
      <w:r w:rsidRPr="004467F6">
        <w:t>of th</w:t>
      </w:r>
      <w:r>
        <w:t xml:space="preserve">e true effect of </w:t>
      </w:r>
      <w:proofErr w:type="spellStart"/>
      <w:r w:rsidR="00166F6A">
        <w:t>bevacizumab</w:t>
      </w:r>
      <w:proofErr w:type="spellEnd"/>
      <w:r>
        <w:t xml:space="preserve"> on: </w:t>
      </w:r>
      <w:r w:rsidRPr="007128CD">
        <w:t>health-related quality of life, symptom burden and neurological functioning</w:t>
      </w:r>
      <w:r>
        <w:t xml:space="preserve"> in patients with newly diagnosed </w:t>
      </w:r>
      <w:proofErr w:type="spellStart"/>
      <w:r>
        <w:t>glioblastoma</w:t>
      </w:r>
      <w:proofErr w:type="spellEnd"/>
      <w:r>
        <w:t>.</w:t>
      </w:r>
    </w:p>
    <w:p w:rsidR="009C5847" w:rsidRPr="00DB4FD2" w:rsidRDefault="009C5847" w:rsidP="00054B1D">
      <w:pPr>
        <w:pStyle w:val="ListBullet2"/>
      </w:pPr>
      <w:r w:rsidRPr="004467F6">
        <w:t xml:space="preserve">In the absence of improvement in overall survival, the longer duration of progression-free survival seen with </w:t>
      </w:r>
      <w:proofErr w:type="spellStart"/>
      <w:r w:rsidR="00166F6A">
        <w:t>bevacizumab</w:t>
      </w:r>
      <w:proofErr w:type="spellEnd"/>
      <w:r w:rsidRPr="004467F6">
        <w:t xml:space="preserve"> from </w:t>
      </w:r>
      <w:r w:rsidR="00054B1D">
        <w:t>S</w:t>
      </w:r>
      <w:r w:rsidRPr="004467F6">
        <w:t>tudies BO21990 and RTOG-0825 is not solely sufficient to demonstrate a cli</w:t>
      </w:r>
      <w:r>
        <w:t xml:space="preserve">nically meaningful outcome. Reference: The Guideline on the evaluation of anticancer medicinal products in man </w:t>
      </w:r>
      <w:r w:rsidR="00775109">
        <w:t>‘</w:t>
      </w:r>
      <w:r w:rsidRPr="004910FD">
        <w:rPr>
          <w:i/>
        </w:rPr>
        <w:t>the objective should be to demonstrate OS and/or improved symptom control or HRQoL</w:t>
      </w:r>
      <w:r w:rsidR="00775109">
        <w:t>’</w:t>
      </w:r>
      <w:r>
        <w:t>.</w:t>
      </w:r>
    </w:p>
    <w:p w:rsidR="009C5847" w:rsidRDefault="009C5847" w:rsidP="00054B1D">
      <w:pPr>
        <w:pStyle w:val="ListBullet2"/>
      </w:pPr>
      <w:r w:rsidRPr="004467F6">
        <w:t>Despite the methodological differences bet</w:t>
      </w:r>
      <w:r>
        <w:t xml:space="preserve">ween </w:t>
      </w:r>
      <w:r w:rsidRPr="00A25FA2">
        <w:t>RTOG-0825 and BO21990</w:t>
      </w:r>
      <w:r w:rsidRPr="004467F6">
        <w:t xml:space="preserve">, the sponsor acknowledges that </w:t>
      </w:r>
      <w:r w:rsidR="00775109">
        <w:t>‘</w:t>
      </w:r>
      <w:r w:rsidRPr="004467F6">
        <w:t>definite conclusions cannot be drawn on account of the health-related quality of life results of both studies</w:t>
      </w:r>
      <w:r w:rsidR="00775109">
        <w:t>’</w:t>
      </w:r>
      <w:r w:rsidRPr="004467F6">
        <w:t>.</w:t>
      </w:r>
      <w:r>
        <w:t xml:space="preserve"> Thus, the</w:t>
      </w:r>
      <w:r w:rsidRPr="004467F6">
        <w:t xml:space="preserve"> sponsor has not </w:t>
      </w:r>
      <w:r>
        <w:t xml:space="preserve">satisfactorily </w:t>
      </w:r>
      <w:r w:rsidRPr="004467F6">
        <w:t xml:space="preserve">demonstrated that differences in study methodology for RTOG-0825 and BO21990 are sufficient to either categorically refute the </w:t>
      </w:r>
      <w:r w:rsidRPr="000B5753">
        <w:t xml:space="preserve">health-related quality of life, symptom burden and neurological functioning </w:t>
      </w:r>
      <w:r w:rsidRPr="004467F6">
        <w:t xml:space="preserve">outcomes and recommendations of RTOG-0825 or only support the </w:t>
      </w:r>
      <w:r w:rsidRPr="000B5753">
        <w:t xml:space="preserve">health-related quality of life, symptom burden and neurological functioning </w:t>
      </w:r>
      <w:r w:rsidRPr="004467F6">
        <w:t>outcomes and recommendations from BO21990.</w:t>
      </w:r>
      <w:r>
        <w:t xml:space="preserve"> </w:t>
      </w:r>
      <w:r w:rsidRPr="00226226">
        <w:t xml:space="preserve">The effect of </w:t>
      </w:r>
      <w:r>
        <w:t>this uncertainty is contrary to the requirement</w:t>
      </w:r>
      <w:r w:rsidRPr="00226226">
        <w:t xml:space="preserve"> of a single pivotal study to demonstrate </w:t>
      </w:r>
      <w:r w:rsidR="00775109">
        <w:t>‘</w:t>
      </w:r>
      <w:r w:rsidRPr="00226226">
        <w:t>exceptionally compelling</w:t>
      </w:r>
      <w:r w:rsidR="00775109">
        <w:t>’</w:t>
      </w:r>
      <w:r w:rsidRPr="00226226">
        <w:t xml:space="preserve"> evidence.</w:t>
      </w:r>
    </w:p>
    <w:p w:rsidR="009C5847" w:rsidRDefault="009C5847" w:rsidP="00054B1D">
      <w:pPr>
        <w:pStyle w:val="ListBullet2"/>
      </w:pPr>
      <w:r w:rsidRPr="0046593C">
        <w:t xml:space="preserve">There can be no assumption that the quality </w:t>
      </w:r>
      <w:r>
        <w:t xml:space="preserve">of life of patients who did </w:t>
      </w:r>
      <w:r w:rsidRPr="0046593C">
        <w:t xml:space="preserve">complete quality of life assessments is representative of those that did </w:t>
      </w:r>
      <w:r>
        <w:t>not complete them in either BO21990 or RTOG-0825.</w:t>
      </w:r>
    </w:p>
    <w:p w:rsidR="009C5847" w:rsidRDefault="009C5847" w:rsidP="00054B1D">
      <w:pPr>
        <w:pStyle w:val="ListBullet2"/>
      </w:pPr>
      <w:r w:rsidRPr="004467F6">
        <w:t xml:space="preserve">In relation to the TGA adopted Guideline on </w:t>
      </w:r>
      <w:r w:rsidRPr="00054B1D">
        <w:rPr>
          <w:i/>
        </w:rPr>
        <w:t>Points to Consider for a Single Pivotal Study</w:t>
      </w:r>
      <w:r w:rsidRPr="004467F6">
        <w:t>, for subjects in BO21990, there is a progressively large proportion of subjects not completing quality of life questionnaires. The reasons for non-compliance with quality of life assessments have not been satisfactorily established. The effect of missing quality of life data has not been established, which is a source of bias</w:t>
      </w:r>
      <w:r>
        <w:t xml:space="preserve"> and contrary to the requirement of a single pivotal study to demonstrate </w:t>
      </w:r>
      <w:r w:rsidR="00775109">
        <w:t>‘</w:t>
      </w:r>
      <w:r>
        <w:t>exceptionally compelling</w:t>
      </w:r>
      <w:r w:rsidR="00775109">
        <w:t>’</w:t>
      </w:r>
      <w:r>
        <w:t xml:space="preserve"> evidence.</w:t>
      </w:r>
    </w:p>
    <w:p w:rsidR="009C5847" w:rsidRDefault="009C5847" w:rsidP="00054B1D">
      <w:pPr>
        <w:pStyle w:val="ListBullet2"/>
      </w:pPr>
      <w:r>
        <w:t xml:space="preserve">The external validity and </w:t>
      </w:r>
      <w:proofErr w:type="spellStart"/>
      <w:r>
        <w:t>generalisability</w:t>
      </w:r>
      <w:proofErr w:type="spellEnd"/>
      <w:r>
        <w:t xml:space="preserve"> of the selection of five pre-specified elements from </w:t>
      </w:r>
      <w:r w:rsidRPr="00644B6C">
        <w:t>QCQ-30 and QLQ-BN20</w:t>
      </w:r>
      <w:r>
        <w:t xml:space="preserve"> is uncertain given they have only been reported as an outcome measure from the single study population of BO21990.</w:t>
      </w:r>
    </w:p>
    <w:p w:rsidR="009C5847" w:rsidRPr="00184CA5" w:rsidRDefault="009C5847" w:rsidP="00054B1D">
      <w:pPr>
        <w:pStyle w:val="ListBullet2"/>
      </w:pPr>
      <w:r>
        <w:t>S</w:t>
      </w:r>
      <w:r w:rsidRPr="004467F6">
        <w:t xml:space="preserve">tudy RTOG-0825 has not been submitted for </w:t>
      </w:r>
      <w:r>
        <w:t xml:space="preserve">formal </w:t>
      </w:r>
      <w:r w:rsidRPr="004467F6">
        <w:t xml:space="preserve">evaluation by </w:t>
      </w:r>
      <w:r>
        <w:t>the TGA.</w:t>
      </w:r>
    </w:p>
    <w:p w:rsidR="009C5847" w:rsidRPr="00054B1D" w:rsidRDefault="009C5847" w:rsidP="00054B1D">
      <w:pPr>
        <w:pStyle w:val="Numberbullet0"/>
        <w:rPr>
          <w:i/>
        </w:rPr>
      </w:pPr>
      <w:r w:rsidRPr="00054B1D">
        <w:rPr>
          <w:i/>
        </w:rPr>
        <w:t xml:space="preserve">The safety of </w:t>
      </w:r>
      <w:proofErr w:type="spellStart"/>
      <w:r w:rsidR="00054B1D" w:rsidRPr="00054B1D">
        <w:rPr>
          <w:i/>
        </w:rPr>
        <w:t>Avastin</w:t>
      </w:r>
      <w:proofErr w:type="spellEnd"/>
      <w:r w:rsidR="00054B1D" w:rsidRPr="00054B1D">
        <w:rPr>
          <w:i/>
        </w:rPr>
        <w:t xml:space="preserve"> </w:t>
      </w:r>
      <w:r w:rsidRPr="00054B1D">
        <w:rPr>
          <w:i/>
        </w:rPr>
        <w:t>(</w:t>
      </w:r>
      <w:proofErr w:type="spellStart"/>
      <w:r w:rsidR="00166F6A" w:rsidRPr="00054B1D">
        <w:rPr>
          <w:i/>
        </w:rPr>
        <w:t>bevacizumab</w:t>
      </w:r>
      <w:proofErr w:type="spellEnd"/>
      <w:r w:rsidRPr="00054B1D">
        <w:rPr>
          <w:i/>
        </w:rPr>
        <w:t>)</w:t>
      </w:r>
      <w:r w:rsidRPr="00054B1D">
        <w:rPr>
          <w:bCs/>
          <w:i/>
        </w:rPr>
        <w:t xml:space="preserve"> </w:t>
      </w:r>
      <w:r w:rsidRPr="00054B1D">
        <w:rPr>
          <w:i/>
        </w:rPr>
        <w:t>in the indication has not been satisfactorily established for the following reasons:</w:t>
      </w:r>
    </w:p>
    <w:p w:rsidR="009C5847" w:rsidRDefault="009C5847" w:rsidP="00054B1D">
      <w:pPr>
        <w:pStyle w:val="ListBullet2"/>
      </w:pPr>
      <w:r w:rsidRPr="004467F6">
        <w:t xml:space="preserve">In </w:t>
      </w:r>
      <w:r w:rsidR="00775109">
        <w:t>Study BO21990</w:t>
      </w:r>
      <w:r w:rsidRPr="004467F6">
        <w:t xml:space="preserve">, the safety significantly favoured the placebo group with regards to combined treatment-emergent </w:t>
      </w:r>
      <w:r w:rsidR="00054B1D">
        <w:t>G</w:t>
      </w:r>
      <w:r w:rsidRPr="004467F6">
        <w:t>rades 3-5 adverse e</w:t>
      </w:r>
      <w:r w:rsidR="00054B1D">
        <w:t>vents, serious adverse events, G</w:t>
      </w:r>
      <w:r w:rsidRPr="004467F6">
        <w:t xml:space="preserve">rade 3-5 hypertension, </w:t>
      </w:r>
      <w:r w:rsidR="00054B1D">
        <w:t>G</w:t>
      </w:r>
      <w:r w:rsidRPr="004467F6">
        <w:t xml:space="preserve">rade 3-5 infections and infestations and </w:t>
      </w:r>
      <w:r w:rsidR="00054B1D">
        <w:t>G</w:t>
      </w:r>
      <w:r w:rsidRPr="004467F6">
        <w:t>rade 3-5 proteinuria. The point estimates for cerebral haemorrhage and intestinal perforation both favoured the placebo arm.</w:t>
      </w:r>
    </w:p>
    <w:p w:rsidR="009C5847" w:rsidRPr="004467F6" w:rsidRDefault="009C5847" w:rsidP="00054B1D">
      <w:pPr>
        <w:pStyle w:val="ListBullet2"/>
      </w:pPr>
      <w:r w:rsidRPr="004467F6">
        <w:t xml:space="preserve">The safety profile of </w:t>
      </w:r>
      <w:proofErr w:type="spellStart"/>
      <w:r w:rsidR="00166F6A">
        <w:t>bevacizumab</w:t>
      </w:r>
      <w:proofErr w:type="spellEnd"/>
      <w:r w:rsidRPr="004467F6">
        <w:t xml:space="preserve"> in BO21990 has not been reported for patients that did not complete qual</w:t>
      </w:r>
      <w:r>
        <w:t>ity of life assessments separately from</w:t>
      </w:r>
      <w:r w:rsidRPr="004467F6">
        <w:t xml:space="preserve"> those that did.</w:t>
      </w:r>
      <w:r w:rsidR="00AB7CEC">
        <w:t xml:space="preserve"> </w:t>
      </w:r>
      <w:r w:rsidRPr="004467F6">
        <w:t xml:space="preserve">It is therefore uncertain whether </w:t>
      </w:r>
      <w:r>
        <w:t>adverse events had a negative impact on both quality of life and compliance with completion of quality of life assessments.</w:t>
      </w:r>
    </w:p>
    <w:p w:rsidR="004C67AA" w:rsidRDefault="004C67AA" w:rsidP="00D00D16">
      <w:pPr>
        <w:pStyle w:val="Heading3"/>
      </w:pPr>
      <w:bookmarkStart w:id="119" w:name="_Toc404950784"/>
      <w:r w:rsidRPr="00D23139">
        <w:t xml:space="preserve">Final </w:t>
      </w:r>
      <w:r w:rsidRPr="00D00D16">
        <w:t>outcome</w:t>
      </w:r>
      <w:bookmarkEnd w:id="119"/>
    </w:p>
    <w:p w:rsidR="002C6E71" w:rsidRDefault="002C6E71" w:rsidP="00D00D16">
      <w:r>
        <w:t>Following the initial decision described above, the sponsor sought a review under the provisions of Section 60 of the Therapeutics Goods Act. The Delegate of the Minister for the review noted that paragraph 25(1</w:t>
      </w:r>
      <w:proofErr w:type="gramStart"/>
      <w:r>
        <w:t>)(</w:t>
      </w:r>
      <w:proofErr w:type="gramEnd"/>
      <w:r>
        <w:t xml:space="preserve">d) of the Therapeutic Goods Act, which requires </w:t>
      </w:r>
      <w:r>
        <w:lastRenderedPageBreak/>
        <w:t>the goods to be evaluated with regard to whether the quality, safety and efficacy of the goods for the purposes for which they are to be used have been satisfactorily established, is of particular relevance.</w:t>
      </w:r>
    </w:p>
    <w:p w:rsidR="002C6E71" w:rsidRDefault="002C6E71" w:rsidP="002C6E71">
      <w:r>
        <w:t>The following is an excerpt from the Delegate of the Minister’s report.</w:t>
      </w:r>
    </w:p>
    <w:p w:rsidR="002C6E71" w:rsidRPr="00054B1D" w:rsidRDefault="00054B1D" w:rsidP="00D00D16">
      <w:r w:rsidRPr="00054B1D">
        <w:t>The Delegate of the Minister</w:t>
      </w:r>
      <w:r w:rsidR="002C6E71" w:rsidRPr="00054B1D">
        <w:t xml:space="preserve"> decided to confirm the initial decision not to approve the application on the basis that the efficacy and safety of the product for the proposed extension of indication have not been satisfactorily established.</w:t>
      </w:r>
    </w:p>
    <w:p w:rsidR="00D74C56" w:rsidRPr="00D74C56" w:rsidRDefault="00D74C56" w:rsidP="00D00D16">
      <w:pPr>
        <w:pStyle w:val="Heading4"/>
      </w:pPr>
      <w:r>
        <w:t xml:space="preserve">Findings </w:t>
      </w:r>
      <w:r w:rsidRPr="00D00D16">
        <w:t>of</w:t>
      </w:r>
      <w:r>
        <w:t xml:space="preserve"> fact</w:t>
      </w:r>
    </w:p>
    <w:p w:rsidR="002C6E71" w:rsidRPr="00054B1D" w:rsidRDefault="002C6E71" w:rsidP="00D00D16">
      <w:pPr>
        <w:pStyle w:val="Heading5"/>
      </w:pPr>
      <w:r>
        <w:t>Delegate’s reasons for rejection</w:t>
      </w:r>
    </w:p>
    <w:p w:rsidR="002C6E71" w:rsidRDefault="002C6E71" w:rsidP="00D00D16">
      <w:r>
        <w:t xml:space="preserve">The </w:t>
      </w:r>
      <w:r w:rsidR="00054B1D" w:rsidRPr="00054B1D">
        <w:t>Delegate of the Minister</w:t>
      </w:r>
      <w:r>
        <w:t>, in making the initial decision, found that efficacy was not</w:t>
      </w:r>
      <w:r w:rsidR="00AB0014">
        <w:t xml:space="preserve"> </w:t>
      </w:r>
      <w:r>
        <w:t>satisfactorily established because:</w:t>
      </w:r>
    </w:p>
    <w:p w:rsidR="002C6E71" w:rsidRPr="00D00D16" w:rsidRDefault="002C6E71" w:rsidP="00D00D16">
      <w:pPr>
        <w:pStyle w:val="ListBullet"/>
      </w:pPr>
      <w:r w:rsidRPr="00054B1D">
        <w:t xml:space="preserve">There is uncertainty around the true effect of </w:t>
      </w:r>
      <w:proofErr w:type="spellStart"/>
      <w:r w:rsidR="00166F6A" w:rsidRPr="00054B1D">
        <w:t>bevacizumab</w:t>
      </w:r>
      <w:proofErr w:type="spellEnd"/>
      <w:r w:rsidRPr="00054B1D">
        <w:t xml:space="preserve"> on quality-of-life data, symptom burden and </w:t>
      </w:r>
      <w:r w:rsidRPr="00D00D16">
        <w:t>neurological functioning.</w:t>
      </w:r>
    </w:p>
    <w:p w:rsidR="002C6E71" w:rsidRPr="00D00D16" w:rsidRDefault="002C6E71" w:rsidP="00D00D16">
      <w:pPr>
        <w:pStyle w:val="ListBullet"/>
      </w:pPr>
      <w:r w:rsidRPr="00D00D16">
        <w:t xml:space="preserve">Given no improvement in overall survival and uncertainty around quality-of-life, the gain in progression-free survival was not sufficient on its own to demonstrate a </w:t>
      </w:r>
      <w:r w:rsidR="007F3AD6" w:rsidRPr="00D00D16">
        <w:t>clinically</w:t>
      </w:r>
      <w:r w:rsidRPr="00D00D16">
        <w:t xml:space="preserve"> meaningful outcome.</w:t>
      </w:r>
    </w:p>
    <w:p w:rsidR="002C6E71" w:rsidRPr="00054B1D" w:rsidRDefault="002C6E71" w:rsidP="00D00D16">
      <w:pPr>
        <w:pStyle w:val="ListBullet"/>
      </w:pPr>
      <w:r w:rsidRPr="00D00D16">
        <w:t>There was much missing data for</w:t>
      </w:r>
      <w:r w:rsidRPr="00054B1D">
        <w:t xml:space="preserve"> quality-of-life, and it cannot be assumed that the patients who had completed assessments for quality-of-life were representative of those who did not.</w:t>
      </w:r>
    </w:p>
    <w:p w:rsidR="002C6E71" w:rsidRDefault="002C6E71" w:rsidP="00054B1D">
      <w:r>
        <w:t xml:space="preserve">The </w:t>
      </w:r>
      <w:r w:rsidR="00054B1D" w:rsidRPr="00054B1D">
        <w:t xml:space="preserve">Delegate of the Minister </w:t>
      </w:r>
      <w:r>
        <w:t>also found that safety was not satisfactorily established because:</w:t>
      </w:r>
    </w:p>
    <w:p w:rsidR="002C6E71" w:rsidRPr="00054B1D" w:rsidRDefault="002C6E71" w:rsidP="00054B1D">
      <w:pPr>
        <w:pStyle w:val="ListBullet"/>
      </w:pPr>
      <w:r w:rsidRPr="00054B1D">
        <w:t xml:space="preserve">In </w:t>
      </w:r>
      <w:r w:rsidR="00054B1D" w:rsidRPr="00054B1D">
        <w:t>S</w:t>
      </w:r>
      <w:r w:rsidRPr="00054B1D">
        <w:t>tudy B021990, the safety significantly favoured the placebo group with regards to combined treatment-emergent grades 3-5 adverse events, serious adverse events, grade 3-511ypertension, grade 3-5 infections and infestations and grade 3- 5 proteinuria. The point estimates for cerebral haemorrhage and intestinal perforation both favoured the placebo arm.</w:t>
      </w:r>
    </w:p>
    <w:p w:rsidR="002C6E71" w:rsidRPr="00054B1D" w:rsidRDefault="002C6E71" w:rsidP="00054B1D">
      <w:pPr>
        <w:pStyle w:val="ListBullet"/>
      </w:pPr>
      <w:r w:rsidRPr="00054B1D">
        <w:t xml:space="preserve">The safety profile of </w:t>
      </w:r>
      <w:proofErr w:type="spellStart"/>
      <w:r w:rsidR="00166F6A" w:rsidRPr="00054B1D">
        <w:t>bevacizumab</w:t>
      </w:r>
      <w:proofErr w:type="spellEnd"/>
      <w:r w:rsidRPr="00054B1D">
        <w:t xml:space="preserve"> in B021990 has not been reported for patients that did not complete quality of life assessments separately from those that did. It is therefore uncertain whether adverse events had a negative impact on both quality of life and compliance with completion of quality of life assessments.</w:t>
      </w:r>
    </w:p>
    <w:p w:rsidR="002C6E71" w:rsidRPr="008C6424" w:rsidRDefault="002C6E71" w:rsidP="00D00D16">
      <w:pPr>
        <w:pStyle w:val="Heading4"/>
      </w:pPr>
      <w:r w:rsidRPr="008C6424">
        <w:t xml:space="preserve">Abridged </w:t>
      </w:r>
      <w:r w:rsidRPr="00D00D16">
        <w:t>chronology</w:t>
      </w:r>
    </w:p>
    <w:p w:rsidR="002C6E71" w:rsidRPr="00901B2C" w:rsidRDefault="002C6E71" w:rsidP="00D00D16">
      <w:r w:rsidRPr="00901B2C">
        <w:t>At the 12</w:t>
      </w:r>
      <w:r w:rsidR="00FA6D72" w:rsidRPr="00901B2C">
        <w:t xml:space="preserve"> to </w:t>
      </w:r>
      <w:r w:rsidRPr="00901B2C">
        <w:t>13 February 2014 meeting, the ACPM recommended approval of the</w:t>
      </w:r>
      <w:r w:rsidR="00054B1D" w:rsidRPr="00901B2C">
        <w:t xml:space="preserve"> </w:t>
      </w:r>
      <w:r w:rsidRPr="00901B2C">
        <w:t>extension</w:t>
      </w:r>
      <w:r w:rsidR="00901B2C" w:rsidRPr="00901B2C">
        <w:t xml:space="preserve"> </w:t>
      </w:r>
      <w:r w:rsidRPr="00901B2C">
        <w:t>of</w:t>
      </w:r>
      <w:r w:rsidR="00901B2C" w:rsidRPr="00901B2C">
        <w:t xml:space="preserve"> </w:t>
      </w:r>
      <w:r w:rsidRPr="00901B2C">
        <w:t>indication to newly</w:t>
      </w:r>
      <w:r w:rsidR="00901B2C" w:rsidRPr="00901B2C">
        <w:t xml:space="preserve"> </w:t>
      </w:r>
      <w:r w:rsidRPr="00901B2C">
        <w:t xml:space="preserve">diagnosed </w:t>
      </w:r>
      <w:proofErr w:type="spellStart"/>
      <w:r w:rsidRPr="00901B2C">
        <w:t>glioblastoma</w:t>
      </w:r>
      <w:proofErr w:type="spellEnd"/>
      <w:r w:rsidRPr="00901B2C">
        <w:t>. This recommendation to the</w:t>
      </w:r>
      <w:r w:rsidR="00054B1D" w:rsidRPr="00901B2C">
        <w:t xml:space="preserve"> D</w:t>
      </w:r>
      <w:r w:rsidRPr="00901B2C">
        <w:t>elegate was based primarily on the sponsor's pivotal Phase</w:t>
      </w:r>
      <w:r w:rsidR="00901B2C" w:rsidRPr="00901B2C">
        <w:t xml:space="preserve"> III</w:t>
      </w:r>
      <w:r w:rsidRPr="00901B2C">
        <w:t xml:space="preserve"> trial B021990</w:t>
      </w:r>
      <w:r w:rsidR="00901B2C" w:rsidRPr="00901B2C">
        <w:t>.</w:t>
      </w:r>
    </w:p>
    <w:p w:rsidR="002C6E71" w:rsidRPr="00901B2C" w:rsidRDefault="00901B2C" w:rsidP="00D00D16">
      <w:r w:rsidRPr="00901B2C">
        <w:t>At that point in time, the D</w:t>
      </w:r>
      <w:r w:rsidR="002C6E71" w:rsidRPr="00901B2C">
        <w:t>elegate and the ACPM were aware of an independent (non</w:t>
      </w:r>
      <w:r w:rsidRPr="00901B2C">
        <w:noBreakHyphen/>
      </w:r>
      <w:r w:rsidR="002C6E71" w:rsidRPr="00901B2C">
        <w:t>sponsor)</w:t>
      </w:r>
      <w:r w:rsidR="00054B1D" w:rsidRPr="00901B2C">
        <w:t xml:space="preserve"> </w:t>
      </w:r>
      <w:r w:rsidR="002C6E71" w:rsidRPr="00901B2C">
        <w:t>Phase</w:t>
      </w:r>
      <w:r w:rsidRPr="00901B2C">
        <w:t xml:space="preserve"> III</w:t>
      </w:r>
      <w:r w:rsidR="002C6E71" w:rsidRPr="00901B2C">
        <w:t xml:space="preserve"> trial with similar inclusion/exclusion criteria and design: RTOG-0825,</w:t>
      </w:r>
      <w:r w:rsidR="00054B1D" w:rsidRPr="00901B2C">
        <w:t xml:space="preserve"> </w:t>
      </w:r>
      <w:r w:rsidR="002C6E71" w:rsidRPr="00901B2C">
        <w:t>and some of the results (</w:t>
      </w:r>
      <w:r w:rsidRPr="00901B2C">
        <w:t>for example,</w:t>
      </w:r>
      <w:r w:rsidR="002C6E71" w:rsidRPr="00901B2C">
        <w:t xml:space="preserve"> based on information presented in abstract format together</w:t>
      </w:r>
      <w:r w:rsidR="00054B1D" w:rsidRPr="00901B2C">
        <w:t xml:space="preserve"> </w:t>
      </w:r>
      <w:r w:rsidR="002C6E71" w:rsidRPr="00901B2C">
        <w:t>with oral and poster presentations at the 2013 American Society of Clinical Oncology</w:t>
      </w:r>
      <w:r w:rsidR="00054B1D" w:rsidRPr="00901B2C">
        <w:t xml:space="preserve"> </w:t>
      </w:r>
      <w:r w:rsidR="002C6E71" w:rsidRPr="00901B2C">
        <w:t xml:space="preserve">annual congress and summarised in the sponsor's </w:t>
      </w:r>
      <w:r w:rsidRPr="00901B2C">
        <w:t>above</w:t>
      </w:r>
      <w:r w:rsidR="002C6E71" w:rsidRPr="00901B2C">
        <w:t>).</w:t>
      </w:r>
    </w:p>
    <w:p w:rsidR="002C6E71" w:rsidRPr="00D70C91" w:rsidRDefault="00874B7B" w:rsidP="00D00D16">
      <w:r w:rsidRPr="00D70C91">
        <w:t xml:space="preserve">The sponsor provided a summary of the publicly available preliminary findings form the RTOG-0825 study in response to clinical evaluation questions. The Delegate became aware of the full results from RTOG-0825 when they were published in the New England Journal of Medicine in February 2014 (370:699-708), after the ACPM meeting, prior to the </w:t>
      </w:r>
      <w:r w:rsidR="00462CFD" w:rsidRPr="00D70C91">
        <w:t>d</w:t>
      </w:r>
      <w:r w:rsidRPr="00D70C91">
        <w:t>ecision date</w:t>
      </w:r>
      <w:r w:rsidR="002C6E71" w:rsidRPr="00D70C91">
        <w:t>.</w:t>
      </w:r>
    </w:p>
    <w:p w:rsidR="002C6E71" w:rsidRPr="00901B2C" w:rsidRDefault="002C6E71" w:rsidP="00FA6D72">
      <w:r w:rsidRPr="00901B2C">
        <w:lastRenderedPageBreak/>
        <w:t>RTOG-0825 was not the sponsor's trial. It was funded primarily by the National Cancer</w:t>
      </w:r>
      <w:r w:rsidR="00054B1D" w:rsidRPr="00901B2C">
        <w:t xml:space="preserve"> </w:t>
      </w:r>
      <w:r w:rsidRPr="00901B2C">
        <w:t>Institute (in the United States); although the report in the NE</w:t>
      </w:r>
      <w:r w:rsidR="007F3AD6">
        <w:t>J</w:t>
      </w:r>
      <w:r w:rsidRPr="00901B2C">
        <w:t>M also mentions an</w:t>
      </w:r>
      <w:r w:rsidR="00054B1D" w:rsidRPr="00901B2C">
        <w:t xml:space="preserve"> </w:t>
      </w:r>
      <w:r w:rsidRPr="00901B2C">
        <w:t xml:space="preserve">unrestricted educational grant from Genentech. </w:t>
      </w:r>
      <w:r w:rsidR="00901B2C" w:rsidRPr="00901B2C">
        <w:t>The Delegate</w:t>
      </w:r>
      <w:r w:rsidRPr="00901B2C">
        <w:t xml:space="preserve"> accept</w:t>
      </w:r>
      <w:r w:rsidR="00901B2C" w:rsidRPr="00901B2C">
        <w:t>s</w:t>
      </w:r>
      <w:r w:rsidRPr="00901B2C">
        <w:t xml:space="preserve"> that the sponsor also only had</w:t>
      </w:r>
      <w:r w:rsidR="00054B1D" w:rsidRPr="00901B2C">
        <w:t xml:space="preserve"> </w:t>
      </w:r>
      <w:r w:rsidRPr="00901B2C">
        <w:t>access to the publicly-available results for RTOG-0825.</w:t>
      </w:r>
    </w:p>
    <w:p w:rsidR="002C6E71" w:rsidRPr="00901B2C" w:rsidRDefault="00874B7B" w:rsidP="00FA6D72">
      <w:r w:rsidRPr="00D70C91">
        <w:t xml:space="preserve">The information from RTOG-0825 which became newly available in the public domain, including to the Delegate from the NEJM publication raised concerns post-ACPM that quality of life deteriorated on </w:t>
      </w:r>
      <w:proofErr w:type="spellStart"/>
      <w:r w:rsidRPr="00D70C91">
        <w:t>bevacizumab</w:t>
      </w:r>
      <w:proofErr w:type="spellEnd"/>
      <w:r w:rsidRPr="00D70C91">
        <w:t xml:space="preserve"> in contrast to the results form B021990 which showed maintenance of quality of life</w:t>
      </w:r>
      <w:r w:rsidR="002C6E71" w:rsidRPr="00D70C91">
        <w:t xml:space="preserve">. The </w:t>
      </w:r>
      <w:r w:rsidR="002C6E71" w:rsidRPr="00901B2C">
        <w:t>results for progression-free survival and</w:t>
      </w:r>
      <w:r w:rsidR="00054B1D" w:rsidRPr="00901B2C">
        <w:t xml:space="preserve"> </w:t>
      </w:r>
      <w:r w:rsidR="002C6E71" w:rsidRPr="00901B2C">
        <w:t>overall survival were similar in the two trials (see below).</w:t>
      </w:r>
    </w:p>
    <w:p w:rsidR="002C6E71" w:rsidRPr="00AB0014" w:rsidRDefault="002C6E71" w:rsidP="00FA6D72">
      <w:r w:rsidRPr="00AB0014">
        <w:t>The sponsor was asked to comment on RTOG-0825 and responded on 21 March 20</w:t>
      </w:r>
      <w:r w:rsidR="00054B1D" w:rsidRPr="00AB0014">
        <w:t>1</w:t>
      </w:r>
      <w:r w:rsidRPr="00AB0014">
        <w:t>4</w:t>
      </w:r>
      <w:r w:rsidR="00054B1D" w:rsidRPr="00AB0014">
        <w:t xml:space="preserve"> </w:t>
      </w:r>
      <w:r w:rsidRPr="00AB0014">
        <w:t>(see below for further detail on the sponsor's response).</w:t>
      </w:r>
    </w:p>
    <w:p w:rsidR="002C6E71" w:rsidRPr="00901B2C" w:rsidRDefault="002C6E71" w:rsidP="00FA6D72">
      <w:r w:rsidRPr="00901B2C">
        <w:t xml:space="preserve">After taking into account the sponsor's response, the </w:t>
      </w:r>
      <w:r w:rsidR="00901B2C" w:rsidRPr="00901B2C">
        <w:t>D</w:t>
      </w:r>
      <w:r w:rsidRPr="00901B2C">
        <w:t>elegate rejected the sponsor's</w:t>
      </w:r>
      <w:r w:rsidR="00901B2C" w:rsidRPr="00901B2C">
        <w:t xml:space="preserve"> </w:t>
      </w:r>
      <w:r w:rsidRPr="00901B2C">
        <w:t>application for extension-of-indication.</w:t>
      </w:r>
    </w:p>
    <w:p w:rsidR="002C6E71" w:rsidRPr="00901B2C" w:rsidRDefault="002C6E71" w:rsidP="00FA6D72">
      <w:r w:rsidRPr="00901B2C">
        <w:t>Further findings of fact are organised below, according to the three important endpoints in</w:t>
      </w:r>
      <w:r w:rsidR="00054B1D" w:rsidRPr="00901B2C">
        <w:t xml:space="preserve"> the two Phase</w:t>
      </w:r>
      <w:r w:rsidR="00901B2C" w:rsidRPr="00901B2C">
        <w:t xml:space="preserve"> III</w:t>
      </w:r>
      <w:r w:rsidR="00054B1D" w:rsidRPr="00901B2C">
        <w:t xml:space="preserve"> trials </w:t>
      </w:r>
      <w:r w:rsidRPr="00901B2C">
        <w:t>quality-of-life, progression-free survival, overall survival) and</w:t>
      </w:r>
      <w:r w:rsidR="00901B2C" w:rsidRPr="00901B2C">
        <w:t xml:space="preserve"> </w:t>
      </w:r>
      <w:r w:rsidRPr="00901B2C">
        <w:t>safety; after the subsection that summarises the trial results (immediately below).</w:t>
      </w:r>
    </w:p>
    <w:p w:rsidR="002C6E71" w:rsidRPr="00901B2C" w:rsidRDefault="002C6E71" w:rsidP="00D00D16">
      <w:pPr>
        <w:pStyle w:val="Heading4"/>
      </w:pPr>
      <w:r w:rsidRPr="00901B2C">
        <w:t xml:space="preserve">Summary of results from </w:t>
      </w:r>
      <w:r w:rsidRPr="00D00D16">
        <w:t>two</w:t>
      </w:r>
      <w:r w:rsidRPr="00901B2C">
        <w:t xml:space="preserve"> Phase</w:t>
      </w:r>
      <w:r w:rsidR="00901B2C" w:rsidRPr="00901B2C">
        <w:t xml:space="preserve"> III </w:t>
      </w:r>
      <w:r w:rsidRPr="00901B2C">
        <w:t>trials</w:t>
      </w:r>
    </w:p>
    <w:p w:rsidR="002C6E71" w:rsidRPr="00901B2C" w:rsidRDefault="002C6E71" w:rsidP="00FA6D72">
      <w:r w:rsidRPr="00901B2C">
        <w:t>The results for the two Phase</w:t>
      </w:r>
      <w:r w:rsidR="00901B2C" w:rsidRPr="00901B2C">
        <w:t xml:space="preserve"> III</w:t>
      </w:r>
      <w:r w:rsidRPr="00901B2C">
        <w:t xml:space="preserve"> trials were similar for progression-free survival (4</w:t>
      </w:r>
      <w:r w:rsidR="00901B2C" w:rsidRPr="00901B2C">
        <w:t xml:space="preserve"> </w:t>
      </w:r>
      <w:r w:rsidRPr="00901B2C">
        <w:t>month</w:t>
      </w:r>
      <w:r w:rsidR="00054B1D" w:rsidRPr="00901B2C">
        <w:t xml:space="preserve"> </w:t>
      </w:r>
      <w:r w:rsidRPr="00901B2C">
        <w:t>improvement) and overall survival (no improvement) but different for quality-of-life</w:t>
      </w:r>
      <w:r w:rsidR="00054B1D" w:rsidRPr="00901B2C">
        <w:t xml:space="preserve"> m</w:t>
      </w:r>
      <w:r w:rsidRPr="00901B2C">
        <w:t>aintenance versus deterioration).</w:t>
      </w:r>
    </w:p>
    <w:p w:rsidR="002C6E71" w:rsidRPr="008E75AB" w:rsidRDefault="00054B1D" w:rsidP="00FA6D72">
      <w:r w:rsidRPr="008E75AB">
        <w:t xml:space="preserve">Delegate of the Minister </w:t>
      </w:r>
      <w:r w:rsidR="002C6E71" w:rsidRPr="008E75AB">
        <w:t xml:space="preserve">summarise </w:t>
      </w:r>
      <w:r w:rsidRPr="008E75AB">
        <w:t>the</w:t>
      </w:r>
      <w:r w:rsidR="002C6E71" w:rsidRPr="008E75AB">
        <w:t xml:space="preserve"> findings in relation to the results of the Phase </w:t>
      </w:r>
      <w:r w:rsidRPr="008E75AB">
        <w:t>III</w:t>
      </w:r>
      <w:r w:rsidR="002C6E71" w:rsidRPr="008E75AB">
        <w:t xml:space="preserve"> trials below</w:t>
      </w:r>
      <w:r w:rsidR="00901B2C" w:rsidRPr="008E75AB">
        <w:t xml:space="preserve"> in Table</w:t>
      </w:r>
      <w:r w:rsidR="00222A0F" w:rsidRPr="008E75AB">
        <w:t xml:space="preserve"> 2</w:t>
      </w:r>
      <w:r w:rsidR="00AD12FE">
        <w:t>5</w:t>
      </w:r>
      <w:r w:rsidR="002C6E71" w:rsidRPr="008E75AB">
        <w:t>.</w:t>
      </w:r>
    </w:p>
    <w:p w:rsidR="00901B2C" w:rsidRPr="00901B2C" w:rsidRDefault="00901B2C" w:rsidP="00D00D16">
      <w:pPr>
        <w:pStyle w:val="TableTitle"/>
      </w:pPr>
      <w:r w:rsidRPr="008E75AB">
        <w:t>Table</w:t>
      </w:r>
      <w:r w:rsidR="00222A0F" w:rsidRPr="008E75AB">
        <w:t xml:space="preserve"> 2</w:t>
      </w:r>
      <w:r w:rsidR="00AD12FE">
        <w:t>5</w:t>
      </w:r>
      <w:r w:rsidR="00222A0F" w:rsidRPr="008E75AB">
        <w:t xml:space="preserve">. Results from </w:t>
      </w:r>
      <w:r w:rsidR="00222A0F" w:rsidRPr="00D00D16">
        <w:t>Phase</w:t>
      </w:r>
      <w:r w:rsidR="00222A0F" w:rsidRPr="008E75AB">
        <w:t xml:space="preserve"> III trials</w:t>
      </w:r>
    </w:p>
    <w:p w:rsidR="002C6E71" w:rsidRPr="00FA6D72" w:rsidRDefault="002C6E71" w:rsidP="00FA6D72">
      <w:pPr>
        <w:rPr>
          <w:highlight w:val="yellow"/>
        </w:rPr>
      </w:pPr>
      <w:r w:rsidRPr="00FA6D72">
        <w:rPr>
          <w:noProof/>
          <w:highlight w:val="yellow"/>
          <w:lang w:eastAsia="en-AU"/>
        </w:rPr>
        <w:drawing>
          <wp:inline distT="0" distB="0" distL="0" distR="0" wp14:anchorId="5F418FCA" wp14:editId="71362CD2">
            <wp:extent cx="4613065" cy="3209925"/>
            <wp:effectExtent l="0" t="0" r="0" b="0"/>
            <wp:docPr id="8" name="Picture 8" descr="Table 25. Results from Phase III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Lst>
                    </a:blip>
                    <a:stretch>
                      <a:fillRect/>
                    </a:stretch>
                  </pic:blipFill>
                  <pic:spPr>
                    <a:xfrm>
                      <a:off x="0" y="0"/>
                      <a:ext cx="4621423" cy="3215741"/>
                    </a:xfrm>
                    <a:prstGeom prst="rect">
                      <a:avLst/>
                    </a:prstGeom>
                  </pic:spPr>
                </pic:pic>
              </a:graphicData>
            </a:graphic>
          </wp:inline>
        </w:drawing>
      </w:r>
    </w:p>
    <w:p w:rsidR="002C6E71" w:rsidRPr="00901B2C" w:rsidRDefault="002C6E71" w:rsidP="00D74C56">
      <w:pPr>
        <w:pStyle w:val="Heading5"/>
        <w:rPr>
          <w:rFonts w:eastAsiaTheme="minorHAnsi"/>
        </w:rPr>
      </w:pPr>
      <w:r w:rsidRPr="00901B2C">
        <w:rPr>
          <w:rFonts w:eastAsiaTheme="minorHAnsi"/>
        </w:rPr>
        <w:t>Quality-o</w:t>
      </w:r>
      <w:r w:rsidR="00FA6D72" w:rsidRPr="00901B2C">
        <w:t>f</w:t>
      </w:r>
      <w:r w:rsidRPr="00901B2C">
        <w:rPr>
          <w:rFonts w:eastAsiaTheme="minorHAnsi"/>
        </w:rPr>
        <w:t>-</w:t>
      </w:r>
      <w:r w:rsidR="00FA6D72" w:rsidRPr="00901B2C">
        <w:t>li</w:t>
      </w:r>
      <w:r w:rsidRPr="00901B2C">
        <w:rPr>
          <w:rFonts w:eastAsiaTheme="minorHAnsi"/>
        </w:rPr>
        <w:t>fe</w:t>
      </w:r>
    </w:p>
    <w:p w:rsidR="002C6E71" w:rsidRPr="00901B2C" w:rsidRDefault="002C6E71" w:rsidP="00FA6D72">
      <w:r w:rsidRPr="00901B2C">
        <w:t>Post-ACPM, and before a decision</w:t>
      </w:r>
      <w:r w:rsidR="00901B2C" w:rsidRPr="00901B2C">
        <w:t xml:space="preserve"> was made, the D</w:t>
      </w:r>
      <w:r w:rsidRPr="00901B2C">
        <w:t>elegate provided the sponsor with an</w:t>
      </w:r>
      <w:r w:rsidR="00054B1D" w:rsidRPr="00901B2C">
        <w:t xml:space="preserve"> </w:t>
      </w:r>
      <w:r w:rsidRPr="00901B2C">
        <w:t>opportunity to respond to two questions arising from the publication of the results from</w:t>
      </w:r>
      <w:r w:rsidR="00054B1D" w:rsidRPr="00901B2C">
        <w:t xml:space="preserve"> </w:t>
      </w:r>
      <w:r w:rsidRPr="00901B2C">
        <w:t>RTOG-8025 (not available at the time of the ACPM meeting). The questions were around</w:t>
      </w:r>
      <w:r w:rsidR="00054B1D" w:rsidRPr="00901B2C">
        <w:t xml:space="preserve"> </w:t>
      </w:r>
      <w:r w:rsidRPr="00901B2C">
        <w:t>the substantial amounts of missing data for quality-of-life from both trials and the</w:t>
      </w:r>
      <w:r w:rsidR="00054B1D" w:rsidRPr="00901B2C">
        <w:t xml:space="preserve"> </w:t>
      </w:r>
      <w:r w:rsidRPr="00901B2C">
        <w:lastRenderedPageBreak/>
        <w:t>discordant results (B021990: maintenance of quality-of-life; RTOG-0825: deterioration in</w:t>
      </w:r>
      <w:r w:rsidR="00054B1D" w:rsidRPr="00901B2C">
        <w:t xml:space="preserve"> </w:t>
      </w:r>
      <w:r w:rsidRPr="00901B2C">
        <w:t>quality-of-life).</w:t>
      </w:r>
    </w:p>
    <w:p w:rsidR="009C5847" w:rsidRPr="00901B2C" w:rsidRDefault="002C6E71" w:rsidP="00FA6D72">
      <w:r w:rsidRPr="00901B2C">
        <w:t>The sponsor provided a 23</w:t>
      </w:r>
      <w:r w:rsidR="00901B2C" w:rsidRPr="00901B2C">
        <w:t xml:space="preserve"> </w:t>
      </w:r>
      <w:r w:rsidRPr="00901B2C">
        <w:t>page response to the two questions. In short, the sponsor</w:t>
      </w:r>
      <w:r w:rsidR="00054B1D" w:rsidRPr="00901B2C">
        <w:t xml:space="preserve"> </w:t>
      </w:r>
      <w:r w:rsidRPr="00901B2C">
        <w:t>argued that the quality-of-life measurements</w:t>
      </w:r>
      <w:r w:rsidR="00901B2C" w:rsidRPr="00901B2C">
        <w:t xml:space="preserve"> </w:t>
      </w:r>
      <w:r w:rsidRPr="00901B2C">
        <w:t>in B021990 were more valid than those</w:t>
      </w:r>
      <w:r w:rsidR="00054B1D" w:rsidRPr="00901B2C">
        <w:t xml:space="preserve"> </w:t>
      </w:r>
      <w:r w:rsidRPr="00901B2C">
        <w:t>in</w:t>
      </w:r>
      <w:r w:rsidR="00901B2C" w:rsidRPr="00901B2C">
        <w:t xml:space="preserve"> </w:t>
      </w:r>
      <w:r w:rsidRPr="00901B2C">
        <w:t>RTOG-0825 and that direct comparison of the results for quality-of-life from the two trials</w:t>
      </w:r>
      <w:r w:rsidR="00054B1D" w:rsidRPr="00901B2C">
        <w:t xml:space="preserve"> </w:t>
      </w:r>
      <w:r w:rsidRPr="00901B2C">
        <w:t>could not be made because of differences in, inter alia, study design, collection of data and</w:t>
      </w:r>
      <w:r w:rsidR="00054B1D" w:rsidRPr="00901B2C">
        <w:t xml:space="preserve"> </w:t>
      </w:r>
      <w:r w:rsidRPr="00901B2C">
        <w:t>analysis.</w:t>
      </w:r>
    </w:p>
    <w:p w:rsidR="002C6E71" w:rsidRPr="00901B2C" w:rsidRDefault="00901B2C" w:rsidP="00FA6D72">
      <w:r>
        <w:t>This did not reassure the D</w:t>
      </w:r>
      <w:r w:rsidR="002C6E71" w:rsidRPr="00901B2C">
        <w:t>elegate that efficacy and safety had been satisfactorily</w:t>
      </w:r>
      <w:r w:rsidR="00054B1D" w:rsidRPr="00901B2C">
        <w:t xml:space="preserve"> </w:t>
      </w:r>
      <w:r w:rsidR="002C6E71" w:rsidRPr="00901B2C">
        <w:t xml:space="preserve">established and </w:t>
      </w:r>
      <w:r>
        <w:t>the Delegate</w:t>
      </w:r>
      <w:r w:rsidR="002C6E71" w:rsidRPr="00901B2C">
        <w:t xml:space="preserve"> decided to reject the application for the extension</w:t>
      </w:r>
      <w:r>
        <w:t xml:space="preserve"> </w:t>
      </w:r>
      <w:r w:rsidR="002C6E71" w:rsidRPr="00901B2C">
        <w:t>of</w:t>
      </w:r>
      <w:r>
        <w:t xml:space="preserve"> </w:t>
      </w:r>
      <w:r w:rsidR="002C6E71" w:rsidRPr="00901B2C">
        <w:t>indication.</w:t>
      </w:r>
    </w:p>
    <w:p w:rsidR="002C6E71" w:rsidRPr="00901B2C" w:rsidRDefault="002C6E71" w:rsidP="00FA6D72">
      <w:r w:rsidRPr="00901B2C">
        <w:t>In the decision letter (notifying the sponsor of the decision to reject the application) the</w:t>
      </w:r>
      <w:r w:rsidR="00054B1D" w:rsidRPr="00901B2C">
        <w:t xml:space="preserve"> </w:t>
      </w:r>
      <w:r w:rsidR="00901B2C">
        <w:t>D</w:t>
      </w:r>
      <w:r w:rsidRPr="00901B2C">
        <w:t>elegate noted the large percentage of missing data on quality-of-life in B021990. At the</w:t>
      </w:r>
      <w:r w:rsidR="00054B1D" w:rsidRPr="00901B2C">
        <w:t xml:space="preserve"> </w:t>
      </w:r>
      <w:r w:rsidRPr="00901B2C">
        <w:t>time of disease progression, 2031358 (56.7%) of the placebo arm and 1631322 (50.6%) of</w:t>
      </w:r>
      <w:r w:rsidR="00054B1D" w:rsidRPr="00901B2C">
        <w:t xml:space="preserve"> </w:t>
      </w:r>
      <w:r w:rsidRPr="00901B2C">
        <w:t xml:space="preserve">the </w:t>
      </w:r>
      <w:proofErr w:type="spellStart"/>
      <w:r w:rsidR="00166F6A" w:rsidRPr="00901B2C">
        <w:t>bevacizumab</w:t>
      </w:r>
      <w:proofErr w:type="spellEnd"/>
      <w:r w:rsidRPr="00901B2C">
        <w:t xml:space="preserve"> arm completed a quality-of-life questionnaire.</w:t>
      </w:r>
    </w:p>
    <w:p w:rsidR="002C6E71" w:rsidRPr="00901B2C" w:rsidRDefault="002C6E71" w:rsidP="00FA6D72">
      <w:r w:rsidRPr="00901B2C">
        <w:t>The publicly</w:t>
      </w:r>
      <w:r w:rsidR="00901B2C" w:rsidRPr="00901B2C">
        <w:t xml:space="preserve"> </w:t>
      </w:r>
      <w:r w:rsidRPr="00901B2C">
        <w:t>available information on missing data from RTOG-0825 was not presented in</w:t>
      </w:r>
      <w:r w:rsidR="00054B1D" w:rsidRPr="00901B2C">
        <w:t xml:space="preserve"> </w:t>
      </w:r>
      <w:r w:rsidRPr="00901B2C">
        <w:t>the same way</w:t>
      </w:r>
      <w:r w:rsidR="00D74C56" w:rsidRPr="00D74C56">
        <w:t>.</w:t>
      </w:r>
      <w:r w:rsidR="00D74C56" w:rsidRPr="00D74C56">
        <w:rPr>
          <w:rStyle w:val="FootnoteReference"/>
        </w:rPr>
        <w:footnoteReference w:id="20"/>
      </w:r>
      <w:r w:rsidRPr="00D74C56">
        <w:t xml:space="preserve"> What</w:t>
      </w:r>
      <w:r w:rsidRPr="00901B2C">
        <w:t xml:space="preserve"> was reported was the</w:t>
      </w:r>
      <w:r w:rsidR="00054B1D" w:rsidRPr="00901B2C">
        <w:t xml:space="preserve"> </w:t>
      </w:r>
      <w:r w:rsidRPr="00901B2C">
        <w:t>percentage of missing data for the quality-of-life and neurocognitive questionnaires, at</w:t>
      </w:r>
      <w:r w:rsidR="00054B1D" w:rsidRPr="00901B2C">
        <w:t xml:space="preserve"> </w:t>
      </w:r>
      <w:r w:rsidRPr="00901B2C">
        <w:t xml:space="preserve">various time points, for patients for whom a questionnaire was </w:t>
      </w:r>
      <w:r w:rsidR="00775109" w:rsidRPr="00901B2C">
        <w:t>‘</w:t>
      </w:r>
      <w:r w:rsidRPr="00901B2C">
        <w:t>expecte</w:t>
      </w:r>
      <w:r w:rsidRPr="00D00D16">
        <w:t>d</w:t>
      </w:r>
      <w:r w:rsidR="00775109" w:rsidRPr="00901B2C">
        <w:t>’</w:t>
      </w:r>
      <w:r w:rsidRPr="00901B2C">
        <w:t xml:space="preserve"> (primarily,</w:t>
      </w:r>
      <w:r w:rsidR="00054B1D" w:rsidRPr="00901B2C">
        <w:t xml:space="preserve"> </w:t>
      </w:r>
      <w:r w:rsidRPr="00901B2C">
        <w:t>patients who had not progressed). These ranged from 10% to 30%, depending on the time</w:t>
      </w:r>
      <w:r w:rsidR="00054B1D" w:rsidRPr="00901B2C">
        <w:t xml:space="preserve"> </w:t>
      </w:r>
      <w:r w:rsidRPr="00901B2C">
        <w:t>point and the questionnaire. If calculated in the same way as B021990, then the</w:t>
      </w:r>
      <w:r w:rsidR="00054B1D" w:rsidRPr="00901B2C">
        <w:t xml:space="preserve"> </w:t>
      </w:r>
      <w:r w:rsidRPr="00901B2C">
        <w:t xml:space="preserve">percentage of </w:t>
      </w:r>
      <w:r w:rsidR="00775109" w:rsidRPr="00901B2C">
        <w:t>‘</w:t>
      </w:r>
      <w:r w:rsidRPr="00901B2C">
        <w:t>missing</w:t>
      </w:r>
      <w:r w:rsidR="00775109" w:rsidRPr="00901B2C">
        <w:t>’</w:t>
      </w:r>
      <w:r w:rsidRPr="00901B2C">
        <w:t xml:space="preserve"> quality-of-life data for RTOG-0825 would likely be similar or</w:t>
      </w:r>
      <w:r w:rsidR="00054B1D" w:rsidRPr="00901B2C">
        <w:t xml:space="preserve"> </w:t>
      </w:r>
      <w:r w:rsidRPr="00901B2C">
        <w:t>higher (</w:t>
      </w:r>
      <w:r w:rsidR="00901B2C">
        <w:t>that is,</w:t>
      </w:r>
      <w:r w:rsidRPr="00901B2C">
        <w:t xml:space="preserve"> 40%</w:t>
      </w:r>
      <w:r w:rsidR="00D74C56">
        <w:t xml:space="preserve"> to </w:t>
      </w:r>
      <w:r w:rsidRPr="00901B2C">
        <w:t>60%) to that in B029910.</w:t>
      </w:r>
    </w:p>
    <w:p w:rsidR="002C6E71" w:rsidRPr="00901B2C" w:rsidRDefault="002C6E71" w:rsidP="00FA6D72">
      <w:r w:rsidRPr="00901B2C">
        <w:t>In the 48</w:t>
      </w:r>
      <w:r w:rsidR="00901B2C">
        <w:t xml:space="preserve"> </w:t>
      </w:r>
      <w:r w:rsidRPr="00901B2C">
        <w:t xml:space="preserve">page letter requesting </w:t>
      </w:r>
      <w:r w:rsidR="00D74C56">
        <w:t xml:space="preserve">a </w:t>
      </w:r>
      <w:r w:rsidRPr="00901B2C">
        <w:t>s</w:t>
      </w:r>
      <w:r w:rsidR="00901B2C">
        <w:t>ection</w:t>
      </w:r>
      <w:r w:rsidRPr="00901B2C">
        <w:t xml:space="preserve"> 60 review</w:t>
      </w:r>
      <w:r w:rsidR="00901B2C">
        <w:t xml:space="preserve"> by the TGA</w:t>
      </w:r>
      <w:r w:rsidRPr="00901B2C">
        <w:t>, the sponsor re-stated their argument that the</w:t>
      </w:r>
      <w:r w:rsidR="00054B1D" w:rsidRPr="00901B2C">
        <w:t xml:space="preserve"> </w:t>
      </w:r>
      <w:r w:rsidRPr="00901B2C">
        <w:t>quality-of-life measurements in B021990 were more valid than those in RTOG-0825 and</w:t>
      </w:r>
      <w:r w:rsidR="00054B1D" w:rsidRPr="00901B2C">
        <w:t xml:space="preserve"> </w:t>
      </w:r>
      <w:r w:rsidRPr="00901B2C">
        <w:t>that direct comparison of the results for quality-of-life from the two trials could not be</w:t>
      </w:r>
      <w:r w:rsidR="00054B1D" w:rsidRPr="00901B2C">
        <w:t xml:space="preserve"> </w:t>
      </w:r>
      <w:r w:rsidRPr="00901B2C">
        <w:t>made because of various differences between the trials.</w:t>
      </w:r>
    </w:p>
    <w:p w:rsidR="002C6E71" w:rsidRPr="00901B2C" w:rsidRDefault="002C6E71" w:rsidP="00FA6D72">
      <w:r w:rsidRPr="00901B2C">
        <w:t>During the s</w:t>
      </w:r>
      <w:r w:rsidR="00901B2C" w:rsidRPr="00901B2C">
        <w:t>ection</w:t>
      </w:r>
      <w:r w:rsidRPr="00901B2C">
        <w:t xml:space="preserve"> 60 review, </w:t>
      </w:r>
      <w:r w:rsidR="00901B2C" w:rsidRPr="00901B2C">
        <w:t xml:space="preserve">the Delegate of the Minister </w:t>
      </w:r>
      <w:r w:rsidRPr="00901B2C">
        <w:t>also noted the comments of Howard Fine in the Editorial in New</w:t>
      </w:r>
      <w:r w:rsidR="00054B1D" w:rsidRPr="00901B2C">
        <w:t xml:space="preserve"> </w:t>
      </w:r>
      <w:r w:rsidRPr="00901B2C">
        <w:t>England</w:t>
      </w:r>
      <w:r w:rsidR="00901B2C" w:rsidRPr="00901B2C">
        <w:t xml:space="preserve"> J</w:t>
      </w:r>
      <w:r w:rsidRPr="00901B2C">
        <w:t>ournal of Medicine (2014;370(8), 64-765). He stated that the difference in</w:t>
      </w:r>
      <w:r w:rsidR="00054B1D" w:rsidRPr="00901B2C">
        <w:t xml:space="preserve"> </w:t>
      </w:r>
      <w:r w:rsidRPr="00901B2C">
        <w:t xml:space="preserve">results for quality-of-life and </w:t>
      </w:r>
      <w:proofErr w:type="spellStart"/>
      <w:r w:rsidRPr="00901B2C">
        <w:t>neuro</w:t>
      </w:r>
      <w:proofErr w:type="spellEnd"/>
      <w:r w:rsidRPr="00901B2C">
        <w:t xml:space="preserve">-cognitive function remains an </w:t>
      </w:r>
      <w:r w:rsidR="00775109" w:rsidRPr="00901B2C">
        <w:t>‘</w:t>
      </w:r>
      <w:r w:rsidRPr="00901B2C">
        <w:t>enigma</w:t>
      </w:r>
      <w:r w:rsidR="00775109" w:rsidRPr="00901B2C">
        <w:t>’</w:t>
      </w:r>
      <w:r w:rsidRPr="00901B2C">
        <w:t xml:space="preserve"> (possibly</w:t>
      </w:r>
      <w:r w:rsidR="00054B1D" w:rsidRPr="00901B2C">
        <w:t xml:space="preserve"> </w:t>
      </w:r>
      <w:r w:rsidRPr="00901B2C">
        <w:t>related to differences in data analysis, loss to follow-up, or surgical resection), but is</w:t>
      </w:r>
      <w:r w:rsidR="00054B1D" w:rsidRPr="00901B2C">
        <w:t xml:space="preserve"> </w:t>
      </w:r>
      <w:r w:rsidR="00775109" w:rsidRPr="00901B2C">
        <w:t>‘</w:t>
      </w:r>
      <w:r w:rsidRPr="00901B2C">
        <w:t>neither trivial nor academic</w:t>
      </w:r>
      <w:r w:rsidR="00775109" w:rsidRPr="00901B2C">
        <w:t>’</w:t>
      </w:r>
      <w:r w:rsidRPr="00901B2C">
        <w:t>. He went on to recommend that the investigators of the</w:t>
      </w:r>
      <w:r w:rsidR="00054B1D" w:rsidRPr="00901B2C">
        <w:t xml:space="preserve"> </w:t>
      </w:r>
      <w:r w:rsidRPr="00901B2C">
        <w:t>RTOG 0825 and B021990 trials should share their raw data with each other and with</w:t>
      </w:r>
      <w:r w:rsidR="00054B1D" w:rsidRPr="00901B2C">
        <w:t xml:space="preserve"> </w:t>
      </w:r>
      <w:r w:rsidRPr="00901B2C">
        <w:t>independent investigators (including regulators) to try to resolve the question of the true</w:t>
      </w:r>
      <w:r w:rsidR="00054B1D" w:rsidRPr="00901B2C">
        <w:t xml:space="preserve"> </w:t>
      </w:r>
      <w:r w:rsidRPr="00901B2C">
        <w:t xml:space="preserve">effects of </w:t>
      </w:r>
      <w:proofErr w:type="spellStart"/>
      <w:r w:rsidR="00166F6A" w:rsidRPr="00901B2C">
        <w:t>bevacizumab</w:t>
      </w:r>
      <w:proofErr w:type="spellEnd"/>
      <w:r w:rsidRPr="00901B2C">
        <w:t xml:space="preserve"> on quality-of-life (in the setting of newly-diagnosed </w:t>
      </w:r>
      <w:proofErr w:type="spellStart"/>
      <w:r w:rsidRPr="00901B2C">
        <w:t>glioblastoma</w:t>
      </w:r>
      <w:proofErr w:type="spellEnd"/>
      <w:r w:rsidRPr="00901B2C">
        <w:t>).</w:t>
      </w:r>
    </w:p>
    <w:p w:rsidR="00D74C56" w:rsidRDefault="002C6E71" w:rsidP="00FA6D72">
      <w:proofErr w:type="gramStart"/>
      <w:r w:rsidRPr="00901B2C">
        <w:t xml:space="preserve">To give this issue due consideration, </w:t>
      </w:r>
      <w:r w:rsidR="00901B2C" w:rsidRPr="00901B2C">
        <w:t>Delegate of the Minister</w:t>
      </w:r>
      <w:r w:rsidRPr="00901B2C">
        <w:t xml:space="preserve"> obtained advice from two</w:t>
      </w:r>
      <w:r w:rsidR="00D74C56">
        <w:t xml:space="preserve"> </w:t>
      </w:r>
      <w:r w:rsidRPr="00901B2C">
        <w:t>experienced,</w:t>
      </w:r>
      <w:r w:rsidR="00054B1D" w:rsidRPr="00901B2C">
        <w:t xml:space="preserve"> </w:t>
      </w:r>
      <w:r w:rsidRPr="00901B2C">
        <w:t>Australian</w:t>
      </w:r>
      <w:r w:rsidR="00054B1D" w:rsidRPr="00901B2C">
        <w:t xml:space="preserve"> </w:t>
      </w:r>
      <w:proofErr w:type="spellStart"/>
      <w:r w:rsidRPr="00901B2C">
        <w:t>neuro</w:t>
      </w:r>
      <w:proofErr w:type="spellEnd"/>
      <w:r w:rsidRPr="00901B2C">
        <w:t>-oncologists, during the s</w:t>
      </w:r>
      <w:r w:rsidR="00901B2C" w:rsidRPr="00901B2C">
        <w:t>ection</w:t>
      </w:r>
      <w:r w:rsidR="00D00D16">
        <w:t xml:space="preserve"> 60 review.</w:t>
      </w:r>
      <w:proofErr w:type="gramEnd"/>
    </w:p>
    <w:p w:rsidR="002C6E71" w:rsidRPr="00901B2C" w:rsidRDefault="002C6E71" w:rsidP="00FA6D72">
      <w:r w:rsidRPr="00901B2C">
        <w:t xml:space="preserve">One </w:t>
      </w:r>
      <w:proofErr w:type="spellStart"/>
      <w:r w:rsidRPr="00901B2C">
        <w:t>neuro</w:t>
      </w:r>
      <w:proofErr w:type="spellEnd"/>
      <w:r w:rsidRPr="00901B2C">
        <w:t>-oncologist advised that the methods used in B021990</w:t>
      </w:r>
      <w:r w:rsidR="00054B1D" w:rsidRPr="00901B2C">
        <w:t xml:space="preserve"> </w:t>
      </w:r>
      <w:r w:rsidRPr="00901B2C">
        <w:t>and</w:t>
      </w:r>
      <w:r w:rsidR="00054B1D" w:rsidRPr="00901B2C">
        <w:t xml:space="preserve"> </w:t>
      </w:r>
      <w:r w:rsidRPr="00901B2C">
        <w:t>RTOG-0825 were different. Specifically, quality-of-life assessments in RTOG-0825 were</w:t>
      </w:r>
      <w:r w:rsidR="00054B1D" w:rsidRPr="00901B2C">
        <w:t xml:space="preserve"> </w:t>
      </w:r>
      <w:r w:rsidRPr="00901B2C">
        <w:t xml:space="preserve">restricted to patients who had not progressed, which could be biased against </w:t>
      </w:r>
      <w:proofErr w:type="spellStart"/>
      <w:r w:rsidR="00166F6A" w:rsidRPr="00901B2C">
        <w:t>bevacizumab</w:t>
      </w:r>
      <w:proofErr w:type="spellEnd"/>
      <w:r w:rsidR="00054B1D" w:rsidRPr="00901B2C">
        <w:t xml:space="preserve"> </w:t>
      </w:r>
      <w:r w:rsidRPr="00901B2C">
        <w:t xml:space="preserve">if there was </w:t>
      </w:r>
      <w:proofErr w:type="spellStart"/>
      <w:r w:rsidR="007F3AD6" w:rsidRPr="00901B2C">
        <w:t>radiological</w:t>
      </w:r>
      <w:r w:rsidR="007F3AD6">
        <w:t>ly</w:t>
      </w:r>
      <w:proofErr w:type="spellEnd"/>
      <w:r w:rsidRPr="00901B2C">
        <w:t xml:space="preserve"> undetected progression (see sub-section on Progression-free</w:t>
      </w:r>
      <w:r w:rsidR="00054B1D" w:rsidRPr="00901B2C">
        <w:t xml:space="preserve"> </w:t>
      </w:r>
      <w:r w:rsidRPr="00901B2C">
        <w:t>survival, below). The expert also pointed out the large amounts of missing data</w:t>
      </w:r>
      <w:r w:rsidR="00901B2C" w:rsidRPr="00901B2C">
        <w:t xml:space="preserve"> </w:t>
      </w:r>
      <w:r w:rsidRPr="00901B2C">
        <w:t>in RTOG-</w:t>
      </w:r>
      <w:r w:rsidR="00054B1D" w:rsidRPr="00901B2C">
        <w:t xml:space="preserve"> </w:t>
      </w:r>
      <w:r w:rsidRPr="00901B2C">
        <w:t>0825.</w:t>
      </w:r>
    </w:p>
    <w:p w:rsidR="002C6E71" w:rsidRPr="00901B2C" w:rsidRDefault="002C6E71" w:rsidP="00FA6D72">
      <w:r w:rsidRPr="00901B2C">
        <w:t xml:space="preserve">The other </w:t>
      </w:r>
      <w:proofErr w:type="spellStart"/>
      <w:r w:rsidRPr="00901B2C">
        <w:t>neuro</w:t>
      </w:r>
      <w:proofErr w:type="spellEnd"/>
      <w:r w:rsidRPr="00901B2C">
        <w:t>-oncologist echoed the Fine Editorial in New England</w:t>
      </w:r>
      <w:r w:rsidR="00054B1D" w:rsidRPr="00901B2C">
        <w:t xml:space="preserve"> </w:t>
      </w:r>
      <w:r w:rsidRPr="00901B2C">
        <w:t>journal of Medicine (2014; 370(8) :764-765) around concerns about inconsistencies in the</w:t>
      </w:r>
      <w:r w:rsidR="00054B1D" w:rsidRPr="00901B2C">
        <w:t xml:space="preserve"> </w:t>
      </w:r>
      <w:r w:rsidRPr="00901B2C">
        <w:t>results for quality-of-life between the two trials, and, in particular, the deterioration in</w:t>
      </w:r>
      <w:r w:rsidR="00054B1D" w:rsidRPr="00901B2C">
        <w:t xml:space="preserve"> </w:t>
      </w:r>
      <w:r w:rsidRPr="00901B2C">
        <w:t>quality-of-life in RTOG-0825.</w:t>
      </w:r>
    </w:p>
    <w:p w:rsidR="002C6E71" w:rsidRPr="00901B2C" w:rsidRDefault="002C6E71" w:rsidP="00FA6D72">
      <w:r w:rsidRPr="00901B2C">
        <w:t>The sponsor provided a 78</w:t>
      </w:r>
      <w:r w:rsidR="00901B2C" w:rsidRPr="00901B2C">
        <w:t xml:space="preserve"> </w:t>
      </w:r>
      <w:r w:rsidRPr="00901B2C">
        <w:t>page response (28 Aug</w:t>
      </w:r>
      <w:r w:rsidR="00D74C56">
        <w:t>ust</w:t>
      </w:r>
      <w:r w:rsidRPr="00901B2C">
        <w:t xml:space="preserve"> 2014) to the </w:t>
      </w:r>
      <w:proofErr w:type="spellStart"/>
      <w:r w:rsidRPr="00901B2C">
        <w:t>neuro</w:t>
      </w:r>
      <w:proofErr w:type="spellEnd"/>
      <w:r w:rsidRPr="00901B2C">
        <w:t>-oncologists' advice</w:t>
      </w:r>
      <w:r w:rsidR="00054B1D" w:rsidRPr="00901B2C">
        <w:t xml:space="preserve"> </w:t>
      </w:r>
      <w:r w:rsidRPr="00901B2C">
        <w:t>on quality of life and other issues (</w:t>
      </w:r>
      <w:r w:rsidR="00901B2C" w:rsidRPr="00901B2C">
        <w:t>for example,</w:t>
      </w:r>
      <w:r w:rsidRPr="00901B2C">
        <w:t xml:space="preserve"> Progression-free survival, Overall </w:t>
      </w:r>
      <w:r w:rsidRPr="00901B2C">
        <w:lastRenderedPageBreak/>
        <w:t>survival; see</w:t>
      </w:r>
      <w:r w:rsidR="00054B1D" w:rsidRPr="00901B2C">
        <w:t xml:space="preserve"> </w:t>
      </w:r>
      <w:r w:rsidRPr="00901B2C">
        <w:t>below). The sponsor restated the case that the quality-of-life measurements in B02</w:t>
      </w:r>
      <w:r w:rsidR="004F7CE4">
        <w:t>1</w:t>
      </w:r>
      <w:r w:rsidRPr="00901B2C">
        <w:t>990</w:t>
      </w:r>
      <w:r w:rsidR="00054B1D" w:rsidRPr="00901B2C">
        <w:t xml:space="preserve"> </w:t>
      </w:r>
      <w:r w:rsidRPr="00901B2C">
        <w:t>were more valid than those in RTOG-0825.</w:t>
      </w:r>
    </w:p>
    <w:p w:rsidR="002C6E71" w:rsidRPr="00901B2C" w:rsidRDefault="002C6E71" w:rsidP="00DE779A">
      <w:pPr>
        <w:pStyle w:val="Heading5"/>
        <w:rPr>
          <w:rFonts w:eastAsiaTheme="minorHAnsi"/>
        </w:rPr>
      </w:pPr>
      <w:r w:rsidRPr="00901B2C">
        <w:rPr>
          <w:rFonts w:eastAsiaTheme="minorHAnsi"/>
        </w:rPr>
        <w:t>Progression</w:t>
      </w:r>
      <w:r w:rsidR="00D74C56">
        <w:rPr>
          <w:rFonts w:eastAsiaTheme="minorHAnsi"/>
        </w:rPr>
        <w:t xml:space="preserve"> </w:t>
      </w:r>
      <w:r w:rsidRPr="00901B2C">
        <w:rPr>
          <w:rFonts w:eastAsiaTheme="minorHAnsi"/>
        </w:rPr>
        <w:t>free survival</w:t>
      </w:r>
    </w:p>
    <w:p w:rsidR="002C6E71" w:rsidRPr="00901B2C" w:rsidRDefault="002C6E71" w:rsidP="00FA6D72">
      <w:r w:rsidRPr="00901B2C">
        <w:t>Measurement of progression-free survival relies on imaging. Although imaging can</w:t>
      </w:r>
      <w:r w:rsidR="00054B1D" w:rsidRPr="00901B2C">
        <w:t xml:space="preserve"> </w:t>
      </w:r>
      <w:r w:rsidRPr="00901B2C">
        <w:t>accurately identify progression for many cancers (</w:t>
      </w:r>
      <w:r w:rsidR="00901B2C" w:rsidRPr="00901B2C">
        <w:t>for example,</w:t>
      </w:r>
      <w:r w:rsidRPr="00901B2C">
        <w:t xml:space="preserve"> colorectal cancer), imaging might</w:t>
      </w:r>
      <w:r w:rsidR="00054B1D" w:rsidRPr="00901B2C">
        <w:t xml:space="preserve"> </w:t>
      </w:r>
      <w:r w:rsidRPr="00901B2C">
        <w:t xml:space="preserve">not accurately identify progression for </w:t>
      </w:r>
      <w:proofErr w:type="spellStart"/>
      <w:r w:rsidRPr="00901B2C">
        <w:t>glioblastoma</w:t>
      </w:r>
      <w:proofErr w:type="spellEnd"/>
      <w:r w:rsidRPr="00901B2C">
        <w:t>; especially in patients treated with</w:t>
      </w:r>
      <w:r w:rsidR="00054B1D" w:rsidRPr="00901B2C">
        <w:t xml:space="preserve"> </w:t>
      </w:r>
      <w:proofErr w:type="spellStart"/>
      <w:r w:rsidR="00166F6A" w:rsidRPr="00901B2C">
        <w:t>bevacizumab</w:t>
      </w:r>
      <w:proofErr w:type="spellEnd"/>
      <w:r w:rsidRPr="00901B2C">
        <w:t>. More specifically, there have been concerns for some time that much of the</w:t>
      </w:r>
      <w:r w:rsidR="00054B1D" w:rsidRPr="00901B2C">
        <w:t xml:space="preserve"> </w:t>
      </w:r>
      <w:r w:rsidRPr="00901B2C">
        <w:t xml:space="preserve">response seen on imaging is due to vascular stabilization </w:t>
      </w:r>
      <w:r w:rsidR="00901B2C" w:rsidRPr="00901B2C">
        <w:t>(</w:t>
      </w:r>
      <w:proofErr w:type="spellStart"/>
      <w:r w:rsidR="00166F6A" w:rsidRPr="00901B2C">
        <w:t>bevacizumab</w:t>
      </w:r>
      <w:proofErr w:type="spellEnd"/>
      <w:r w:rsidRPr="00901B2C">
        <w:t xml:space="preserve"> is an angiogenesis</w:t>
      </w:r>
      <w:r w:rsidR="00054B1D" w:rsidRPr="00901B2C">
        <w:t xml:space="preserve"> </w:t>
      </w:r>
      <w:r w:rsidRPr="00901B2C">
        <w:t>inhibitor) rather than a true antitumor effect (</w:t>
      </w:r>
      <w:r w:rsidR="00901B2C" w:rsidRPr="00901B2C">
        <w:t>for example,</w:t>
      </w:r>
      <w:r w:rsidRPr="00901B2C">
        <w:t xml:space="preserve"> this issue is discussed in the Howard</w:t>
      </w:r>
      <w:r w:rsidR="00054B1D" w:rsidRPr="00901B2C">
        <w:t xml:space="preserve"> </w:t>
      </w:r>
      <w:r w:rsidRPr="00901B2C">
        <w:t>fine Editorial.</w:t>
      </w:r>
      <w:r w:rsidR="00D74C56">
        <w:rPr>
          <w:rStyle w:val="FootnoteReference"/>
        </w:rPr>
        <w:footnoteReference w:id="21"/>
      </w:r>
    </w:p>
    <w:p w:rsidR="002C6E71" w:rsidRPr="00901B2C" w:rsidRDefault="002C6E71" w:rsidP="00FA6D72">
      <w:r w:rsidRPr="00901B2C">
        <w:t xml:space="preserve">Both of the experienced, Australian </w:t>
      </w:r>
      <w:proofErr w:type="spellStart"/>
      <w:r w:rsidRPr="00901B2C">
        <w:t>neuro</w:t>
      </w:r>
      <w:proofErr w:type="spellEnd"/>
      <w:r w:rsidRPr="00901B2C">
        <w:t>-oncologists acknowledged the difficulties in</w:t>
      </w:r>
      <w:r w:rsidR="00054B1D" w:rsidRPr="00901B2C">
        <w:t xml:space="preserve"> </w:t>
      </w:r>
      <w:r w:rsidRPr="00901B2C">
        <w:t xml:space="preserve">measuring progression on imaging for </w:t>
      </w:r>
      <w:proofErr w:type="spellStart"/>
      <w:r w:rsidRPr="00901B2C">
        <w:t>glioblastoma</w:t>
      </w:r>
      <w:proofErr w:type="spellEnd"/>
      <w:r w:rsidRPr="00901B2C">
        <w:t xml:space="preserve">. For example, one of the </w:t>
      </w:r>
      <w:proofErr w:type="spellStart"/>
      <w:r w:rsidR="00054B1D" w:rsidRPr="00901B2C">
        <w:t>neuro</w:t>
      </w:r>
      <w:proofErr w:type="spellEnd"/>
      <w:r w:rsidR="00901B2C" w:rsidRPr="00901B2C">
        <w:t>-on</w:t>
      </w:r>
      <w:r w:rsidRPr="00901B2C">
        <w:t xml:space="preserve">cologists stated that, </w:t>
      </w:r>
      <w:r w:rsidR="00775109" w:rsidRPr="00901B2C">
        <w:t>‘</w:t>
      </w:r>
      <w:r w:rsidRPr="00D74C56">
        <w:rPr>
          <w:i/>
        </w:rPr>
        <w:t>It can be difficult to distinguish extent of disease, response to</w:t>
      </w:r>
      <w:r w:rsidR="00054B1D" w:rsidRPr="00D74C56">
        <w:rPr>
          <w:i/>
        </w:rPr>
        <w:t xml:space="preserve"> </w:t>
      </w:r>
      <w:r w:rsidRPr="00D74C56">
        <w:rPr>
          <w:i/>
        </w:rPr>
        <w:t>treatment, and to distinguish true progressive disease from pseudo-progression</w:t>
      </w:r>
      <w:r w:rsidRPr="00901B2C">
        <w:t xml:space="preserve"> ...</w:t>
      </w:r>
      <w:r w:rsidR="00775109" w:rsidRPr="00901B2C">
        <w:t>’</w:t>
      </w:r>
      <w:r w:rsidRPr="00901B2C">
        <w:t xml:space="preserve"> in</w:t>
      </w:r>
      <w:r w:rsidR="00901B2C" w:rsidRPr="00901B2C">
        <w:t xml:space="preserve"> </w:t>
      </w:r>
      <w:proofErr w:type="spellStart"/>
      <w:r w:rsidRPr="00901B2C">
        <w:t>glioblastoma</w:t>
      </w:r>
      <w:proofErr w:type="spellEnd"/>
      <w:r w:rsidRPr="00901B2C">
        <w:t xml:space="preserve"> patients.</w:t>
      </w:r>
    </w:p>
    <w:p w:rsidR="002C6E71" w:rsidRPr="00901B2C" w:rsidRDefault="002C6E71" w:rsidP="00D74C56">
      <w:pPr>
        <w:rPr>
          <w:rFonts w:eastAsiaTheme="minorHAnsi"/>
        </w:rPr>
      </w:pPr>
      <w:r w:rsidRPr="00901B2C">
        <w:t>In their response (28 Aug</w:t>
      </w:r>
      <w:r w:rsidR="00D74C56">
        <w:t>ust</w:t>
      </w:r>
      <w:r w:rsidRPr="00901B2C">
        <w:t xml:space="preserve"> 2014), the sponsor re-stated their view that B021990 included</w:t>
      </w:r>
      <w:r w:rsidR="00054B1D" w:rsidRPr="00901B2C">
        <w:t xml:space="preserve"> </w:t>
      </w:r>
      <w:r w:rsidRPr="00901B2C">
        <w:t>several strategies to minimise the possibility of incorrectly interpreting the imaging. This</w:t>
      </w:r>
      <w:r w:rsidR="00054B1D" w:rsidRPr="00901B2C">
        <w:t xml:space="preserve"> </w:t>
      </w:r>
      <w:r w:rsidRPr="00901B2C">
        <w:t>view had been previously provided in the s</w:t>
      </w:r>
      <w:r w:rsidR="00901B2C" w:rsidRPr="00901B2C">
        <w:t>ec</w:t>
      </w:r>
      <w:r w:rsidR="00D74C56">
        <w:t>t</w:t>
      </w:r>
      <w:r w:rsidR="00901B2C" w:rsidRPr="00901B2C">
        <w:t>ion</w:t>
      </w:r>
      <w:r w:rsidRPr="00901B2C">
        <w:t xml:space="preserve"> 31 response, the pre-ACPM response and the</w:t>
      </w:r>
      <w:r w:rsidR="00054B1D" w:rsidRPr="00901B2C">
        <w:t xml:space="preserve"> </w:t>
      </w:r>
      <w:r w:rsidRPr="00901B2C">
        <w:t>s</w:t>
      </w:r>
      <w:r w:rsidR="00901B2C" w:rsidRPr="00901B2C">
        <w:t>ection</w:t>
      </w:r>
      <w:r w:rsidRPr="00901B2C">
        <w:t xml:space="preserve"> 60 appeal</w:t>
      </w:r>
      <w:r w:rsidR="00901B2C" w:rsidRPr="00901B2C">
        <w:t xml:space="preserve"> </w:t>
      </w:r>
      <w:r w:rsidRPr="00901B2C">
        <w:t xml:space="preserve">letter. Briefly, the sponsor's </w:t>
      </w:r>
      <w:r w:rsidR="00D74C56">
        <w:t>S</w:t>
      </w:r>
      <w:r w:rsidRPr="00901B2C">
        <w:t>tudy B021990 included assessment of non</w:t>
      </w:r>
      <w:r w:rsidR="00901B2C" w:rsidRPr="00901B2C">
        <w:t>-</w:t>
      </w:r>
      <w:r w:rsidRPr="00901B2C">
        <w:t>enhancing</w:t>
      </w:r>
      <w:r w:rsidR="00054B1D" w:rsidRPr="00901B2C">
        <w:t xml:space="preserve"> </w:t>
      </w:r>
      <w:r w:rsidRPr="00901B2C">
        <w:t>tumour components and the progression endpoint included glucocorticoid use.</w:t>
      </w:r>
      <w:r w:rsidR="00D74C56">
        <w:t xml:space="preserve"> </w:t>
      </w:r>
      <w:r w:rsidR="00D74C56">
        <w:rPr>
          <w:rFonts w:eastAsiaTheme="minorHAnsi"/>
        </w:rPr>
        <w:t>RTOG-0825 used the Mc</w:t>
      </w:r>
      <w:r w:rsidRPr="00901B2C">
        <w:rPr>
          <w:rFonts w:eastAsiaTheme="minorHAnsi"/>
        </w:rPr>
        <w:t>Donald criteria.</w:t>
      </w:r>
    </w:p>
    <w:p w:rsidR="002C6E71" w:rsidRPr="00A8403F" w:rsidRDefault="00901B2C" w:rsidP="00FA6D72">
      <w:r>
        <w:t xml:space="preserve">The Delegate of the </w:t>
      </w:r>
      <w:r w:rsidRPr="00A8403F">
        <w:t xml:space="preserve">Minister </w:t>
      </w:r>
      <w:r w:rsidR="002C6E71" w:rsidRPr="00A8403F">
        <w:t>also noted the comments of Howard Fine</w:t>
      </w:r>
      <w:r w:rsidR="00D74C56">
        <w:rPr>
          <w:rStyle w:val="FootnoteReference"/>
        </w:rPr>
        <w:footnoteReference w:id="22"/>
      </w:r>
      <w:r w:rsidR="002C6E71" w:rsidRPr="00A8403F">
        <w:t xml:space="preserve">. He stated, </w:t>
      </w:r>
      <w:r w:rsidR="00775109" w:rsidRPr="00D74C56">
        <w:rPr>
          <w:i/>
        </w:rPr>
        <w:t>‘</w:t>
      </w:r>
      <w:r w:rsidR="002C6E71" w:rsidRPr="00D74C56">
        <w:rPr>
          <w:i/>
        </w:rPr>
        <w:t>new and robust</w:t>
      </w:r>
      <w:r w:rsidRPr="00D74C56">
        <w:rPr>
          <w:i/>
        </w:rPr>
        <w:t xml:space="preserve"> </w:t>
      </w:r>
      <w:r w:rsidR="002C6E71" w:rsidRPr="00D74C56">
        <w:rPr>
          <w:i/>
        </w:rPr>
        <w:t>imaging and clinical end</w:t>
      </w:r>
      <w:r w:rsidR="00054B1D" w:rsidRPr="00D74C56">
        <w:rPr>
          <w:i/>
        </w:rPr>
        <w:t xml:space="preserve"> </w:t>
      </w:r>
      <w:r w:rsidR="002C6E71" w:rsidRPr="00D74C56">
        <w:rPr>
          <w:i/>
        </w:rPr>
        <w:t xml:space="preserve">points need to be identified and incorporated into future clinical trials of </w:t>
      </w:r>
      <w:proofErr w:type="spellStart"/>
      <w:r w:rsidR="002C6E71" w:rsidRPr="00D74C56">
        <w:rPr>
          <w:i/>
        </w:rPr>
        <w:t>gliomas</w:t>
      </w:r>
      <w:proofErr w:type="spellEnd"/>
      <w:r w:rsidR="002C6E71" w:rsidRPr="00D74C56">
        <w:rPr>
          <w:i/>
        </w:rPr>
        <w:t>, given</w:t>
      </w:r>
      <w:r w:rsidR="00054B1D" w:rsidRPr="00D74C56">
        <w:rPr>
          <w:i/>
        </w:rPr>
        <w:t xml:space="preserve"> </w:t>
      </w:r>
      <w:r w:rsidR="002C6E71" w:rsidRPr="00D74C56">
        <w:rPr>
          <w:i/>
        </w:rPr>
        <w:t>the complex effects of anti-VEGF agents on the images obtained with the use of routine</w:t>
      </w:r>
      <w:r w:rsidR="00054B1D" w:rsidRPr="00D74C56">
        <w:rPr>
          <w:i/>
        </w:rPr>
        <w:t xml:space="preserve"> </w:t>
      </w:r>
      <w:r w:rsidR="002C6E71" w:rsidRPr="00D74C56">
        <w:rPr>
          <w:i/>
        </w:rPr>
        <w:t>MRI and the questionable usefulness of our current patient-reported outcomes, as</w:t>
      </w:r>
      <w:r w:rsidR="00054B1D" w:rsidRPr="00D74C56">
        <w:rPr>
          <w:i/>
        </w:rPr>
        <w:t xml:space="preserve"> </w:t>
      </w:r>
      <w:r w:rsidR="002C6E71" w:rsidRPr="00D74C56">
        <w:rPr>
          <w:i/>
        </w:rPr>
        <w:t xml:space="preserve">exemplified by the RTOG-0825 and </w:t>
      </w:r>
      <w:proofErr w:type="spellStart"/>
      <w:r w:rsidR="002C6E71" w:rsidRPr="00D74C56">
        <w:rPr>
          <w:i/>
        </w:rPr>
        <w:t>AVAglio</w:t>
      </w:r>
      <w:proofErr w:type="spellEnd"/>
      <w:r w:rsidR="002C6E71" w:rsidRPr="00D74C56">
        <w:rPr>
          <w:i/>
        </w:rPr>
        <w:t xml:space="preserve"> </w:t>
      </w:r>
      <w:r w:rsidR="00D74C56">
        <w:rPr>
          <w:i/>
        </w:rPr>
        <w:t>(</w:t>
      </w:r>
      <w:proofErr w:type="spellStart"/>
      <w:r w:rsidR="002C6E71" w:rsidRPr="00D74C56">
        <w:rPr>
          <w:i/>
        </w:rPr>
        <w:t>ie</w:t>
      </w:r>
      <w:proofErr w:type="spellEnd"/>
      <w:r w:rsidR="002C6E71" w:rsidRPr="00D74C56">
        <w:rPr>
          <w:i/>
        </w:rPr>
        <w:t>. B0219901</w:t>
      </w:r>
      <w:r w:rsidR="00D74C56">
        <w:rPr>
          <w:i/>
        </w:rPr>
        <w:t>)</w:t>
      </w:r>
      <w:r w:rsidR="002C6E71" w:rsidRPr="00D74C56">
        <w:rPr>
          <w:i/>
        </w:rPr>
        <w:t xml:space="preserve"> trials</w:t>
      </w:r>
      <w:r w:rsidR="00775109" w:rsidRPr="00A8403F">
        <w:t>’</w:t>
      </w:r>
      <w:r w:rsidR="002C6E71" w:rsidRPr="00A8403F">
        <w:t>.</w:t>
      </w:r>
    </w:p>
    <w:p w:rsidR="002C6E71" w:rsidRPr="00A8403F" w:rsidRDefault="002C6E71" w:rsidP="00DE779A">
      <w:pPr>
        <w:pStyle w:val="Heading5"/>
        <w:rPr>
          <w:rFonts w:eastAsiaTheme="minorHAnsi"/>
        </w:rPr>
      </w:pPr>
      <w:r w:rsidRPr="00A8403F">
        <w:rPr>
          <w:rFonts w:eastAsiaTheme="minorHAnsi"/>
        </w:rPr>
        <w:t>Overall</w:t>
      </w:r>
      <w:r w:rsidR="00901B2C" w:rsidRPr="00A8403F">
        <w:t xml:space="preserve"> </w:t>
      </w:r>
      <w:r w:rsidRPr="00DE779A">
        <w:rPr>
          <w:rFonts w:eastAsiaTheme="minorHAnsi"/>
        </w:rPr>
        <w:t>surviv</w:t>
      </w:r>
      <w:r w:rsidR="00901B2C" w:rsidRPr="00DE779A">
        <w:t>a</w:t>
      </w:r>
      <w:r w:rsidRPr="00DE779A">
        <w:rPr>
          <w:rFonts w:eastAsiaTheme="minorHAnsi"/>
        </w:rPr>
        <w:t>l</w:t>
      </w:r>
    </w:p>
    <w:p w:rsidR="002C6E71" w:rsidRPr="00A8403F" w:rsidRDefault="002C6E71" w:rsidP="00FA6D72">
      <w:r w:rsidRPr="00A8403F">
        <w:t>Both B02</w:t>
      </w:r>
      <w:r w:rsidR="004F7CE4">
        <w:t>1</w:t>
      </w:r>
      <w:r w:rsidRPr="00A8403F">
        <w:t>990 and RTOG-0825 allowed patients in the placebo arm to switch to</w:t>
      </w:r>
      <w:r w:rsidR="00901B2C" w:rsidRPr="00A8403F">
        <w:t xml:space="preserve"> </w:t>
      </w:r>
      <w:proofErr w:type="spellStart"/>
      <w:r w:rsidR="00166F6A" w:rsidRPr="00A8403F">
        <w:t>bevacizumab</w:t>
      </w:r>
      <w:proofErr w:type="spellEnd"/>
      <w:r w:rsidRPr="00A8403F">
        <w:t xml:space="preserve"> on progression. This has become r</w:t>
      </w:r>
      <w:r w:rsidR="00901B2C" w:rsidRPr="00A8403F">
        <w:t>elatively common-place in Phase III</w:t>
      </w:r>
      <w:r w:rsidRPr="00A8403F">
        <w:t xml:space="preserve"> trials</w:t>
      </w:r>
      <w:r w:rsidR="00054B1D" w:rsidRPr="00A8403F">
        <w:t xml:space="preserve"> </w:t>
      </w:r>
      <w:r w:rsidRPr="00A8403F">
        <w:t>for rapidly-progressing cancers.</w:t>
      </w:r>
    </w:p>
    <w:p w:rsidR="002C6E71" w:rsidRPr="00A8403F" w:rsidRDefault="002C6E71" w:rsidP="00FA6D72">
      <w:r w:rsidRPr="00A8403F">
        <w:t>In bot</w:t>
      </w:r>
      <w:r w:rsidR="00054B1D" w:rsidRPr="00A8403F">
        <w:t>h</w:t>
      </w:r>
      <w:r w:rsidRPr="00A8403F">
        <w:t xml:space="preserve"> B02</w:t>
      </w:r>
      <w:r w:rsidR="004F7CE4">
        <w:t>1</w:t>
      </w:r>
      <w:r w:rsidRPr="00A8403F">
        <w:t>990 and RTOG-0825, some patients (</w:t>
      </w:r>
      <w:r w:rsidR="00A8403F" w:rsidRPr="00A8403F">
        <w:t xml:space="preserve">approximately </w:t>
      </w:r>
      <w:r w:rsidRPr="00A8403F">
        <w:t>50%) chose not to have any further</w:t>
      </w:r>
      <w:r w:rsidR="00054B1D" w:rsidRPr="00A8403F">
        <w:t xml:space="preserve"> </w:t>
      </w:r>
      <w:r w:rsidRPr="00A8403F">
        <w:t xml:space="preserve">treatment or were too sick to switch to </w:t>
      </w:r>
      <w:proofErr w:type="spellStart"/>
      <w:r w:rsidR="00166F6A" w:rsidRPr="00A8403F">
        <w:t>bevacizumab</w:t>
      </w:r>
      <w:proofErr w:type="spellEnd"/>
      <w:r w:rsidRPr="00A8403F">
        <w:t>. Nevertheless, such trials, with</w:t>
      </w:r>
      <w:r w:rsidR="00054B1D" w:rsidRPr="00A8403F">
        <w:t xml:space="preserve"> </w:t>
      </w:r>
      <w:r w:rsidRPr="00A8403F">
        <w:t>switching, represent a pragmatic, real-world comparison of the strategy of treating newly</w:t>
      </w:r>
      <w:r w:rsidR="00054B1D" w:rsidRPr="00A8403F">
        <w:t xml:space="preserve"> </w:t>
      </w:r>
      <w:r w:rsidRPr="00A8403F">
        <w:t>diagnosed</w:t>
      </w:r>
      <w:r w:rsidR="00054B1D" w:rsidRPr="00A8403F">
        <w:t xml:space="preserve"> </w:t>
      </w:r>
      <w:r w:rsidRPr="00A8403F">
        <w:t xml:space="preserve">patients with </w:t>
      </w:r>
      <w:proofErr w:type="spellStart"/>
      <w:r w:rsidR="00166F6A" w:rsidRPr="00A8403F">
        <w:t>bevacizumab</w:t>
      </w:r>
      <w:proofErr w:type="spellEnd"/>
      <w:r w:rsidRPr="00A8403F">
        <w:t xml:space="preserve"> versus the strategy of waiting and offering</w:t>
      </w:r>
      <w:r w:rsidR="00A8403F" w:rsidRPr="00A8403F">
        <w:t xml:space="preserve"> </w:t>
      </w:r>
      <w:proofErr w:type="spellStart"/>
      <w:r w:rsidR="00166F6A" w:rsidRPr="00A8403F">
        <w:t>bevacizumab</w:t>
      </w:r>
      <w:proofErr w:type="spellEnd"/>
      <w:r w:rsidRPr="00A8403F">
        <w:t xml:space="preserve"> to patients on relapse or progression (the currently registered indication); in</w:t>
      </w:r>
      <w:r w:rsidR="00054B1D" w:rsidRPr="00A8403F">
        <w:t xml:space="preserve"> </w:t>
      </w:r>
      <w:r w:rsidRPr="00A8403F">
        <w:t>the knowledge that not all patients, by the time they progress, will be suitable for</w:t>
      </w:r>
      <w:r w:rsidR="00A8403F" w:rsidRPr="00A8403F">
        <w:t xml:space="preserve"> </w:t>
      </w:r>
      <w:proofErr w:type="spellStart"/>
      <w:r w:rsidR="00166F6A" w:rsidRPr="00A8403F">
        <w:t>bevacizumab</w:t>
      </w:r>
      <w:proofErr w:type="spellEnd"/>
      <w:r w:rsidRPr="00A8403F">
        <w:t xml:space="preserve"> or will decide to have </w:t>
      </w:r>
      <w:proofErr w:type="spellStart"/>
      <w:r w:rsidR="00166F6A" w:rsidRPr="00A8403F">
        <w:t>bevacizumab</w:t>
      </w:r>
      <w:proofErr w:type="spellEnd"/>
      <w:r w:rsidRPr="00A8403F">
        <w:t>. The sponsor's contention that</w:t>
      </w:r>
      <w:r w:rsidR="00054B1D" w:rsidRPr="00A8403F">
        <w:t xml:space="preserve"> </w:t>
      </w:r>
      <w:r w:rsidRPr="00A8403F">
        <w:t>either of</w:t>
      </w:r>
      <w:r w:rsidR="00D74C56">
        <w:t xml:space="preserve"> </w:t>
      </w:r>
      <w:r w:rsidRPr="00A8403F">
        <w:t xml:space="preserve">the trials was designed to assess whether </w:t>
      </w:r>
      <w:proofErr w:type="spellStart"/>
      <w:r w:rsidR="00166F6A" w:rsidRPr="00A8403F">
        <w:t>bevacizumab</w:t>
      </w:r>
      <w:proofErr w:type="spellEnd"/>
      <w:r w:rsidRPr="00A8403F">
        <w:t xml:space="preserve"> should be given early or late</w:t>
      </w:r>
      <w:r w:rsidR="00A8403F" w:rsidRPr="00A8403F">
        <w:t xml:space="preserve"> </w:t>
      </w:r>
      <w:r w:rsidRPr="00A8403F">
        <w:t>(sponsor's response of 28 Aug</w:t>
      </w:r>
      <w:r w:rsidR="00D74C56">
        <w:t>ust</w:t>
      </w:r>
      <w:r w:rsidRPr="00A8403F">
        <w:t xml:space="preserve"> 2014) has been noted.</w:t>
      </w:r>
    </w:p>
    <w:p w:rsidR="002C6E71" w:rsidRPr="00222A0F" w:rsidRDefault="002C6E71" w:rsidP="00FA6D72">
      <w:r w:rsidRPr="00A8403F">
        <w:t>Both trials showed no benefit for overall survival: the difference-in-median overall</w:t>
      </w:r>
      <w:r w:rsidR="00054B1D" w:rsidRPr="00A8403F">
        <w:t xml:space="preserve"> </w:t>
      </w:r>
      <w:r w:rsidRPr="00A8403F">
        <w:t xml:space="preserve">survival for study B021900 was 0.1 months and RTOG-0825 </w:t>
      </w:r>
      <w:r w:rsidRPr="00222A0F">
        <w:t>was -0.4 months (see table,</w:t>
      </w:r>
      <w:r w:rsidR="00054B1D" w:rsidRPr="00222A0F">
        <w:t xml:space="preserve"> </w:t>
      </w:r>
      <w:r w:rsidRPr="00222A0F">
        <w:t>above).</w:t>
      </w:r>
    </w:p>
    <w:p w:rsidR="002C6E71" w:rsidRPr="00222A0F" w:rsidRDefault="002C6E71" w:rsidP="00FA6D72">
      <w:r w:rsidRPr="00222A0F">
        <w:t>The sponsor's post</w:t>
      </w:r>
      <w:r w:rsidR="00A8403F" w:rsidRPr="00222A0F">
        <w:t xml:space="preserve"> </w:t>
      </w:r>
      <w:r w:rsidRPr="00222A0F">
        <w:t>hoc subgroup analysis of overall survival for patients who did not</w:t>
      </w:r>
      <w:r w:rsidR="00054B1D" w:rsidRPr="00222A0F">
        <w:t xml:space="preserve"> </w:t>
      </w:r>
      <w:r w:rsidRPr="00222A0F">
        <w:t>switch (included with the s</w:t>
      </w:r>
      <w:r w:rsidR="00A8403F" w:rsidRPr="00222A0F">
        <w:t>ection</w:t>
      </w:r>
      <w:r w:rsidRPr="00222A0F">
        <w:t xml:space="preserve"> 60 appeal letter) has been noted. On evidence-rating scales</w:t>
      </w:r>
      <w:r w:rsidR="00054B1D" w:rsidRPr="00222A0F">
        <w:t xml:space="preserve"> </w:t>
      </w:r>
      <w:r w:rsidRPr="00222A0F">
        <w:t>(</w:t>
      </w:r>
      <w:r w:rsidR="00A8403F" w:rsidRPr="00222A0F">
        <w:t>such as</w:t>
      </w:r>
      <w:r w:rsidRPr="00222A0F">
        <w:t xml:space="preserve"> GRADE) this would be considered very low quality evidence in support of </w:t>
      </w:r>
      <w:r w:rsidRPr="00222A0F">
        <w:lastRenderedPageBreak/>
        <w:t>efficacy,</w:t>
      </w:r>
      <w:r w:rsidR="00054B1D" w:rsidRPr="00222A0F">
        <w:t xml:space="preserve"> </w:t>
      </w:r>
      <w:r w:rsidRPr="00222A0F">
        <w:t>given that, in such analyses, the benefits of randomisation (to ensure internal validity) are</w:t>
      </w:r>
      <w:r w:rsidR="00054B1D" w:rsidRPr="00222A0F">
        <w:t xml:space="preserve"> </w:t>
      </w:r>
      <w:r w:rsidRPr="00222A0F">
        <w:t>lost.</w:t>
      </w:r>
    </w:p>
    <w:p w:rsidR="002C6E71" w:rsidRPr="00222A0F" w:rsidRDefault="002C6E71" w:rsidP="00DB1C93">
      <w:pPr>
        <w:pStyle w:val="Heading5"/>
      </w:pPr>
      <w:r w:rsidRPr="00DB1C93">
        <w:t>Safety</w:t>
      </w:r>
    </w:p>
    <w:p w:rsidR="002C6E71" w:rsidRPr="00FA6D72" w:rsidRDefault="002C6E71" w:rsidP="00FA6D72">
      <w:r w:rsidRPr="00222A0F">
        <w:t xml:space="preserve">The safety problems associated with </w:t>
      </w:r>
      <w:proofErr w:type="spellStart"/>
      <w:r w:rsidR="00166F6A" w:rsidRPr="00222A0F">
        <w:t>bevacizumab</w:t>
      </w:r>
      <w:proofErr w:type="spellEnd"/>
      <w:r w:rsidRPr="00222A0F">
        <w:t xml:space="preserve"> are well-known after many years of use</w:t>
      </w:r>
      <w:r w:rsidR="00054B1D" w:rsidRPr="00222A0F">
        <w:t xml:space="preserve"> </w:t>
      </w:r>
      <w:r w:rsidRPr="00222A0F">
        <w:t xml:space="preserve">in other cancers and also use in relapsed/progressed </w:t>
      </w:r>
      <w:proofErr w:type="spellStart"/>
      <w:r w:rsidRPr="00222A0F">
        <w:t>glioblastoma</w:t>
      </w:r>
      <w:proofErr w:type="spellEnd"/>
      <w:r w:rsidRPr="00222A0F">
        <w:t>. These include</w:t>
      </w:r>
      <w:r w:rsidR="00054B1D" w:rsidRPr="00222A0F">
        <w:t xml:space="preserve"> </w:t>
      </w:r>
      <w:r w:rsidRPr="00222A0F">
        <w:t>increased risk of neutropenia, serious haemorrhage, wound dehiscence and</w:t>
      </w:r>
      <w:r w:rsidR="00054B1D" w:rsidRPr="00222A0F">
        <w:t xml:space="preserve"> </w:t>
      </w:r>
      <w:r w:rsidRPr="00222A0F">
        <w:t>gastrointestinal perforation. In terms of safety, there were no unexpected results from</w:t>
      </w:r>
      <w:r w:rsidR="00054B1D" w:rsidRPr="00222A0F">
        <w:t xml:space="preserve"> </w:t>
      </w:r>
      <w:r w:rsidRPr="00222A0F">
        <w:t>B029910 or RTOG-0825 (see table, above).</w:t>
      </w:r>
    </w:p>
    <w:p w:rsidR="002C6E71" w:rsidRPr="00FA6D72" w:rsidRDefault="00D74C56" w:rsidP="00D74C56">
      <w:pPr>
        <w:pStyle w:val="Heading4"/>
      </w:pPr>
      <w:r>
        <w:t>Delegate’s r</w:t>
      </w:r>
      <w:r w:rsidR="002C6E71" w:rsidRPr="00FA6D72">
        <w:t>easons</w:t>
      </w:r>
    </w:p>
    <w:p w:rsidR="002C6E71" w:rsidRPr="00FA6D72" w:rsidRDefault="002C6E71" w:rsidP="00FA6D72">
      <w:proofErr w:type="spellStart"/>
      <w:r w:rsidRPr="00FA6D72">
        <w:t>G</w:t>
      </w:r>
      <w:r w:rsidR="00D74C56">
        <w:t>li</w:t>
      </w:r>
      <w:r w:rsidRPr="00FA6D72">
        <w:t>oblastoma</w:t>
      </w:r>
      <w:proofErr w:type="spellEnd"/>
      <w:r w:rsidRPr="00FA6D72">
        <w:t xml:space="preserve"> is one of the most rapidly fatal cancers and better treatments are</w:t>
      </w:r>
      <w:r w:rsidR="00054B1D" w:rsidRPr="00FA6D72">
        <w:t xml:space="preserve"> </w:t>
      </w:r>
      <w:r w:rsidRPr="00FA6D72">
        <w:t>desperately needed. The Phase</w:t>
      </w:r>
      <w:r w:rsidR="00A8403F">
        <w:t xml:space="preserve"> III</w:t>
      </w:r>
      <w:r w:rsidRPr="00FA6D72">
        <w:t xml:space="preserve"> trials, B02</w:t>
      </w:r>
      <w:r w:rsidR="004F7CE4">
        <w:t>1</w:t>
      </w:r>
      <w:r w:rsidRPr="00FA6D72">
        <w:t>990 and RTOG-0825, were both</w:t>
      </w:r>
      <w:r w:rsidR="00054B1D" w:rsidRPr="00FA6D72">
        <w:t xml:space="preserve"> </w:t>
      </w:r>
      <w:r w:rsidRPr="00FA6D72">
        <w:t>conducted</w:t>
      </w:r>
      <w:r w:rsidR="00054B1D" w:rsidRPr="00FA6D72">
        <w:t xml:space="preserve"> </w:t>
      </w:r>
      <w:r w:rsidRPr="00FA6D72">
        <w:t>by competent research groups and according to recognised standards for trials of patients</w:t>
      </w:r>
      <w:r w:rsidR="00054B1D" w:rsidRPr="00FA6D72">
        <w:t xml:space="preserve"> </w:t>
      </w:r>
      <w:r w:rsidRPr="00FA6D72">
        <w:t>with such rapidly</w:t>
      </w:r>
      <w:r w:rsidR="00A8403F">
        <w:t xml:space="preserve"> </w:t>
      </w:r>
      <w:r w:rsidRPr="00FA6D72">
        <w:t xml:space="preserve">fatal cancers. </w:t>
      </w:r>
      <w:r w:rsidR="00A8403F">
        <w:t>Delegate of the Minister</w:t>
      </w:r>
      <w:r w:rsidRPr="00FA6D72">
        <w:t xml:space="preserve"> have noted the sponsor's arguments that their trial,</w:t>
      </w:r>
      <w:r w:rsidR="00054B1D" w:rsidRPr="00FA6D72">
        <w:t xml:space="preserve"> </w:t>
      </w:r>
      <w:r w:rsidRPr="00FA6D72">
        <w:t>B02</w:t>
      </w:r>
      <w:r w:rsidR="004F7CE4">
        <w:t>1</w:t>
      </w:r>
      <w:r w:rsidRPr="00FA6D72">
        <w:t>990, has advantages in terms of design and methods over RTOG-0825. However, in</w:t>
      </w:r>
      <w:r w:rsidR="00054B1D" w:rsidRPr="00FA6D72">
        <w:t xml:space="preserve"> </w:t>
      </w:r>
      <w:r w:rsidR="00A8403F">
        <w:t>the Delegate of the Minister’s</w:t>
      </w:r>
      <w:r w:rsidRPr="00FA6D72">
        <w:t xml:space="preserve"> view, any advantages are in terms of internal validity are unproven and </w:t>
      </w:r>
      <w:r w:rsidR="00A8403F">
        <w:t xml:space="preserve">Delegate of the Minister </w:t>
      </w:r>
      <w:r w:rsidRPr="00FA6D72">
        <w:t>consider</w:t>
      </w:r>
      <w:r w:rsidR="00A8403F">
        <w:t>s</w:t>
      </w:r>
      <w:r w:rsidRPr="00FA6D72">
        <w:t xml:space="preserve"> that</w:t>
      </w:r>
      <w:r w:rsidR="00054B1D" w:rsidRPr="00FA6D72">
        <w:t xml:space="preserve"> </w:t>
      </w:r>
      <w:r w:rsidRPr="00FA6D72">
        <w:t>both research groups are competent and experienced.</w:t>
      </w:r>
    </w:p>
    <w:p w:rsidR="002C6E71" w:rsidRPr="00FA6D72" w:rsidRDefault="00A8403F" w:rsidP="00FA6D72">
      <w:r>
        <w:t>The Delegate of the Minister</w:t>
      </w:r>
      <w:r w:rsidR="002C6E71" w:rsidRPr="00FA6D72">
        <w:t xml:space="preserve"> decided to confirm the initial decision not to approve the application because the</w:t>
      </w:r>
      <w:r w:rsidR="00054B1D" w:rsidRPr="00FA6D72">
        <w:t xml:space="preserve"> </w:t>
      </w:r>
      <w:r w:rsidR="002C6E71" w:rsidRPr="00FA6D72">
        <w:t>results for progression-free survival, quality-of-life and overall survival, from the two</w:t>
      </w:r>
      <w:r w:rsidR="00054B1D" w:rsidRPr="00FA6D72">
        <w:t xml:space="preserve"> </w:t>
      </w:r>
      <w:r w:rsidR="002C6E71" w:rsidRPr="00FA6D72">
        <w:t>trials, do not satisfactorily establish efficacy. Further, the lack of established efficacy and</w:t>
      </w:r>
      <w:r w:rsidR="00054B1D" w:rsidRPr="00FA6D72">
        <w:t xml:space="preserve"> </w:t>
      </w:r>
      <w:r w:rsidR="002C6E71" w:rsidRPr="00FA6D72">
        <w:t xml:space="preserve">the well-known safety concerns with </w:t>
      </w:r>
      <w:proofErr w:type="spellStart"/>
      <w:r w:rsidR="00166F6A" w:rsidRPr="00FA6D72">
        <w:t>bevacizumab</w:t>
      </w:r>
      <w:proofErr w:type="spellEnd"/>
      <w:r w:rsidR="002C6E71" w:rsidRPr="00FA6D72">
        <w:t xml:space="preserve"> means that safety has not been</w:t>
      </w:r>
      <w:r w:rsidR="00054B1D" w:rsidRPr="00FA6D72">
        <w:t xml:space="preserve"> </w:t>
      </w:r>
      <w:r w:rsidR="002C6E71" w:rsidRPr="00FA6D72">
        <w:t xml:space="preserve">satisfactorily established for the particular indication of newly-diagnosed </w:t>
      </w:r>
      <w:proofErr w:type="spellStart"/>
      <w:r w:rsidR="002C6E71" w:rsidRPr="00FA6D72">
        <w:t>glioblastoma</w:t>
      </w:r>
      <w:proofErr w:type="spellEnd"/>
      <w:r w:rsidR="002C6E71" w:rsidRPr="00FA6D72">
        <w:t>.</w:t>
      </w:r>
    </w:p>
    <w:p w:rsidR="002C6E71" w:rsidRDefault="002C6E71" w:rsidP="00FA6D72">
      <w:r w:rsidRPr="00FA6D72">
        <w:t xml:space="preserve">A summary of </w:t>
      </w:r>
      <w:r w:rsidR="00222A0F">
        <w:t>the Delegate’s</w:t>
      </w:r>
      <w:r w:rsidRPr="00FA6D72">
        <w:t xml:space="preserve"> concerns about the currently available evidence</w:t>
      </w:r>
      <w:r w:rsidR="00A8403F">
        <w:t xml:space="preserve"> </w:t>
      </w:r>
      <w:r w:rsidRPr="00FA6D72">
        <w:t>is given in the table</w:t>
      </w:r>
      <w:r w:rsidR="00054B1D" w:rsidRPr="00FA6D72">
        <w:t xml:space="preserve"> </w:t>
      </w:r>
      <w:r w:rsidRPr="00FA6D72">
        <w:t>below.</w:t>
      </w:r>
    </w:p>
    <w:p w:rsidR="00DB1C93" w:rsidRDefault="00A8403F" w:rsidP="00222A0F">
      <w:pPr>
        <w:pStyle w:val="TableTitle"/>
      </w:pPr>
      <w:r>
        <w:t>Table</w:t>
      </w:r>
      <w:r w:rsidR="00222A0F">
        <w:t xml:space="preserve"> </w:t>
      </w:r>
      <w:r w:rsidR="00AD12FE">
        <w:t>26</w:t>
      </w:r>
      <w:r w:rsidR="00222A0F">
        <w:t>. Summary of Delegate’s concerns</w:t>
      </w:r>
    </w:p>
    <w:p w:rsidR="00A8403F" w:rsidRPr="00FA6D72" w:rsidRDefault="00A8403F" w:rsidP="00DB1C93">
      <w:r>
        <w:rPr>
          <w:noProof/>
          <w:lang w:eastAsia="en-AU"/>
        </w:rPr>
        <w:drawing>
          <wp:inline distT="0" distB="0" distL="0" distR="0" wp14:anchorId="78B11B01" wp14:editId="3D65E755">
            <wp:extent cx="5400040" cy="2883791"/>
            <wp:effectExtent l="0" t="0" r="0" b="0"/>
            <wp:docPr id="31" name="Picture 31" descr="Table 26. Summary of Delegate’s concer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00040" cy="2883791"/>
                    </a:xfrm>
                    <a:prstGeom prst="rect">
                      <a:avLst/>
                    </a:prstGeom>
                  </pic:spPr>
                </pic:pic>
              </a:graphicData>
            </a:graphic>
          </wp:inline>
        </w:drawing>
      </w:r>
    </w:p>
    <w:p w:rsidR="002C6E71" w:rsidRPr="00FA6D72" w:rsidRDefault="002C6E71" w:rsidP="00FA6D72">
      <w:r w:rsidRPr="00FA6D72">
        <w:t xml:space="preserve">More details on </w:t>
      </w:r>
      <w:r w:rsidR="00A8403F">
        <w:t xml:space="preserve">Delegate of the Minister’s </w:t>
      </w:r>
      <w:r w:rsidRPr="00FA6D72">
        <w:t>reasons for deciding to confirm the initial decision not to approve the</w:t>
      </w:r>
      <w:r w:rsidR="00054B1D" w:rsidRPr="00FA6D72">
        <w:t xml:space="preserve"> </w:t>
      </w:r>
      <w:r w:rsidRPr="00FA6D72">
        <w:t>application are given below.</w:t>
      </w:r>
    </w:p>
    <w:p w:rsidR="002C6E71" w:rsidRPr="00FA6D72" w:rsidRDefault="002C6E71" w:rsidP="00D74C56">
      <w:pPr>
        <w:pStyle w:val="Heading5"/>
      </w:pPr>
      <w:r w:rsidRPr="00FA6D72">
        <w:t>Sponsor</w:t>
      </w:r>
      <w:r w:rsidR="00A8403F">
        <w:t>’</w:t>
      </w:r>
      <w:r w:rsidRPr="00FA6D72">
        <w:t>s over-</w:t>
      </w:r>
      <w:r w:rsidR="00FA6D72" w:rsidRPr="00FA6D72">
        <w:t>anal</w:t>
      </w:r>
      <w:r w:rsidRPr="00FA6D72">
        <w:t>ysis of methodologic</w:t>
      </w:r>
      <w:r w:rsidR="00FA6D72" w:rsidRPr="00FA6D72">
        <w:t>a</w:t>
      </w:r>
      <w:r w:rsidRPr="00FA6D72">
        <w:t>l differences between the t</w:t>
      </w:r>
      <w:r w:rsidR="00FA6D72" w:rsidRPr="00FA6D72">
        <w:t>ria</w:t>
      </w:r>
      <w:r w:rsidRPr="00FA6D72">
        <w:t>ls</w:t>
      </w:r>
    </w:p>
    <w:p w:rsidR="002C6E71" w:rsidRPr="00FA6D72" w:rsidRDefault="002C6E71" w:rsidP="00FA6D72">
      <w:r w:rsidRPr="00FA6D72">
        <w:t>The sponsor has provided the TGA with voluminous responses, in an attempt to justify</w:t>
      </w:r>
      <w:r w:rsidR="00FA6D72" w:rsidRPr="00FA6D72">
        <w:t xml:space="preserve"> </w:t>
      </w:r>
      <w:r w:rsidRPr="00FA6D72">
        <w:t>their position that B02</w:t>
      </w:r>
      <w:r w:rsidR="004F7CE4">
        <w:t>1</w:t>
      </w:r>
      <w:r w:rsidRPr="00FA6D72">
        <w:t>990 is more internally valid than RTOG-0825; and why the data</w:t>
      </w:r>
      <w:r w:rsidR="00FA6D72" w:rsidRPr="00FA6D72">
        <w:t xml:space="preserve"> </w:t>
      </w:r>
      <w:r w:rsidRPr="00FA6D72">
        <w:lastRenderedPageBreak/>
        <w:t>from B02</w:t>
      </w:r>
      <w:r w:rsidR="004F7CE4">
        <w:t>1</w:t>
      </w:r>
      <w:r w:rsidRPr="00FA6D72">
        <w:t>990 on quality-of-life and progression-free survival satisfactorily establish</w:t>
      </w:r>
      <w:r w:rsidR="00FA6D72" w:rsidRPr="00FA6D72">
        <w:t xml:space="preserve"> </w:t>
      </w:r>
      <w:r w:rsidRPr="00FA6D72">
        <w:t xml:space="preserve">efficacy. </w:t>
      </w:r>
      <w:r w:rsidR="00A8403F">
        <w:t>The Delegate of the Minister</w:t>
      </w:r>
      <w:r w:rsidRPr="00FA6D72">
        <w:t xml:space="preserve"> found these responses to be an over-analysis/over-interpretation of the</w:t>
      </w:r>
      <w:r w:rsidR="00FA6D72" w:rsidRPr="00FA6D72">
        <w:t xml:space="preserve"> </w:t>
      </w:r>
      <w:r w:rsidRPr="00FA6D72">
        <w:t>available data and an over-statement of what</w:t>
      </w:r>
      <w:r w:rsidR="00A8403F">
        <w:t xml:space="preserve"> </w:t>
      </w:r>
      <w:r w:rsidRPr="00FA6D72">
        <w:t>is known/proven about the potential effect</w:t>
      </w:r>
      <w:r w:rsidR="00FA6D72" w:rsidRPr="00FA6D72">
        <w:t xml:space="preserve"> </w:t>
      </w:r>
      <w:r w:rsidRPr="00FA6D72">
        <w:t>of methodological</w:t>
      </w:r>
      <w:r w:rsidR="00FA6D72" w:rsidRPr="00FA6D72">
        <w:t xml:space="preserve"> </w:t>
      </w:r>
      <w:r w:rsidRPr="00FA6D72">
        <w:t xml:space="preserve">differences on the differences in the results for quality-of-life. </w:t>
      </w:r>
      <w:r w:rsidR="00A8403F">
        <w:t>Delegate of the Minister</w:t>
      </w:r>
      <w:r w:rsidRPr="00FA6D72">
        <w:t xml:space="preserve"> also note</w:t>
      </w:r>
      <w:r w:rsidR="00A8403F">
        <w:t>s</w:t>
      </w:r>
      <w:r w:rsidR="00FA6D72" w:rsidRPr="00FA6D72">
        <w:t xml:space="preserve"> </w:t>
      </w:r>
      <w:r w:rsidRPr="00FA6D72">
        <w:t>that the sponsor is arguing that the methods used in B02</w:t>
      </w:r>
      <w:r w:rsidR="004F7CE4">
        <w:t>1</w:t>
      </w:r>
      <w:r w:rsidRPr="00FA6D72">
        <w:t>990 to measure progression</w:t>
      </w:r>
      <w:r w:rsidR="00FA6D72" w:rsidRPr="00FA6D72">
        <w:t xml:space="preserve"> </w:t>
      </w:r>
      <w:r w:rsidRPr="00FA6D72">
        <w:t>free</w:t>
      </w:r>
      <w:r w:rsidR="00FA6D72" w:rsidRPr="00FA6D72">
        <w:t xml:space="preserve"> </w:t>
      </w:r>
      <w:r w:rsidRPr="00FA6D72">
        <w:t>survival are more valid than those in RTOG-8025, yet the results from t</w:t>
      </w:r>
      <w:r w:rsidR="00A8403F">
        <w:t>h</w:t>
      </w:r>
      <w:r w:rsidRPr="00FA6D72">
        <w:t>e two trials</w:t>
      </w:r>
      <w:r w:rsidR="00FA6D72" w:rsidRPr="00FA6D72">
        <w:t xml:space="preserve"> </w:t>
      </w:r>
      <w:r w:rsidRPr="00FA6D72">
        <w:t>for progression-free survival are the same (this is discussed further in the subsection on</w:t>
      </w:r>
      <w:r w:rsidR="00FA6D72" w:rsidRPr="00FA6D72">
        <w:t xml:space="preserve"> </w:t>
      </w:r>
      <w:r w:rsidR="00775109" w:rsidRPr="00FA6D72">
        <w:t>‘</w:t>
      </w:r>
      <w:r w:rsidRPr="00FA6D72">
        <w:t>Progression-free survival</w:t>
      </w:r>
      <w:r w:rsidR="00775109" w:rsidRPr="00FA6D72">
        <w:t>’</w:t>
      </w:r>
      <w:r w:rsidRPr="00FA6D72">
        <w:t>, below</w:t>
      </w:r>
      <w:r w:rsidR="00A8403F">
        <w:t>)</w:t>
      </w:r>
      <w:r w:rsidRPr="00FA6D72">
        <w:t>.</w:t>
      </w:r>
    </w:p>
    <w:p w:rsidR="002C6E71" w:rsidRPr="00FA6D72" w:rsidRDefault="002C6E71" w:rsidP="00FA6D72">
      <w:r w:rsidRPr="00FA6D72">
        <w:t xml:space="preserve">For quality-of-life, </w:t>
      </w:r>
      <w:r w:rsidR="00A8403F">
        <w:t>the Delegate of the Minister</w:t>
      </w:r>
      <w:r w:rsidRPr="00FA6D72">
        <w:t xml:space="preserve"> ha</w:t>
      </w:r>
      <w:r w:rsidR="00A8403F">
        <w:t>s</w:t>
      </w:r>
      <w:r w:rsidRPr="00FA6D72">
        <w:t xml:space="preserve"> independently formed the view that the methodological</w:t>
      </w:r>
      <w:r w:rsidR="00FA6D72" w:rsidRPr="00FA6D72">
        <w:t xml:space="preserve"> </w:t>
      </w:r>
      <w:r w:rsidRPr="00FA6D72">
        <w:t>differences between the trials are not a satisfactory explanation as to why there was a</w:t>
      </w:r>
      <w:r w:rsidR="00FA6D72" w:rsidRPr="00FA6D72">
        <w:t xml:space="preserve"> </w:t>
      </w:r>
      <w:r w:rsidRPr="00FA6D72">
        <w:t>deterioration in quality-of-life in RTOG-0825.</w:t>
      </w:r>
    </w:p>
    <w:p w:rsidR="002C6E71" w:rsidRPr="00FA6D72" w:rsidRDefault="00A8403F" w:rsidP="00FA6D72">
      <w:r>
        <w:t>The Delegate of the Minister</w:t>
      </w:r>
      <w:r w:rsidR="002C6E71" w:rsidRPr="00FA6D72">
        <w:t xml:space="preserve"> note</w:t>
      </w:r>
      <w:r>
        <w:t>s</w:t>
      </w:r>
      <w:r w:rsidR="002C6E71" w:rsidRPr="00FA6D72">
        <w:t>, in passing, that Howard Fine in an Editorial in the New England journal of Medicine was of the same view. He stated that the difference in</w:t>
      </w:r>
      <w:r w:rsidR="00FA6D72" w:rsidRPr="00FA6D72">
        <w:t xml:space="preserve"> </w:t>
      </w:r>
      <w:r w:rsidR="002C6E71" w:rsidRPr="00FA6D72">
        <w:t xml:space="preserve">results for quality-of-life and </w:t>
      </w:r>
      <w:proofErr w:type="spellStart"/>
      <w:r w:rsidR="002C6E71" w:rsidRPr="00FA6D72">
        <w:t>neuro</w:t>
      </w:r>
      <w:proofErr w:type="spellEnd"/>
      <w:r w:rsidR="002C6E71" w:rsidRPr="00FA6D72">
        <w:t xml:space="preserve">-cognitive function remains an </w:t>
      </w:r>
      <w:r w:rsidR="00775109" w:rsidRPr="00FA6D72">
        <w:t>‘</w:t>
      </w:r>
      <w:r w:rsidR="002C6E71" w:rsidRPr="00FA6D72">
        <w:t>enigma</w:t>
      </w:r>
      <w:r w:rsidR="00775109" w:rsidRPr="00FA6D72">
        <w:t>’</w:t>
      </w:r>
      <w:r w:rsidR="002C6E71" w:rsidRPr="00FA6D72">
        <w:t>. He went on to</w:t>
      </w:r>
      <w:r w:rsidR="00FA6D72" w:rsidRPr="00FA6D72">
        <w:t xml:space="preserve"> </w:t>
      </w:r>
      <w:r w:rsidR="002C6E71" w:rsidRPr="00FA6D72">
        <w:t>recommend that the investigators of the RTOG 0825 and B021990 trials should share</w:t>
      </w:r>
      <w:r w:rsidR="00FA6D72" w:rsidRPr="00FA6D72">
        <w:t xml:space="preserve"> </w:t>
      </w:r>
      <w:r w:rsidR="002C6E71" w:rsidRPr="00FA6D72">
        <w:t>their raw data with each other and with independent investigators including regulators)</w:t>
      </w:r>
      <w:r w:rsidR="00FA6D72" w:rsidRPr="00FA6D72">
        <w:t xml:space="preserve"> </w:t>
      </w:r>
      <w:r w:rsidR="002C6E71" w:rsidRPr="00FA6D72">
        <w:t xml:space="preserve">to try to resolve the question of the true effects of </w:t>
      </w:r>
      <w:proofErr w:type="spellStart"/>
      <w:r w:rsidR="00166F6A" w:rsidRPr="00FA6D72">
        <w:t>bevacizumab</w:t>
      </w:r>
      <w:proofErr w:type="spellEnd"/>
      <w:r w:rsidR="002C6E71" w:rsidRPr="00FA6D72">
        <w:t xml:space="preserve"> on quality-of-life (in the</w:t>
      </w:r>
      <w:r w:rsidR="00FA6D72" w:rsidRPr="00FA6D72">
        <w:t xml:space="preserve"> </w:t>
      </w:r>
      <w:r w:rsidR="002C6E71" w:rsidRPr="00FA6D72">
        <w:t xml:space="preserve">setting of newly-diagnosed </w:t>
      </w:r>
      <w:proofErr w:type="spellStart"/>
      <w:r w:rsidR="002C6E71" w:rsidRPr="00FA6D72">
        <w:t>glioblastoma</w:t>
      </w:r>
      <w:proofErr w:type="spellEnd"/>
      <w:r w:rsidR="002C6E71" w:rsidRPr="00FA6D72">
        <w:t>).</w:t>
      </w:r>
    </w:p>
    <w:p w:rsidR="002C6E71" w:rsidRPr="00FA6D72" w:rsidRDefault="002C6E71" w:rsidP="00FA6D72">
      <w:r w:rsidRPr="00FA6D72">
        <w:t>Further, both trials, including B02</w:t>
      </w:r>
      <w:r w:rsidR="004F7CE4">
        <w:t>1</w:t>
      </w:r>
      <w:r w:rsidRPr="00FA6D72">
        <w:t>990, had significant amounts of missing data for</w:t>
      </w:r>
      <w:r w:rsidR="00FA6D72" w:rsidRPr="00FA6D72">
        <w:t xml:space="preserve"> </w:t>
      </w:r>
      <w:r w:rsidRPr="00FA6D72">
        <w:t xml:space="preserve">quality-of-life. This is discussed further in the subsection </w:t>
      </w:r>
      <w:r w:rsidR="00775109" w:rsidRPr="00FA6D72">
        <w:t>‘</w:t>
      </w:r>
      <w:r w:rsidRPr="00FA6D72">
        <w:t>Quality-of-life</w:t>
      </w:r>
      <w:r w:rsidR="00775109" w:rsidRPr="00FA6D72">
        <w:t>’</w:t>
      </w:r>
      <w:r w:rsidRPr="00FA6D72">
        <w:t>, below.</w:t>
      </w:r>
    </w:p>
    <w:p w:rsidR="002C6E71" w:rsidRPr="00FA6D72" w:rsidRDefault="002C6E71" w:rsidP="00DB1C93">
      <w:pPr>
        <w:pStyle w:val="Heading5"/>
      </w:pPr>
      <w:r w:rsidRPr="00FA6D72">
        <w:t>Progression/</w:t>
      </w:r>
      <w:r w:rsidR="00A8403F">
        <w:t>f</w:t>
      </w:r>
      <w:r w:rsidRPr="00FA6D72">
        <w:t xml:space="preserve">ree </w:t>
      </w:r>
      <w:r w:rsidRPr="00DB1C93">
        <w:t>survival</w:t>
      </w:r>
    </w:p>
    <w:p w:rsidR="002C6E71" w:rsidRPr="00FA6D72" w:rsidRDefault="002C6E71" w:rsidP="00FA6D72">
      <w:r w:rsidRPr="00FA6D72">
        <w:t>It is possible that the methods used in B021990 (</w:t>
      </w:r>
      <w:r w:rsidR="00A8403F">
        <w:t>for example,</w:t>
      </w:r>
      <w:r w:rsidRPr="00FA6D72">
        <w:t xml:space="preserve"> assessment of non-enhancing</w:t>
      </w:r>
      <w:r w:rsidR="00FA6D72" w:rsidRPr="00FA6D72">
        <w:t xml:space="preserve"> </w:t>
      </w:r>
      <w:r w:rsidRPr="00FA6D72">
        <w:t>tumour components and glucocorticoid use) are more accurate than the M</w:t>
      </w:r>
      <w:r w:rsidR="00D74C56">
        <w:t>c</w:t>
      </w:r>
      <w:r w:rsidRPr="00FA6D72">
        <w:t>Donald criteria</w:t>
      </w:r>
      <w:r w:rsidR="00FA6D72" w:rsidRPr="00FA6D72">
        <w:t xml:space="preserve"> </w:t>
      </w:r>
      <w:r w:rsidRPr="00FA6D72">
        <w:t xml:space="preserve">used in RTOG-0825, but there are no convincing data to prove this. That is, </w:t>
      </w:r>
      <w:r w:rsidR="00A8403F">
        <w:t>the Delegate of the Minister</w:t>
      </w:r>
      <w:r w:rsidRPr="00FA6D72">
        <w:t xml:space="preserve"> do</w:t>
      </w:r>
      <w:r w:rsidR="00A8403F">
        <w:t>es</w:t>
      </w:r>
      <w:r w:rsidRPr="00FA6D72">
        <w:t xml:space="preserve"> not accept</w:t>
      </w:r>
      <w:r w:rsidR="00FA6D72" w:rsidRPr="00FA6D72">
        <w:t xml:space="preserve"> </w:t>
      </w:r>
      <w:r w:rsidRPr="00FA6D72">
        <w:t>the sponsor's argument that there is evidence to satisfactorily establish that the</w:t>
      </w:r>
      <w:r w:rsidR="00FA6D72" w:rsidRPr="00FA6D72">
        <w:t xml:space="preserve"> </w:t>
      </w:r>
      <w:r w:rsidRPr="00FA6D72">
        <w:t>investigators on trial B021990 have solved this long-standing measurement problem.</w:t>
      </w:r>
    </w:p>
    <w:p w:rsidR="002C6E71" w:rsidRPr="00FA6D72" w:rsidRDefault="00A8403F" w:rsidP="00FA6D72">
      <w:r>
        <w:t>The Delegate of the Minister</w:t>
      </w:r>
      <w:r w:rsidR="002C6E71" w:rsidRPr="00FA6D72">
        <w:t xml:space="preserve"> also note</w:t>
      </w:r>
      <w:r>
        <w:t>s</w:t>
      </w:r>
      <w:r w:rsidR="002C6E71" w:rsidRPr="00FA6D72">
        <w:t xml:space="preserve"> that both trials produced the same result for progression-free survival: a four</w:t>
      </w:r>
      <w:r w:rsidR="00FA6D72" w:rsidRPr="00FA6D72">
        <w:t xml:space="preserve"> </w:t>
      </w:r>
      <w:r w:rsidR="002C6E71" w:rsidRPr="00FA6D72">
        <w:t>month</w:t>
      </w:r>
      <w:r w:rsidR="00FA6D72" w:rsidRPr="00FA6D72">
        <w:t xml:space="preserve"> </w:t>
      </w:r>
      <w:r w:rsidR="002C6E71" w:rsidRPr="00FA6D72">
        <w:t>gain. It is difficult to sustain an argument that one trial had more accurate</w:t>
      </w:r>
      <w:r w:rsidR="00FA6D72" w:rsidRPr="00FA6D72">
        <w:t xml:space="preserve"> </w:t>
      </w:r>
      <w:r w:rsidR="002C6E71" w:rsidRPr="00FA6D72">
        <w:t>measurements, when both trials produced the same result.</w:t>
      </w:r>
    </w:p>
    <w:p w:rsidR="002C6E71" w:rsidRPr="00FA6D72" w:rsidRDefault="002C6E71" w:rsidP="00FA6D72">
      <w:r w:rsidRPr="00FA6D72">
        <w:t xml:space="preserve">One </w:t>
      </w:r>
      <w:r w:rsidR="004F7CE4">
        <w:t xml:space="preserve">of </w:t>
      </w:r>
      <w:r w:rsidRPr="00FA6D72">
        <w:t xml:space="preserve">the </w:t>
      </w:r>
      <w:proofErr w:type="spellStart"/>
      <w:r w:rsidRPr="00FA6D72">
        <w:t>neuro</w:t>
      </w:r>
      <w:proofErr w:type="spellEnd"/>
      <w:r w:rsidRPr="00FA6D72">
        <w:t>-oncologists advised that not all of the gain in progression-free survival</w:t>
      </w:r>
      <w:r w:rsidR="00FA6D72" w:rsidRPr="00FA6D72">
        <w:t xml:space="preserve"> </w:t>
      </w:r>
      <w:r w:rsidRPr="00FA6D72">
        <w:t xml:space="preserve">could be explained by </w:t>
      </w:r>
      <w:r w:rsidR="00A8403F">
        <w:t>i</w:t>
      </w:r>
      <w:r w:rsidRPr="00FA6D72">
        <w:t xml:space="preserve">naccurate measurement; however, the other </w:t>
      </w:r>
      <w:proofErr w:type="spellStart"/>
      <w:r w:rsidRPr="00FA6D72">
        <w:t>neuro-on</w:t>
      </w:r>
      <w:r w:rsidR="00FA6D72" w:rsidRPr="00FA6D72">
        <w:t>o</w:t>
      </w:r>
      <w:r w:rsidRPr="00FA6D72">
        <w:t>cologist</w:t>
      </w:r>
      <w:proofErr w:type="spellEnd"/>
      <w:r w:rsidR="00FA6D72" w:rsidRPr="00FA6D72">
        <w:t xml:space="preserve"> </w:t>
      </w:r>
      <w:r w:rsidRPr="00FA6D72">
        <w:t xml:space="preserve">advised the all of the gain could be explained by </w:t>
      </w:r>
      <w:r w:rsidR="00343AF9">
        <w:t>in</w:t>
      </w:r>
      <w:r w:rsidRPr="00FA6D72">
        <w:t xml:space="preserve">accurate measurements. Both of the </w:t>
      </w:r>
      <w:proofErr w:type="spellStart"/>
      <w:r w:rsidRPr="00FA6D72">
        <w:t>neuro</w:t>
      </w:r>
      <w:proofErr w:type="spellEnd"/>
      <w:r w:rsidRPr="00FA6D72">
        <w:t>-oncologists acknowledged the problems in measuring</w:t>
      </w:r>
      <w:r w:rsidR="00FA6D72" w:rsidRPr="00FA6D72">
        <w:t xml:space="preserve"> </w:t>
      </w:r>
      <w:r w:rsidRPr="00FA6D72">
        <w:t xml:space="preserve">progression in patients with </w:t>
      </w:r>
      <w:proofErr w:type="spellStart"/>
      <w:r w:rsidRPr="00FA6D72">
        <w:t>glioblastoma</w:t>
      </w:r>
      <w:proofErr w:type="spellEnd"/>
      <w:r w:rsidRPr="00FA6D72">
        <w:t>. In the face of these established concerns about</w:t>
      </w:r>
      <w:r w:rsidR="00FA6D72" w:rsidRPr="00FA6D72">
        <w:t xml:space="preserve"> </w:t>
      </w:r>
      <w:r w:rsidRPr="00FA6D72">
        <w:t xml:space="preserve">the inaccuracy of measuring progression in both trials, </w:t>
      </w:r>
      <w:r w:rsidR="00A8403F">
        <w:t>the Delegate of the Minister</w:t>
      </w:r>
      <w:r w:rsidR="007F3AD6">
        <w:t xml:space="preserve"> </w:t>
      </w:r>
      <w:r w:rsidR="00A8403F">
        <w:t>is</w:t>
      </w:r>
      <w:r w:rsidRPr="00FA6D72">
        <w:t xml:space="preserve"> of the view that the results for</w:t>
      </w:r>
      <w:r w:rsidR="00FA6D72" w:rsidRPr="00FA6D72">
        <w:t xml:space="preserve"> </w:t>
      </w:r>
      <w:r w:rsidRPr="00FA6D72">
        <w:t>progression would need to be confirmed by the results for quality-of-life. However, the</w:t>
      </w:r>
      <w:r w:rsidR="00FA6D72" w:rsidRPr="00FA6D72">
        <w:t xml:space="preserve"> </w:t>
      </w:r>
      <w:r w:rsidRPr="00FA6D72">
        <w:t>results for quality of life were inconsistent across the trials and there was much missing</w:t>
      </w:r>
      <w:r w:rsidR="00FA6D72" w:rsidRPr="00FA6D72">
        <w:t xml:space="preserve"> </w:t>
      </w:r>
      <w:r w:rsidRPr="00FA6D72">
        <w:t xml:space="preserve">data (see table, above; and subsection on </w:t>
      </w:r>
      <w:r w:rsidR="00775109" w:rsidRPr="00FA6D72">
        <w:t>‘</w:t>
      </w:r>
      <w:r w:rsidRPr="00FA6D72">
        <w:t>Quality-of-life</w:t>
      </w:r>
      <w:r w:rsidR="00775109" w:rsidRPr="00FA6D72">
        <w:t>’</w:t>
      </w:r>
      <w:r w:rsidRPr="00FA6D72">
        <w:t>, below).</w:t>
      </w:r>
    </w:p>
    <w:p w:rsidR="002C6E71" w:rsidRPr="00FA6D72" w:rsidRDefault="002C6E71" w:rsidP="00FA6D72">
      <w:r w:rsidRPr="00FA6D72">
        <w:t xml:space="preserve">In short, </w:t>
      </w:r>
      <w:r w:rsidR="00A8403F">
        <w:t>the Delegate of the Minister</w:t>
      </w:r>
      <w:r w:rsidRPr="00FA6D72">
        <w:t xml:space="preserve"> ha</w:t>
      </w:r>
      <w:r w:rsidR="00A8403F">
        <w:t>s</w:t>
      </w:r>
      <w:r w:rsidRPr="00FA6D72">
        <w:t xml:space="preserve"> independently formed the view that the progression-free survival data</w:t>
      </w:r>
      <w:r w:rsidR="00FA6D72" w:rsidRPr="00FA6D72">
        <w:t xml:space="preserve"> </w:t>
      </w:r>
      <w:r w:rsidRPr="00FA6D72">
        <w:t>from B02</w:t>
      </w:r>
      <w:r w:rsidR="004F7CE4">
        <w:t>1</w:t>
      </w:r>
      <w:r w:rsidRPr="00FA6D72">
        <w:t>990 and RTOG-0825, taken on their own, do not satisfactorily establish the</w:t>
      </w:r>
      <w:r w:rsidR="00FA6D72" w:rsidRPr="00FA6D72">
        <w:t xml:space="preserve"> </w:t>
      </w:r>
      <w:r w:rsidRPr="00FA6D72">
        <w:t xml:space="preserve">efficacy of </w:t>
      </w:r>
      <w:proofErr w:type="spellStart"/>
      <w:r w:rsidRPr="00FA6D72">
        <w:t>bevacizum</w:t>
      </w:r>
      <w:r w:rsidR="007F3AD6">
        <w:t>a</w:t>
      </w:r>
      <w:r w:rsidRPr="00FA6D72">
        <w:t>b</w:t>
      </w:r>
      <w:proofErr w:type="spellEnd"/>
      <w:r w:rsidRPr="00FA6D72">
        <w:t xml:space="preserve"> for the extension-of-indication to newly-diagnosed </w:t>
      </w:r>
      <w:proofErr w:type="spellStart"/>
      <w:r w:rsidRPr="00FA6D72">
        <w:t>glioblastoma</w:t>
      </w:r>
      <w:proofErr w:type="spellEnd"/>
      <w:r w:rsidRPr="00FA6D72">
        <w:t>.</w:t>
      </w:r>
    </w:p>
    <w:p w:rsidR="002C6E71" w:rsidRPr="00FA6D72" w:rsidRDefault="00A8403F" w:rsidP="00FA6D72">
      <w:r>
        <w:t>The Delegate of the Minister</w:t>
      </w:r>
      <w:r w:rsidR="002C6E71" w:rsidRPr="00FA6D72">
        <w:t xml:space="preserve"> note</w:t>
      </w:r>
      <w:r>
        <w:t>s</w:t>
      </w:r>
      <w:r w:rsidR="002C6E71" w:rsidRPr="00FA6D72">
        <w:t>, in passing, that the comments in Fine Editorial are</w:t>
      </w:r>
      <w:r w:rsidR="00FA6D72" w:rsidRPr="00FA6D72">
        <w:t xml:space="preserve"> </w:t>
      </w:r>
      <w:r w:rsidR="002C6E71" w:rsidRPr="00FA6D72">
        <w:t xml:space="preserve">consistent with this view. He stated that, </w:t>
      </w:r>
      <w:r w:rsidR="00775109" w:rsidRPr="00FA6D72">
        <w:t>‘</w:t>
      </w:r>
      <w:r w:rsidR="002C6E71" w:rsidRPr="00D74C56">
        <w:rPr>
          <w:i/>
        </w:rPr>
        <w:t>new and robust imaging and clinical end points</w:t>
      </w:r>
      <w:r w:rsidR="00FA6D72" w:rsidRPr="00D74C56">
        <w:rPr>
          <w:i/>
        </w:rPr>
        <w:t xml:space="preserve"> </w:t>
      </w:r>
      <w:r w:rsidR="002C6E71" w:rsidRPr="00D74C56">
        <w:rPr>
          <w:i/>
        </w:rPr>
        <w:t xml:space="preserve">need to be identified and incorporated into future clinical trials of </w:t>
      </w:r>
      <w:proofErr w:type="spellStart"/>
      <w:r w:rsidR="002C6E71" w:rsidRPr="00D74C56">
        <w:rPr>
          <w:i/>
        </w:rPr>
        <w:t>gliomas</w:t>
      </w:r>
      <w:proofErr w:type="spellEnd"/>
      <w:r w:rsidR="002C6E71" w:rsidRPr="00FA6D72">
        <w:t xml:space="preserve"> ...</w:t>
      </w:r>
      <w:r w:rsidR="00775109" w:rsidRPr="00FA6D72">
        <w:t>’</w:t>
      </w:r>
      <w:r w:rsidR="002C6E71" w:rsidRPr="00FA6D72">
        <w:t>.</w:t>
      </w:r>
    </w:p>
    <w:p w:rsidR="002C6E71" w:rsidRPr="00FA6D72" w:rsidRDefault="00A8403F" w:rsidP="00DB1C93">
      <w:pPr>
        <w:ind w:left="284"/>
      </w:pPr>
      <w:r>
        <w:t>The Delegate of the Minister</w:t>
      </w:r>
      <w:r w:rsidR="002C6E71" w:rsidRPr="00FA6D72">
        <w:t xml:space="preserve"> also note</w:t>
      </w:r>
      <w:r>
        <w:t>s</w:t>
      </w:r>
      <w:r w:rsidR="002C6E71" w:rsidRPr="00FA6D72">
        <w:t>, in passing, that the EMA has formed a view along the same lines. Specifically,</w:t>
      </w:r>
      <w:r w:rsidR="00FA6D72" w:rsidRPr="00FA6D72">
        <w:t xml:space="preserve"> </w:t>
      </w:r>
      <w:r w:rsidR="002C6E71" w:rsidRPr="00FA6D72">
        <w:t>one of the reasons the EMA has given for rejecting the application for registration of</w:t>
      </w:r>
      <w:r w:rsidR="00FA6D72" w:rsidRPr="00FA6D72">
        <w:t xml:space="preserve"> </w:t>
      </w:r>
      <w:proofErr w:type="spellStart"/>
      <w:r w:rsidR="00166F6A" w:rsidRPr="00FA6D72">
        <w:t>bevacizumab</w:t>
      </w:r>
      <w:proofErr w:type="spellEnd"/>
      <w:r w:rsidR="002C6E71" w:rsidRPr="00FA6D72">
        <w:t xml:space="preserve"> for newly-diagnosed </w:t>
      </w:r>
      <w:proofErr w:type="spellStart"/>
      <w:r w:rsidR="002C6E71" w:rsidRPr="00FA6D72">
        <w:t>glioblastoma</w:t>
      </w:r>
      <w:proofErr w:type="spellEnd"/>
      <w:r w:rsidR="002C6E71" w:rsidRPr="00FA6D72">
        <w:t xml:space="preserve"> in </w:t>
      </w:r>
      <w:r>
        <w:t xml:space="preserve">the </w:t>
      </w:r>
      <w:r w:rsidR="002C6E71" w:rsidRPr="00FA6D72">
        <w:t xml:space="preserve">EU </w:t>
      </w:r>
      <w:r w:rsidR="002C6E71" w:rsidRPr="00FA6D72">
        <w:lastRenderedPageBreak/>
        <w:t xml:space="preserve">is: </w:t>
      </w:r>
      <w:r w:rsidR="00775109" w:rsidRPr="00FA6D72">
        <w:t>‘</w:t>
      </w:r>
      <w:r w:rsidR="002C6E71" w:rsidRPr="00C64F39">
        <w:rPr>
          <w:i/>
        </w:rPr>
        <w:t>the improvement in progression</w:t>
      </w:r>
      <w:r w:rsidR="00FA6D72" w:rsidRPr="00C64F39">
        <w:rPr>
          <w:i/>
        </w:rPr>
        <w:t xml:space="preserve"> </w:t>
      </w:r>
      <w:r w:rsidR="002C6E71" w:rsidRPr="00C64F39">
        <w:rPr>
          <w:i/>
        </w:rPr>
        <w:t>free</w:t>
      </w:r>
      <w:r w:rsidR="00FA6D72" w:rsidRPr="00C64F39">
        <w:rPr>
          <w:i/>
        </w:rPr>
        <w:t xml:space="preserve"> </w:t>
      </w:r>
      <w:r w:rsidR="002C6E71" w:rsidRPr="00C64F39">
        <w:rPr>
          <w:i/>
        </w:rPr>
        <w:t>sur</w:t>
      </w:r>
      <w:r w:rsidR="00FA6D72" w:rsidRPr="00C64F39">
        <w:rPr>
          <w:i/>
        </w:rPr>
        <w:t>v</w:t>
      </w:r>
      <w:r w:rsidR="002C6E71" w:rsidRPr="00C64F39">
        <w:rPr>
          <w:i/>
        </w:rPr>
        <w:t>iv</w:t>
      </w:r>
      <w:r w:rsidR="00FA6D72" w:rsidRPr="00C64F39">
        <w:rPr>
          <w:i/>
        </w:rPr>
        <w:t>al was not considered clinica</w:t>
      </w:r>
      <w:r w:rsidR="002C6E71" w:rsidRPr="00C64F39">
        <w:rPr>
          <w:i/>
        </w:rPr>
        <w:t>lly relev</w:t>
      </w:r>
      <w:r w:rsidR="00FA6D72" w:rsidRPr="00C64F39">
        <w:rPr>
          <w:i/>
        </w:rPr>
        <w:t>a</w:t>
      </w:r>
      <w:r w:rsidR="002C6E71" w:rsidRPr="00C64F39">
        <w:rPr>
          <w:i/>
        </w:rPr>
        <w:t>nt bec</w:t>
      </w:r>
      <w:r w:rsidR="00FA6D72" w:rsidRPr="00C64F39">
        <w:rPr>
          <w:i/>
        </w:rPr>
        <w:t>a</w:t>
      </w:r>
      <w:r w:rsidR="002C6E71" w:rsidRPr="00C64F39">
        <w:rPr>
          <w:i/>
        </w:rPr>
        <w:t xml:space="preserve">use </w:t>
      </w:r>
      <w:r w:rsidR="00D74C56" w:rsidRPr="00C64F39">
        <w:rPr>
          <w:i/>
        </w:rPr>
        <w:t xml:space="preserve">limitations in the </w:t>
      </w:r>
      <w:r w:rsidR="00C64F39">
        <w:rPr>
          <w:i/>
        </w:rPr>
        <w:t>metho</w:t>
      </w:r>
      <w:r w:rsidR="00D74C56" w:rsidRPr="00C64F39">
        <w:rPr>
          <w:i/>
        </w:rPr>
        <w:t>ds available to measure t</w:t>
      </w:r>
      <w:r w:rsidR="00C64F39">
        <w:rPr>
          <w:i/>
        </w:rPr>
        <w:t>h</w:t>
      </w:r>
      <w:r w:rsidR="00D74C56" w:rsidRPr="00C64F39">
        <w:rPr>
          <w:i/>
        </w:rPr>
        <w:t>e size of brain tumours’</w:t>
      </w:r>
      <w:r w:rsidR="00D74C56">
        <w:t>.</w:t>
      </w:r>
      <w:r w:rsidR="00D74C56">
        <w:rPr>
          <w:rStyle w:val="FootnoteReference"/>
        </w:rPr>
        <w:footnoteReference w:id="23"/>
      </w:r>
    </w:p>
    <w:p w:rsidR="002C6E71" w:rsidRPr="00FA6D72" w:rsidRDefault="002C6E71" w:rsidP="009A43C8">
      <w:pPr>
        <w:pStyle w:val="Heading5"/>
      </w:pPr>
      <w:r w:rsidRPr="00FA6D72">
        <w:t>Quality o</w:t>
      </w:r>
      <w:r w:rsidR="00FA6D72" w:rsidRPr="00FA6D72">
        <w:t>f life</w:t>
      </w:r>
    </w:p>
    <w:p w:rsidR="002C6E71" w:rsidRPr="00FA6D72" w:rsidRDefault="002C6E71" w:rsidP="00FA6D72">
      <w:r w:rsidRPr="00FA6D72">
        <w:t xml:space="preserve">As discussed above, </w:t>
      </w:r>
      <w:r w:rsidR="00A8403F">
        <w:t xml:space="preserve">the Delegate of the Minister is </w:t>
      </w:r>
      <w:r w:rsidRPr="00FA6D72">
        <w:t>not satisfied that the data on progression-free survival, on their</w:t>
      </w:r>
      <w:r w:rsidR="00FA6D72" w:rsidRPr="00FA6D72">
        <w:t xml:space="preserve"> </w:t>
      </w:r>
      <w:r w:rsidRPr="00FA6D72">
        <w:t xml:space="preserve">own, can be used to satisfactorily establish the efficacy of </w:t>
      </w:r>
      <w:proofErr w:type="spellStart"/>
      <w:r w:rsidR="00166F6A" w:rsidRPr="00FA6D72">
        <w:t>bevacizumab</w:t>
      </w:r>
      <w:proofErr w:type="spellEnd"/>
      <w:r w:rsidRPr="00FA6D72">
        <w:t xml:space="preserve"> for newly</w:t>
      </w:r>
      <w:r w:rsidR="00FA6D72" w:rsidRPr="00FA6D72">
        <w:t xml:space="preserve"> </w:t>
      </w:r>
      <w:r w:rsidRPr="00FA6D72">
        <w:t>diagnosed</w:t>
      </w:r>
      <w:r w:rsidR="00FA6D72" w:rsidRPr="00FA6D72">
        <w:t xml:space="preserve"> </w:t>
      </w:r>
      <w:proofErr w:type="spellStart"/>
      <w:r w:rsidRPr="00FA6D72">
        <w:t>glioblastoma</w:t>
      </w:r>
      <w:proofErr w:type="spellEnd"/>
      <w:r w:rsidRPr="00FA6D72">
        <w:t>. However, in theory, efficacy might be established if the trials</w:t>
      </w:r>
      <w:r w:rsidR="00FA6D72" w:rsidRPr="00FA6D72">
        <w:t xml:space="preserve"> </w:t>
      </w:r>
      <w:r w:rsidRPr="00FA6D72">
        <w:t>consistently showed maintenance or improvement in quality-of-life. However, this was not</w:t>
      </w:r>
      <w:r w:rsidR="00FA6D72" w:rsidRPr="00FA6D72">
        <w:t xml:space="preserve"> </w:t>
      </w:r>
      <w:r w:rsidRPr="00FA6D72">
        <w:t>the case because the trials produced inconsistent results: B02</w:t>
      </w:r>
      <w:r w:rsidR="004F7CE4">
        <w:t>1</w:t>
      </w:r>
      <w:r w:rsidRPr="00FA6D72">
        <w:t>990 showed maintenance</w:t>
      </w:r>
      <w:r w:rsidR="00FA6D72" w:rsidRPr="00FA6D72">
        <w:t xml:space="preserve"> </w:t>
      </w:r>
      <w:r w:rsidRPr="00FA6D72">
        <w:t>of quality-of-life, while RTOG-0825 showed a deterioration</w:t>
      </w:r>
      <w:r w:rsidR="007F3AD6">
        <w:t xml:space="preserve"> </w:t>
      </w:r>
      <w:r w:rsidRPr="00FA6D72">
        <w:t>in quality-of-life.</w:t>
      </w:r>
    </w:p>
    <w:p w:rsidR="002C6E71" w:rsidRPr="00FA6D72" w:rsidRDefault="002C6E71" w:rsidP="00FA6D72">
      <w:r w:rsidRPr="00FA6D72">
        <w:t>The sponsor has made the argument that the measurements of quality-of-life were more</w:t>
      </w:r>
      <w:r w:rsidR="00FA6D72" w:rsidRPr="00FA6D72">
        <w:t xml:space="preserve"> </w:t>
      </w:r>
      <w:r w:rsidRPr="00FA6D72">
        <w:t>valid in B02</w:t>
      </w:r>
      <w:r w:rsidR="004F7CE4">
        <w:t>1</w:t>
      </w:r>
      <w:r w:rsidRPr="00FA6D72">
        <w:t xml:space="preserve">990 than in RTOG-0825. </w:t>
      </w:r>
      <w:r w:rsidR="00A8403F">
        <w:t>The Delegate of the Minister’s</w:t>
      </w:r>
      <w:r w:rsidRPr="00FA6D72">
        <w:t xml:space="preserve"> findings on that issue</w:t>
      </w:r>
      <w:r w:rsidR="007F3AD6">
        <w:t xml:space="preserve"> </w:t>
      </w:r>
      <w:r w:rsidRPr="00FA6D72">
        <w:t>are discussed in the</w:t>
      </w:r>
      <w:r w:rsidR="00FA6D72" w:rsidRPr="00FA6D72">
        <w:t xml:space="preserve"> </w:t>
      </w:r>
      <w:r w:rsidRPr="00FA6D72">
        <w:t xml:space="preserve">subsection </w:t>
      </w:r>
      <w:r w:rsidR="00775109" w:rsidRPr="00FA6D72">
        <w:t>‘</w:t>
      </w:r>
      <w:r w:rsidRPr="00A8403F">
        <w:rPr>
          <w:i/>
        </w:rPr>
        <w:t>Sponsor's over-analysis of methodological differences between the trials</w:t>
      </w:r>
      <w:r w:rsidR="00775109" w:rsidRPr="00FA6D72">
        <w:t>’</w:t>
      </w:r>
      <w:r w:rsidRPr="00FA6D72">
        <w:t>,</w:t>
      </w:r>
      <w:r w:rsidR="00FA6D72" w:rsidRPr="00FA6D72">
        <w:t xml:space="preserve"> </w:t>
      </w:r>
      <w:r w:rsidRPr="00FA6D72">
        <w:t>above).</w:t>
      </w:r>
    </w:p>
    <w:p w:rsidR="002C6E71" w:rsidRPr="00FA6D72" w:rsidRDefault="002C6E71" w:rsidP="00DB1C93">
      <w:r w:rsidRPr="00FA6D72">
        <w:t>Further, in both trials there were</w:t>
      </w:r>
      <w:r w:rsidR="00FA6D72" w:rsidRPr="00FA6D72">
        <w:t xml:space="preserve"> </w:t>
      </w:r>
      <w:r w:rsidRPr="00FA6D72">
        <w:t>large amounts of missing data (40%-60</w:t>
      </w:r>
      <w:r w:rsidR="00A8403F">
        <w:t>%</w:t>
      </w:r>
      <w:r w:rsidRPr="00FA6D72">
        <w:t>; depending on</w:t>
      </w:r>
      <w:r w:rsidR="00FA6D72" w:rsidRPr="00FA6D72">
        <w:t xml:space="preserve"> </w:t>
      </w:r>
      <w:r w:rsidRPr="00FA6D72">
        <w:t xml:space="preserve">the endpoint, the time point, and how </w:t>
      </w:r>
      <w:r w:rsidR="00775109" w:rsidRPr="00FA6D72">
        <w:t>‘</w:t>
      </w:r>
      <w:r w:rsidRPr="00FA6D72">
        <w:t>missing ness</w:t>
      </w:r>
      <w:r w:rsidR="00775109" w:rsidRPr="00FA6D72">
        <w:t>’</w:t>
      </w:r>
      <w:r w:rsidRPr="00FA6D72">
        <w:t xml:space="preserve"> is defined). </w:t>
      </w:r>
      <w:r w:rsidR="00A8403F">
        <w:t>The Delegate of the Minister</w:t>
      </w:r>
      <w:r w:rsidRPr="00FA6D72">
        <w:t xml:space="preserve"> accept</w:t>
      </w:r>
      <w:r w:rsidR="00A8403F">
        <w:t>s</w:t>
      </w:r>
      <w:r w:rsidRPr="00FA6D72">
        <w:t xml:space="preserve"> that in trials that</w:t>
      </w:r>
      <w:r w:rsidR="00FA6D72" w:rsidRPr="00FA6D72">
        <w:t xml:space="preserve"> </w:t>
      </w:r>
      <w:r w:rsidRPr="00FA6D72">
        <w:t>recruit patients with rapidly-progressing cancer it is not unusual to have significant</w:t>
      </w:r>
      <w:r w:rsidR="00FA6D72" w:rsidRPr="00FA6D72">
        <w:t xml:space="preserve"> </w:t>
      </w:r>
      <w:r w:rsidRPr="00FA6D72">
        <w:t>amounts of missing data for quality-of-life. However, the key problem is that patients with</w:t>
      </w:r>
      <w:r w:rsidR="00FA6D72" w:rsidRPr="00FA6D72">
        <w:t xml:space="preserve"> </w:t>
      </w:r>
      <w:r w:rsidRPr="00FA6D72">
        <w:t xml:space="preserve">missing data are unlikely to be a random sample of all patients in a trial. When </w:t>
      </w:r>
      <w:r w:rsidR="00C64F39" w:rsidRPr="00C64F39">
        <w:t xml:space="preserve">approximately </w:t>
      </w:r>
      <w:r w:rsidRPr="00C64F39">
        <w:t>50</w:t>
      </w:r>
      <w:r w:rsidR="00A8403F" w:rsidRPr="00C64F39">
        <w:t>%</w:t>
      </w:r>
      <w:r w:rsidRPr="00C64F39">
        <w:t xml:space="preserve"> of</w:t>
      </w:r>
      <w:r w:rsidR="00FA6D72" w:rsidRPr="00C64F39">
        <w:t xml:space="preserve"> </w:t>
      </w:r>
      <w:r w:rsidRPr="00C64F39">
        <w:t>data are missing this leads to significant uncertainty in the quality-of-life results from both</w:t>
      </w:r>
      <w:r w:rsidR="00FA6D72" w:rsidRPr="00FA6D72">
        <w:t xml:space="preserve"> </w:t>
      </w:r>
      <w:r w:rsidRPr="00FA6D72">
        <w:t>B02</w:t>
      </w:r>
      <w:r w:rsidR="004F7CE4">
        <w:t>1</w:t>
      </w:r>
      <w:r w:rsidRPr="00FA6D72">
        <w:t>990 and RTOG-0825.</w:t>
      </w:r>
    </w:p>
    <w:p w:rsidR="002C6E71" w:rsidRPr="00FA6D72" w:rsidRDefault="00A8403F" w:rsidP="00FA6D72">
      <w:r>
        <w:t>The Delegate of the Minister</w:t>
      </w:r>
      <w:r w:rsidR="002C6E71" w:rsidRPr="00FA6D72">
        <w:t xml:space="preserve"> ha</w:t>
      </w:r>
      <w:r>
        <w:t>s</w:t>
      </w:r>
      <w:r w:rsidR="002C6E71" w:rsidRPr="00FA6D72">
        <w:t xml:space="preserve"> therefore independently formed the view that the quality-of-life data, either on</w:t>
      </w:r>
      <w:r w:rsidR="00FA6D72" w:rsidRPr="00FA6D72">
        <w:t xml:space="preserve"> </w:t>
      </w:r>
      <w:r w:rsidR="002C6E71" w:rsidRPr="00FA6D72">
        <w:t>their own or when considered in combination with the progression-free survival data, do</w:t>
      </w:r>
      <w:r w:rsidR="00FA6D72" w:rsidRPr="00FA6D72">
        <w:t xml:space="preserve"> </w:t>
      </w:r>
      <w:r w:rsidR="002C6E71" w:rsidRPr="00FA6D72">
        <w:t xml:space="preserve">not satisfactorily establish the efficacy of </w:t>
      </w:r>
      <w:proofErr w:type="spellStart"/>
      <w:r w:rsidR="002C6E71" w:rsidRPr="00FA6D72">
        <w:t>bevacizum</w:t>
      </w:r>
      <w:r w:rsidR="007F3AD6">
        <w:t>a</w:t>
      </w:r>
      <w:r w:rsidR="002C6E71" w:rsidRPr="00FA6D72">
        <w:t>b</w:t>
      </w:r>
      <w:proofErr w:type="spellEnd"/>
      <w:r w:rsidR="002C6E71" w:rsidRPr="00FA6D72">
        <w:t xml:space="preserve"> for the extension-of-indication to</w:t>
      </w:r>
      <w:r w:rsidR="00FA6D72" w:rsidRPr="00FA6D72">
        <w:t xml:space="preserve"> </w:t>
      </w:r>
      <w:r w:rsidR="002C6E71" w:rsidRPr="00FA6D72">
        <w:t xml:space="preserve">newly-diagnosed </w:t>
      </w:r>
      <w:proofErr w:type="spellStart"/>
      <w:r w:rsidR="002C6E71" w:rsidRPr="00FA6D72">
        <w:t>glioblastoma</w:t>
      </w:r>
      <w:proofErr w:type="spellEnd"/>
      <w:r w:rsidR="002C6E71" w:rsidRPr="00FA6D72">
        <w:t>.</w:t>
      </w:r>
    </w:p>
    <w:p w:rsidR="002C6E71" w:rsidRPr="00FA6D72" w:rsidRDefault="002C6E71" w:rsidP="00DB1C93">
      <w:pPr>
        <w:pStyle w:val="Heading5"/>
      </w:pPr>
      <w:r w:rsidRPr="00FA6D72">
        <w:t>Overall</w:t>
      </w:r>
      <w:r w:rsidR="00A8403F">
        <w:t xml:space="preserve"> </w:t>
      </w:r>
      <w:r w:rsidRPr="00DB1C93">
        <w:t>surviv</w:t>
      </w:r>
      <w:r w:rsidR="00A8403F" w:rsidRPr="00DB1C93">
        <w:t>a</w:t>
      </w:r>
      <w:r w:rsidRPr="00DB1C93">
        <w:t>l</w:t>
      </w:r>
    </w:p>
    <w:p w:rsidR="002C6E71" w:rsidRPr="00FA6D72" w:rsidRDefault="002C6E71" w:rsidP="00FA6D72">
      <w:r w:rsidRPr="00FA6D72">
        <w:t>Switching on disease progression has become an increasingly common design feature of</w:t>
      </w:r>
      <w:r w:rsidR="00FA6D72" w:rsidRPr="00FA6D72">
        <w:t xml:space="preserve"> </w:t>
      </w:r>
      <w:r w:rsidRPr="00FA6D72">
        <w:t>trials that recruit patients with rapidly progressing and fatal cancer (to increase</w:t>
      </w:r>
      <w:r w:rsidR="00FA6D72" w:rsidRPr="00FA6D72">
        <w:t xml:space="preserve"> </w:t>
      </w:r>
      <w:r w:rsidRPr="00FA6D72">
        <w:t>participation and for ethical reasons). The contamination that occurs across treatment</w:t>
      </w:r>
      <w:r w:rsidR="00FA6D72" w:rsidRPr="00FA6D72">
        <w:t xml:space="preserve"> </w:t>
      </w:r>
      <w:r w:rsidRPr="00FA6D72">
        <w:t>arms (as a result of switching) means that the results for overall</w:t>
      </w:r>
      <w:r w:rsidR="00A8403F">
        <w:t xml:space="preserve"> </w:t>
      </w:r>
      <w:r w:rsidRPr="00FA6D72">
        <w:t>survival are not a valid</w:t>
      </w:r>
      <w:r w:rsidR="00FA6D72" w:rsidRPr="00FA6D72">
        <w:t xml:space="preserve"> </w:t>
      </w:r>
      <w:r w:rsidRPr="00FA6D72">
        <w:t xml:space="preserve">comparison of </w:t>
      </w:r>
      <w:proofErr w:type="spellStart"/>
      <w:r w:rsidR="00166F6A" w:rsidRPr="00FA6D72">
        <w:t>bevacizumab</w:t>
      </w:r>
      <w:proofErr w:type="spellEnd"/>
      <w:r w:rsidRPr="00FA6D72">
        <w:t xml:space="preserve"> versus no-</w:t>
      </w:r>
      <w:proofErr w:type="spellStart"/>
      <w:r w:rsidR="00166F6A" w:rsidRPr="00FA6D72">
        <w:t>bevacizumab</w:t>
      </w:r>
      <w:proofErr w:type="spellEnd"/>
      <w:r w:rsidRPr="00FA6D72">
        <w:t>.</w:t>
      </w:r>
    </w:p>
    <w:p w:rsidR="002C6E71" w:rsidRPr="00FA6D72" w:rsidRDefault="002C6E71" w:rsidP="00FA6D72">
      <w:r w:rsidRPr="00FA6D72">
        <w:t>Nevertheless, given the lack of established benefit for progression-free survival and</w:t>
      </w:r>
      <w:r w:rsidR="00FA6D72" w:rsidRPr="00FA6D72">
        <w:t xml:space="preserve"> </w:t>
      </w:r>
      <w:r w:rsidRPr="00FA6D72">
        <w:t>quality-of-life, it would have been reassuring if there had been an improvement in overall</w:t>
      </w:r>
      <w:r w:rsidR="00FA6D72" w:rsidRPr="00FA6D72">
        <w:t xml:space="preserve"> </w:t>
      </w:r>
      <w:r w:rsidRPr="00FA6D72">
        <w:t>survival. However, the difference-in-median overall survival in B02</w:t>
      </w:r>
      <w:r w:rsidR="004F7CE4">
        <w:t>1</w:t>
      </w:r>
      <w:r w:rsidRPr="00FA6D72">
        <w:t>99O was 0.1 months</w:t>
      </w:r>
      <w:r w:rsidR="00FA6D72" w:rsidRPr="00FA6D72">
        <w:t xml:space="preserve"> </w:t>
      </w:r>
      <w:r w:rsidRPr="00FA6D72">
        <w:t>and in RTOG-0825 it was -0.4 months.</w:t>
      </w:r>
    </w:p>
    <w:p w:rsidR="002C6E71" w:rsidRPr="00FA6D72" w:rsidRDefault="002C6E71" w:rsidP="00FA6D72">
      <w:r w:rsidRPr="00FA6D72">
        <w:t xml:space="preserve">Given the lack of established benefit for progression-free survival and quality-of-life, </w:t>
      </w:r>
      <w:r w:rsidR="00A8403F">
        <w:t>the Delegate of the Minister</w:t>
      </w:r>
      <w:r w:rsidR="00FA6D72" w:rsidRPr="00FA6D72">
        <w:t xml:space="preserve"> </w:t>
      </w:r>
      <w:r w:rsidRPr="00FA6D72">
        <w:t xml:space="preserve">independently formed the view that the data for overall survival are </w:t>
      </w:r>
      <w:r w:rsidR="004F7CE4">
        <w:t>not</w:t>
      </w:r>
      <w:r w:rsidR="004F7CE4" w:rsidRPr="00FA6D72">
        <w:t xml:space="preserve"> </w:t>
      </w:r>
      <w:r w:rsidRPr="00FA6D72">
        <w:t>sufficient to</w:t>
      </w:r>
      <w:r w:rsidR="00FA6D72" w:rsidRPr="00FA6D72">
        <w:t xml:space="preserve"> </w:t>
      </w:r>
      <w:r w:rsidRPr="00FA6D72">
        <w:t>satisfactorily establish efficacy.</w:t>
      </w:r>
    </w:p>
    <w:p w:rsidR="002C6E71" w:rsidRPr="00FA6D72" w:rsidRDefault="00A8403F" w:rsidP="00FA6D72">
      <w:r>
        <w:t>The Delegate of the Minister</w:t>
      </w:r>
      <w:r w:rsidR="002C6E71" w:rsidRPr="00FA6D72">
        <w:t xml:space="preserve"> note</w:t>
      </w:r>
      <w:r w:rsidR="00C64F39">
        <w:t>s</w:t>
      </w:r>
      <w:r w:rsidR="002C6E71" w:rsidRPr="00FA6D72">
        <w:t xml:space="preserve">, in passing, that the EMA is of the same view: </w:t>
      </w:r>
      <w:r w:rsidR="00775109" w:rsidRPr="00FA6D72">
        <w:t>‘</w:t>
      </w:r>
      <w:r w:rsidR="002C6E71" w:rsidRPr="00C64F39">
        <w:rPr>
          <w:i/>
        </w:rPr>
        <w:t>The p</w:t>
      </w:r>
      <w:r w:rsidR="00C64F39" w:rsidRPr="00C64F39">
        <w:rPr>
          <w:i/>
        </w:rPr>
        <w:t>a</w:t>
      </w:r>
      <w:r w:rsidR="002C6E71" w:rsidRPr="00C64F39">
        <w:rPr>
          <w:i/>
        </w:rPr>
        <w:t>nel w</w:t>
      </w:r>
      <w:r w:rsidR="00C64F39" w:rsidRPr="00C64F39">
        <w:rPr>
          <w:i/>
        </w:rPr>
        <w:t>a</w:t>
      </w:r>
      <w:r w:rsidR="002C6E71" w:rsidRPr="00C64F39">
        <w:rPr>
          <w:i/>
        </w:rPr>
        <w:t xml:space="preserve">s </w:t>
      </w:r>
      <w:r w:rsidR="00C64F39" w:rsidRPr="00C64F39">
        <w:rPr>
          <w:i/>
        </w:rPr>
        <w:t>also</w:t>
      </w:r>
      <w:r w:rsidR="002C6E71" w:rsidRPr="00C64F39">
        <w:rPr>
          <w:i/>
        </w:rPr>
        <w:t xml:space="preserve"> unh</w:t>
      </w:r>
      <w:r w:rsidR="00C64F39" w:rsidRPr="00C64F39">
        <w:rPr>
          <w:i/>
        </w:rPr>
        <w:t>a</w:t>
      </w:r>
      <w:r w:rsidR="002C6E71" w:rsidRPr="00C64F39">
        <w:rPr>
          <w:i/>
        </w:rPr>
        <w:t>ppy th</w:t>
      </w:r>
      <w:r w:rsidR="00C64F39" w:rsidRPr="00C64F39">
        <w:rPr>
          <w:i/>
        </w:rPr>
        <w:t>a</w:t>
      </w:r>
      <w:r w:rsidR="002C6E71" w:rsidRPr="00C64F39">
        <w:rPr>
          <w:i/>
        </w:rPr>
        <w:t>t there</w:t>
      </w:r>
      <w:r w:rsidR="00FA6D72" w:rsidRPr="00C64F39">
        <w:rPr>
          <w:i/>
        </w:rPr>
        <w:t xml:space="preserve"> </w:t>
      </w:r>
      <w:r w:rsidR="002C6E71" w:rsidRPr="00C64F39">
        <w:rPr>
          <w:i/>
        </w:rPr>
        <w:t>w</w:t>
      </w:r>
      <w:r w:rsidR="00C64F39" w:rsidRPr="00C64F39">
        <w:rPr>
          <w:i/>
        </w:rPr>
        <w:t>a</w:t>
      </w:r>
      <w:r w:rsidR="002C6E71" w:rsidRPr="00C64F39">
        <w:rPr>
          <w:i/>
        </w:rPr>
        <w:t>s no improvement in over</w:t>
      </w:r>
      <w:r w:rsidR="00C64F39" w:rsidRPr="00C64F39">
        <w:rPr>
          <w:i/>
        </w:rPr>
        <w:t xml:space="preserve">all </w:t>
      </w:r>
      <w:r w:rsidR="002C6E71" w:rsidRPr="00C64F39">
        <w:rPr>
          <w:i/>
        </w:rPr>
        <w:t>sur</w:t>
      </w:r>
      <w:r w:rsidR="00C64F39" w:rsidRPr="00C64F39">
        <w:rPr>
          <w:i/>
        </w:rPr>
        <w:t>v</w:t>
      </w:r>
      <w:r w:rsidR="002C6E71" w:rsidRPr="00C64F39">
        <w:rPr>
          <w:i/>
        </w:rPr>
        <w:t>iv</w:t>
      </w:r>
      <w:r w:rsidR="00C64F39" w:rsidRPr="00C64F39">
        <w:rPr>
          <w:i/>
        </w:rPr>
        <w:t>a</w:t>
      </w:r>
      <w:r w:rsidR="002C6E71" w:rsidRPr="00C64F39">
        <w:rPr>
          <w:i/>
        </w:rPr>
        <w:t>l (OS), concluding th</w:t>
      </w:r>
      <w:r w:rsidR="00C64F39" w:rsidRPr="00C64F39">
        <w:rPr>
          <w:i/>
        </w:rPr>
        <w:t>a</w:t>
      </w:r>
      <w:r w:rsidR="002C6E71" w:rsidRPr="00C64F39">
        <w:rPr>
          <w:i/>
        </w:rPr>
        <w:t>t on b</w:t>
      </w:r>
      <w:r w:rsidR="00C64F39" w:rsidRPr="00C64F39">
        <w:rPr>
          <w:i/>
        </w:rPr>
        <w:t>ala</w:t>
      </w:r>
      <w:r w:rsidR="002C6E71" w:rsidRPr="00C64F39">
        <w:rPr>
          <w:i/>
        </w:rPr>
        <w:t>nce the benefits of the</w:t>
      </w:r>
      <w:r w:rsidRPr="00C64F39">
        <w:rPr>
          <w:i/>
        </w:rPr>
        <w:t xml:space="preserve"> </w:t>
      </w:r>
      <w:r w:rsidR="002C6E71" w:rsidRPr="00C64F39">
        <w:rPr>
          <w:i/>
        </w:rPr>
        <w:t>dru</w:t>
      </w:r>
      <w:r w:rsidR="00C64F39" w:rsidRPr="00C64F39">
        <w:rPr>
          <w:i/>
        </w:rPr>
        <w:t>g</w:t>
      </w:r>
      <w:r w:rsidR="002C6E71" w:rsidRPr="00C64F39">
        <w:rPr>
          <w:i/>
        </w:rPr>
        <w:t xml:space="preserve"> did not outwei</w:t>
      </w:r>
      <w:r w:rsidR="00C64F39" w:rsidRPr="00C64F39">
        <w:rPr>
          <w:i/>
        </w:rPr>
        <w:t>g</w:t>
      </w:r>
      <w:r w:rsidR="002C6E71" w:rsidRPr="00C64F39">
        <w:rPr>
          <w:i/>
        </w:rPr>
        <w:t>h its risks</w:t>
      </w:r>
      <w:r w:rsidR="00C64F39" w:rsidRPr="00C64F39">
        <w:rPr>
          <w:i/>
        </w:rPr>
        <w:t xml:space="preserve"> </w:t>
      </w:r>
      <w:r w:rsidR="002C6E71" w:rsidRPr="00C64F39">
        <w:rPr>
          <w:i/>
        </w:rPr>
        <w:t>in this form of brain c</w:t>
      </w:r>
      <w:r w:rsidR="00C64F39" w:rsidRPr="00C64F39">
        <w:rPr>
          <w:i/>
        </w:rPr>
        <w:t>a</w:t>
      </w:r>
      <w:r w:rsidR="002C6E71" w:rsidRPr="00C64F39">
        <w:rPr>
          <w:i/>
        </w:rPr>
        <w:t xml:space="preserve">ncer, which constitutes </w:t>
      </w:r>
      <w:r w:rsidR="00C64F39" w:rsidRPr="00C64F39">
        <w:rPr>
          <w:i/>
        </w:rPr>
        <w:t>15 per cent</w:t>
      </w:r>
      <w:r w:rsidR="002C6E71" w:rsidRPr="00C64F39">
        <w:rPr>
          <w:i/>
        </w:rPr>
        <w:t xml:space="preserve"> of</w:t>
      </w:r>
      <w:r w:rsidRPr="00C64F39">
        <w:rPr>
          <w:i/>
        </w:rPr>
        <w:t xml:space="preserve"> </w:t>
      </w:r>
      <w:r w:rsidR="00C64F39" w:rsidRPr="00C64F39">
        <w:rPr>
          <w:i/>
        </w:rPr>
        <w:t xml:space="preserve">all </w:t>
      </w:r>
      <w:r w:rsidR="002C6E71" w:rsidRPr="00C64F39">
        <w:rPr>
          <w:i/>
        </w:rPr>
        <w:t xml:space="preserve">nervous system tumours </w:t>
      </w:r>
      <w:r w:rsidR="00C64F39" w:rsidRPr="00C64F39">
        <w:rPr>
          <w:i/>
        </w:rPr>
        <w:t>a</w:t>
      </w:r>
      <w:r w:rsidR="002C6E71" w:rsidRPr="00C64F39">
        <w:rPr>
          <w:i/>
        </w:rPr>
        <w:t>nd commonly occurs</w:t>
      </w:r>
      <w:r w:rsidR="00C64F39" w:rsidRPr="00C64F39">
        <w:rPr>
          <w:i/>
        </w:rPr>
        <w:t xml:space="preserve"> </w:t>
      </w:r>
      <w:r w:rsidR="002C6E71" w:rsidRPr="00C64F39">
        <w:rPr>
          <w:i/>
        </w:rPr>
        <w:t xml:space="preserve">in </w:t>
      </w:r>
      <w:r w:rsidR="00C64F39" w:rsidRPr="00C64F39">
        <w:rPr>
          <w:i/>
        </w:rPr>
        <w:t>adults 45 to 70 years</w:t>
      </w:r>
      <w:r w:rsidR="00C64F39">
        <w:rPr>
          <w:i/>
        </w:rPr>
        <w:t>’</w:t>
      </w:r>
      <w:r w:rsidR="00C64F39" w:rsidRPr="00C64F39">
        <w:t>.</w:t>
      </w:r>
      <w:r w:rsidR="00C64F39" w:rsidRPr="00C64F39">
        <w:rPr>
          <w:rStyle w:val="FootnoteReference"/>
        </w:rPr>
        <w:footnoteReference w:id="24"/>
      </w:r>
    </w:p>
    <w:p w:rsidR="002C6E71" w:rsidRPr="00FA6D72" w:rsidRDefault="00A8403F" w:rsidP="00FA6D72">
      <w:r>
        <w:lastRenderedPageBreak/>
        <w:t>The Delegate of the Minister is</w:t>
      </w:r>
      <w:r w:rsidR="002C6E71" w:rsidRPr="00FA6D72">
        <w:t xml:space="preserve"> also concerned that the results for overall survival from the two trials leave open the</w:t>
      </w:r>
      <w:r w:rsidR="00FA6D72" w:rsidRPr="00FA6D72">
        <w:t xml:space="preserve"> </w:t>
      </w:r>
      <w:r w:rsidR="002C6E71" w:rsidRPr="00FA6D72">
        <w:t xml:space="preserve">possibility that </w:t>
      </w:r>
      <w:proofErr w:type="spellStart"/>
      <w:r w:rsidR="00166F6A" w:rsidRPr="00FA6D72">
        <w:t>bevacizumab</w:t>
      </w:r>
      <w:proofErr w:type="spellEnd"/>
      <w:r w:rsidR="002C6E71" w:rsidRPr="00FA6D72">
        <w:t xml:space="preserve"> for newly-diagnosed </w:t>
      </w:r>
      <w:proofErr w:type="spellStart"/>
      <w:r w:rsidR="002C6E71" w:rsidRPr="00FA6D72">
        <w:t>glioblastoma</w:t>
      </w:r>
      <w:proofErr w:type="spellEnd"/>
      <w:r w:rsidR="002C6E71" w:rsidRPr="00FA6D72">
        <w:t xml:space="preserve"> could change the</w:t>
      </w:r>
      <w:r w:rsidR="00FA6D72" w:rsidRPr="00FA6D72">
        <w:t xml:space="preserve"> </w:t>
      </w:r>
      <w:r w:rsidR="002C6E71" w:rsidRPr="00FA6D72">
        <w:t>characteristics of the tumour, making it more resistant to further treatment, including</w:t>
      </w:r>
      <w:r w:rsidR="00FA6D72" w:rsidRPr="00FA6D72">
        <w:t xml:space="preserve"> </w:t>
      </w:r>
      <w:r w:rsidR="002C6E71" w:rsidRPr="00FA6D72">
        <w:t>further treatment wit</w:t>
      </w:r>
      <w:r w:rsidR="001D5E5F">
        <w:t>h</w:t>
      </w:r>
      <w:r w:rsidR="002C6E71" w:rsidRPr="00FA6D72">
        <w:t xml:space="preserve"> </w:t>
      </w:r>
      <w:proofErr w:type="spellStart"/>
      <w:r w:rsidR="00166F6A" w:rsidRPr="00FA6D72">
        <w:t>bevacizumab</w:t>
      </w:r>
      <w:proofErr w:type="spellEnd"/>
      <w:r w:rsidR="002C6E71" w:rsidRPr="00FA6D72">
        <w:t>.</w:t>
      </w:r>
    </w:p>
    <w:p w:rsidR="002C6E71" w:rsidRPr="00FA6D72" w:rsidRDefault="001D5E5F" w:rsidP="00FA6D72">
      <w:r>
        <w:t>The Delegate of the Minister</w:t>
      </w:r>
      <w:r w:rsidR="002C6E71" w:rsidRPr="00FA6D72">
        <w:t xml:space="preserve"> further note</w:t>
      </w:r>
      <w:r>
        <w:t>s</w:t>
      </w:r>
      <w:r w:rsidR="002C6E71" w:rsidRPr="00FA6D72">
        <w:t xml:space="preserve"> that one of the </w:t>
      </w:r>
      <w:proofErr w:type="spellStart"/>
      <w:r w:rsidR="002C6E71" w:rsidRPr="00FA6D72">
        <w:t>neuro</w:t>
      </w:r>
      <w:proofErr w:type="spellEnd"/>
      <w:r w:rsidR="002C6E71" w:rsidRPr="00FA6D72">
        <w:t>-oncologists was concerned that there might be a group</w:t>
      </w:r>
      <w:r w:rsidR="00FA6D72" w:rsidRPr="00FA6D72">
        <w:t xml:space="preserve"> </w:t>
      </w:r>
      <w:r w:rsidR="002C6E71" w:rsidRPr="00FA6D72">
        <w:t xml:space="preserve">of patients for whom early </w:t>
      </w:r>
      <w:proofErr w:type="spellStart"/>
      <w:r w:rsidR="00166F6A" w:rsidRPr="00FA6D72">
        <w:t>bevacizumab</w:t>
      </w:r>
      <w:proofErr w:type="spellEnd"/>
      <w:r w:rsidR="002C6E71" w:rsidRPr="00FA6D72">
        <w:t xml:space="preserve"> precludes reoperation. This is</w:t>
      </w:r>
      <w:r w:rsidR="00FA6D72" w:rsidRPr="00FA6D72">
        <w:t xml:space="preserve"> </w:t>
      </w:r>
      <w:r w:rsidR="002C6E71" w:rsidRPr="00FA6D72">
        <w:t xml:space="preserve">problematic because patients who are able to undergo subsequent </w:t>
      </w:r>
      <w:proofErr w:type="spellStart"/>
      <w:r w:rsidR="002C6E71" w:rsidRPr="00FA6D72">
        <w:t>debulking</w:t>
      </w:r>
      <w:proofErr w:type="spellEnd"/>
      <w:r w:rsidR="002C6E71" w:rsidRPr="00FA6D72">
        <w:t xml:space="preserve"> of tumour</w:t>
      </w:r>
      <w:r w:rsidR="00FA6D72" w:rsidRPr="00FA6D72">
        <w:t xml:space="preserve"> </w:t>
      </w:r>
      <w:r w:rsidR="00C64F39">
        <w:t>(that is,</w:t>
      </w:r>
      <w:r w:rsidR="002C6E71" w:rsidRPr="00FA6D72">
        <w:t xml:space="preserve"> re-operation) may have a chance of improved survival, which could be precluded by</w:t>
      </w:r>
      <w:r w:rsidR="00FA6D72" w:rsidRPr="00FA6D72">
        <w:t xml:space="preserve"> </w:t>
      </w:r>
      <w:r w:rsidR="002C6E71" w:rsidRPr="00FA6D72">
        <w:t xml:space="preserve">the use of </w:t>
      </w:r>
      <w:proofErr w:type="spellStart"/>
      <w:r w:rsidR="00166F6A" w:rsidRPr="00FA6D72">
        <w:t>bevacizumab</w:t>
      </w:r>
      <w:proofErr w:type="spellEnd"/>
      <w:r w:rsidR="002C6E71" w:rsidRPr="00FA6D72">
        <w:t xml:space="preserve"> when the tumour is newly diagnosed. The sponsor's response of</w:t>
      </w:r>
      <w:r w:rsidR="00FA6D72" w:rsidRPr="00FA6D72">
        <w:t xml:space="preserve"> </w:t>
      </w:r>
      <w:r w:rsidR="002C6E71" w:rsidRPr="00FA6D72">
        <w:t>28 August 2014, on this issue, has been noted.</w:t>
      </w:r>
    </w:p>
    <w:p w:rsidR="002C6E71" w:rsidRPr="00FA6D72" w:rsidRDefault="002C6E71" w:rsidP="00FA6D72">
      <w:r w:rsidRPr="00FA6D72">
        <w:t xml:space="preserve">This effect of </w:t>
      </w:r>
      <w:proofErr w:type="spellStart"/>
      <w:r w:rsidR="00166F6A" w:rsidRPr="00FA6D72">
        <w:t>bevacizumab</w:t>
      </w:r>
      <w:proofErr w:type="spellEnd"/>
      <w:r w:rsidRPr="00FA6D72">
        <w:t xml:space="preserve"> (for newly-diagnosed </w:t>
      </w:r>
      <w:proofErr w:type="spellStart"/>
      <w:r w:rsidRPr="00FA6D72">
        <w:t>glioblastoma</w:t>
      </w:r>
      <w:proofErr w:type="spellEnd"/>
      <w:r w:rsidRPr="00FA6D72">
        <w:t>) on the efficacy of</w:t>
      </w:r>
      <w:r w:rsidR="00FA6D72" w:rsidRPr="00FA6D72">
        <w:t xml:space="preserve"> </w:t>
      </w:r>
      <w:r w:rsidRPr="00FA6D72">
        <w:t>subsequent treatments (</w:t>
      </w:r>
      <w:r w:rsidR="001D5E5F">
        <w:t>for example,</w:t>
      </w:r>
      <w:r w:rsidRPr="00FA6D72">
        <w:t xml:space="preserve"> subsequent </w:t>
      </w:r>
      <w:proofErr w:type="spellStart"/>
      <w:r w:rsidRPr="00FA6D72">
        <w:t>bev</w:t>
      </w:r>
      <w:r w:rsidR="007F3AD6">
        <w:t>a</w:t>
      </w:r>
      <w:r w:rsidRPr="00FA6D72">
        <w:t>cizumab</w:t>
      </w:r>
      <w:proofErr w:type="spellEnd"/>
      <w:r w:rsidRPr="00FA6D72">
        <w:t>, further surgery) is not a proven</w:t>
      </w:r>
      <w:r w:rsidR="00FA6D72" w:rsidRPr="00FA6D72">
        <w:t xml:space="preserve"> </w:t>
      </w:r>
      <w:r w:rsidRPr="00FA6D72">
        <w:t>risk, but in the absence of established benefit for overall survival with switching) it</w:t>
      </w:r>
      <w:r w:rsidR="00FA6D72" w:rsidRPr="00FA6D72">
        <w:t xml:space="preserve"> </w:t>
      </w:r>
      <w:r w:rsidRPr="00FA6D72">
        <w:t>remains a potential and concerning risk.</w:t>
      </w:r>
    </w:p>
    <w:p w:rsidR="002C6E71" w:rsidRPr="00FA6D72" w:rsidRDefault="001D5E5F" w:rsidP="00DB1C93">
      <w:pPr>
        <w:pStyle w:val="Heading5"/>
      </w:pPr>
      <w:r w:rsidRPr="00DB1C93">
        <w:t>S</w:t>
      </w:r>
      <w:r w:rsidR="002C6E71" w:rsidRPr="00DB1C93">
        <w:t>afety</w:t>
      </w:r>
    </w:p>
    <w:p w:rsidR="002C6E71" w:rsidRPr="00FA6D72" w:rsidRDefault="002C6E71" w:rsidP="00FA6D72">
      <w:r w:rsidRPr="00FA6D72">
        <w:t>If safety and efficacy were to be assessed in isolation, then any product with the potential</w:t>
      </w:r>
      <w:r w:rsidR="00FA6D72" w:rsidRPr="00FA6D72">
        <w:t xml:space="preserve"> </w:t>
      </w:r>
      <w:r w:rsidRPr="00FA6D72">
        <w:t>to cause harm to a patient could not be considered to be safe. Therefore, no medicinal</w:t>
      </w:r>
      <w:r w:rsidR="00FA6D72" w:rsidRPr="00FA6D72">
        <w:t xml:space="preserve"> </w:t>
      </w:r>
      <w:r w:rsidRPr="00FA6D72">
        <w:t>product would meet the criteria for registration. It is only in the context of a prospect of a</w:t>
      </w:r>
      <w:r w:rsidR="00FA6D72" w:rsidRPr="00FA6D72">
        <w:t xml:space="preserve"> </w:t>
      </w:r>
      <w:r w:rsidRPr="00FA6D72">
        <w:t>real benefit from treatment in a patient that the safety profile could be considered</w:t>
      </w:r>
      <w:r w:rsidR="00FA6D72" w:rsidRPr="00FA6D72">
        <w:t xml:space="preserve"> </w:t>
      </w:r>
      <w:r w:rsidRPr="00FA6D72">
        <w:t>acceptable</w:t>
      </w:r>
      <w:r w:rsidR="001D5E5F">
        <w:t>.</w:t>
      </w:r>
    </w:p>
    <w:p w:rsidR="002C6E71" w:rsidRPr="00FA6D72" w:rsidRDefault="002C6E71" w:rsidP="00FA6D72">
      <w:r w:rsidRPr="00FA6D72">
        <w:t>For this particular application, if efficacy could be satisfactorily established using the</w:t>
      </w:r>
      <w:r w:rsidR="00FA6D72" w:rsidRPr="00FA6D72">
        <w:t xml:space="preserve"> </w:t>
      </w:r>
      <w:r w:rsidRPr="00FA6D72">
        <w:t>results from one or more of the endpoints of quality-of-life, progression-free survival or</w:t>
      </w:r>
      <w:r w:rsidR="00FA6D72" w:rsidRPr="00FA6D72">
        <w:t xml:space="preserve"> </w:t>
      </w:r>
      <w:r w:rsidRPr="00FA6D72">
        <w:t>overall surviva</w:t>
      </w:r>
      <w:r w:rsidR="00FA6D72" w:rsidRPr="00FA6D72">
        <w:t>l</w:t>
      </w:r>
      <w:r w:rsidRPr="00FA6D72">
        <w:t xml:space="preserve">, then the well-established safety problems with </w:t>
      </w:r>
      <w:proofErr w:type="spellStart"/>
      <w:r w:rsidR="00166F6A" w:rsidRPr="00FA6D72">
        <w:t>bevacizumab</w:t>
      </w:r>
      <w:proofErr w:type="spellEnd"/>
      <w:r w:rsidRPr="00FA6D72">
        <w:t xml:space="preserve"> (</w:t>
      </w:r>
      <w:r w:rsidR="001D5E5F">
        <w:t>for example,</w:t>
      </w:r>
      <w:r w:rsidR="00FA6D72" w:rsidRPr="00FA6D72">
        <w:t xml:space="preserve"> </w:t>
      </w:r>
      <w:r w:rsidRPr="00FA6D72">
        <w:t>increased risk of neutropenia, serious haemorrhage, wound dehiscence,</w:t>
      </w:r>
      <w:r w:rsidR="00FA6D72" w:rsidRPr="00FA6D72">
        <w:t xml:space="preserve"> </w:t>
      </w:r>
      <w:r w:rsidRPr="00FA6D72">
        <w:t>gastrointestinal perforation) might be acceptable. However, in the absence of established efficacy, the</w:t>
      </w:r>
      <w:r w:rsidR="00FA6D72" w:rsidRPr="00FA6D72">
        <w:t xml:space="preserve"> </w:t>
      </w:r>
      <w:r w:rsidRPr="00FA6D72">
        <w:t xml:space="preserve">well-established safety problems with </w:t>
      </w:r>
      <w:proofErr w:type="spellStart"/>
      <w:r w:rsidR="00166F6A" w:rsidRPr="00FA6D72">
        <w:t>bevacizumab</w:t>
      </w:r>
      <w:proofErr w:type="spellEnd"/>
      <w:r w:rsidRPr="00FA6D72">
        <w:t xml:space="preserve"> mean that safety was not</w:t>
      </w:r>
      <w:r w:rsidR="00FA6D72" w:rsidRPr="00FA6D72">
        <w:t xml:space="preserve"> </w:t>
      </w:r>
      <w:r w:rsidRPr="00FA6D72">
        <w:t>satisfactorily established.</w:t>
      </w:r>
    </w:p>
    <w:p w:rsidR="00FA6D72" w:rsidRPr="00FA6D72" w:rsidRDefault="002C6E71" w:rsidP="00DB1C93">
      <w:pPr>
        <w:pStyle w:val="Heading5"/>
      </w:pPr>
      <w:r w:rsidRPr="00C64F39">
        <w:t>Synthesis of results</w:t>
      </w:r>
      <w:r w:rsidR="00C64F39" w:rsidRPr="00C64F39">
        <w:t xml:space="preserve"> </w:t>
      </w:r>
      <w:r w:rsidRPr="00C64F39">
        <w:t>for</w:t>
      </w:r>
      <w:r w:rsidR="00C64F39" w:rsidRPr="00C64F39">
        <w:t xml:space="preserve"> </w:t>
      </w:r>
      <w:r w:rsidRPr="00C64F39">
        <w:t>progression</w:t>
      </w:r>
      <w:r w:rsidR="00C64F39" w:rsidRPr="00C64F39">
        <w:t xml:space="preserve"> </w:t>
      </w:r>
      <w:r w:rsidRPr="00C64F39">
        <w:t xml:space="preserve">free </w:t>
      </w:r>
      <w:r w:rsidRPr="00DB1C93">
        <w:t>survival</w:t>
      </w:r>
      <w:r w:rsidRPr="00C64F39">
        <w:t>, overall</w:t>
      </w:r>
      <w:r w:rsidR="00C64F39" w:rsidRPr="00C64F39">
        <w:t xml:space="preserve"> </w:t>
      </w:r>
      <w:r w:rsidRPr="00C64F39">
        <w:t>s</w:t>
      </w:r>
      <w:r w:rsidR="00C64F39" w:rsidRPr="00C64F39">
        <w:t>urvival</w:t>
      </w:r>
      <w:r w:rsidRPr="00C64F39">
        <w:t>, quality-o</w:t>
      </w:r>
      <w:r w:rsidR="00C64F39" w:rsidRPr="00C64F39">
        <w:t>f</w:t>
      </w:r>
      <w:r w:rsidRPr="00C64F39">
        <w:t>-</w:t>
      </w:r>
      <w:r w:rsidR="00C64F39" w:rsidRPr="00C64F39">
        <w:t>life</w:t>
      </w:r>
    </w:p>
    <w:p w:rsidR="002C6E71" w:rsidRPr="00FA6D72" w:rsidRDefault="002C6E71" w:rsidP="00FA6D72">
      <w:r w:rsidRPr="00FA6D72">
        <w:t>For this particular application there is material uncertainty in the results from both of the</w:t>
      </w:r>
      <w:r w:rsidR="001D5E5F">
        <w:t xml:space="preserve"> </w:t>
      </w:r>
      <w:r w:rsidRPr="00FA6D72">
        <w:t>Phase</w:t>
      </w:r>
      <w:r w:rsidR="001D5E5F">
        <w:t xml:space="preserve"> III </w:t>
      </w:r>
      <w:r w:rsidRPr="00FA6D72">
        <w:t>trials (B021990 and RTOB-0825) for all three efficacy endpoints quality-of-life</w:t>
      </w:r>
      <w:r w:rsidR="00FA6D72" w:rsidRPr="00FA6D72">
        <w:t xml:space="preserve"> </w:t>
      </w:r>
      <w:r w:rsidRPr="00FA6D72">
        <w:t>(much missing data; inconsistent results between the two trials), progression-free</w:t>
      </w:r>
      <w:r w:rsidR="00FA6D72" w:rsidRPr="00FA6D72">
        <w:t xml:space="preserve"> </w:t>
      </w:r>
      <w:r w:rsidRPr="00FA6D72">
        <w:t>survival</w:t>
      </w:r>
      <w:r w:rsidR="00FA6D72" w:rsidRPr="00FA6D72">
        <w:t xml:space="preserve"> </w:t>
      </w:r>
      <w:r w:rsidRPr="00FA6D72">
        <w:t>(concerns about accuracy of measuring progression), and overall survival (contamination</w:t>
      </w:r>
      <w:r w:rsidR="00FA6D72" w:rsidRPr="00FA6D72">
        <w:t xml:space="preserve"> </w:t>
      </w:r>
      <w:r w:rsidRPr="00FA6D72">
        <w:t xml:space="preserve">caused by switching). Accordingly, </w:t>
      </w:r>
      <w:r w:rsidR="001D5E5F">
        <w:t>the Delegate of the Minister</w:t>
      </w:r>
      <w:r w:rsidRPr="00FA6D72">
        <w:t xml:space="preserve"> find</w:t>
      </w:r>
      <w:r w:rsidR="001D5E5F">
        <w:t>s</w:t>
      </w:r>
      <w:r w:rsidRPr="00FA6D72">
        <w:t xml:space="preserve"> that efficacy has not been satisfactorily</w:t>
      </w:r>
      <w:r w:rsidR="00FA6D72" w:rsidRPr="00FA6D72">
        <w:t xml:space="preserve"> </w:t>
      </w:r>
      <w:r w:rsidRPr="00FA6D72">
        <w:t>established.</w:t>
      </w:r>
    </w:p>
    <w:p w:rsidR="002C6E71" w:rsidRPr="00FA6D72" w:rsidRDefault="002C6E71" w:rsidP="00FA6D72">
      <w:r w:rsidRPr="00FA6D72">
        <w:t xml:space="preserve">The advice from the two Australian </w:t>
      </w:r>
      <w:proofErr w:type="spellStart"/>
      <w:r w:rsidRPr="00FA6D72">
        <w:t>neuro</w:t>
      </w:r>
      <w:proofErr w:type="spellEnd"/>
      <w:r w:rsidRPr="00FA6D72">
        <w:t xml:space="preserve">-oncologists is that </w:t>
      </w:r>
      <w:proofErr w:type="spellStart"/>
      <w:r w:rsidR="00166F6A" w:rsidRPr="00FA6D72">
        <w:t>bevacizumab</w:t>
      </w:r>
      <w:proofErr w:type="spellEnd"/>
      <w:r w:rsidRPr="00FA6D72">
        <w:t xml:space="preserve"> is of benefit to</w:t>
      </w:r>
      <w:r w:rsidR="00FA6D72" w:rsidRPr="00FA6D72">
        <w:t xml:space="preserve"> </w:t>
      </w:r>
      <w:r w:rsidRPr="00FA6D72">
        <w:t>patients with relapsed/progressed disease (one of the currently registered indications).</w:t>
      </w:r>
    </w:p>
    <w:p w:rsidR="002C6E71" w:rsidRPr="00FA6D72" w:rsidRDefault="002C6E71" w:rsidP="00FA6D72">
      <w:r w:rsidRPr="00FA6D72">
        <w:t xml:space="preserve">However, neither of the </w:t>
      </w:r>
      <w:proofErr w:type="spellStart"/>
      <w:r w:rsidRPr="00FA6D72">
        <w:t>neuro</w:t>
      </w:r>
      <w:proofErr w:type="spellEnd"/>
      <w:r w:rsidRPr="00FA6D72">
        <w:t xml:space="preserve">-oncologists could reassure </w:t>
      </w:r>
      <w:r w:rsidR="001D5E5F">
        <w:t>the Delegate of the Minister</w:t>
      </w:r>
      <w:r w:rsidRPr="00FA6D72">
        <w:t xml:space="preserve"> that there are benefits for</w:t>
      </w:r>
      <w:r w:rsidR="00FA6D72" w:rsidRPr="00FA6D72">
        <w:t xml:space="preserve"> </w:t>
      </w:r>
      <w:r w:rsidRPr="00FA6D72">
        <w:t xml:space="preserve">typical patients with newly-diagnosed </w:t>
      </w:r>
      <w:proofErr w:type="spellStart"/>
      <w:r w:rsidRPr="00FA6D72">
        <w:t>glioblastoma</w:t>
      </w:r>
      <w:proofErr w:type="spellEnd"/>
      <w:r w:rsidRPr="00FA6D72">
        <w:t>.</w:t>
      </w:r>
    </w:p>
    <w:p w:rsidR="002C6E71" w:rsidRPr="00FA6D72" w:rsidRDefault="002C6E71" w:rsidP="00FA6D72">
      <w:r w:rsidRPr="00FA6D72">
        <w:t xml:space="preserve">One important factor in </w:t>
      </w:r>
      <w:r w:rsidR="001D5E5F">
        <w:t>the Delegate of the Minister’s</w:t>
      </w:r>
      <w:r w:rsidRPr="00FA6D72">
        <w:t xml:space="preserve"> decision to confirm the initial decision not to approve the</w:t>
      </w:r>
      <w:r w:rsidR="00FA6D72" w:rsidRPr="00FA6D72">
        <w:t xml:space="preserve"> </w:t>
      </w:r>
      <w:r w:rsidRPr="00FA6D72">
        <w:t xml:space="preserve">extension-of-indication is the similar, separate responses of the two Australian </w:t>
      </w:r>
      <w:proofErr w:type="spellStart"/>
      <w:r w:rsidRPr="00FA6D72">
        <w:t>neuro</w:t>
      </w:r>
      <w:proofErr w:type="spellEnd"/>
      <w:r w:rsidR="00FA6D72" w:rsidRPr="00FA6D72">
        <w:t>-on</w:t>
      </w:r>
      <w:r w:rsidRPr="00FA6D72">
        <w:t>cologists to the following question:</w:t>
      </w:r>
    </w:p>
    <w:p w:rsidR="002C6E71" w:rsidRPr="001D5E5F" w:rsidRDefault="002C6E71" w:rsidP="001D5E5F">
      <w:pPr>
        <w:ind w:left="720"/>
        <w:rPr>
          <w:i/>
        </w:rPr>
      </w:pPr>
      <w:r w:rsidRPr="001D5E5F">
        <w:rPr>
          <w:i/>
        </w:rPr>
        <w:t>Given the currently available evidence-base, coupled with your clinical experience</w:t>
      </w:r>
      <w:r w:rsidR="00FA6D72" w:rsidRPr="001D5E5F">
        <w:rPr>
          <w:i/>
        </w:rPr>
        <w:t xml:space="preserve"> </w:t>
      </w:r>
      <w:r w:rsidRPr="001D5E5F">
        <w:rPr>
          <w:i/>
        </w:rPr>
        <w:t>in treating these patients, what do you advise newly-diagnosed patients about the</w:t>
      </w:r>
      <w:r w:rsidR="00FA6D72" w:rsidRPr="001D5E5F">
        <w:rPr>
          <w:i/>
        </w:rPr>
        <w:t xml:space="preserve"> </w:t>
      </w:r>
      <w:r w:rsidRPr="001D5E5F">
        <w:rPr>
          <w:i/>
        </w:rPr>
        <w:t xml:space="preserve">use of </w:t>
      </w:r>
      <w:proofErr w:type="spellStart"/>
      <w:r w:rsidR="00166F6A" w:rsidRPr="001D5E5F">
        <w:rPr>
          <w:i/>
        </w:rPr>
        <w:t>bevacizumab</w:t>
      </w:r>
      <w:proofErr w:type="spellEnd"/>
      <w:r w:rsidRPr="001D5E5F">
        <w:rPr>
          <w:i/>
        </w:rPr>
        <w:t xml:space="preserve"> in the management of their </w:t>
      </w:r>
      <w:proofErr w:type="spellStart"/>
      <w:r w:rsidRPr="001D5E5F">
        <w:rPr>
          <w:i/>
        </w:rPr>
        <w:t>glioblastoma</w:t>
      </w:r>
      <w:proofErr w:type="spellEnd"/>
      <w:r w:rsidRPr="001D5E5F">
        <w:rPr>
          <w:i/>
        </w:rPr>
        <w:t>?</w:t>
      </w:r>
    </w:p>
    <w:p w:rsidR="002C6E71" w:rsidRPr="00FA6D72" w:rsidRDefault="002C6E71" w:rsidP="00FA6D72">
      <w:r w:rsidRPr="00FA6D72">
        <w:t xml:space="preserve">Both </w:t>
      </w:r>
      <w:proofErr w:type="spellStart"/>
      <w:r w:rsidRPr="00FA6D72">
        <w:t>neuro</w:t>
      </w:r>
      <w:proofErr w:type="spellEnd"/>
      <w:r w:rsidRPr="00FA6D72">
        <w:t>-oncologists separately and independently stated that in the setting of newly</w:t>
      </w:r>
      <w:r w:rsidR="00FA6D72" w:rsidRPr="00FA6D72">
        <w:t xml:space="preserve"> </w:t>
      </w:r>
      <w:r w:rsidRPr="00FA6D72">
        <w:t>diagnosed</w:t>
      </w:r>
      <w:r w:rsidR="00FA6D72" w:rsidRPr="00FA6D72">
        <w:t xml:space="preserve"> </w:t>
      </w:r>
      <w:proofErr w:type="spellStart"/>
      <w:r w:rsidRPr="00FA6D72">
        <w:t>glioblastoma</w:t>
      </w:r>
      <w:proofErr w:type="spellEnd"/>
      <w:r w:rsidRPr="00FA6D72">
        <w:t xml:space="preserve"> they would advise patients against using </w:t>
      </w:r>
      <w:proofErr w:type="spellStart"/>
      <w:r w:rsidR="00166F6A" w:rsidRPr="00FA6D72">
        <w:t>bevacizumab</w:t>
      </w:r>
      <w:proofErr w:type="spellEnd"/>
      <w:r w:rsidRPr="00FA6D72">
        <w:t xml:space="preserve">. Briefly, one </w:t>
      </w:r>
      <w:proofErr w:type="spellStart"/>
      <w:r w:rsidRPr="00FA6D72">
        <w:t>neuro</w:t>
      </w:r>
      <w:proofErr w:type="spellEnd"/>
      <w:r w:rsidRPr="00FA6D72">
        <w:t xml:space="preserve">-oncologist wrote, </w:t>
      </w:r>
      <w:r w:rsidR="00775109" w:rsidRPr="00FA6D72">
        <w:t>‘</w:t>
      </w:r>
      <w:r w:rsidRPr="001D5E5F">
        <w:rPr>
          <w:i/>
        </w:rPr>
        <w:t>I do not believe there is a current</w:t>
      </w:r>
      <w:r w:rsidR="00FA6D72" w:rsidRPr="001D5E5F">
        <w:rPr>
          <w:i/>
        </w:rPr>
        <w:t xml:space="preserve"> </w:t>
      </w:r>
      <w:r w:rsidRPr="001D5E5F">
        <w:rPr>
          <w:i/>
        </w:rPr>
        <w:t xml:space="preserve">clinical indication that supports the addition of </w:t>
      </w:r>
      <w:proofErr w:type="spellStart"/>
      <w:r w:rsidR="00166F6A" w:rsidRPr="001D5E5F">
        <w:rPr>
          <w:i/>
        </w:rPr>
        <w:t>bevacizumab</w:t>
      </w:r>
      <w:proofErr w:type="spellEnd"/>
      <w:r w:rsidRPr="001D5E5F">
        <w:rPr>
          <w:i/>
        </w:rPr>
        <w:t xml:space="preserve"> to their surgery, radiation</w:t>
      </w:r>
      <w:r w:rsidR="00FA6D72" w:rsidRPr="001D5E5F">
        <w:rPr>
          <w:i/>
        </w:rPr>
        <w:t xml:space="preserve"> </w:t>
      </w:r>
      <w:r w:rsidRPr="001D5E5F">
        <w:rPr>
          <w:i/>
        </w:rPr>
        <w:t xml:space="preserve">and </w:t>
      </w:r>
      <w:proofErr w:type="spellStart"/>
      <w:r w:rsidRPr="001D5E5F">
        <w:rPr>
          <w:i/>
        </w:rPr>
        <w:t>te</w:t>
      </w:r>
      <w:r w:rsidR="007F3AD6">
        <w:rPr>
          <w:i/>
        </w:rPr>
        <w:t>m</w:t>
      </w:r>
      <w:r w:rsidRPr="001D5E5F">
        <w:rPr>
          <w:i/>
        </w:rPr>
        <w:t>ozolomide</w:t>
      </w:r>
      <w:proofErr w:type="spellEnd"/>
      <w:r w:rsidRPr="001D5E5F">
        <w:rPr>
          <w:i/>
        </w:rPr>
        <w:t xml:space="preserve"> the</w:t>
      </w:r>
      <w:r w:rsidR="001D5E5F">
        <w:rPr>
          <w:i/>
        </w:rPr>
        <w:t>rapies.</w:t>
      </w:r>
      <w:r w:rsidRPr="001D5E5F">
        <w:rPr>
          <w:i/>
        </w:rPr>
        <w:t xml:space="preserve"> </w:t>
      </w:r>
      <w:r w:rsidR="00775109" w:rsidRPr="00FA6D72">
        <w:t>‘</w:t>
      </w:r>
      <w:r w:rsidRPr="00FA6D72">
        <w:t xml:space="preserve"> The other wrote, </w:t>
      </w:r>
      <w:r w:rsidR="00775109" w:rsidRPr="00FA6D72">
        <w:t>‘</w:t>
      </w:r>
      <w:r w:rsidRPr="001D5E5F">
        <w:rPr>
          <w:i/>
        </w:rPr>
        <w:t>I discuss the data with particular</w:t>
      </w:r>
      <w:r w:rsidR="00FA6D72" w:rsidRPr="001D5E5F">
        <w:rPr>
          <w:i/>
        </w:rPr>
        <w:t xml:space="preserve"> </w:t>
      </w:r>
      <w:r w:rsidRPr="001D5E5F">
        <w:rPr>
          <w:i/>
        </w:rPr>
        <w:t xml:space="preserve">reference to the lack of </w:t>
      </w:r>
      <w:r w:rsidRPr="001D5E5F">
        <w:rPr>
          <w:i/>
        </w:rPr>
        <w:lastRenderedPageBreak/>
        <w:t>overall survival benefit, and my concerns that early use of</w:t>
      </w:r>
      <w:r w:rsidR="00FA6D72" w:rsidRPr="001D5E5F">
        <w:rPr>
          <w:i/>
        </w:rPr>
        <w:t xml:space="preserve"> </w:t>
      </w:r>
      <w:proofErr w:type="spellStart"/>
      <w:r w:rsidR="00166F6A" w:rsidRPr="001D5E5F">
        <w:rPr>
          <w:i/>
        </w:rPr>
        <w:t>bevacizumab</w:t>
      </w:r>
      <w:proofErr w:type="spellEnd"/>
      <w:r w:rsidRPr="001D5E5F">
        <w:rPr>
          <w:i/>
        </w:rPr>
        <w:t xml:space="preserve"> may preclude further surgery. I provide reassurance that </w:t>
      </w:r>
      <w:proofErr w:type="spellStart"/>
      <w:r w:rsidR="00166F6A" w:rsidRPr="001D5E5F">
        <w:rPr>
          <w:i/>
        </w:rPr>
        <w:t>bevacizumab</w:t>
      </w:r>
      <w:proofErr w:type="spellEnd"/>
      <w:r w:rsidRPr="001D5E5F">
        <w:rPr>
          <w:i/>
        </w:rPr>
        <w:t xml:space="preserve"> will</w:t>
      </w:r>
      <w:r w:rsidR="00FA6D72" w:rsidRPr="001D5E5F">
        <w:rPr>
          <w:i/>
        </w:rPr>
        <w:t xml:space="preserve"> </w:t>
      </w:r>
      <w:r w:rsidRPr="001D5E5F">
        <w:rPr>
          <w:i/>
        </w:rPr>
        <w:t>be considered and discussed at the time of progression</w:t>
      </w:r>
      <w:proofErr w:type="gramStart"/>
      <w:r w:rsidRPr="001D5E5F">
        <w:rPr>
          <w:i/>
        </w:rPr>
        <w:t>.</w:t>
      </w:r>
      <w:r w:rsidR="00775109" w:rsidRPr="00FA6D72">
        <w:t>‘</w:t>
      </w:r>
      <w:proofErr w:type="gramEnd"/>
    </w:p>
    <w:p w:rsidR="002C6E71" w:rsidRPr="00FA6D72" w:rsidRDefault="002C6E71" w:rsidP="00FA6D72">
      <w:r w:rsidRPr="00FA6D72">
        <w:t xml:space="preserve">The sponsor's response of 28 August 2014 to the </w:t>
      </w:r>
      <w:proofErr w:type="spellStart"/>
      <w:r w:rsidRPr="00FA6D72">
        <w:t>neuro</w:t>
      </w:r>
      <w:proofErr w:type="spellEnd"/>
      <w:r w:rsidRPr="00FA6D72">
        <w:t>-oncologists' advice on this</w:t>
      </w:r>
      <w:r w:rsidR="00FA6D72" w:rsidRPr="00FA6D72">
        <w:t xml:space="preserve"> </w:t>
      </w:r>
      <w:r w:rsidRPr="00FA6D72">
        <w:t>question has been noted.</w:t>
      </w:r>
    </w:p>
    <w:p w:rsidR="002C6E71" w:rsidRPr="00FA6D72" w:rsidRDefault="001D5E5F" w:rsidP="00FA6D72">
      <w:r>
        <w:t xml:space="preserve">The Delegate of the Minister </w:t>
      </w:r>
      <w:r w:rsidR="002C6E71" w:rsidRPr="00FA6D72">
        <w:t>ha</w:t>
      </w:r>
      <w:r>
        <w:t>s</w:t>
      </w:r>
      <w:r w:rsidR="002C6E71" w:rsidRPr="00FA6D72">
        <w:t xml:space="preserve"> given weight to the </w:t>
      </w:r>
      <w:proofErr w:type="spellStart"/>
      <w:r w:rsidR="002C6E71" w:rsidRPr="00FA6D72">
        <w:t>neuro</w:t>
      </w:r>
      <w:proofErr w:type="spellEnd"/>
      <w:r w:rsidR="002C6E71" w:rsidRPr="00FA6D72">
        <w:t>-oncologists' advice because of their ability to integrate</w:t>
      </w:r>
      <w:r w:rsidR="00FA6D72" w:rsidRPr="00FA6D72">
        <w:t xml:space="preserve"> </w:t>
      </w:r>
      <w:r w:rsidR="002C6E71" w:rsidRPr="00FA6D72">
        <w:t>the results from the trials with their extensive clinical experience in treating patients with</w:t>
      </w:r>
      <w:r w:rsidR="00FA6D72" w:rsidRPr="00FA6D72">
        <w:t xml:space="preserve"> </w:t>
      </w:r>
      <w:r w:rsidR="002C6E71" w:rsidRPr="00FA6D72">
        <w:t xml:space="preserve">newly-diagnosed </w:t>
      </w:r>
      <w:proofErr w:type="spellStart"/>
      <w:r w:rsidR="002C6E71" w:rsidRPr="00FA6D72">
        <w:t>glioblastoma</w:t>
      </w:r>
      <w:proofErr w:type="spellEnd"/>
      <w:r w:rsidR="002C6E71" w:rsidRPr="00FA6D72">
        <w:t xml:space="preserve"> in Australia.</w:t>
      </w:r>
    </w:p>
    <w:p w:rsidR="002C6E71" w:rsidRPr="00FA6D72" w:rsidRDefault="009A43C8" w:rsidP="00DB1C93">
      <w:pPr>
        <w:pStyle w:val="Heading4"/>
      </w:pPr>
      <w:r>
        <w:t xml:space="preserve">Delegate of the </w:t>
      </w:r>
      <w:r w:rsidRPr="00DB1C93">
        <w:t>Minister</w:t>
      </w:r>
      <w:r w:rsidR="007F3AD6" w:rsidRPr="00DB1C93">
        <w:t>’</w:t>
      </w:r>
      <w:r w:rsidRPr="00DB1C93">
        <w:t>s</w:t>
      </w:r>
      <w:r>
        <w:t xml:space="preserve"> c</w:t>
      </w:r>
      <w:r w:rsidR="002C6E71" w:rsidRPr="00FA6D72">
        <w:t>onclusion</w:t>
      </w:r>
    </w:p>
    <w:p w:rsidR="002C6E71" w:rsidRPr="00FA6D72" w:rsidRDefault="002C6E71" w:rsidP="00FA6D72">
      <w:r w:rsidRPr="00FA6D72">
        <w:t xml:space="preserve">For the reasons detailed above, </w:t>
      </w:r>
      <w:r w:rsidR="001D5E5F">
        <w:t xml:space="preserve">the Delegate of the Minister </w:t>
      </w:r>
      <w:r w:rsidRPr="00FA6D72">
        <w:t>decided to confirm the initial decision not to</w:t>
      </w:r>
      <w:r w:rsidR="00FA6D72" w:rsidRPr="00FA6D72">
        <w:t xml:space="preserve"> </w:t>
      </w:r>
      <w:r w:rsidRPr="00FA6D72">
        <w:t xml:space="preserve">register </w:t>
      </w:r>
      <w:proofErr w:type="spellStart"/>
      <w:r w:rsidR="00166F6A" w:rsidRPr="00FA6D72">
        <w:t>bevacizumab</w:t>
      </w:r>
      <w:proofErr w:type="spellEnd"/>
      <w:r w:rsidRPr="00FA6D72">
        <w:t xml:space="preserve"> for newly diagnosed metastatic </w:t>
      </w:r>
      <w:proofErr w:type="spellStart"/>
      <w:r w:rsidRPr="00FA6D72">
        <w:t>glioblastoma</w:t>
      </w:r>
      <w:proofErr w:type="spellEnd"/>
      <w:r w:rsidRPr="00FA6D72">
        <w:t xml:space="preserve"> because the efficacy</w:t>
      </w:r>
      <w:r w:rsidR="00FA6D72" w:rsidRPr="00FA6D72">
        <w:t xml:space="preserve"> </w:t>
      </w:r>
      <w:r w:rsidRPr="00FA6D72">
        <w:t>and safety of the goods for the purpose for which they are to be used have not been</w:t>
      </w:r>
      <w:r w:rsidR="00FA6D72" w:rsidRPr="00FA6D72">
        <w:t xml:space="preserve"> </w:t>
      </w:r>
      <w:r w:rsidRPr="00FA6D72">
        <w:t>satisfactorily established.</w:t>
      </w:r>
    </w:p>
    <w:p w:rsidR="002C6E71" w:rsidRPr="00FA6D72" w:rsidRDefault="00FA6D72" w:rsidP="00FA6D72">
      <w:r w:rsidRPr="00222A0F">
        <w:t>S</w:t>
      </w:r>
      <w:r w:rsidR="002C6E71" w:rsidRPr="00222A0F">
        <w:t>ubject to the Administr</w:t>
      </w:r>
      <w:r w:rsidRPr="00222A0F">
        <w:t>ative Appea</w:t>
      </w:r>
      <w:r w:rsidR="002C6E71" w:rsidRPr="00222A0F">
        <w:t>ls Tribun</w:t>
      </w:r>
      <w:r w:rsidRPr="00222A0F">
        <w:t>a</w:t>
      </w:r>
      <w:r w:rsidR="002C6E71" w:rsidRPr="00222A0F">
        <w:t>l</w:t>
      </w:r>
      <w:r w:rsidRPr="00222A0F">
        <w:t xml:space="preserve"> </w:t>
      </w:r>
      <w:r w:rsidR="002C6E71" w:rsidRPr="00222A0F">
        <w:t>Act</w:t>
      </w:r>
      <w:r w:rsidR="00B626F5" w:rsidRPr="00222A0F">
        <w:t xml:space="preserve"> </w:t>
      </w:r>
      <w:r w:rsidR="002C6E71" w:rsidRPr="00222A0F">
        <w:t xml:space="preserve">1975, </w:t>
      </w:r>
      <w:r w:rsidRPr="00222A0F">
        <w:t xml:space="preserve">the sponsor </w:t>
      </w:r>
      <w:r w:rsidR="002C6E71" w:rsidRPr="00222A0F">
        <w:t xml:space="preserve">can </w:t>
      </w:r>
      <w:r w:rsidR="001D5E5F" w:rsidRPr="00222A0F">
        <w:t xml:space="preserve">at this point </w:t>
      </w:r>
      <w:r w:rsidR="002C6E71" w:rsidRPr="00222A0F">
        <w:t>make an application to the Administrative Appeals Tribunal for a review of this</w:t>
      </w:r>
      <w:r w:rsidRPr="00222A0F">
        <w:t xml:space="preserve"> </w:t>
      </w:r>
      <w:r w:rsidR="002C6E71" w:rsidRPr="00222A0F">
        <w:t>decision.</w:t>
      </w:r>
    </w:p>
    <w:p w:rsidR="00C80137" w:rsidRDefault="004C67AA" w:rsidP="004C67AA">
      <w:pPr>
        <w:pStyle w:val="Heading2"/>
        <w:rPr>
          <w:lang w:eastAsia="en-AU"/>
        </w:rPr>
      </w:pPr>
      <w:bookmarkStart w:id="120" w:name="_Toc384807779"/>
      <w:bookmarkStart w:id="121" w:name="_Toc404950785"/>
      <w:bookmarkEnd w:id="117"/>
      <w:bookmarkEnd w:id="118"/>
      <w:proofErr w:type="gramStart"/>
      <w:r>
        <w:rPr>
          <w:lang w:eastAsia="en-AU"/>
        </w:rPr>
        <w:t xml:space="preserve">Attachment </w:t>
      </w:r>
      <w:r w:rsidR="007516A6">
        <w:rPr>
          <w:lang w:eastAsia="en-AU"/>
        </w:rPr>
        <w:t>1</w:t>
      </w:r>
      <w:r>
        <w:rPr>
          <w:lang w:eastAsia="en-AU"/>
        </w:rPr>
        <w:t>.</w:t>
      </w:r>
      <w:proofErr w:type="gramEnd"/>
      <w:r>
        <w:rPr>
          <w:lang w:eastAsia="en-AU"/>
        </w:rPr>
        <w:t xml:space="preserve"> Extract from the Clinical Evaluation Report</w:t>
      </w:r>
      <w:bookmarkEnd w:id="120"/>
      <w:bookmarkEnd w:id="121"/>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46"/>
          <w:headerReference w:type="default" r:id="rId47"/>
          <w:footerReference w:type="default" r:id="rId48"/>
          <w:headerReference w:type="first" r:id="rId49"/>
          <w:footerReference w:type="first" r:id="rId5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525E14">
        <w:trPr>
          <w:trHeight w:hRule="exact" w:val="704"/>
        </w:trPr>
        <w:tc>
          <w:tcPr>
            <w:tcW w:w="9175" w:type="dxa"/>
          </w:tcPr>
          <w:p w:rsidR="001C32CD" w:rsidRPr="00487162" w:rsidRDefault="001C32CD" w:rsidP="00525E14">
            <w:pPr>
              <w:pStyle w:val="TGASignoff"/>
            </w:pPr>
            <w:r w:rsidRPr="00487162">
              <w:lastRenderedPageBreak/>
              <w:t>Therapeutic Goods Administration</w:t>
            </w:r>
          </w:p>
        </w:tc>
      </w:tr>
      <w:tr w:rsidR="001C32CD" w:rsidRPr="004C239D" w:rsidTr="00525E14">
        <w:trPr>
          <w:trHeight w:val="1221"/>
        </w:trPr>
        <w:tc>
          <w:tcPr>
            <w:tcW w:w="9175" w:type="dxa"/>
            <w:tcMar>
              <w:top w:w="28" w:type="dxa"/>
            </w:tcMar>
          </w:tcPr>
          <w:p w:rsidR="001C32CD" w:rsidRPr="00487162" w:rsidRDefault="001C32CD" w:rsidP="00525E14">
            <w:pPr>
              <w:pStyle w:val="Address"/>
            </w:pPr>
            <w:r w:rsidRPr="00487162">
              <w:t>PO Box 100 Woden ACT 2606 Australia</w:t>
            </w:r>
          </w:p>
          <w:p w:rsidR="001C32CD" w:rsidRPr="00487162" w:rsidRDefault="001C32CD" w:rsidP="00525E14">
            <w:pPr>
              <w:pStyle w:val="Address"/>
            </w:pPr>
            <w:r w:rsidRPr="00487162">
              <w:t xml:space="preserve">Email: </w:t>
            </w:r>
            <w:hyperlink r:id="rId51" w:history="1">
              <w:r w:rsidRPr="004C239D">
                <w:rPr>
                  <w:rStyle w:val="Hyperlink"/>
                </w:rPr>
                <w:t>info@tga.gov.au</w:t>
              </w:r>
            </w:hyperlink>
            <w:r w:rsidR="00AB7CEC">
              <w:t xml:space="preserve"> </w:t>
            </w:r>
            <w:r w:rsidRPr="00487162">
              <w:t>Phone: 1800 020 653</w:t>
            </w:r>
            <w:r w:rsidR="00AB7CEC">
              <w:t xml:space="preserve"> </w:t>
            </w:r>
            <w:r w:rsidRPr="00487162">
              <w:t>Fax: 02 6232 8605</w:t>
            </w:r>
          </w:p>
          <w:p w:rsidR="001C32CD" w:rsidRPr="004C239D" w:rsidRDefault="00602F5D" w:rsidP="00525E14">
            <w:pPr>
              <w:pStyle w:val="Address"/>
              <w:spacing w:line="260" w:lineRule="atLeast"/>
              <w:rPr>
                <w:b/>
                <w:color w:val="0000FF"/>
                <w:u w:val="single"/>
              </w:rPr>
            </w:pPr>
            <w:hyperlink r:id="rId52" w:history="1">
              <w:r w:rsidR="001C32CD" w:rsidRPr="00607888">
                <w:rPr>
                  <w:rStyle w:val="Hyperlink"/>
                  <w:b/>
                </w:rPr>
                <w:t>http://www.tga.gov.au</w:t>
              </w:r>
            </w:hyperlink>
          </w:p>
        </w:tc>
      </w:tr>
    </w:tbl>
    <w:p w:rsidR="00774E1D" w:rsidRPr="008A5E0B" w:rsidRDefault="00774E1D" w:rsidP="004C239D"/>
    <w:sectPr w:rsidR="00774E1D" w:rsidRPr="008A5E0B" w:rsidSect="001C32CD">
      <w:headerReference w:type="even" r:id="rId53"/>
      <w:headerReference w:type="default" r:id="rId54"/>
      <w:footerReference w:type="default" r:id="rId55"/>
      <w:headerReference w:type="first" r:id="rId56"/>
      <w:footerReference w:type="first" r:id="rId5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C69" w:rsidRDefault="00053C69" w:rsidP="00C40A36">
      <w:pPr>
        <w:spacing w:after="0"/>
      </w:pPr>
      <w:r>
        <w:separator/>
      </w:r>
    </w:p>
  </w:endnote>
  <w:endnote w:type="continuationSeparator" w:id="0">
    <w:p w:rsidR="00053C69" w:rsidRDefault="00053C6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rialMT">
    <w:panose1 w:val="00000000000000000000"/>
    <w:charset w:val="00"/>
    <w:family w:val="swiss"/>
    <w:notTrueType/>
    <w:pitch w:val="default"/>
    <w:sig w:usb0="00000003" w:usb1="00000000" w:usb2="00000000" w:usb3="00000000" w:csb0="00000001" w:csb1="00000000"/>
  </w:font>
  <w:font w:name="AdvGulliv-R">
    <w:panose1 w:val="00000000000000000000"/>
    <w:charset w:val="00"/>
    <w:family w:val="auto"/>
    <w:notTrueType/>
    <w:pitch w:val="default"/>
    <w:sig w:usb0="00000003" w:usb1="00000000" w:usb2="00000000" w:usb3="00000000" w:csb0="00000001" w:csb1="00000000"/>
  </w:font>
  <w:font w:name="Imago">
    <w:altName w:val="Georgia"/>
    <w:charset w:val="00"/>
    <w:family w:val="auto"/>
    <w:pitch w:val="variable"/>
    <w:sig w:usb0="00000001" w:usb1="5000205B"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Imago-Medium">
    <w:panose1 w:val="00000000000000000000"/>
    <w:charset w:val="00"/>
    <w:family w:val="swiss"/>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053C69" w:rsidRPr="00487162" w:rsidTr="0053625B">
      <w:trPr>
        <w:trHeight w:val="269"/>
      </w:trPr>
      <w:tc>
        <w:tcPr>
          <w:tcW w:w="7938" w:type="dxa"/>
          <w:tcMar>
            <w:top w:w="142" w:type="dxa"/>
            <w:bottom w:w="0" w:type="dxa"/>
          </w:tcMar>
        </w:tcPr>
        <w:p w:rsidR="00053C69" w:rsidRDefault="00053C69" w:rsidP="00D855D4">
          <w:pPr>
            <w:pStyle w:val="Footer"/>
            <w:rPr>
              <w:sz w:val="18"/>
              <w:szCs w:val="18"/>
            </w:rPr>
          </w:pPr>
          <w:proofErr w:type="spellStart"/>
          <w:r w:rsidRPr="00044660">
            <w:rPr>
              <w:sz w:val="18"/>
              <w:szCs w:val="18"/>
            </w:rPr>
            <w:t>AusPAR</w:t>
          </w:r>
          <w:proofErr w:type="spellEnd"/>
          <w:r w:rsidRPr="00044660">
            <w:rPr>
              <w:sz w:val="18"/>
              <w:szCs w:val="18"/>
            </w:rPr>
            <w:t xml:space="preserve"> </w:t>
          </w:r>
          <w:proofErr w:type="spellStart"/>
          <w:r w:rsidRPr="00044660">
            <w:rPr>
              <w:sz w:val="18"/>
              <w:szCs w:val="18"/>
            </w:rPr>
            <w:t>Avastin</w:t>
          </w:r>
          <w:proofErr w:type="spellEnd"/>
          <w:r w:rsidRPr="00044660">
            <w:rPr>
              <w:sz w:val="18"/>
              <w:szCs w:val="18"/>
            </w:rPr>
            <w:t xml:space="preserve"> </w:t>
          </w:r>
          <w:proofErr w:type="spellStart"/>
          <w:r w:rsidRPr="00044660">
            <w:rPr>
              <w:sz w:val="18"/>
              <w:szCs w:val="18"/>
            </w:rPr>
            <w:t>Bevacizumab</w:t>
          </w:r>
          <w:proofErr w:type="spellEnd"/>
          <w:r w:rsidRPr="00044660">
            <w:rPr>
              <w:sz w:val="18"/>
              <w:szCs w:val="18"/>
            </w:rPr>
            <w:t xml:space="preserve"> Roche Products Pty Ltd PM-2013-00709-1-4 </w:t>
          </w:r>
        </w:p>
        <w:p w:rsidR="00053C69" w:rsidRPr="00487162" w:rsidRDefault="00053C69" w:rsidP="00D855D4">
          <w:pPr>
            <w:pStyle w:val="Footer"/>
          </w:pPr>
          <w:r>
            <w:rPr>
              <w:sz w:val="18"/>
              <w:szCs w:val="18"/>
            </w:rPr>
            <w:t>Final 3 November 2014</w:t>
          </w:r>
        </w:p>
      </w:tc>
      <w:tc>
        <w:tcPr>
          <w:tcW w:w="923" w:type="dxa"/>
          <w:tcMar>
            <w:top w:w="142" w:type="dxa"/>
            <w:bottom w:w="0" w:type="dxa"/>
          </w:tcMar>
        </w:tcPr>
        <w:p w:rsidR="00053C69" w:rsidRPr="00487162" w:rsidRDefault="00053C69" w:rsidP="00D855D4">
          <w:pPr>
            <w:pStyle w:val="Footer"/>
            <w:jc w:val="right"/>
          </w:pPr>
          <w:r w:rsidRPr="00487162">
            <w:t xml:space="preserve">Page </w:t>
          </w:r>
          <w:r>
            <w:t>2</w:t>
          </w:r>
          <w:r w:rsidRPr="00487162">
            <w:t xml:space="preserve"> of </w:t>
          </w:r>
          <w:r w:rsidR="00602F5D">
            <w:fldChar w:fldCharType="begin"/>
          </w:r>
          <w:r w:rsidR="00602F5D">
            <w:instrText xml:space="preserve"> NUMPAGES  \* Arabic </w:instrText>
          </w:r>
          <w:r w:rsidR="00602F5D">
            <w:fldChar w:fldCharType="separate"/>
          </w:r>
          <w:r w:rsidR="00602F5D">
            <w:rPr>
              <w:noProof/>
            </w:rPr>
            <w:t>59</w:t>
          </w:r>
          <w:r w:rsidR="00602F5D">
            <w:rPr>
              <w:noProof/>
            </w:rPr>
            <w:fldChar w:fldCharType="end"/>
          </w:r>
        </w:p>
      </w:tc>
    </w:tr>
  </w:tbl>
  <w:p w:rsidR="00053C69" w:rsidRDefault="00053C69"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670"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5965"/>
      <w:gridCol w:w="2705"/>
    </w:tblGrid>
    <w:tr w:rsidR="00053C69" w:rsidRPr="00487162" w:rsidTr="005D4AAA">
      <w:trPr>
        <w:trHeight w:val="323"/>
      </w:trPr>
      <w:tc>
        <w:tcPr>
          <w:tcW w:w="5965" w:type="dxa"/>
          <w:tcMar>
            <w:top w:w="142" w:type="dxa"/>
            <w:bottom w:w="0" w:type="dxa"/>
          </w:tcMar>
        </w:tcPr>
        <w:p w:rsidR="00053C69" w:rsidRPr="00044660" w:rsidRDefault="00053C69" w:rsidP="00874B8F">
          <w:pPr>
            <w:pStyle w:val="Footer"/>
            <w:rPr>
              <w:sz w:val="18"/>
              <w:szCs w:val="18"/>
            </w:rPr>
          </w:pPr>
          <w:proofErr w:type="spellStart"/>
          <w:r w:rsidRPr="00044660">
            <w:rPr>
              <w:sz w:val="18"/>
              <w:szCs w:val="18"/>
            </w:rPr>
            <w:t>AusPAR</w:t>
          </w:r>
          <w:proofErr w:type="spellEnd"/>
          <w:r w:rsidRPr="00044660">
            <w:rPr>
              <w:sz w:val="18"/>
              <w:szCs w:val="18"/>
            </w:rPr>
            <w:t xml:space="preserve"> </w:t>
          </w:r>
          <w:proofErr w:type="spellStart"/>
          <w:r w:rsidRPr="00044660">
            <w:rPr>
              <w:sz w:val="18"/>
              <w:szCs w:val="18"/>
            </w:rPr>
            <w:t>Avastin</w:t>
          </w:r>
          <w:proofErr w:type="spellEnd"/>
          <w:r w:rsidRPr="00044660">
            <w:rPr>
              <w:sz w:val="18"/>
              <w:szCs w:val="18"/>
            </w:rPr>
            <w:t xml:space="preserve"> </w:t>
          </w:r>
          <w:proofErr w:type="spellStart"/>
          <w:r w:rsidRPr="00044660">
            <w:rPr>
              <w:sz w:val="18"/>
              <w:szCs w:val="18"/>
            </w:rPr>
            <w:t>Bevacizumab</w:t>
          </w:r>
          <w:proofErr w:type="spellEnd"/>
          <w:r w:rsidRPr="00044660">
            <w:rPr>
              <w:sz w:val="18"/>
              <w:szCs w:val="18"/>
            </w:rPr>
            <w:t xml:space="preserve"> Roche Products Pty Ltd PM-2013-00709-1-4 </w:t>
          </w:r>
          <w:r>
            <w:rPr>
              <w:sz w:val="18"/>
              <w:szCs w:val="18"/>
            </w:rPr>
            <w:t>Final 3 November 2014</w:t>
          </w:r>
        </w:p>
      </w:tc>
      <w:tc>
        <w:tcPr>
          <w:tcW w:w="2705" w:type="dxa"/>
          <w:tcMar>
            <w:top w:w="142" w:type="dxa"/>
            <w:bottom w:w="0" w:type="dxa"/>
          </w:tcMar>
        </w:tcPr>
        <w:p w:rsidR="00053C69" w:rsidRPr="00487162" w:rsidRDefault="00053C69" w:rsidP="00E45619">
          <w:pPr>
            <w:pStyle w:val="Footer"/>
            <w:jc w:val="right"/>
          </w:pPr>
          <w:r w:rsidRPr="00487162">
            <w:t xml:space="preserve">Page </w:t>
          </w:r>
          <w:r>
            <w:fldChar w:fldCharType="begin"/>
          </w:r>
          <w:r>
            <w:instrText>PAGE</w:instrText>
          </w:r>
          <w:r>
            <w:fldChar w:fldCharType="separate"/>
          </w:r>
          <w:r w:rsidR="00602F5D">
            <w:rPr>
              <w:noProof/>
            </w:rPr>
            <w:t>45</w:t>
          </w:r>
          <w:r>
            <w:rPr>
              <w:noProof/>
            </w:rPr>
            <w:fldChar w:fldCharType="end"/>
          </w:r>
          <w:r w:rsidRPr="00487162">
            <w:t xml:space="preserve"> of </w:t>
          </w:r>
          <w:r w:rsidR="00602F5D">
            <w:fldChar w:fldCharType="begin"/>
          </w:r>
          <w:r w:rsidR="00602F5D">
            <w:instrText xml:space="preserve"> NUMPAGES  \* Arabic </w:instrText>
          </w:r>
          <w:r w:rsidR="00602F5D">
            <w:fldChar w:fldCharType="separate"/>
          </w:r>
          <w:r w:rsidR="00602F5D">
            <w:rPr>
              <w:noProof/>
            </w:rPr>
            <w:t>59</w:t>
          </w:r>
          <w:r w:rsidR="00602F5D">
            <w:rPr>
              <w:noProof/>
            </w:rPr>
            <w:fldChar w:fldCharType="end"/>
          </w:r>
        </w:p>
      </w:tc>
    </w:tr>
  </w:tbl>
  <w:p w:rsidR="00053C69" w:rsidRDefault="00053C69"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53C69" w:rsidRPr="00487162" w:rsidTr="00E45619">
      <w:trPr>
        <w:trHeight w:val="269"/>
      </w:trPr>
      <w:tc>
        <w:tcPr>
          <w:tcW w:w="4519" w:type="dxa"/>
          <w:tcBorders>
            <w:top w:val="single" w:sz="4" w:space="0" w:color="auto"/>
          </w:tcBorders>
          <w:tcMar>
            <w:top w:w="142" w:type="dxa"/>
            <w:bottom w:w="0" w:type="dxa"/>
          </w:tcMar>
        </w:tcPr>
        <w:p w:rsidR="00053C69" w:rsidRPr="00487162" w:rsidRDefault="00053C69" w:rsidP="00FE1DEE">
          <w:pPr>
            <w:pStyle w:val="Footer"/>
          </w:pPr>
          <w:r w:rsidRPr="00487162">
            <w:t>Document title, Part #, Section # - Section title</w:t>
          </w:r>
        </w:p>
        <w:p w:rsidR="00053C69" w:rsidRPr="00487162" w:rsidRDefault="00053C69" w:rsidP="00FE1DEE">
          <w:pPr>
            <w:pStyle w:val="Footer"/>
          </w:pPr>
          <w:r w:rsidRPr="00487162">
            <w:t>V1.0 October 2010</w:t>
          </w:r>
        </w:p>
      </w:tc>
      <w:tc>
        <w:tcPr>
          <w:tcW w:w="4342" w:type="dxa"/>
          <w:tcBorders>
            <w:top w:val="single" w:sz="4" w:space="0" w:color="auto"/>
          </w:tcBorders>
          <w:tcMar>
            <w:top w:w="142" w:type="dxa"/>
            <w:bottom w:w="0" w:type="dxa"/>
          </w:tcMar>
        </w:tcPr>
        <w:p w:rsidR="00053C69" w:rsidRPr="00487162" w:rsidRDefault="00053C6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602F5D">
            <w:fldChar w:fldCharType="begin"/>
          </w:r>
          <w:r w:rsidR="00602F5D">
            <w:instrText xml:space="preserve"> NUMPAGES  </w:instrText>
          </w:r>
          <w:r w:rsidR="00602F5D">
            <w:fldChar w:fldCharType="separate"/>
          </w:r>
          <w:r>
            <w:rPr>
              <w:noProof/>
            </w:rPr>
            <w:t>58</w:t>
          </w:r>
          <w:r w:rsidR="00602F5D">
            <w:rPr>
              <w:noProof/>
            </w:rPr>
            <w:fldChar w:fldCharType="end"/>
          </w:r>
        </w:p>
      </w:tc>
    </w:tr>
  </w:tbl>
  <w:p w:rsidR="00053C69" w:rsidRDefault="00053C6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C69" w:rsidRPr="001C32CD" w:rsidRDefault="00053C69" w:rsidP="001C32C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53C69" w:rsidTr="0010601F">
      <w:trPr>
        <w:trHeight w:val="108"/>
      </w:trPr>
      <w:tc>
        <w:tcPr>
          <w:tcW w:w="8875" w:type="dxa"/>
          <w:gridSpan w:val="2"/>
          <w:tcBorders>
            <w:bottom w:val="single" w:sz="4" w:space="0" w:color="auto"/>
          </w:tcBorders>
          <w:tcMar>
            <w:right w:w="284" w:type="dxa"/>
          </w:tcMar>
        </w:tcPr>
        <w:p w:rsidR="00053C69" w:rsidRDefault="00053C69" w:rsidP="006E08B3">
          <w:pPr>
            <w:pStyle w:val="Heading3"/>
          </w:pPr>
          <w:r>
            <w:t>Copyright</w:t>
          </w:r>
        </w:p>
        <w:p w:rsidR="00053C69" w:rsidRDefault="00053C69" w:rsidP="006E08B3">
          <w:r>
            <w:rPr>
              <w:rFonts w:cs="Arial"/>
            </w:rPr>
            <w:t>©</w:t>
          </w:r>
          <w:r>
            <w:t xml:space="preserve"> Commonwealth of Australia [add year]</w:t>
          </w:r>
        </w:p>
        <w:p w:rsidR="00053C69" w:rsidRDefault="00053C69" w:rsidP="006E08B3"/>
        <w:p w:rsidR="00053C69" w:rsidRDefault="00053C6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053C69" w:rsidRDefault="00053C69" w:rsidP="006E08B3"/>
        <w:p w:rsidR="00053C69" w:rsidRDefault="00053C69" w:rsidP="006E08B3">
          <w:pPr>
            <w:pStyle w:val="Heading3"/>
          </w:pPr>
          <w:r>
            <w:t>Confidentiality</w:t>
          </w:r>
        </w:p>
        <w:p w:rsidR="00053C69" w:rsidRDefault="00053C6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53C69" w:rsidRDefault="00053C69" w:rsidP="006E08B3"/>
        <w:p w:rsidR="00053C69" w:rsidRDefault="00053C69" w:rsidP="006E08B3">
          <w:r>
            <w:t>For submission made by individuals, all personal details, other than your name, will be removed from your submission before it is published on the TGA’s Internet site.</w:t>
          </w:r>
        </w:p>
        <w:p w:rsidR="00053C69" w:rsidRDefault="00053C69" w:rsidP="006E08B3"/>
        <w:p w:rsidR="00053C69" w:rsidRDefault="00053C69" w:rsidP="006E08B3">
          <w:r>
            <w:t>In addition, a list of parties making submissions will be published. If you do not wish to be identified with your submission you must specifically request this in the space provided ib the submission coversheet.</w:t>
          </w:r>
        </w:p>
      </w:tc>
    </w:tr>
    <w:tr w:rsidR="00053C69" w:rsidTr="0010601F">
      <w:trPr>
        <w:trHeight w:val="417"/>
      </w:trPr>
      <w:tc>
        <w:tcPr>
          <w:tcW w:w="4519" w:type="dxa"/>
          <w:tcBorders>
            <w:top w:val="single" w:sz="4" w:space="0" w:color="auto"/>
          </w:tcBorders>
          <w:tcMar>
            <w:top w:w="142" w:type="dxa"/>
            <w:bottom w:w="0" w:type="dxa"/>
          </w:tcMar>
        </w:tcPr>
        <w:p w:rsidR="00053C69" w:rsidRDefault="00053C69" w:rsidP="006E08B3">
          <w:r>
            <w:t>Document title, Part #, Section # - Section title</w:t>
          </w:r>
        </w:p>
        <w:p w:rsidR="00053C69" w:rsidRDefault="00053C69" w:rsidP="006E08B3">
          <w:r>
            <w:t>V1.0 October 2010</w:t>
          </w:r>
        </w:p>
      </w:tc>
      <w:tc>
        <w:tcPr>
          <w:tcW w:w="4356" w:type="dxa"/>
          <w:tcBorders>
            <w:top w:val="single" w:sz="4" w:space="0" w:color="auto"/>
          </w:tcBorders>
          <w:tcMar>
            <w:top w:w="142" w:type="dxa"/>
            <w:bottom w:w="0" w:type="dxa"/>
          </w:tcMar>
        </w:tcPr>
        <w:p w:rsidR="00053C69" w:rsidRDefault="00053C6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602F5D">
            <w:fldChar w:fldCharType="begin"/>
          </w:r>
          <w:r w:rsidR="00602F5D">
            <w:instrText xml:space="preserve"> NUMPAGES  \* Arabic </w:instrText>
          </w:r>
          <w:r w:rsidR="00602F5D">
            <w:fldChar w:fldCharType="separate"/>
          </w:r>
          <w:r>
            <w:rPr>
              <w:noProof/>
            </w:rPr>
            <w:t>58</w:t>
          </w:r>
          <w:r w:rsidR="00602F5D">
            <w:rPr>
              <w:noProof/>
            </w:rPr>
            <w:fldChar w:fldCharType="end"/>
          </w:r>
          <w:r>
            <w:t xml:space="preserve"> </w:t>
          </w:r>
        </w:p>
      </w:tc>
    </w:tr>
  </w:tbl>
  <w:p w:rsidR="00053C69" w:rsidRDefault="00053C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C69" w:rsidRDefault="00053C69" w:rsidP="00C40A36">
      <w:pPr>
        <w:spacing w:after="0"/>
      </w:pPr>
      <w:r>
        <w:separator/>
      </w:r>
    </w:p>
  </w:footnote>
  <w:footnote w:type="continuationSeparator" w:id="0">
    <w:p w:rsidR="00053C69" w:rsidRDefault="00053C69" w:rsidP="00C40A36">
      <w:pPr>
        <w:spacing w:after="0"/>
      </w:pPr>
      <w:r>
        <w:continuationSeparator/>
      </w:r>
    </w:p>
  </w:footnote>
  <w:footnote w:id="1">
    <w:p w:rsidR="00053C69" w:rsidRPr="008024B6" w:rsidRDefault="00053C69">
      <w:pPr>
        <w:pStyle w:val="FootnoteText"/>
      </w:pPr>
      <w:r>
        <w:rPr>
          <w:rStyle w:val="FootnoteReference"/>
        </w:rPr>
        <w:footnoteRef/>
      </w:r>
      <w:r>
        <w:rPr>
          <w:rFonts w:eastAsiaTheme="minorHAnsi" w:cs="Arial"/>
          <w:bCs/>
          <w:szCs w:val="22"/>
        </w:rPr>
        <w:t xml:space="preserve"> </w:t>
      </w:r>
      <w:r w:rsidRPr="008024B6">
        <w:t xml:space="preserve">Clinical Trial Substantiates the Predictive Value of O-6-Methylguanine-DNA </w:t>
      </w:r>
      <w:proofErr w:type="spellStart"/>
      <w:r w:rsidRPr="008024B6">
        <w:t>Methyltransferase</w:t>
      </w:r>
      <w:proofErr w:type="spellEnd"/>
      <w:r w:rsidRPr="008024B6">
        <w:t xml:space="preserve"> Promoter Methylation in </w:t>
      </w:r>
      <w:proofErr w:type="spellStart"/>
      <w:r w:rsidRPr="008024B6">
        <w:t>Glioblastoma</w:t>
      </w:r>
      <w:proofErr w:type="spellEnd"/>
      <w:r w:rsidRPr="008024B6">
        <w:t xml:space="preserve"> Patients Treated with </w:t>
      </w:r>
      <w:proofErr w:type="spellStart"/>
      <w:r w:rsidRPr="008024B6">
        <w:t>Temozolomide</w:t>
      </w:r>
      <w:proofErr w:type="spellEnd"/>
      <w:r w:rsidRPr="008024B6">
        <w:t xml:space="preserve">. </w:t>
      </w:r>
      <w:proofErr w:type="spellStart"/>
      <w:r w:rsidRPr="008024B6">
        <w:t>Hegi</w:t>
      </w:r>
      <w:proofErr w:type="spellEnd"/>
      <w:r w:rsidRPr="008024B6">
        <w:t>, M.</w:t>
      </w:r>
      <w:r>
        <w:t xml:space="preserve"> </w:t>
      </w:r>
      <w:r w:rsidRPr="008024B6">
        <w:rPr>
          <w:i/>
        </w:rPr>
        <w:t>et al</w:t>
      </w:r>
      <w:r w:rsidRPr="008024B6">
        <w:t>. Clinical Cancer Research 2004; 10: 1871-1874</w:t>
      </w:r>
    </w:p>
  </w:footnote>
  <w:footnote w:id="2">
    <w:p w:rsidR="00053C69" w:rsidRPr="00AB7CEC" w:rsidRDefault="00053C69" w:rsidP="008024B6">
      <w:pPr>
        <w:pStyle w:val="FootnoteText"/>
      </w:pPr>
      <w:r w:rsidRPr="00AB7CEC">
        <w:rPr>
          <w:rStyle w:val="FootnoteReference"/>
          <w:szCs w:val="18"/>
        </w:rPr>
        <w:footnoteRef/>
      </w:r>
      <w:r>
        <w:rPr>
          <w:i/>
          <w:iCs/>
        </w:rPr>
        <w:t xml:space="preserve"> </w:t>
      </w:r>
      <w:r w:rsidRPr="00AB7CEC">
        <w:rPr>
          <w:i/>
          <w:iCs/>
        </w:rPr>
        <w:t xml:space="preserve">MGMT </w:t>
      </w:r>
      <w:r w:rsidRPr="00AB7CEC">
        <w:t>Gene Silencing and Benefit</w:t>
      </w:r>
      <w:r w:rsidRPr="00AB7CEC">
        <w:rPr>
          <w:i/>
          <w:iCs/>
        </w:rPr>
        <w:t xml:space="preserve"> </w:t>
      </w:r>
      <w:r w:rsidRPr="00AB7CEC">
        <w:t xml:space="preserve">from </w:t>
      </w:r>
      <w:proofErr w:type="spellStart"/>
      <w:r w:rsidRPr="00AB7CEC">
        <w:t>Temozolo</w:t>
      </w:r>
      <w:r>
        <w:t>mide</w:t>
      </w:r>
      <w:proofErr w:type="spellEnd"/>
      <w:r>
        <w:t xml:space="preserve"> in </w:t>
      </w:r>
      <w:proofErr w:type="spellStart"/>
      <w:r>
        <w:t>Glioblastoma</w:t>
      </w:r>
      <w:proofErr w:type="spellEnd"/>
      <w:r>
        <w:t xml:space="preserve">. </w:t>
      </w:r>
      <w:proofErr w:type="spellStart"/>
      <w:proofErr w:type="gramStart"/>
      <w:r>
        <w:t>Hegi</w:t>
      </w:r>
      <w:proofErr w:type="spellEnd"/>
      <w:r>
        <w:t xml:space="preserve">, M. </w:t>
      </w:r>
      <w:r w:rsidRPr="008024B6">
        <w:rPr>
          <w:i/>
        </w:rPr>
        <w:t>et al.</w:t>
      </w:r>
      <w:proofErr w:type="gramEnd"/>
      <w:r w:rsidRPr="00AB7CEC">
        <w:t xml:space="preserve"> New England Journal of Medicine 2005;352: 997-1003</w:t>
      </w:r>
    </w:p>
  </w:footnote>
  <w:footnote w:id="3">
    <w:p w:rsidR="00053C69" w:rsidRDefault="00053C69" w:rsidP="008024B6">
      <w:pPr>
        <w:pStyle w:val="FootnoteText"/>
      </w:pPr>
      <w:r w:rsidRPr="00AB7CEC">
        <w:rPr>
          <w:rStyle w:val="FootnoteReference"/>
          <w:szCs w:val="18"/>
        </w:rPr>
        <w:footnoteRef/>
      </w:r>
      <w:r>
        <w:t xml:space="preserve"> </w:t>
      </w:r>
      <w:r w:rsidRPr="00AB7CEC">
        <w:t xml:space="preserve">Recurrence pattern after </w:t>
      </w:r>
      <w:proofErr w:type="spellStart"/>
      <w:r w:rsidRPr="00AB7CEC">
        <w:t>temozolomide</w:t>
      </w:r>
      <w:proofErr w:type="spellEnd"/>
      <w:r w:rsidRPr="00AB7CEC">
        <w:t xml:space="preserve"> concomitant with and adjuvant to radiotherapy in newly diagnosed patients with </w:t>
      </w:r>
      <w:proofErr w:type="spellStart"/>
      <w:r w:rsidRPr="00AB7CEC">
        <w:t>glioblastoma</w:t>
      </w:r>
      <w:proofErr w:type="spellEnd"/>
      <w:r w:rsidRPr="00AB7CEC">
        <w:t>: correlation with MGMT promoter methylation status</w:t>
      </w:r>
      <w:r>
        <w:rPr>
          <w:szCs w:val="36"/>
        </w:rPr>
        <w:t xml:space="preserve">. </w:t>
      </w:r>
      <w:proofErr w:type="spellStart"/>
      <w:r>
        <w:rPr>
          <w:szCs w:val="36"/>
        </w:rPr>
        <w:t>Brandes</w:t>
      </w:r>
      <w:proofErr w:type="spellEnd"/>
      <w:r>
        <w:rPr>
          <w:szCs w:val="36"/>
        </w:rPr>
        <w:t xml:space="preserve"> </w:t>
      </w:r>
      <w:r w:rsidRPr="008024B6">
        <w:rPr>
          <w:i/>
          <w:szCs w:val="36"/>
        </w:rPr>
        <w:t>et al.</w:t>
      </w:r>
      <w:r>
        <w:rPr>
          <w:szCs w:val="36"/>
        </w:rPr>
        <w:t xml:space="preserve"> Journal of Clinical oncology 2009;27(8): 1275-1279</w:t>
      </w:r>
    </w:p>
  </w:footnote>
  <w:footnote w:id="4">
    <w:p w:rsidR="00053C69" w:rsidRDefault="00053C69" w:rsidP="00087C8F">
      <w:pPr>
        <w:pStyle w:val="FootnoteText"/>
      </w:pPr>
      <w:r>
        <w:rPr>
          <w:rStyle w:val="FootnoteReference"/>
        </w:rPr>
        <w:footnoteRef/>
      </w:r>
      <w:r>
        <w:t xml:space="preserve"> </w:t>
      </w:r>
      <w:proofErr w:type="gramStart"/>
      <w:r>
        <w:t>A standard way of measuring the ability of cancer patients to perform ordinary tasks.</w:t>
      </w:r>
      <w:proofErr w:type="gramEnd"/>
      <w:r>
        <w:t xml:space="preserve"> The </w:t>
      </w:r>
      <w:proofErr w:type="spellStart"/>
      <w:r>
        <w:t>Karnofsky</w:t>
      </w:r>
      <w:proofErr w:type="spellEnd"/>
      <w:r>
        <w:t xml:space="preserve"> Performance Status scores range from 0 to 100. A higher score means the patient is better able to carry out daily activities. </w:t>
      </w:r>
      <w:proofErr w:type="spellStart"/>
      <w:r>
        <w:t>Karnofsky</w:t>
      </w:r>
      <w:proofErr w:type="spellEnd"/>
      <w:r>
        <w:t xml:space="preserve"> Performance Status may be used to determine a patient's prognosis, to measure changes in a patient’s ability to function, or to decide if a patient could be included in a clinical trial. </w:t>
      </w:r>
      <w:proofErr w:type="gramStart"/>
      <w:r>
        <w:t>Also called KPS.</w:t>
      </w:r>
      <w:proofErr w:type="gramEnd"/>
    </w:p>
  </w:footnote>
  <w:footnote w:id="5">
    <w:p w:rsidR="00053C69" w:rsidRPr="00972154" w:rsidRDefault="00053C69" w:rsidP="00087C8F">
      <w:pPr>
        <w:pStyle w:val="FootnoteText"/>
      </w:pPr>
      <w:r w:rsidRPr="00972154">
        <w:rPr>
          <w:rStyle w:val="FootnoteReference"/>
        </w:rPr>
        <w:footnoteRef/>
      </w:r>
      <w:r>
        <w:rPr>
          <w:bCs/>
          <w:lang w:val="en"/>
        </w:rPr>
        <w:t xml:space="preserve"> </w:t>
      </w:r>
      <w:r w:rsidRPr="00972154">
        <w:rPr>
          <w:bCs/>
          <w:lang w:val="en"/>
        </w:rPr>
        <w:t>Health-related quality of life</w:t>
      </w:r>
      <w:r w:rsidRPr="00972154">
        <w:rPr>
          <w:lang w:val="en"/>
        </w:rPr>
        <w:t xml:space="preserve"> (HRQoL) is an assessment of how the individual's well-being may be affected over time by a </w:t>
      </w:r>
      <w:hyperlink r:id="rId1" w:tooltip="Disease" w:history="1">
        <w:r w:rsidRPr="00972154">
          <w:rPr>
            <w:rStyle w:val="Hyperlink"/>
            <w:color w:val="auto"/>
            <w:u w:val="none"/>
            <w:lang w:val="en"/>
          </w:rPr>
          <w:t>disease</w:t>
        </w:r>
      </w:hyperlink>
      <w:r w:rsidRPr="00972154">
        <w:rPr>
          <w:lang w:val="en"/>
        </w:rPr>
        <w:t xml:space="preserve">, </w:t>
      </w:r>
      <w:hyperlink r:id="rId2" w:tooltip="Disability" w:history="1">
        <w:r w:rsidRPr="00972154">
          <w:rPr>
            <w:rStyle w:val="Hyperlink"/>
            <w:color w:val="auto"/>
            <w:u w:val="none"/>
            <w:lang w:val="en"/>
          </w:rPr>
          <w:t>disability</w:t>
        </w:r>
      </w:hyperlink>
      <w:r w:rsidRPr="00972154">
        <w:rPr>
          <w:lang w:val="en"/>
        </w:rPr>
        <w:t xml:space="preserve">, or </w:t>
      </w:r>
      <w:hyperlink r:id="rId3" w:tooltip="Disorder (medicine)" w:history="1">
        <w:r w:rsidRPr="00972154">
          <w:rPr>
            <w:rStyle w:val="Hyperlink"/>
            <w:color w:val="auto"/>
            <w:u w:val="none"/>
            <w:lang w:val="en"/>
          </w:rPr>
          <w:t>disorder</w:t>
        </w:r>
      </w:hyperlink>
    </w:p>
  </w:footnote>
  <w:footnote w:id="6">
    <w:p w:rsidR="00053C69" w:rsidRDefault="00053C69" w:rsidP="00014BEA">
      <w:pPr>
        <w:pStyle w:val="FootnoteText"/>
      </w:pPr>
      <w:r>
        <w:rPr>
          <w:rStyle w:val="FootnoteReference"/>
        </w:rPr>
        <w:footnoteRef/>
      </w:r>
      <w:r>
        <w:t xml:space="preserve"> </w:t>
      </w:r>
      <w:proofErr w:type="gramStart"/>
      <w:r>
        <w:t xml:space="preserve">Radiotherapy plus concomitant and adjuvant </w:t>
      </w:r>
      <w:proofErr w:type="spellStart"/>
      <w:r>
        <w:t>temozolomide</w:t>
      </w:r>
      <w:proofErr w:type="spellEnd"/>
      <w:r>
        <w:t xml:space="preserve"> for </w:t>
      </w:r>
      <w:proofErr w:type="spellStart"/>
      <w:r>
        <w:t>glioblastoma</w:t>
      </w:r>
      <w:proofErr w:type="spellEnd"/>
      <w:r>
        <w:t>.</w:t>
      </w:r>
      <w:proofErr w:type="gramEnd"/>
      <w:r>
        <w:t xml:space="preserve"> </w:t>
      </w:r>
      <w:proofErr w:type="spellStart"/>
      <w:proofErr w:type="gramStart"/>
      <w:r>
        <w:t>Stupp</w:t>
      </w:r>
      <w:proofErr w:type="spellEnd"/>
      <w:r>
        <w:t xml:space="preserve"> et al.</w:t>
      </w:r>
      <w:proofErr w:type="gramEnd"/>
      <w:r>
        <w:t xml:space="preserve"> New England Journal of Medicine </w:t>
      </w:r>
      <w:r w:rsidRPr="00014BEA">
        <w:t>2005</w:t>
      </w:r>
      <w:r>
        <w:t>;352:987-96</w:t>
      </w:r>
    </w:p>
  </w:footnote>
  <w:footnote w:id="7">
    <w:p w:rsidR="00053C69" w:rsidRPr="008E75AB" w:rsidRDefault="00053C69" w:rsidP="00014BEA">
      <w:pPr>
        <w:pStyle w:val="FootnoteText"/>
        <w:rPr>
          <w:lang w:val="en"/>
        </w:rPr>
      </w:pPr>
      <w:r w:rsidRPr="008E75AB">
        <w:rPr>
          <w:rStyle w:val="FootnoteReference"/>
          <w:rFonts w:asciiTheme="minorHAnsi" w:hAnsiTheme="minorHAnsi"/>
          <w:szCs w:val="18"/>
        </w:rPr>
        <w:footnoteRef/>
      </w:r>
      <w:r>
        <w:rPr>
          <w:lang w:val="en"/>
        </w:rPr>
        <w:t xml:space="preserve"> </w:t>
      </w:r>
      <w:r w:rsidRPr="008E75AB">
        <w:rPr>
          <w:lang w:val="en"/>
        </w:rPr>
        <w:t xml:space="preserve">The EORTC QLQ-C30 is a questionnaire developed to assess the quality of life of cancer </w:t>
      </w:r>
      <w:proofErr w:type="spellStart"/>
      <w:r w:rsidRPr="008E75AB">
        <w:rPr>
          <w:lang w:val="en"/>
        </w:rPr>
        <w:t>patients.It</w:t>
      </w:r>
      <w:proofErr w:type="spellEnd"/>
      <w:r w:rsidRPr="008E75AB">
        <w:rPr>
          <w:lang w:val="en"/>
        </w:rPr>
        <w:t xml:space="preserve"> is supplemented by disease-specific modules for e.g. Breast, Lung, Head &amp; Neck, </w:t>
      </w:r>
      <w:proofErr w:type="spellStart"/>
      <w:r w:rsidRPr="008E75AB">
        <w:rPr>
          <w:lang w:val="en"/>
        </w:rPr>
        <w:t>Oesophageal</w:t>
      </w:r>
      <w:proofErr w:type="spellEnd"/>
      <w:r w:rsidRPr="008E75AB">
        <w:rPr>
          <w:lang w:val="en"/>
        </w:rPr>
        <w:t xml:space="preserve">, Ovarian, Gastric, Cervical cancer, Multiple Myeloma, </w:t>
      </w:r>
      <w:proofErr w:type="spellStart"/>
      <w:r w:rsidRPr="008E75AB">
        <w:rPr>
          <w:lang w:val="en"/>
        </w:rPr>
        <w:t>Oesophago</w:t>
      </w:r>
      <w:proofErr w:type="spellEnd"/>
      <w:r w:rsidRPr="008E75AB">
        <w:rPr>
          <w:lang w:val="en"/>
        </w:rPr>
        <w:t>-Gastric, Prostate, Colorectal Liver Metastases, Colorectal and Brain cancer which are distributed by the EORTC Quality of Life Department.</w:t>
      </w:r>
    </w:p>
  </w:footnote>
  <w:footnote w:id="8">
    <w:p w:rsidR="00053C69" w:rsidRDefault="00053C69" w:rsidP="00E309ED">
      <w:pPr>
        <w:pStyle w:val="FootnoteText"/>
      </w:pPr>
      <w:r>
        <w:rPr>
          <w:rStyle w:val="FootnoteReference"/>
        </w:rPr>
        <w:footnoteRef/>
      </w:r>
      <w:r>
        <w:t xml:space="preserve"> Recurrence pattern after </w:t>
      </w:r>
      <w:proofErr w:type="spellStart"/>
      <w:r>
        <w:t>temozolomide</w:t>
      </w:r>
      <w:proofErr w:type="spellEnd"/>
      <w:r>
        <w:t xml:space="preserve"> concomitant with and adjuvant to radiotherapy in newly diagnosed patients with </w:t>
      </w:r>
      <w:proofErr w:type="spellStart"/>
      <w:r>
        <w:t>glioblastoma</w:t>
      </w:r>
      <w:proofErr w:type="spellEnd"/>
      <w:r>
        <w:t xml:space="preserve">: correlation with MGMT promoter methylation status. </w:t>
      </w:r>
      <w:proofErr w:type="spellStart"/>
      <w:r>
        <w:t>Brandes</w:t>
      </w:r>
      <w:proofErr w:type="spellEnd"/>
      <w:r>
        <w:t xml:space="preserve"> </w:t>
      </w:r>
      <w:proofErr w:type="gramStart"/>
      <w:r>
        <w:t>et</w:t>
      </w:r>
      <w:proofErr w:type="gramEnd"/>
      <w:r>
        <w:t>. Al. Journal of Clinical oncology 2009;27(8): 1275-1279</w:t>
      </w:r>
    </w:p>
  </w:footnote>
  <w:footnote w:id="9">
    <w:p w:rsidR="00053C69" w:rsidRDefault="00053C69" w:rsidP="00E309ED">
      <w:pPr>
        <w:pStyle w:val="FootnoteText"/>
      </w:pPr>
      <w:r>
        <w:rPr>
          <w:rStyle w:val="FootnoteReference"/>
        </w:rPr>
        <w:footnoteRef/>
      </w:r>
      <w:r>
        <w:rPr>
          <w:i/>
          <w:iCs/>
        </w:rPr>
        <w:t xml:space="preserve"> </w:t>
      </w:r>
      <w:r w:rsidRPr="0090108E">
        <w:rPr>
          <w:i/>
          <w:iCs/>
        </w:rPr>
        <w:t xml:space="preserve">MGMT </w:t>
      </w:r>
      <w:r w:rsidRPr="0090108E">
        <w:t>Gene Silencing and Benefit</w:t>
      </w:r>
      <w:r w:rsidRPr="0090108E">
        <w:rPr>
          <w:i/>
          <w:iCs/>
        </w:rPr>
        <w:t xml:space="preserve"> </w:t>
      </w:r>
      <w:r w:rsidRPr="0090108E">
        <w:t xml:space="preserve">from </w:t>
      </w:r>
      <w:proofErr w:type="spellStart"/>
      <w:r w:rsidRPr="0090108E">
        <w:t>Temozolomide</w:t>
      </w:r>
      <w:proofErr w:type="spellEnd"/>
      <w:r w:rsidRPr="0090108E">
        <w:t xml:space="preserve"> in </w:t>
      </w:r>
      <w:proofErr w:type="spellStart"/>
      <w:r w:rsidRPr="0090108E">
        <w:t>Glioblastoma</w:t>
      </w:r>
      <w:proofErr w:type="spellEnd"/>
      <w:r>
        <w:t xml:space="preserve">. </w:t>
      </w:r>
      <w:proofErr w:type="spellStart"/>
      <w:proofErr w:type="gramStart"/>
      <w:r>
        <w:t>Hegi</w:t>
      </w:r>
      <w:proofErr w:type="spellEnd"/>
      <w:r>
        <w:t xml:space="preserve">, M. </w:t>
      </w:r>
      <w:r w:rsidRPr="00E309ED">
        <w:rPr>
          <w:i/>
        </w:rPr>
        <w:t>et al.</w:t>
      </w:r>
      <w:proofErr w:type="gramEnd"/>
      <w:r>
        <w:t xml:space="preserve"> New England Journal of Medicine 2005;352: 997-1003 </w:t>
      </w:r>
    </w:p>
  </w:footnote>
  <w:footnote w:id="10">
    <w:p w:rsidR="00053C69" w:rsidRPr="00014645" w:rsidRDefault="00053C69" w:rsidP="00053C69">
      <w:pPr>
        <w:pStyle w:val="FootnoteText"/>
      </w:pPr>
      <w:r w:rsidRPr="00D01141">
        <w:rPr>
          <w:rStyle w:val="FootnoteReference"/>
          <w:szCs w:val="18"/>
        </w:rPr>
        <w:footnoteRef/>
      </w:r>
      <w:r>
        <w:t xml:space="preserve"> </w:t>
      </w:r>
      <w:r w:rsidRPr="00D01141">
        <w:t xml:space="preserve">Response assessment in recurrent </w:t>
      </w:r>
      <w:proofErr w:type="spellStart"/>
      <w:r w:rsidRPr="00D01141">
        <w:t>glioblastoma</w:t>
      </w:r>
      <w:proofErr w:type="spellEnd"/>
      <w:r w:rsidRPr="00D01141">
        <w:t xml:space="preserve"> treated with </w:t>
      </w:r>
      <w:proofErr w:type="spellStart"/>
      <w:r w:rsidRPr="00D01141">
        <w:t>irinotecan-bevacizumab</w:t>
      </w:r>
      <w:proofErr w:type="spellEnd"/>
      <w:r w:rsidRPr="00D01141">
        <w:t xml:space="preserve">: comparative analysis of the Macdonald, RECIST, RANO, and RECIST+F criteria. </w:t>
      </w:r>
      <w:proofErr w:type="spellStart"/>
      <w:r w:rsidRPr="00014645">
        <w:t>Gallego</w:t>
      </w:r>
      <w:proofErr w:type="spellEnd"/>
      <w:r w:rsidRPr="00014645">
        <w:t xml:space="preserve"> Perez-</w:t>
      </w:r>
      <w:proofErr w:type="spellStart"/>
      <w:r w:rsidRPr="00014645">
        <w:t>Larraya</w:t>
      </w:r>
      <w:proofErr w:type="spellEnd"/>
      <w:r w:rsidRPr="00014645">
        <w:t xml:space="preserve"> </w:t>
      </w:r>
      <w:r w:rsidRPr="00053C69">
        <w:rPr>
          <w:i/>
        </w:rPr>
        <w:t>et al.</w:t>
      </w:r>
      <w:r w:rsidRPr="00014645">
        <w:t xml:space="preserve"> </w:t>
      </w:r>
      <w:proofErr w:type="spellStart"/>
      <w:r w:rsidRPr="00014645">
        <w:t>Neuro</w:t>
      </w:r>
      <w:proofErr w:type="spellEnd"/>
      <w:r w:rsidRPr="00014645">
        <w:t>-oncology 2012; 14(5):667-673</w:t>
      </w:r>
    </w:p>
  </w:footnote>
  <w:footnote w:id="11">
    <w:p w:rsidR="00053C69" w:rsidRPr="0034030B" w:rsidRDefault="00053C69" w:rsidP="0025317D">
      <w:pPr>
        <w:pStyle w:val="FootnoteText"/>
      </w:pPr>
      <w:r w:rsidRPr="0034030B">
        <w:rPr>
          <w:rStyle w:val="FootnoteReference"/>
          <w:rFonts w:asciiTheme="minorHAnsi" w:hAnsiTheme="minorHAnsi"/>
          <w:szCs w:val="18"/>
        </w:rPr>
        <w:footnoteRef/>
      </w:r>
      <w:r w:rsidR="0025317D">
        <w:t xml:space="preserve"> </w:t>
      </w:r>
      <w:r w:rsidRPr="0034030B">
        <w:t xml:space="preserve">Gilbert MR </w:t>
      </w:r>
      <w:r w:rsidRPr="0025317D">
        <w:rPr>
          <w:i/>
        </w:rPr>
        <w:t>et al.</w:t>
      </w:r>
      <w:r w:rsidRPr="0034030B">
        <w:t xml:space="preserve"> RTOG 0825: Phase III double-blind placebo-controlled trial evaluating </w:t>
      </w:r>
      <w:proofErr w:type="spellStart"/>
      <w:r w:rsidRPr="0034030B">
        <w:t>bevacizumab</w:t>
      </w:r>
      <w:proofErr w:type="spellEnd"/>
      <w:r w:rsidRPr="0034030B">
        <w:t xml:space="preserve"> (Bev) in patients (</w:t>
      </w:r>
      <w:proofErr w:type="spellStart"/>
      <w:r w:rsidRPr="0034030B">
        <w:t>Pts</w:t>
      </w:r>
      <w:proofErr w:type="spellEnd"/>
      <w:r w:rsidRPr="0034030B">
        <w:t xml:space="preserve">) with newly diagnosed </w:t>
      </w:r>
      <w:proofErr w:type="spellStart"/>
      <w:r w:rsidRPr="0034030B">
        <w:t>glioblastoma</w:t>
      </w:r>
      <w:proofErr w:type="spellEnd"/>
      <w:r w:rsidRPr="0034030B">
        <w:t xml:space="preserve"> (GBM). J </w:t>
      </w:r>
      <w:proofErr w:type="spellStart"/>
      <w:r w:rsidRPr="0034030B">
        <w:t>Clin</w:t>
      </w:r>
      <w:proofErr w:type="spellEnd"/>
      <w:r w:rsidRPr="0034030B">
        <w:t xml:space="preserve"> </w:t>
      </w:r>
      <w:proofErr w:type="spellStart"/>
      <w:r w:rsidRPr="0034030B">
        <w:t>Oncol</w:t>
      </w:r>
      <w:proofErr w:type="spellEnd"/>
      <w:r w:rsidRPr="0034030B">
        <w:t xml:space="preserve"> 31, 2013 (</w:t>
      </w:r>
      <w:proofErr w:type="spellStart"/>
      <w:r w:rsidRPr="0034030B">
        <w:t>suppl</w:t>
      </w:r>
      <w:proofErr w:type="spellEnd"/>
      <w:r w:rsidRPr="0034030B">
        <w:t xml:space="preserve">; </w:t>
      </w:r>
      <w:proofErr w:type="spellStart"/>
      <w:r w:rsidRPr="0034030B">
        <w:t>abstr</w:t>
      </w:r>
      <w:proofErr w:type="spellEnd"/>
      <w:r w:rsidRPr="0034030B">
        <w:t xml:space="preserve"> 1)</w:t>
      </w:r>
    </w:p>
  </w:footnote>
  <w:footnote w:id="12">
    <w:p w:rsidR="00053C69" w:rsidRPr="0034030B" w:rsidRDefault="00053C69" w:rsidP="0025317D">
      <w:pPr>
        <w:pStyle w:val="FootnoteText"/>
      </w:pPr>
      <w:r w:rsidRPr="0034030B">
        <w:rPr>
          <w:rStyle w:val="FootnoteReference"/>
          <w:rFonts w:asciiTheme="minorHAnsi" w:hAnsiTheme="minorHAnsi"/>
        </w:rPr>
        <w:footnoteRef/>
      </w:r>
      <w:r w:rsidR="0025317D">
        <w:t xml:space="preserve"> </w:t>
      </w:r>
      <w:proofErr w:type="spellStart"/>
      <w:r w:rsidRPr="0034030B">
        <w:t>Brandes</w:t>
      </w:r>
      <w:proofErr w:type="spellEnd"/>
      <w:r w:rsidRPr="0034030B">
        <w:t xml:space="preserve"> AA </w:t>
      </w:r>
      <w:r w:rsidRPr="0025317D">
        <w:rPr>
          <w:i/>
        </w:rPr>
        <w:t>et al.</w:t>
      </w:r>
      <w:r w:rsidRPr="0034030B">
        <w:t xml:space="preserve"> MGMT Promoter methylation status can predict the incidence and outcome of </w:t>
      </w:r>
      <w:proofErr w:type="spellStart"/>
      <w:r w:rsidRPr="0034030B">
        <w:t>pseudoprogression</w:t>
      </w:r>
      <w:proofErr w:type="spellEnd"/>
      <w:r w:rsidRPr="0034030B">
        <w:t xml:space="preserve"> after concomitant </w:t>
      </w:r>
      <w:proofErr w:type="spellStart"/>
      <w:r w:rsidRPr="0034030B">
        <w:t>radiochemotherapy</w:t>
      </w:r>
      <w:proofErr w:type="spellEnd"/>
      <w:r w:rsidRPr="0034030B">
        <w:t xml:space="preserve"> in newly diagnosed </w:t>
      </w:r>
      <w:proofErr w:type="spellStart"/>
      <w:r w:rsidRPr="0034030B">
        <w:t>glioblastoma</w:t>
      </w:r>
      <w:proofErr w:type="spellEnd"/>
      <w:r w:rsidRPr="0034030B">
        <w:t xml:space="preserve"> patients. J </w:t>
      </w:r>
      <w:proofErr w:type="spellStart"/>
      <w:r w:rsidRPr="0034030B">
        <w:t>Clin</w:t>
      </w:r>
      <w:proofErr w:type="spellEnd"/>
      <w:r w:rsidRPr="0034030B">
        <w:t xml:space="preserve"> </w:t>
      </w:r>
      <w:proofErr w:type="spellStart"/>
      <w:r w:rsidRPr="0034030B">
        <w:t>Oncol</w:t>
      </w:r>
      <w:proofErr w:type="spellEnd"/>
      <w:r w:rsidRPr="0034030B">
        <w:t xml:space="preserve">, 2008; 26:2192-2197. </w:t>
      </w:r>
    </w:p>
  </w:footnote>
  <w:footnote w:id="13">
    <w:p w:rsidR="00053C69" w:rsidRPr="0034030B" w:rsidRDefault="00053C69" w:rsidP="002D70D8">
      <w:pPr>
        <w:pStyle w:val="FootnoteText"/>
        <w:rPr>
          <w:rFonts w:asciiTheme="minorHAnsi" w:hAnsiTheme="minorHAnsi"/>
        </w:rPr>
      </w:pPr>
      <w:r w:rsidRPr="0034030B">
        <w:rPr>
          <w:rStyle w:val="FootnoteReference"/>
          <w:rFonts w:asciiTheme="minorHAnsi" w:hAnsiTheme="minorHAnsi"/>
        </w:rPr>
        <w:footnoteRef/>
      </w:r>
      <w:r w:rsidR="007900AF">
        <w:rPr>
          <w:rFonts w:asciiTheme="minorHAnsi" w:hAnsiTheme="minorHAnsi"/>
          <w:color w:val="000000"/>
          <w:szCs w:val="18"/>
        </w:rPr>
        <w:t xml:space="preserve"> </w:t>
      </w:r>
      <w:proofErr w:type="spellStart"/>
      <w:r w:rsidRPr="0034030B">
        <w:rPr>
          <w:rFonts w:asciiTheme="minorHAnsi" w:hAnsiTheme="minorHAnsi"/>
          <w:color w:val="000000"/>
          <w:szCs w:val="18"/>
        </w:rPr>
        <w:t>Hegi</w:t>
      </w:r>
      <w:proofErr w:type="spellEnd"/>
      <w:r w:rsidRPr="0034030B">
        <w:rPr>
          <w:rFonts w:asciiTheme="minorHAnsi" w:hAnsiTheme="minorHAnsi"/>
          <w:color w:val="000000"/>
          <w:szCs w:val="18"/>
        </w:rPr>
        <w:t xml:space="preserve"> ME </w:t>
      </w:r>
      <w:r w:rsidRPr="007900AF">
        <w:rPr>
          <w:rFonts w:asciiTheme="minorHAnsi" w:hAnsiTheme="minorHAnsi"/>
          <w:i/>
          <w:color w:val="000000"/>
          <w:szCs w:val="18"/>
        </w:rPr>
        <w:t>et al.</w:t>
      </w:r>
      <w:r w:rsidRPr="0034030B">
        <w:rPr>
          <w:rFonts w:asciiTheme="minorHAnsi" w:hAnsiTheme="minorHAnsi"/>
          <w:color w:val="000000"/>
          <w:szCs w:val="18"/>
        </w:rPr>
        <w:t xml:space="preserve"> MGMT gene silencing and benefit from </w:t>
      </w:r>
      <w:proofErr w:type="spellStart"/>
      <w:r w:rsidRPr="0034030B">
        <w:rPr>
          <w:rFonts w:asciiTheme="minorHAnsi" w:hAnsiTheme="minorHAnsi"/>
          <w:color w:val="000000"/>
          <w:szCs w:val="18"/>
        </w:rPr>
        <w:t>temozolomide</w:t>
      </w:r>
      <w:proofErr w:type="spellEnd"/>
      <w:r w:rsidRPr="0034030B">
        <w:rPr>
          <w:rFonts w:asciiTheme="minorHAnsi" w:hAnsiTheme="minorHAnsi"/>
          <w:color w:val="000000"/>
          <w:szCs w:val="18"/>
        </w:rPr>
        <w:t xml:space="preserve"> in </w:t>
      </w:r>
      <w:proofErr w:type="spellStart"/>
      <w:r w:rsidRPr="0034030B">
        <w:rPr>
          <w:rFonts w:asciiTheme="minorHAnsi" w:hAnsiTheme="minorHAnsi"/>
          <w:color w:val="000000"/>
          <w:szCs w:val="18"/>
        </w:rPr>
        <w:t>glioblastoma</w:t>
      </w:r>
      <w:proofErr w:type="spellEnd"/>
      <w:r w:rsidRPr="0034030B">
        <w:rPr>
          <w:rFonts w:asciiTheme="minorHAnsi" w:hAnsiTheme="minorHAnsi"/>
          <w:color w:val="000000"/>
          <w:szCs w:val="18"/>
        </w:rPr>
        <w:t>. N Engl J Med 2005; 352:997-1003</w:t>
      </w:r>
      <w:r w:rsidRPr="0034030B">
        <w:rPr>
          <w:rFonts w:asciiTheme="minorHAnsi" w:hAnsiTheme="minorHAnsi"/>
        </w:rPr>
        <w:t xml:space="preserve"> </w:t>
      </w:r>
    </w:p>
  </w:footnote>
  <w:footnote w:id="14">
    <w:p w:rsidR="00053C69" w:rsidRPr="0034030B" w:rsidRDefault="00053C69" w:rsidP="002D70D8">
      <w:pPr>
        <w:pStyle w:val="FootnoteText"/>
        <w:rPr>
          <w:rFonts w:asciiTheme="minorHAnsi" w:hAnsiTheme="minorHAnsi"/>
        </w:rPr>
      </w:pPr>
      <w:r w:rsidRPr="0034030B">
        <w:rPr>
          <w:rStyle w:val="FootnoteReference"/>
          <w:rFonts w:asciiTheme="minorHAnsi" w:hAnsiTheme="minorHAnsi"/>
        </w:rPr>
        <w:footnoteRef/>
      </w:r>
      <w:r w:rsidRPr="0034030B">
        <w:rPr>
          <w:rFonts w:asciiTheme="minorHAnsi" w:hAnsiTheme="minorHAnsi"/>
        </w:rPr>
        <w:t xml:space="preserve"> </w:t>
      </w:r>
      <w:proofErr w:type="spellStart"/>
      <w:proofErr w:type="gramStart"/>
      <w:r w:rsidRPr="0034030B">
        <w:rPr>
          <w:rFonts w:asciiTheme="minorHAnsi" w:hAnsiTheme="minorHAnsi"/>
          <w:szCs w:val="18"/>
        </w:rPr>
        <w:t>Håvik</w:t>
      </w:r>
      <w:proofErr w:type="spellEnd"/>
      <w:r w:rsidRPr="0034030B">
        <w:rPr>
          <w:rFonts w:asciiTheme="minorHAnsi" w:hAnsiTheme="minorHAnsi"/>
          <w:szCs w:val="18"/>
        </w:rPr>
        <w:t xml:space="preserve"> AB </w:t>
      </w:r>
      <w:r w:rsidRPr="007900AF">
        <w:t>et al.</w:t>
      </w:r>
      <w:r w:rsidRPr="0034030B">
        <w:rPr>
          <w:rFonts w:asciiTheme="minorHAnsi" w:hAnsiTheme="minorHAnsi"/>
          <w:szCs w:val="18"/>
        </w:rPr>
        <w:t xml:space="preserve"> MGMT promoter methylation in </w:t>
      </w:r>
      <w:proofErr w:type="spellStart"/>
      <w:r w:rsidRPr="0034030B">
        <w:rPr>
          <w:rFonts w:asciiTheme="minorHAnsi" w:hAnsiTheme="minorHAnsi"/>
          <w:szCs w:val="18"/>
        </w:rPr>
        <w:t>gliomas</w:t>
      </w:r>
      <w:proofErr w:type="spellEnd"/>
      <w:r w:rsidRPr="0034030B">
        <w:rPr>
          <w:rFonts w:asciiTheme="minorHAnsi" w:hAnsiTheme="minorHAnsi"/>
          <w:szCs w:val="18"/>
        </w:rPr>
        <w:t xml:space="preserve"> assessment by </w:t>
      </w:r>
      <w:proofErr w:type="spellStart"/>
      <w:r w:rsidRPr="0034030B">
        <w:rPr>
          <w:rFonts w:asciiTheme="minorHAnsi" w:hAnsiTheme="minorHAnsi"/>
          <w:szCs w:val="18"/>
        </w:rPr>
        <w:t>pyrosequencing</w:t>
      </w:r>
      <w:proofErr w:type="spellEnd"/>
      <w:r w:rsidRPr="0034030B">
        <w:rPr>
          <w:rFonts w:asciiTheme="minorHAnsi" w:hAnsiTheme="minorHAnsi"/>
          <w:szCs w:val="18"/>
        </w:rPr>
        <w:t xml:space="preserve"> and quantitative methylation-specific PCR.</w:t>
      </w:r>
      <w:proofErr w:type="gramEnd"/>
      <w:r w:rsidRPr="0034030B">
        <w:rPr>
          <w:rFonts w:asciiTheme="minorHAnsi" w:hAnsiTheme="minorHAnsi"/>
          <w:szCs w:val="18"/>
        </w:rPr>
        <w:t xml:space="preserve"> Journal of Translational Medicine 2012, 10:36</w:t>
      </w:r>
    </w:p>
  </w:footnote>
  <w:footnote w:id="15">
    <w:p w:rsidR="00053C69" w:rsidRPr="0034030B" w:rsidRDefault="00053C69">
      <w:pPr>
        <w:pStyle w:val="FootnoteText"/>
        <w:rPr>
          <w:rFonts w:asciiTheme="minorHAnsi" w:hAnsiTheme="minorHAnsi"/>
        </w:rPr>
      </w:pPr>
      <w:r w:rsidRPr="0034030B">
        <w:rPr>
          <w:rStyle w:val="FootnoteReference"/>
          <w:rFonts w:asciiTheme="minorHAnsi" w:hAnsiTheme="minorHAnsi"/>
        </w:rPr>
        <w:footnoteRef/>
      </w:r>
      <w:r w:rsidR="007900AF">
        <w:rPr>
          <w:rFonts w:asciiTheme="minorHAnsi" w:hAnsiTheme="minorHAnsi"/>
          <w:szCs w:val="18"/>
        </w:rPr>
        <w:t xml:space="preserve"> </w:t>
      </w:r>
      <w:r w:rsidRPr="0034030B">
        <w:rPr>
          <w:rFonts w:asciiTheme="minorHAnsi" w:hAnsiTheme="minorHAnsi"/>
          <w:szCs w:val="18"/>
        </w:rPr>
        <w:t xml:space="preserve">Macdonald DR </w:t>
      </w:r>
      <w:r w:rsidRPr="007900AF">
        <w:t>et al.</w:t>
      </w:r>
      <w:r w:rsidRPr="0034030B">
        <w:rPr>
          <w:rFonts w:asciiTheme="minorHAnsi" w:hAnsiTheme="minorHAnsi"/>
          <w:szCs w:val="18"/>
        </w:rPr>
        <w:t xml:space="preserve"> Response criteria for phase II studies of </w:t>
      </w:r>
      <w:proofErr w:type="spellStart"/>
      <w:r w:rsidRPr="0034030B">
        <w:rPr>
          <w:rFonts w:asciiTheme="minorHAnsi" w:hAnsiTheme="minorHAnsi"/>
          <w:szCs w:val="18"/>
        </w:rPr>
        <w:t>supratentorial</w:t>
      </w:r>
      <w:proofErr w:type="spellEnd"/>
      <w:r w:rsidRPr="0034030B">
        <w:rPr>
          <w:rFonts w:asciiTheme="minorHAnsi" w:hAnsiTheme="minorHAnsi"/>
          <w:szCs w:val="18"/>
        </w:rPr>
        <w:t xml:space="preserve"> malignant </w:t>
      </w:r>
      <w:proofErr w:type="spellStart"/>
      <w:r w:rsidRPr="0034030B">
        <w:rPr>
          <w:rFonts w:asciiTheme="minorHAnsi" w:hAnsiTheme="minorHAnsi"/>
          <w:szCs w:val="18"/>
        </w:rPr>
        <w:t>glioma</w:t>
      </w:r>
      <w:proofErr w:type="spellEnd"/>
      <w:r w:rsidRPr="0034030B">
        <w:rPr>
          <w:rFonts w:asciiTheme="minorHAnsi" w:hAnsiTheme="minorHAnsi"/>
          <w:szCs w:val="18"/>
        </w:rPr>
        <w:t xml:space="preserve">. J </w:t>
      </w:r>
      <w:proofErr w:type="spellStart"/>
      <w:r w:rsidRPr="0034030B">
        <w:rPr>
          <w:rFonts w:asciiTheme="minorHAnsi" w:hAnsiTheme="minorHAnsi"/>
          <w:szCs w:val="18"/>
        </w:rPr>
        <w:t>Clin</w:t>
      </w:r>
      <w:proofErr w:type="spellEnd"/>
      <w:r w:rsidRPr="0034030B">
        <w:rPr>
          <w:rFonts w:asciiTheme="minorHAnsi" w:hAnsiTheme="minorHAnsi"/>
          <w:szCs w:val="18"/>
        </w:rPr>
        <w:t xml:space="preserve"> </w:t>
      </w:r>
      <w:proofErr w:type="spellStart"/>
      <w:r w:rsidRPr="0034030B">
        <w:rPr>
          <w:rFonts w:asciiTheme="minorHAnsi" w:hAnsiTheme="minorHAnsi"/>
          <w:szCs w:val="18"/>
        </w:rPr>
        <w:t>Oncol</w:t>
      </w:r>
      <w:proofErr w:type="spellEnd"/>
      <w:r w:rsidRPr="0034030B">
        <w:rPr>
          <w:rFonts w:asciiTheme="minorHAnsi" w:hAnsiTheme="minorHAnsi"/>
          <w:szCs w:val="18"/>
        </w:rPr>
        <w:t xml:space="preserve"> 1990; 8:1277-1280</w:t>
      </w:r>
    </w:p>
  </w:footnote>
  <w:footnote w:id="16">
    <w:p w:rsidR="00053C69" w:rsidRPr="0034030B" w:rsidRDefault="00053C69">
      <w:pPr>
        <w:pStyle w:val="FootnoteText"/>
        <w:rPr>
          <w:rFonts w:asciiTheme="minorHAnsi" w:hAnsiTheme="minorHAnsi"/>
        </w:rPr>
      </w:pPr>
      <w:r w:rsidRPr="0034030B">
        <w:rPr>
          <w:rStyle w:val="FootnoteReference"/>
          <w:rFonts w:asciiTheme="minorHAnsi" w:hAnsiTheme="minorHAnsi"/>
        </w:rPr>
        <w:footnoteRef/>
      </w:r>
      <w:r w:rsidR="007900AF">
        <w:rPr>
          <w:rFonts w:asciiTheme="minorHAnsi" w:hAnsiTheme="minorHAnsi"/>
          <w:szCs w:val="18"/>
        </w:rPr>
        <w:t xml:space="preserve"> </w:t>
      </w:r>
      <w:proofErr w:type="spellStart"/>
      <w:r w:rsidRPr="0034030B">
        <w:rPr>
          <w:rFonts w:asciiTheme="minorHAnsi" w:hAnsiTheme="minorHAnsi"/>
          <w:szCs w:val="18"/>
        </w:rPr>
        <w:t>Wen</w:t>
      </w:r>
      <w:proofErr w:type="spellEnd"/>
      <w:r w:rsidRPr="0034030B">
        <w:rPr>
          <w:rFonts w:asciiTheme="minorHAnsi" w:hAnsiTheme="minorHAnsi"/>
          <w:szCs w:val="18"/>
        </w:rPr>
        <w:t xml:space="preserve"> PY </w:t>
      </w:r>
      <w:r w:rsidRPr="007900AF">
        <w:rPr>
          <w:rFonts w:asciiTheme="minorHAnsi" w:hAnsiTheme="minorHAnsi"/>
          <w:i/>
          <w:szCs w:val="18"/>
        </w:rPr>
        <w:t>et al.</w:t>
      </w:r>
      <w:r w:rsidRPr="0034030B">
        <w:rPr>
          <w:rFonts w:asciiTheme="minorHAnsi" w:hAnsiTheme="minorHAnsi"/>
          <w:szCs w:val="18"/>
        </w:rPr>
        <w:t xml:space="preserve"> </w:t>
      </w:r>
      <w:proofErr w:type="gramStart"/>
      <w:r w:rsidRPr="0034030B">
        <w:rPr>
          <w:rFonts w:asciiTheme="minorHAnsi" w:hAnsiTheme="minorHAnsi"/>
          <w:szCs w:val="18"/>
        </w:rPr>
        <w:t>Updated</w:t>
      </w:r>
      <w:proofErr w:type="gramEnd"/>
      <w:r w:rsidRPr="0034030B">
        <w:rPr>
          <w:rFonts w:asciiTheme="minorHAnsi" w:hAnsiTheme="minorHAnsi"/>
          <w:szCs w:val="18"/>
        </w:rPr>
        <w:t xml:space="preserve"> response assessment criteria for high-grade </w:t>
      </w:r>
      <w:proofErr w:type="spellStart"/>
      <w:r w:rsidRPr="0034030B">
        <w:rPr>
          <w:rFonts w:asciiTheme="minorHAnsi" w:hAnsiTheme="minorHAnsi"/>
          <w:szCs w:val="18"/>
        </w:rPr>
        <w:t>gliomas</w:t>
      </w:r>
      <w:proofErr w:type="spellEnd"/>
      <w:r w:rsidRPr="0034030B">
        <w:rPr>
          <w:rFonts w:asciiTheme="minorHAnsi" w:hAnsiTheme="minorHAnsi"/>
          <w:szCs w:val="18"/>
        </w:rPr>
        <w:t xml:space="preserve">: response assessment in </w:t>
      </w:r>
      <w:proofErr w:type="spellStart"/>
      <w:r w:rsidRPr="0034030B">
        <w:rPr>
          <w:rFonts w:asciiTheme="minorHAnsi" w:hAnsiTheme="minorHAnsi"/>
          <w:szCs w:val="18"/>
        </w:rPr>
        <w:t>neuro</w:t>
      </w:r>
      <w:proofErr w:type="spellEnd"/>
      <w:r w:rsidRPr="0034030B">
        <w:rPr>
          <w:rFonts w:asciiTheme="minorHAnsi" w:hAnsiTheme="minorHAnsi"/>
          <w:szCs w:val="18"/>
        </w:rPr>
        <w:t xml:space="preserve">-oncology working group. </w:t>
      </w:r>
      <w:r w:rsidR="007900AF">
        <w:rPr>
          <w:rFonts w:asciiTheme="minorHAnsi" w:hAnsiTheme="minorHAnsi"/>
          <w:szCs w:val="18"/>
        </w:rPr>
        <w:t xml:space="preserve">J </w:t>
      </w:r>
      <w:proofErr w:type="spellStart"/>
      <w:r w:rsidR="007900AF">
        <w:rPr>
          <w:rFonts w:asciiTheme="minorHAnsi" w:hAnsiTheme="minorHAnsi"/>
          <w:szCs w:val="18"/>
        </w:rPr>
        <w:t>Clin</w:t>
      </w:r>
      <w:proofErr w:type="spellEnd"/>
      <w:r w:rsidR="007900AF">
        <w:rPr>
          <w:rFonts w:asciiTheme="minorHAnsi" w:hAnsiTheme="minorHAnsi"/>
          <w:szCs w:val="18"/>
        </w:rPr>
        <w:t xml:space="preserve"> </w:t>
      </w:r>
      <w:proofErr w:type="spellStart"/>
      <w:r w:rsidR="007900AF">
        <w:rPr>
          <w:rFonts w:asciiTheme="minorHAnsi" w:hAnsiTheme="minorHAnsi"/>
          <w:szCs w:val="18"/>
        </w:rPr>
        <w:t>Oncol</w:t>
      </w:r>
      <w:proofErr w:type="spellEnd"/>
      <w:r w:rsidR="007900AF">
        <w:rPr>
          <w:rFonts w:asciiTheme="minorHAnsi" w:hAnsiTheme="minorHAnsi"/>
          <w:szCs w:val="18"/>
        </w:rPr>
        <w:t xml:space="preserve"> 2010; 28:1963-1972</w:t>
      </w:r>
    </w:p>
  </w:footnote>
  <w:footnote w:id="17">
    <w:p w:rsidR="00053C69" w:rsidRPr="0034030B" w:rsidRDefault="00053C69">
      <w:pPr>
        <w:pStyle w:val="FootnoteText"/>
        <w:rPr>
          <w:rFonts w:asciiTheme="minorHAnsi" w:hAnsiTheme="minorHAnsi"/>
        </w:rPr>
      </w:pPr>
      <w:r w:rsidRPr="0034030B">
        <w:rPr>
          <w:rStyle w:val="FootnoteReference"/>
          <w:rFonts w:asciiTheme="minorHAnsi" w:hAnsiTheme="minorHAnsi"/>
        </w:rPr>
        <w:footnoteRef/>
      </w:r>
      <w:r w:rsidR="007900AF">
        <w:rPr>
          <w:rFonts w:asciiTheme="minorHAnsi" w:hAnsiTheme="minorHAnsi"/>
          <w:szCs w:val="18"/>
          <w:lang w:eastAsia="nb-NO"/>
        </w:rPr>
        <w:t xml:space="preserve"> </w:t>
      </w:r>
      <w:proofErr w:type="spellStart"/>
      <w:r w:rsidRPr="0034030B">
        <w:rPr>
          <w:rFonts w:asciiTheme="minorHAnsi" w:hAnsiTheme="minorHAnsi"/>
          <w:szCs w:val="18"/>
          <w:lang w:eastAsia="nb-NO"/>
        </w:rPr>
        <w:t>Chinot</w:t>
      </w:r>
      <w:proofErr w:type="spellEnd"/>
      <w:r w:rsidRPr="0034030B">
        <w:rPr>
          <w:rFonts w:asciiTheme="minorHAnsi" w:hAnsiTheme="minorHAnsi"/>
          <w:szCs w:val="18"/>
          <w:lang w:eastAsia="nb-NO"/>
        </w:rPr>
        <w:t xml:space="preserve"> OL </w:t>
      </w:r>
      <w:r w:rsidRPr="007900AF">
        <w:rPr>
          <w:rFonts w:asciiTheme="minorHAnsi" w:hAnsiTheme="minorHAnsi"/>
          <w:i/>
          <w:szCs w:val="18"/>
          <w:lang w:eastAsia="nb-NO"/>
        </w:rPr>
        <w:t>et al.</w:t>
      </w:r>
      <w:r w:rsidRPr="0034030B">
        <w:rPr>
          <w:rFonts w:asciiTheme="minorHAnsi" w:hAnsiTheme="minorHAnsi"/>
          <w:szCs w:val="18"/>
          <w:lang w:eastAsia="nb-NO"/>
        </w:rPr>
        <w:t xml:space="preserve"> Response assessment criteria for </w:t>
      </w:r>
      <w:proofErr w:type="spellStart"/>
      <w:r w:rsidRPr="0034030B">
        <w:rPr>
          <w:rFonts w:asciiTheme="minorHAnsi" w:hAnsiTheme="minorHAnsi"/>
          <w:szCs w:val="18"/>
          <w:lang w:eastAsia="nb-NO"/>
        </w:rPr>
        <w:t>glioblastoma</w:t>
      </w:r>
      <w:proofErr w:type="spellEnd"/>
      <w:r w:rsidRPr="0034030B">
        <w:rPr>
          <w:rFonts w:asciiTheme="minorHAnsi" w:hAnsiTheme="minorHAnsi"/>
          <w:szCs w:val="18"/>
          <w:lang w:eastAsia="nb-NO"/>
        </w:rPr>
        <w:t xml:space="preserve">: practical adaptation and implementation in clinical trials of </w:t>
      </w:r>
      <w:proofErr w:type="spellStart"/>
      <w:r w:rsidRPr="0034030B">
        <w:rPr>
          <w:rFonts w:asciiTheme="minorHAnsi" w:hAnsiTheme="minorHAnsi"/>
          <w:szCs w:val="18"/>
          <w:lang w:eastAsia="nb-NO"/>
        </w:rPr>
        <w:t>antiangiogenic</w:t>
      </w:r>
      <w:proofErr w:type="spellEnd"/>
      <w:r w:rsidRPr="0034030B">
        <w:rPr>
          <w:rFonts w:asciiTheme="minorHAnsi" w:hAnsiTheme="minorHAnsi"/>
          <w:szCs w:val="18"/>
          <w:lang w:eastAsia="nb-NO"/>
        </w:rPr>
        <w:t xml:space="preserve"> therapy. </w:t>
      </w:r>
      <w:proofErr w:type="spellStart"/>
      <w:r w:rsidRPr="0034030B">
        <w:rPr>
          <w:rFonts w:asciiTheme="minorHAnsi" w:hAnsiTheme="minorHAnsi"/>
          <w:szCs w:val="18"/>
          <w:lang w:eastAsia="nb-NO"/>
        </w:rPr>
        <w:t>Curr</w:t>
      </w:r>
      <w:proofErr w:type="spellEnd"/>
      <w:r w:rsidRPr="0034030B">
        <w:rPr>
          <w:rFonts w:asciiTheme="minorHAnsi" w:hAnsiTheme="minorHAnsi"/>
          <w:szCs w:val="18"/>
          <w:lang w:eastAsia="nb-NO"/>
        </w:rPr>
        <w:t xml:space="preserve"> </w:t>
      </w:r>
      <w:proofErr w:type="spellStart"/>
      <w:r w:rsidRPr="0034030B">
        <w:rPr>
          <w:rFonts w:asciiTheme="minorHAnsi" w:hAnsiTheme="minorHAnsi"/>
          <w:szCs w:val="18"/>
          <w:lang w:eastAsia="nb-NO"/>
        </w:rPr>
        <w:t>Neurol</w:t>
      </w:r>
      <w:proofErr w:type="spellEnd"/>
      <w:r w:rsidRPr="0034030B">
        <w:rPr>
          <w:rFonts w:asciiTheme="minorHAnsi" w:hAnsiTheme="minorHAnsi"/>
          <w:szCs w:val="18"/>
          <w:lang w:eastAsia="nb-NO"/>
        </w:rPr>
        <w:t xml:space="preserve"> </w:t>
      </w:r>
      <w:proofErr w:type="spellStart"/>
      <w:r w:rsidRPr="0034030B">
        <w:rPr>
          <w:rFonts w:asciiTheme="minorHAnsi" w:hAnsiTheme="minorHAnsi"/>
          <w:szCs w:val="18"/>
          <w:lang w:eastAsia="nb-NO"/>
        </w:rPr>
        <w:t>Neurosci</w:t>
      </w:r>
      <w:proofErr w:type="spellEnd"/>
      <w:r w:rsidRPr="0034030B">
        <w:rPr>
          <w:rFonts w:asciiTheme="minorHAnsi" w:hAnsiTheme="minorHAnsi"/>
          <w:szCs w:val="18"/>
          <w:lang w:eastAsia="nb-NO"/>
        </w:rPr>
        <w:t xml:space="preserve"> Rep 2013; 13:347</w:t>
      </w:r>
    </w:p>
  </w:footnote>
  <w:footnote w:id="18">
    <w:p w:rsidR="00053C69" w:rsidRPr="0034030B" w:rsidRDefault="00053C69">
      <w:pPr>
        <w:pStyle w:val="FootnoteText"/>
        <w:rPr>
          <w:rFonts w:asciiTheme="minorHAnsi" w:hAnsiTheme="minorHAnsi"/>
        </w:rPr>
      </w:pPr>
      <w:r w:rsidRPr="0034030B">
        <w:rPr>
          <w:rStyle w:val="FootnoteReference"/>
          <w:rFonts w:asciiTheme="minorHAnsi" w:hAnsiTheme="minorHAnsi"/>
        </w:rPr>
        <w:footnoteRef/>
      </w:r>
      <w:r w:rsidRPr="0034030B">
        <w:rPr>
          <w:rFonts w:asciiTheme="minorHAnsi" w:hAnsiTheme="minorHAnsi"/>
          <w:szCs w:val="18"/>
        </w:rPr>
        <w:t xml:space="preserve"> </w:t>
      </w:r>
      <w:proofErr w:type="spellStart"/>
      <w:proofErr w:type="gramStart"/>
      <w:r w:rsidRPr="0034030B">
        <w:rPr>
          <w:rFonts w:asciiTheme="minorHAnsi" w:hAnsiTheme="minorHAnsi"/>
          <w:szCs w:val="18"/>
        </w:rPr>
        <w:t>Stupp</w:t>
      </w:r>
      <w:proofErr w:type="spellEnd"/>
      <w:r w:rsidRPr="0034030B">
        <w:rPr>
          <w:rFonts w:asciiTheme="minorHAnsi" w:hAnsiTheme="minorHAnsi"/>
          <w:szCs w:val="18"/>
        </w:rPr>
        <w:t xml:space="preserve"> R </w:t>
      </w:r>
      <w:r w:rsidRPr="008C2169">
        <w:rPr>
          <w:rFonts w:asciiTheme="minorHAnsi" w:hAnsiTheme="minorHAnsi"/>
          <w:i/>
          <w:szCs w:val="18"/>
        </w:rPr>
        <w:t>et al.</w:t>
      </w:r>
      <w:r w:rsidRPr="0034030B">
        <w:rPr>
          <w:rFonts w:asciiTheme="minorHAnsi" w:hAnsiTheme="minorHAnsi"/>
          <w:szCs w:val="18"/>
        </w:rPr>
        <w:t xml:space="preserve"> Radiotherapy plus concomitant and adjuvant </w:t>
      </w:r>
      <w:proofErr w:type="spellStart"/>
      <w:r w:rsidRPr="0034030B">
        <w:rPr>
          <w:rFonts w:asciiTheme="minorHAnsi" w:hAnsiTheme="minorHAnsi"/>
          <w:szCs w:val="18"/>
        </w:rPr>
        <w:t>temozolomide</w:t>
      </w:r>
      <w:proofErr w:type="spellEnd"/>
      <w:r w:rsidRPr="0034030B">
        <w:rPr>
          <w:rFonts w:asciiTheme="minorHAnsi" w:hAnsiTheme="minorHAnsi"/>
          <w:szCs w:val="18"/>
        </w:rPr>
        <w:t xml:space="preserve"> for </w:t>
      </w:r>
      <w:proofErr w:type="spellStart"/>
      <w:r w:rsidRPr="0034030B">
        <w:rPr>
          <w:rFonts w:asciiTheme="minorHAnsi" w:hAnsiTheme="minorHAnsi"/>
          <w:szCs w:val="18"/>
        </w:rPr>
        <w:t>glioblastoma</w:t>
      </w:r>
      <w:proofErr w:type="spellEnd"/>
      <w:r w:rsidRPr="0034030B">
        <w:rPr>
          <w:rFonts w:asciiTheme="minorHAnsi" w:hAnsiTheme="minorHAnsi"/>
          <w:szCs w:val="18"/>
        </w:rPr>
        <w:t>.</w:t>
      </w:r>
      <w:proofErr w:type="gramEnd"/>
      <w:r w:rsidRPr="0034030B">
        <w:rPr>
          <w:rFonts w:asciiTheme="minorHAnsi" w:hAnsiTheme="minorHAnsi"/>
          <w:szCs w:val="18"/>
        </w:rPr>
        <w:t xml:space="preserve"> N Engl J Med 2005; 352:987-</w:t>
      </w:r>
      <w:r w:rsidR="008C2169">
        <w:rPr>
          <w:rFonts w:asciiTheme="minorHAnsi" w:hAnsiTheme="minorHAnsi"/>
          <w:szCs w:val="18"/>
        </w:rPr>
        <w:t>96</w:t>
      </w:r>
    </w:p>
  </w:footnote>
  <w:footnote w:id="19">
    <w:p w:rsidR="00053C69" w:rsidRPr="0034030B" w:rsidRDefault="00053C69">
      <w:pPr>
        <w:pStyle w:val="FootnoteText"/>
        <w:rPr>
          <w:rFonts w:asciiTheme="minorHAnsi" w:hAnsiTheme="minorHAnsi"/>
        </w:rPr>
      </w:pPr>
      <w:r w:rsidRPr="0034030B">
        <w:rPr>
          <w:rStyle w:val="FootnoteReference"/>
          <w:rFonts w:asciiTheme="minorHAnsi" w:hAnsiTheme="minorHAnsi"/>
        </w:rPr>
        <w:footnoteRef/>
      </w:r>
      <w:r w:rsidR="008C2169">
        <w:rPr>
          <w:rFonts w:asciiTheme="minorHAnsi" w:hAnsiTheme="minorHAnsi"/>
          <w:szCs w:val="18"/>
        </w:rPr>
        <w:t xml:space="preserve"> </w:t>
      </w:r>
      <w:proofErr w:type="spellStart"/>
      <w:r w:rsidRPr="0034030B">
        <w:rPr>
          <w:rFonts w:asciiTheme="minorHAnsi" w:hAnsiTheme="minorHAnsi"/>
          <w:szCs w:val="18"/>
        </w:rPr>
        <w:t>Stupp</w:t>
      </w:r>
      <w:proofErr w:type="spellEnd"/>
      <w:r w:rsidRPr="0034030B">
        <w:rPr>
          <w:rFonts w:asciiTheme="minorHAnsi" w:hAnsiTheme="minorHAnsi"/>
          <w:szCs w:val="18"/>
        </w:rPr>
        <w:t xml:space="preserve"> R </w:t>
      </w:r>
      <w:r w:rsidRPr="008C2169">
        <w:rPr>
          <w:rFonts w:asciiTheme="minorHAnsi" w:hAnsiTheme="minorHAnsi"/>
          <w:i/>
          <w:szCs w:val="18"/>
        </w:rPr>
        <w:t>et al.</w:t>
      </w:r>
      <w:r w:rsidRPr="0034030B">
        <w:rPr>
          <w:rFonts w:asciiTheme="minorHAnsi" w:hAnsiTheme="minorHAnsi"/>
          <w:szCs w:val="18"/>
        </w:rPr>
        <w:t xml:space="preserve"> Effects of radiotherapy with concomitant and adjuvant </w:t>
      </w:r>
      <w:proofErr w:type="spellStart"/>
      <w:r w:rsidRPr="0034030B">
        <w:rPr>
          <w:rFonts w:asciiTheme="minorHAnsi" w:hAnsiTheme="minorHAnsi"/>
          <w:szCs w:val="18"/>
        </w:rPr>
        <w:t>temozolomide</w:t>
      </w:r>
      <w:proofErr w:type="spellEnd"/>
      <w:r w:rsidRPr="0034030B">
        <w:rPr>
          <w:rFonts w:asciiTheme="minorHAnsi" w:hAnsiTheme="minorHAnsi"/>
          <w:szCs w:val="18"/>
        </w:rPr>
        <w:t xml:space="preserve"> versus radiotherapy alone on survival in </w:t>
      </w:r>
      <w:proofErr w:type="spellStart"/>
      <w:r w:rsidRPr="0034030B">
        <w:rPr>
          <w:rFonts w:asciiTheme="minorHAnsi" w:hAnsiTheme="minorHAnsi"/>
          <w:szCs w:val="18"/>
        </w:rPr>
        <w:t>glioblastoma</w:t>
      </w:r>
      <w:proofErr w:type="spellEnd"/>
      <w:r w:rsidRPr="0034030B">
        <w:rPr>
          <w:rFonts w:asciiTheme="minorHAnsi" w:hAnsiTheme="minorHAnsi"/>
          <w:szCs w:val="18"/>
        </w:rPr>
        <w:t xml:space="preserve"> in a randomised phase III study: 5-year analysis of the EORTC-NCIC trial. Lancet </w:t>
      </w:r>
      <w:proofErr w:type="spellStart"/>
      <w:r w:rsidRPr="0034030B">
        <w:rPr>
          <w:rFonts w:asciiTheme="minorHAnsi" w:hAnsiTheme="minorHAnsi"/>
          <w:szCs w:val="18"/>
        </w:rPr>
        <w:t>Oncol</w:t>
      </w:r>
      <w:proofErr w:type="spellEnd"/>
      <w:r w:rsidRPr="0034030B">
        <w:rPr>
          <w:rFonts w:asciiTheme="minorHAnsi" w:hAnsiTheme="minorHAnsi"/>
          <w:szCs w:val="18"/>
        </w:rPr>
        <w:t xml:space="preserve"> 2009; 10: 459–66</w:t>
      </w:r>
    </w:p>
  </w:footnote>
  <w:footnote w:id="20">
    <w:p w:rsidR="00053C69" w:rsidRPr="00E771DE" w:rsidRDefault="00053C69">
      <w:pPr>
        <w:pStyle w:val="FootnoteText"/>
      </w:pPr>
      <w:r>
        <w:rPr>
          <w:rStyle w:val="FootnoteReference"/>
        </w:rPr>
        <w:footnoteRef/>
      </w:r>
      <w:r w:rsidRPr="00E771DE">
        <w:t xml:space="preserve"> Gilbert </w:t>
      </w:r>
      <w:r w:rsidR="00805A18">
        <w:rPr>
          <w:i/>
        </w:rPr>
        <w:t>et al.</w:t>
      </w:r>
      <w:r w:rsidRPr="00E771DE">
        <w:t xml:space="preserve"> </w:t>
      </w:r>
      <w:proofErr w:type="spellStart"/>
      <w:r w:rsidRPr="00E771DE">
        <w:t>NEjM</w:t>
      </w:r>
      <w:proofErr w:type="spellEnd"/>
      <w:r w:rsidRPr="00E771DE">
        <w:t xml:space="preserve"> 2014;370(8):699-708</w:t>
      </w:r>
    </w:p>
  </w:footnote>
  <w:footnote w:id="21">
    <w:p w:rsidR="00053C69" w:rsidRDefault="00053C69">
      <w:pPr>
        <w:pStyle w:val="FootnoteText"/>
      </w:pPr>
      <w:r>
        <w:rPr>
          <w:rStyle w:val="FootnoteReference"/>
        </w:rPr>
        <w:footnoteRef/>
      </w:r>
      <w:r>
        <w:t xml:space="preserve"> </w:t>
      </w:r>
      <w:r w:rsidRPr="00901B2C">
        <w:t>New England</w:t>
      </w:r>
      <w:r>
        <w:t xml:space="preserve"> J</w:t>
      </w:r>
      <w:r w:rsidRPr="00901B2C">
        <w:t xml:space="preserve">ournal of Medicine </w:t>
      </w:r>
      <w:r>
        <w:t>20</w:t>
      </w:r>
      <w:r w:rsidRPr="00901B2C">
        <w:t xml:space="preserve">14;370(8), </w:t>
      </w:r>
      <w:r>
        <w:t>7</w:t>
      </w:r>
      <w:r w:rsidRPr="00901B2C">
        <w:t>64-765</w:t>
      </w:r>
    </w:p>
  </w:footnote>
  <w:footnote w:id="22">
    <w:p w:rsidR="00053C69" w:rsidRDefault="00053C69">
      <w:pPr>
        <w:pStyle w:val="FootnoteText"/>
      </w:pPr>
      <w:r>
        <w:rPr>
          <w:rStyle w:val="FootnoteReference"/>
        </w:rPr>
        <w:footnoteRef/>
      </w:r>
      <w:r w:rsidR="00DE779A">
        <w:t xml:space="preserve"> </w:t>
      </w:r>
      <w:r w:rsidRPr="00A8403F">
        <w:t>Editorial in New England journal of Medicine 2014;370(8):764-765</w:t>
      </w:r>
    </w:p>
  </w:footnote>
  <w:footnote w:id="23">
    <w:p w:rsidR="00053C69" w:rsidRPr="00D74C56" w:rsidRDefault="00053C69" w:rsidP="00DB1C93">
      <w:pPr>
        <w:pStyle w:val="FootnoteText"/>
      </w:pPr>
      <w:r w:rsidRPr="00D74C56">
        <w:rPr>
          <w:rStyle w:val="FootnoteReference"/>
          <w:szCs w:val="18"/>
        </w:rPr>
        <w:footnoteRef/>
      </w:r>
      <w:r w:rsidR="00DB1C93">
        <w:t xml:space="preserve"> </w:t>
      </w:r>
      <w:proofErr w:type="gramStart"/>
      <w:r w:rsidRPr="00D74C56">
        <w:t>EMA.</w:t>
      </w:r>
      <w:proofErr w:type="gramEnd"/>
      <w:r w:rsidRPr="00D74C56">
        <w:t xml:space="preserve"> </w:t>
      </w:r>
      <w:proofErr w:type="gramStart"/>
      <w:r w:rsidRPr="00D74C56">
        <w:t>Refusal of a change to the market</w:t>
      </w:r>
      <w:r w:rsidR="00DB1C93">
        <w:t xml:space="preserve">ing for </w:t>
      </w:r>
      <w:proofErr w:type="spellStart"/>
      <w:r w:rsidR="00DB1C93">
        <w:t>Avastin</w:t>
      </w:r>
      <w:proofErr w:type="spellEnd"/>
      <w:r w:rsidR="00DB1C93">
        <w:t xml:space="preserve"> (</w:t>
      </w:r>
      <w:proofErr w:type="spellStart"/>
      <w:r w:rsidR="00DB1C93">
        <w:t>bevacizumab</w:t>
      </w:r>
      <w:proofErr w:type="spellEnd"/>
      <w:r w:rsidR="00DB1C93">
        <w:t>).</w:t>
      </w:r>
      <w:proofErr w:type="gramEnd"/>
      <w:r w:rsidR="00DB1C93">
        <w:t xml:space="preserve"> </w:t>
      </w:r>
      <w:r w:rsidRPr="00D74C56">
        <w:t>EMA/H/C/00582/II/0059, 27 June 2014</w:t>
      </w:r>
    </w:p>
  </w:footnote>
  <w:footnote w:id="24">
    <w:p w:rsidR="00053C69" w:rsidRDefault="00053C69" w:rsidP="002D70D8">
      <w:pPr>
        <w:pStyle w:val="FootnoteText"/>
      </w:pPr>
      <w:r w:rsidRPr="00C64F39">
        <w:rPr>
          <w:rStyle w:val="FootnoteReference"/>
        </w:rPr>
        <w:footnoteRef/>
      </w:r>
      <w:r w:rsidRPr="00C64F39">
        <w:t xml:space="preserve"> </w:t>
      </w:r>
      <w:proofErr w:type="gramStart"/>
      <w:r w:rsidRPr="00C64F39">
        <w:t>EMA.</w:t>
      </w:r>
      <w:proofErr w:type="gramEnd"/>
      <w:r w:rsidRPr="00C64F39">
        <w:t xml:space="preserve"> </w:t>
      </w:r>
      <w:proofErr w:type="gramStart"/>
      <w:r w:rsidRPr="00C64F39">
        <w:t xml:space="preserve">Refusal of a change to the marketing for </w:t>
      </w:r>
      <w:proofErr w:type="spellStart"/>
      <w:r w:rsidRPr="00C64F39">
        <w:t>Avastin</w:t>
      </w:r>
      <w:proofErr w:type="spellEnd"/>
      <w:r w:rsidRPr="00C64F39">
        <w:t xml:space="preserve"> (</w:t>
      </w:r>
      <w:proofErr w:type="spellStart"/>
      <w:r w:rsidRPr="00C64F39">
        <w:t>bevacizumab</w:t>
      </w:r>
      <w:proofErr w:type="spellEnd"/>
      <w:r w:rsidRPr="00C64F39">
        <w:t>).</w:t>
      </w:r>
      <w:proofErr w:type="gramEnd"/>
      <w:r w:rsidRPr="00C64F39">
        <w:t xml:space="preserve"> </w:t>
      </w:r>
      <w:proofErr w:type="gramStart"/>
      <w:r w:rsidRPr="00C64F39">
        <w:t>EMA/293851/2014.</w:t>
      </w:r>
      <w:proofErr w:type="gramEnd"/>
      <w:r w:rsidRPr="00C64F39">
        <w:t xml:space="preserve"> Rev l, EMEA/H/C/O00582/II/0059, 27 </w:t>
      </w:r>
      <w:proofErr w:type="spellStart"/>
      <w:r w:rsidRPr="00C64F39">
        <w:t>Iune</w:t>
      </w:r>
      <w:proofErr w:type="spellEnd"/>
      <w:r w:rsidRPr="00C64F39">
        <w:t xml:space="preserve">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C69" w:rsidRDefault="00053C69"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C69" w:rsidRDefault="00053C69">
    <w:pPr>
      <w:rPr>
        <w:noProof/>
        <w:lang w:eastAsia="en-AU"/>
      </w:rPr>
    </w:pPr>
    <w:r w:rsidRPr="00347824">
      <w:rPr>
        <w:noProof/>
        <w:lang w:eastAsia="en-AU"/>
      </w:rPr>
      <w:drawing>
        <wp:anchor distT="0" distB="0" distL="114300" distR="114300" simplePos="0" relativeHeight="251659264" behindDoc="1" locked="0" layoutInCell="1" allowOverlap="1" wp14:anchorId="45B43A40" wp14:editId="2E2B9107">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053C69" w:rsidRDefault="00053C69" w:rsidP="00593AD1">
    <w:pPr>
      <w:pStyle w:val="HeaderNoLine"/>
    </w:pPr>
    <w:r>
      <w:rPr>
        <w:noProof/>
        <w:lang w:eastAsia="en-AU"/>
      </w:rPr>
      <w:drawing>
        <wp:inline distT="0" distB="0" distL="0" distR="0" wp14:anchorId="586782F9" wp14:editId="16186499">
          <wp:extent cx="5400040" cy="7634605"/>
          <wp:effectExtent l="0" t="0" r="0" b="4445"/>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763460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C69" w:rsidRDefault="00053C6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C69" w:rsidRDefault="00053C69">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C69" w:rsidRDefault="00053C69">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C69" w:rsidRDefault="00053C6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C69" w:rsidRDefault="00053C69"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C69" w:rsidRDefault="00053C69" w:rsidP="006E08B3">
    <w:r>
      <w:t>Therapeutic Goods Administration</w:t>
    </w:r>
  </w:p>
  <w:p w:rsidR="00053C69" w:rsidRDefault="00053C69"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7B81668"/>
    <w:lvl w:ilvl="0">
      <w:start w:val="1"/>
      <w:numFmt w:val="decimal"/>
      <w:lvlText w:val="%1."/>
      <w:lvlJc w:val="left"/>
      <w:pPr>
        <w:tabs>
          <w:tab w:val="num" w:pos="1492"/>
        </w:tabs>
        <w:ind w:left="1492" w:hanging="360"/>
      </w:pPr>
    </w:lvl>
  </w:abstractNum>
  <w:abstractNum w:abstractNumId="1">
    <w:nsid w:val="FFFFFF7D"/>
    <w:multiLevelType w:val="singleLevel"/>
    <w:tmpl w:val="12F20C92"/>
    <w:lvl w:ilvl="0">
      <w:start w:val="1"/>
      <w:numFmt w:val="decimal"/>
      <w:lvlText w:val="%1."/>
      <w:lvlJc w:val="left"/>
      <w:pPr>
        <w:tabs>
          <w:tab w:val="num" w:pos="1209"/>
        </w:tabs>
        <w:ind w:left="1209" w:hanging="360"/>
      </w:pPr>
    </w:lvl>
  </w:abstractNum>
  <w:abstractNum w:abstractNumId="2">
    <w:nsid w:val="FFFFFF7E"/>
    <w:multiLevelType w:val="singleLevel"/>
    <w:tmpl w:val="2B560DEE"/>
    <w:lvl w:ilvl="0">
      <w:start w:val="1"/>
      <w:numFmt w:val="decimal"/>
      <w:lvlText w:val="%1."/>
      <w:lvlJc w:val="left"/>
      <w:pPr>
        <w:tabs>
          <w:tab w:val="num" w:pos="926"/>
        </w:tabs>
        <w:ind w:left="926" w:hanging="360"/>
      </w:pPr>
    </w:lvl>
  </w:abstractNum>
  <w:abstractNum w:abstractNumId="3">
    <w:nsid w:val="FFFFFF7F"/>
    <w:multiLevelType w:val="singleLevel"/>
    <w:tmpl w:val="4CB8B146"/>
    <w:lvl w:ilvl="0">
      <w:start w:val="1"/>
      <w:numFmt w:val="decimal"/>
      <w:lvlText w:val="%1."/>
      <w:lvlJc w:val="left"/>
      <w:pPr>
        <w:tabs>
          <w:tab w:val="num" w:pos="643"/>
        </w:tabs>
        <w:ind w:left="643" w:hanging="360"/>
      </w:pPr>
    </w:lvl>
  </w:abstractNum>
  <w:abstractNum w:abstractNumId="4">
    <w:nsid w:val="FFFFFF80"/>
    <w:multiLevelType w:val="singleLevel"/>
    <w:tmpl w:val="6A0EF91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AA436A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8"/>
    <w:multiLevelType w:val="singleLevel"/>
    <w:tmpl w:val="81922300"/>
    <w:lvl w:ilvl="0">
      <w:start w:val="1"/>
      <w:numFmt w:val="decimal"/>
      <w:lvlText w:val="%1."/>
      <w:lvlJc w:val="left"/>
      <w:pPr>
        <w:tabs>
          <w:tab w:val="num" w:pos="360"/>
        </w:tabs>
        <w:ind w:left="360" w:hanging="360"/>
      </w:pPr>
    </w:lvl>
  </w:abstractNum>
  <w:abstractNum w:abstractNumId="7">
    <w:nsid w:val="0B196E9C"/>
    <w:multiLevelType w:val="hybridMultilevel"/>
    <w:tmpl w:val="D324BDE0"/>
    <w:lvl w:ilvl="0" w:tplc="7228FA82">
      <w:start w:val="1"/>
      <w:numFmt w:val="decimal"/>
      <w:lvlText w:val="%1."/>
      <w:lvlJc w:val="left"/>
      <w:pPr>
        <w:ind w:left="530" w:hanging="36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8">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5E1A55A4"/>
    <w:multiLevelType w:val="hybridMultilevel"/>
    <w:tmpl w:val="6D3C27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740B1821"/>
    <w:multiLevelType w:val="hybridMultilevel"/>
    <w:tmpl w:val="264E00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8"/>
  </w:num>
  <w:num w:numId="3">
    <w:abstractNumId w:val="9"/>
  </w:num>
  <w:num w:numId="4">
    <w:abstractNumId w:val="8"/>
  </w:num>
  <w:num w:numId="5">
    <w:abstractNumId w:val="11"/>
  </w:num>
  <w:num w:numId="6">
    <w:abstractNumId w:val="7"/>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4"/>
  </w:num>
  <w:num w:numId="16">
    <w:abstractNumId w:val="6"/>
  </w:num>
  <w:num w:numId="17">
    <w:abstractNumId w:val="3"/>
  </w:num>
  <w:num w:numId="18">
    <w:abstractNumId w:val="2"/>
  </w:num>
  <w:num w:numId="19">
    <w:abstractNumId w:val="1"/>
  </w:num>
  <w:num w:numId="20">
    <w:abstractNumId w:val="0"/>
  </w:num>
  <w:num w:numId="21">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B42"/>
    <w:rsid w:val="00002031"/>
    <w:rsid w:val="00004734"/>
    <w:rsid w:val="00006B22"/>
    <w:rsid w:val="00010527"/>
    <w:rsid w:val="0001276A"/>
    <w:rsid w:val="00014645"/>
    <w:rsid w:val="00014BEA"/>
    <w:rsid w:val="000246AE"/>
    <w:rsid w:val="00025C67"/>
    <w:rsid w:val="000341A6"/>
    <w:rsid w:val="00044660"/>
    <w:rsid w:val="00053C69"/>
    <w:rsid w:val="00054B1D"/>
    <w:rsid w:val="0005559E"/>
    <w:rsid w:val="00073D4D"/>
    <w:rsid w:val="00077775"/>
    <w:rsid w:val="00087C8F"/>
    <w:rsid w:val="00090471"/>
    <w:rsid w:val="00096AA7"/>
    <w:rsid w:val="000A3AED"/>
    <w:rsid w:val="000A4D61"/>
    <w:rsid w:val="000B3532"/>
    <w:rsid w:val="000B3A75"/>
    <w:rsid w:val="000C690F"/>
    <w:rsid w:val="000D1295"/>
    <w:rsid w:val="000D391B"/>
    <w:rsid w:val="000D3D6D"/>
    <w:rsid w:val="000D4FC7"/>
    <w:rsid w:val="000E51CE"/>
    <w:rsid w:val="000F4869"/>
    <w:rsid w:val="000F5B42"/>
    <w:rsid w:val="000F6E6F"/>
    <w:rsid w:val="0010601F"/>
    <w:rsid w:val="0010788A"/>
    <w:rsid w:val="00107A31"/>
    <w:rsid w:val="00110EA5"/>
    <w:rsid w:val="00112F56"/>
    <w:rsid w:val="00125318"/>
    <w:rsid w:val="001305A2"/>
    <w:rsid w:val="00133238"/>
    <w:rsid w:val="0014197B"/>
    <w:rsid w:val="001447CD"/>
    <w:rsid w:val="001516B1"/>
    <w:rsid w:val="0015257D"/>
    <w:rsid w:val="00154EBB"/>
    <w:rsid w:val="00156316"/>
    <w:rsid w:val="00162D14"/>
    <w:rsid w:val="00165389"/>
    <w:rsid w:val="00166483"/>
    <w:rsid w:val="00166F6A"/>
    <w:rsid w:val="00174CCF"/>
    <w:rsid w:val="0017693F"/>
    <w:rsid w:val="00180E38"/>
    <w:rsid w:val="0018110E"/>
    <w:rsid w:val="00181684"/>
    <w:rsid w:val="001843C6"/>
    <w:rsid w:val="001850E0"/>
    <w:rsid w:val="0019010D"/>
    <w:rsid w:val="001A2158"/>
    <w:rsid w:val="001A525F"/>
    <w:rsid w:val="001B09F9"/>
    <w:rsid w:val="001B5C90"/>
    <w:rsid w:val="001B6448"/>
    <w:rsid w:val="001C32CD"/>
    <w:rsid w:val="001D5E5F"/>
    <w:rsid w:val="001E07CF"/>
    <w:rsid w:val="001E59F1"/>
    <w:rsid w:val="001F0E22"/>
    <w:rsid w:val="001F2C3C"/>
    <w:rsid w:val="001F49EB"/>
    <w:rsid w:val="001F6CBA"/>
    <w:rsid w:val="00201D4E"/>
    <w:rsid w:val="002065D4"/>
    <w:rsid w:val="002076C9"/>
    <w:rsid w:val="00220B8A"/>
    <w:rsid w:val="00222A0F"/>
    <w:rsid w:val="002257F3"/>
    <w:rsid w:val="00233456"/>
    <w:rsid w:val="002339A5"/>
    <w:rsid w:val="0025317D"/>
    <w:rsid w:val="00257848"/>
    <w:rsid w:val="0027084A"/>
    <w:rsid w:val="0027748C"/>
    <w:rsid w:val="00286434"/>
    <w:rsid w:val="00286C59"/>
    <w:rsid w:val="00290BD2"/>
    <w:rsid w:val="00291957"/>
    <w:rsid w:val="002942D1"/>
    <w:rsid w:val="0029501A"/>
    <w:rsid w:val="002B1638"/>
    <w:rsid w:val="002C6E71"/>
    <w:rsid w:val="002D70D8"/>
    <w:rsid w:val="002E3621"/>
    <w:rsid w:val="002E4C9A"/>
    <w:rsid w:val="002E70B6"/>
    <w:rsid w:val="002F11F8"/>
    <w:rsid w:val="002F3F56"/>
    <w:rsid w:val="002F44B5"/>
    <w:rsid w:val="002F781F"/>
    <w:rsid w:val="00311AC0"/>
    <w:rsid w:val="003211EF"/>
    <w:rsid w:val="0032583B"/>
    <w:rsid w:val="00327883"/>
    <w:rsid w:val="00331EA4"/>
    <w:rsid w:val="00335504"/>
    <w:rsid w:val="0034030B"/>
    <w:rsid w:val="00343AF9"/>
    <w:rsid w:val="00347824"/>
    <w:rsid w:val="00350567"/>
    <w:rsid w:val="003521E8"/>
    <w:rsid w:val="00372263"/>
    <w:rsid w:val="003728F3"/>
    <w:rsid w:val="0037496E"/>
    <w:rsid w:val="00386150"/>
    <w:rsid w:val="003874CE"/>
    <w:rsid w:val="00390900"/>
    <w:rsid w:val="003A7F6C"/>
    <w:rsid w:val="003B355A"/>
    <w:rsid w:val="003B4D60"/>
    <w:rsid w:val="003B7E39"/>
    <w:rsid w:val="003C58DC"/>
    <w:rsid w:val="003D1E62"/>
    <w:rsid w:val="003E2486"/>
    <w:rsid w:val="003E3208"/>
    <w:rsid w:val="003F0465"/>
    <w:rsid w:val="003F0B04"/>
    <w:rsid w:val="0040134E"/>
    <w:rsid w:val="00440A2D"/>
    <w:rsid w:val="00446293"/>
    <w:rsid w:val="004564A7"/>
    <w:rsid w:val="00460CD6"/>
    <w:rsid w:val="004617BF"/>
    <w:rsid w:val="00462CFD"/>
    <w:rsid w:val="00463658"/>
    <w:rsid w:val="004722CC"/>
    <w:rsid w:val="004936E4"/>
    <w:rsid w:val="00494E60"/>
    <w:rsid w:val="00497487"/>
    <w:rsid w:val="004B7B76"/>
    <w:rsid w:val="004C239D"/>
    <w:rsid w:val="004C2DCA"/>
    <w:rsid w:val="004C67AA"/>
    <w:rsid w:val="004D7354"/>
    <w:rsid w:val="004E654A"/>
    <w:rsid w:val="004F0F38"/>
    <w:rsid w:val="004F7CE4"/>
    <w:rsid w:val="00501921"/>
    <w:rsid w:val="00514C08"/>
    <w:rsid w:val="005221E5"/>
    <w:rsid w:val="00525E14"/>
    <w:rsid w:val="00530354"/>
    <w:rsid w:val="0053625B"/>
    <w:rsid w:val="00543330"/>
    <w:rsid w:val="005434C6"/>
    <w:rsid w:val="00543B39"/>
    <w:rsid w:val="00550096"/>
    <w:rsid w:val="00557FF9"/>
    <w:rsid w:val="00576378"/>
    <w:rsid w:val="00577130"/>
    <w:rsid w:val="00577945"/>
    <w:rsid w:val="00577E38"/>
    <w:rsid w:val="00585322"/>
    <w:rsid w:val="005857C6"/>
    <w:rsid w:val="00592F6E"/>
    <w:rsid w:val="00593AD1"/>
    <w:rsid w:val="005A68B6"/>
    <w:rsid w:val="005C0CCA"/>
    <w:rsid w:val="005C5570"/>
    <w:rsid w:val="005C79A4"/>
    <w:rsid w:val="005D4AAA"/>
    <w:rsid w:val="005D5442"/>
    <w:rsid w:val="005E23C8"/>
    <w:rsid w:val="005F311E"/>
    <w:rsid w:val="005F4488"/>
    <w:rsid w:val="005F67DE"/>
    <w:rsid w:val="00602F5D"/>
    <w:rsid w:val="00603F32"/>
    <w:rsid w:val="00625A6E"/>
    <w:rsid w:val="00632398"/>
    <w:rsid w:val="00640FC3"/>
    <w:rsid w:val="00642020"/>
    <w:rsid w:val="00645697"/>
    <w:rsid w:val="0065337B"/>
    <w:rsid w:val="0065419D"/>
    <w:rsid w:val="006604D8"/>
    <w:rsid w:val="00664A5B"/>
    <w:rsid w:val="0066663B"/>
    <w:rsid w:val="006763D2"/>
    <w:rsid w:val="00680C08"/>
    <w:rsid w:val="00685B42"/>
    <w:rsid w:val="00686F85"/>
    <w:rsid w:val="006931B1"/>
    <w:rsid w:val="006A15C0"/>
    <w:rsid w:val="006C3E2A"/>
    <w:rsid w:val="006C642F"/>
    <w:rsid w:val="006D03E5"/>
    <w:rsid w:val="006D0DB5"/>
    <w:rsid w:val="006D5801"/>
    <w:rsid w:val="006D5D3E"/>
    <w:rsid w:val="006E08B3"/>
    <w:rsid w:val="006F17AC"/>
    <w:rsid w:val="006F1E35"/>
    <w:rsid w:val="006F572E"/>
    <w:rsid w:val="007013CE"/>
    <w:rsid w:val="007040E6"/>
    <w:rsid w:val="007046D6"/>
    <w:rsid w:val="00705DB0"/>
    <w:rsid w:val="00722B57"/>
    <w:rsid w:val="0074253D"/>
    <w:rsid w:val="0074429B"/>
    <w:rsid w:val="007516A6"/>
    <w:rsid w:val="00760904"/>
    <w:rsid w:val="007615BC"/>
    <w:rsid w:val="00762F05"/>
    <w:rsid w:val="007652FF"/>
    <w:rsid w:val="00770EF1"/>
    <w:rsid w:val="00773EF7"/>
    <w:rsid w:val="00774E1D"/>
    <w:rsid w:val="00775109"/>
    <w:rsid w:val="0077675A"/>
    <w:rsid w:val="00780355"/>
    <w:rsid w:val="00785721"/>
    <w:rsid w:val="007900AF"/>
    <w:rsid w:val="00793A59"/>
    <w:rsid w:val="007B002B"/>
    <w:rsid w:val="007B6E9F"/>
    <w:rsid w:val="007C1216"/>
    <w:rsid w:val="007C1AF7"/>
    <w:rsid w:val="007C696B"/>
    <w:rsid w:val="007F3AD6"/>
    <w:rsid w:val="008024B6"/>
    <w:rsid w:val="00805A18"/>
    <w:rsid w:val="00805D27"/>
    <w:rsid w:val="00821776"/>
    <w:rsid w:val="0082373C"/>
    <w:rsid w:val="00831B80"/>
    <w:rsid w:val="008321F5"/>
    <w:rsid w:val="00832369"/>
    <w:rsid w:val="00834660"/>
    <w:rsid w:val="00836BC2"/>
    <w:rsid w:val="00836CFE"/>
    <w:rsid w:val="00844F94"/>
    <w:rsid w:val="0085641B"/>
    <w:rsid w:val="00857136"/>
    <w:rsid w:val="0086058A"/>
    <w:rsid w:val="00874B7B"/>
    <w:rsid w:val="00874B8F"/>
    <w:rsid w:val="00885B11"/>
    <w:rsid w:val="00886D15"/>
    <w:rsid w:val="00887DD8"/>
    <w:rsid w:val="00896018"/>
    <w:rsid w:val="008960DD"/>
    <w:rsid w:val="0089635C"/>
    <w:rsid w:val="008A2B9D"/>
    <w:rsid w:val="008A44E9"/>
    <w:rsid w:val="008A5E0B"/>
    <w:rsid w:val="008A6D59"/>
    <w:rsid w:val="008B42CB"/>
    <w:rsid w:val="008B4B03"/>
    <w:rsid w:val="008B596F"/>
    <w:rsid w:val="008C159F"/>
    <w:rsid w:val="008C1623"/>
    <w:rsid w:val="008C1850"/>
    <w:rsid w:val="008C2169"/>
    <w:rsid w:val="008C51A9"/>
    <w:rsid w:val="008C6424"/>
    <w:rsid w:val="008E75AB"/>
    <w:rsid w:val="008E7846"/>
    <w:rsid w:val="008F1CCC"/>
    <w:rsid w:val="008F2967"/>
    <w:rsid w:val="008F6943"/>
    <w:rsid w:val="00901B2C"/>
    <w:rsid w:val="00902A21"/>
    <w:rsid w:val="00920330"/>
    <w:rsid w:val="00920C88"/>
    <w:rsid w:val="009219D7"/>
    <w:rsid w:val="00922D53"/>
    <w:rsid w:val="00923B70"/>
    <w:rsid w:val="00924482"/>
    <w:rsid w:val="009259E3"/>
    <w:rsid w:val="00930237"/>
    <w:rsid w:val="009417D0"/>
    <w:rsid w:val="00946EA5"/>
    <w:rsid w:val="00963C08"/>
    <w:rsid w:val="00972154"/>
    <w:rsid w:val="0098585A"/>
    <w:rsid w:val="00990922"/>
    <w:rsid w:val="009952E6"/>
    <w:rsid w:val="009A43C8"/>
    <w:rsid w:val="009A4CED"/>
    <w:rsid w:val="009A690D"/>
    <w:rsid w:val="009B1D12"/>
    <w:rsid w:val="009B416B"/>
    <w:rsid w:val="009C4BD5"/>
    <w:rsid w:val="009C5847"/>
    <w:rsid w:val="009D7B77"/>
    <w:rsid w:val="009E0BB0"/>
    <w:rsid w:val="009E3FBB"/>
    <w:rsid w:val="00A102E4"/>
    <w:rsid w:val="00A12C42"/>
    <w:rsid w:val="00A14DF7"/>
    <w:rsid w:val="00A3246D"/>
    <w:rsid w:val="00A36FA7"/>
    <w:rsid w:val="00A475B7"/>
    <w:rsid w:val="00A47AF7"/>
    <w:rsid w:val="00A47C3E"/>
    <w:rsid w:val="00A50226"/>
    <w:rsid w:val="00A53634"/>
    <w:rsid w:val="00A536EA"/>
    <w:rsid w:val="00A60BAD"/>
    <w:rsid w:val="00A62574"/>
    <w:rsid w:val="00A73FD3"/>
    <w:rsid w:val="00A81200"/>
    <w:rsid w:val="00A8403F"/>
    <w:rsid w:val="00A84E36"/>
    <w:rsid w:val="00A964D1"/>
    <w:rsid w:val="00AA0ED0"/>
    <w:rsid w:val="00AB0014"/>
    <w:rsid w:val="00AB7CEC"/>
    <w:rsid w:val="00AC2B40"/>
    <w:rsid w:val="00AC2BB2"/>
    <w:rsid w:val="00AC2C3C"/>
    <w:rsid w:val="00AC512D"/>
    <w:rsid w:val="00AD0083"/>
    <w:rsid w:val="00AD12FE"/>
    <w:rsid w:val="00AD5441"/>
    <w:rsid w:val="00AE5046"/>
    <w:rsid w:val="00AE65EB"/>
    <w:rsid w:val="00AE67A7"/>
    <w:rsid w:val="00AF1D94"/>
    <w:rsid w:val="00AF60C5"/>
    <w:rsid w:val="00B009C6"/>
    <w:rsid w:val="00B01548"/>
    <w:rsid w:val="00B11B95"/>
    <w:rsid w:val="00B17E6F"/>
    <w:rsid w:val="00B20578"/>
    <w:rsid w:val="00B21D29"/>
    <w:rsid w:val="00B25034"/>
    <w:rsid w:val="00B33588"/>
    <w:rsid w:val="00B33863"/>
    <w:rsid w:val="00B342C5"/>
    <w:rsid w:val="00B37D17"/>
    <w:rsid w:val="00B4175E"/>
    <w:rsid w:val="00B452CE"/>
    <w:rsid w:val="00B54C25"/>
    <w:rsid w:val="00B626F5"/>
    <w:rsid w:val="00B64603"/>
    <w:rsid w:val="00B76B91"/>
    <w:rsid w:val="00B7704B"/>
    <w:rsid w:val="00B77EB1"/>
    <w:rsid w:val="00B811C6"/>
    <w:rsid w:val="00B855B0"/>
    <w:rsid w:val="00B92E08"/>
    <w:rsid w:val="00BC622A"/>
    <w:rsid w:val="00BD5879"/>
    <w:rsid w:val="00BE0A78"/>
    <w:rsid w:val="00BE79F0"/>
    <w:rsid w:val="00BF046D"/>
    <w:rsid w:val="00BF1190"/>
    <w:rsid w:val="00BF5D04"/>
    <w:rsid w:val="00C04005"/>
    <w:rsid w:val="00C1164D"/>
    <w:rsid w:val="00C12321"/>
    <w:rsid w:val="00C16861"/>
    <w:rsid w:val="00C23F70"/>
    <w:rsid w:val="00C404A6"/>
    <w:rsid w:val="00C40A36"/>
    <w:rsid w:val="00C44419"/>
    <w:rsid w:val="00C45E7B"/>
    <w:rsid w:val="00C471B1"/>
    <w:rsid w:val="00C541CA"/>
    <w:rsid w:val="00C6316B"/>
    <w:rsid w:val="00C634A9"/>
    <w:rsid w:val="00C6445A"/>
    <w:rsid w:val="00C64586"/>
    <w:rsid w:val="00C64F39"/>
    <w:rsid w:val="00C70D53"/>
    <w:rsid w:val="00C73D0B"/>
    <w:rsid w:val="00C7500A"/>
    <w:rsid w:val="00C772FF"/>
    <w:rsid w:val="00C80137"/>
    <w:rsid w:val="00C801AF"/>
    <w:rsid w:val="00C80256"/>
    <w:rsid w:val="00CB6BC0"/>
    <w:rsid w:val="00CC1B7C"/>
    <w:rsid w:val="00CC42CD"/>
    <w:rsid w:val="00CC727F"/>
    <w:rsid w:val="00CD2097"/>
    <w:rsid w:val="00CF15C3"/>
    <w:rsid w:val="00CF2B6F"/>
    <w:rsid w:val="00CF58B6"/>
    <w:rsid w:val="00D00D16"/>
    <w:rsid w:val="00D01141"/>
    <w:rsid w:val="00D017ED"/>
    <w:rsid w:val="00D040D3"/>
    <w:rsid w:val="00D04C65"/>
    <w:rsid w:val="00D224FE"/>
    <w:rsid w:val="00D52223"/>
    <w:rsid w:val="00D6493E"/>
    <w:rsid w:val="00D6594E"/>
    <w:rsid w:val="00D70C91"/>
    <w:rsid w:val="00D7195D"/>
    <w:rsid w:val="00D72E98"/>
    <w:rsid w:val="00D7301E"/>
    <w:rsid w:val="00D74C56"/>
    <w:rsid w:val="00D83AE1"/>
    <w:rsid w:val="00D855D4"/>
    <w:rsid w:val="00D905DB"/>
    <w:rsid w:val="00D90E2F"/>
    <w:rsid w:val="00D93466"/>
    <w:rsid w:val="00DA1124"/>
    <w:rsid w:val="00DB1C93"/>
    <w:rsid w:val="00DB6124"/>
    <w:rsid w:val="00DB75B7"/>
    <w:rsid w:val="00DC6E02"/>
    <w:rsid w:val="00DE02AE"/>
    <w:rsid w:val="00DE779A"/>
    <w:rsid w:val="00DF1D7F"/>
    <w:rsid w:val="00DF4BE4"/>
    <w:rsid w:val="00E02125"/>
    <w:rsid w:val="00E02FB4"/>
    <w:rsid w:val="00E051D3"/>
    <w:rsid w:val="00E11AF3"/>
    <w:rsid w:val="00E20571"/>
    <w:rsid w:val="00E235F7"/>
    <w:rsid w:val="00E23659"/>
    <w:rsid w:val="00E239D4"/>
    <w:rsid w:val="00E26130"/>
    <w:rsid w:val="00E309ED"/>
    <w:rsid w:val="00E40B22"/>
    <w:rsid w:val="00E44545"/>
    <w:rsid w:val="00E45619"/>
    <w:rsid w:val="00E4588F"/>
    <w:rsid w:val="00E46DA3"/>
    <w:rsid w:val="00E51BB1"/>
    <w:rsid w:val="00E624A5"/>
    <w:rsid w:val="00E7344E"/>
    <w:rsid w:val="00E7584B"/>
    <w:rsid w:val="00E771DE"/>
    <w:rsid w:val="00EA15B6"/>
    <w:rsid w:val="00EB0798"/>
    <w:rsid w:val="00EB40AD"/>
    <w:rsid w:val="00EB586E"/>
    <w:rsid w:val="00EB5FC8"/>
    <w:rsid w:val="00EC7A85"/>
    <w:rsid w:val="00ED3CAD"/>
    <w:rsid w:val="00ED5A41"/>
    <w:rsid w:val="00EE1DE8"/>
    <w:rsid w:val="00EF4642"/>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A5B82"/>
    <w:rsid w:val="00FA639E"/>
    <w:rsid w:val="00FA6D72"/>
    <w:rsid w:val="00FC25E4"/>
    <w:rsid w:val="00FC4EF7"/>
    <w:rsid w:val="00FE1DEE"/>
    <w:rsid w:val="00FF2126"/>
    <w:rsid w:val="00FF462F"/>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024B6"/>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1B5C90"/>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character" w:styleId="CommentReference">
    <w:name w:val="annotation reference"/>
    <w:basedOn w:val="DefaultParagraphFont"/>
    <w:uiPriority w:val="99"/>
    <w:semiHidden/>
    <w:unhideWhenUsed/>
    <w:rsid w:val="005E23C8"/>
    <w:rPr>
      <w:sz w:val="16"/>
      <w:szCs w:val="16"/>
    </w:rPr>
  </w:style>
  <w:style w:type="paragraph" w:styleId="CommentText">
    <w:name w:val="annotation text"/>
    <w:basedOn w:val="Normal"/>
    <w:link w:val="CommentTextChar"/>
    <w:uiPriority w:val="99"/>
    <w:semiHidden/>
    <w:unhideWhenUsed/>
    <w:rsid w:val="005E23C8"/>
    <w:pPr>
      <w:spacing w:line="240" w:lineRule="auto"/>
    </w:pPr>
    <w:rPr>
      <w:sz w:val="20"/>
      <w:szCs w:val="20"/>
    </w:rPr>
  </w:style>
  <w:style w:type="character" w:customStyle="1" w:styleId="CommentTextChar">
    <w:name w:val="Comment Text Char"/>
    <w:basedOn w:val="DefaultParagraphFont"/>
    <w:link w:val="CommentText"/>
    <w:uiPriority w:val="99"/>
    <w:semiHidden/>
    <w:rsid w:val="005E23C8"/>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5E23C8"/>
    <w:rPr>
      <w:b/>
      <w:bCs/>
    </w:rPr>
  </w:style>
  <w:style w:type="character" w:customStyle="1" w:styleId="CommentSubjectChar">
    <w:name w:val="Comment Subject Char"/>
    <w:basedOn w:val="CommentTextChar"/>
    <w:link w:val="CommentSubject"/>
    <w:uiPriority w:val="99"/>
    <w:semiHidden/>
    <w:rsid w:val="005E23C8"/>
    <w:rPr>
      <w:rFonts w:ascii="Cambria" w:eastAsia="Cambria" w:hAnsi="Cambria" w:cs="Times New Roman"/>
      <w:b/>
      <w:bCs/>
      <w:sz w:val="20"/>
      <w:szCs w:val="20"/>
    </w:rPr>
  </w:style>
  <w:style w:type="paragraph" w:customStyle="1" w:styleId="Instructionaltext">
    <w:name w:val="Instructional text"/>
    <w:basedOn w:val="Normal"/>
    <w:link w:val="InstructionaltextChar"/>
    <w:uiPriority w:val="1"/>
    <w:qFormat/>
    <w:rsid w:val="004C67AA"/>
    <w:rPr>
      <w:i/>
      <w:color w:val="22ABFF" w:themeColor="accent1" w:themeTint="80"/>
      <w:szCs w:val="24"/>
    </w:rPr>
  </w:style>
  <w:style w:type="character" w:customStyle="1" w:styleId="InstructionaltextChar">
    <w:name w:val="Instructional text Char"/>
    <w:basedOn w:val="DefaultParagraphFont"/>
    <w:link w:val="Instructionaltext"/>
    <w:uiPriority w:val="1"/>
    <w:rsid w:val="004C67AA"/>
    <w:rPr>
      <w:rFonts w:ascii="Cambria" w:eastAsia="Cambria" w:hAnsi="Cambria" w:cs="Times New Roman"/>
      <w:i/>
      <w:color w:val="22ABFF" w:themeColor="accent1" w:themeTint="80"/>
      <w:szCs w:val="24"/>
    </w:rPr>
  </w:style>
  <w:style w:type="paragraph" w:styleId="NoSpacing">
    <w:name w:val="No Spacing"/>
    <w:uiPriority w:val="1"/>
    <w:qFormat/>
    <w:rsid w:val="00044660"/>
    <w:pPr>
      <w:spacing w:after="0" w:line="240" w:lineRule="auto"/>
    </w:pPr>
  </w:style>
  <w:style w:type="paragraph" w:styleId="ListParagraph">
    <w:name w:val="List Paragraph"/>
    <w:basedOn w:val="Normal"/>
    <w:uiPriority w:val="34"/>
    <w:qFormat/>
    <w:rsid w:val="00C23F70"/>
    <w:pPr>
      <w:adjustRightInd w:val="0"/>
      <w:snapToGrid w:val="0"/>
      <w:spacing w:before="180" w:after="180"/>
      <w:ind w:left="720"/>
      <w:contextualSpacing/>
    </w:pPr>
    <w:rPr>
      <w:rFonts w:ascii="Arial" w:hAnsi="Arial" w:cs="Arial"/>
    </w:rPr>
  </w:style>
  <w:style w:type="paragraph" w:customStyle="1" w:styleId="Default">
    <w:name w:val="Default"/>
    <w:rsid w:val="00C23F70"/>
    <w:pPr>
      <w:autoSpaceDE w:val="0"/>
      <w:autoSpaceDN w:val="0"/>
      <w:adjustRightInd w:val="0"/>
      <w:spacing w:after="0" w:line="240" w:lineRule="auto"/>
    </w:pPr>
    <w:rPr>
      <w:rFonts w:ascii="Arial" w:eastAsia="MS Mincho" w:hAnsi="Arial" w:cs="Arial"/>
      <w:color w:val="000000"/>
      <w:sz w:val="24"/>
      <w:szCs w:val="24"/>
      <w:lang w:eastAsia="en-AU"/>
    </w:rPr>
  </w:style>
  <w:style w:type="character" w:styleId="Emphasis">
    <w:name w:val="Emphasis"/>
    <w:basedOn w:val="DefaultParagraphFont"/>
    <w:uiPriority w:val="20"/>
    <w:qFormat/>
    <w:rsid w:val="000A4D61"/>
    <w:rPr>
      <w:b/>
      <w:bCs/>
      <w:i w:val="0"/>
      <w:iCs w:val="0"/>
    </w:rPr>
  </w:style>
  <w:style w:type="character" w:customStyle="1" w:styleId="st">
    <w:name w:val="st"/>
    <w:basedOn w:val="DefaultParagraphFont"/>
    <w:rsid w:val="00AB7CEC"/>
  </w:style>
  <w:style w:type="paragraph" w:styleId="NormalWeb">
    <w:name w:val="Normal (Web)"/>
    <w:basedOn w:val="Normal"/>
    <w:uiPriority w:val="99"/>
    <w:unhideWhenUsed/>
    <w:rsid w:val="00831B80"/>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Paragraph">
    <w:name w:val="Paragraph"/>
    <w:basedOn w:val="Normal"/>
    <w:link w:val="ParagraphChar"/>
    <w:rsid w:val="0034030B"/>
    <w:pPr>
      <w:spacing w:before="0" w:after="250" w:line="300" w:lineRule="atLeast"/>
    </w:pPr>
    <w:rPr>
      <w:rFonts w:ascii="Arial" w:eastAsia="SimSun" w:hAnsi="Arial"/>
      <w:szCs w:val="24"/>
      <w:lang w:val="en-US" w:eastAsia="zh-CN"/>
    </w:rPr>
  </w:style>
  <w:style w:type="character" w:customStyle="1" w:styleId="ParagraphChar">
    <w:name w:val="Paragraph Char"/>
    <w:link w:val="Paragraph"/>
    <w:rsid w:val="0034030B"/>
    <w:rPr>
      <w:rFonts w:ascii="Arial" w:eastAsia="SimSun" w:hAnsi="Arial" w:cs="Times New Roman"/>
      <w:szCs w:val="24"/>
      <w:lang w:val="en-US" w:eastAsia="zh-CN"/>
    </w:rPr>
  </w:style>
  <w:style w:type="paragraph" w:styleId="Revision">
    <w:name w:val="Revision"/>
    <w:hidden/>
    <w:uiPriority w:val="99"/>
    <w:semiHidden/>
    <w:rsid w:val="00D70C91"/>
    <w:pPr>
      <w:spacing w:after="0" w:line="240" w:lineRule="auto"/>
    </w:pPr>
    <w:rPr>
      <w:rFonts w:ascii="Cambria" w:eastAsia="Cambria" w:hAnsi="Cambria" w:cs="Times New Roman"/>
    </w:rPr>
  </w:style>
  <w:style w:type="paragraph" w:styleId="ListBullet4">
    <w:name w:val="List Bullet 4"/>
    <w:basedOn w:val="Normal"/>
    <w:uiPriority w:val="99"/>
    <w:unhideWhenUsed/>
    <w:rsid w:val="00A536EA"/>
    <w:pPr>
      <w:numPr>
        <w:numId w:val="14"/>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024B6"/>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1B5C90"/>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character" w:styleId="CommentReference">
    <w:name w:val="annotation reference"/>
    <w:basedOn w:val="DefaultParagraphFont"/>
    <w:uiPriority w:val="99"/>
    <w:semiHidden/>
    <w:unhideWhenUsed/>
    <w:rsid w:val="005E23C8"/>
    <w:rPr>
      <w:sz w:val="16"/>
      <w:szCs w:val="16"/>
    </w:rPr>
  </w:style>
  <w:style w:type="paragraph" w:styleId="CommentText">
    <w:name w:val="annotation text"/>
    <w:basedOn w:val="Normal"/>
    <w:link w:val="CommentTextChar"/>
    <w:uiPriority w:val="99"/>
    <w:semiHidden/>
    <w:unhideWhenUsed/>
    <w:rsid w:val="005E23C8"/>
    <w:pPr>
      <w:spacing w:line="240" w:lineRule="auto"/>
    </w:pPr>
    <w:rPr>
      <w:sz w:val="20"/>
      <w:szCs w:val="20"/>
    </w:rPr>
  </w:style>
  <w:style w:type="character" w:customStyle="1" w:styleId="CommentTextChar">
    <w:name w:val="Comment Text Char"/>
    <w:basedOn w:val="DefaultParagraphFont"/>
    <w:link w:val="CommentText"/>
    <w:uiPriority w:val="99"/>
    <w:semiHidden/>
    <w:rsid w:val="005E23C8"/>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5E23C8"/>
    <w:rPr>
      <w:b/>
      <w:bCs/>
    </w:rPr>
  </w:style>
  <w:style w:type="character" w:customStyle="1" w:styleId="CommentSubjectChar">
    <w:name w:val="Comment Subject Char"/>
    <w:basedOn w:val="CommentTextChar"/>
    <w:link w:val="CommentSubject"/>
    <w:uiPriority w:val="99"/>
    <w:semiHidden/>
    <w:rsid w:val="005E23C8"/>
    <w:rPr>
      <w:rFonts w:ascii="Cambria" w:eastAsia="Cambria" w:hAnsi="Cambria" w:cs="Times New Roman"/>
      <w:b/>
      <w:bCs/>
      <w:sz w:val="20"/>
      <w:szCs w:val="20"/>
    </w:rPr>
  </w:style>
  <w:style w:type="paragraph" w:customStyle="1" w:styleId="Instructionaltext">
    <w:name w:val="Instructional text"/>
    <w:basedOn w:val="Normal"/>
    <w:link w:val="InstructionaltextChar"/>
    <w:uiPriority w:val="1"/>
    <w:qFormat/>
    <w:rsid w:val="004C67AA"/>
    <w:rPr>
      <w:i/>
      <w:color w:val="22ABFF" w:themeColor="accent1" w:themeTint="80"/>
      <w:szCs w:val="24"/>
    </w:rPr>
  </w:style>
  <w:style w:type="character" w:customStyle="1" w:styleId="InstructionaltextChar">
    <w:name w:val="Instructional text Char"/>
    <w:basedOn w:val="DefaultParagraphFont"/>
    <w:link w:val="Instructionaltext"/>
    <w:uiPriority w:val="1"/>
    <w:rsid w:val="004C67AA"/>
    <w:rPr>
      <w:rFonts w:ascii="Cambria" w:eastAsia="Cambria" w:hAnsi="Cambria" w:cs="Times New Roman"/>
      <w:i/>
      <w:color w:val="22ABFF" w:themeColor="accent1" w:themeTint="80"/>
      <w:szCs w:val="24"/>
    </w:rPr>
  </w:style>
  <w:style w:type="paragraph" w:styleId="NoSpacing">
    <w:name w:val="No Spacing"/>
    <w:uiPriority w:val="1"/>
    <w:qFormat/>
    <w:rsid w:val="00044660"/>
    <w:pPr>
      <w:spacing w:after="0" w:line="240" w:lineRule="auto"/>
    </w:pPr>
  </w:style>
  <w:style w:type="paragraph" w:styleId="ListParagraph">
    <w:name w:val="List Paragraph"/>
    <w:basedOn w:val="Normal"/>
    <w:uiPriority w:val="34"/>
    <w:qFormat/>
    <w:rsid w:val="00C23F70"/>
    <w:pPr>
      <w:adjustRightInd w:val="0"/>
      <w:snapToGrid w:val="0"/>
      <w:spacing w:before="180" w:after="180"/>
      <w:ind w:left="720"/>
      <w:contextualSpacing/>
    </w:pPr>
    <w:rPr>
      <w:rFonts w:ascii="Arial" w:hAnsi="Arial" w:cs="Arial"/>
    </w:rPr>
  </w:style>
  <w:style w:type="paragraph" w:customStyle="1" w:styleId="Default">
    <w:name w:val="Default"/>
    <w:rsid w:val="00C23F70"/>
    <w:pPr>
      <w:autoSpaceDE w:val="0"/>
      <w:autoSpaceDN w:val="0"/>
      <w:adjustRightInd w:val="0"/>
      <w:spacing w:after="0" w:line="240" w:lineRule="auto"/>
    </w:pPr>
    <w:rPr>
      <w:rFonts w:ascii="Arial" w:eastAsia="MS Mincho" w:hAnsi="Arial" w:cs="Arial"/>
      <w:color w:val="000000"/>
      <w:sz w:val="24"/>
      <w:szCs w:val="24"/>
      <w:lang w:eastAsia="en-AU"/>
    </w:rPr>
  </w:style>
  <w:style w:type="character" w:styleId="Emphasis">
    <w:name w:val="Emphasis"/>
    <w:basedOn w:val="DefaultParagraphFont"/>
    <w:uiPriority w:val="20"/>
    <w:qFormat/>
    <w:rsid w:val="000A4D61"/>
    <w:rPr>
      <w:b/>
      <w:bCs/>
      <w:i w:val="0"/>
      <w:iCs w:val="0"/>
    </w:rPr>
  </w:style>
  <w:style w:type="character" w:customStyle="1" w:styleId="st">
    <w:name w:val="st"/>
    <w:basedOn w:val="DefaultParagraphFont"/>
    <w:rsid w:val="00AB7CEC"/>
  </w:style>
  <w:style w:type="paragraph" w:styleId="NormalWeb">
    <w:name w:val="Normal (Web)"/>
    <w:basedOn w:val="Normal"/>
    <w:uiPriority w:val="99"/>
    <w:unhideWhenUsed/>
    <w:rsid w:val="00831B80"/>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Paragraph">
    <w:name w:val="Paragraph"/>
    <w:basedOn w:val="Normal"/>
    <w:link w:val="ParagraphChar"/>
    <w:rsid w:val="0034030B"/>
    <w:pPr>
      <w:spacing w:before="0" w:after="250" w:line="300" w:lineRule="atLeast"/>
    </w:pPr>
    <w:rPr>
      <w:rFonts w:ascii="Arial" w:eastAsia="SimSun" w:hAnsi="Arial"/>
      <w:szCs w:val="24"/>
      <w:lang w:val="en-US" w:eastAsia="zh-CN"/>
    </w:rPr>
  </w:style>
  <w:style w:type="character" w:customStyle="1" w:styleId="ParagraphChar">
    <w:name w:val="Paragraph Char"/>
    <w:link w:val="Paragraph"/>
    <w:rsid w:val="0034030B"/>
    <w:rPr>
      <w:rFonts w:ascii="Arial" w:eastAsia="SimSun" w:hAnsi="Arial" w:cs="Times New Roman"/>
      <w:szCs w:val="24"/>
      <w:lang w:val="en-US" w:eastAsia="zh-CN"/>
    </w:rPr>
  </w:style>
  <w:style w:type="paragraph" w:styleId="Revision">
    <w:name w:val="Revision"/>
    <w:hidden/>
    <w:uiPriority w:val="99"/>
    <w:semiHidden/>
    <w:rsid w:val="00D70C91"/>
    <w:pPr>
      <w:spacing w:after="0" w:line="240" w:lineRule="auto"/>
    </w:pPr>
    <w:rPr>
      <w:rFonts w:ascii="Cambria" w:eastAsia="Cambria" w:hAnsi="Cambria" w:cs="Times New Roman"/>
    </w:rPr>
  </w:style>
  <w:style w:type="paragraph" w:styleId="ListBullet4">
    <w:name w:val="List Bullet 4"/>
    <w:basedOn w:val="Normal"/>
    <w:uiPriority w:val="99"/>
    <w:unhideWhenUsed/>
    <w:rsid w:val="00A536EA"/>
    <w:pPr>
      <w:numPr>
        <w:numId w:val="1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708472">
      <w:bodyDiv w:val="1"/>
      <w:marLeft w:val="0"/>
      <w:marRight w:val="0"/>
      <w:marTop w:val="0"/>
      <w:marBottom w:val="0"/>
      <w:divBdr>
        <w:top w:val="none" w:sz="0" w:space="0" w:color="auto"/>
        <w:left w:val="none" w:sz="0" w:space="0" w:color="auto"/>
        <w:bottom w:val="none" w:sz="0" w:space="0" w:color="auto"/>
        <w:right w:val="none" w:sz="0" w:space="0" w:color="auto"/>
      </w:divBdr>
    </w:div>
    <w:div w:id="1440030468">
      <w:bodyDiv w:val="1"/>
      <w:marLeft w:val="0"/>
      <w:marRight w:val="0"/>
      <w:marTop w:val="0"/>
      <w:marBottom w:val="0"/>
      <w:divBdr>
        <w:top w:val="none" w:sz="0" w:space="0" w:color="auto"/>
        <w:left w:val="none" w:sz="0" w:space="0" w:color="auto"/>
        <w:bottom w:val="none" w:sz="0" w:space="0" w:color="auto"/>
        <w:right w:val="none" w:sz="0" w:space="0" w:color="auto"/>
      </w:divBdr>
      <w:divsChild>
        <w:div w:id="1242566039">
          <w:marLeft w:val="0"/>
          <w:marRight w:val="0"/>
          <w:marTop w:val="0"/>
          <w:marBottom w:val="0"/>
          <w:divBdr>
            <w:top w:val="none" w:sz="0" w:space="0" w:color="auto"/>
            <w:left w:val="none" w:sz="0" w:space="0" w:color="auto"/>
            <w:bottom w:val="none" w:sz="0" w:space="0" w:color="auto"/>
            <w:right w:val="none" w:sz="0" w:space="0" w:color="auto"/>
          </w:divBdr>
          <w:divsChild>
            <w:div w:id="1128282184">
              <w:marLeft w:val="0"/>
              <w:marRight w:val="0"/>
              <w:marTop w:val="0"/>
              <w:marBottom w:val="0"/>
              <w:divBdr>
                <w:top w:val="none" w:sz="0" w:space="0" w:color="auto"/>
                <w:left w:val="none" w:sz="0" w:space="0" w:color="auto"/>
                <w:bottom w:val="none" w:sz="0" w:space="0" w:color="auto"/>
                <w:right w:val="none" w:sz="0" w:space="0" w:color="auto"/>
              </w:divBdr>
              <w:divsChild>
                <w:div w:id="1935937152">
                  <w:marLeft w:val="0"/>
                  <w:marRight w:val="0"/>
                  <w:marTop w:val="0"/>
                  <w:marBottom w:val="0"/>
                  <w:divBdr>
                    <w:top w:val="none" w:sz="0" w:space="0" w:color="auto"/>
                    <w:left w:val="none" w:sz="0" w:space="0" w:color="auto"/>
                    <w:bottom w:val="none" w:sz="0" w:space="0" w:color="auto"/>
                    <w:right w:val="none" w:sz="0" w:space="0" w:color="auto"/>
                  </w:divBdr>
                  <w:divsChild>
                    <w:div w:id="493768092">
                      <w:marLeft w:val="0"/>
                      <w:marRight w:val="0"/>
                      <w:marTop w:val="0"/>
                      <w:marBottom w:val="0"/>
                      <w:divBdr>
                        <w:top w:val="none" w:sz="0" w:space="0" w:color="auto"/>
                        <w:left w:val="none" w:sz="0" w:space="0" w:color="auto"/>
                        <w:bottom w:val="none" w:sz="0" w:space="0" w:color="auto"/>
                        <w:right w:val="none" w:sz="0" w:space="0" w:color="auto"/>
                      </w:divBdr>
                      <w:divsChild>
                        <w:div w:id="1842962389">
                          <w:marLeft w:val="0"/>
                          <w:marRight w:val="0"/>
                          <w:marTop w:val="0"/>
                          <w:marBottom w:val="0"/>
                          <w:divBdr>
                            <w:top w:val="none" w:sz="0" w:space="0" w:color="auto"/>
                            <w:left w:val="none" w:sz="0" w:space="0" w:color="auto"/>
                            <w:bottom w:val="none" w:sz="0" w:space="0" w:color="auto"/>
                            <w:right w:val="none" w:sz="0" w:space="0" w:color="auto"/>
                          </w:divBdr>
                          <w:divsChild>
                            <w:div w:id="1759399701">
                              <w:marLeft w:val="0"/>
                              <w:marRight w:val="0"/>
                              <w:marTop w:val="0"/>
                              <w:marBottom w:val="0"/>
                              <w:divBdr>
                                <w:top w:val="none" w:sz="0" w:space="0" w:color="auto"/>
                                <w:left w:val="none" w:sz="0" w:space="0" w:color="auto"/>
                                <w:bottom w:val="none" w:sz="0" w:space="0" w:color="auto"/>
                                <w:right w:val="none" w:sz="0" w:space="0" w:color="auto"/>
                              </w:divBdr>
                              <w:divsChild>
                                <w:div w:id="30894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03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image" Target="media/image15.png"/><Relationship Id="rId39" Type="http://schemas.microsoft.com/office/2007/relationships/hdphoto" Target="media/hdphoto6.wdp"/><Relationship Id="rId21" Type="http://schemas.openxmlformats.org/officeDocument/2006/relationships/image" Target="media/image10.emf"/><Relationship Id="rId34" Type="http://schemas.openxmlformats.org/officeDocument/2006/relationships/image" Target="media/image20.png"/><Relationship Id="rId42" Type="http://schemas.openxmlformats.org/officeDocument/2006/relationships/image" Target="media/image24.png"/><Relationship Id="rId47" Type="http://schemas.openxmlformats.org/officeDocument/2006/relationships/header" Target="header4.xml"/><Relationship Id="rId50" Type="http://schemas.openxmlformats.org/officeDocument/2006/relationships/footer" Target="footer3.xml"/><Relationship Id="rId55"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emf"/><Relationship Id="rId33" Type="http://schemas.microsoft.com/office/2007/relationships/hdphoto" Target="media/hdphoto3.wdp"/><Relationship Id="rId38" Type="http://schemas.openxmlformats.org/officeDocument/2006/relationships/image" Target="media/image22.png"/><Relationship Id="rId46" Type="http://schemas.openxmlformats.org/officeDocument/2006/relationships/header" Target="header3.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png"/><Relationship Id="rId41" Type="http://schemas.microsoft.com/office/2007/relationships/hdphoto" Target="media/hdphoto7.wdp"/><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19.png"/><Relationship Id="rId37" Type="http://schemas.microsoft.com/office/2007/relationships/hdphoto" Target="media/hdphoto5.wdp"/><Relationship Id="rId40" Type="http://schemas.openxmlformats.org/officeDocument/2006/relationships/image" Target="media/image23.png"/><Relationship Id="rId45" Type="http://schemas.openxmlformats.org/officeDocument/2006/relationships/image" Target="media/image26.png"/><Relationship Id="rId53" Type="http://schemas.openxmlformats.org/officeDocument/2006/relationships/header" Target="header6.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emf"/><Relationship Id="rId28" Type="http://schemas.microsoft.com/office/2007/relationships/hdphoto" Target="media/hdphoto1.wdp"/><Relationship Id="rId36" Type="http://schemas.openxmlformats.org/officeDocument/2006/relationships/image" Target="media/image21.png"/><Relationship Id="rId49" Type="http://schemas.openxmlformats.org/officeDocument/2006/relationships/header" Target="header5.xml"/><Relationship Id="rId57" Type="http://schemas.openxmlformats.org/officeDocument/2006/relationships/footer" Target="footer5.xml"/><Relationship Id="rId10" Type="http://schemas.openxmlformats.org/officeDocument/2006/relationships/hyperlink" Target="mailto:tga.copyright@tga.gov.au" TargetMode="External"/><Relationship Id="rId19" Type="http://schemas.openxmlformats.org/officeDocument/2006/relationships/image" Target="media/image8.emf"/><Relationship Id="rId31" Type="http://schemas.openxmlformats.org/officeDocument/2006/relationships/image" Target="media/image18.png"/><Relationship Id="rId44" Type="http://schemas.microsoft.com/office/2007/relationships/hdphoto" Target="media/hdphoto8.wdp"/><Relationship Id="rId52" Type="http://schemas.openxmlformats.org/officeDocument/2006/relationships/hyperlink" Target="http://www.tga.gov.au" TargetMode="Externa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png"/><Relationship Id="rId30" Type="http://schemas.microsoft.com/office/2007/relationships/hdphoto" Target="media/hdphoto2.wdp"/><Relationship Id="rId35" Type="http://schemas.microsoft.com/office/2007/relationships/hdphoto" Target="media/hdphoto4.wdp"/><Relationship Id="rId43" Type="http://schemas.openxmlformats.org/officeDocument/2006/relationships/image" Target="media/image25.png"/><Relationship Id="rId48" Type="http://schemas.openxmlformats.org/officeDocument/2006/relationships/footer" Target="footer2.xml"/><Relationship Id="rId56"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hyperlink" Target="mailto:info@tga.gov.au"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Disorder_(medicine)" TargetMode="External"/><Relationship Id="rId2" Type="http://schemas.openxmlformats.org/officeDocument/2006/relationships/hyperlink" Target="http://en.wikipedia.org/wiki/Disability" TargetMode="External"/><Relationship Id="rId1" Type="http://schemas.openxmlformats.org/officeDocument/2006/relationships/hyperlink" Target="http://en.wikipedia.org/wiki/Diseas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ckja\AppData\Local\Hewlett-Packard\HP%20TRIM\TEMP\HPTRIM.1864\R12%20926607%20(Revision%2020)%20%20AusPAR%20-%20Aclasta(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3C6CC-5EAF-4EFA-B9DE-9DFCE7146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(Revision 20)  AusPAR - Aclasta(2).dotx</Template>
  <TotalTime>2</TotalTime>
  <Pages>59</Pages>
  <Words>19071</Words>
  <Characters>108331</Characters>
  <Application>Microsoft Office Word</Application>
  <DocSecurity>0</DocSecurity>
  <Lines>2465</Lines>
  <Paragraphs>877</Paragraphs>
  <ScaleCrop>false</ScaleCrop>
  <HeadingPairs>
    <vt:vector size="2" baseType="variant">
      <vt:variant>
        <vt:lpstr>Title</vt:lpstr>
      </vt:variant>
      <vt:variant>
        <vt:i4>1</vt:i4>
      </vt:variant>
    </vt:vector>
  </HeadingPairs>
  <TitlesOfParts>
    <vt:vector size="1" baseType="lpstr">
      <vt:lpstr>Australian public assessment for report for</vt:lpstr>
    </vt:vector>
  </TitlesOfParts>
  <Company>TGA</Company>
  <LinksUpToDate>false</LinksUpToDate>
  <CharactersWithSpaces>126592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report for Bevacizumab</dc:title>
  <dc:subject>prescription medicine regulation</dc:subject>
  <dc:creator>Therapeutic Goods Administration</dc:creator>
  <cp:keywords>auspar, prescription, medicine, assessment, regulation, australia, bevacizumab, avastin</cp:keywords>
  <cp:lastModifiedBy>Sheppard, Fran</cp:lastModifiedBy>
  <cp:revision>3</cp:revision>
  <cp:lastPrinted>2014-10-21T01:59:00Z</cp:lastPrinted>
  <dcterms:created xsi:type="dcterms:W3CDTF">2014-12-03T03:37:00Z</dcterms:created>
  <dcterms:modified xsi:type="dcterms:W3CDTF">2014-12-03T03:39:00Z</dcterms:modified>
</cp:coreProperties>
</file>